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49B" w:rsidRDefault="00EC4A6D">
      <w:pPr>
        <w:rPr>
          <w:b/>
          <w:u w:val="single"/>
          <w:lang w:val="fr-FR"/>
        </w:rPr>
      </w:pPr>
      <w:r w:rsidRPr="00EC4A6D">
        <w:rPr>
          <w:b/>
          <w:u w:val="single"/>
          <w:lang w:val="fr-FR"/>
        </w:rPr>
        <w:t>Une troisième catégorie de travailleurs entre les indépendants et les salariés ? Analyse de la jurisprudence de la Cour de justice de l’Union européenne.</w:t>
      </w:r>
    </w:p>
    <w:p w:rsidR="00EC4A6D" w:rsidRPr="00271ACF" w:rsidRDefault="00271ACF">
      <w:pPr>
        <w:rPr>
          <w:smallCaps/>
          <w:lang w:val="fr-FR"/>
        </w:rPr>
      </w:pPr>
      <w:r w:rsidRPr="00271ACF">
        <w:rPr>
          <w:smallCaps/>
          <w:lang w:val="fr-FR"/>
        </w:rPr>
        <w:t>Vincent Février</w:t>
      </w:r>
    </w:p>
    <w:p w:rsidR="00EC4A6D" w:rsidRDefault="00EC4A6D">
      <w:pPr>
        <w:rPr>
          <w:b/>
          <w:lang w:val="fr-FR"/>
        </w:rPr>
      </w:pPr>
      <w:r w:rsidRPr="00EC4A6D">
        <w:rPr>
          <w:b/>
          <w:lang w:val="fr-FR"/>
        </w:rPr>
        <w:t>Introduction</w:t>
      </w:r>
    </w:p>
    <w:p w:rsidR="00EC4A6D" w:rsidRDefault="00EC4A6D" w:rsidP="00EC4A6D">
      <w:pPr>
        <w:jc w:val="both"/>
        <w:rPr>
          <w:lang w:val="fr-FR"/>
        </w:rPr>
      </w:pPr>
      <w:r>
        <w:rPr>
          <w:lang w:val="fr-FR"/>
        </w:rPr>
        <w:t xml:space="preserve">C’est une question qui est dans l’air du temps. Le monde entier est confronté à l’évolution que connaissent actuellement les relations de travail. Dans certains cas, il devient difficile de déterminer si le travailleur entre dans le champ d’application du droit du travail. La pertinence de la distinction binaire entre salariés et indépendants, ainsi que </w:t>
      </w:r>
      <w:r w:rsidR="00F557D6">
        <w:rPr>
          <w:lang w:val="fr-FR"/>
        </w:rPr>
        <w:t xml:space="preserve">celle </w:t>
      </w:r>
      <w:r>
        <w:rPr>
          <w:lang w:val="fr-FR"/>
        </w:rPr>
        <w:t>des critères utilisés pour dis</w:t>
      </w:r>
      <w:r w:rsidR="00F557D6">
        <w:rPr>
          <w:lang w:val="fr-FR"/>
        </w:rPr>
        <w:t>tinguer les deux catégories, sont</w:t>
      </w:r>
      <w:r>
        <w:rPr>
          <w:lang w:val="fr-FR"/>
        </w:rPr>
        <w:t xml:space="preserve"> mise</w:t>
      </w:r>
      <w:r w:rsidR="00F557D6">
        <w:rPr>
          <w:lang w:val="fr-FR"/>
        </w:rPr>
        <w:t>s</w:t>
      </w:r>
      <w:r>
        <w:rPr>
          <w:lang w:val="fr-FR"/>
        </w:rPr>
        <w:t xml:space="preserve"> en cause. On pourrait immédiatement songer au travail de plateformes mais le phénomène est beaucoup plus large. De plus en plus d’indépendants se trouvent dans une situation de dépendance économique vis-à-vis de leur cocontractant, tandis que certains travailleurs salariés exercent leurs fonctions de façon toujours plus autonome. </w:t>
      </w:r>
    </w:p>
    <w:p w:rsidR="00CD2E54" w:rsidRDefault="00CD2E54" w:rsidP="00EC4A6D">
      <w:pPr>
        <w:jc w:val="both"/>
        <w:rPr>
          <w:lang w:val="fr-FR"/>
        </w:rPr>
      </w:pPr>
      <w:r>
        <w:rPr>
          <w:lang w:val="fr-FR"/>
        </w:rPr>
        <w:t>Certains pays européens ont tenté de résoudre le problème en introduisant une tierce catégorie entre le travail salarié et le travail indépendant. C’est le cas au Royaume-Uni, en Espagne, en Italie ou encore en Allemagne. L’appartenance à cette troisième catégorie ne se déduit pas d’une situation de subordination juridique comme pour les salariés, mais de l’existence d’une situation de dépendance économique ou de la démonstration de l’intégration du travailleur à l’entreprise de son cocontractant. Les travailleurs qui sont classés dans cette troisième catégorie ont droit à une protection plus importante que celle prévue pour les travailleurs indépendants, mais moindre que celle accordée aux travailleurs salariés.  Le régime varie d’un pays à l’autre, mais il comporte souvent le droit à la négociation collective, des dispositions concernant la rémunération minimale ou encore le droit à l’accès aux tribunaux du travail.</w:t>
      </w:r>
      <w:r w:rsidR="00D31B45">
        <w:rPr>
          <w:lang w:val="fr-FR"/>
        </w:rPr>
        <w:t xml:space="preserve"> </w:t>
      </w:r>
      <w:r w:rsidR="003B7B86">
        <w:rPr>
          <w:lang w:val="fr-FR"/>
        </w:rPr>
        <w:t>En Italie, le troisième statut donne des droits en matière de sécurité sociale. L</w:t>
      </w:r>
      <w:r w:rsidR="005C564D">
        <w:rPr>
          <w:lang w:val="fr-FR"/>
        </w:rPr>
        <w:t>es travailleurs italiens concernés</w:t>
      </w:r>
      <w:r w:rsidR="003B7B86">
        <w:rPr>
          <w:lang w:val="fr-FR"/>
        </w:rPr>
        <w:t xml:space="preserve"> bénéficient</w:t>
      </w:r>
      <w:r w:rsidR="005C564D">
        <w:rPr>
          <w:lang w:val="fr-FR"/>
        </w:rPr>
        <w:t xml:space="preserve"> ainsi</w:t>
      </w:r>
      <w:r w:rsidR="003B7B86">
        <w:rPr>
          <w:lang w:val="fr-FR"/>
        </w:rPr>
        <w:t xml:space="preserve"> d’un régime spécial d’assurance chômage, d’une assurance contre les maladies professionnelles et d’un régime spécifique en ce qui concerne les cotisations de retraite.</w:t>
      </w:r>
    </w:p>
    <w:p w:rsidR="00EC4A6D" w:rsidRDefault="00CD2E54" w:rsidP="00EC4A6D">
      <w:pPr>
        <w:jc w:val="both"/>
        <w:rPr>
          <w:lang w:val="fr-FR"/>
        </w:rPr>
      </w:pPr>
      <w:r>
        <w:rPr>
          <w:lang w:val="fr-FR"/>
        </w:rPr>
        <w:t>La Belgique ne connaît pas de catégorie intermédiaire entre travail salarié et travail indépendant. L</w:t>
      </w:r>
      <w:r w:rsidR="00EC4A6D">
        <w:rPr>
          <w:lang w:val="fr-FR"/>
        </w:rPr>
        <w:t>e critère utilisé pour déterminer la qualification à donner à la relation de travail est celui de la s</w:t>
      </w:r>
      <w:r>
        <w:rPr>
          <w:lang w:val="fr-FR"/>
        </w:rPr>
        <w:t xml:space="preserve">ubordination juridique. La Cour de cassation a rejeté le critère de la dépendance économique lors des arrêts de qualification rendus entre 2002 et 2003, et celui-ci ne joue plus désormais qu’un rôle restreint dans le cadre des présomptions sectorielles de l’article 337/2 de la loi programme du 27 décembre 2006. </w:t>
      </w:r>
    </w:p>
    <w:p w:rsidR="007C2159" w:rsidRDefault="007C2159" w:rsidP="00EC4A6D">
      <w:pPr>
        <w:jc w:val="both"/>
        <w:rPr>
          <w:lang w:val="fr-FR"/>
        </w:rPr>
      </w:pPr>
      <w:r>
        <w:rPr>
          <w:lang w:val="fr-FR"/>
        </w:rPr>
        <w:t>La question que nous nous poserons au cours de cette présentation est la suivante. Existe-t-il une place pour une tierce catégorie de travailleurs en droit de l’Union européenne et, en cas de réponse affirmative, quelles seraient les conséquences sur la notion de travailleur actuel</w:t>
      </w:r>
      <w:r w:rsidR="00F557D6">
        <w:rPr>
          <w:lang w:val="fr-FR"/>
        </w:rPr>
        <w:t xml:space="preserve">lement utilisée en droit belge ? </w:t>
      </w:r>
      <w:r>
        <w:rPr>
          <w:lang w:val="fr-FR"/>
        </w:rPr>
        <w:t xml:space="preserve">Pour mener cette recherche à bien, nous analyserons la jurisprudence de la Cour de justice de l’Union européenne, qui est chargée d’interpréter le droit de l’Union. Pour respecter les contraintes de temps liées à cet exposé, nous nous limiterons à l’étude de la jurisprudence rendue dans deux branches de ce droit, à savoir la libre prestation des services et la liberté d’établissement d’une part et le droit européen de la concurrence d’autre part. </w:t>
      </w:r>
    </w:p>
    <w:p w:rsidR="00D74D9D" w:rsidRPr="00D74D9D" w:rsidRDefault="00D74D9D" w:rsidP="00CD2DB6">
      <w:pPr>
        <w:jc w:val="both"/>
        <w:rPr>
          <w:b/>
          <w:lang w:val="fr-FR"/>
        </w:rPr>
      </w:pPr>
      <w:r>
        <w:rPr>
          <w:b/>
          <w:lang w:val="fr-FR"/>
        </w:rPr>
        <w:t xml:space="preserve">A) </w:t>
      </w:r>
      <w:r w:rsidRPr="00D74D9D">
        <w:rPr>
          <w:b/>
          <w:lang w:val="fr-FR"/>
        </w:rPr>
        <w:t>La Genèse de la notion de travailleur en droit européen : l’arrêt Lawrie-Blum.</w:t>
      </w:r>
    </w:p>
    <w:p w:rsidR="00EC4A6D" w:rsidRPr="00D31B45" w:rsidRDefault="00D74D9D" w:rsidP="00CD2DB6">
      <w:pPr>
        <w:jc w:val="both"/>
        <w:rPr>
          <w:color w:val="FF0000"/>
          <w:lang w:val="fr-FR"/>
        </w:rPr>
      </w:pPr>
      <w:r>
        <w:rPr>
          <w:lang w:val="fr-FR"/>
        </w:rPr>
        <w:t>Avant de commencer notre étude nous devons rappeler les origines de la notion de travailleur en droit européen. La Cour a défini la notion de travailleur dans un arrêt Lawrie-Blum rendu dans le domaine de la libre circulation des travailleurs</w:t>
      </w:r>
      <w:r w:rsidR="00CD2DB6">
        <w:rPr>
          <w:lang w:val="fr-FR"/>
        </w:rPr>
        <w:t xml:space="preserve">, prévue à l’article 45 du Traité sur le fonctionnement de l’Union </w:t>
      </w:r>
      <w:r w:rsidR="00CD2DB6">
        <w:rPr>
          <w:lang w:val="fr-FR"/>
        </w:rPr>
        <w:lastRenderedPageBreak/>
        <w:t>européenne (T.F.U.E.)</w:t>
      </w:r>
      <w:r>
        <w:rPr>
          <w:lang w:val="fr-FR"/>
        </w:rPr>
        <w:t xml:space="preserve">.  </w:t>
      </w:r>
      <w:r w:rsidR="003B7B86">
        <w:rPr>
          <w:lang w:val="fr-FR"/>
        </w:rPr>
        <w:t xml:space="preserve">Cet arrêt concernait une ressortissante britannique souhaitant exercer une activité d’enseignante stagiaire en Allemagne mais se voyant refuser l’accès au territoire car les autorités allemandes considéraient qu’une enseignante stagiaire n’était pas une travailleuse pouvant bénéficier de la liberté de circulation. </w:t>
      </w:r>
      <w:r w:rsidR="005C564D">
        <w:rPr>
          <w:lang w:val="fr-FR"/>
        </w:rPr>
        <w:t xml:space="preserve">La Cour confirmera qu’une enseignante stagiaire répond à la définition du travailleur dans le domaine de la libre circulation des travailleurs. </w:t>
      </w:r>
      <w:r>
        <w:rPr>
          <w:lang w:val="fr-FR"/>
        </w:rPr>
        <w:t xml:space="preserve">Pour la Cour, la caractéristique essentielle de la relation de travail </w:t>
      </w:r>
      <w:r w:rsidR="00CD2DB6">
        <w:rPr>
          <w:lang w:val="fr-FR"/>
        </w:rPr>
        <w:t xml:space="preserve">est « la circonstance qu’une personne accomplit pendant un certain temps, en faveur d’une autre est sous la direction de celle-ci, des prestations en contrepartie desquelles elle perçoit une rémunération ». Cette définition, </w:t>
      </w:r>
      <w:r w:rsidR="00D31B45">
        <w:rPr>
          <w:lang w:val="fr-FR"/>
        </w:rPr>
        <w:t>qui ne permet pas de conclure à</w:t>
      </w:r>
      <w:r w:rsidR="00CD2DB6">
        <w:rPr>
          <w:lang w:val="fr-FR"/>
        </w:rPr>
        <w:t xml:space="preserve"> la possibilité d’u</w:t>
      </w:r>
      <w:r w:rsidR="00F557D6">
        <w:rPr>
          <w:lang w:val="fr-FR"/>
        </w:rPr>
        <w:t>ne tierce catégorie, a été</w:t>
      </w:r>
      <w:r w:rsidR="00CD2DB6">
        <w:rPr>
          <w:lang w:val="fr-FR"/>
        </w:rPr>
        <w:t xml:space="preserve"> étendue </w:t>
      </w:r>
      <w:r w:rsidR="00F557D6">
        <w:rPr>
          <w:lang w:val="fr-FR"/>
        </w:rPr>
        <w:t xml:space="preserve">par la Cour </w:t>
      </w:r>
      <w:r w:rsidR="00CD2DB6">
        <w:rPr>
          <w:lang w:val="fr-FR"/>
        </w:rPr>
        <w:t xml:space="preserve">aux autres domaines du droit de l’Union, en droit des directives de protection sociale par exemple, mais également à la libre prestation des services et à la liberté d’établissement, ainsi qu’au droit de la concurrence. </w:t>
      </w:r>
    </w:p>
    <w:p w:rsidR="00CD2DB6" w:rsidRDefault="00CD2DB6" w:rsidP="00CD2DB6">
      <w:pPr>
        <w:jc w:val="both"/>
        <w:rPr>
          <w:b/>
          <w:lang w:val="fr-FR"/>
        </w:rPr>
      </w:pPr>
      <w:r w:rsidRPr="00CD2DB6">
        <w:rPr>
          <w:b/>
          <w:lang w:val="fr-FR"/>
        </w:rPr>
        <w:t>B) La libre prestation des services et la liberté d’établissement.</w:t>
      </w:r>
    </w:p>
    <w:p w:rsidR="00BE2787" w:rsidRDefault="00BE2787" w:rsidP="00CD2DB6">
      <w:pPr>
        <w:jc w:val="both"/>
        <w:rPr>
          <w:lang w:val="fr-FR"/>
        </w:rPr>
      </w:pPr>
      <w:r>
        <w:rPr>
          <w:lang w:val="fr-FR"/>
        </w:rPr>
        <w:t>Commençons notre analyse par la jurisprudence rendue en matière de libre prestation des services (article 56 du T.F.U.E.) et de liberté d’établissement (article 49 du T.F.U.E.)</w:t>
      </w:r>
      <w:r w:rsidR="00765F6D">
        <w:rPr>
          <w:lang w:val="fr-FR"/>
        </w:rPr>
        <w:t>, libertés que la Cour envisage ensemble la plupart du temps</w:t>
      </w:r>
      <w:r>
        <w:rPr>
          <w:lang w:val="fr-FR"/>
        </w:rPr>
        <w:t xml:space="preserve">. </w:t>
      </w:r>
      <w:r w:rsidR="00344349">
        <w:rPr>
          <w:lang w:val="fr-FR"/>
        </w:rPr>
        <w:t>La Cour reprend souvent sa définition issue de l’arrêt Lawrie-Blum et une division binaire indépendant/salarié basée sur la subordination juridique (exemples : arrêts EEAE, Anodiki Services EPE, De Clercq…). Il existe toutefois des arrêts qui offrent un point de vue différent. À certains égards, ces arrêts pourraient s’avérer compatibles avec l’introduction d’une tierce catégorie.</w:t>
      </w:r>
    </w:p>
    <w:p w:rsidR="00344349" w:rsidRPr="00D31B45" w:rsidRDefault="00344349" w:rsidP="00CD2DB6">
      <w:pPr>
        <w:jc w:val="both"/>
        <w:rPr>
          <w:color w:val="FF0000"/>
          <w:lang w:val="fr-FR"/>
        </w:rPr>
      </w:pPr>
      <w:r>
        <w:rPr>
          <w:lang w:val="fr-FR"/>
        </w:rPr>
        <w:t>Nous commencerons par nous intéresser à l’arrêt Jany</w:t>
      </w:r>
      <w:r w:rsidR="00AD2158">
        <w:rPr>
          <w:lang w:val="fr-FR"/>
        </w:rPr>
        <w:t>, rendu en 2001</w:t>
      </w:r>
      <w:r>
        <w:rPr>
          <w:lang w:val="fr-FR"/>
        </w:rPr>
        <w:t>. Celui-ci concerne des ressortissantes tchèques et polonaises souhaitant s’établir aux Pays-Bas afin d’y exercer des activités de prostitution.</w:t>
      </w:r>
      <w:r w:rsidR="00A95C29">
        <w:rPr>
          <w:lang w:val="fr-FR"/>
        </w:rPr>
        <w:t xml:space="preserve"> La République tchèque et la Pologne n’étaient pas encore membres de l’Union, mais avaient conclu des accords avec celle-ci. Les ressortissants de ces États se voyaient reconnaître le droit à la liberté d’établissement et à la libre prestation de services mais pas le droit à la libre circulation des travailleurs. Selon les intéressées, leurs activités étaient indépendantes et elles pouvaient donc invoquer la liberté d’établissement.</w:t>
      </w:r>
      <w:r>
        <w:rPr>
          <w:lang w:val="fr-FR"/>
        </w:rPr>
        <w:t xml:space="preserve"> Les autorités néerlandaises refusèrent en argumentant qu’il était impossible de vérifier que les activités avaient réellement un caractère indépendant et qu’en général, les prostituées travaillent sous l’autorité d’un proxénète.</w:t>
      </w:r>
      <w:r w:rsidR="00D31B45">
        <w:rPr>
          <w:lang w:val="fr-FR"/>
        </w:rPr>
        <w:t xml:space="preserve"> </w:t>
      </w:r>
    </w:p>
    <w:p w:rsidR="00344349" w:rsidRDefault="00344349" w:rsidP="00CD2DB6">
      <w:pPr>
        <w:jc w:val="both"/>
      </w:pPr>
      <w:r>
        <w:rPr>
          <w:lang w:val="fr-FR"/>
        </w:rPr>
        <w:t xml:space="preserve">Pour la Cour, </w:t>
      </w:r>
      <w:r w:rsidR="00E10D14">
        <w:rPr>
          <w:lang w:val="fr-FR"/>
        </w:rPr>
        <w:t>le parti pris des Pays-Bas</w:t>
      </w:r>
      <w:r>
        <w:rPr>
          <w:lang w:val="fr-FR"/>
        </w:rPr>
        <w:t xml:space="preserve"> </w:t>
      </w:r>
      <w:r w:rsidR="00E10D14">
        <w:rPr>
          <w:lang w:val="fr-FR"/>
        </w:rPr>
        <w:t xml:space="preserve">– les prostituées sont soumises à un proxénète donc sont des salariées, au moins des salariés déguisées – </w:t>
      </w:r>
      <w:r>
        <w:rPr>
          <w:lang w:val="fr-FR"/>
        </w:rPr>
        <w:t>revient à exclure automatiquement l’activité de la liberté d’établissement</w:t>
      </w:r>
      <w:r w:rsidR="00E10D14">
        <w:rPr>
          <w:lang w:val="fr-FR"/>
        </w:rPr>
        <w:t xml:space="preserve"> car</w:t>
      </w:r>
      <w:r w:rsidR="00E10D14">
        <w:rPr>
          <w:color w:val="000000" w:themeColor="text1"/>
          <w:lang w:val="fr-FR"/>
        </w:rPr>
        <w:t xml:space="preserve"> il est</w:t>
      </w:r>
      <w:r w:rsidR="00A95C29">
        <w:rPr>
          <w:color w:val="000000" w:themeColor="text1"/>
          <w:lang w:val="fr-FR"/>
        </w:rPr>
        <w:t xml:space="preserve"> constant que l’activité de prostitution peut s’exercer en dehors de tout proxénétisme</w:t>
      </w:r>
      <w:r w:rsidR="00A95C29" w:rsidRPr="000339C1">
        <w:rPr>
          <w:color w:val="000000" w:themeColor="text1"/>
          <w:lang w:val="fr-FR"/>
        </w:rPr>
        <w:t xml:space="preserve">. </w:t>
      </w:r>
      <w:r w:rsidR="000339C1" w:rsidRPr="000339C1">
        <w:rPr>
          <w:lang w:val="fr-FR"/>
        </w:rPr>
        <w:t xml:space="preserve">Il </w:t>
      </w:r>
      <w:r w:rsidR="00A95C29" w:rsidRPr="000339C1">
        <w:rPr>
          <w:rStyle w:val="Accentuation"/>
          <w:i w:val="0"/>
        </w:rPr>
        <w:t>incombe</w:t>
      </w:r>
      <w:r w:rsidR="000339C1" w:rsidRPr="000339C1">
        <w:rPr>
          <w:rStyle w:val="Accentuation"/>
          <w:i w:val="0"/>
        </w:rPr>
        <w:t xml:space="preserve"> au juge national</w:t>
      </w:r>
      <w:r w:rsidR="00A95C29" w:rsidRPr="000339C1">
        <w:rPr>
          <w:rStyle w:val="Accentuation"/>
          <w:i w:val="0"/>
        </w:rPr>
        <w:t xml:space="preserve"> de vérifier dans chaque cas, au vu des éléments de preuve qui lui sont fournis, si les conditions qui permettent de considérer que la prostitution est exercée à titre indépendant</w:t>
      </w:r>
      <w:r w:rsidR="005C564D" w:rsidRPr="005C564D">
        <w:rPr>
          <w:rStyle w:val="Accentuation"/>
          <w:i w:val="0"/>
        </w:rPr>
        <w:t xml:space="preserve"> </w:t>
      </w:r>
      <w:r w:rsidR="005C564D" w:rsidRPr="000339C1">
        <w:rPr>
          <w:rStyle w:val="Accentuation"/>
          <w:i w:val="0"/>
        </w:rPr>
        <w:t>sont remplies</w:t>
      </w:r>
      <w:r w:rsidR="000339C1">
        <w:rPr>
          <w:rStyle w:val="Accentuation"/>
          <w:i w:val="0"/>
        </w:rPr>
        <w:t>. Ces conditions sont l’absence</w:t>
      </w:r>
      <w:r>
        <w:rPr>
          <w:lang w:val="fr-FR"/>
        </w:rPr>
        <w:t xml:space="preserve"> d’un l</w:t>
      </w:r>
      <w:r w:rsidR="000339C1">
        <w:rPr>
          <w:lang w:val="fr-FR"/>
        </w:rPr>
        <w:t>ien de subordination, le</w:t>
      </w:r>
      <w:r>
        <w:rPr>
          <w:lang w:val="fr-FR"/>
        </w:rPr>
        <w:t xml:space="preserve"> fait que la prostitué</w:t>
      </w:r>
      <w:r w:rsidR="00D31B45">
        <w:rPr>
          <w:lang w:val="fr-FR"/>
        </w:rPr>
        <w:t>e agit</w:t>
      </w:r>
      <w:r>
        <w:rPr>
          <w:lang w:val="fr-FR"/>
        </w:rPr>
        <w:t xml:space="preserve"> sous sa propre responsabilité, et enfin le fait que la rémunération </w:t>
      </w:r>
      <w:r w:rsidR="00E10D14">
        <w:rPr>
          <w:lang w:val="fr-FR"/>
        </w:rPr>
        <w:t>lui est</w:t>
      </w:r>
      <w:r>
        <w:rPr>
          <w:lang w:val="fr-FR"/>
        </w:rPr>
        <w:t xml:space="preserve"> directement et intégralement </w:t>
      </w:r>
      <w:r w:rsidR="00D31B45">
        <w:rPr>
          <w:lang w:val="fr-FR"/>
        </w:rPr>
        <w:t>versée</w:t>
      </w:r>
      <w:r>
        <w:rPr>
          <w:lang w:val="fr-FR"/>
        </w:rPr>
        <w:t>. Ces trois éléments do</w:t>
      </w:r>
      <w:r w:rsidR="00AD2158">
        <w:rPr>
          <w:lang w:val="fr-FR"/>
        </w:rPr>
        <w:t>ivent être appréciés de façon cumulative</w:t>
      </w:r>
      <w:r w:rsidRPr="00344349">
        <w:t xml:space="preserve">, et s’ils ne sont pas réunis, il ne peut être question de travail indépendant. Sommes-nous alors en présence d’un contrat de travail ? La Cour ne répond pas à cette question. Cela signifie-t-il qu’il </w:t>
      </w:r>
      <w:r>
        <w:t>y a de la place pour une tierce catégorie entre travail salari</w:t>
      </w:r>
      <w:r w:rsidR="00765F6D">
        <w:t>é et travail indépendant ? En se limitant au seul</w:t>
      </w:r>
      <w:r>
        <w:t xml:space="preserve"> l’arrêt Jany, ce serait aller trop vite en besogne. En effet, la Cour oppose tout au long du texte de la décision travail salarié et indépendant sans jamais se départir de cette opposition. Il est donc improbable qu’elle </w:t>
      </w:r>
      <w:r w:rsidR="00AD2158">
        <w:t>ait abandonné</w:t>
      </w:r>
      <w:r>
        <w:t xml:space="preserve"> cette vision des choses dans le dispositif de l’arrêt, même si elle n’y mentionne pas le travail salarié. Toutefois, l’arrêt se démarque de Lawrie-Blum en ce qu’il introduit des critères supplémentaires</w:t>
      </w:r>
      <w:r w:rsidR="000339C1">
        <w:t xml:space="preserve"> aux côtés de l’existence d’un lien de subordination.</w:t>
      </w:r>
      <w:r>
        <w:t xml:space="preserve"> </w:t>
      </w:r>
      <w:r w:rsidR="000339C1">
        <w:t xml:space="preserve">L’un de ces critères, celui du versement de la rémunération, se rattache à la dépendance économique, qui ne peut pas être confondue avec la subordination juridique. Selon la Cour, pour déterminer si une prostituée exerce ses </w:t>
      </w:r>
      <w:r w:rsidR="000339C1">
        <w:lastRenderedPageBreak/>
        <w:t>activités de façon indépendante, il faut donc vérifier non seulement l’absence de subordination juridique, mais aussi l’absence de dépendance économique, les deux critères étant cumulatifs.</w:t>
      </w:r>
    </w:p>
    <w:p w:rsidR="00344349" w:rsidRDefault="00344349" w:rsidP="00CD2DB6">
      <w:pPr>
        <w:jc w:val="both"/>
      </w:pPr>
      <w:r>
        <w:t>Le second arrêt que nous allons analyser dans le cadre de la libre prestation des services et de la liberté d’établissement est l’arrêt Zako</w:t>
      </w:r>
      <w:r w:rsidR="00AD2158">
        <w:t>, rendu en 2018</w:t>
      </w:r>
      <w:r>
        <w:t xml:space="preserve">. Cet arrêt porte sur la notion d’agent commercial indépendant, et de ce qui la différentie de la notion de représentant de commerce. La Cour se penche sur la question de l’autonomie dont jouit le travailleur. Une des caractéristiques principales de l’agent commercial est l’indépendance avec laquelle il exerce ses activités. </w:t>
      </w:r>
      <w:r w:rsidR="00765F6D">
        <w:t>Selon la Cour, c</w:t>
      </w:r>
      <w:r w:rsidR="00F3632C">
        <w:t xml:space="preserve">ette indépendance peut être </w:t>
      </w:r>
      <w:r w:rsidR="00AD2158">
        <w:t>re</w:t>
      </w:r>
      <w:r w:rsidR="00F3632C">
        <w:t>mise en question par l’existence d’un lien de subordination, mais également par les modalités d’exercice des tâches qui sont confiées au travailleur. Peuvent ainsi être pris en considération la proximité existant entre les parties, le fait que le prestataire de services travaille e</w:t>
      </w:r>
      <w:r w:rsidR="00AD2158">
        <w:t xml:space="preserve">n permanence dans les locaux de son </w:t>
      </w:r>
      <w:r w:rsidR="00F3632C">
        <w:t>cocontractant ainsi que les avantages dont bénéficie le prestataire, comme le fait d’avoir sa propre ligne téléphonique ou</w:t>
      </w:r>
      <w:r w:rsidR="001E1462">
        <w:t xml:space="preserve"> sa propre boîte mail au sein de l’entreprise du cocontractant</w:t>
      </w:r>
      <w:r w:rsidR="00F3632C">
        <w:t>. La Cour juge que ces éléments peuvent créer une situation de dépendance qui est incompatible avec l’indépendance de l’agent commercial. Les coûts de l’agent sont en effet réduits et en conséquence le risque économique qu’il supporte. Ici non plus, la Cour ne se prononce pas sur la façon dont la relation doit être requalifiée si le juge national décide qu’il n’est pas en présence d’un agent commercial indépendant. Petite nuance par rapport à l’arrêt Jany, la Cour ne mentionne jamais la notion de contrat de travail. On peut donc se risquer à avancer que la relation ne doit pas nécessairement être requalifiée en contrat de travail.</w:t>
      </w:r>
    </w:p>
    <w:p w:rsidR="00BF5773" w:rsidRDefault="00BF5773" w:rsidP="00CD2DB6">
      <w:pPr>
        <w:jc w:val="both"/>
      </w:pPr>
      <w:r>
        <w:t xml:space="preserve">Que retenir de la partie de l’exposé consacrée à la libre prestation des services et à la liberté d’établissement ? Il y a dans ce domaine de timides indices qu’une tierce catégorie est envisageable en droit européen. Il faut prendre ces indices avec des pincettes. Nous n’avons trouvé aucun auteur soutenant ce point de vue, même parmi les ressortissants d’États membres de l’Union qui connaissent une tierce catégorie en droit interne. Nous allons maintenant passer à la partie de l’exposé consacrée au droit de la concurrence. Nous verrons que les indices en faveur de l’existence d’une tierce catégorie de travailleurs y sont plus solides. </w:t>
      </w:r>
    </w:p>
    <w:p w:rsidR="00BF5773" w:rsidRDefault="00BF5773" w:rsidP="00CD2DB6">
      <w:pPr>
        <w:jc w:val="both"/>
        <w:rPr>
          <w:b/>
        </w:rPr>
      </w:pPr>
      <w:r w:rsidRPr="00BF5773">
        <w:rPr>
          <w:b/>
        </w:rPr>
        <w:t xml:space="preserve">C) Le droit européen de la concurrence. </w:t>
      </w:r>
    </w:p>
    <w:p w:rsidR="000339C1" w:rsidRDefault="00C93764" w:rsidP="00CD2DB6">
      <w:pPr>
        <w:jc w:val="both"/>
        <w:rPr>
          <w:color w:val="FF0000"/>
        </w:rPr>
      </w:pPr>
      <w:r>
        <w:t>L’arrêt le plus important pour notre étude dans le domaine du droit européen de la concurrence (articles 101 et suivants du T.F.U.E.) est sans conteste l’arrêt FNV Kunsten</w:t>
      </w:r>
      <w:r w:rsidR="00AD2158">
        <w:t>, rendu en 2014</w:t>
      </w:r>
      <w:r>
        <w:t>. La Cour a été amenée à se prononcer sur la validité d’une convention collective conclue entre syndica</w:t>
      </w:r>
      <w:r w:rsidR="00F145C0">
        <w:t>ts et employeurs dans le secteur</w:t>
      </w:r>
      <w:r>
        <w:t xml:space="preserve"> des orchestres.</w:t>
      </w:r>
      <w:r w:rsidR="00552F71">
        <w:t xml:space="preserve"> Les employeurs s’engageaient à respecter un tarif minimum de rémunération lorsqu’ils faisaient appel à des remplaçants, sans distinguer selon que ces remplaçants éta</w:t>
      </w:r>
      <w:r w:rsidR="001E1462">
        <w:t xml:space="preserve">ient indépendants ou salariés. </w:t>
      </w:r>
    </w:p>
    <w:p w:rsidR="000339C1" w:rsidRPr="000339C1" w:rsidRDefault="000339C1" w:rsidP="00CD2DB6">
      <w:pPr>
        <w:jc w:val="both"/>
        <w:rPr>
          <w:color w:val="000000" w:themeColor="text1"/>
        </w:rPr>
      </w:pPr>
      <w:r>
        <w:rPr>
          <w:color w:val="000000" w:themeColor="text1"/>
        </w:rPr>
        <w:t>La Cour de justice avait établi dans un arrêt Albany que les conventions collectives de travail conclues entre des syndicats et des organisations représentatives des employeurs ne sont pas des ententes entre entreprises</w:t>
      </w:r>
      <w:r w:rsidR="001E1462">
        <w:rPr>
          <w:color w:val="000000" w:themeColor="text1"/>
        </w:rPr>
        <w:t xml:space="preserve"> prohibées en droit de la concurrence</w:t>
      </w:r>
      <w:r>
        <w:rPr>
          <w:color w:val="000000" w:themeColor="text1"/>
        </w:rPr>
        <w:t xml:space="preserve"> et échappent à l’application de l’</w:t>
      </w:r>
      <w:r w:rsidR="001E1462">
        <w:rPr>
          <w:color w:val="000000" w:themeColor="text1"/>
        </w:rPr>
        <w:t xml:space="preserve">article 101. Toutefois, selon l’autorité néerlandaise de la concurrence, l’accord </w:t>
      </w:r>
      <w:r w:rsidR="005C564D">
        <w:rPr>
          <w:color w:val="000000" w:themeColor="text1"/>
        </w:rPr>
        <w:t>dont il était</w:t>
      </w:r>
      <w:r w:rsidR="001E1462">
        <w:rPr>
          <w:color w:val="000000" w:themeColor="text1"/>
        </w:rPr>
        <w:t xml:space="preserve"> ici question visant non seulement les musiciens salariés, mais aussi leurs remplaçants indépendants, il ne pouvait être considéré comme une convention collective de travail bénéficiant de l’exception Albany. L’accord était donc susceptible de constituer une entente entre entreprises prohibée.</w:t>
      </w:r>
    </w:p>
    <w:p w:rsidR="006C1D94" w:rsidRDefault="006C1D94" w:rsidP="00CD2DB6">
      <w:pPr>
        <w:jc w:val="both"/>
      </w:pPr>
      <w:r>
        <w:t>La Cour estime que les</w:t>
      </w:r>
      <w:r w:rsidR="002D3530">
        <w:t xml:space="preserve"> musiciens</w:t>
      </w:r>
      <w:r>
        <w:t xml:space="preserve"> remplaçants doivent être considérés comme des entreprises soumises au droit européen de la concurrence pour autant qu’ils se comportent comme des opérateurs indépendants sur le marché. Cependant, il est possible de considérer que l’accord conclu constitue une convention collective de travail dans l’hypothèse où les musiciens remplaçants sont en réalité de « faux indépendants ».</w:t>
      </w:r>
      <w:r w:rsidR="00AF49A6">
        <w:t xml:space="preserve"> La Cour juge qu’un opérateur économique peut perdre sa qualité </w:t>
      </w:r>
      <w:r w:rsidR="00AF49A6">
        <w:lastRenderedPageBreak/>
        <w:t xml:space="preserve">d’indépendant non seulement en </w:t>
      </w:r>
      <w:r w:rsidR="003459EA">
        <w:t>présence</w:t>
      </w:r>
      <w:bookmarkStart w:id="0" w:name="_GoBack"/>
      <w:bookmarkEnd w:id="0"/>
      <w:r w:rsidR="00AF49A6">
        <w:t xml:space="preserve"> d’un lien de subordination, mais également lorsque celui-ci ne détermine pas son comportement sur le marché de façon autonome</w:t>
      </w:r>
      <w:r w:rsidR="00AD2158">
        <w:t>, car il</w:t>
      </w:r>
      <w:r w:rsidR="00AF49A6">
        <w:t xml:space="preserve"> est complètement dépendant de son cocontractant. Il en est de même si le prestataire ne supporte aucun risqu</w:t>
      </w:r>
      <w:r w:rsidR="005C564D">
        <w:t>e économique ou commercial et s</w:t>
      </w:r>
      <w:r w:rsidR="00AF49A6">
        <w:t>’il est complètement intégré dans l’entreprise de son cocontractant.</w:t>
      </w:r>
    </w:p>
    <w:p w:rsidR="00AD2158" w:rsidRDefault="00AF49A6" w:rsidP="00CD2DB6">
      <w:pPr>
        <w:jc w:val="both"/>
      </w:pPr>
      <w:r>
        <w:t>Un prestataire peut donc être considéré comme un « faux indépendant » lorsqu’il se trouve dans une situation de subordination juridique, mais également en situation de dépendance économique ou d’intégration à l’entreprise de son cocontractant.</w:t>
      </w:r>
    </w:p>
    <w:p w:rsidR="00AF49A6" w:rsidRDefault="00AF49A6" w:rsidP="00CD2DB6">
      <w:pPr>
        <w:jc w:val="both"/>
      </w:pPr>
      <w:r>
        <w:t xml:space="preserve"> Il faut prendre garde à ne pas confondre les concepts utilisés par la Cour de justice de l’Union européenne avec les concepts belges. Du point de vue belge, un faux indépendant est nécessairement un travailleur salarié. Le point de vue de la Cour de justice est plus nuancé. Celle-ci considère que les « faux indépendants » sont dans une situation </w:t>
      </w:r>
      <w:r w:rsidRPr="00AF49A6">
        <w:rPr>
          <w:i/>
        </w:rPr>
        <w:t>comparable</w:t>
      </w:r>
      <w:r>
        <w:t xml:space="preserve"> à celle des travailleurs salariés. La différence est de taille. Comparable ne signifie pas que l’on se trouve dans la même situation. </w:t>
      </w:r>
    </w:p>
    <w:p w:rsidR="00AF49A6" w:rsidRDefault="00AF49A6" w:rsidP="00CD2DB6">
      <w:pPr>
        <w:jc w:val="both"/>
      </w:pPr>
      <w:r w:rsidRPr="00AF49A6">
        <w:t>L</w:t>
      </w:r>
      <w:r>
        <w:t xml:space="preserve">a Cour laisse-t-elle la porte ouverte à l’introduction d’une tierce catégorie dans l’arrêt FNV Kunsten ? La doctrine semble partagée sur la question. Certains auteurs rejettent cette hypothèse, tandis que d’autres acceptent de l’envisager en soulignant toutefois le fait que la Cour n’est pas claire sur le sujet. Nous nous rangeons à ce second point de vue, qui n’écarte pas les ambigüités du raisonnement de la Cour tout en adoptant une position prudente. </w:t>
      </w:r>
    </w:p>
    <w:p w:rsidR="00AF49A6" w:rsidRDefault="00AF49A6" w:rsidP="00CD2DB6">
      <w:pPr>
        <w:jc w:val="both"/>
        <w:rPr>
          <w:b/>
        </w:rPr>
      </w:pPr>
      <w:r w:rsidRPr="00AF49A6">
        <w:rPr>
          <w:b/>
        </w:rPr>
        <w:t>Conclusions.</w:t>
      </w:r>
    </w:p>
    <w:p w:rsidR="00AF49A6" w:rsidRPr="00AF49A6" w:rsidRDefault="00AF49A6" w:rsidP="00CD2DB6">
      <w:pPr>
        <w:jc w:val="both"/>
      </w:pPr>
      <w:r>
        <w:t>L’analyse de la jurisprudence de la Cour de justice de l’Union européenne que nous venons de m</w:t>
      </w:r>
      <w:r w:rsidR="002D3530">
        <w:t>ener montre une image</w:t>
      </w:r>
      <w:r w:rsidR="001E1462">
        <w:t xml:space="preserve"> trouble</w:t>
      </w:r>
      <w:r>
        <w:t>. D’un côté, la Cour ne se prononce jamais de façon explicite sur l’existence d’une catégorie intermédiaire entre salariés et indépendants en droit eu</w:t>
      </w:r>
      <w:r w:rsidR="00AD2158">
        <w:t>ropéen. Le fait que les trois</w:t>
      </w:r>
      <w:r>
        <w:t xml:space="preserve"> arrêts que nous avons étudiés se démarquent de la définition traditionnelle du travailleur utilisée dans l’arrêt Lawrie-Blum ne signifie pas nécessairement que la division binaire salarié/indépendant a été abandonnée. La Cour a jugé</w:t>
      </w:r>
      <w:r w:rsidR="00271ACF">
        <w:t xml:space="preserve"> dans son arrêt Martinez Sala</w:t>
      </w:r>
      <w:r>
        <w:t xml:space="preserve"> </w:t>
      </w:r>
      <w:r w:rsidR="00E10D14">
        <w:t xml:space="preserve">(1998) </w:t>
      </w:r>
      <w:r>
        <w:t>que le concept de travailleur pouvait différer en fonction du domaine du droit de l’Union dans lequel il doit être appliqué. On peut donc envisager que des concepts de travailleur sp</w:t>
      </w:r>
      <w:r w:rsidR="00765F6D">
        <w:t>écifique</w:t>
      </w:r>
      <w:r w:rsidR="005C564D">
        <w:t>s</w:t>
      </w:r>
      <w:r w:rsidR="00765F6D">
        <w:t xml:space="preserve"> à certains domaines du droit de l’Union émergent, pour lesquel</w:t>
      </w:r>
      <w:r>
        <w:t>s les critères de la dépendance économique et/ou de l’intégration du travailleur à l’organisation de son cocontractant joueraient un rôle déterminant, tandis que dans le cadre de la libre circulation des travailleurs, seul vaut le critère de subordination juridique</w:t>
      </w:r>
      <w:r w:rsidR="00765F6D">
        <w:t>.</w:t>
      </w:r>
    </w:p>
    <w:p w:rsidR="00AF49A6" w:rsidRDefault="00AF49A6" w:rsidP="00AF49A6">
      <w:pPr>
        <w:pStyle w:val="Paragraphedeliste"/>
        <w:ind w:left="0"/>
      </w:pPr>
      <w:r>
        <w:t>D’un autre côté, nous pouvons remarquer que la Cour a eu une forte tendance à généraliser sa définition du travailleur élaborée dans le contexte de la libre circulation des travailleurs à d’autres branches du droit européen, surtout si la question qui lui est soumise est celle de savoir si l’on est en présence d’un travailleur salarié. Par contre, lorsque la question de départ porte sur le caractère indépendant de la relation, la Cour prend en considération les critères additionnels dont nous venons de discuter. Si nous tent</w:t>
      </w:r>
      <w:r w:rsidR="00765F6D">
        <w:t>i</w:t>
      </w:r>
      <w:r>
        <w:t xml:space="preserve">ons de synthétiser les enseignements de la Cour, nous arriverions aux constats suivants : un travailleur salarié est celui qui se trouve dans un état de subordination juridique. Le travailleur indépendant est celui qui ne se trouve ni dans un état de subordination juridique, ni dans un état de dépendance économique et qui ne se trouve pas intégré à l’organisation de son cocontractant. Un travailleur en état de dépendance économique ou intégré à l’entreprise de son cocontractant sans qu’il n’y ait de subordination juridique n’est donc ni un salarié, ni un indépendant.  Ce qui implique l’existence, du moins dans les domaines du droit de l’Union concernés par ces arrêts, d’une tierce catégorie. </w:t>
      </w:r>
    </w:p>
    <w:p w:rsidR="009A7C1A" w:rsidRDefault="009A7C1A" w:rsidP="00AF49A6">
      <w:pPr>
        <w:pStyle w:val="Paragraphedeliste"/>
        <w:ind w:left="0"/>
      </w:pPr>
    </w:p>
    <w:p w:rsidR="009A7C1A" w:rsidRPr="00AF49A6" w:rsidRDefault="009A7C1A" w:rsidP="00AF49A6">
      <w:pPr>
        <w:pStyle w:val="Paragraphedeliste"/>
        <w:ind w:left="0"/>
      </w:pPr>
      <w:r>
        <w:t xml:space="preserve">Est-il possible de trouver une explication au mode de raisonnement de la Cour ? Il s’agit d’une hypothèse purement personnelle, mais je me demande si nous ne devrions pas regarder du côté de la </w:t>
      </w:r>
      <w:r>
        <w:lastRenderedPageBreak/>
        <w:t xml:space="preserve">composition de la Cour. Chaque État membre désigne un juge ; la Cour représente donc toute la diversité des traditions juridiques qui existent en Europe. Ceci inclut les ordres juridiques étatiques où une tierce catégorie de travailleurs existe. On peut donc imaginer que lorsque les juges européens discutent de la décision à prendre, ils favorisent une terminologie qui soit tout autant compatible avec les systèmes juridiques qui connaissent une division binaire qu’avec ceux qui connaissent une division ternaire. Cette façon de procéder se fait malheureusement au prix de la clarté. </w:t>
      </w:r>
    </w:p>
    <w:p w:rsidR="00AF49A6" w:rsidRPr="00AF49A6" w:rsidRDefault="00AF49A6" w:rsidP="00AF49A6">
      <w:pPr>
        <w:pStyle w:val="Paragraphedeliste"/>
        <w:ind w:left="0"/>
      </w:pPr>
      <w:r w:rsidRPr="00AF49A6">
        <w:tab/>
        <w:t xml:space="preserve"> </w:t>
      </w:r>
    </w:p>
    <w:p w:rsidR="00F0639E" w:rsidRDefault="003272B6" w:rsidP="00AF49A6">
      <w:pPr>
        <w:pStyle w:val="Paragraphedeliste"/>
        <w:ind w:left="0"/>
      </w:pPr>
      <w:r>
        <w:t>Est-ce que la jurisprudence de la Cour de justice de l’Union européenne concernant la libre prestation des services, la liberté d’établissement et le droit de la concurrence peut avoir une influence sur la notion de travailleur telle que nous la connaissons en droit du travail belge ? Jusque maintenant cela n’a pas été le cas. Cela ne signifie toutefois pas qu’une telle influence soi</w:t>
      </w:r>
      <w:r w:rsidR="002D3530">
        <w:t>t inconcevable. Même s’il est</w:t>
      </w:r>
      <w:r>
        <w:t xml:space="preserve"> hardi de parler d’une tierce catégorie en droit de l’Union, le fait que la Cour reconnaisse la dépendance économique et l’intégration du travailleur à l’organisation de son cocontractant comme critères d’exclusion de l’indépendance implique que certains travailleurs qui sont considérés comme des indépendants en droit belge pourraient ne pas l’être au niveau du droit européen. Ceci ouvre des perspectives pour ces personnes, notamment en ce qui concerne l’accès à la négociation collective. En effet, à l’heure actuelle</w:t>
      </w:r>
      <w:r w:rsidR="00513302">
        <w:t>, la doctrine belge considère que ces personnes ne peuvent participer à cette négociation collective en vertu de la jurisprudence européenne, en particulier à cause de l’arrêt FNV Kunsten. Cela ne correspond pas exactement à la position de la Cour</w:t>
      </w:r>
      <w:r w:rsidR="00EE0FEA">
        <w:t>, puisqu’elle autorise les « faux indépendants » (dans le sens particulier que nous avons évoqué) à accéder à la négociation collective</w:t>
      </w:r>
      <w:r w:rsidR="00513302">
        <w:t>.</w:t>
      </w:r>
      <w:r w:rsidR="00765F6D">
        <w:t xml:space="preserve"> </w:t>
      </w:r>
    </w:p>
    <w:p w:rsidR="00EE0FEA" w:rsidRDefault="00EE0FEA" w:rsidP="00AF49A6">
      <w:pPr>
        <w:pStyle w:val="Paragraphedeliste"/>
        <w:ind w:left="0"/>
      </w:pPr>
    </w:p>
    <w:p w:rsidR="00AF49A6" w:rsidRPr="003272B6" w:rsidRDefault="00765F6D" w:rsidP="00AF49A6">
      <w:pPr>
        <w:pStyle w:val="Paragraphedeliste"/>
        <w:ind w:left="0"/>
      </w:pPr>
      <w:r>
        <w:t xml:space="preserve">Remarquons par ailleurs que la </w:t>
      </w:r>
      <w:r w:rsidR="00A92BE5">
        <w:t>Commission</w:t>
      </w:r>
      <w:r w:rsidR="00E70F1D">
        <w:t xml:space="preserve"> européenne</w:t>
      </w:r>
      <w:r w:rsidR="00A92BE5">
        <w:t xml:space="preserve"> a </w:t>
      </w:r>
      <w:r>
        <w:t>dévoilé</w:t>
      </w:r>
      <w:r w:rsidR="00A92BE5">
        <w:t xml:space="preserve"> le 9 décembre dernier</w:t>
      </w:r>
      <w:r>
        <w:t xml:space="preserve"> le texte préparatoire de son projet de ligne directrices </w:t>
      </w:r>
      <w:r w:rsidR="004533D0">
        <w:t>concernant l’application du droit européen de la concurrence aux conventions collectives concernant les conditions de travail des travailleurs indépendants exerçant leurs activit</w:t>
      </w:r>
      <w:r w:rsidR="00A92BE5">
        <w:t>és en solo. Ces lignes directrice</w:t>
      </w:r>
      <w:r w:rsidR="004533D0">
        <w:t xml:space="preserve">s, si elles sont adoptées, auront une valeur de soft law. Elles jouent toutefois un rôle </w:t>
      </w:r>
      <w:r w:rsidR="00F0639E">
        <w:t xml:space="preserve">important </w:t>
      </w:r>
      <w:r w:rsidR="004533D0">
        <w:t xml:space="preserve">en pratique puisque la Commission s’engage à les respecter dans son appréciation des possibles atteintes au droit de la concurrence. </w:t>
      </w:r>
      <w:r w:rsidR="001E1462">
        <w:t>Rappelons que la Commission joue en quelque sorte le rôle du « gendarme » en droit de la concurrence en tant qu’</w:t>
      </w:r>
      <w:r w:rsidR="000B6F2E">
        <w:t>autorité de</w:t>
      </w:r>
      <w:r w:rsidR="001E1462">
        <w:t xml:space="preserve"> concurrence</w:t>
      </w:r>
      <w:r w:rsidR="000B6F2E">
        <w:t xml:space="preserve"> désignée par les traités</w:t>
      </w:r>
      <w:r w:rsidR="001E1462">
        <w:t xml:space="preserve"> au niveau européen. </w:t>
      </w:r>
      <w:r w:rsidR="004533D0">
        <w:t xml:space="preserve">Dans ce texte provisoire, la Commission explique qu’elle considérera qu’échapperont au droit de la concurrence les conventions collectives régissant les relations de travail des travailleurs indépendants économiquement dépendants, des travailleurs indépendants solos travaillant aux côtés de travailleurs salariés (= qui sont intégrés à l’entreprise de leur cocontractant), et aux travailleurs de plateforme. La Commission explique en outre que ces catégories de travailleurs sont dans une </w:t>
      </w:r>
      <w:r w:rsidR="004533D0" w:rsidRPr="00F0639E">
        <w:rPr>
          <w:i/>
        </w:rPr>
        <w:t>situation comparable</w:t>
      </w:r>
      <w:r w:rsidR="004533D0">
        <w:t xml:space="preserve"> à celle des travailleurs salariés en </w:t>
      </w:r>
      <w:r w:rsidR="004533D0" w:rsidRPr="004533D0">
        <w:rPr>
          <w:i/>
        </w:rPr>
        <w:t>prenant en considération les développements de la jurisprudence</w:t>
      </w:r>
      <w:r w:rsidR="004533D0">
        <w:t>. Ce qui nous renforce dans notre idée que la notion de « faux indépendant »</w:t>
      </w:r>
      <w:r w:rsidR="00A92BE5">
        <w:t xml:space="preserve"> </w:t>
      </w:r>
      <w:r w:rsidR="004533D0">
        <w:t>en droit européen n’équivaut pas à celle de « vrai salarié » et que l’on peut raisonnablement parler de l’existence d’une tierce catégorie en</w:t>
      </w:r>
      <w:r w:rsidR="00A92BE5">
        <w:t xml:space="preserve"> droit européen de la concurrence.</w:t>
      </w:r>
    </w:p>
    <w:p w:rsidR="00AF49A6" w:rsidRPr="003272B6" w:rsidRDefault="00AF49A6" w:rsidP="00AF49A6">
      <w:pPr>
        <w:pStyle w:val="Paragraphedeliste"/>
        <w:ind w:left="0"/>
      </w:pPr>
    </w:p>
    <w:p w:rsidR="00AF49A6" w:rsidRPr="000540E2" w:rsidRDefault="000540E2" w:rsidP="00AF49A6">
      <w:pPr>
        <w:pStyle w:val="Paragraphedeliste"/>
        <w:ind w:left="0"/>
      </w:pPr>
      <w:r w:rsidRPr="000540E2">
        <w:t xml:space="preserve">En conclusion, il faudra rester attentif aux évolutions de la jurisprudence de la </w:t>
      </w:r>
      <w:r>
        <w:t>Cour de justice</w:t>
      </w:r>
      <w:r w:rsidR="00A92BE5">
        <w:t xml:space="preserve"> et à l’intervention de la Commission européenne</w:t>
      </w:r>
      <w:r>
        <w:t xml:space="preserve"> dans ces domaines. Certes, les arrêts que nous avons analysés ne sont pas nombreux, mais le fait qu’ils reprennent un raisonnement similaire</w:t>
      </w:r>
      <w:r w:rsidR="00A92BE5">
        <w:t xml:space="preserve"> à plusieurs années d’intervalle</w:t>
      </w:r>
      <w:r w:rsidR="00271ACF">
        <w:t xml:space="preserve"> (de 2001 à 2018)</w:t>
      </w:r>
      <w:r w:rsidR="00A92BE5">
        <w:t>, raisonnement dont la Commission elle-même se fait l’écho,</w:t>
      </w:r>
      <w:r>
        <w:t xml:space="preserve"> en exclut le caractère anecdotique. </w:t>
      </w:r>
    </w:p>
    <w:p w:rsidR="00AF49A6" w:rsidRPr="00F557D6" w:rsidRDefault="00AF49A6" w:rsidP="00CD2DB6">
      <w:pPr>
        <w:jc w:val="both"/>
        <w:rPr>
          <w:b/>
        </w:rPr>
      </w:pPr>
    </w:p>
    <w:sectPr w:rsidR="00AF49A6" w:rsidRPr="00F557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0FE" w:rsidRDefault="00A740FE" w:rsidP="009D1033">
      <w:pPr>
        <w:spacing w:after="0" w:line="240" w:lineRule="auto"/>
      </w:pPr>
      <w:r>
        <w:separator/>
      </w:r>
    </w:p>
  </w:endnote>
  <w:endnote w:type="continuationSeparator" w:id="0">
    <w:p w:rsidR="00A740FE" w:rsidRDefault="00A740FE" w:rsidP="009D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0FE" w:rsidRDefault="00A740FE" w:rsidP="009D1033">
      <w:pPr>
        <w:spacing w:after="0" w:line="240" w:lineRule="auto"/>
      </w:pPr>
      <w:r>
        <w:separator/>
      </w:r>
    </w:p>
  </w:footnote>
  <w:footnote w:type="continuationSeparator" w:id="0">
    <w:p w:rsidR="00A740FE" w:rsidRDefault="00A740FE" w:rsidP="009D10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571E86"/>
    <w:multiLevelType w:val="hybridMultilevel"/>
    <w:tmpl w:val="2E6E878A"/>
    <w:lvl w:ilvl="0" w:tplc="D3A85094">
      <w:start w:val="1"/>
      <w:numFmt w:val="decimal"/>
      <w:lvlText w:val="%1."/>
      <w:lvlJc w:val="left"/>
      <w:pPr>
        <w:ind w:left="720" w:hanging="360"/>
      </w:pPr>
      <w:rPr>
        <w:rFonts w:ascii="Cambria" w:hAnsi="Cambria" w:hint="default"/>
        <w:b/>
        <w:sz w:val="24"/>
        <w:szCs w:val="24"/>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033"/>
    <w:rsid w:val="000339C1"/>
    <w:rsid w:val="00034C51"/>
    <w:rsid w:val="000540E2"/>
    <w:rsid w:val="000B6F2E"/>
    <w:rsid w:val="001C317F"/>
    <w:rsid w:val="001E1462"/>
    <w:rsid w:val="00271ACF"/>
    <w:rsid w:val="002D3530"/>
    <w:rsid w:val="003272B6"/>
    <w:rsid w:val="00344349"/>
    <w:rsid w:val="003459EA"/>
    <w:rsid w:val="0037469D"/>
    <w:rsid w:val="003B7B86"/>
    <w:rsid w:val="0042387F"/>
    <w:rsid w:val="004533D0"/>
    <w:rsid w:val="00513302"/>
    <w:rsid w:val="00552F71"/>
    <w:rsid w:val="005C564D"/>
    <w:rsid w:val="0067749B"/>
    <w:rsid w:val="006C1D94"/>
    <w:rsid w:val="00765F6D"/>
    <w:rsid w:val="007C2159"/>
    <w:rsid w:val="009A7C1A"/>
    <w:rsid w:val="009D1033"/>
    <w:rsid w:val="00A740FE"/>
    <w:rsid w:val="00A92BE5"/>
    <w:rsid w:val="00A95C29"/>
    <w:rsid w:val="00AD2158"/>
    <w:rsid w:val="00AF49A6"/>
    <w:rsid w:val="00B258F3"/>
    <w:rsid w:val="00B92CB7"/>
    <w:rsid w:val="00BC5119"/>
    <w:rsid w:val="00BE2787"/>
    <w:rsid w:val="00BF5773"/>
    <w:rsid w:val="00C60F9A"/>
    <w:rsid w:val="00C93764"/>
    <w:rsid w:val="00C94E07"/>
    <w:rsid w:val="00CD2DB6"/>
    <w:rsid w:val="00CD2E54"/>
    <w:rsid w:val="00D31B45"/>
    <w:rsid w:val="00D74D9D"/>
    <w:rsid w:val="00DA5838"/>
    <w:rsid w:val="00E10D14"/>
    <w:rsid w:val="00E70F1D"/>
    <w:rsid w:val="00EC4A6D"/>
    <w:rsid w:val="00EE0FEA"/>
    <w:rsid w:val="00F0639E"/>
    <w:rsid w:val="00F145C0"/>
    <w:rsid w:val="00F3632C"/>
    <w:rsid w:val="00F51B7F"/>
    <w:rsid w:val="00F557D6"/>
    <w:rsid w:val="00FA538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367F6"/>
  <w15:chartTrackingRefBased/>
  <w15:docId w15:val="{E5C09094-7F0C-49B5-AA38-0E4556164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9D1033"/>
    <w:pPr>
      <w:spacing w:after="0" w:line="240" w:lineRule="auto"/>
      <w:jc w:val="both"/>
    </w:pPr>
    <w:rPr>
      <w:sz w:val="20"/>
      <w:szCs w:val="20"/>
    </w:rPr>
  </w:style>
  <w:style w:type="character" w:customStyle="1" w:styleId="NotedebasdepageCar">
    <w:name w:val="Note de bas de page Car"/>
    <w:basedOn w:val="Policepardfaut"/>
    <w:link w:val="Notedebasdepage"/>
    <w:uiPriority w:val="99"/>
    <w:rsid w:val="009D1033"/>
    <w:rPr>
      <w:sz w:val="20"/>
      <w:szCs w:val="20"/>
    </w:rPr>
  </w:style>
  <w:style w:type="character" w:styleId="Appelnotedebasdep">
    <w:name w:val="footnote reference"/>
    <w:basedOn w:val="Policepardfaut"/>
    <w:uiPriority w:val="99"/>
    <w:unhideWhenUsed/>
    <w:rsid w:val="009D1033"/>
    <w:rPr>
      <w:vertAlign w:val="superscript"/>
    </w:rPr>
  </w:style>
  <w:style w:type="paragraph" w:styleId="Paragraphedeliste">
    <w:name w:val="List Paragraph"/>
    <w:basedOn w:val="Normal"/>
    <w:uiPriority w:val="34"/>
    <w:qFormat/>
    <w:rsid w:val="00F3632C"/>
    <w:pPr>
      <w:ind w:left="720"/>
      <w:contextualSpacing/>
      <w:jc w:val="both"/>
    </w:pPr>
  </w:style>
  <w:style w:type="character" w:styleId="Accentuation">
    <w:name w:val="Emphasis"/>
    <w:basedOn w:val="Policepardfaut"/>
    <w:uiPriority w:val="20"/>
    <w:qFormat/>
    <w:rsid w:val="00A95C29"/>
    <w:rPr>
      <w:i/>
      <w:iCs/>
    </w:rPr>
  </w:style>
  <w:style w:type="paragraph" w:styleId="Textedebulles">
    <w:name w:val="Balloon Text"/>
    <w:basedOn w:val="Normal"/>
    <w:link w:val="TextedebullesCar"/>
    <w:uiPriority w:val="99"/>
    <w:semiHidden/>
    <w:unhideWhenUsed/>
    <w:rsid w:val="00E10D1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10D14"/>
    <w:rPr>
      <w:rFonts w:ascii="Segoe UI" w:hAnsi="Segoe UI" w:cs="Segoe UI"/>
      <w:sz w:val="18"/>
      <w:szCs w:val="18"/>
    </w:rPr>
  </w:style>
  <w:style w:type="character" w:styleId="Marquedecommentaire">
    <w:name w:val="annotation reference"/>
    <w:basedOn w:val="Policepardfaut"/>
    <w:uiPriority w:val="99"/>
    <w:semiHidden/>
    <w:unhideWhenUsed/>
    <w:rsid w:val="00E10D14"/>
    <w:rPr>
      <w:sz w:val="16"/>
      <w:szCs w:val="16"/>
    </w:rPr>
  </w:style>
  <w:style w:type="paragraph" w:styleId="Commentaire">
    <w:name w:val="annotation text"/>
    <w:basedOn w:val="Normal"/>
    <w:link w:val="CommentaireCar"/>
    <w:uiPriority w:val="99"/>
    <w:semiHidden/>
    <w:unhideWhenUsed/>
    <w:rsid w:val="00E10D14"/>
    <w:pPr>
      <w:spacing w:line="240" w:lineRule="auto"/>
    </w:pPr>
    <w:rPr>
      <w:sz w:val="20"/>
      <w:szCs w:val="20"/>
    </w:rPr>
  </w:style>
  <w:style w:type="character" w:customStyle="1" w:styleId="CommentaireCar">
    <w:name w:val="Commentaire Car"/>
    <w:basedOn w:val="Policepardfaut"/>
    <w:link w:val="Commentaire"/>
    <w:uiPriority w:val="99"/>
    <w:semiHidden/>
    <w:rsid w:val="00E10D14"/>
    <w:rPr>
      <w:sz w:val="20"/>
      <w:szCs w:val="20"/>
    </w:rPr>
  </w:style>
  <w:style w:type="paragraph" w:styleId="Objetducommentaire">
    <w:name w:val="annotation subject"/>
    <w:basedOn w:val="Commentaire"/>
    <w:next w:val="Commentaire"/>
    <w:link w:val="ObjetducommentaireCar"/>
    <w:uiPriority w:val="99"/>
    <w:semiHidden/>
    <w:unhideWhenUsed/>
    <w:rsid w:val="00E10D14"/>
    <w:rPr>
      <w:b/>
      <w:bCs/>
    </w:rPr>
  </w:style>
  <w:style w:type="character" w:customStyle="1" w:styleId="ObjetducommentaireCar">
    <w:name w:val="Objet du commentaire Car"/>
    <w:basedOn w:val="CommentaireCar"/>
    <w:link w:val="Objetducommentaire"/>
    <w:uiPriority w:val="99"/>
    <w:semiHidden/>
    <w:rsid w:val="00E10D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D6D1B-7169-4653-BEFF-D2ED484AB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3182</Words>
  <Characters>17506</Characters>
  <Application>Microsoft Office Word</Application>
  <DocSecurity>0</DocSecurity>
  <Lines>145</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Février Vincent</dc:creator>
  <cp:keywords/>
  <dc:description/>
  <cp:lastModifiedBy>Février Vincent</cp:lastModifiedBy>
  <cp:revision>2</cp:revision>
  <dcterms:created xsi:type="dcterms:W3CDTF">2021-12-16T14:46:00Z</dcterms:created>
  <dcterms:modified xsi:type="dcterms:W3CDTF">2021-12-16T14:46:00Z</dcterms:modified>
</cp:coreProperties>
</file>