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5B596" w14:textId="77777777" w:rsidR="009B35CC" w:rsidRDefault="00B36299">
      <w:pPr>
        <w:rPr>
          <w:b/>
          <w:u w:val="single"/>
          <w:lang w:val="fr-FR"/>
        </w:rPr>
      </w:pPr>
      <w:r>
        <w:rPr>
          <w:b/>
          <w:u w:val="single"/>
          <w:lang w:val="fr-FR"/>
        </w:rPr>
        <w:t>Le travail associatif : un régime éphémère ?</w:t>
      </w:r>
      <w:r w:rsidR="00E57584">
        <w:rPr>
          <w:b/>
          <w:u w:val="single"/>
          <w:lang w:val="fr-FR"/>
        </w:rPr>
        <w:t xml:space="preserve"> </w:t>
      </w:r>
    </w:p>
    <w:p w14:paraId="3C643327" w14:textId="77777777" w:rsidR="000842DD" w:rsidRPr="001339DC" w:rsidRDefault="000842DD">
      <w:pPr>
        <w:rPr>
          <w:b/>
          <w:smallCaps/>
          <w:vertAlign w:val="superscript"/>
          <w:lang w:val="fr-FR"/>
        </w:rPr>
      </w:pPr>
      <w:r>
        <w:rPr>
          <w:b/>
          <w:lang w:val="fr-FR"/>
        </w:rPr>
        <w:t xml:space="preserve">Vincent </w:t>
      </w:r>
      <w:r w:rsidRPr="000842DD">
        <w:rPr>
          <w:b/>
          <w:smallCaps/>
          <w:lang w:val="fr-FR"/>
        </w:rPr>
        <w:t>Février</w:t>
      </w:r>
      <w:r w:rsidR="008406A6" w:rsidRPr="001339DC">
        <w:rPr>
          <w:rStyle w:val="Appelnotedebasdep"/>
          <w:b/>
          <w:smallCaps/>
          <w:lang w:val="fr-FR"/>
        </w:rPr>
        <w:footnoteReference w:id="1"/>
      </w:r>
    </w:p>
    <w:p w14:paraId="6B0B3C14" w14:textId="77777777" w:rsidR="000842DD" w:rsidRPr="00900084" w:rsidRDefault="000842DD" w:rsidP="00900084">
      <w:pPr>
        <w:pStyle w:val="Paragraphedeliste"/>
        <w:numPr>
          <w:ilvl w:val="0"/>
          <w:numId w:val="7"/>
        </w:numPr>
        <w:rPr>
          <w:b/>
          <w:lang w:val="fr-FR"/>
        </w:rPr>
      </w:pPr>
      <w:r w:rsidRPr="00900084">
        <w:rPr>
          <w:b/>
          <w:lang w:val="fr-FR"/>
        </w:rPr>
        <w:t>Introduction</w:t>
      </w:r>
    </w:p>
    <w:p w14:paraId="290CAE19" w14:textId="0F577872" w:rsidR="000414F1" w:rsidRDefault="00763C8F" w:rsidP="00DC3C83">
      <w:pPr>
        <w:pStyle w:val="Paragraphedeliste"/>
        <w:numPr>
          <w:ilvl w:val="0"/>
          <w:numId w:val="2"/>
        </w:numPr>
        <w:jc w:val="both"/>
        <w:rPr>
          <w:lang w:val="fr-FR"/>
        </w:rPr>
      </w:pPr>
      <w:r>
        <w:rPr>
          <w:lang w:val="fr-FR"/>
        </w:rPr>
        <w:t xml:space="preserve">Par </w:t>
      </w:r>
      <w:r w:rsidR="00E16E39">
        <w:rPr>
          <w:lang w:val="fr-FR"/>
        </w:rPr>
        <w:t>une</w:t>
      </w:r>
      <w:r>
        <w:rPr>
          <w:lang w:val="fr-FR"/>
        </w:rPr>
        <w:t xml:space="preserve"> loi du </w:t>
      </w:r>
      <w:r w:rsidR="00C4424B">
        <w:rPr>
          <w:lang w:val="fr-FR"/>
        </w:rPr>
        <w:t>18 juillet</w:t>
      </w:r>
      <w:r w:rsidR="007838FF">
        <w:rPr>
          <w:lang w:val="fr-FR"/>
        </w:rPr>
        <w:t xml:space="preserve"> </w:t>
      </w:r>
      <w:r w:rsidR="000414F1">
        <w:rPr>
          <w:lang w:val="fr-FR"/>
        </w:rPr>
        <w:t>2018</w:t>
      </w:r>
      <w:r w:rsidR="00C4424B">
        <w:rPr>
          <w:rStyle w:val="Appelnotedebasdep"/>
          <w:lang w:val="fr-FR"/>
        </w:rPr>
        <w:footnoteReference w:id="2"/>
      </w:r>
      <w:r w:rsidR="000414F1">
        <w:rPr>
          <w:lang w:val="fr-FR"/>
        </w:rPr>
        <w:t>, le législateur</w:t>
      </w:r>
      <w:r w:rsidR="00E16E39">
        <w:rPr>
          <w:lang w:val="fr-FR"/>
        </w:rPr>
        <w:t xml:space="preserve"> a</w:t>
      </w:r>
      <w:r w:rsidR="00637A4F">
        <w:rPr>
          <w:lang w:val="fr-FR"/>
        </w:rPr>
        <w:t>vait</w:t>
      </w:r>
      <w:r w:rsidR="000414F1">
        <w:rPr>
          <w:lang w:val="fr-FR"/>
        </w:rPr>
        <w:t xml:space="preserve"> </w:t>
      </w:r>
      <w:r w:rsidR="00E16E39">
        <w:rPr>
          <w:lang w:val="fr-FR"/>
        </w:rPr>
        <w:t xml:space="preserve">créé </w:t>
      </w:r>
      <w:r w:rsidR="00DC3C83">
        <w:rPr>
          <w:lang w:val="fr-FR"/>
        </w:rPr>
        <w:t>un nouveau type de contrat</w:t>
      </w:r>
      <w:r w:rsidR="00922D12">
        <w:rPr>
          <w:lang w:val="fr-FR"/>
        </w:rPr>
        <w:t xml:space="preserve">, le </w:t>
      </w:r>
      <w:r>
        <w:rPr>
          <w:lang w:val="fr-FR"/>
        </w:rPr>
        <w:t>« </w:t>
      </w:r>
      <w:r w:rsidR="00922D12">
        <w:rPr>
          <w:lang w:val="fr-FR"/>
        </w:rPr>
        <w:t xml:space="preserve">contrat </w:t>
      </w:r>
      <w:r>
        <w:rPr>
          <w:lang w:val="fr-FR"/>
        </w:rPr>
        <w:t xml:space="preserve">en matière </w:t>
      </w:r>
      <w:r w:rsidR="00922D12">
        <w:rPr>
          <w:lang w:val="fr-FR"/>
        </w:rPr>
        <w:t>de travail associatif</w:t>
      </w:r>
      <w:r>
        <w:rPr>
          <w:lang w:val="fr-FR"/>
        </w:rPr>
        <w:t> »</w:t>
      </w:r>
      <w:r w:rsidR="00922D12">
        <w:rPr>
          <w:lang w:val="fr-FR"/>
        </w:rPr>
        <w:t xml:space="preserve">. </w:t>
      </w:r>
      <w:r w:rsidR="001E3777">
        <w:rPr>
          <w:lang w:val="fr-FR"/>
        </w:rPr>
        <w:t xml:space="preserve">Son objectif </w:t>
      </w:r>
      <w:r w:rsidR="00637A4F">
        <w:rPr>
          <w:lang w:val="fr-FR"/>
        </w:rPr>
        <w:t xml:space="preserve">était </w:t>
      </w:r>
      <w:r w:rsidR="001E3777">
        <w:rPr>
          <w:lang w:val="fr-FR"/>
        </w:rPr>
        <w:t>de mettre fin à ce qu’il estime</w:t>
      </w:r>
      <w:r w:rsidR="0061111D">
        <w:rPr>
          <w:lang w:val="fr-FR"/>
        </w:rPr>
        <w:t xml:space="preserve"> être une « zone grise » entre le travail salarié et le volontariat soumis à la loi du 3 juillet 2005. </w:t>
      </w:r>
      <w:r w:rsidR="00276097">
        <w:rPr>
          <w:lang w:val="fr-FR"/>
        </w:rPr>
        <w:t>L</w:t>
      </w:r>
      <w:r w:rsidR="0061111D">
        <w:rPr>
          <w:lang w:val="fr-FR"/>
        </w:rPr>
        <w:t>e monde associatif, qui regroupe des organisations</w:t>
      </w:r>
      <w:r w:rsidR="00276097">
        <w:rPr>
          <w:lang w:val="fr-FR"/>
        </w:rPr>
        <w:t xml:space="preserve"> ayant en commun l’absence de but de lucre</w:t>
      </w:r>
      <w:r w:rsidR="000414F1">
        <w:rPr>
          <w:lang w:val="fr-FR"/>
        </w:rPr>
        <w:t xml:space="preserve">, </w:t>
      </w:r>
      <w:r w:rsidR="00276097">
        <w:rPr>
          <w:lang w:val="fr-FR"/>
        </w:rPr>
        <w:t xml:space="preserve">fait régulièrement appel à des personnes qui effectuent des prestations en échange d’une (petite) contrepartie financière. </w:t>
      </w:r>
      <w:r w:rsidR="000414F1">
        <w:rPr>
          <w:lang w:val="fr-FR"/>
        </w:rPr>
        <w:t xml:space="preserve">Les activités concernées sont très diverses : il peut s’agir notamment d’accompagnement sportif, de participation aux petits travaux d’entretien, d’accueil, ou encore d’aide occasionnelle à la gestion administrative. Le législateur </w:t>
      </w:r>
      <w:r w:rsidR="00123485">
        <w:rPr>
          <w:lang w:val="fr-FR"/>
        </w:rPr>
        <w:t>a</w:t>
      </w:r>
      <w:r w:rsidR="00637A4F">
        <w:rPr>
          <w:lang w:val="fr-FR"/>
        </w:rPr>
        <w:t>vait</w:t>
      </w:r>
      <w:r w:rsidR="00123485">
        <w:rPr>
          <w:lang w:val="fr-FR"/>
        </w:rPr>
        <w:t xml:space="preserve"> considéré</w:t>
      </w:r>
      <w:r w:rsidR="0097407A">
        <w:rPr>
          <w:lang w:val="fr-FR"/>
        </w:rPr>
        <w:t xml:space="preserve"> </w:t>
      </w:r>
      <w:r w:rsidR="000414F1">
        <w:rPr>
          <w:lang w:val="fr-FR"/>
        </w:rPr>
        <w:t>que ces activités sont socialement utiles et</w:t>
      </w:r>
      <w:r w:rsidR="001E3777">
        <w:rPr>
          <w:lang w:val="fr-FR"/>
        </w:rPr>
        <w:t xml:space="preserve"> qu’il </w:t>
      </w:r>
      <w:r w:rsidR="00E16E39">
        <w:rPr>
          <w:lang w:val="fr-FR"/>
        </w:rPr>
        <w:t xml:space="preserve">fallait </w:t>
      </w:r>
      <w:r w:rsidR="001E3777">
        <w:rPr>
          <w:lang w:val="fr-FR"/>
        </w:rPr>
        <w:t xml:space="preserve">en encourager le développement. Une requalification de ces relations </w:t>
      </w:r>
      <w:r w:rsidR="00916153">
        <w:rPr>
          <w:lang w:val="fr-FR"/>
        </w:rPr>
        <w:t>de trav</w:t>
      </w:r>
      <w:r w:rsidR="00A94B96">
        <w:rPr>
          <w:lang w:val="fr-FR"/>
        </w:rPr>
        <w:t>a</w:t>
      </w:r>
      <w:r w:rsidR="00916153">
        <w:rPr>
          <w:lang w:val="fr-FR"/>
        </w:rPr>
        <w:t xml:space="preserve">il </w:t>
      </w:r>
      <w:r w:rsidR="001E3777">
        <w:rPr>
          <w:lang w:val="fr-FR"/>
        </w:rPr>
        <w:t xml:space="preserve">en contrats de travail ne </w:t>
      </w:r>
      <w:r w:rsidR="00E16E39">
        <w:rPr>
          <w:lang w:val="fr-FR"/>
        </w:rPr>
        <w:t xml:space="preserve">paraissait </w:t>
      </w:r>
      <w:r w:rsidR="001E3777">
        <w:rPr>
          <w:lang w:val="fr-FR"/>
        </w:rPr>
        <w:t>pas souhaitable car, selon les documents préparatoires de la loi</w:t>
      </w:r>
      <w:r w:rsidR="00C4424B">
        <w:rPr>
          <w:rStyle w:val="Appelnotedebasdep"/>
          <w:lang w:val="fr-FR"/>
        </w:rPr>
        <w:footnoteReference w:id="3"/>
      </w:r>
      <w:r w:rsidR="001E3777">
        <w:rPr>
          <w:lang w:val="fr-FR"/>
        </w:rPr>
        <w:t>, le secteur se caractérise par un besoin important de flexibilité.</w:t>
      </w:r>
    </w:p>
    <w:p w14:paraId="667FBF09" w14:textId="77777777" w:rsidR="00637A4F" w:rsidRPr="00DB7B0D" w:rsidRDefault="009F2EB3" w:rsidP="00F6374E">
      <w:pPr>
        <w:ind w:firstLine="1416"/>
        <w:jc w:val="both"/>
        <w:rPr>
          <w:lang w:val="fr-FR"/>
        </w:rPr>
      </w:pPr>
      <w:r>
        <w:rPr>
          <w:lang w:val="fr-FR"/>
        </w:rPr>
        <w:t>L</w:t>
      </w:r>
      <w:r w:rsidR="00637A4F">
        <w:rPr>
          <w:lang w:val="fr-FR"/>
        </w:rPr>
        <w:t xml:space="preserve">e régime introduit par la loi du 18 juillet 2018 </w:t>
      </w:r>
      <w:r>
        <w:rPr>
          <w:lang w:val="fr-FR"/>
        </w:rPr>
        <w:t>produisait des conséquences considérables : s</w:t>
      </w:r>
      <w:r w:rsidR="00637A4F">
        <w:rPr>
          <w:lang w:val="fr-FR"/>
        </w:rPr>
        <w:t>i ses critères d’application étaient réunis, elle excluait le contrat en matière de travail associatif du champ d’application de la majeure partie du droit du travail et de la sécurité sociale.</w:t>
      </w:r>
    </w:p>
    <w:p w14:paraId="4DD0A0D3" w14:textId="77777777" w:rsidR="0009519D" w:rsidRDefault="0009519D" w:rsidP="00900084">
      <w:pPr>
        <w:pStyle w:val="Paragraphedeliste"/>
        <w:ind w:left="1068"/>
        <w:jc w:val="both"/>
        <w:rPr>
          <w:lang w:val="fr-FR"/>
        </w:rPr>
      </w:pPr>
    </w:p>
    <w:p w14:paraId="57B68F59" w14:textId="6F053E49" w:rsidR="00DC3C83" w:rsidRPr="00DC3C83" w:rsidRDefault="001E3777" w:rsidP="00DC3C83">
      <w:pPr>
        <w:pStyle w:val="Paragraphedeliste"/>
        <w:numPr>
          <w:ilvl w:val="0"/>
          <w:numId w:val="2"/>
        </w:numPr>
        <w:jc w:val="both"/>
        <w:rPr>
          <w:lang w:val="fr-FR"/>
        </w:rPr>
      </w:pPr>
      <w:r>
        <w:rPr>
          <w:lang w:val="fr-FR"/>
        </w:rPr>
        <w:t>L’amplitude de ces dérogations n’a</w:t>
      </w:r>
      <w:r w:rsidR="009B35CC">
        <w:rPr>
          <w:lang w:val="fr-FR"/>
        </w:rPr>
        <w:t xml:space="preserve"> pas manqué de susciter des critiques</w:t>
      </w:r>
      <w:r>
        <w:rPr>
          <w:lang w:val="fr-FR"/>
        </w:rPr>
        <w:t xml:space="preserve"> </w:t>
      </w:r>
      <w:r w:rsidR="009B35CC">
        <w:rPr>
          <w:lang w:val="fr-FR"/>
        </w:rPr>
        <w:t>tant de la part de</w:t>
      </w:r>
      <w:r w:rsidR="005A0B87">
        <w:rPr>
          <w:lang w:val="fr-FR"/>
        </w:rPr>
        <w:t xml:space="preserve"> la doctrine</w:t>
      </w:r>
      <w:r w:rsidR="009B35CC">
        <w:rPr>
          <w:lang w:val="fr-FR"/>
        </w:rPr>
        <w:t xml:space="preserve"> que d</w:t>
      </w:r>
      <w:r>
        <w:rPr>
          <w:lang w:val="fr-FR"/>
        </w:rPr>
        <w:t>es acteurs de terrain. La controverse</w:t>
      </w:r>
      <w:r w:rsidR="00516170">
        <w:rPr>
          <w:lang w:val="fr-FR"/>
        </w:rPr>
        <w:t xml:space="preserve"> prendra de l’ampleur </w:t>
      </w:r>
      <w:r w:rsidR="00637A4F">
        <w:rPr>
          <w:lang w:val="fr-FR"/>
        </w:rPr>
        <w:t xml:space="preserve">jusqu’à </w:t>
      </w:r>
      <w:r w:rsidR="00516170">
        <w:rPr>
          <w:lang w:val="fr-FR"/>
        </w:rPr>
        <w:t xml:space="preserve">l’annulation de la loi par la Cour Constitutionnelle le 23 avril </w:t>
      </w:r>
      <w:r w:rsidR="00E16E39">
        <w:rPr>
          <w:lang w:val="fr-FR"/>
        </w:rPr>
        <w:t>2020</w:t>
      </w:r>
      <w:r w:rsidR="00516170">
        <w:rPr>
          <w:rStyle w:val="Appelnotedebasdep"/>
          <w:lang w:val="fr-FR"/>
        </w:rPr>
        <w:footnoteReference w:id="4"/>
      </w:r>
      <w:r w:rsidR="00516170">
        <w:rPr>
          <w:lang w:val="fr-FR"/>
        </w:rPr>
        <w:t xml:space="preserve">. </w:t>
      </w:r>
      <w:r w:rsidR="005A0B87">
        <w:rPr>
          <w:lang w:val="fr-FR"/>
        </w:rPr>
        <w:t xml:space="preserve">Le débat est cependant loin d’être clos puisqu’une </w:t>
      </w:r>
      <w:r w:rsidR="006067C6">
        <w:rPr>
          <w:lang w:val="fr-FR"/>
        </w:rPr>
        <w:t>nouvelle loi du 24 décembre 2020</w:t>
      </w:r>
      <w:r w:rsidR="006067C6">
        <w:rPr>
          <w:rStyle w:val="Appelnotedebasdep"/>
          <w:lang w:val="fr-FR"/>
        </w:rPr>
        <w:footnoteReference w:id="5"/>
      </w:r>
      <w:r w:rsidR="00637A4F">
        <w:rPr>
          <w:lang w:val="fr-FR"/>
        </w:rPr>
        <w:t xml:space="preserve"> </w:t>
      </w:r>
      <w:r w:rsidR="006067C6">
        <w:rPr>
          <w:lang w:val="fr-FR"/>
        </w:rPr>
        <w:t xml:space="preserve">préserve </w:t>
      </w:r>
      <w:r w:rsidR="005A0B87">
        <w:rPr>
          <w:lang w:val="fr-FR"/>
        </w:rPr>
        <w:t xml:space="preserve">le statut particulier du travailleur associatif tout en essayant de tenir compte des critiques émises par la Cour. </w:t>
      </w:r>
    </w:p>
    <w:p w14:paraId="11A63B3A" w14:textId="600820B9" w:rsidR="002665CB" w:rsidRDefault="00474AC4" w:rsidP="004458E6">
      <w:pPr>
        <w:jc w:val="both"/>
        <w:rPr>
          <w:lang w:val="fr-FR"/>
        </w:rPr>
      </w:pPr>
      <w:r>
        <w:rPr>
          <w:lang w:val="fr-FR"/>
        </w:rPr>
        <w:tab/>
      </w:r>
      <w:r w:rsidR="00C55BCD">
        <w:rPr>
          <w:lang w:val="fr-FR"/>
        </w:rPr>
        <w:tab/>
      </w:r>
      <w:r w:rsidR="00DB7B0D">
        <w:rPr>
          <w:lang w:val="fr-FR"/>
        </w:rPr>
        <w:t>Pour décrire celui-ci de manière intelligible, il est nécessaire de faire le détour par la loi du 18 juillet 2018 ; nous</w:t>
      </w:r>
      <w:r w:rsidR="00900084">
        <w:rPr>
          <w:lang w:val="fr-FR"/>
        </w:rPr>
        <w:t xml:space="preserve"> </w:t>
      </w:r>
      <w:r w:rsidR="00DB7B0D">
        <w:rPr>
          <w:lang w:val="fr-FR"/>
        </w:rPr>
        <w:t xml:space="preserve">en </w:t>
      </w:r>
      <w:r w:rsidR="00900084">
        <w:rPr>
          <w:lang w:val="fr-FR"/>
        </w:rPr>
        <w:t>décri</w:t>
      </w:r>
      <w:r w:rsidR="00DB7B0D">
        <w:rPr>
          <w:lang w:val="fr-FR"/>
        </w:rPr>
        <w:t>rons</w:t>
      </w:r>
      <w:r w:rsidR="00C6517F">
        <w:rPr>
          <w:lang w:val="fr-FR"/>
        </w:rPr>
        <w:t xml:space="preserve"> la genèse </w:t>
      </w:r>
      <w:r w:rsidR="00900084">
        <w:rPr>
          <w:lang w:val="fr-FR"/>
        </w:rPr>
        <w:t>(B),</w:t>
      </w:r>
      <w:r w:rsidR="001612AE">
        <w:rPr>
          <w:lang w:val="fr-FR"/>
        </w:rPr>
        <w:t xml:space="preserve"> </w:t>
      </w:r>
      <w:r w:rsidR="00DB7B0D">
        <w:rPr>
          <w:lang w:val="fr-FR"/>
        </w:rPr>
        <w:t>puis le régime qu’elle a</w:t>
      </w:r>
      <w:r w:rsidR="009F2EB3">
        <w:rPr>
          <w:lang w:val="fr-FR"/>
        </w:rPr>
        <w:t>vait</w:t>
      </w:r>
      <w:r w:rsidR="00DB7B0D">
        <w:rPr>
          <w:lang w:val="fr-FR"/>
        </w:rPr>
        <w:t xml:space="preserve"> établi</w:t>
      </w:r>
      <w:r w:rsidR="00900084">
        <w:rPr>
          <w:lang w:val="fr-FR"/>
        </w:rPr>
        <w:t xml:space="preserve"> (C), avant d’</w:t>
      </w:r>
      <w:r w:rsidR="002665CB">
        <w:rPr>
          <w:lang w:val="fr-FR"/>
        </w:rPr>
        <w:t xml:space="preserve">étudier l’arrêt de la Cour </w:t>
      </w:r>
      <w:r w:rsidR="00123485">
        <w:rPr>
          <w:lang w:val="fr-FR"/>
        </w:rPr>
        <w:t xml:space="preserve">constitutionnelle </w:t>
      </w:r>
      <w:r w:rsidR="00900084">
        <w:rPr>
          <w:lang w:val="fr-FR"/>
        </w:rPr>
        <w:t>(D)</w:t>
      </w:r>
      <w:r w:rsidR="002665CB">
        <w:rPr>
          <w:lang w:val="fr-FR"/>
        </w:rPr>
        <w:t xml:space="preserve">. </w:t>
      </w:r>
      <w:r w:rsidR="00DB7B0D">
        <w:rPr>
          <w:lang w:val="fr-FR"/>
        </w:rPr>
        <w:t xml:space="preserve">C’est à ce moment que </w:t>
      </w:r>
      <w:r w:rsidR="00900084">
        <w:rPr>
          <w:lang w:val="fr-FR"/>
        </w:rPr>
        <w:t>n</w:t>
      </w:r>
      <w:r w:rsidR="002665CB">
        <w:rPr>
          <w:lang w:val="fr-FR"/>
        </w:rPr>
        <w:t xml:space="preserve">ous </w:t>
      </w:r>
      <w:r w:rsidR="00DB7B0D">
        <w:rPr>
          <w:lang w:val="fr-FR"/>
        </w:rPr>
        <w:t>serons à pied d’œuvre pour aborder</w:t>
      </w:r>
      <w:r w:rsidR="002665CB">
        <w:rPr>
          <w:lang w:val="fr-FR"/>
        </w:rPr>
        <w:t xml:space="preserve"> la </w:t>
      </w:r>
      <w:r w:rsidR="006067C6">
        <w:rPr>
          <w:lang w:val="fr-FR"/>
        </w:rPr>
        <w:t>loi du 24 décembre 2020</w:t>
      </w:r>
      <w:r w:rsidR="009F2EB3">
        <w:rPr>
          <w:lang w:val="fr-FR"/>
        </w:rPr>
        <w:t>, qui</w:t>
      </w:r>
      <w:r w:rsidR="002665CB">
        <w:rPr>
          <w:lang w:val="fr-FR"/>
        </w:rPr>
        <w:t xml:space="preserve"> vis</w:t>
      </w:r>
      <w:r w:rsidR="009F2EB3">
        <w:rPr>
          <w:lang w:val="fr-FR"/>
        </w:rPr>
        <w:t>e</w:t>
      </w:r>
      <w:r w:rsidR="002665CB">
        <w:rPr>
          <w:lang w:val="fr-FR"/>
        </w:rPr>
        <w:t xml:space="preserve"> à « sauver » le régime du travail associatif en l’adaptant aux exigences de la Cour</w:t>
      </w:r>
      <w:r w:rsidR="00DB7B0D">
        <w:rPr>
          <w:lang w:val="fr-FR"/>
        </w:rPr>
        <w:t xml:space="preserve">, </w:t>
      </w:r>
      <w:r w:rsidR="009F2EB3">
        <w:rPr>
          <w:lang w:val="fr-FR"/>
        </w:rPr>
        <w:t>mais</w:t>
      </w:r>
      <w:r w:rsidR="00DB7B0D">
        <w:rPr>
          <w:lang w:val="fr-FR"/>
        </w:rPr>
        <w:t xml:space="preserve"> dont la proposition a suscité un </w:t>
      </w:r>
      <w:r w:rsidR="00C6517F">
        <w:rPr>
          <w:lang w:val="fr-FR"/>
        </w:rPr>
        <w:t xml:space="preserve">avis défavorable </w:t>
      </w:r>
      <w:r w:rsidR="00DB7B0D">
        <w:rPr>
          <w:lang w:val="fr-FR"/>
        </w:rPr>
        <w:t>du</w:t>
      </w:r>
      <w:r w:rsidR="00C6517F">
        <w:rPr>
          <w:lang w:val="fr-FR"/>
        </w:rPr>
        <w:t xml:space="preserve"> Conseil </w:t>
      </w:r>
      <w:r w:rsidR="009F2EB3">
        <w:rPr>
          <w:lang w:val="fr-FR"/>
        </w:rPr>
        <w:t xml:space="preserve">d’État </w:t>
      </w:r>
      <w:r w:rsidR="00900084">
        <w:rPr>
          <w:lang w:val="fr-FR"/>
        </w:rPr>
        <w:t>(E)</w:t>
      </w:r>
      <w:r w:rsidR="00DB7B0D">
        <w:rPr>
          <w:lang w:val="fr-FR"/>
        </w:rPr>
        <w:t>.  Nous tenterons enfin de tirer quelques conclusions de ce parcours législatif (F). Avant d’aller plus loin, il nous reste à évoquer deux limites que nous avons posées à notre examen. D’une part, nous interrogerons principalement sur les effets de ces nouveaux dispositifs en matière de droit du travail (</w:t>
      </w:r>
      <w:r w:rsidR="00DB7B0D">
        <w:t>le droit de la sécurité sociale</w:t>
      </w:r>
      <w:r w:rsidR="00334747">
        <w:t xml:space="preserve"> et le droit fiscal</w:t>
      </w:r>
      <w:r w:rsidR="00DB7B0D">
        <w:t xml:space="preserve"> ne retiendr</w:t>
      </w:r>
      <w:r w:rsidR="00334747">
        <w:t>ont</w:t>
      </w:r>
      <w:r w:rsidR="00DB7B0D">
        <w:t xml:space="preserve"> ici l’attention que de manière limitée</w:t>
      </w:r>
      <w:r w:rsidR="00DB7B0D">
        <w:rPr>
          <w:lang w:val="fr-FR"/>
        </w:rPr>
        <w:t>). D’autre part, n</w:t>
      </w:r>
      <w:r w:rsidR="00D21F9E">
        <w:rPr>
          <w:lang w:val="fr-FR"/>
        </w:rPr>
        <w:t>ous n’évoquerons pas ici le régime des services occasionnels entre citoyens ni celui des travailleurs de plateformes agréées</w:t>
      </w:r>
      <w:r w:rsidR="00DB7B0D">
        <w:rPr>
          <w:lang w:val="fr-FR"/>
        </w:rPr>
        <w:t>, qui avaient</w:t>
      </w:r>
      <w:r w:rsidR="00B90C45">
        <w:rPr>
          <w:lang w:val="fr-FR"/>
        </w:rPr>
        <w:t xml:space="preserve"> également </w:t>
      </w:r>
      <w:r w:rsidR="00DB7B0D">
        <w:rPr>
          <w:lang w:val="fr-FR"/>
        </w:rPr>
        <w:t xml:space="preserve">été </w:t>
      </w:r>
      <w:r w:rsidR="00B90C45">
        <w:rPr>
          <w:lang w:val="fr-FR"/>
        </w:rPr>
        <w:t xml:space="preserve">introduits par la loi de 2018 et </w:t>
      </w:r>
      <w:r w:rsidR="00DB7B0D">
        <w:rPr>
          <w:lang w:val="fr-FR"/>
        </w:rPr>
        <w:t xml:space="preserve">ont été </w:t>
      </w:r>
      <w:r w:rsidR="00B90C45">
        <w:rPr>
          <w:lang w:val="fr-FR"/>
        </w:rPr>
        <w:t>censurés par la Cour</w:t>
      </w:r>
      <w:r w:rsidR="00D21F9E">
        <w:rPr>
          <w:lang w:val="fr-FR"/>
        </w:rPr>
        <w:t>.</w:t>
      </w:r>
    </w:p>
    <w:p w14:paraId="313AD725" w14:textId="77777777" w:rsidR="00883C6E" w:rsidRDefault="00E34ACE" w:rsidP="00900084">
      <w:pPr>
        <w:pStyle w:val="Paragraphedeliste"/>
        <w:numPr>
          <w:ilvl w:val="0"/>
          <w:numId w:val="7"/>
        </w:numPr>
        <w:jc w:val="both"/>
        <w:rPr>
          <w:b/>
          <w:lang w:val="fr-FR"/>
        </w:rPr>
      </w:pPr>
      <w:r w:rsidRPr="00900084">
        <w:rPr>
          <w:b/>
          <w:lang w:val="fr-FR"/>
        </w:rPr>
        <w:t>L</w:t>
      </w:r>
      <w:r w:rsidR="0061111D">
        <w:rPr>
          <w:b/>
          <w:lang w:val="fr-FR"/>
        </w:rPr>
        <w:t>a genèse de la loi</w:t>
      </w:r>
    </w:p>
    <w:p w14:paraId="395C6D53" w14:textId="77777777" w:rsidR="00883C6E" w:rsidRPr="00900084" w:rsidRDefault="00883C6E" w:rsidP="00900084">
      <w:pPr>
        <w:pStyle w:val="Paragraphedeliste"/>
        <w:ind w:left="1440"/>
        <w:jc w:val="both"/>
        <w:rPr>
          <w:b/>
          <w:lang w:val="fr-FR"/>
        </w:rPr>
      </w:pPr>
    </w:p>
    <w:p w14:paraId="29DADC8D" w14:textId="77777777" w:rsidR="00883C6E" w:rsidRPr="00900084" w:rsidRDefault="00FF06E4" w:rsidP="00883C6E">
      <w:pPr>
        <w:pStyle w:val="Paragraphedeliste"/>
        <w:numPr>
          <w:ilvl w:val="0"/>
          <w:numId w:val="2"/>
        </w:numPr>
        <w:jc w:val="both"/>
        <w:rPr>
          <w:b/>
          <w:lang w:val="fr-FR"/>
        </w:rPr>
      </w:pPr>
      <w:r>
        <w:rPr>
          <w:color w:val="000000" w:themeColor="text1"/>
          <w:lang w:val="fr-FR"/>
        </w:rPr>
        <w:lastRenderedPageBreak/>
        <w:t>Pour comprendre les raisons qui sous-tendent l’intervention législative de 2018, il faut</w:t>
      </w:r>
      <w:r w:rsidR="00B90C45">
        <w:rPr>
          <w:color w:val="000000" w:themeColor="text1"/>
          <w:lang w:val="fr-FR"/>
        </w:rPr>
        <w:t xml:space="preserve"> revenir sur</w:t>
      </w:r>
      <w:r>
        <w:rPr>
          <w:color w:val="000000" w:themeColor="text1"/>
          <w:lang w:val="fr-FR"/>
        </w:rPr>
        <w:t xml:space="preserve"> l’</w:t>
      </w:r>
      <w:r w:rsidR="007A7594">
        <w:rPr>
          <w:color w:val="000000" w:themeColor="text1"/>
          <w:lang w:val="fr-FR"/>
        </w:rPr>
        <w:t>important travail</w:t>
      </w:r>
      <w:r>
        <w:rPr>
          <w:color w:val="000000" w:themeColor="text1"/>
          <w:lang w:val="fr-FR"/>
        </w:rPr>
        <w:t xml:space="preserve"> de réflexion entamé</w:t>
      </w:r>
      <w:r w:rsidR="00B90C45">
        <w:rPr>
          <w:color w:val="000000" w:themeColor="text1"/>
          <w:lang w:val="fr-FR"/>
        </w:rPr>
        <w:t xml:space="preserve"> au sujet du</w:t>
      </w:r>
      <w:r>
        <w:rPr>
          <w:color w:val="000000" w:themeColor="text1"/>
          <w:lang w:val="fr-FR"/>
        </w:rPr>
        <w:t xml:space="preserve"> droit des volontaires sous l’égide de la Fondation Roi Baudouin à l’aube du troisième millénaire.</w:t>
      </w:r>
      <w:r w:rsidR="00C6517F">
        <w:rPr>
          <w:color w:val="000000" w:themeColor="text1"/>
          <w:lang w:val="fr-FR"/>
        </w:rPr>
        <w:t xml:space="preserve"> </w:t>
      </w:r>
      <w:r>
        <w:rPr>
          <w:color w:val="000000" w:themeColor="text1"/>
          <w:lang w:val="fr-FR"/>
        </w:rPr>
        <w:t xml:space="preserve"> Ce processus s’inscrit dans une démarche politique, au départ essentiellement flamande, visant à créer un véritable statut juridique pour les volontaires, processus qui culminera avec l’adoption de la loi du 3 juillet 2005</w:t>
      </w:r>
      <w:r w:rsidR="00E16E39">
        <w:rPr>
          <w:rStyle w:val="Appelnotedebasdep"/>
          <w:lang w:val="fr-FR"/>
        </w:rPr>
        <w:footnoteReference w:id="6"/>
      </w:r>
      <w:r>
        <w:rPr>
          <w:color w:val="000000" w:themeColor="text1"/>
          <w:lang w:val="fr-FR"/>
        </w:rPr>
        <w:t xml:space="preserve">. </w:t>
      </w:r>
      <w:r w:rsidR="00A73D2E">
        <w:rPr>
          <w:color w:val="000000" w:themeColor="text1"/>
          <w:lang w:val="fr-FR"/>
        </w:rPr>
        <w:t xml:space="preserve"> </w:t>
      </w:r>
    </w:p>
    <w:p w14:paraId="4C4BC711" w14:textId="77777777" w:rsidR="009B35CC" w:rsidRPr="00900084" w:rsidRDefault="009B35CC" w:rsidP="00900084">
      <w:pPr>
        <w:pStyle w:val="Paragraphedeliste"/>
        <w:ind w:left="1068"/>
        <w:jc w:val="both"/>
        <w:rPr>
          <w:b/>
          <w:lang w:val="fr-FR"/>
        </w:rPr>
      </w:pPr>
    </w:p>
    <w:p w14:paraId="1220B9B6" w14:textId="77777777" w:rsidR="00883C6E" w:rsidRPr="00883C6E" w:rsidRDefault="00883C6E" w:rsidP="00900084">
      <w:pPr>
        <w:pStyle w:val="Paragraphedeliste"/>
        <w:numPr>
          <w:ilvl w:val="0"/>
          <w:numId w:val="12"/>
        </w:numPr>
        <w:jc w:val="both"/>
        <w:rPr>
          <w:b/>
          <w:lang w:val="fr-FR"/>
        </w:rPr>
      </w:pPr>
      <w:r>
        <w:rPr>
          <w:b/>
          <w:lang w:val="fr-FR"/>
        </w:rPr>
        <w:t>Qu’est-ce qu’un volontaire ?</w:t>
      </w:r>
    </w:p>
    <w:p w14:paraId="0C812920" w14:textId="77777777" w:rsidR="009A3CDC" w:rsidRPr="009A3CDC" w:rsidRDefault="009A3CDC" w:rsidP="009A3CDC">
      <w:pPr>
        <w:pStyle w:val="Paragraphedeliste"/>
        <w:ind w:left="1068"/>
        <w:jc w:val="both"/>
        <w:rPr>
          <w:b/>
          <w:lang w:val="fr-FR"/>
        </w:rPr>
      </w:pPr>
    </w:p>
    <w:p w14:paraId="52137855" w14:textId="77777777" w:rsidR="00E770F2" w:rsidRDefault="00E770F2" w:rsidP="006C48C2">
      <w:pPr>
        <w:pStyle w:val="Paragraphedeliste"/>
        <w:numPr>
          <w:ilvl w:val="0"/>
          <w:numId w:val="2"/>
        </w:numPr>
        <w:jc w:val="both"/>
        <w:rPr>
          <w:lang w:val="fr-FR"/>
        </w:rPr>
      </w:pPr>
      <w:r w:rsidRPr="002E7F38">
        <w:rPr>
          <w:lang w:val="fr-FR"/>
        </w:rPr>
        <w:t xml:space="preserve">S’interroger sur la distinction entre le travail professionnel et le travail volontaire, c’est poser la question de la rémunération et de sa nature. </w:t>
      </w:r>
      <w:r w:rsidR="00DE023E" w:rsidRPr="002E7F38">
        <w:rPr>
          <w:lang w:val="fr-FR"/>
        </w:rPr>
        <w:t xml:space="preserve"> La loi du 3 juillet 2005 relative au volontariat énumère de façon cumulative en son article 3, 1°</w:t>
      </w:r>
      <w:r w:rsidR="00C11FEF">
        <w:rPr>
          <w:lang w:val="fr-FR"/>
        </w:rPr>
        <w:t>,</w:t>
      </w:r>
      <w:r w:rsidR="00DE023E" w:rsidRPr="002E7F38">
        <w:rPr>
          <w:lang w:val="fr-FR"/>
        </w:rPr>
        <w:t xml:space="preserve"> les éléments de définition de la notion de volontaire en droit belge. Le volontariat se caractérise entre autres par le caractère gratuit de l’activité exercée</w:t>
      </w:r>
      <w:r w:rsidR="00DE023E">
        <w:rPr>
          <w:rStyle w:val="Appelnotedebasdep"/>
          <w:lang w:val="fr-FR"/>
        </w:rPr>
        <w:footnoteReference w:id="7"/>
      </w:r>
      <w:r w:rsidR="00DE023E" w:rsidRPr="002E7F38">
        <w:rPr>
          <w:lang w:val="fr-FR"/>
        </w:rPr>
        <w:t xml:space="preserve">. </w:t>
      </w:r>
      <w:r w:rsidR="006C5309">
        <w:rPr>
          <w:lang w:val="fr-FR"/>
        </w:rPr>
        <w:t>L’élément fondamental de la distinction est donc l’absence de rémunération</w:t>
      </w:r>
      <w:r w:rsidR="00F81BEC">
        <w:rPr>
          <w:lang w:val="fr-FR"/>
        </w:rPr>
        <w:t xml:space="preserve"> </w:t>
      </w:r>
      <w:r w:rsidR="006C5309">
        <w:rPr>
          <w:lang w:val="fr-FR"/>
        </w:rPr>
        <w:t>du volontaire.</w:t>
      </w:r>
    </w:p>
    <w:p w14:paraId="4FFC2833" w14:textId="77777777" w:rsidR="002E7F38" w:rsidRPr="002E7F38" w:rsidRDefault="002E7F38" w:rsidP="002E7F38">
      <w:pPr>
        <w:pStyle w:val="Paragraphedeliste"/>
        <w:ind w:left="1068"/>
        <w:jc w:val="both"/>
        <w:rPr>
          <w:lang w:val="fr-FR"/>
        </w:rPr>
      </w:pPr>
    </w:p>
    <w:p w14:paraId="179F05C5" w14:textId="77777777" w:rsidR="00E06282" w:rsidRDefault="00E06282" w:rsidP="00900084">
      <w:pPr>
        <w:pStyle w:val="Paragraphedeliste"/>
        <w:numPr>
          <w:ilvl w:val="0"/>
          <w:numId w:val="2"/>
        </w:numPr>
        <w:jc w:val="both"/>
        <w:rPr>
          <w:lang w:val="fr-FR"/>
        </w:rPr>
      </w:pPr>
      <w:r>
        <w:rPr>
          <w:lang w:val="fr-FR"/>
        </w:rPr>
        <w:t xml:space="preserve">Le volontaire peut </w:t>
      </w:r>
      <w:r w:rsidR="00DE023E" w:rsidRPr="002E7F38">
        <w:rPr>
          <w:lang w:val="fr-FR"/>
        </w:rPr>
        <w:t>exposer des frais dans le cadre de ses activi</w:t>
      </w:r>
      <w:r w:rsidR="003D0CE2" w:rsidRPr="002E7F38">
        <w:rPr>
          <w:lang w:val="fr-FR"/>
        </w:rPr>
        <w:t>tés de volontariat</w:t>
      </w:r>
      <w:r w:rsidR="00FC100F">
        <w:rPr>
          <w:rStyle w:val="Appelnotedebasdep"/>
          <w:lang w:val="fr-FR"/>
        </w:rPr>
        <w:footnoteReference w:id="8"/>
      </w:r>
      <w:r w:rsidR="003D0CE2" w:rsidRPr="002E7F38">
        <w:rPr>
          <w:lang w:val="fr-FR"/>
        </w:rPr>
        <w:t>. La loi admet que les organisations qui ont recours au travail volontaire</w:t>
      </w:r>
      <w:r w:rsidR="00BC7344">
        <w:rPr>
          <w:lang w:val="fr-FR"/>
        </w:rPr>
        <w:t xml:space="preserve"> versent</w:t>
      </w:r>
      <w:r w:rsidR="003D0CE2" w:rsidRPr="002E7F38">
        <w:rPr>
          <w:lang w:val="fr-FR"/>
        </w:rPr>
        <w:t xml:space="preserve"> une indemnité afin de </w:t>
      </w:r>
      <w:r w:rsidR="00BC7344">
        <w:rPr>
          <w:lang w:val="fr-FR"/>
        </w:rPr>
        <w:t>compenser</w:t>
      </w:r>
      <w:r w:rsidR="003D0CE2" w:rsidRPr="002E7F38">
        <w:rPr>
          <w:lang w:val="fr-FR"/>
        </w:rPr>
        <w:t xml:space="preserve"> ces frais</w:t>
      </w:r>
      <w:r w:rsidR="003D0CE2">
        <w:rPr>
          <w:rStyle w:val="Appelnotedebasdep"/>
          <w:lang w:val="fr-FR"/>
        </w:rPr>
        <w:footnoteReference w:id="9"/>
      </w:r>
      <w:r w:rsidR="003D0CE2" w:rsidRPr="002E7F38">
        <w:rPr>
          <w:lang w:val="fr-FR"/>
        </w:rPr>
        <w:t xml:space="preserve">. Il n’est alors pas question de rémunération. La loi offre </w:t>
      </w:r>
      <w:r w:rsidR="00BC7344">
        <w:rPr>
          <w:lang w:val="fr-FR"/>
        </w:rPr>
        <w:t>une</w:t>
      </w:r>
      <w:r w:rsidR="003D0CE2" w:rsidRPr="002E7F38">
        <w:rPr>
          <w:lang w:val="fr-FR"/>
        </w:rPr>
        <w:t xml:space="preserve"> alternative quant à la manière d’indemniser les frais supportés par les volontaires : l’indemnisation forfaitaire d’une part</w:t>
      </w:r>
      <w:r w:rsidR="003D0CE2">
        <w:rPr>
          <w:rStyle w:val="Appelnotedebasdep"/>
          <w:lang w:val="fr-FR"/>
        </w:rPr>
        <w:footnoteReference w:id="10"/>
      </w:r>
      <w:r w:rsidR="003D0CE2" w:rsidRPr="002E7F38">
        <w:rPr>
          <w:lang w:val="fr-FR"/>
        </w:rPr>
        <w:t>, et l’indemnisation basée sur les frais réels d’autre part</w:t>
      </w:r>
      <w:r w:rsidR="003D0CE2">
        <w:rPr>
          <w:rStyle w:val="Appelnotedebasdep"/>
          <w:lang w:val="fr-FR"/>
        </w:rPr>
        <w:footnoteReference w:id="11"/>
      </w:r>
      <w:r w:rsidR="003D0CE2" w:rsidRPr="002E7F38">
        <w:rPr>
          <w:lang w:val="fr-FR"/>
        </w:rPr>
        <w:t>.</w:t>
      </w:r>
      <w:r w:rsidR="007F625B">
        <w:rPr>
          <w:lang w:val="fr-FR"/>
        </w:rPr>
        <w:t xml:space="preserve"> </w:t>
      </w:r>
      <w:r w:rsidR="003D0CE2" w:rsidRPr="00BF5FD9">
        <w:rPr>
          <w:lang w:val="fr-FR"/>
        </w:rPr>
        <w:tab/>
      </w:r>
    </w:p>
    <w:p w14:paraId="4AAD16DB" w14:textId="77777777" w:rsidR="00F32DF7" w:rsidRPr="00FC100F" w:rsidRDefault="00F32DF7" w:rsidP="00900084">
      <w:pPr>
        <w:pStyle w:val="Paragraphedeliste"/>
        <w:ind w:left="1068"/>
        <w:jc w:val="both"/>
        <w:rPr>
          <w:lang w:val="fr-FR"/>
        </w:rPr>
      </w:pPr>
    </w:p>
    <w:p w14:paraId="6D52A38D" w14:textId="77777777" w:rsidR="008A2FED" w:rsidRPr="002E7F38" w:rsidRDefault="008A2FED" w:rsidP="002E7F38">
      <w:pPr>
        <w:pStyle w:val="Paragraphedeliste"/>
        <w:numPr>
          <w:ilvl w:val="0"/>
          <w:numId w:val="2"/>
        </w:numPr>
        <w:jc w:val="both"/>
        <w:rPr>
          <w:color w:val="000000" w:themeColor="text1"/>
          <w:lang w:val="fr-FR"/>
        </w:rPr>
      </w:pPr>
      <w:r w:rsidRPr="002E7F38">
        <w:rPr>
          <w:color w:val="000000" w:themeColor="text1"/>
          <w:lang w:val="fr-FR"/>
        </w:rPr>
        <w:t>La jurisprudence a été amenée à se pencher sur la question de la distinction entre indemnisation compatible avec la nature volontaire de l’activité exercée et rémunération incompatible</w:t>
      </w:r>
      <w:r w:rsidR="00E16E39">
        <w:rPr>
          <w:color w:val="000000" w:themeColor="text1"/>
          <w:lang w:val="fr-FR"/>
        </w:rPr>
        <w:t xml:space="preserve"> avec celle-ci</w:t>
      </w:r>
      <w:r w:rsidRPr="002E7F38">
        <w:rPr>
          <w:color w:val="000000" w:themeColor="text1"/>
          <w:lang w:val="fr-FR"/>
        </w:rPr>
        <w:t xml:space="preserve">. </w:t>
      </w:r>
    </w:p>
    <w:p w14:paraId="165949D1" w14:textId="77777777" w:rsidR="008A2FED" w:rsidRDefault="008A2FED" w:rsidP="004458E6">
      <w:pPr>
        <w:jc w:val="both"/>
        <w:rPr>
          <w:color w:val="000000" w:themeColor="text1"/>
          <w:lang w:val="fr-FR"/>
        </w:rPr>
      </w:pPr>
      <w:r>
        <w:rPr>
          <w:color w:val="000000" w:themeColor="text1"/>
          <w:lang w:val="fr-FR"/>
        </w:rPr>
        <w:tab/>
      </w:r>
      <w:r w:rsidR="00310385">
        <w:rPr>
          <w:color w:val="000000" w:themeColor="text1"/>
          <w:lang w:val="fr-FR"/>
        </w:rPr>
        <w:t xml:space="preserve">Aux yeux de la Cour de </w:t>
      </w:r>
      <w:r w:rsidR="00AD07F3">
        <w:rPr>
          <w:color w:val="000000" w:themeColor="text1"/>
          <w:lang w:val="fr-FR"/>
        </w:rPr>
        <w:t>c</w:t>
      </w:r>
      <w:r w:rsidR="00310385">
        <w:rPr>
          <w:color w:val="000000" w:themeColor="text1"/>
          <w:lang w:val="fr-FR"/>
        </w:rPr>
        <w:t>assation, l</w:t>
      </w:r>
      <w:r>
        <w:rPr>
          <w:color w:val="000000" w:themeColor="text1"/>
          <w:lang w:val="fr-FR"/>
        </w:rPr>
        <w:t xml:space="preserve">’existence d’une rémunération n’exclut pas sa modicité. </w:t>
      </w:r>
      <w:r w:rsidR="003516A4" w:rsidRPr="003516A4">
        <w:rPr>
          <w:color w:val="000000" w:themeColor="text1"/>
          <w:lang w:val="fr-FR"/>
        </w:rPr>
        <w:t>L’affaire qui a donné lieu à cette prise de position jurisprudentielle concern</w:t>
      </w:r>
      <w:r w:rsidR="00BC7344">
        <w:rPr>
          <w:color w:val="000000" w:themeColor="text1"/>
          <w:lang w:val="fr-FR"/>
        </w:rPr>
        <w:t>e</w:t>
      </w:r>
      <w:r w:rsidR="003516A4" w:rsidRPr="003516A4">
        <w:rPr>
          <w:color w:val="000000" w:themeColor="text1"/>
          <w:lang w:val="fr-FR"/>
        </w:rPr>
        <w:t xml:space="preserve"> une association sans but lucratif </w:t>
      </w:r>
      <w:r w:rsidR="005D10B7">
        <w:rPr>
          <w:color w:val="000000" w:themeColor="text1"/>
          <w:lang w:val="fr-FR"/>
        </w:rPr>
        <w:t>faisant</w:t>
      </w:r>
      <w:r w:rsidR="003516A4" w:rsidRPr="003516A4">
        <w:rPr>
          <w:color w:val="000000" w:themeColor="text1"/>
          <w:lang w:val="fr-FR"/>
        </w:rPr>
        <w:t xml:space="preserve"> appel à des collaborateurs qu’elle considère comme des </w:t>
      </w:r>
      <w:r w:rsidR="00652E35">
        <w:rPr>
          <w:color w:val="000000" w:themeColor="text1"/>
          <w:lang w:val="fr-FR"/>
        </w:rPr>
        <w:t>volontaires</w:t>
      </w:r>
      <w:r w:rsidR="00C53978">
        <w:rPr>
          <w:color w:val="000000" w:themeColor="text1"/>
          <w:lang w:val="fr-FR"/>
        </w:rPr>
        <w:t>.</w:t>
      </w:r>
      <w:r w:rsidR="003516A4" w:rsidRPr="003516A4">
        <w:rPr>
          <w:color w:val="000000" w:themeColor="text1"/>
          <w:lang w:val="fr-FR"/>
        </w:rPr>
        <w:t xml:space="preserve"> Leur tâche consiste </w:t>
      </w:r>
      <w:r w:rsidR="007F625B">
        <w:rPr>
          <w:color w:val="000000" w:themeColor="text1"/>
          <w:lang w:val="fr-FR"/>
        </w:rPr>
        <w:t>dans</w:t>
      </w:r>
      <w:r w:rsidR="003516A4" w:rsidRPr="003516A4">
        <w:rPr>
          <w:color w:val="000000" w:themeColor="text1"/>
          <w:lang w:val="fr-FR"/>
        </w:rPr>
        <w:t xml:space="preserve"> le contrôle de l’accès aux évènements organisés par l’A.S.B.L</w:t>
      </w:r>
      <w:r w:rsidR="00C53978">
        <w:rPr>
          <w:color w:val="000000" w:themeColor="text1"/>
          <w:lang w:val="fr-FR"/>
        </w:rPr>
        <w:t>.</w:t>
      </w:r>
      <w:r w:rsidR="003516A4" w:rsidRPr="003516A4">
        <w:rPr>
          <w:color w:val="000000" w:themeColor="text1"/>
          <w:lang w:val="fr-FR"/>
        </w:rPr>
        <w:t>, en l’espèce des concerts, afin que seul</w:t>
      </w:r>
      <w:r w:rsidR="00BC7344">
        <w:rPr>
          <w:color w:val="000000" w:themeColor="text1"/>
          <w:lang w:val="fr-FR"/>
        </w:rPr>
        <w:t>es les personnes</w:t>
      </w:r>
      <w:r w:rsidR="003516A4" w:rsidRPr="003516A4">
        <w:rPr>
          <w:color w:val="000000" w:themeColor="text1"/>
          <w:lang w:val="fr-FR"/>
        </w:rPr>
        <w:t xml:space="preserve"> disposant du billet d’entrée adéquat puissent entrer. Des avantages sont offerts à certains de ces « bénévoles » : accès gratuits au</w:t>
      </w:r>
      <w:r w:rsidR="00C53978">
        <w:rPr>
          <w:color w:val="000000" w:themeColor="text1"/>
          <w:lang w:val="fr-FR"/>
        </w:rPr>
        <w:t>x</w:t>
      </w:r>
      <w:r w:rsidR="003516A4" w:rsidRPr="003516A4">
        <w:rPr>
          <w:color w:val="000000" w:themeColor="text1"/>
          <w:lang w:val="fr-FR"/>
        </w:rPr>
        <w:t xml:space="preserve"> concerts en question, coupons pour les consommations et « bons pour activités », non monnayables, permettant de participer à d’autres évènements organisés par l’association, ou encore d’acheter des disques musicaux et des T-Shirts. </w:t>
      </w:r>
      <w:r w:rsidR="003516A4" w:rsidRPr="003516A4">
        <w:rPr>
          <w:color w:val="000000" w:themeColor="text1"/>
          <w:lang w:val="fr-FR"/>
        </w:rPr>
        <w:lastRenderedPageBreak/>
        <w:t>L’O.N.S.S. estime pour sa part qu’il s’agit en réalité d</w:t>
      </w:r>
      <w:r w:rsidR="0096381B">
        <w:rPr>
          <w:color w:val="000000" w:themeColor="text1"/>
          <w:lang w:val="fr-FR"/>
        </w:rPr>
        <w:t>’un</w:t>
      </w:r>
      <w:r w:rsidR="003516A4" w:rsidRPr="003516A4">
        <w:rPr>
          <w:color w:val="000000" w:themeColor="text1"/>
          <w:lang w:val="fr-FR"/>
        </w:rPr>
        <w:t xml:space="preserve"> travail salarié et réclame en conséquence le paiement de cotisations de sécurité sociale. La </w:t>
      </w:r>
      <w:r w:rsidR="00794A89">
        <w:rPr>
          <w:color w:val="000000" w:themeColor="text1"/>
          <w:lang w:val="fr-FR"/>
        </w:rPr>
        <w:t>c</w:t>
      </w:r>
      <w:r w:rsidR="003516A4" w:rsidRPr="003516A4">
        <w:rPr>
          <w:color w:val="000000" w:themeColor="text1"/>
          <w:lang w:val="fr-FR"/>
        </w:rPr>
        <w:t>our d</w:t>
      </w:r>
      <w:r w:rsidR="00B36299">
        <w:rPr>
          <w:color w:val="000000" w:themeColor="text1"/>
          <w:lang w:val="fr-FR"/>
        </w:rPr>
        <w:t>u travail</w:t>
      </w:r>
      <w:r w:rsidR="003516A4" w:rsidRPr="003516A4">
        <w:rPr>
          <w:color w:val="000000" w:themeColor="text1"/>
          <w:lang w:val="fr-FR"/>
        </w:rPr>
        <w:t xml:space="preserve"> d’Anvers </w:t>
      </w:r>
      <w:r w:rsidR="0096381B">
        <w:rPr>
          <w:color w:val="000000" w:themeColor="text1"/>
          <w:lang w:val="fr-FR"/>
        </w:rPr>
        <w:t>juge</w:t>
      </w:r>
      <w:r w:rsidR="003516A4" w:rsidRPr="003516A4">
        <w:rPr>
          <w:color w:val="000000" w:themeColor="text1"/>
          <w:lang w:val="fr-FR"/>
        </w:rPr>
        <w:t xml:space="preserve"> que les critères d’identification de la relation de travail énumérés </w:t>
      </w:r>
      <w:r w:rsidR="00601C22">
        <w:rPr>
          <w:color w:val="000000" w:themeColor="text1"/>
          <w:lang w:val="fr-FR"/>
        </w:rPr>
        <w:t>par</w:t>
      </w:r>
      <w:r w:rsidR="00601C22" w:rsidRPr="003516A4">
        <w:rPr>
          <w:color w:val="000000" w:themeColor="text1"/>
          <w:lang w:val="fr-FR"/>
        </w:rPr>
        <w:t xml:space="preserve"> </w:t>
      </w:r>
      <w:r w:rsidR="003516A4" w:rsidRPr="003516A4">
        <w:rPr>
          <w:color w:val="000000" w:themeColor="text1"/>
          <w:lang w:val="fr-FR"/>
        </w:rPr>
        <w:t xml:space="preserve">la loi-programme du 27 décembre 2006 </w:t>
      </w:r>
      <w:r w:rsidR="0096381B">
        <w:rPr>
          <w:color w:val="000000" w:themeColor="text1"/>
          <w:lang w:val="fr-FR"/>
        </w:rPr>
        <w:t xml:space="preserve">ne sont </w:t>
      </w:r>
      <w:r w:rsidR="003516A4" w:rsidRPr="003516A4">
        <w:rPr>
          <w:color w:val="000000" w:themeColor="text1"/>
          <w:lang w:val="fr-FR"/>
        </w:rPr>
        <w:t>pas rencontrés en l’espèce, et qu’il n’y a pas de contrat de travail. La Cour de cassation casse cette décision dans un arrêt du 18 octobre 2010</w:t>
      </w:r>
      <w:r w:rsidR="008E4CDB">
        <w:rPr>
          <w:rStyle w:val="Appelnotedebasdep"/>
          <w:color w:val="000000" w:themeColor="text1"/>
          <w:lang w:val="fr-FR"/>
        </w:rPr>
        <w:footnoteReference w:id="12"/>
      </w:r>
      <w:r w:rsidR="003516A4" w:rsidRPr="008E4CDB">
        <w:rPr>
          <w:color w:val="000000" w:themeColor="text1"/>
          <w:lang w:val="fr-FR"/>
        </w:rPr>
        <w:t>,</w:t>
      </w:r>
      <w:r w:rsidR="003516A4" w:rsidRPr="003516A4">
        <w:rPr>
          <w:color w:val="000000" w:themeColor="text1"/>
          <w:lang w:val="fr-FR"/>
        </w:rPr>
        <w:t xml:space="preserve"> en </w:t>
      </w:r>
      <w:r w:rsidR="00E16E39">
        <w:rPr>
          <w:color w:val="000000" w:themeColor="text1"/>
          <w:lang w:val="fr-FR"/>
        </w:rPr>
        <w:t>raison de</w:t>
      </w:r>
      <w:r w:rsidR="003516A4" w:rsidRPr="003516A4">
        <w:rPr>
          <w:color w:val="000000" w:themeColor="text1"/>
          <w:lang w:val="fr-FR"/>
        </w:rPr>
        <w:t xml:space="preserve"> la mauvaise application du critère de subordination par la </w:t>
      </w:r>
      <w:r w:rsidR="00794A89">
        <w:rPr>
          <w:color w:val="000000" w:themeColor="text1"/>
          <w:lang w:val="fr-FR"/>
        </w:rPr>
        <w:t>c</w:t>
      </w:r>
      <w:r w:rsidR="003516A4" w:rsidRPr="003516A4">
        <w:rPr>
          <w:color w:val="000000" w:themeColor="text1"/>
          <w:lang w:val="fr-FR"/>
        </w:rPr>
        <w:t xml:space="preserve">our du travail, et renvoie l’affaire devant la </w:t>
      </w:r>
      <w:r w:rsidR="00601C22">
        <w:rPr>
          <w:color w:val="000000" w:themeColor="text1"/>
          <w:lang w:val="fr-FR"/>
        </w:rPr>
        <w:t>cour</w:t>
      </w:r>
      <w:r w:rsidR="00601C22" w:rsidRPr="003516A4">
        <w:rPr>
          <w:color w:val="000000" w:themeColor="text1"/>
          <w:lang w:val="fr-FR"/>
        </w:rPr>
        <w:t xml:space="preserve"> </w:t>
      </w:r>
      <w:r w:rsidR="003516A4" w:rsidRPr="003516A4">
        <w:rPr>
          <w:color w:val="000000" w:themeColor="text1"/>
          <w:lang w:val="fr-FR"/>
        </w:rPr>
        <w:t xml:space="preserve">du travail de Bruxelles, qui </w:t>
      </w:r>
      <w:r w:rsidR="0096381B">
        <w:rPr>
          <w:color w:val="000000" w:themeColor="text1"/>
          <w:lang w:val="fr-FR"/>
        </w:rPr>
        <w:t xml:space="preserve">prononce son </w:t>
      </w:r>
      <w:r w:rsidR="003516A4" w:rsidRPr="003516A4">
        <w:rPr>
          <w:color w:val="000000" w:themeColor="text1"/>
          <w:lang w:val="fr-FR"/>
        </w:rPr>
        <w:t>arrêt le 16 février 2012</w:t>
      </w:r>
      <w:r w:rsidR="00BA41EE">
        <w:rPr>
          <w:rStyle w:val="Appelnotedebasdep"/>
          <w:color w:val="000000" w:themeColor="text1"/>
          <w:lang w:val="fr-FR"/>
        </w:rPr>
        <w:footnoteReference w:id="13"/>
      </w:r>
      <w:r w:rsidR="003516A4" w:rsidRPr="003516A4">
        <w:rPr>
          <w:color w:val="000000" w:themeColor="text1"/>
          <w:lang w:val="fr-FR"/>
        </w:rPr>
        <w:t>.  Celui-ci suit la doctrine alors majoritaire et décide</w:t>
      </w:r>
      <w:r w:rsidR="00E06282">
        <w:rPr>
          <w:color w:val="000000" w:themeColor="text1"/>
          <w:lang w:val="fr-FR"/>
        </w:rPr>
        <w:t xml:space="preserve"> que</w:t>
      </w:r>
      <w:r w:rsidR="003516A4" w:rsidRPr="003516A4">
        <w:rPr>
          <w:color w:val="000000" w:themeColor="text1"/>
          <w:lang w:val="fr-FR"/>
        </w:rPr>
        <w:t xml:space="preserve"> la modicité des avantages fournis révélait l’absence de but d’obtenir un revenu dans le chef des travailleurs, et que, le mobile de l’activité étant déterminant pour sa qualification, cette activité ne pouvait être qualifiée de contrat de travail. L’O.N.S.S. introduit un nouveau pourvoi en cassation contre cet arrêt</w:t>
      </w:r>
      <w:r w:rsidR="00F1675A">
        <w:rPr>
          <w:color w:val="000000" w:themeColor="text1"/>
          <w:lang w:val="fr-FR"/>
        </w:rPr>
        <w:t>. L</w:t>
      </w:r>
      <w:r w:rsidR="00A94B96">
        <w:rPr>
          <w:color w:val="000000" w:themeColor="text1"/>
          <w:lang w:val="fr-FR"/>
        </w:rPr>
        <w:t>e 10 mars 2014, l</w:t>
      </w:r>
      <w:r w:rsidR="00F1675A">
        <w:rPr>
          <w:color w:val="000000" w:themeColor="text1"/>
          <w:lang w:val="fr-FR"/>
        </w:rPr>
        <w:t>a Cour de Cassation casse l’arrêt attaqué au motif que l’existence d’une contrepartie</w:t>
      </w:r>
      <w:r w:rsidR="00B90C45" w:rsidRPr="00B90C45">
        <w:rPr>
          <w:color w:val="000000" w:themeColor="text1"/>
          <w:lang w:val="fr-FR"/>
        </w:rPr>
        <w:t xml:space="preserve"> </w:t>
      </w:r>
      <w:r w:rsidR="00B90C45">
        <w:rPr>
          <w:color w:val="000000" w:themeColor="text1"/>
          <w:lang w:val="fr-FR"/>
        </w:rPr>
        <w:t>à une prestation</w:t>
      </w:r>
      <w:r w:rsidR="00F1675A">
        <w:rPr>
          <w:color w:val="000000" w:themeColor="text1"/>
          <w:lang w:val="fr-FR"/>
        </w:rPr>
        <w:t>, même modeste</w:t>
      </w:r>
      <w:r w:rsidR="00B90C45">
        <w:rPr>
          <w:color w:val="000000" w:themeColor="text1"/>
          <w:lang w:val="fr-FR"/>
        </w:rPr>
        <w:t>,</w:t>
      </w:r>
      <w:r w:rsidR="00F1675A">
        <w:rPr>
          <w:color w:val="000000" w:themeColor="text1"/>
          <w:lang w:val="fr-FR"/>
        </w:rPr>
        <w:t xml:space="preserve"> constitue une rémunération</w:t>
      </w:r>
      <w:r w:rsidR="00BA41EE">
        <w:rPr>
          <w:rStyle w:val="Appelnotedebasdep"/>
          <w:color w:val="000000" w:themeColor="text1"/>
          <w:lang w:val="fr-FR"/>
        </w:rPr>
        <w:footnoteReference w:id="14"/>
      </w:r>
      <w:r w:rsidR="003516A4" w:rsidRPr="003516A4">
        <w:rPr>
          <w:color w:val="000000" w:themeColor="text1"/>
          <w:lang w:val="fr-FR"/>
        </w:rPr>
        <w:t xml:space="preserve">. </w:t>
      </w:r>
    </w:p>
    <w:p w14:paraId="7A71987C" w14:textId="77777777" w:rsidR="00423C69" w:rsidRDefault="00B90C45" w:rsidP="00900084">
      <w:pPr>
        <w:pStyle w:val="Paragraphedeliste"/>
        <w:numPr>
          <w:ilvl w:val="0"/>
          <w:numId w:val="2"/>
        </w:numPr>
        <w:jc w:val="both"/>
        <w:rPr>
          <w:color w:val="000000" w:themeColor="text1"/>
          <w:lang w:val="fr-FR"/>
        </w:rPr>
      </w:pPr>
      <w:r>
        <w:rPr>
          <w:color w:val="000000" w:themeColor="text1"/>
          <w:lang w:val="fr-FR"/>
        </w:rPr>
        <w:t xml:space="preserve">Dans son arrêt du 10 mars 2014, la Cour de </w:t>
      </w:r>
      <w:r w:rsidR="006B0D8D">
        <w:rPr>
          <w:color w:val="000000" w:themeColor="text1"/>
          <w:lang w:val="fr-FR"/>
        </w:rPr>
        <w:t>c</w:t>
      </w:r>
      <w:r>
        <w:rPr>
          <w:color w:val="000000" w:themeColor="text1"/>
          <w:lang w:val="fr-FR"/>
        </w:rPr>
        <w:t>assation</w:t>
      </w:r>
      <w:r w:rsidR="00423C69">
        <w:rPr>
          <w:color w:val="000000" w:themeColor="text1"/>
          <w:lang w:val="fr-FR"/>
        </w:rPr>
        <w:t xml:space="preserve"> </w:t>
      </w:r>
      <w:r w:rsidR="0096381B">
        <w:rPr>
          <w:color w:val="000000" w:themeColor="text1"/>
          <w:lang w:val="fr-FR"/>
        </w:rPr>
        <w:t>énonc</w:t>
      </w:r>
      <w:r w:rsidR="0034048E">
        <w:rPr>
          <w:color w:val="000000" w:themeColor="text1"/>
          <w:lang w:val="fr-FR"/>
        </w:rPr>
        <w:t>e</w:t>
      </w:r>
      <w:r w:rsidR="0096381B">
        <w:rPr>
          <w:color w:val="000000" w:themeColor="text1"/>
          <w:lang w:val="fr-FR"/>
        </w:rPr>
        <w:t xml:space="preserve"> </w:t>
      </w:r>
      <w:r>
        <w:rPr>
          <w:color w:val="000000" w:themeColor="text1"/>
          <w:lang w:val="fr-FR"/>
        </w:rPr>
        <w:t>également</w:t>
      </w:r>
      <w:r w:rsidR="00423C69">
        <w:rPr>
          <w:color w:val="000000" w:themeColor="text1"/>
          <w:lang w:val="fr-FR"/>
        </w:rPr>
        <w:t xml:space="preserve"> que le mobile qui anime le travailleur est indifférent à la qualification de la relation qui le lie à l’organisation. Le fait que le travailleur n’exerce l’activité qu’à titre de hobby, durant son temps libre et que son objectif principal ne consiste pas en l’acquisition d’un revenu</w:t>
      </w:r>
      <w:r w:rsidR="00FD5FF1">
        <w:rPr>
          <w:color w:val="000000" w:themeColor="text1"/>
          <w:lang w:val="fr-FR"/>
        </w:rPr>
        <w:t xml:space="preserve"> afin de subvenir à ses besoins</w:t>
      </w:r>
      <w:r w:rsidR="00423C69">
        <w:rPr>
          <w:color w:val="000000" w:themeColor="text1"/>
          <w:lang w:val="fr-FR"/>
        </w:rPr>
        <w:t xml:space="preserve"> ne permet pas d’exclure l’existence d’un contrat de travail.</w:t>
      </w:r>
      <w:r w:rsidR="00FD5FF1">
        <w:rPr>
          <w:color w:val="000000" w:themeColor="text1"/>
          <w:lang w:val="fr-FR"/>
        </w:rPr>
        <w:t xml:space="preserve"> L’arrêt se démarque ainsi de la thèse défendue par M. De Vos pour qui seules les activités exercées avec pour objectif pr</w:t>
      </w:r>
      <w:r w:rsidR="00A94B96">
        <w:rPr>
          <w:color w:val="000000" w:themeColor="text1"/>
          <w:lang w:val="fr-FR"/>
        </w:rPr>
        <w:t>emier</w:t>
      </w:r>
      <w:r w:rsidR="00F464EF">
        <w:rPr>
          <w:color w:val="000000" w:themeColor="text1"/>
          <w:lang w:val="fr-FR"/>
        </w:rPr>
        <w:t xml:space="preserve"> </w:t>
      </w:r>
      <w:r w:rsidR="00FD5FF1">
        <w:rPr>
          <w:color w:val="000000" w:themeColor="text1"/>
          <w:lang w:val="fr-FR"/>
        </w:rPr>
        <w:t>d’assurer la subsistance du travailleur peuvent être considérées comme du travail compris en tant qu’élément constitutif du contrat de travail</w:t>
      </w:r>
      <w:r w:rsidR="00FD5FF1">
        <w:rPr>
          <w:rStyle w:val="Appelnotedebasdep"/>
          <w:color w:val="000000" w:themeColor="text1"/>
          <w:lang w:val="fr-FR"/>
        </w:rPr>
        <w:footnoteReference w:id="15"/>
      </w:r>
      <w:r w:rsidR="00FD5FF1">
        <w:rPr>
          <w:color w:val="000000" w:themeColor="text1"/>
          <w:lang w:val="fr-FR"/>
        </w:rPr>
        <w:t>.</w:t>
      </w:r>
    </w:p>
    <w:p w14:paraId="72F3CAC6" w14:textId="77777777" w:rsidR="00423C69" w:rsidRPr="00900084" w:rsidRDefault="00423C69" w:rsidP="00900084">
      <w:pPr>
        <w:pStyle w:val="Paragraphedeliste"/>
        <w:ind w:left="1068"/>
        <w:jc w:val="both"/>
        <w:rPr>
          <w:color w:val="000000" w:themeColor="text1"/>
          <w:lang w:val="fr-FR"/>
        </w:rPr>
      </w:pPr>
    </w:p>
    <w:p w14:paraId="0DB70658" w14:textId="77777777" w:rsidR="00FC100F" w:rsidRDefault="002D752B" w:rsidP="00FC100F">
      <w:pPr>
        <w:pStyle w:val="Paragraphedeliste"/>
        <w:numPr>
          <w:ilvl w:val="0"/>
          <w:numId w:val="2"/>
        </w:numPr>
        <w:jc w:val="both"/>
        <w:rPr>
          <w:color w:val="000000" w:themeColor="text1"/>
          <w:lang w:val="fr-FR"/>
        </w:rPr>
      </w:pPr>
      <w:r>
        <w:rPr>
          <w:color w:val="000000" w:themeColor="text1"/>
          <w:lang w:val="fr-FR"/>
        </w:rPr>
        <w:t xml:space="preserve"> La notion de subordination est-elle appelée à jouer un rôle dans la distinction entre travail professionnel et travail volontaire ? </w:t>
      </w:r>
      <w:r w:rsidR="001251D1">
        <w:rPr>
          <w:color w:val="000000" w:themeColor="text1"/>
          <w:lang w:val="fr-FR"/>
        </w:rPr>
        <w:t>Si</w:t>
      </w:r>
      <w:r w:rsidR="00D92090" w:rsidRPr="002E7F38">
        <w:rPr>
          <w:color w:val="000000" w:themeColor="text1"/>
          <w:lang w:val="fr-FR"/>
        </w:rPr>
        <w:t xml:space="preserve"> </w:t>
      </w:r>
      <w:r w:rsidR="006B0D8D">
        <w:rPr>
          <w:color w:val="000000" w:themeColor="text1"/>
          <w:lang w:val="fr-FR"/>
        </w:rPr>
        <w:t xml:space="preserve">le </w:t>
      </w:r>
      <w:r w:rsidR="00D92090" w:rsidRPr="002E7F38">
        <w:rPr>
          <w:color w:val="000000" w:themeColor="text1"/>
          <w:lang w:val="fr-FR"/>
        </w:rPr>
        <w:t>contrat de travail se distingue du contrat d’entreprise par l’existence d’un lien de subordination entre le travailleur et l’</w:t>
      </w:r>
      <w:r w:rsidR="00D9305D" w:rsidRPr="002E7F38">
        <w:rPr>
          <w:color w:val="000000" w:themeColor="text1"/>
          <w:lang w:val="fr-FR"/>
        </w:rPr>
        <w:t>employeur</w:t>
      </w:r>
      <w:r w:rsidR="001251D1">
        <w:rPr>
          <w:color w:val="000000" w:themeColor="text1"/>
          <w:lang w:val="fr-FR"/>
        </w:rPr>
        <w:t>, en revanche, l</w:t>
      </w:r>
      <w:r w:rsidR="002665CB" w:rsidRPr="002E7F38">
        <w:rPr>
          <w:color w:val="000000" w:themeColor="text1"/>
          <w:lang w:val="fr-FR"/>
        </w:rPr>
        <w:t>’existence ou non d’un lien de subordination n’est pas un critère pertinent de distinction entre volontariat et travail professionnel</w:t>
      </w:r>
      <w:r w:rsidR="002665CB">
        <w:rPr>
          <w:rStyle w:val="Appelnotedebasdep"/>
          <w:color w:val="000000" w:themeColor="text1"/>
          <w:lang w:val="fr-FR"/>
        </w:rPr>
        <w:footnoteReference w:id="16"/>
      </w:r>
      <w:r w:rsidR="002665CB" w:rsidRPr="002E7F38">
        <w:rPr>
          <w:color w:val="000000" w:themeColor="text1"/>
          <w:lang w:val="fr-FR"/>
        </w:rPr>
        <w:t>.</w:t>
      </w:r>
      <w:r w:rsidR="003A1777">
        <w:rPr>
          <w:color w:val="000000" w:themeColor="text1"/>
          <w:lang w:val="fr-FR"/>
        </w:rPr>
        <w:t xml:space="preserve"> </w:t>
      </w:r>
      <w:r w:rsidR="001251D1">
        <w:rPr>
          <w:color w:val="000000" w:themeColor="text1"/>
          <w:lang w:val="fr-FR"/>
        </w:rPr>
        <w:t xml:space="preserve">Il existe donc des volontaires subordonnés et des volontaires qui ne le sont pas. </w:t>
      </w:r>
      <w:r w:rsidR="00DA01F4" w:rsidRPr="002E7F38">
        <w:rPr>
          <w:color w:val="000000" w:themeColor="text1"/>
          <w:lang w:val="fr-FR"/>
        </w:rPr>
        <w:t>L’exclusion de la qualification de volontariat retenue par les parties</w:t>
      </w:r>
      <w:r w:rsidR="001251D1">
        <w:rPr>
          <w:color w:val="000000" w:themeColor="text1"/>
          <w:lang w:val="fr-FR"/>
        </w:rPr>
        <w:t>, au motif que les prestations ne sont pas gratuites,</w:t>
      </w:r>
      <w:r w:rsidR="00DA01F4" w:rsidRPr="002E7F38">
        <w:rPr>
          <w:color w:val="000000" w:themeColor="text1"/>
          <w:lang w:val="fr-FR"/>
        </w:rPr>
        <w:t xml:space="preserve"> n’entraînera donc pas nécessairement une requalification de la relation en contrat de travail</w:t>
      </w:r>
      <w:r w:rsidR="001251D1">
        <w:rPr>
          <w:color w:val="000000" w:themeColor="text1"/>
          <w:lang w:val="fr-FR"/>
        </w:rPr>
        <w:t>, si un lien de subordination n’est pas constaté</w:t>
      </w:r>
      <w:r w:rsidR="00E83A40">
        <w:rPr>
          <w:rStyle w:val="Appelnotedebasdep"/>
          <w:color w:val="000000" w:themeColor="text1"/>
          <w:lang w:val="fr-FR"/>
        </w:rPr>
        <w:footnoteReference w:id="17"/>
      </w:r>
      <w:r w:rsidR="00FC100F">
        <w:rPr>
          <w:color w:val="000000" w:themeColor="text1"/>
          <w:lang w:val="fr-FR"/>
        </w:rPr>
        <w:t>.</w:t>
      </w:r>
    </w:p>
    <w:p w14:paraId="417B0D8C" w14:textId="77777777" w:rsidR="00BF5FD9" w:rsidRDefault="00FC100F" w:rsidP="00FC100F">
      <w:pPr>
        <w:jc w:val="both"/>
        <w:rPr>
          <w:color w:val="000000" w:themeColor="text1"/>
          <w:lang w:val="fr-FR"/>
        </w:rPr>
      </w:pPr>
      <w:r>
        <w:rPr>
          <w:color w:val="000000" w:themeColor="text1"/>
          <w:lang w:val="fr-FR"/>
        </w:rPr>
        <w:lastRenderedPageBreak/>
        <w:tab/>
      </w:r>
      <w:r w:rsidR="00D926BD">
        <w:rPr>
          <w:color w:val="000000" w:themeColor="text1"/>
          <w:lang w:val="fr-FR"/>
        </w:rPr>
        <w:t xml:space="preserve">Lorsque le </w:t>
      </w:r>
      <w:r w:rsidR="00001E8D">
        <w:rPr>
          <w:color w:val="000000" w:themeColor="text1"/>
          <w:lang w:val="fr-FR"/>
        </w:rPr>
        <w:t>volontaire exerce</w:t>
      </w:r>
      <w:r w:rsidR="003C770D">
        <w:rPr>
          <w:color w:val="000000" w:themeColor="text1"/>
          <w:lang w:val="fr-FR"/>
        </w:rPr>
        <w:t xml:space="preserve"> s</w:t>
      </w:r>
      <w:r w:rsidR="00D926BD">
        <w:rPr>
          <w:color w:val="000000" w:themeColor="text1"/>
          <w:lang w:val="fr-FR"/>
        </w:rPr>
        <w:t>es</w:t>
      </w:r>
      <w:r w:rsidR="00001E8D">
        <w:rPr>
          <w:color w:val="000000" w:themeColor="text1"/>
          <w:lang w:val="fr-FR"/>
        </w:rPr>
        <w:t xml:space="preserve"> activités sous l’autorité de</w:t>
      </w:r>
      <w:r w:rsidR="00D926BD">
        <w:rPr>
          <w:color w:val="000000" w:themeColor="text1"/>
          <w:lang w:val="fr-FR"/>
        </w:rPr>
        <w:t xml:space="preserve"> l’</w:t>
      </w:r>
      <w:r w:rsidR="00001E8D">
        <w:rPr>
          <w:color w:val="000000" w:themeColor="text1"/>
          <w:lang w:val="fr-FR"/>
        </w:rPr>
        <w:t xml:space="preserve">organisation qui </w:t>
      </w:r>
      <w:r w:rsidR="00D926BD">
        <w:rPr>
          <w:color w:val="000000" w:themeColor="text1"/>
          <w:lang w:val="fr-FR"/>
        </w:rPr>
        <w:t xml:space="preserve">a </w:t>
      </w:r>
      <w:r w:rsidR="00001E8D">
        <w:rPr>
          <w:color w:val="000000" w:themeColor="text1"/>
          <w:lang w:val="fr-FR"/>
        </w:rPr>
        <w:t xml:space="preserve">recours à </w:t>
      </w:r>
      <w:r w:rsidR="00D926BD">
        <w:rPr>
          <w:color w:val="000000" w:themeColor="text1"/>
          <w:lang w:val="fr-FR"/>
        </w:rPr>
        <w:t>se</w:t>
      </w:r>
      <w:r w:rsidR="00001E8D">
        <w:rPr>
          <w:color w:val="000000" w:themeColor="text1"/>
          <w:lang w:val="fr-FR"/>
        </w:rPr>
        <w:t>s services</w:t>
      </w:r>
      <w:r w:rsidR="003A3B9A">
        <w:rPr>
          <w:color w:val="000000" w:themeColor="text1"/>
          <w:lang w:val="fr-FR"/>
        </w:rPr>
        <w:t>,</w:t>
      </w:r>
      <w:r w:rsidR="00BF5FD9">
        <w:rPr>
          <w:color w:val="000000" w:themeColor="text1"/>
          <w:lang w:val="fr-FR"/>
        </w:rPr>
        <w:t xml:space="preserve"> ces activités tombent dans le champ d’application d’</w:t>
      </w:r>
      <w:r w:rsidR="00001E8D">
        <w:rPr>
          <w:color w:val="000000" w:themeColor="text1"/>
          <w:lang w:val="fr-FR"/>
        </w:rPr>
        <w:t>un</w:t>
      </w:r>
      <w:r w:rsidR="001D13B6">
        <w:rPr>
          <w:color w:val="000000" w:themeColor="text1"/>
          <w:lang w:val="fr-FR"/>
        </w:rPr>
        <w:t xml:space="preserve"> ensemble</w:t>
      </w:r>
      <w:r w:rsidR="00001E8D">
        <w:rPr>
          <w:color w:val="000000" w:themeColor="text1"/>
          <w:lang w:val="fr-FR"/>
        </w:rPr>
        <w:t xml:space="preserve"> de lois </w:t>
      </w:r>
      <w:r w:rsidR="00E06282">
        <w:rPr>
          <w:color w:val="000000" w:themeColor="text1"/>
          <w:lang w:val="fr-FR"/>
        </w:rPr>
        <w:t>réglementant le</w:t>
      </w:r>
      <w:r w:rsidR="00001E8D">
        <w:rPr>
          <w:color w:val="000000" w:themeColor="text1"/>
          <w:lang w:val="fr-FR"/>
        </w:rPr>
        <w:t xml:space="preserve"> travail</w:t>
      </w:r>
      <w:r w:rsidR="003A3B9A">
        <w:rPr>
          <w:color w:val="000000" w:themeColor="text1"/>
          <w:lang w:val="fr-FR"/>
        </w:rPr>
        <w:t xml:space="preserve"> et</w:t>
      </w:r>
      <w:r w:rsidR="00001E8D">
        <w:rPr>
          <w:color w:val="000000" w:themeColor="text1"/>
          <w:lang w:val="fr-FR"/>
        </w:rPr>
        <w:t xml:space="preserve"> dont le champ d’application est envisagé de façon large</w:t>
      </w:r>
      <w:r w:rsidR="003A1777">
        <w:rPr>
          <w:color w:val="000000" w:themeColor="text1"/>
          <w:lang w:val="fr-FR"/>
        </w:rPr>
        <w:t>.</w:t>
      </w:r>
      <w:r w:rsidR="003A1777" w:rsidRPr="003A1777">
        <w:t xml:space="preserve"> </w:t>
      </w:r>
      <w:r w:rsidR="003A1777">
        <w:t>Leurs dispositions s’appliquent en effet en tout premier lieu au travailleur salarié, mais également « aux personnes qui autrement qu’en vertu d’un contrat de louage de travail fournissent des prestations de travail sous l’autorité d’une autre personne</w:t>
      </w:r>
      <w:r w:rsidR="00B90C45">
        <w:t> »</w:t>
      </w:r>
      <w:r w:rsidR="003A1777">
        <w:rPr>
          <w:rStyle w:val="Appelnotedebasdep"/>
          <w:color w:val="000000" w:themeColor="text1"/>
          <w:lang w:val="fr-FR"/>
        </w:rPr>
        <w:footnoteReference w:id="18"/>
      </w:r>
      <w:r w:rsidR="003A1777">
        <w:t>.</w:t>
      </w:r>
      <w:r w:rsidR="00763C8F">
        <w:t xml:space="preserve"> </w:t>
      </w:r>
      <w:r w:rsidR="003A1777">
        <w:rPr>
          <w:color w:val="000000" w:themeColor="text1"/>
          <w:lang w:val="fr-FR"/>
        </w:rPr>
        <w:t>Elles</w:t>
      </w:r>
      <w:r w:rsidR="00001E8D">
        <w:rPr>
          <w:color w:val="000000" w:themeColor="text1"/>
          <w:lang w:val="fr-FR"/>
        </w:rPr>
        <w:t xml:space="preserve"> trouve</w:t>
      </w:r>
      <w:r w:rsidR="003A1777">
        <w:rPr>
          <w:color w:val="000000" w:themeColor="text1"/>
          <w:lang w:val="fr-FR"/>
        </w:rPr>
        <w:t>nt</w:t>
      </w:r>
      <w:r w:rsidR="00001E8D">
        <w:rPr>
          <w:color w:val="000000" w:themeColor="text1"/>
          <w:lang w:val="fr-FR"/>
        </w:rPr>
        <w:t xml:space="preserve"> </w:t>
      </w:r>
      <w:r w:rsidR="003A1777">
        <w:rPr>
          <w:color w:val="000000" w:themeColor="text1"/>
          <w:lang w:val="fr-FR"/>
        </w:rPr>
        <w:t xml:space="preserve">donc </w:t>
      </w:r>
      <w:r w:rsidR="00001E8D">
        <w:rPr>
          <w:color w:val="000000" w:themeColor="text1"/>
          <w:lang w:val="fr-FR"/>
        </w:rPr>
        <w:t>à s’appliquer au travailleur volontaire subordonné à son organisation</w:t>
      </w:r>
      <w:r w:rsidR="00001E8D">
        <w:rPr>
          <w:rStyle w:val="Appelnotedebasdep"/>
          <w:color w:val="000000" w:themeColor="text1"/>
          <w:lang w:val="fr-FR"/>
        </w:rPr>
        <w:footnoteReference w:id="19"/>
      </w:r>
      <w:r w:rsidR="00001E8D">
        <w:rPr>
          <w:color w:val="000000" w:themeColor="text1"/>
          <w:lang w:val="fr-FR"/>
        </w:rPr>
        <w:t>.</w:t>
      </w:r>
    </w:p>
    <w:p w14:paraId="28C39AD0" w14:textId="77777777" w:rsidR="00BF5FD9" w:rsidRPr="00900084" w:rsidRDefault="006C5309" w:rsidP="00900084">
      <w:pPr>
        <w:pStyle w:val="Paragraphedeliste"/>
        <w:numPr>
          <w:ilvl w:val="0"/>
          <w:numId w:val="2"/>
        </w:numPr>
        <w:jc w:val="both"/>
        <w:rPr>
          <w:color w:val="000000" w:themeColor="text1"/>
          <w:lang w:val="fr-FR"/>
        </w:rPr>
      </w:pPr>
      <w:r w:rsidRPr="00900084">
        <w:rPr>
          <w:color w:val="000000" w:themeColor="text1"/>
          <w:lang w:val="fr-FR"/>
        </w:rPr>
        <w:t>La situation est donc</w:t>
      </w:r>
      <w:r w:rsidR="00D21F9E" w:rsidRPr="00900084">
        <w:rPr>
          <w:color w:val="000000" w:themeColor="text1"/>
          <w:lang w:val="fr-FR"/>
        </w:rPr>
        <w:t xml:space="preserve"> en principe</w:t>
      </w:r>
      <w:r w:rsidRPr="00900084">
        <w:rPr>
          <w:color w:val="000000" w:themeColor="text1"/>
          <w:lang w:val="fr-FR"/>
        </w:rPr>
        <w:t xml:space="preserve"> claire.</w:t>
      </w:r>
      <w:r w:rsidR="00FD5FF1" w:rsidRPr="00900084">
        <w:rPr>
          <w:color w:val="000000" w:themeColor="text1"/>
          <w:lang w:val="fr-FR"/>
        </w:rPr>
        <w:t xml:space="preserve"> Seule l’existence d’une rémunération peut distinguer le travail volontaire du travail </w:t>
      </w:r>
      <w:r w:rsidR="00E16E39">
        <w:rPr>
          <w:color w:val="000000" w:themeColor="text1"/>
          <w:lang w:val="fr-FR"/>
        </w:rPr>
        <w:t>professionnel</w:t>
      </w:r>
      <w:r w:rsidR="00FD5FF1" w:rsidRPr="00900084">
        <w:rPr>
          <w:color w:val="000000" w:themeColor="text1"/>
          <w:lang w:val="fr-FR"/>
        </w:rPr>
        <w:t>.</w:t>
      </w:r>
      <w:r w:rsidRPr="00900084">
        <w:rPr>
          <w:color w:val="000000" w:themeColor="text1"/>
          <w:lang w:val="fr-FR"/>
        </w:rPr>
        <w:t xml:space="preserve"> Un volontaire ne peut pas percevoir de rémunération, même modeste, dans le cadre de ses activités de volontariat. Dans le cas contraire, le juge sera amené à requalifier la relation</w:t>
      </w:r>
      <w:r w:rsidR="00735BF4">
        <w:rPr>
          <w:color w:val="000000" w:themeColor="text1"/>
          <w:lang w:val="fr-FR"/>
        </w:rPr>
        <w:t xml:space="preserve"> soit</w:t>
      </w:r>
      <w:r w:rsidRPr="00900084">
        <w:rPr>
          <w:color w:val="000000" w:themeColor="text1"/>
          <w:lang w:val="fr-FR"/>
        </w:rPr>
        <w:t xml:space="preserve"> en contrat de travail</w:t>
      </w:r>
      <w:r w:rsidR="00735BF4">
        <w:rPr>
          <w:color w:val="000000" w:themeColor="text1"/>
          <w:lang w:val="fr-FR"/>
        </w:rPr>
        <w:t xml:space="preserve"> si l’activité est accomplie dans un lien de subordination, soit en contrat d’entreprise ou en tout type de contrat exempt de rapport d’autorité</w:t>
      </w:r>
      <w:r w:rsidRPr="00900084">
        <w:rPr>
          <w:color w:val="000000" w:themeColor="text1"/>
          <w:lang w:val="fr-FR"/>
        </w:rPr>
        <w:t xml:space="preserve">. </w:t>
      </w:r>
      <w:r w:rsidR="00D21F9E" w:rsidRPr="00900084">
        <w:rPr>
          <w:color w:val="000000" w:themeColor="text1"/>
          <w:lang w:val="fr-FR"/>
        </w:rPr>
        <w:t>On remarque cependant l’évocation par la doctrine, dès les prémisses de la réflexion doctrinale sur le volontariat, de l’existence d’une « zone grise » entre volontariat et travail professionnel. Les activités concernées sont fréquemment groupées dans la littérature sous le vocable de « travail semi-agoral », néologisme élaboré par les auteurs du nord du pays</w:t>
      </w:r>
      <w:r w:rsidR="00D21F9E">
        <w:rPr>
          <w:rStyle w:val="Appelnotedebasdep"/>
          <w:color w:val="000000" w:themeColor="text1"/>
          <w:lang w:val="fr-FR"/>
        </w:rPr>
        <w:footnoteReference w:id="20"/>
      </w:r>
      <w:r w:rsidR="00D21F9E" w:rsidRPr="00900084">
        <w:rPr>
          <w:color w:val="000000" w:themeColor="text1"/>
          <w:lang w:val="fr-FR"/>
        </w:rPr>
        <w:t>.  Le terme est assez connoté, puisqu’il donne à penser que ce type d’activité revêt un caractère si particulier qu</w:t>
      </w:r>
      <w:r w:rsidR="00953FF9" w:rsidRPr="00900084">
        <w:rPr>
          <w:color w:val="000000" w:themeColor="text1"/>
          <w:lang w:val="fr-FR"/>
        </w:rPr>
        <w:t>’i</w:t>
      </w:r>
      <w:r w:rsidR="00F1675A" w:rsidRPr="00900084">
        <w:rPr>
          <w:color w:val="000000" w:themeColor="text1"/>
          <w:lang w:val="fr-FR"/>
        </w:rPr>
        <w:t>l appelle un traitement distinct</w:t>
      </w:r>
      <w:r w:rsidR="007420A7">
        <w:rPr>
          <w:color w:val="000000" w:themeColor="text1"/>
          <w:lang w:val="fr-FR"/>
        </w:rPr>
        <w:t xml:space="preserve"> de la part du législateur</w:t>
      </w:r>
      <w:r w:rsidR="00953FF9" w:rsidRPr="00900084">
        <w:rPr>
          <w:color w:val="000000" w:themeColor="text1"/>
          <w:lang w:val="fr-FR"/>
        </w:rPr>
        <w:t xml:space="preserve">. </w:t>
      </w:r>
      <w:r w:rsidR="00AC7660">
        <w:rPr>
          <w:color w:val="000000" w:themeColor="text1"/>
          <w:lang w:val="fr-FR"/>
        </w:rPr>
        <w:t>Néanmoins, p</w:t>
      </w:r>
      <w:r w:rsidR="00953FF9" w:rsidRPr="00900084">
        <w:rPr>
          <w:color w:val="000000" w:themeColor="text1"/>
          <w:lang w:val="fr-FR"/>
        </w:rPr>
        <w:t>our éviter d’abus</w:t>
      </w:r>
      <w:r w:rsidR="00883C6E" w:rsidRPr="00900084">
        <w:rPr>
          <w:color w:val="000000" w:themeColor="text1"/>
          <w:lang w:val="fr-FR"/>
        </w:rPr>
        <w:t>er de périphrases trop lourdes dans les développements qui vont suivre, nous l</w:t>
      </w:r>
      <w:r w:rsidR="00AC7660" w:rsidRPr="00427F1E">
        <w:rPr>
          <w:color w:val="000000" w:themeColor="text1"/>
          <w:lang w:val="fr-FR"/>
        </w:rPr>
        <w:t>’utiliserons</w:t>
      </w:r>
      <w:r w:rsidR="00883C6E" w:rsidRPr="00900084">
        <w:rPr>
          <w:color w:val="000000" w:themeColor="text1"/>
          <w:lang w:val="fr-FR"/>
        </w:rPr>
        <w:t>, faute de mieux.</w:t>
      </w:r>
      <w:r w:rsidR="00D21F9E" w:rsidRPr="00900084">
        <w:rPr>
          <w:color w:val="000000" w:themeColor="text1"/>
          <w:lang w:val="fr-FR"/>
        </w:rPr>
        <w:t xml:space="preserve"> </w:t>
      </w:r>
      <w:r w:rsidRPr="00900084">
        <w:rPr>
          <w:color w:val="000000" w:themeColor="text1"/>
          <w:lang w:val="fr-FR"/>
        </w:rPr>
        <w:t xml:space="preserve"> </w:t>
      </w:r>
    </w:p>
    <w:p w14:paraId="7316E710" w14:textId="77777777" w:rsidR="00BF5FD9" w:rsidRDefault="00BF5FD9" w:rsidP="00900084">
      <w:pPr>
        <w:pStyle w:val="Paragraphedeliste"/>
        <w:rPr>
          <w:color w:val="000000" w:themeColor="text1"/>
          <w:lang w:val="fr-FR"/>
        </w:rPr>
      </w:pPr>
    </w:p>
    <w:p w14:paraId="50AB5848" w14:textId="77777777" w:rsidR="00BF5FD9" w:rsidRPr="00900084" w:rsidRDefault="00BF5FD9" w:rsidP="00900084">
      <w:pPr>
        <w:pStyle w:val="Paragraphedeliste"/>
        <w:rPr>
          <w:b/>
          <w:lang w:val="fr-FR"/>
        </w:rPr>
      </w:pPr>
      <w:r>
        <w:rPr>
          <w:b/>
          <w:color w:val="000000" w:themeColor="text1"/>
          <w:lang w:val="fr-FR"/>
        </w:rPr>
        <w:t xml:space="preserve">ii.          </w:t>
      </w:r>
      <w:r w:rsidR="00E34ACE" w:rsidRPr="00900084">
        <w:rPr>
          <w:b/>
          <w:lang w:val="fr-FR"/>
        </w:rPr>
        <w:t>L</w:t>
      </w:r>
      <w:r w:rsidR="00883C6E" w:rsidRPr="00900084">
        <w:rPr>
          <w:b/>
          <w:lang w:val="fr-FR"/>
        </w:rPr>
        <w:t>e travail semi-agoral</w:t>
      </w:r>
    </w:p>
    <w:p w14:paraId="5866AB94" w14:textId="77777777" w:rsidR="00E34ACE" w:rsidRPr="00427F1E" w:rsidRDefault="00E34ACE" w:rsidP="00900084">
      <w:pPr>
        <w:pStyle w:val="Paragraphedeliste"/>
        <w:rPr>
          <w:lang w:val="fr-FR"/>
        </w:rPr>
      </w:pPr>
    </w:p>
    <w:p w14:paraId="75D13C68" w14:textId="77777777" w:rsidR="00985C3B" w:rsidRPr="002E7F38" w:rsidRDefault="00CC3E82" w:rsidP="002E7F38">
      <w:pPr>
        <w:pStyle w:val="Paragraphedeliste"/>
        <w:numPr>
          <w:ilvl w:val="0"/>
          <w:numId w:val="2"/>
        </w:numPr>
        <w:jc w:val="both"/>
        <w:rPr>
          <w:lang w:val="fr-FR"/>
        </w:rPr>
      </w:pPr>
      <w:r>
        <w:rPr>
          <w:lang w:val="fr-FR"/>
        </w:rPr>
        <w:t xml:space="preserve"> </w:t>
      </w:r>
      <w:r w:rsidR="007D465F" w:rsidRPr="002E7F38">
        <w:rPr>
          <w:lang w:val="fr-FR"/>
        </w:rPr>
        <w:t xml:space="preserve">La pertinence de la dichotomie entre travail professionnel et volontariat pour certaines catégories de prestations réalisées dans le secteur associatif, telles que celles fournies par les accompagnateurs sportifs par exemple, a fait l’objet de nombreux débats </w:t>
      </w:r>
      <w:r w:rsidR="003A1777">
        <w:rPr>
          <w:lang w:val="fr-FR"/>
        </w:rPr>
        <w:t>et ce dès les premières études consacrées au volontariat</w:t>
      </w:r>
      <w:r w:rsidR="005F2488">
        <w:rPr>
          <w:lang w:val="fr-FR"/>
        </w:rPr>
        <w:t>.</w:t>
      </w:r>
      <w:r w:rsidR="001A476F" w:rsidRPr="002E7F38">
        <w:rPr>
          <w:lang w:val="fr-FR"/>
        </w:rPr>
        <w:t xml:space="preserve"> </w:t>
      </w:r>
    </w:p>
    <w:p w14:paraId="77075458" w14:textId="77777777" w:rsidR="009F2B6F" w:rsidRDefault="009F2B6F" w:rsidP="004458E6">
      <w:pPr>
        <w:jc w:val="both"/>
        <w:rPr>
          <w:lang w:val="fr-FR"/>
        </w:rPr>
      </w:pPr>
      <w:r>
        <w:rPr>
          <w:lang w:val="fr-FR"/>
        </w:rPr>
        <w:tab/>
      </w:r>
      <w:r w:rsidR="003F7FAC">
        <w:rPr>
          <w:lang w:val="fr-FR"/>
        </w:rPr>
        <w:t>Selon ce</w:t>
      </w:r>
      <w:r w:rsidR="00D92CC7">
        <w:rPr>
          <w:lang w:val="fr-FR"/>
        </w:rPr>
        <w:t>rtain</w:t>
      </w:r>
      <w:r w:rsidR="003F7FAC">
        <w:rPr>
          <w:lang w:val="fr-FR"/>
        </w:rPr>
        <w:t>s chercheurs, ces activités, réalisées moyennant une</w:t>
      </w:r>
      <w:r w:rsidR="00FE3E59">
        <w:rPr>
          <w:lang w:val="fr-FR"/>
        </w:rPr>
        <w:t xml:space="preserve"> faible contrepartie financière, ne pourraient être rattachées avec certitude au droit du travail ou au droit des volontaires. Ils regroupent ces activités sous le vocable de travail semi-agoral. Comme il ne s’agit pas d’une catégorie légale, ses contours sont assez flous. M. Bouckaert et Mme Van Buggenhout</w:t>
      </w:r>
      <w:r w:rsidR="003E7E51">
        <w:rPr>
          <w:lang w:val="fr-FR"/>
        </w:rPr>
        <w:t xml:space="preserve"> ont proposé</w:t>
      </w:r>
      <w:r w:rsidR="001D13B6">
        <w:rPr>
          <w:lang w:val="fr-FR"/>
        </w:rPr>
        <w:t xml:space="preserve"> une liste</w:t>
      </w:r>
      <w:r w:rsidR="00FE3E59">
        <w:rPr>
          <w:lang w:val="fr-FR"/>
        </w:rPr>
        <w:t xml:space="preserve"> d’éléments qui leurs paraissent récurrents</w:t>
      </w:r>
      <w:r w:rsidR="004B1ACC">
        <w:rPr>
          <w:lang w:val="fr-FR"/>
        </w:rPr>
        <w:t> :</w:t>
      </w:r>
      <w:r w:rsidR="00FE3E59">
        <w:rPr>
          <w:lang w:val="fr-FR"/>
        </w:rPr>
        <w:t xml:space="preserve"> </w:t>
      </w:r>
    </w:p>
    <w:p w14:paraId="6F3BA9D4" w14:textId="77777777" w:rsidR="00D524BA" w:rsidRDefault="00D524BA" w:rsidP="00D524BA">
      <w:pPr>
        <w:pStyle w:val="Paragraphedeliste"/>
        <w:numPr>
          <w:ilvl w:val="0"/>
          <w:numId w:val="1"/>
        </w:numPr>
        <w:jc w:val="both"/>
        <w:rPr>
          <w:lang w:val="fr-FR"/>
        </w:rPr>
      </w:pPr>
      <w:r>
        <w:rPr>
          <w:lang w:val="fr-FR"/>
        </w:rPr>
        <w:t>Le travailleur semi-agoral fourni</w:t>
      </w:r>
      <w:r w:rsidR="00FE3E59">
        <w:rPr>
          <w:lang w:val="fr-FR"/>
        </w:rPr>
        <w:t>rai</w:t>
      </w:r>
      <w:r>
        <w:rPr>
          <w:lang w:val="fr-FR"/>
        </w:rPr>
        <w:t>t des prestations à haute valeur ajoutée sociétale</w:t>
      </w:r>
      <w:r w:rsidR="004B1ACC">
        <w:rPr>
          <w:rStyle w:val="Appelnotedebasdep"/>
          <w:lang w:val="fr-FR"/>
        </w:rPr>
        <w:footnoteReference w:id="21"/>
      </w:r>
      <w:r>
        <w:rPr>
          <w:lang w:val="fr-FR"/>
        </w:rPr>
        <w:t>.</w:t>
      </w:r>
    </w:p>
    <w:p w14:paraId="5EEF1F94" w14:textId="77777777" w:rsidR="004419CC" w:rsidRPr="00D524BA" w:rsidRDefault="004419CC" w:rsidP="00D524BA">
      <w:pPr>
        <w:pStyle w:val="Paragraphedeliste"/>
        <w:numPr>
          <w:ilvl w:val="0"/>
          <w:numId w:val="1"/>
        </w:numPr>
        <w:jc w:val="both"/>
        <w:rPr>
          <w:lang w:val="fr-FR"/>
        </w:rPr>
      </w:pPr>
      <w:r>
        <w:rPr>
          <w:lang w:val="fr-FR"/>
        </w:rPr>
        <w:lastRenderedPageBreak/>
        <w:t>L’activité est exercée par le travailleur semi-agoral pendant ses loisirs</w:t>
      </w:r>
      <w:r>
        <w:rPr>
          <w:rStyle w:val="Appelnotedebasdep"/>
          <w:lang w:val="fr-FR"/>
        </w:rPr>
        <w:footnoteReference w:id="22"/>
      </w:r>
      <w:r>
        <w:rPr>
          <w:lang w:val="fr-FR"/>
        </w:rPr>
        <w:t xml:space="preserve">. </w:t>
      </w:r>
    </w:p>
    <w:p w14:paraId="169B4A75" w14:textId="77777777" w:rsidR="00D524BA" w:rsidRDefault="00D524BA" w:rsidP="00D524BA">
      <w:pPr>
        <w:pStyle w:val="Paragraphedeliste"/>
        <w:numPr>
          <w:ilvl w:val="0"/>
          <w:numId w:val="1"/>
        </w:numPr>
        <w:jc w:val="both"/>
        <w:rPr>
          <w:lang w:val="fr-FR"/>
        </w:rPr>
      </w:pPr>
      <w:r>
        <w:rPr>
          <w:lang w:val="fr-FR"/>
        </w:rPr>
        <w:t>Le prestataire reçoit une contrepartie qui dépasse la simple indemnisation des frais telle qu’</w:t>
      </w:r>
      <w:r w:rsidR="00271F7C">
        <w:rPr>
          <w:lang w:val="fr-FR"/>
        </w:rPr>
        <w:t xml:space="preserve">elle est </w:t>
      </w:r>
      <w:r>
        <w:rPr>
          <w:lang w:val="fr-FR"/>
        </w:rPr>
        <w:t>admise dans le cadre du travail volontaire</w:t>
      </w:r>
      <w:r w:rsidR="009359B7">
        <w:rPr>
          <w:rStyle w:val="Appelnotedebasdep"/>
          <w:lang w:val="fr-FR"/>
        </w:rPr>
        <w:footnoteReference w:id="23"/>
      </w:r>
      <w:r>
        <w:rPr>
          <w:lang w:val="fr-FR"/>
        </w:rPr>
        <w:t>.</w:t>
      </w:r>
      <w:r w:rsidR="00E86BD1">
        <w:rPr>
          <w:lang w:val="fr-FR"/>
        </w:rPr>
        <w:t xml:space="preserve"> </w:t>
      </w:r>
      <w:r w:rsidR="002718C0">
        <w:rPr>
          <w:lang w:val="fr-FR"/>
        </w:rPr>
        <w:t>L</w:t>
      </w:r>
      <w:r w:rsidR="00E06282">
        <w:rPr>
          <w:lang w:val="fr-FR"/>
        </w:rPr>
        <w:t xml:space="preserve">e travailleur </w:t>
      </w:r>
      <w:r w:rsidR="00735BF4">
        <w:rPr>
          <w:lang w:val="fr-FR"/>
        </w:rPr>
        <w:t>semi-agoral</w:t>
      </w:r>
      <w:r w:rsidR="00E06282">
        <w:rPr>
          <w:lang w:val="fr-FR"/>
        </w:rPr>
        <w:t xml:space="preserve"> </w:t>
      </w:r>
      <w:r w:rsidR="002718C0">
        <w:rPr>
          <w:lang w:val="fr-FR"/>
        </w:rPr>
        <w:t xml:space="preserve">qui </w:t>
      </w:r>
      <w:r w:rsidR="00E06282">
        <w:rPr>
          <w:lang w:val="fr-FR"/>
        </w:rPr>
        <w:t>se trouve dans une situation de subordination vis-à-vis de l’organisation qui a recours à ses services devrait donc être considéré comme un travailleur salarié.</w:t>
      </w:r>
    </w:p>
    <w:p w14:paraId="5E842E3D" w14:textId="77777777" w:rsidR="009359B7" w:rsidRDefault="00D524BA" w:rsidP="009359B7">
      <w:pPr>
        <w:pStyle w:val="Paragraphedeliste"/>
        <w:numPr>
          <w:ilvl w:val="0"/>
          <w:numId w:val="1"/>
        </w:numPr>
        <w:jc w:val="both"/>
        <w:rPr>
          <w:lang w:val="fr-FR"/>
        </w:rPr>
      </w:pPr>
      <w:r>
        <w:rPr>
          <w:lang w:val="fr-FR"/>
        </w:rPr>
        <w:t>Le montant de la contrepartie reçue par le travailleur semi-agoral n</w:t>
      </w:r>
      <w:r w:rsidR="00FE3E59">
        <w:rPr>
          <w:lang w:val="fr-FR"/>
        </w:rPr>
        <w:t>e serait</w:t>
      </w:r>
      <w:r>
        <w:rPr>
          <w:lang w:val="fr-FR"/>
        </w:rPr>
        <w:t xml:space="preserve"> pas déterminé par le « mécanisme de formation du prix » tel qu’on le trouve sur le marché du travail</w:t>
      </w:r>
      <w:r w:rsidR="00821986">
        <w:rPr>
          <w:rStyle w:val="Appelnotedebasdep"/>
          <w:lang w:val="fr-FR"/>
        </w:rPr>
        <w:footnoteReference w:id="24"/>
      </w:r>
      <w:r>
        <w:rPr>
          <w:lang w:val="fr-FR"/>
        </w:rPr>
        <w:t>.  </w:t>
      </w:r>
      <w:r w:rsidR="00FE3E59">
        <w:rPr>
          <w:lang w:val="fr-FR"/>
        </w:rPr>
        <w:t>Autremen</w:t>
      </w:r>
      <w:r w:rsidR="00EC6CA9">
        <w:rPr>
          <w:lang w:val="fr-FR"/>
        </w:rPr>
        <w:t xml:space="preserve">t dit, la contrepartie reçue par le travailleur semi-agoral pour ses prestations est inférieure à celle à laquelle il aurait eu droit s’il les avait accomplies dans un cadre professionnel. </w:t>
      </w:r>
    </w:p>
    <w:p w14:paraId="0FEEBBCC" w14:textId="77777777" w:rsidR="004B3870" w:rsidRPr="004419CC" w:rsidRDefault="004B3870" w:rsidP="004419CC">
      <w:pPr>
        <w:pStyle w:val="Paragraphedeliste"/>
        <w:numPr>
          <w:ilvl w:val="0"/>
          <w:numId w:val="1"/>
        </w:numPr>
        <w:jc w:val="both"/>
        <w:rPr>
          <w:lang w:val="fr-FR"/>
        </w:rPr>
      </w:pPr>
      <w:r>
        <w:rPr>
          <w:lang w:val="fr-FR"/>
        </w:rPr>
        <w:t>Le but de lucre serait plus difficile à déceler chez le travailleur semi-agoral alors qu’il s’agit de la principale motivation de l’exercice d’une activité par un travailleur professionnel</w:t>
      </w:r>
      <w:r>
        <w:rPr>
          <w:rStyle w:val="Appelnotedebasdep"/>
          <w:lang w:val="fr-FR"/>
        </w:rPr>
        <w:footnoteReference w:id="25"/>
      </w:r>
      <w:r>
        <w:rPr>
          <w:lang w:val="fr-FR"/>
        </w:rPr>
        <w:t>.</w:t>
      </w:r>
      <w:r w:rsidR="00EC6CA9">
        <w:rPr>
          <w:lang w:val="fr-FR"/>
        </w:rPr>
        <w:t xml:space="preserve"> Cette considération doit être rapprochée de la thèse de M. De Vos qui, nous l’avons vu, a été rejetée par la Cour de </w:t>
      </w:r>
      <w:r w:rsidR="003E792A">
        <w:rPr>
          <w:lang w:val="fr-FR"/>
        </w:rPr>
        <w:t>c</w:t>
      </w:r>
      <w:r w:rsidR="00EC6CA9">
        <w:rPr>
          <w:lang w:val="fr-FR"/>
        </w:rPr>
        <w:t xml:space="preserve">assation dans son arrêt de 2014. </w:t>
      </w:r>
    </w:p>
    <w:p w14:paraId="54A72839" w14:textId="77777777" w:rsidR="004B3870" w:rsidRDefault="004B3870" w:rsidP="004B3870">
      <w:pPr>
        <w:pStyle w:val="Paragraphedeliste"/>
        <w:numPr>
          <w:ilvl w:val="0"/>
          <w:numId w:val="1"/>
        </w:numPr>
        <w:jc w:val="both"/>
        <w:rPr>
          <w:lang w:val="fr-FR"/>
        </w:rPr>
      </w:pPr>
      <w:r>
        <w:rPr>
          <w:lang w:val="fr-FR"/>
        </w:rPr>
        <w:t>L’activité revêt un caractère souvent occasionnel et ne génère de revenu qu’à titre complémentaire. Le travailleur semi-agoral exerce toujours une activité lucrative à titre principal</w:t>
      </w:r>
      <w:r>
        <w:rPr>
          <w:rStyle w:val="Appelnotedebasdep"/>
          <w:lang w:val="fr-FR"/>
        </w:rPr>
        <w:footnoteReference w:id="26"/>
      </w:r>
      <w:r>
        <w:rPr>
          <w:lang w:val="fr-FR"/>
        </w:rPr>
        <w:t>.</w:t>
      </w:r>
    </w:p>
    <w:p w14:paraId="2BBEE581" w14:textId="77777777" w:rsidR="00FD271F" w:rsidRPr="004B3870" w:rsidRDefault="00FD271F" w:rsidP="00FD271F">
      <w:pPr>
        <w:pStyle w:val="Paragraphedeliste"/>
        <w:jc w:val="both"/>
        <w:rPr>
          <w:lang w:val="fr-FR"/>
        </w:rPr>
      </w:pPr>
    </w:p>
    <w:p w14:paraId="557754B0" w14:textId="77777777" w:rsidR="00E633C5" w:rsidRDefault="004B3870" w:rsidP="00FD271F">
      <w:pPr>
        <w:pStyle w:val="Paragraphedeliste"/>
        <w:numPr>
          <w:ilvl w:val="0"/>
          <w:numId w:val="2"/>
        </w:numPr>
        <w:jc w:val="both"/>
        <w:rPr>
          <w:lang w:val="fr-FR"/>
        </w:rPr>
      </w:pPr>
      <w:r w:rsidRPr="00FD271F">
        <w:rPr>
          <w:lang w:val="fr-FR"/>
        </w:rPr>
        <w:t xml:space="preserve">Ces éléments récurrents </w:t>
      </w:r>
      <w:r w:rsidR="002718C0">
        <w:rPr>
          <w:lang w:val="fr-FR"/>
        </w:rPr>
        <w:t>étaient</w:t>
      </w:r>
      <w:r w:rsidR="009D2D0F">
        <w:rPr>
          <w:lang w:val="fr-FR"/>
        </w:rPr>
        <w:t>, selon certains,</w:t>
      </w:r>
      <w:r w:rsidR="002718C0">
        <w:rPr>
          <w:lang w:val="fr-FR"/>
        </w:rPr>
        <w:t xml:space="preserve"> de nature à créer </w:t>
      </w:r>
      <w:r w:rsidR="00B064AE" w:rsidRPr="00FD271F">
        <w:rPr>
          <w:lang w:val="fr-FR"/>
        </w:rPr>
        <w:t>une « zone grise » entre le travail professionnel et le travail volontaire</w:t>
      </w:r>
      <w:r w:rsidR="00B064AE">
        <w:rPr>
          <w:rStyle w:val="Appelnotedebasdep"/>
          <w:lang w:val="fr-FR"/>
        </w:rPr>
        <w:footnoteReference w:id="27"/>
      </w:r>
      <w:r w:rsidR="00B064AE" w:rsidRPr="00FD271F">
        <w:rPr>
          <w:lang w:val="fr-FR"/>
        </w:rPr>
        <w:t xml:space="preserve">. L’application stricte des régimes existants à ces travailleurs n’apparaissait pas comme souhaitable </w:t>
      </w:r>
      <w:r w:rsidR="00EC6CA9">
        <w:rPr>
          <w:lang w:val="fr-FR"/>
        </w:rPr>
        <w:t>aux auteurs précités</w:t>
      </w:r>
      <w:r w:rsidR="00B064AE" w:rsidRPr="00FD271F">
        <w:rPr>
          <w:lang w:val="fr-FR"/>
        </w:rPr>
        <w:t>. Les organisations ayant recours à ce type de travailleurs se voyaient imposer une charge administrative importante</w:t>
      </w:r>
      <w:r w:rsidR="00542D26" w:rsidRPr="00FD271F">
        <w:rPr>
          <w:lang w:val="fr-FR"/>
        </w:rPr>
        <w:t>, peu compatible</w:t>
      </w:r>
      <w:r w:rsidR="00EC6CA9">
        <w:rPr>
          <w:lang w:val="fr-FR"/>
        </w:rPr>
        <w:t xml:space="preserve"> à leurs yeux</w:t>
      </w:r>
      <w:r w:rsidR="00542D26" w:rsidRPr="00FD271F">
        <w:rPr>
          <w:lang w:val="fr-FR"/>
        </w:rPr>
        <w:t xml:space="preserve"> avec le besoin de flexibilité propre à la nature même du travail semi-agoral, qui prend généralement place </w:t>
      </w:r>
      <w:r w:rsidR="006C5145">
        <w:rPr>
          <w:lang w:val="fr-FR"/>
        </w:rPr>
        <w:t>dans le cadre</w:t>
      </w:r>
      <w:r w:rsidR="00542D26" w:rsidRPr="00FD271F">
        <w:rPr>
          <w:lang w:val="fr-FR"/>
        </w:rPr>
        <w:t xml:space="preserve"> </w:t>
      </w:r>
      <w:r w:rsidR="006C5145">
        <w:rPr>
          <w:lang w:val="fr-FR"/>
        </w:rPr>
        <w:t>d</w:t>
      </w:r>
      <w:r w:rsidR="00542D26" w:rsidRPr="00FD271F">
        <w:rPr>
          <w:lang w:val="fr-FR"/>
        </w:rPr>
        <w:t>e</w:t>
      </w:r>
      <w:r w:rsidR="009919CE">
        <w:rPr>
          <w:lang w:val="fr-FR"/>
        </w:rPr>
        <w:t xml:space="preserve">s loisirs </w:t>
      </w:r>
      <w:r w:rsidR="00542D26" w:rsidRPr="00FD271F">
        <w:rPr>
          <w:lang w:val="fr-FR"/>
        </w:rPr>
        <w:t>du travailleur</w:t>
      </w:r>
      <w:r w:rsidR="00542D26">
        <w:rPr>
          <w:rStyle w:val="Appelnotedebasdep"/>
          <w:lang w:val="fr-FR"/>
        </w:rPr>
        <w:footnoteReference w:id="28"/>
      </w:r>
      <w:r w:rsidR="00B064AE" w:rsidRPr="00FD271F">
        <w:rPr>
          <w:lang w:val="fr-FR"/>
        </w:rPr>
        <w:t>.</w:t>
      </w:r>
      <w:r w:rsidRPr="00FD271F">
        <w:rPr>
          <w:lang w:val="fr-FR"/>
        </w:rPr>
        <w:t xml:space="preserve"> De plus, elles devaient supporter les charges fiscales ainsi que les cotisations de sécurité sociale</w:t>
      </w:r>
      <w:r w:rsidR="002D752B">
        <w:rPr>
          <w:lang w:val="fr-FR"/>
        </w:rPr>
        <w:t>, qui étaient présentées comme particulièrement lourdes</w:t>
      </w:r>
      <w:r w:rsidRPr="00FD271F">
        <w:rPr>
          <w:lang w:val="fr-FR"/>
        </w:rPr>
        <w:t xml:space="preserve">. </w:t>
      </w:r>
    </w:p>
    <w:p w14:paraId="5DF8C112" w14:textId="77777777" w:rsidR="00E633C5" w:rsidRDefault="00E633C5" w:rsidP="00900084">
      <w:pPr>
        <w:pStyle w:val="Paragraphedeliste"/>
        <w:ind w:left="1068"/>
        <w:jc w:val="both"/>
        <w:rPr>
          <w:lang w:val="fr-FR"/>
        </w:rPr>
      </w:pPr>
    </w:p>
    <w:p w14:paraId="2B13C747" w14:textId="77777777" w:rsidR="00B064AE" w:rsidRDefault="003E792A" w:rsidP="00FD271F">
      <w:pPr>
        <w:pStyle w:val="Paragraphedeliste"/>
        <w:numPr>
          <w:ilvl w:val="0"/>
          <w:numId w:val="2"/>
        </w:numPr>
        <w:jc w:val="both"/>
        <w:rPr>
          <w:lang w:val="fr-FR"/>
        </w:rPr>
      </w:pPr>
      <w:r>
        <w:rPr>
          <w:lang w:val="fr-FR"/>
        </w:rPr>
        <w:t xml:space="preserve"> </w:t>
      </w:r>
      <w:r w:rsidR="00E633C5">
        <w:rPr>
          <w:lang w:val="fr-FR"/>
        </w:rPr>
        <w:t>L</w:t>
      </w:r>
      <w:r w:rsidR="00EC6CA9">
        <w:rPr>
          <w:lang w:val="fr-FR"/>
        </w:rPr>
        <w:t xml:space="preserve">e monde politique </w:t>
      </w:r>
      <w:r w:rsidR="00E633C5">
        <w:rPr>
          <w:lang w:val="fr-FR"/>
        </w:rPr>
        <w:t>s’est ensuite emparé de ces réflexions. C’est ainsi que le Gouvernement flamand a chargé MM. De Wortelaer et Van Limberghen d’explorer les différentes approches envisageables dans l’éventualité d’une intervention législative.</w:t>
      </w:r>
      <w:r w:rsidR="000A001E">
        <w:rPr>
          <w:lang w:val="fr-FR"/>
        </w:rPr>
        <w:t xml:space="preserve"> </w:t>
      </w:r>
      <w:r w:rsidR="00E633C5">
        <w:rPr>
          <w:lang w:val="fr-FR"/>
        </w:rPr>
        <w:t xml:space="preserve"> </w:t>
      </w:r>
      <w:r w:rsidR="000A001E">
        <w:rPr>
          <w:lang w:val="fr-FR"/>
        </w:rPr>
        <w:t>L’étude se limitait au statut des accompagnateurs sportifs. Leur rapport pose plusieurs options sur la table</w:t>
      </w:r>
      <w:r w:rsidR="004919C4" w:rsidRPr="00FD271F">
        <w:rPr>
          <w:lang w:val="fr-FR"/>
        </w:rPr>
        <w:t xml:space="preserve"> : soit le maintien de ces activités dans le champ d’application du droit du travail professionnel ou du travail volontaire, avec le </w:t>
      </w:r>
      <w:r w:rsidR="004919C4" w:rsidRPr="00FD271F">
        <w:rPr>
          <w:lang w:val="fr-FR"/>
        </w:rPr>
        <w:lastRenderedPageBreak/>
        <w:t xml:space="preserve">cas échéant des adaptations du cadre légal afin </w:t>
      </w:r>
      <w:r w:rsidR="004919C4" w:rsidRPr="009919CE">
        <w:rPr>
          <w:lang w:val="fr-FR"/>
        </w:rPr>
        <w:t xml:space="preserve">de rencontrer </w:t>
      </w:r>
      <w:r w:rsidR="00AC7660" w:rsidRPr="00900084">
        <w:rPr>
          <w:lang w:val="fr-FR"/>
        </w:rPr>
        <w:t>d’éventuels</w:t>
      </w:r>
      <w:r w:rsidR="004919C4" w:rsidRPr="009919CE">
        <w:rPr>
          <w:lang w:val="fr-FR"/>
        </w:rPr>
        <w:t xml:space="preserve"> besoins spécifiques du secteur</w:t>
      </w:r>
      <w:r w:rsidR="004919C4" w:rsidRPr="00FD271F">
        <w:rPr>
          <w:lang w:val="fr-FR"/>
        </w:rPr>
        <w:t xml:space="preserve">, soit l’élaboration d’un statut </w:t>
      </w:r>
      <w:r w:rsidR="004919C4" w:rsidRPr="008853E7">
        <w:rPr>
          <w:i/>
          <w:lang w:val="fr-FR"/>
        </w:rPr>
        <w:t>sui generis</w:t>
      </w:r>
      <w:r w:rsidR="004919C4">
        <w:rPr>
          <w:rStyle w:val="Appelnotedebasdep"/>
          <w:lang w:val="fr-FR"/>
        </w:rPr>
        <w:footnoteReference w:id="29"/>
      </w:r>
      <w:r w:rsidR="004919C4" w:rsidRPr="00FD271F">
        <w:rPr>
          <w:lang w:val="fr-FR"/>
        </w:rPr>
        <w:t>.</w:t>
      </w:r>
    </w:p>
    <w:p w14:paraId="30D0AC4F" w14:textId="77777777" w:rsidR="00EF60B4" w:rsidRPr="00FD271F" w:rsidRDefault="00EF60B4" w:rsidP="00EF60B4">
      <w:pPr>
        <w:pStyle w:val="Paragraphedeliste"/>
        <w:ind w:left="1068"/>
        <w:jc w:val="both"/>
        <w:rPr>
          <w:lang w:val="fr-FR"/>
        </w:rPr>
      </w:pPr>
    </w:p>
    <w:p w14:paraId="506F3168" w14:textId="77777777" w:rsidR="00883C6E" w:rsidRDefault="005F5AC7" w:rsidP="00883C6E">
      <w:pPr>
        <w:pStyle w:val="Paragraphedeliste"/>
        <w:numPr>
          <w:ilvl w:val="0"/>
          <w:numId w:val="2"/>
        </w:numPr>
        <w:jc w:val="both"/>
        <w:rPr>
          <w:lang w:val="fr-FR"/>
        </w:rPr>
      </w:pPr>
      <w:r>
        <w:rPr>
          <w:lang w:val="fr-FR"/>
        </w:rPr>
        <w:t xml:space="preserve"> </w:t>
      </w:r>
      <w:r w:rsidR="00AC7660">
        <w:rPr>
          <w:lang w:val="fr-FR"/>
        </w:rPr>
        <w:t xml:space="preserve">L’initiative </w:t>
      </w:r>
      <w:r w:rsidR="00F81BEC">
        <w:rPr>
          <w:lang w:val="fr-FR"/>
        </w:rPr>
        <w:t>est</w:t>
      </w:r>
      <w:r w:rsidR="00AC7660">
        <w:rPr>
          <w:lang w:val="fr-FR"/>
        </w:rPr>
        <w:t xml:space="preserve"> finalement</w:t>
      </w:r>
      <w:r w:rsidR="00F81BEC">
        <w:rPr>
          <w:lang w:val="fr-FR"/>
        </w:rPr>
        <w:t xml:space="preserve"> revenue</w:t>
      </w:r>
      <w:r w:rsidR="00AC7660">
        <w:rPr>
          <w:lang w:val="fr-FR"/>
        </w:rPr>
        <w:t xml:space="preserve"> au gouvernement fédéral</w:t>
      </w:r>
      <w:r>
        <w:rPr>
          <w:lang w:val="fr-FR"/>
        </w:rPr>
        <w:t xml:space="preserve">. </w:t>
      </w:r>
      <w:r w:rsidR="001B17F4">
        <w:rPr>
          <w:lang w:val="fr-FR"/>
        </w:rPr>
        <w:t>Son projet de loi reprend la</w:t>
      </w:r>
      <w:r w:rsidR="004919C4" w:rsidRPr="00EF60B4">
        <w:rPr>
          <w:lang w:val="fr-FR"/>
        </w:rPr>
        <w:t xml:space="preserve"> dernière option</w:t>
      </w:r>
      <w:r w:rsidR="00AC7660">
        <w:rPr>
          <w:lang w:val="fr-FR"/>
        </w:rPr>
        <w:t xml:space="preserve"> proposée dans le rapport de MM. De Wortelaer et Van Limberghen</w:t>
      </w:r>
      <w:r w:rsidR="004919C4" w:rsidRPr="00EF60B4">
        <w:rPr>
          <w:lang w:val="fr-FR"/>
        </w:rPr>
        <w:t xml:space="preserve">. </w:t>
      </w:r>
      <w:r w:rsidR="00242175" w:rsidRPr="00EF60B4">
        <w:rPr>
          <w:lang w:val="fr-FR"/>
        </w:rPr>
        <w:t>La loi</w:t>
      </w:r>
      <w:r w:rsidR="00E16E39">
        <w:rPr>
          <w:lang w:val="fr-FR"/>
        </w:rPr>
        <w:t xml:space="preserve"> du 18 juillet 20</w:t>
      </w:r>
      <w:r w:rsidR="00A66658">
        <w:rPr>
          <w:lang w:val="fr-FR"/>
        </w:rPr>
        <w:t>18</w:t>
      </w:r>
      <w:r w:rsidR="00242175" w:rsidRPr="00EF60B4">
        <w:rPr>
          <w:lang w:val="fr-FR"/>
        </w:rPr>
        <w:t xml:space="preserve"> relative à la relance économique et au renforcement de la cohésion sociale a été adoptée dans l’optique de répondre aux besoins spécifiques du travail semi-agoral qui</w:t>
      </w:r>
      <w:r>
        <w:rPr>
          <w:lang w:val="fr-FR"/>
        </w:rPr>
        <w:t>, selon ses promoteurs,</w:t>
      </w:r>
      <w:r w:rsidR="00242175" w:rsidRPr="00EF60B4">
        <w:rPr>
          <w:lang w:val="fr-FR"/>
        </w:rPr>
        <w:t xml:space="preserve"> s’accommodait mal des statuts existants. </w:t>
      </w:r>
      <w:r w:rsidR="0095531F">
        <w:rPr>
          <w:lang w:val="fr-FR"/>
        </w:rPr>
        <w:t>Il fait l’objet d’un contrat spécifique, le « contrat en matière de travail associatif ».</w:t>
      </w:r>
      <w:r w:rsidR="00242175" w:rsidRPr="00EF60B4">
        <w:rPr>
          <w:lang w:val="fr-FR"/>
        </w:rPr>
        <w:t xml:space="preserve"> Loin de se limiter </w:t>
      </w:r>
      <w:r w:rsidR="0095531F">
        <w:rPr>
          <w:lang w:val="fr-FR"/>
        </w:rPr>
        <w:t>à celui-ci</w:t>
      </w:r>
      <w:r w:rsidR="009E08F6" w:rsidRPr="00EF60B4">
        <w:rPr>
          <w:lang w:val="fr-FR"/>
        </w:rPr>
        <w:t xml:space="preserve">, la loi </w:t>
      </w:r>
      <w:r w:rsidR="005F2488">
        <w:rPr>
          <w:lang w:val="fr-FR"/>
        </w:rPr>
        <w:t xml:space="preserve">de 2018 </w:t>
      </w:r>
      <w:r w:rsidR="009E08F6" w:rsidRPr="00EF60B4">
        <w:rPr>
          <w:lang w:val="fr-FR"/>
        </w:rPr>
        <w:t>inclut</w:t>
      </w:r>
      <w:r w:rsidR="00242175" w:rsidRPr="00EF60B4">
        <w:rPr>
          <w:lang w:val="fr-FR"/>
        </w:rPr>
        <w:t xml:space="preserve"> également dans son champ d’application les services occasionnels entre citoyens ainsi que les prestations liées à l’économie collaborative effectuées par l’intermédiaire d’une plateforme agréée</w:t>
      </w:r>
      <w:r w:rsidR="009D2D0F">
        <w:rPr>
          <w:lang w:val="fr-FR"/>
        </w:rPr>
        <w:t>, dont nous avons déjà dit que nous ne les examinerions pas ici</w:t>
      </w:r>
      <w:r w:rsidR="00C6498C">
        <w:rPr>
          <w:rStyle w:val="Appelnotedebasdep"/>
          <w:lang w:val="fr-FR"/>
        </w:rPr>
        <w:footnoteReference w:id="30"/>
      </w:r>
      <w:r w:rsidR="00242175" w:rsidRPr="00EF60B4">
        <w:rPr>
          <w:lang w:val="fr-FR"/>
        </w:rPr>
        <w:t>.</w:t>
      </w:r>
    </w:p>
    <w:p w14:paraId="54C75366" w14:textId="77777777" w:rsidR="00AC7660" w:rsidRDefault="00AC7660" w:rsidP="00900084">
      <w:pPr>
        <w:pStyle w:val="Paragraphedeliste"/>
        <w:ind w:left="1068"/>
        <w:jc w:val="both"/>
        <w:rPr>
          <w:lang w:val="fr-FR"/>
        </w:rPr>
      </w:pPr>
    </w:p>
    <w:p w14:paraId="7DD74A1D" w14:textId="77777777" w:rsidR="00883C6E" w:rsidRDefault="00883C6E" w:rsidP="00900084">
      <w:pPr>
        <w:pStyle w:val="Paragraphedeliste"/>
        <w:numPr>
          <w:ilvl w:val="0"/>
          <w:numId w:val="7"/>
        </w:numPr>
        <w:jc w:val="both"/>
        <w:rPr>
          <w:b/>
          <w:lang w:val="fr-FR"/>
        </w:rPr>
      </w:pPr>
      <w:r w:rsidRPr="00900084">
        <w:rPr>
          <w:b/>
          <w:lang w:val="fr-FR"/>
        </w:rPr>
        <w:t>Les changements apportés par la loi du 18 juillet 2018</w:t>
      </w:r>
    </w:p>
    <w:p w14:paraId="4743477A" w14:textId="77777777" w:rsidR="00883C6E" w:rsidRPr="00900084" w:rsidRDefault="00883C6E" w:rsidP="00900084">
      <w:pPr>
        <w:pStyle w:val="Paragraphedeliste"/>
        <w:jc w:val="both"/>
        <w:rPr>
          <w:b/>
          <w:lang w:val="fr-FR"/>
        </w:rPr>
      </w:pPr>
    </w:p>
    <w:p w14:paraId="7B19E06B" w14:textId="77777777" w:rsidR="00242175" w:rsidRPr="00883C6E" w:rsidRDefault="00F7605E" w:rsidP="00900084">
      <w:pPr>
        <w:pStyle w:val="Paragraphedeliste"/>
        <w:numPr>
          <w:ilvl w:val="0"/>
          <w:numId w:val="2"/>
        </w:numPr>
        <w:jc w:val="both"/>
        <w:rPr>
          <w:lang w:val="fr-FR"/>
        </w:rPr>
      </w:pPr>
      <w:r>
        <w:rPr>
          <w:lang w:val="fr-FR"/>
        </w:rPr>
        <w:t xml:space="preserve"> </w:t>
      </w:r>
      <w:r w:rsidR="00242175" w:rsidRPr="00883C6E">
        <w:rPr>
          <w:lang w:val="fr-FR"/>
        </w:rPr>
        <w:t>L’</w:t>
      </w:r>
      <w:r w:rsidR="009E08F6" w:rsidRPr="00883C6E">
        <w:rPr>
          <w:lang w:val="fr-FR"/>
        </w:rPr>
        <w:t xml:space="preserve">objectif de la loi </w:t>
      </w:r>
      <w:r w:rsidR="005F2488">
        <w:rPr>
          <w:lang w:val="fr-FR"/>
        </w:rPr>
        <w:t xml:space="preserve">du 18 juillet 2018 </w:t>
      </w:r>
      <w:r w:rsidR="009E08F6" w:rsidRPr="00883C6E">
        <w:rPr>
          <w:lang w:val="fr-FR"/>
        </w:rPr>
        <w:t>est</w:t>
      </w:r>
      <w:r w:rsidR="00242175" w:rsidRPr="00883C6E">
        <w:rPr>
          <w:lang w:val="fr-FR"/>
        </w:rPr>
        <w:t xml:space="preserve"> clair. Il s’</w:t>
      </w:r>
      <w:r w:rsidR="009E08F6" w:rsidRPr="00883C6E">
        <w:rPr>
          <w:lang w:val="fr-FR"/>
        </w:rPr>
        <w:t>agit</w:t>
      </w:r>
      <w:r w:rsidR="00242175" w:rsidRPr="00883C6E">
        <w:rPr>
          <w:lang w:val="fr-FR"/>
        </w:rPr>
        <w:t xml:space="preserve"> de permettre la génération d’un reven</w:t>
      </w:r>
      <w:r w:rsidR="009E08F6" w:rsidRPr="00883C6E">
        <w:rPr>
          <w:lang w:val="fr-FR"/>
        </w:rPr>
        <w:t>u complémentaire qui échappera</w:t>
      </w:r>
      <w:r w:rsidR="00242175" w:rsidRPr="00883C6E">
        <w:rPr>
          <w:lang w:val="fr-FR"/>
        </w:rPr>
        <w:t xml:space="preserve"> tant à l’impôt qu’aux cotisations de sécurité sociale, pour autant que l’ensemble des conditions prescrites par la loi soient remplies.  Ce revenu ne sera </w:t>
      </w:r>
      <w:r w:rsidR="008F414F">
        <w:rPr>
          <w:lang w:val="fr-FR"/>
        </w:rPr>
        <w:t xml:space="preserve">dès lors pas </w:t>
      </w:r>
      <w:r w:rsidR="00242175" w:rsidRPr="00883C6E">
        <w:rPr>
          <w:lang w:val="fr-FR"/>
        </w:rPr>
        <w:t>considéré comme une rémunération professionnelle</w:t>
      </w:r>
      <w:r w:rsidR="00B064AE">
        <w:rPr>
          <w:rStyle w:val="Appelnotedebasdep"/>
          <w:lang w:val="fr-FR"/>
        </w:rPr>
        <w:footnoteReference w:id="31"/>
      </w:r>
      <w:r w:rsidR="00242175" w:rsidRPr="00883C6E">
        <w:rPr>
          <w:lang w:val="fr-FR"/>
        </w:rPr>
        <w:t>, et la relation qui unit le bénéficiaire de la prestation et son prestataire échappera à la qualification de contrat de travail et, par voie de conséquence, à l’</w:t>
      </w:r>
      <w:r w:rsidR="00B064AE" w:rsidRPr="00883C6E">
        <w:rPr>
          <w:lang w:val="fr-FR"/>
        </w:rPr>
        <w:t xml:space="preserve">application du droit social, </w:t>
      </w:r>
      <w:r w:rsidR="009D2D0F">
        <w:rPr>
          <w:lang w:val="fr-FR"/>
        </w:rPr>
        <w:t>même en</w:t>
      </w:r>
      <w:r w:rsidR="00B064AE" w:rsidRPr="00883C6E">
        <w:rPr>
          <w:lang w:val="fr-FR"/>
        </w:rPr>
        <w:t xml:space="preserve"> présence d’un lien de subordination entre les parties</w:t>
      </w:r>
      <w:r w:rsidR="001E652F">
        <w:rPr>
          <w:rStyle w:val="Appelnotedebasdep"/>
          <w:lang w:val="fr-FR"/>
        </w:rPr>
        <w:footnoteReference w:id="32"/>
      </w:r>
      <w:r w:rsidR="00B064AE" w:rsidRPr="00883C6E">
        <w:rPr>
          <w:lang w:val="fr-FR"/>
        </w:rPr>
        <w:t xml:space="preserve">. </w:t>
      </w:r>
    </w:p>
    <w:p w14:paraId="2AC3658E" w14:textId="77777777" w:rsidR="00E641C4" w:rsidRDefault="00E641C4" w:rsidP="00242175">
      <w:pPr>
        <w:jc w:val="both"/>
        <w:rPr>
          <w:lang w:val="fr-FR"/>
        </w:rPr>
      </w:pPr>
      <w:r>
        <w:rPr>
          <w:lang w:val="fr-FR"/>
        </w:rPr>
        <w:tab/>
        <w:t xml:space="preserve">La loi définit le champ d’application de chacune des trois catégories qui pourront bénéficier du nouveau statut. En ce qui concerne le travail associatif, elle reprend dans les grandes lignes les critères qui avaient déjà été dégagés par les travaux </w:t>
      </w:r>
      <w:r w:rsidR="005F5AC7">
        <w:rPr>
          <w:lang w:val="fr-FR"/>
        </w:rPr>
        <w:t>doctrinaux</w:t>
      </w:r>
      <w:r>
        <w:rPr>
          <w:lang w:val="fr-FR"/>
        </w:rPr>
        <w:t xml:space="preserve"> antérieurs. Ainsi, selon l’article 2 de la loi, le travail associatif est celui qui est organisé par une </w:t>
      </w:r>
      <w:r w:rsidR="00A957F2">
        <w:t>association de fait ou personne morale</w:t>
      </w:r>
      <w:r>
        <w:rPr>
          <w:lang w:val="fr-FR"/>
        </w:rPr>
        <w:t xml:space="preserve"> qui ne poursuit pas un but lucratif, accompli par une personne qui exerce déjà une activité professionnelle habituelle à titre principal</w:t>
      </w:r>
      <w:r w:rsidR="007A7D33">
        <w:rPr>
          <w:lang w:val="fr-FR"/>
        </w:rPr>
        <w:t>. Ce critère est explicité à l’article 4 de la loi et obéit à un</w:t>
      </w:r>
      <w:r w:rsidR="001D13B6">
        <w:rPr>
          <w:lang w:val="fr-FR"/>
        </w:rPr>
        <w:t xml:space="preserve"> ensemble</w:t>
      </w:r>
      <w:r w:rsidR="007A7D33">
        <w:rPr>
          <w:lang w:val="fr-FR"/>
        </w:rPr>
        <w:t xml:space="preserve"> de règles complexes</w:t>
      </w:r>
      <w:r>
        <w:rPr>
          <w:lang w:val="fr-FR"/>
        </w:rPr>
        <w:t xml:space="preserve">. </w:t>
      </w:r>
      <w:r w:rsidR="00CC5CB4">
        <w:rPr>
          <w:lang w:val="fr-FR"/>
        </w:rPr>
        <w:t xml:space="preserve">En outre, le </w:t>
      </w:r>
      <w:r>
        <w:rPr>
          <w:lang w:val="fr-FR"/>
        </w:rPr>
        <w:t xml:space="preserve">travailleur associatif ne doit pas être lié à l’organisation qui a recours à ses services par un contrat de travail, un contrat de service ou une affectation statutaire, pas plus </w:t>
      </w:r>
      <w:r w:rsidRPr="00900084">
        <w:rPr>
          <w:lang w:val="fr-FR"/>
        </w:rPr>
        <w:t>qu’il ne peut y effectuer des activités à titre de volontaire, au cours de la période concernée</w:t>
      </w:r>
      <w:r w:rsidRPr="00427F1E">
        <w:rPr>
          <w:lang w:val="fr-FR"/>
        </w:rPr>
        <w:t xml:space="preserve">. Le simple fait de </w:t>
      </w:r>
      <w:r w:rsidRPr="00427F1E">
        <w:rPr>
          <w:lang w:val="fr-FR"/>
        </w:rPr>
        <w:lastRenderedPageBreak/>
        <w:t xml:space="preserve">participer aux activités </w:t>
      </w:r>
      <w:r w:rsidR="009045B8" w:rsidRPr="00427F1E">
        <w:rPr>
          <w:lang w:val="fr-FR"/>
        </w:rPr>
        <w:t>sans être davan</w:t>
      </w:r>
      <w:r w:rsidR="003E7E51">
        <w:rPr>
          <w:lang w:val="fr-FR"/>
        </w:rPr>
        <w:t xml:space="preserve">tage impliqué dans leur </w:t>
      </w:r>
      <w:r w:rsidR="009045B8" w:rsidRPr="00427F1E">
        <w:rPr>
          <w:lang w:val="fr-FR"/>
        </w:rPr>
        <w:t>organisation</w:t>
      </w:r>
      <w:r w:rsidR="006F0537">
        <w:t xml:space="preserve"> (par exemple en qualité de joueur, de sportif, de visiteur, etc.)</w:t>
      </w:r>
      <w:r w:rsidR="009045B8">
        <w:rPr>
          <w:lang w:val="fr-FR"/>
        </w:rPr>
        <w:t xml:space="preserve"> </w:t>
      </w:r>
      <w:r>
        <w:rPr>
          <w:lang w:val="fr-FR"/>
        </w:rPr>
        <w:t>ne suffit pas pour pouvoir bénéficier du statut</w:t>
      </w:r>
      <w:r w:rsidR="006F0537">
        <w:rPr>
          <w:rStyle w:val="Appelnotedebasdep"/>
          <w:lang w:val="fr-FR"/>
        </w:rPr>
        <w:footnoteReference w:id="33"/>
      </w:r>
      <w:r w:rsidR="006F0537">
        <w:rPr>
          <w:lang w:val="fr-FR"/>
        </w:rPr>
        <w:t xml:space="preserve"> </w:t>
      </w:r>
      <w:r>
        <w:rPr>
          <w:lang w:val="fr-FR"/>
        </w:rPr>
        <w:t xml:space="preserve">. </w:t>
      </w:r>
    </w:p>
    <w:p w14:paraId="251BB5A8" w14:textId="77777777" w:rsidR="00580B7C" w:rsidRDefault="00E641C4" w:rsidP="00242175">
      <w:pPr>
        <w:jc w:val="both"/>
        <w:rPr>
          <w:lang w:val="fr-FR"/>
        </w:rPr>
      </w:pPr>
      <w:r>
        <w:rPr>
          <w:lang w:val="fr-FR"/>
        </w:rPr>
        <w:tab/>
        <w:t>L’</w:t>
      </w:r>
      <w:r w:rsidR="007A7D33">
        <w:rPr>
          <w:lang w:val="fr-FR"/>
        </w:rPr>
        <w:t>article 3</w:t>
      </w:r>
      <w:r>
        <w:rPr>
          <w:lang w:val="fr-FR"/>
        </w:rPr>
        <w:t xml:space="preserve"> fournit une liste exhaustive des activités pour lesquelles il est permis d’avoir recours au travail associatif.</w:t>
      </w:r>
      <w:r w:rsidR="003C1194">
        <w:rPr>
          <w:lang w:val="fr-FR"/>
        </w:rPr>
        <w:t xml:space="preserve"> </w:t>
      </w:r>
      <w:r w:rsidR="004A056A">
        <w:rPr>
          <w:lang w:val="fr-FR"/>
        </w:rPr>
        <w:t>Loin de se limiter au secteur de l’accompagnement sportif, la loi s’applique également entre autres à l’animation ou à la coordination d’activités culturelles,</w:t>
      </w:r>
      <w:r w:rsidR="009110C1">
        <w:rPr>
          <w:lang w:val="fr-FR"/>
        </w:rPr>
        <w:t xml:space="preserve"> aux activités</w:t>
      </w:r>
      <w:r w:rsidR="004A056A">
        <w:rPr>
          <w:lang w:val="fr-FR"/>
        </w:rPr>
        <w:t xml:space="preserve"> de formation, de concierge, de gestion des bâtiments ou encore à la réalisation de petits travaux. </w:t>
      </w:r>
      <w:r w:rsidR="003C1194">
        <w:rPr>
          <w:lang w:val="fr-FR"/>
        </w:rPr>
        <w:t>Les</w:t>
      </w:r>
      <w:r w:rsidR="004A056A">
        <w:rPr>
          <w:lang w:val="fr-FR"/>
        </w:rPr>
        <w:t xml:space="preserve"> travaux préparatoires</w:t>
      </w:r>
      <w:r w:rsidR="003C1194">
        <w:rPr>
          <w:lang w:val="fr-FR"/>
        </w:rPr>
        <w:t xml:space="preserve"> expliquent que les activités en question ont été retenues en raison de leur forte valeur ajoutée sociétale, </w:t>
      </w:r>
      <w:r w:rsidR="00695D3A">
        <w:rPr>
          <w:lang w:val="fr-FR"/>
        </w:rPr>
        <w:t>sans</w:t>
      </w:r>
      <w:r w:rsidR="003C1194">
        <w:rPr>
          <w:lang w:val="fr-FR"/>
        </w:rPr>
        <w:t xml:space="preserve"> expliciter</w:t>
      </w:r>
      <w:r w:rsidR="00695D3A">
        <w:rPr>
          <w:lang w:val="fr-FR"/>
        </w:rPr>
        <w:t xml:space="preserve"> toutefois</w:t>
      </w:r>
      <w:r w:rsidR="003C1194">
        <w:rPr>
          <w:lang w:val="fr-FR"/>
        </w:rPr>
        <w:t xml:space="preserve"> en quoi leur valeur ajoutée serait plus importante que pour d’autres activités non reprises sur la liste</w:t>
      </w:r>
      <w:r w:rsidR="003C1194">
        <w:rPr>
          <w:rStyle w:val="Appelnotedebasdep"/>
          <w:lang w:val="fr-FR"/>
        </w:rPr>
        <w:footnoteReference w:id="34"/>
      </w:r>
      <w:r w:rsidR="003C1194">
        <w:rPr>
          <w:lang w:val="fr-FR"/>
        </w:rPr>
        <w:t>.</w:t>
      </w:r>
    </w:p>
    <w:p w14:paraId="3314A2EF" w14:textId="77777777" w:rsidR="00575568" w:rsidRPr="00EF60B4" w:rsidRDefault="00EF60B4" w:rsidP="00116DA9">
      <w:pPr>
        <w:pStyle w:val="Paragraphedeliste"/>
        <w:numPr>
          <w:ilvl w:val="0"/>
          <w:numId w:val="2"/>
        </w:numPr>
        <w:jc w:val="both"/>
        <w:rPr>
          <w:lang w:val="fr-FR"/>
        </w:rPr>
      </w:pPr>
      <w:r>
        <w:rPr>
          <w:lang w:val="fr-FR"/>
        </w:rPr>
        <w:t xml:space="preserve"> </w:t>
      </w:r>
      <w:r w:rsidR="00D83B6B">
        <w:rPr>
          <w:lang w:val="fr-FR"/>
        </w:rPr>
        <w:t>Le législateur a en vue les personnes qui exercent déjà une activité professionnelle qui leur procure des revenus leur permettant de subvenir à leurs besoins et qui choisissent d’exercer une autre activité ne leur procurant qu’un revenu complémentaire modeste.</w:t>
      </w:r>
      <w:r w:rsidR="00826716">
        <w:rPr>
          <w:lang w:val="fr-FR"/>
        </w:rPr>
        <w:t xml:space="preserve"> Le législateur recrée une zone de tolérance qui avait été supprimée par l’arrêt de la Cour de </w:t>
      </w:r>
      <w:r w:rsidR="00E91050">
        <w:rPr>
          <w:lang w:val="fr-FR"/>
        </w:rPr>
        <w:t>c</w:t>
      </w:r>
      <w:r w:rsidR="00826716">
        <w:rPr>
          <w:lang w:val="fr-FR"/>
        </w:rPr>
        <w:t>assation du 10 mars 2014</w:t>
      </w:r>
      <w:r w:rsidR="00826716">
        <w:rPr>
          <w:rStyle w:val="Appelnotedebasdep"/>
          <w:lang w:val="fr-FR"/>
        </w:rPr>
        <w:footnoteReference w:id="35"/>
      </w:r>
      <w:r w:rsidR="00826716">
        <w:rPr>
          <w:lang w:val="fr-FR"/>
        </w:rPr>
        <w:t>.</w:t>
      </w:r>
      <w:r w:rsidR="00326219" w:rsidRPr="00EF60B4">
        <w:rPr>
          <w:lang w:val="fr-FR"/>
        </w:rPr>
        <w:t xml:space="preserve"> S’ensuit un</w:t>
      </w:r>
      <w:r w:rsidR="00271F7C">
        <w:rPr>
          <w:lang w:val="fr-FR"/>
        </w:rPr>
        <w:t xml:space="preserve"> ensemble</w:t>
      </w:r>
      <w:r w:rsidR="00326219" w:rsidRPr="00EF60B4">
        <w:rPr>
          <w:lang w:val="fr-FR"/>
        </w:rPr>
        <w:t xml:space="preserve"> complexe de règles permettant de déterminer dans quelles conditions</w:t>
      </w:r>
      <w:r w:rsidR="00271F7C">
        <w:rPr>
          <w:lang w:val="fr-FR"/>
        </w:rPr>
        <w:t xml:space="preserve"> la loi </w:t>
      </w:r>
      <w:r w:rsidR="00E91050">
        <w:rPr>
          <w:lang w:val="fr-FR"/>
        </w:rPr>
        <w:t xml:space="preserve">autorise </w:t>
      </w:r>
      <w:r w:rsidR="00271F7C">
        <w:rPr>
          <w:lang w:val="fr-FR"/>
        </w:rPr>
        <w:t>aux organisations de faire appel au travailleur</w:t>
      </w:r>
      <w:r w:rsidR="0095531F">
        <w:rPr>
          <w:lang w:val="fr-FR"/>
        </w:rPr>
        <w:t xml:space="preserve"> associatif</w:t>
      </w:r>
      <w:r w:rsidR="000F6945">
        <w:rPr>
          <w:rStyle w:val="Appelnotedebasdep"/>
          <w:lang w:val="fr-FR"/>
        </w:rPr>
        <w:footnoteReference w:id="36"/>
      </w:r>
      <w:r w:rsidR="00326219" w:rsidRPr="00EF60B4">
        <w:rPr>
          <w:lang w:val="fr-FR"/>
        </w:rPr>
        <w:t>.</w:t>
      </w:r>
      <w:r w:rsidR="001D13B6">
        <w:rPr>
          <w:lang w:val="fr-FR"/>
        </w:rPr>
        <w:t xml:space="preserve"> Ainsi, l’article 4 de la loi prévoit que le travailleur doit exercer son activité professionnelle principale à concurrence d’un 4/5</w:t>
      </w:r>
      <w:r w:rsidR="001D13B6" w:rsidRPr="00900084">
        <w:rPr>
          <w:vertAlign w:val="superscript"/>
          <w:lang w:val="fr-FR"/>
        </w:rPr>
        <w:t>ème</w:t>
      </w:r>
      <w:r w:rsidR="001D13B6">
        <w:rPr>
          <w:lang w:val="fr-FR"/>
        </w:rPr>
        <w:t xml:space="preserve"> temps au minimum</w:t>
      </w:r>
      <w:r w:rsidR="008E6933">
        <w:rPr>
          <w:lang w:val="fr-FR"/>
        </w:rPr>
        <w:t xml:space="preserve"> au cours du trimestre de référence T-3 précédent le début de l’affectation en tant que travailleur associatif</w:t>
      </w:r>
      <w:r w:rsidR="001D13B6">
        <w:rPr>
          <w:lang w:val="fr-FR"/>
        </w:rPr>
        <w:t xml:space="preserve">. </w:t>
      </w:r>
      <w:r w:rsidR="008E6933">
        <w:rPr>
          <w:lang w:val="fr-FR"/>
        </w:rPr>
        <w:t>Le statut du travailleur associatif s’applique également aux travailleurs pensionnés. Ces règles sont largement calquées sur celles prévues par le régime des flexi-jobs introduit en 2015</w:t>
      </w:r>
      <w:r w:rsidR="001D13B6">
        <w:rPr>
          <w:rStyle w:val="Appelnotedebasdep"/>
          <w:lang w:val="fr-FR"/>
        </w:rPr>
        <w:footnoteReference w:id="37"/>
      </w:r>
      <w:r w:rsidR="001D13B6">
        <w:rPr>
          <w:lang w:val="fr-FR"/>
        </w:rPr>
        <w:t>.</w:t>
      </w:r>
      <w:r w:rsidR="00D83B6B">
        <w:rPr>
          <w:lang w:val="fr-FR"/>
        </w:rPr>
        <w:t xml:space="preserve"> </w:t>
      </w:r>
      <w:r w:rsidR="00B265CE" w:rsidRPr="00EF60B4">
        <w:rPr>
          <w:lang w:val="fr-FR"/>
        </w:rPr>
        <w:t xml:space="preserve">Il est également </w:t>
      </w:r>
      <w:r w:rsidR="009F1CD3" w:rsidRPr="00EF60B4">
        <w:rPr>
          <w:lang w:val="fr-FR"/>
        </w:rPr>
        <w:t>p</w:t>
      </w:r>
      <w:r w:rsidR="009F1CD3">
        <w:rPr>
          <w:lang w:val="fr-FR"/>
        </w:rPr>
        <w:t>ermis</w:t>
      </w:r>
      <w:r w:rsidR="00B265CE" w:rsidRPr="00EF60B4">
        <w:rPr>
          <w:lang w:val="fr-FR"/>
        </w:rPr>
        <w:t xml:space="preserve">, sous certaines conditions, qu’un travailleur ayant perdu son emploi alors qu’il avait déjà commencé ses prestations sous le régime de la loi de 2018 </w:t>
      </w:r>
      <w:r w:rsidR="008140CB">
        <w:rPr>
          <w:lang w:val="fr-FR"/>
        </w:rPr>
        <w:t xml:space="preserve">les poursuive </w:t>
      </w:r>
      <w:r w:rsidR="00B265CE" w:rsidRPr="00EF60B4">
        <w:rPr>
          <w:lang w:val="fr-FR"/>
        </w:rPr>
        <w:t>pendant une certaine période</w:t>
      </w:r>
      <w:r w:rsidR="000F6945">
        <w:rPr>
          <w:rStyle w:val="Appelnotedebasdep"/>
          <w:lang w:val="fr-FR"/>
        </w:rPr>
        <w:footnoteReference w:id="38"/>
      </w:r>
      <w:r w:rsidR="00B265CE" w:rsidRPr="00EF60B4">
        <w:rPr>
          <w:lang w:val="fr-FR"/>
        </w:rPr>
        <w:t>.  Des règles établissent l’incompatibilité entre ce nouveau régime et un régime de travail au sein de la même organisation, dans l’objectif d’éviter que certains employeurs ne tentent de faire</w:t>
      </w:r>
      <w:r w:rsidR="00E212E2">
        <w:rPr>
          <w:lang w:val="fr-FR"/>
        </w:rPr>
        <w:t xml:space="preserve"> glisser</w:t>
      </w:r>
      <w:r w:rsidR="00B265CE" w:rsidRPr="00EF60B4">
        <w:rPr>
          <w:lang w:val="fr-FR"/>
        </w:rPr>
        <w:t xml:space="preserve"> leurs travailleurs salariés vers </w:t>
      </w:r>
      <w:r w:rsidR="00E212E2">
        <w:rPr>
          <w:lang w:val="fr-FR"/>
        </w:rPr>
        <w:t>le travail associatif</w:t>
      </w:r>
      <w:r w:rsidR="000F6945">
        <w:rPr>
          <w:rStyle w:val="Appelnotedebasdep"/>
          <w:lang w:val="fr-FR"/>
        </w:rPr>
        <w:footnoteReference w:id="39"/>
      </w:r>
      <w:r w:rsidR="00B265CE" w:rsidRPr="00EF60B4">
        <w:rPr>
          <w:lang w:val="fr-FR"/>
        </w:rPr>
        <w:t xml:space="preserve">. </w:t>
      </w:r>
      <w:r w:rsidR="00E31F2E">
        <w:rPr>
          <w:lang w:val="fr-FR"/>
        </w:rPr>
        <w:t>La possibilité de cumul entre travail associatif et travail volontaire au sein d’une même association est limitée.  La personne qui fournit des prestations dans le cadre du travail associatif ne peut, au cours de la même période, « faire </w:t>
      </w:r>
      <w:r w:rsidR="00E31F2E">
        <w:t>office de volontaire au sens de la loi du 3 juillet 2005 relative aux droits des volontaires pour la même organisation dans la mesure où elle reçoit un défraiement »</w:t>
      </w:r>
      <w:r w:rsidR="00E31F2E">
        <w:rPr>
          <w:rStyle w:val="Appelnotedebasdep"/>
        </w:rPr>
        <w:footnoteReference w:id="40"/>
      </w:r>
      <w:r w:rsidR="00E31F2E">
        <w:t>.</w:t>
      </w:r>
    </w:p>
    <w:p w14:paraId="39BB6771" w14:textId="77777777" w:rsidR="00B265CE" w:rsidRDefault="00B265CE" w:rsidP="00242175">
      <w:pPr>
        <w:jc w:val="both"/>
        <w:rPr>
          <w:lang w:val="fr-FR"/>
        </w:rPr>
      </w:pPr>
      <w:r>
        <w:rPr>
          <w:lang w:val="fr-FR"/>
        </w:rPr>
        <w:tab/>
        <w:t>Toujours dans l’optique de s’assurer que les prestations fournies par le travailleur sont uniquement accomplies dans le cadre de</w:t>
      </w:r>
      <w:r w:rsidR="00E86BD1">
        <w:rPr>
          <w:lang w:val="fr-FR"/>
        </w:rPr>
        <w:t xml:space="preserve"> ses loisirs</w:t>
      </w:r>
      <w:r>
        <w:rPr>
          <w:lang w:val="fr-FR"/>
        </w:rPr>
        <w:t xml:space="preserve"> et </w:t>
      </w:r>
      <w:r w:rsidR="00A62FFA">
        <w:rPr>
          <w:lang w:val="fr-FR"/>
        </w:rPr>
        <w:t>n’ont pas pour objectif principal de s’assurer un revenu</w:t>
      </w:r>
      <w:r>
        <w:rPr>
          <w:lang w:val="fr-FR"/>
        </w:rPr>
        <w:t>, la loi prévoit un seuil pour les indemnités qui peuvent lui être octroyées</w:t>
      </w:r>
      <w:r>
        <w:rPr>
          <w:rStyle w:val="Appelnotedebasdep"/>
          <w:lang w:val="fr-FR"/>
        </w:rPr>
        <w:footnoteReference w:id="41"/>
      </w:r>
      <w:r>
        <w:rPr>
          <w:lang w:val="fr-FR"/>
        </w:rPr>
        <w:t xml:space="preserve">. </w:t>
      </w:r>
      <w:r w:rsidR="002E1B42">
        <w:rPr>
          <w:lang w:val="fr-FR"/>
        </w:rPr>
        <w:t>Sous le</w:t>
      </w:r>
      <w:r>
        <w:rPr>
          <w:lang w:val="fr-FR"/>
        </w:rPr>
        <w:t xml:space="preserve"> seuil, l’indemnité ne sera pas considérée comme constituant une rémunération. L’utilisation du terme </w:t>
      </w:r>
      <w:r>
        <w:rPr>
          <w:lang w:val="fr-FR"/>
        </w:rPr>
        <w:lastRenderedPageBreak/>
        <w:t xml:space="preserve">« indemnité » nous semble curieuse. En effet, même si le législateur a tenu à inclure dans ces indemnités le remboursement de frais et les frais de déplacement, </w:t>
      </w:r>
      <w:r w:rsidR="000F6945">
        <w:rPr>
          <w:lang w:val="fr-FR"/>
        </w:rPr>
        <w:t>les parties ne sont nullement tenues de s’y limiter</w:t>
      </w:r>
      <w:r w:rsidR="009C2D0D">
        <w:rPr>
          <w:lang w:val="fr-FR"/>
        </w:rPr>
        <w:t>.</w:t>
      </w:r>
      <w:r w:rsidR="000F6945">
        <w:rPr>
          <w:lang w:val="fr-FR"/>
        </w:rPr>
        <w:t xml:space="preserve"> </w:t>
      </w:r>
      <w:r w:rsidR="009C2D0D">
        <w:rPr>
          <w:lang w:val="fr-FR"/>
        </w:rPr>
        <w:t>P</w:t>
      </w:r>
      <w:r w:rsidR="000F6945">
        <w:rPr>
          <w:lang w:val="fr-FR"/>
        </w:rPr>
        <w:t>our autant que le montant global des « indemnités » ne dépasse pas le seuil autorisé, il n’y a pas à justifier d’un caractère indemnitaire</w:t>
      </w:r>
      <w:r w:rsidR="009C2D0D">
        <w:rPr>
          <w:lang w:val="fr-FR"/>
        </w:rPr>
        <w:t xml:space="preserve"> des contreparties versées au travailleur associatif</w:t>
      </w:r>
      <w:r w:rsidR="000F6945">
        <w:rPr>
          <w:lang w:val="fr-FR"/>
        </w:rPr>
        <w:t>. On est donc bien loin de la logique qui prévaut en matière de droit des volontaires</w:t>
      </w:r>
      <w:r w:rsidR="004419CC">
        <w:rPr>
          <w:rStyle w:val="Appelnotedebasdep"/>
          <w:lang w:val="fr-FR"/>
        </w:rPr>
        <w:footnoteReference w:id="42"/>
      </w:r>
      <w:r w:rsidR="000F6945">
        <w:rPr>
          <w:lang w:val="fr-FR"/>
        </w:rPr>
        <w:t xml:space="preserve">. </w:t>
      </w:r>
    </w:p>
    <w:p w14:paraId="657C31DD" w14:textId="77777777" w:rsidR="00575568" w:rsidRDefault="00575568" w:rsidP="00242175">
      <w:pPr>
        <w:jc w:val="both"/>
        <w:rPr>
          <w:lang w:val="fr-FR"/>
        </w:rPr>
      </w:pPr>
      <w:r>
        <w:rPr>
          <w:lang w:val="fr-FR"/>
        </w:rPr>
        <w:tab/>
        <w:t>Pour ce qui est du travail associatif, la loi exige en outre des parties qu’elles concluent un contrat sous forme écrite</w:t>
      </w:r>
      <w:r w:rsidR="00763C8F">
        <w:rPr>
          <w:lang w:val="fr-FR"/>
        </w:rPr>
        <w:t>, contenant notamment la mention « contrat en matière de travail associatif »</w:t>
      </w:r>
      <w:r>
        <w:rPr>
          <w:rStyle w:val="Appelnotedebasdep"/>
          <w:lang w:val="fr-FR"/>
        </w:rPr>
        <w:footnoteReference w:id="43"/>
      </w:r>
      <w:r>
        <w:rPr>
          <w:lang w:val="fr-FR"/>
        </w:rPr>
        <w:t xml:space="preserve">. </w:t>
      </w:r>
    </w:p>
    <w:p w14:paraId="6891E6FD" w14:textId="77777777" w:rsidR="00575568" w:rsidRDefault="00C32C47" w:rsidP="00116DA9">
      <w:pPr>
        <w:pStyle w:val="Paragraphedeliste"/>
        <w:numPr>
          <w:ilvl w:val="0"/>
          <w:numId w:val="2"/>
        </w:numPr>
        <w:jc w:val="both"/>
        <w:rPr>
          <w:lang w:val="fr-FR"/>
        </w:rPr>
      </w:pPr>
      <w:r>
        <w:rPr>
          <w:lang w:val="fr-FR"/>
        </w:rPr>
        <w:t xml:space="preserve"> </w:t>
      </w:r>
      <w:r w:rsidR="00575568" w:rsidRPr="007B1B32">
        <w:rPr>
          <w:lang w:val="fr-FR"/>
        </w:rPr>
        <w:t>Enfin, des obligations de déclaration spécifiques</w:t>
      </w:r>
      <w:r w:rsidR="007B1B32" w:rsidRPr="007B1B32">
        <w:rPr>
          <w:lang w:val="fr-FR"/>
        </w:rPr>
        <w:t xml:space="preserve"> des prestations et indemnités</w:t>
      </w:r>
      <w:r w:rsidR="00575568" w:rsidRPr="007B1B32">
        <w:rPr>
          <w:lang w:val="fr-FR"/>
        </w:rPr>
        <w:t>, via une plateforme électronique, sont également prévues pour l’ensemble des relations tombant sous le champ d’application de la loi</w:t>
      </w:r>
      <w:r w:rsidR="007B1B32" w:rsidRPr="007B1B32">
        <w:rPr>
          <w:lang w:val="fr-FR"/>
        </w:rPr>
        <w:t>.</w:t>
      </w:r>
      <w:r w:rsidR="007B1B32" w:rsidRPr="00180555">
        <w:rPr>
          <w:lang w:val="fr-FR"/>
        </w:rPr>
        <w:t xml:space="preserve"> Les déclarations sont ensuite transmises à l’ONSS</w:t>
      </w:r>
      <w:r w:rsidR="00575568">
        <w:rPr>
          <w:rStyle w:val="Appelnotedebasdep"/>
          <w:lang w:val="fr-FR"/>
        </w:rPr>
        <w:footnoteReference w:id="44"/>
      </w:r>
      <w:r w:rsidR="00575568" w:rsidRPr="007B1B32">
        <w:rPr>
          <w:lang w:val="fr-FR"/>
        </w:rPr>
        <w:t xml:space="preserve">. </w:t>
      </w:r>
      <w:r w:rsidR="00E86BD1">
        <w:rPr>
          <w:lang w:val="fr-FR"/>
        </w:rPr>
        <w:t xml:space="preserve">Ces déclarations </w:t>
      </w:r>
      <w:r w:rsidR="00763C8F">
        <w:rPr>
          <w:lang w:val="fr-FR"/>
        </w:rPr>
        <w:t>s’inspirent d</w:t>
      </w:r>
      <w:r w:rsidR="00E86BD1">
        <w:rPr>
          <w:lang w:val="fr-FR"/>
        </w:rPr>
        <w:t>es déclarations Dimona préalables à l’entrée en service des travailleurs salariés.</w:t>
      </w:r>
    </w:p>
    <w:p w14:paraId="405773D8" w14:textId="77777777" w:rsidR="00E86BD1" w:rsidRPr="007B1B32" w:rsidRDefault="00E86BD1" w:rsidP="00900084">
      <w:pPr>
        <w:pStyle w:val="Paragraphedeliste"/>
        <w:ind w:left="1068"/>
        <w:jc w:val="both"/>
        <w:rPr>
          <w:lang w:val="fr-FR"/>
        </w:rPr>
      </w:pPr>
    </w:p>
    <w:p w14:paraId="7603E993" w14:textId="393C47A8" w:rsidR="00C8648E" w:rsidRDefault="0072789E" w:rsidP="00116DA9">
      <w:pPr>
        <w:pStyle w:val="Paragraphedeliste"/>
        <w:numPr>
          <w:ilvl w:val="0"/>
          <w:numId w:val="2"/>
        </w:numPr>
        <w:jc w:val="both"/>
        <w:rPr>
          <w:lang w:val="fr-FR"/>
        </w:rPr>
      </w:pPr>
      <w:r w:rsidRPr="0063761A">
        <w:rPr>
          <w:lang w:val="fr-FR"/>
        </w:rPr>
        <w:t xml:space="preserve"> </w:t>
      </w:r>
      <w:r w:rsidR="00E86BD1" w:rsidRPr="0063761A">
        <w:rPr>
          <w:lang w:val="fr-FR"/>
        </w:rPr>
        <w:t>Si l’ensemble des conditions susmentionnées sont remplies, les prestations entrent dans le champ d’application du régime du travail assoc</w:t>
      </w:r>
      <w:r w:rsidR="00E86BD1" w:rsidRPr="00B544B5">
        <w:rPr>
          <w:lang w:val="fr-FR"/>
        </w:rPr>
        <w:t>iatif. La relation échappera à la qualification de contrat de travail en vertu de l’article 28 de la loi du 18 juillet 2018 qui modifie le champ d’application de la loi du 3 juillet 1978. L</w:t>
      </w:r>
      <w:r w:rsidR="00C268B3" w:rsidRPr="00B544B5">
        <w:rPr>
          <w:lang w:val="fr-FR"/>
        </w:rPr>
        <w:t xml:space="preserve">a loi exclut </w:t>
      </w:r>
      <w:r w:rsidR="00763C8F" w:rsidRPr="00C8648E">
        <w:rPr>
          <w:lang w:val="fr-FR"/>
        </w:rPr>
        <w:t xml:space="preserve">explicitement </w:t>
      </w:r>
      <w:r w:rsidR="00E86BD1" w:rsidRPr="00C8648E">
        <w:rPr>
          <w:lang w:val="fr-FR"/>
        </w:rPr>
        <w:t>l’application de l’essentiel du droit du travail et de la sécurité sociale. Deviennent ainsi inapplicables la loi du 4 août 1996 relative à la protection du bien-être des travailleurs sur leur lieu de travail, la loi du 27</w:t>
      </w:r>
      <w:r w:rsidR="00465EF0" w:rsidRPr="00C8648E">
        <w:rPr>
          <w:lang w:val="fr-FR"/>
        </w:rPr>
        <w:t xml:space="preserve"> </w:t>
      </w:r>
      <w:r w:rsidR="00E86BD1" w:rsidRPr="00C8648E">
        <w:rPr>
          <w:lang w:val="fr-FR"/>
        </w:rPr>
        <w:t>juin 1969 relative à la sécurité sociale des travailleurs,</w:t>
      </w:r>
      <w:r w:rsidR="00C6498C">
        <w:rPr>
          <w:lang w:val="fr-FR"/>
        </w:rPr>
        <w:t xml:space="preserve"> </w:t>
      </w:r>
      <w:r w:rsidR="00C6498C">
        <w:t>l'arrêté royal n° 38 du 27 juillet 1967 organisant le statut social des travailleurs indépendants</w:t>
      </w:r>
      <w:r w:rsidR="0064316E">
        <w:t>,</w:t>
      </w:r>
      <w:r w:rsidR="00E86BD1" w:rsidRPr="00C8648E">
        <w:rPr>
          <w:lang w:val="fr-FR"/>
        </w:rPr>
        <w:t xml:space="preserve"> la loi du 12 avril 1965 relative à la protection de la rémunération des travailleurs, la loi du 5 décembre 1968 relative aux conventions collectives de travail et aux commissions paritaires</w:t>
      </w:r>
      <w:r w:rsidR="00C6498C">
        <w:rPr>
          <w:lang w:val="fr-FR"/>
        </w:rPr>
        <w:t xml:space="preserve">, </w:t>
      </w:r>
      <w:r w:rsidR="00C6498C">
        <w:t>la loi du 4 janvier 1974 relative aux jours fériés,</w:t>
      </w:r>
      <w:r w:rsidR="00C6498C" w:rsidRPr="00C6498C">
        <w:t xml:space="preserve"> </w:t>
      </w:r>
      <w:r w:rsidR="00C6498C">
        <w:t>l’arrêté royal n° 5 du 23 octobre 1978 relatif à la tenue des documents sociaux ainsi que la loi du 8 avril 1965 instituant les règlements de travail</w:t>
      </w:r>
      <w:r w:rsidR="00E86BD1">
        <w:rPr>
          <w:rStyle w:val="Appelnotedebasdep"/>
          <w:lang w:val="fr-FR"/>
        </w:rPr>
        <w:footnoteReference w:id="45"/>
      </w:r>
      <w:r w:rsidR="00E86BD1" w:rsidRPr="0063761A">
        <w:rPr>
          <w:lang w:val="fr-FR"/>
        </w:rPr>
        <w:t>.</w:t>
      </w:r>
      <w:r w:rsidR="00C268B3" w:rsidRPr="0063761A">
        <w:rPr>
          <w:lang w:val="fr-FR"/>
        </w:rPr>
        <w:t xml:space="preserve"> </w:t>
      </w:r>
    </w:p>
    <w:p w14:paraId="0F24B0E1" w14:textId="5895D6E4" w:rsidR="00997FCF" w:rsidRPr="00997FCF" w:rsidRDefault="00296B6B" w:rsidP="00997FCF">
      <w:pPr>
        <w:ind w:firstLine="709"/>
        <w:jc w:val="both"/>
        <w:rPr>
          <w:lang w:val="fr-FR"/>
        </w:rPr>
      </w:pPr>
      <w:r w:rsidRPr="00C8648E">
        <w:rPr>
          <w:lang w:val="fr-FR"/>
        </w:rPr>
        <w:t xml:space="preserve">Le législateur a estimé utile d’intégrer quelques dispositions visant à assurer une protection </w:t>
      </w:r>
      <w:r w:rsidR="00C268B3" w:rsidRPr="00C8648E">
        <w:rPr>
          <w:lang w:val="fr-FR"/>
        </w:rPr>
        <w:t xml:space="preserve">très limitée </w:t>
      </w:r>
      <w:r w:rsidRPr="00C8648E">
        <w:rPr>
          <w:lang w:val="fr-FR"/>
        </w:rPr>
        <w:t>aux travailleurs tombant dans le champ d’application de ce nouveau statut</w:t>
      </w:r>
      <w:r w:rsidR="00C268B3" w:rsidRPr="0063761A">
        <w:rPr>
          <w:lang w:val="fr-FR"/>
        </w:rPr>
        <w:t>.</w:t>
      </w:r>
      <w:r w:rsidR="00F77DA0" w:rsidRPr="0063761A">
        <w:rPr>
          <w:lang w:val="fr-FR"/>
        </w:rPr>
        <w:t xml:space="preserve"> Cette protection minimale s’inspire essentiellement des règles de droit du travail relatives à la </w:t>
      </w:r>
      <w:r w:rsidR="00F77DA0" w:rsidRPr="00B544B5">
        <w:rPr>
          <w:lang w:val="fr-FR"/>
        </w:rPr>
        <w:t>responsabilité et au bien-être.</w:t>
      </w:r>
      <w:r w:rsidR="00C268B3" w:rsidRPr="00B544B5">
        <w:rPr>
          <w:lang w:val="fr-FR"/>
        </w:rPr>
        <w:t xml:space="preserve"> </w:t>
      </w:r>
      <w:r w:rsidR="005C6062" w:rsidRPr="00C8648E">
        <w:rPr>
          <w:lang w:val="fr-FR"/>
        </w:rPr>
        <w:t>Ainsi, l’organisation souhaitant faire appel à un travailleur associatif ou le travailleur souhaitant fournir des services occasionnels à d’autres citoyens sont tenus de souscrire une assurance responsabilité civile couvrant les dommages causés par le travailleur</w:t>
      </w:r>
      <w:r w:rsidR="005C6062">
        <w:rPr>
          <w:rStyle w:val="Appelnotedebasdep"/>
          <w:lang w:val="fr-FR"/>
        </w:rPr>
        <w:footnoteReference w:id="46"/>
      </w:r>
      <w:r w:rsidR="005C6062" w:rsidRPr="0063761A">
        <w:rPr>
          <w:lang w:val="fr-FR"/>
        </w:rPr>
        <w:t xml:space="preserve">. </w:t>
      </w:r>
      <w:r w:rsidR="00C0233F" w:rsidRPr="0063761A">
        <w:rPr>
          <w:lang w:val="fr-FR"/>
        </w:rPr>
        <w:t>À</w:t>
      </w:r>
      <w:r w:rsidR="00763C8F" w:rsidRPr="0063761A">
        <w:rPr>
          <w:lang w:val="fr-FR"/>
        </w:rPr>
        <w:t xml:space="preserve"> l’instar</w:t>
      </w:r>
      <w:r w:rsidR="005C6062" w:rsidRPr="0097407A">
        <w:rPr>
          <w:lang w:val="fr-FR"/>
        </w:rPr>
        <w:t xml:space="preserve"> </w:t>
      </w:r>
      <w:r w:rsidR="00E77263" w:rsidRPr="0097407A">
        <w:rPr>
          <w:lang w:val="fr-FR"/>
        </w:rPr>
        <w:t>de</w:t>
      </w:r>
      <w:r w:rsidR="005C6062" w:rsidRPr="00B544B5">
        <w:rPr>
          <w:lang w:val="fr-FR"/>
        </w:rPr>
        <w:t xml:space="preserve"> l’article </w:t>
      </w:r>
      <w:r w:rsidR="00E77263" w:rsidRPr="00C8648E">
        <w:rPr>
          <w:lang w:val="fr-FR"/>
        </w:rPr>
        <w:t xml:space="preserve">1384 du </w:t>
      </w:r>
      <w:r w:rsidR="00E77263" w:rsidRPr="0063761A">
        <w:rPr>
          <w:lang w:val="fr-FR"/>
        </w:rPr>
        <w:t>code civil</w:t>
      </w:r>
      <w:r w:rsidR="005C6062" w:rsidRPr="0063761A">
        <w:rPr>
          <w:lang w:val="fr-FR"/>
        </w:rPr>
        <w:t>, c’est l’organisation qui sera tenue pour responsable civilement des dommages causés par le travailleur associatif</w:t>
      </w:r>
      <w:r w:rsidR="00E77263">
        <w:rPr>
          <w:rStyle w:val="Appelnotedebasdep"/>
          <w:lang w:val="fr-FR"/>
        </w:rPr>
        <w:footnoteReference w:id="47"/>
      </w:r>
      <w:r w:rsidR="005C6062" w:rsidRPr="0063761A">
        <w:rPr>
          <w:lang w:val="fr-FR"/>
        </w:rPr>
        <w:t>.</w:t>
      </w:r>
      <w:r w:rsidR="003E0C01" w:rsidRPr="0063761A">
        <w:rPr>
          <w:lang w:val="fr-FR"/>
        </w:rPr>
        <w:t xml:space="preserve"> </w:t>
      </w:r>
      <w:r w:rsidR="00E77263" w:rsidRPr="0097407A">
        <w:rPr>
          <w:lang w:val="fr-FR"/>
        </w:rPr>
        <w:t>De plus, le travailleur associatif ne sera responsable que de son dol, de sa faute lourde et de sa faute légère lorsque celle-ci présente un caractère habituel, ce qui est identique à ce que prévoit l’article 18 de la loi du 3 juillet 1978 sur le contrat de travail</w:t>
      </w:r>
      <w:r w:rsidR="00C8648E" w:rsidRPr="00B544B5">
        <w:rPr>
          <w:lang w:val="fr-FR"/>
        </w:rPr>
        <w:t xml:space="preserve"> au bénéfice des salariés</w:t>
      </w:r>
      <w:r w:rsidR="00E77263">
        <w:rPr>
          <w:rStyle w:val="Appelnotedebasdep"/>
          <w:lang w:val="fr-FR"/>
        </w:rPr>
        <w:footnoteReference w:id="48"/>
      </w:r>
      <w:r w:rsidR="00E77263" w:rsidRPr="0063761A">
        <w:rPr>
          <w:lang w:val="fr-FR"/>
        </w:rPr>
        <w:t xml:space="preserve">. </w:t>
      </w:r>
      <w:r w:rsidR="003E0C01" w:rsidRPr="0063761A">
        <w:rPr>
          <w:lang w:val="fr-FR"/>
        </w:rPr>
        <w:t>Les organisation</w:t>
      </w:r>
      <w:r w:rsidR="003E0C01" w:rsidRPr="0097407A">
        <w:rPr>
          <w:lang w:val="fr-FR"/>
        </w:rPr>
        <w:t xml:space="preserve">s ayant recours au travail associatif </w:t>
      </w:r>
      <w:r w:rsidR="00575568" w:rsidRPr="0097407A">
        <w:rPr>
          <w:lang w:val="fr-FR"/>
        </w:rPr>
        <w:t>sont en outre tenues de mettre en place des mesures visant à assurer la prévention et le bien-être au travail</w:t>
      </w:r>
      <w:r w:rsidR="006B75DF">
        <w:rPr>
          <w:rStyle w:val="Appelnotedebasdep"/>
          <w:lang w:val="fr-FR"/>
        </w:rPr>
        <w:footnoteReference w:id="49"/>
      </w:r>
      <w:r w:rsidR="00EB77CC" w:rsidRPr="0063761A">
        <w:rPr>
          <w:lang w:val="fr-FR"/>
        </w:rPr>
        <w:t xml:space="preserve">, mais cette obligation est sans commune </w:t>
      </w:r>
      <w:r w:rsidR="00EB77CC" w:rsidRPr="0063761A">
        <w:rPr>
          <w:lang w:val="fr-FR"/>
        </w:rPr>
        <w:lastRenderedPageBreak/>
        <w:t>mesure avec celles prévues par la loi de 1996 sur le bien-être au travail</w:t>
      </w:r>
      <w:r w:rsidR="00EB77CC">
        <w:rPr>
          <w:rStyle w:val="Appelnotedebasdep"/>
          <w:lang w:val="fr-FR"/>
        </w:rPr>
        <w:footnoteReference w:id="50"/>
      </w:r>
      <w:r w:rsidR="00575568" w:rsidRPr="0063761A">
        <w:rPr>
          <w:lang w:val="fr-FR"/>
        </w:rPr>
        <w:t>.</w:t>
      </w:r>
      <w:r w:rsidR="00465EF0" w:rsidRPr="0063761A">
        <w:rPr>
          <w:lang w:val="fr-FR"/>
        </w:rPr>
        <w:t xml:space="preserve"> </w:t>
      </w:r>
      <w:r w:rsidR="003F1CE2" w:rsidRPr="0097407A">
        <w:rPr>
          <w:lang w:val="fr-FR"/>
        </w:rPr>
        <w:t xml:space="preserve"> </w:t>
      </w:r>
      <w:r w:rsidR="003F1CE2" w:rsidRPr="00B544B5">
        <w:rPr>
          <w:lang w:val="fr-FR"/>
        </w:rPr>
        <w:t>D’un autre côté, ces règles protectrices minimales s’appliqueront également aux activités de travail associatives qui sont exercées en dehors de toute subordination</w:t>
      </w:r>
      <w:r w:rsidR="003F1CE2" w:rsidRPr="00C8648E">
        <w:rPr>
          <w:lang w:val="fr-FR"/>
        </w:rPr>
        <w:t xml:space="preserve">, alors que, si la relation avait été indépendante, ces activités y auraient échappé. </w:t>
      </w:r>
      <w:r w:rsidR="00C8648E" w:rsidRPr="00997FCF">
        <w:rPr>
          <w:lang w:val="fr-FR"/>
        </w:rPr>
        <w:t xml:space="preserve">On le voit, lorsqu’il est subordonné, le travailleur associatif bénéficie d’une protection inférieure à celle offerte au volontaire. En effet, nous avons vu </w:t>
      </w:r>
      <w:r w:rsidR="00C8648E" w:rsidRPr="00997FCF">
        <w:rPr>
          <w:i/>
          <w:lang w:val="fr-FR"/>
        </w:rPr>
        <w:t>supra</w:t>
      </w:r>
      <w:r w:rsidR="003B6D7B" w:rsidRPr="00116DA9">
        <w:rPr>
          <w:rStyle w:val="Appelnotedebasdep"/>
          <w:lang w:val="fr-FR"/>
        </w:rPr>
        <w:footnoteReference w:id="51"/>
      </w:r>
      <w:r w:rsidR="00C8648E" w:rsidRPr="003D48E6">
        <w:rPr>
          <w:lang w:val="fr-FR"/>
        </w:rPr>
        <w:t xml:space="preserve"> </w:t>
      </w:r>
      <w:r w:rsidR="00C8648E" w:rsidRPr="00997FCF">
        <w:rPr>
          <w:lang w:val="fr-FR"/>
        </w:rPr>
        <w:t>qu’un ensemble de législations sur le travail, au champ d’application large, s’appliquent au travailleur volontaire subordonné à son organisation alors qu’elles sont exclues par la loi du 18 juillet 2018</w:t>
      </w:r>
      <w:r w:rsidR="00C8648E">
        <w:rPr>
          <w:rStyle w:val="Appelnotedebasdep"/>
          <w:lang w:val="fr-FR"/>
        </w:rPr>
        <w:footnoteReference w:id="52"/>
      </w:r>
      <w:r w:rsidR="00C8648E" w:rsidRPr="00997FCF">
        <w:rPr>
          <w:lang w:val="fr-FR"/>
        </w:rPr>
        <w:t xml:space="preserve">. </w:t>
      </w:r>
    </w:p>
    <w:p w14:paraId="0DA2609D" w14:textId="77777777" w:rsidR="00C8648E" w:rsidRPr="0045788B" w:rsidRDefault="00295AA6" w:rsidP="00116DA9">
      <w:pPr>
        <w:pStyle w:val="Paragraphedeliste"/>
        <w:numPr>
          <w:ilvl w:val="0"/>
          <w:numId w:val="2"/>
        </w:numPr>
        <w:jc w:val="both"/>
        <w:rPr>
          <w:lang w:val="fr-FR"/>
        </w:rPr>
      </w:pPr>
      <w:r>
        <w:rPr>
          <w:lang w:val="fr-FR"/>
        </w:rPr>
        <w:t xml:space="preserve"> </w:t>
      </w:r>
      <w:r w:rsidR="00C8648E" w:rsidRPr="0045788B">
        <w:rPr>
          <w:lang w:val="fr-FR"/>
        </w:rPr>
        <w:t>En revanche, si les conditions d’application prévues par la loi de 2018 ne sont pas remplies, son article 41, § 1, alinéa 4</w:t>
      </w:r>
      <w:r w:rsidR="009E2FD9">
        <w:rPr>
          <w:lang w:val="fr-FR"/>
        </w:rPr>
        <w:t>,</w:t>
      </w:r>
      <w:r w:rsidR="00C8648E" w:rsidRPr="0045788B">
        <w:rPr>
          <w:lang w:val="fr-FR"/>
        </w:rPr>
        <w:t xml:space="preserve"> prévoit que le contrat en matière de travail associatif conclu avec l’organisation sera requalifié en contrat de travail avec pour conséquence l’application entière et avec effet rétroactif de l’ensemble du droit du travail et de la sécurité sociale. Toutefois, l’organisation ayant effectué sa déclaration de bonne foi pourra échapper à la qualification d’employeur e</w:t>
      </w:r>
      <w:r w:rsidR="00C8648E">
        <w:t>n application de la loi du 27 juin 1969 sur la sécurité sociale des travailleurs</w:t>
      </w:r>
      <w:r w:rsidR="00C8648E" w:rsidRPr="0045788B">
        <w:rPr>
          <w:lang w:val="fr-FR"/>
        </w:rPr>
        <w:t xml:space="preserve">. </w:t>
      </w:r>
    </w:p>
    <w:p w14:paraId="29611558" w14:textId="77777777" w:rsidR="00754E6A" w:rsidRDefault="00C8648E" w:rsidP="00754E6A">
      <w:pPr>
        <w:ind w:firstLine="708"/>
        <w:jc w:val="both"/>
        <w:rPr>
          <w:lang w:val="fr-FR"/>
        </w:rPr>
      </w:pPr>
      <w:r>
        <w:rPr>
          <w:lang w:val="fr-FR"/>
        </w:rPr>
        <w:t>L’application de l’article 41, § 1, alinéa 4</w:t>
      </w:r>
      <w:r w:rsidR="000E06B9">
        <w:rPr>
          <w:lang w:val="fr-FR"/>
        </w:rPr>
        <w:t>,</w:t>
      </w:r>
      <w:r>
        <w:rPr>
          <w:lang w:val="fr-FR"/>
        </w:rPr>
        <w:t xml:space="preserve"> entraîne une conséquence surprenante. Le fait que les activités soient exercées ou non dans le cadre d’un lien de subordination est indifférent à la qualification de travail associatif. Or, tout </w:t>
      </w:r>
      <w:r w:rsidR="003B6D7B">
        <w:rPr>
          <w:lang w:val="fr-FR"/>
        </w:rPr>
        <w:t xml:space="preserve">contrat en matière de </w:t>
      </w:r>
      <w:r>
        <w:rPr>
          <w:lang w:val="fr-FR"/>
        </w:rPr>
        <w:t>travail associatif ne rencontrant pas les exigences de la loi se voit automatiquement requalifié en contrat de travail. Cela sera donc également le cas de prestataires qui auraient pu se trouver dans une relation indépendante. Les travaux préparatoires ne fournissent pas d’explication satisfaisante sur ce choix. Il se peut que le législateur, voulant se concentrer sur la situation la plus fréquente en travail associatif</w:t>
      </w:r>
      <w:r w:rsidR="00A90998">
        <w:rPr>
          <w:lang w:val="fr-FR"/>
        </w:rPr>
        <w:t xml:space="preserve"> – à savoir la subordination –</w:t>
      </w:r>
      <w:r>
        <w:rPr>
          <w:lang w:val="fr-FR"/>
        </w:rPr>
        <w:t>, ait perdu de vue le fait qu’elle n’était pas la seule à exister.</w:t>
      </w:r>
    </w:p>
    <w:p w14:paraId="0C7C8E30" w14:textId="4C36AEA3" w:rsidR="00334747" w:rsidRDefault="00334747" w:rsidP="00F6374E">
      <w:pPr>
        <w:pStyle w:val="Paragraphedeliste"/>
        <w:numPr>
          <w:ilvl w:val="0"/>
          <w:numId w:val="2"/>
        </w:numPr>
        <w:jc w:val="both"/>
        <w:rPr>
          <w:lang w:val="fr-FR"/>
        </w:rPr>
      </w:pPr>
      <w:r>
        <w:rPr>
          <w:lang w:val="fr-FR"/>
        </w:rPr>
        <w:t xml:space="preserve"> </w:t>
      </w:r>
      <w:r w:rsidR="00807A49">
        <w:rPr>
          <w:lang w:val="fr-FR"/>
        </w:rPr>
        <w:t>En ce qui concerne les aspects de droit</w:t>
      </w:r>
      <w:r w:rsidRPr="00334747">
        <w:rPr>
          <w:lang w:val="fr-FR"/>
        </w:rPr>
        <w:t xml:space="preserve"> fiscal, remarquons </w:t>
      </w:r>
      <w:r>
        <w:rPr>
          <w:lang w:val="fr-FR"/>
        </w:rPr>
        <w:t xml:space="preserve">brièvement </w:t>
      </w:r>
      <w:r w:rsidRPr="00334747">
        <w:rPr>
          <w:lang w:val="fr-FR"/>
        </w:rPr>
        <w:t>que l’indemnité de travail associati</w:t>
      </w:r>
      <w:r w:rsidR="00B72737">
        <w:rPr>
          <w:lang w:val="fr-FR"/>
        </w:rPr>
        <w:t xml:space="preserve">f (à globaliser </w:t>
      </w:r>
      <w:r w:rsidRPr="00334747">
        <w:rPr>
          <w:lang w:val="fr-FR"/>
        </w:rPr>
        <w:t xml:space="preserve">avec d’éventuels revenus tirés des services occasionnels rendus entre citoyens ou de l’économie collaborative) </w:t>
      </w:r>
      <w:r w:rsidR="00807A49">
        <w:rPr>
          <w:lang w:val="fr-FR"/>
        </w:rPr>
        <w:t>est</w:t>
      </w:r>
      <w:r w:rsidRPr="00334747">
        <w:rPr>
          <w:lang w:val="fr-FR"/>
        </w:rPr>
        <w:t xml:space="preserve"> exonérée d’impôt si elle n’excède pas le seuil fixé par la loi</w:t>
      </w:r>
      <w:r w:rsidR="00514CDF">
        <w:rPr>
          <w:lang w:val="fr-FR"/>
        </w:rPr>
        <w:t xml:space="preserve"> (dont le montant s’élevait à 6340€ par an en 2020)</w:t>
      </w:r>
      <w:r w:rsidR="00B72737">
        <w:rPr>
          <w:rStyle w:val="Appelnotedebasdep"/>
          <w:lang w:val="fr-FR"/>
        </w:rPr>
        <w:footnoteReference w:id="53"/>
      </w:r>
      <w:r w:rsidRPr="00334747">
        <w:rPr>
          <w:lang w:val="fr-FR"/>
        </w:rPr>
        <w:t>. Dans le cas contraire, elle sera requalifiée en revenu professionnel à moins que le contribuable ne démontr</w:t>
      </w:r>
      <w:r w:rsidRPr="00B72737">
        <w:rPr>
          <w:lang w:val="fr-FR"/>
        </w:rPr>
        <w:t xml:space="preserve">e qu’il a obtenu cette somme en dehors de toute activité professionnelle, auquel cas il faudra parler de revenu divers. </w:t>
      </w:r>
      <w:r>
        <w:rPr>
          <w:lang w:val="fr-FR"/>
        </w:rPr>
        <w:t>L’indemnité relative au travail associatif doit en outre respecter un plafond mensuel, fixé à un douzième du seuil</w:t>
      </w:r>
      <w:r w:rsidR="00B72737">
        <w:rPr>
          <w:lang w:val="fr-FR"/>
        </w:rPr>
        <w:t xml:space="preserve"> précité</w:t>
      </w:r>
      <w:r w:rsidR="00B72737">
        <w:rPr>
          <w:rStyle w:val="Appelnotedebasdep"/>
          <w:lang w:val="fr-FR"/>
        </w:rPr>
        <w:footnoteReference w:id="54"/>
      </w:r>
      <w:r w:rsidR="00807A49">
        <w:rPr>
          <w:lang w:val="fr-FR"/>
        </w:rPr>
        <w:t>-</w:t>
      </w:r>
      <w:r w:rsidR="00B72737">
        <w:rPr>
          <w:rStyle w:val="Appelnotedebasdep"/>
          <w:lang w:val="fr-FR"/>
        </w:rPr>
        <w:footnoteReference w:id="55"/>
      </w:r>
      <w:r>
        <w:rPr>
          <w:lang w:val="fr-FR"/>
        </w:rPr>
        <w:t>.</w:t>
      </w:r>
    </w:p>
    <w:p w14:paraId="21678A47" w14:textId="77777777" w:rsidR="00334747" w:rsidRPr="00334747" w:rsidRDefault="00334747" w:rsidP="00F6374E">
      <w:pPr>
        <w:pStyle w:val="Paragraphedeliste"/>
        <w:ind w:left="1068"/>
        <w:jc w:val="both"/>
        <w:rPr>
          <w:lang w:val="fr-FR"/>
        </w:rPr>
      </w:pPr>
    </w:p>
    <w:p w14:paraId="1C307A2C" w14:textId="77777777" w:rsidR="00A75EF1" w:rsidRPr="00F6408E" w:rsidRDefault="00F6408E" w:rsidP="00116DA9">
      <w:pPr>
        <w:pStyle w:val="Paragraphedeliste"/>
        <w:numPr>
          <w:ilvl w:val="0"/>
          <w:numId w:val="2"/>
        </w:numPr>
        <w:jc w:val="both"/>
        <w:rPr>
          <w:lang w:val="fr-FR"/>
        </w:rPr>
      </w:pPr>
      <w:r>
        <w:rPr>
          <w:lang w:val="fr-FR"/>
        </w:rPr>
        <w:t xml:space="preserve"> </w:t>
      </w:r>
      <w:r w:rsidR="00A75EF1" w:rsidRPr="00F6408E">
        <w:rPr>
          <w:lang w:val="fr-FR"/>
        </w:rPr>
        <w:t xml:space="preserve">Si nous analysons la question au regard du droit du travail belge tel qu’il existait avant l’adoption de cette loi, quels enseignements pouvons-nous tirer ? Serions-nous en présence d’une nouvelle catégorie de travailleurs, d’un statut intermédiaire situé à mi-chemin entre le volontariat d’un côté et le travail professionnel de l’autre ? </w:t>
      </w:r>
    </w:p>
    <w:p w14:paraId="0ACB9C31" w14:textId="77777777" w:rsidR="00015151" w:rsidRDefault="0020051D" w:rsidP="00242175">
      <w:pPr>
        <w:jc w:val="both"/>
        <w:rPr>
          <w:lang w:val="fr-FR"/>
        </w:rPr>
      </w:pPr>
      <w:r>
        <w:rPr>
          <w:lang w:val="fr-FR"/>
        </w:rPr>
        <w:lastRenderedPageBreak/>
        <w:tab/>
      </w:r>
      <w:r w:rsidR="00015151">
        <w:rPr>
          <w:lang w:val="fr-FR"/>
        </w:rPr>
        <w:t xml:space="preserve"> </w:t>
      </w:r>
      <w:r w:rsidR="00DF7CFD">
        <w:rPr>
          <w:lang w:val="fr-FR"/>
        </w:rPr>
        <w:t xml:space="preserve">Le contrat </w:t>
      </w:r>
      <w:r w:rsidR="0095531F">
        <w:rPr>
          <w:lang w:val="fr-FR"/>
        </w:rPr>
        <w:t xml:space="preserve">en matière </w:t>
      </w:r>
      <w:r w:rsidR="00DF7CFD">
        <w:rPr>
          <w:lang w:val="fr-FR"/>
        </w:rPr>
        <w:t xml:space="preserve">de travail associatif n’est pas un contrat de travail au sens de la loi du 3 juillet 1978. </w:t>
      </w:r>
      <w:r w:rsidR="0095531F">
        <w:rPr>
          <w:lang w:val="fr-FR"/>
        </w:rPr>
        <w:t xml:space="preserve">Le législateur aurait pu en faire un contrat de travail à régime spécifique inclus dans la loi de 1978, tels </w:t>
      </w:r>
      <w:r w:rsidR="00DF7CFD">
        <w:rPr>
          <w:lang w:val="fr-FR"/>
        </w:rPr>
        <w:t xml:space="preserve">le contrat d’occupation de travailleur à domicile </w:t>
      </w:r>
      <w:r w:rsidR="0095531F">
        <w:rPr>
          <w:lang w:val="fr-FR"/>
        </w:rPr>
        <w:t>et</w:t>
      </w:r>
      <w:r w:rsidR="00DF7CFD">
        <w:rPr>
          <w:lang w:val="fr-FR"/>
        </w:rPr>
        <w:t xml:space="preserve"> le contrat d’occupation d’étudiant</w:t>
      </w:r>
      <w:r w:rsidR="0095531F">
        <w:rPr>
          <w:lang w:val="fr-FR"/>
        </w:rPr>
        <w:t>, ou l’inscrire dans une loi distincte, à l’image du</w:t>
      </w:r>
      <w:r w:rsidR="00DF7CFD">
        <w:rPr>
          <w:lang w:val="fr-FR"/>
        </w:rPr>
        <w:t xml:space="preserve"> travail intérimaire et </w:t>
      </w:r>
      <w:r w:rsidR="0095531F">
        <w:rPr>
          <w:lang w:val="fr-FR"/>
        </w:rPr>
        <w:t xml:space="preserve">du </w:t>
      </w:r>
      <w:r w:rsidR="00DF7CFD">
        <w:rPr>
          <w:lang w:val="fr-FR"/>
        </w:rPr>
        <w:t>flexi-job</w:t>
      </w:r>
      <w:r w:rsidR="0095531F">
        <w:rPr>
          <w:lang w:val="fr-FR"/>
        </w:rPr>
        <w:t>. Ces contrats de travail à régime spécifique</w:t>
      </w:r>
      <w:r w:rsidR="00176D52">
        <w:rPr>
          <w:lang w:val="fr-FR"/>
        </w:rPr>
        <w:t xml:space="preserve"> illustrent le</w:t>
      </w:r>
      <w:r w:rsidR="000341F4">
        <w:rPr>
          <w:lang w:val="fr-FR"/>
        </w:rPr>
        <w:t xml:space="preserve"> phénomène de flexibilisation</w:t>
      </w:r>
      <w:r w:rsidR="00176D52">
        <w:rPr>
          <w:lang w:val="fr-FR"/>
        </w:rPr>
        <w:t xml:space="preserve"> à l’œuvre en droit du travail belge depuis une quarantaine d’années. La loi du 3 juillet 1978 relative au contrat de travail s’applique </w:t>
      </w:r>
      <w:r w:rsidR="00A957F2">
        <w:rPr>
          <w:lang w:val="fr-FR"/>
        </w:rPr>
        <w:t xml:space="preserve">à ces contrats </w:t>
      </w:r>
      <w:r w:rsidR="00176D52">
        <w:rPr>
          <w:lang w:val="fr-FR"/>
        </w:rPr>
        <w:t xml:space="preserve">sauf en ce qui concerne les dispositions </w:t>
      </w:r>
      <w:r w:rsidR="0095531F">
        <w:rPr>
          <w:lang w:val="fr-FR"/>
        </w:rPr>
        <w:t xml:space="preserve">particulières </w:t>
      </w:r>
      <w:r w:rsidR="00176D52">
        <w:rPr>
          <w:lang w:val="fr-FR"/>
        </w:rPr>
        <w:t xml:space="preserve">prévues par ces législations. Certes, ces régimes présentent un caractère moins protecteur que celui </w:t>
      </w:r>
      <w:r w:rsidR="00B143A0">
        <w:rPr>
          <w:lang w:val="fr-FR"/>
        </w:rPr>
        <w:t>du contrat à durée indéterminée,</w:t>
      </w:r>
      <w:r w:rsidR="00176D52">
        <w:rPr>
          <w:lang w:val="fr-FR"/>
        </w:rPr>
        <w:t xml:space="preserve"> </w:t>
      </w:r>
      <w:r w:rsidR="00B143A0">
        <w:rPr>
          <w:lang w:val="fr-FR"/>
        </w:rPr>
        <w:t>m</w:t>
      </w:r>
      <w:r w:rsidR="00176D52">
        <w:rPr>
          <w:lang w:val="fr-FR"/>
        </w:rPr>
        <w:t>ais les relations auxquel</w:t>
      </w:r>
      <w:r w:rsidR="00A957F2">
        <w:rPr>
          <w:lang w:val="fr-FR"/>
        </w:rPr>
        <w:t>le</w:t>
      </w:r>
      <w:r w:rsidR="00176D52">
        <w:rPr>
          <w:lang w:val="fr-FR"/>
        </w:rPr>
        <w:t>s ils trouvent à s’applique</w:t>
      </w:r>
      <w:r w:rsidR="00D14E96">
        <w:rPr>
          <w:lang w:val="fr-FR"/>
        </w:rPr>
        <w:t>r seront qualifiées de contrat de travail</w:t>
      </w:r>
      <w:r w:rsidR="00176D52">
        <w:rPr>
          <w:lang w:val="fr-FR"/>
        </w:rPr>
        <w:t>, ce qui a pour conséquence l’application du droit du travail et de la sécurité sociale. L’exclusion quasi générale de cette protection en matière de travail associatif présente donc un caractère inédit</w:t>
      </w:r>
      <w:r w:rsidR="00176D52">
        <w:rPr>
          <w:rStyle w:val="Appelnotedebasdep"/>
          <w:lang w:val="fr-FR"/>
        </w:rPr>
        <w:footnoteReference w:id="56"/>
      </w:r>
      <w:r w:rsidR="00176D52">
        <w:rPr>
          <w:lang w:val="fr-FR"/>
        </w:rPr>
        <w:t>.</w:t>
      </w:r>
    </w:p>
    <w:p w14:paraId="4033ABBD" w14:textId="77777777" w:rsidR="009C431A" w:rsidRDefault="001E2652" w:rsidP="00242175">
      <w:pPr>
        <w:jc w:val="both"/>
        <w:rPr>
          <w:lang w:val="fr-FR"/>
        </w:rPr>
      </w:pPr>
      <w:r>
        <w:rPr>
          <w:lang w:val="fr-FR"/>
        </w:rPr>
        <w:tab/>
        <w:t>Le législateur aurait également</w:t>
      </w:r>
      <w:r w:rsidR="00BF6ED5">
        <w:rPr>
          <w:lang w:val="fr-FR"/>
        </w:rPr>
        <w:t xml:space="preserve"> pu choisir de créer</w:t>
      </w:r>
      <w:r w:rsidR="004A7F2B">
        <w:rPr>
          <w:lang w:val="fr-FR"/>
        </w:rPr>
        <w:t xml:space="preserve"> </w:t>
      </w:r>
      <w:r>
        <w:rPr>
          <w:lang w:val="fr-FR"/>
        </w:rPr>
        <w:t xml:space="preserve">une catégorie particulière au sein du volontariat, en rehaussant par exemple le montant maximal de l’indemnité forfaitaire pour certaines activités. </w:t>
      </w:r>
      <w:r w:rsidR="0095531F">
        <w:rPr>
          <w:lang w:val="fr-FR"/>
        </w:rPr>
        <w:t>Ceci aurait eu pour effet de maintenir le travailleur associatif subordonné dans le champ d’action de diverses dispositions relevant de la règlementation du travail. Le législateur</w:t>
      </w:r>
      <w:r>
        <w:rPr>
          <w:lang w:val="fr-FR"/>
        </w:rPr>
        <w:t xml:space="preserve"> ne l’a pas fait.</w:t>
      </w:r>
      <w:r w:rsidR="00CC1CCA">
        <w:rPr>
          <w:lang w:val="fr-FR"/>
        </w:rPr>
        <w:t xml:space="preserve"> Contrairement au travailleur volontaire, le travailleur associatif poursuit un but de lucre. L’ « indemnité » qu’il perçoit constitue une contrepartie de ses prestations et non une indemnisation des frais exposés.  Elle échappe pourtant à la qualification de rémunération (pour autant qu’elle ne dépasse pas le seuil fixé par la loi)</w:t>
      </w:r>
      <w:r w:rsidR="003E7E51">
        <w:rPr>
          <w:lang w:val="fr-FR"/>
        </w:rPr>
        <w:t xml:space="preserve"> </w:t>
      </w:r>
      <w:r w:rsidR="009C431A">
        <w:rPr>
          <w:lang w:val="fr-FR"/>
        </w:rPr>
        <w:t xml:space="preserve">en raison du fait que l’activité est exercée durant le temps libre de l’individu, que le but de lucre recherché par celui-ci est moins important </w:t>
      </w:r>
      <w:r w:rsidR="009C431A" w:rsidRPr="00123485">
        <w:rPr>
          <w:lang w:val="fr-FR"/>
        </w:rPr>
        <w:t>que l’intérêt sociétal que représente l’activité pour la société</w:t>
      </w:r>
      <w:r w:rsidR="009C431A" w:rsidRPr="00883040">
        <w:rPr>
          <w:lang w:val="fr-FR"/>
        </w:rPr>
        <w:t xml:space="preserve"> </w:t>
      </w:r>
      <w:r w:rsidR="009C431A">
        <w:rPr>
          <w:lang w:val="fr-FR"/>
        </w:rPr>
        <w:t xml:space="preserve">et que, disposant déjà d’une activité principale lui procurant des revenus, </w:t>
      </w:r>
      <w:r w:rsidR="009C431A" w:rsidRPr="00123485">
        <w:rPr>
          <w:lang w:val="fr-FR"/>
        </w:rPr>
        <w:t>le revenu qu’il tire de l’</w:t>
      </w:r>
      <w:r w:rsidR="003D6A09" w:rsidRPr="00123485">
        <w:rPr>
          <w:lang w:val="fr-FR"/>
        </w:rPr>
        <w:t>activité couverte par la loi</w:t>
      </w:r>
      <w:r w:rsidR="009C431A" w:rsidRPr="00123485">
        <w:rPr>
          <w:lang w:val="fr-FR"/>
        </w:rPr>
        <w:t xml:space="preserve"> ne lui est pas nécessaire pour assurer sa survie</w:t>
      </w:r>
      <w:r w:rsidR="00817EAB">
        <w:rPr>
          <w:rStyle w:val="Appelnotedebasdep"/>
          <w:lang w:val="fr-FR"/>
        </w:rPr>
        <w:footnoteReference w:id="57"/>
      </w:r>
      <w:r w:rsidR="009C431A" w:rsidRPr="00883040">
        <w:rPr>
          <w:lang w:val="fr-FR"/>
        </w:rPr>
        <w:t>.</w:t>
      </w:r>
    </w:p>
    <w:p w14:paraId="19504462" w14:textId="68D68A8A" w:rsidR="00BD4354" w:rsidRDefault="004A6E34" w:rsidP="00BD4354">
      <w:pPr>
        <w:jc w:val="both"/>
        <w:rPr>
          <w:lang w:val="fr-FR"/>
        </w:rPr>
      </w:pPr>
      <w:r>
        <w:rPr>
          <w:lang w:val="fr-FR"/>
        </w:rPr>
        <w:tab/>
      </w:r>
      <w:r w:rsidR="00BD4354">
        <w:rPr>
          <w:lang w:val="fr-FR"/>
        </w:rPr>
        <w:tab/>
        <w:t xml:space="preserve">Le contrat </w:t>
      </w:r>
      <w:r w:rsidR="0095531F">
        <w:rPr>
          <w:lang w:val="fr-FR"/>
        </w:rPr>
        <w:t xml:space="preserve">en matière </w:t>
      </w:r>
      <w:r w:rsidR="00BD4354">
        <w:rPr>
          <w:lang w:val="fr-FR"/>
        </w:rPr>
        <w:t xml:space="preserve">de travail associatif </w:t>
      </w:r>
      <w:r w:rsidR="0095531F">
        <w:rPr>
          <w:lang w:val="fr-FR"/>
        </w:rPr>
        <w:t xml:space="preserve">ne relève </w:t>
      </w:r>
      <w:r w:rsidR="00A40999">
        <w:rPr>
          <w:lang w:val="fr-FR"/>
        </w:rPr>
        <w:t xml:space="preserve">donc </w:t>
      </w:r>
      <w:r w:rsidR="0095531F">
        <w:rPr>
          <w:lang w:val="fr-FR"/>
        </w:rPr>
        <w:t>ni</w:t>
      </w:r>
      <w:r w:rsidR="00BD4354">
        <w:rPr>
          <w:lang w:val="fr-FR"/>
        </w:rPr>
        <w:t xml:space="preserve"> du droit du travail, ni </w:t>
      </w:r>
      <w:r w:rsidR="0095531F">
        <w:rPr>
          <w:lang w:val="fr-FR"/>
        </w:rPr>
        <w:t xml:space="preserve">de </w:t>
      </w:r>
      <w:r w:rsidR="00BD4354">
        <w:rPr>
          <w:lang w:val="fr-FR"/>
        </w:rPr>
        <w:t>celui du droit des volontaires</w:t>
      </w:r>
      <w:r w:rsidR="00120F1A">
        <w:rPr>
          <w:lang w:val="fr-FR"/>
        </w:rPr>
        <w:t xml:space="preserve"> mais possède son propre régime </w:t>
      </w:r>
      <w:r w:rsidR="00120F1A" w:rsidRPr="00900084">
        <w:rPr>
          <w:i/>
          <w:lang w:val="fr-FR"/>
        </w:rPr>
        <w:t>sui generis</w:t>
      </w:r>
      <w:r w:rsidR="00BD4354">
        <w:rPr>
          <w:lang w:val="fr-FR"/>
        </w:rPr>
        <w:t xml:space="preserve">. Comparée à la protection offerte par ces deux </w:t>
      </w:r>
      <w:r w:rsidR="00370FBD">
        <w:rPr>
          <w:lang w:val="fr-FR"/>
        </w:rPr>
        <w:t xml:space="preserve">autres </w:t>
      </w:r>
      <w:r w:rsidR="00BD4354">
        <w:rPr>
          <w:lang w:val="fr-FR"/>
        </w:rPr>
        <w:t xml:space="preserve">régimes, la protection dont jouit le travailleur associatif est minimale. </w:t>
      </w:r>
    </w:p>
    <w:p w14:paraId="375C2B75" w14:textId="77777777" w:rsidR="00B960EC" w:rsidRDefault="00347287" w:rsidP="00242175">
      <w:pPr>
        <w:jc w:val="both"/>
        <w:rPr>
          <w:lang w:val="fr-FR"/>
        </w:rPr>
      </w:pPr>
      <w:r>
        <w:rPr>
          <w:lang w:val="fr-FR"/>
        </w:rPr>
        <w:t xml:space="preserve"> </w:t>
      </w:r>
    </w:p>
    <w:p w14:paraId="65FC08C2" w14:textId="77777777" w:rsidR="00E34ACE" w:rsidRPr="008853E7" w:rsidRDefault="00E34ACE" w:rsidP="008853E7">
      <w:pPr>
        <w:pStyle w:val="Paragraphedeliste"/>
        <w:numPr>
          <w:ilvl w:val="0"/>
          <w:numId w:val="7"/>
        </w:numPr>
        <w:jc w:val="both"/>
        <w:rPr>
          <w:b/>
          <w:lang w:val="fr-FR"/>
        </w:rPr>
      </w:pPr>
      <w:r w:rsidRPr="008853E7">
        <w:rPr>
          <w:b/>
          <w:lang w:val="fr-FR"/>
        </w:rPr>
        <w:t>L’arrêt de la Cour constitutionnelle du 23 avril 2020 : quelles leçons pour la notion de travailleur en droit belge ?</w:t>
      </w:r>
    </w:p>
    <w:p w14:paraId="10E8F1D7" w14:textId="77777777" w:rsidR="00E3542F" w:rsidRPr="00B544B5" w:rsidRDefault="00DA64DA" w:rsidP="00116DA9">
      <w:pPr>
        <w:pStyle w:val="Paragraphedeliste"/>
        <w:numPr>
          <w:ilvl w:val="0"/>
          <w:numId w:val="2"/>
        </w:numPr>
        <w:jc w:val="both"/>
        <w:rPr>
          <w:lang w:val="fr-FR"/>
        </w:rPr>
      </w:pPr>
      <w:r w:rsidRPr="00B544B5">
        <w:rPr>
          <w:lang w:val="fr-FR"/>
        </w:rPr>
        <w:lastRenderedPageBreak/>
        <w:t xml:space="preserve"> </w:t>
      </w:r>
      <w:r w:rsidR="007D465F" w:rsidRPr="00B544B5">
        <w:rPr>
          <w:lang w:val="fr-FR"/>
        </w:rPr>
        <w:t xml:space="preserve">La nouvelle loi </w:t>
      </w:r>
      <w:r w:rsidR="00D75778" w:rsidRPr="00B544B5">
        <w:rPr>
          <w:lang w:val="fr-FR"/>
        </w:rPr>
        <w:t>a</w:t>
      </w:r>
      <w:r w:rsidR="007D465F" w:rsidRPr="00B544B5">
        <w:rPr>
          <w:lang w:val="fr-FR"/>
        </w:rPr>
        <w:t xml:space="preserve"> rapidement</w:t>
      </w:r>
      <w:r w:rsidR="00D75778" w:rsidRPr="00B544B5">
        <w:rPr>
          <w:lang w:val="fr-FR"/>
        </w:rPr>
        <w:t xml:space="preserve"> fait</w:t>
      </w:r>
      <w:r w:rsidR="007D465F" w:rsidRPr="00B544B5">
        <w:rPr>
          <w:lang w:val="fr-FR"/>
        </w:rPr>
        <w:t xml:space="preserve"> l’objet de vives critiques, tant du côté </w:t>
      </w:r>
      <w:r w:rsidR="00015151" w:rsidRPr="00B544B5">
        <w:rPr>
          <w:lang w:val="fr-FR"/>
        </w:rPr>
        <w:t>de la doctrine</w:t>
      </w:r>
      <w:r w:rsidR="008E4CDB">
        <w:rPr>
          <w:rStyle w:val="Appelnotedebasdep"/>
          <w:lang w:val="fr-FR"/>
        </w:rPr>
        <w:footnoteReference w:id="58"/>
      </w:r>
      <w:r w:rsidR="007D465F" w:rsidRPr="00B544B5">
        <w:rPr>
          <w:lang w:val="fr-FR"/>
        </w:rPr>
        <w:t xml:space="preserve"> que de celui des organisations syndicales</w:t>
      </w:r>
      <w:r w:rsidR="004D48C7">
        <w:rPr>
          <w:rStyle w:val="Appelnotedebasdep"/>
          <w:lang w:val="fr-FR"/>
        </w:rPr>
        <w:footnoteReference w:id="59"/>
      </w:r>
      <w:r w:rsidR="007D465F" w:rsidRPr="00B544B5">
        <w:rPr>
          <w:lang w:val="fr-FR"/>
        </w:rPr>
        <w:t xml:space="preserve">, </w:t>
      </w:r>
      <w:r w:rsidR="00B72DF2" w:rsidRPr="00B544B5">
        <w:rPr>
          <w:lang w:val="fr-FR"/>
        </w:rPr>
        <w:t xml:space="preserve"> des acteurs du secteur non marchand</w:t>
      </w:r>
      <w:r w:rsidR="00B72DF2">
        <w:rPr>
          <w:rStyle w:val="Appelnotedebasdep"/>
          <w:lang w:val="fr-FR"/>
        </w:rPr>
        <w:footnoteReference w:id="60"/>
      </w:r>
      <w:r w:rsidR="00B72DF2" w:rsidRPr="00B544B5">
        <w:rPr>
          <w:lang w:val="fr-FR"/>
        </w:rPr>
        <w:t xml:space="preserve">, </w:t>
      </w:r>
      <w:r w:rsidR="007D465F" w:rsidRPr="00B544B5">
        <w:rPr>
          <w:lang w:val="fr-FR"/>
        </w:rPr>
        <w:t xml:space="preserve">des organisations </w:t>
      </w:r>
      <w:r w:rsidR="00BC2DE9" w:rsidRPr="00B544B5">
        <w:rPr>
          <w:lang w:val="fr-FR"/>
        </w:rPr>
        <w:t>représentant les volontaires</w:t>
      </w:r>
      <w:r w:rsidR="00BC2DE9">
        <w:rPr>
          <w:rStyle w:val="Appelnotedebasdep"/>
          <w:lang w:val="fr-FR"/>
        </w:rPr>
        <w:footnoteReference w:id="61"/>
      </w:r>
      <w:r w:rsidR="007D465F" w:rsidRPr="00B544B5">
        <w:rPr>
          <w:lang w:val="fr-FR"/>
        </w:rPr>
        <w:t xml:space="preserve"> ou encore</w:t>
      </w:r>
      <w:r w:rsidR="002D752B" w:rsidRPr="00B544B5">
        <w:rPr>
          <w:lang w:val="fr-FR"/>
        </w:rPr>
        <w:t xml:space="preserve"> celles représentant l</w:t>
      </w:r>
      <w:r w:rsidR="007D465F" w:rsidRPr="00B544B5">
        <w:rPr>
          <w:lang w:val="fr-FR"/>
        </w:rPr>
        <w:t>es indépendants</w:t>
      </w:r>
      <w:r w:rsidR="008F3CD4">
        <w:rPr>
          <w:rStyle w:val="Appelnotedebasdep"/>
          <w:lang w:val="fr-FR"/>
        </w:rPr>
        <w:footnoteReference w:id="62"/>
      </w:r>
      <w:r w:rsidR="007D465F" w:rsidRPr="00B544B5">
        <w:rPr>
          <w:lang w:val="fr-FR"/>
        </w:rPr>
        <w:t>.</w:t>
      </w:r>
      <w:r w:rsidR="00D75778" w:rsidRPr="00B544B5">
        <w:rPr>
          <w:lang w:val="fr-FR"/>
        </w:rPr>
        <w:t xml:space="preserve"> </w:t>
      </w:r>
      <w:r w:rsidR="000E1522" w:rsidRPr="00B544B5">
        <w:rPr>
          <w:lang w:val="fr-FR"/>
        </w:rPr>
        <w:t xml:space="preserve"> Elle a été annulée par un</w:t>
      </w:r>
      <w:r w:rsidR="00B544B5">
        <w:rPr>
          <w:lang w:val="fr-FR"/>
        </w:rPr>
        <w:t xml:space="preserve"> </w:t>
      </w:r>
      <w:r w:rsidR="00E3542F" w:rsidRPr="00B544B5">
        <w:rPr>
          <w:lang w:val="fr-FR"/>
        </w:rPr>
        <w:t>arrêt du 23 avril 2020</w:t>
      </w:r>
      <w:r w:rsidR="00453B98">
        <w:rPr>
          <w:rStyle w:val="Appelnotedebasdep"/>
          <w:lang w:val="fr-FR"/>
        </w:rPr>
        <w:footnoteReference w:id="63"/>
      </w:r>
      <w:r w:rsidR="000E1522" w:rsidRPr="00B544B5">
        <w:rPr>
          <w:lang w:val="fr-FR"/>
        </w:rPr>
        <w:t xml:space="preserve"> de </w:t>
      </w:r>
      <w:r w:rsidR="00E3542F" w:rsidRPr="00B544B5">
        <w:rPr>
          <w:lang w:val="fr-FR"/>
        </w:rPr>
        <w:t xml:space="preserve">la Cour constitutionnelle. </w:t>
      </w:r>
      <w:r w:rsidR="000E1522" w:rsidRPr="00B544B5">
        <w:rPr>
          <w:lang w:val="fr-FR"/>
        </w:rPr>
        <w:t xml:space="preserve">Ses </w:t>
      </w:r>
      <w:r w:rsidR="00E3542F" w:rsidRPr="00B544B5">
        <w:rPr>
          <w:lang w:val="fr-FR"/>
        </w:rPr>
        <w:t xml:space="preserve">effets ont néanmoins </w:t>
      </w:r>
      <w:r w:rsidR="00A957F2" w:rsidRPr="00B544B5">
        <w:rPr>
          <w:lang w:val="fr-FR"/>
        </w:rPr>
        <w:t xml:space="preserve">été </w:t>
      </w:r>
      <w:r w:rsidR="00E3542F" w:rsidRPr="00B544B5">
        <w:rPr>
          <w:lang w:val="fr-FR"/>
        </w:rPr>
        <w:t>maintenus jusqu’au 31 décembre 2020</w:t>
      </w:r>
      <w:r w:rsidR="00D75778" w:rsidRPr="00B544B5">
        <w:rPr>
          <w:lang w:val="fr-FR"/>
        </w:rPr>
        <w:t xml:space="preserve"> inclus pour des raisons de sécurité juridique</w:t>
      </w:r>
      <w:r w:rsidR="00D75778">
        <w:rPr>
          <w:rStyle w:val="Appelnotedebasdep"/>
          <w:lang w:val="fr-FR"/>
        </w:rPr>
        <w:footnoteReference w:id="64"/>
      </w:r>
      <w:r w:rsidR="00D75778" w:rsidRPr="00B544B5">
        <w:rPr>
          <w:lang w:val="fr-FR"/>
        </w:rPr>
        <w:t>.</w:t>
      </w:r>
      <w:r w:rsidR="00E3542F" w:rsidRPr="00B544B5">
        <w:rPr>
          <w:lang w:val="fr-FR"/>
        </w:rPr>
        <w:t xml:space="preserve"> Cet arrêt fait suite à un</w:t>
      </w:r>
      <w:r w:rsidR="009C1EF4" w:rsidRPr="00B544B5">
        <w:rPr>
          <w:lang w:val="fr-FR"/>
        </w:rPr>
        <w:t xml:space="preserve"> recours en annulation introduit par un grand nombre d’organisations très diverses alliant syndicats et organisations représentant les travailleurs indépendants</w:t>
      </w:r>
      <w:r w:rsidR="00E3542F" w:rsidRPr="00B544B5">
        <w:rPr>
          <w:lang w:val="fr-FR"/>
        </w:rPr>
        <w:t xml:space="preserve">. Nous ne ferons pas ici une analyse systématique du raisonnement de la </w:t>
      </w:r>
      <w:r w:rsidR="000E1522" w:rsidRPr="00B544B5">
        <w:rPr>
          <w:lang w:val="fr-FR"/>
        </w:rPr>
        <w:t xml:space="preserve">Cour </w:t>
      </w:r>
      <w:r w:rsidR="00E3542F" w:rsidRPr="00B544B5">
        <w:rPr>
          <w:lang w:val="fr-FR"/>
        </w:rPr>
        <w:t>et de l’ensemble des arguments qui ont abouti à l’annulation de la loi</w:t>
      </w:r>
      <w:r w:rsidR="00306632">
        <w:rPr>
          <w:rStyle w:val="Appelnotedebasdep"/>
          <w:lang w:val="fr-FR"/>
        </w:rPr>
        <w:footnoteReference w:id="65"/>
      </w:r>
      <w:r w:rsidR="00E3542F" w:rsidRPr="00B544B5">
        <w:rPr>
          <w:lang w:val="fr-FR"/>
        </w:rPr>
        <w:t xml:space="preserve">. Notre but est plutôt de nous concentrer sur les arguments utiles à notre réflexion dans le domaine du droit du travail. </w:t>
      </w:r>
    </w:p>
    <w:p w14:paraId="53928624" w14:textId="77777777" w:rsidR="00FE66D1" w:rsidRPr="00DA64DA" w:rsidRDefault="00FE66D1" w:rsidP="00FE66D1">
      <w:pPr>
        <w:pStyle w:val="Paragraphedeliste"/>
        <w:ind w:left="1068"/>
        <w:jc w:val="both"/>
        <w:rPr>
          <w:lang w:val="fr-FR"/>
        </w:rPr>
      </w:pPr>
    </w:p>
    <w:p w14:paraId="37310665" w14:textId="77777777" w:rsidR="00A957F2" w:rsidRDefault="00A87F0D" w:rsidP="00116DA9">
      <w:pPr>
        <w:pStyle w:val="Paragraphedeliste"/>
        <w:numPr>
          <w:ilvl w:val="0"/>
          <w:numId w:val="2"/>
        </w:numPr>
        <w:jc w:val="both"/>
        <w:rPr>
          <w:lang w:val="fr-FR"/>
        </w:rPr>
      </w:pPr>
      <w:r>
        <w:rPr>
          <w:lang w:val="fr-FR"/>
        </w:rPr>
        <w:t xml:space="preserve"> </w:t>
      </w:r>
      <w:r w:rsidR="000273F0">
        <w:rPr>
          <w:lang w:val="fr-FR"/>
        </w:rPr>
        <w:t>S</w:t>
      </w:r>
      <w:r w:rsidR="000273F0" w:rsidRPr="00A87F0D">
        <w:rPr>
          <w:lang w:val="fr-FR"/>
        </w:rPr>
        <w:t>elon la Cour</w:t>
      </w:r>
      <w:r w:rsidR="000273F0">
        <w:rPr>
          <w:lang w:val="fr-FR"/>
        </w:rPr>
        <w:t>, l</w:t>
      </w:r>
      <w:r w:rsidR="007333D2" w:rsidRPr="00A87F0D">
        <w:rPr>
          <w:lang w:val="fr-FR"/>
        </w:rPr>
        <w:t xml:space="preserve">a création d’un nouveau type de contrat de travail distinct, ainsi que la détermination des catégories de travailleurs concernées et des modalités d’application, relève de la compétence du législateur et il n’appartient pas à celle-ci de se prononcer sur cette décision, qui relève du choix politique, à moins qu’il </w:t>
      </w:r>
      <w:r w:rsidR="00352BF3">
        <w:rPr>
          <w:lang w:val="fr-FR"/>
        </w:rPr>
        <w:t>n’</w:t>
      </w:r>
      <w:r w:rsidR="007333D2" w:rsidRPr="00A87F0D">
        <w:rPr>
          <w:lang w:val="fr-FR"/>
        </w:rPr>
        <w:t xml:space="preserve">en résulte une différence de traitement dépourvue de justification raisonnable ou </w:t>
      </w:r>
      <w:r w:rsidR="002D6A6A" w:rsidRPr="00A87F0D">
        <w:rPr>
          <w:lang w:val="fr-FR"/>
        </w:rPr>
        <w:t xml:space="preserve">qu’il </w:t>
      </w:r>
      <w:r w:rsidR="008A5F7D">
        <w:rPr>
          <w:lang w:val="fr-FR"/>
        </w:rPr>
        <w:t xml:space="preserve">ne </w:t>
      </w:r>
      <w:r w:rsidR="002D6A6A" w:rsidRPr="00A87F0D">
        <w:rPr>
          <w:lang w:val="fr-FR"/>
        </w:rPr>
        <w:t xml:space="preserve">soit porté atteinte de façon disproportionnée aux droits des travailleurs et des employeurs. </w:t>
      </w:r>
    </w:p>
    <w:p w14:paraId="6ECF1912" w14:textId="77777777" w:rsidR="009C1EF4" w:rsidRPr="00A957F2" w:rsidRDefault="002D6A6A" w:rsidP="00123485">
      <w:pPr>
        <w:ind w:firstLine="708"/>
        <w:jc w:val="both"/>
        <w:rPr>
          <w:lang w:val="fr-FR"/>
        </w:rPr>
      </w:pPr>
      <w:r w:rsidRPr="00A957F2">
        <w:rPr>
          <w:lang w:val="fr-FR"/>
        </w:rPr>
        <w:t>La justification du gouvernement repose sur la situation d’incertitude dans laquelle se trouvent les travailleurs et les organisations concernées. L’objectif est d’offrir une simplification administrative à ces différents acteurs. Les effets de la nouvelle législation sont néanmoins disproportionnés par rapport à cet objectif.</w:t>
      </w:r>
      <w:r w:rsidR="00BE650F" w:rsidRPr="00C8648E">
        <w:rPr>
          <w:lang w:val="fr-FR"/>
        </w:rPr>
        <w:t xml:space="preserve">  L’incertitude </w:t>
      </w:r>
      <w:r w:rsidR="00602C00" w:rsidRPr="0063761A">
        <w:rPr>
          <w:lang w:val="fr-FR"/>
        </w:rPr>
        <w:t>« </w:t>
      </w:r>
      <w:r w:rsidR="00BE650F" w:rsidRPr="0063761A">
        <w:rPr>
          <w:lang w:val="fr-FR"/>
        </w:rPr>
        <w:t>ne justifie pas que l’application de la législation sur le travail soit presque totalement écartée dans le cadre de ce statut »</w:t>
      </w:r>
      <w:r w:rsidR="003B0529">
        <w:rPr>
          <w:rStyle w:val="Appelnotedebasdep"/>
          <w:lang w:val="fr-FR"/>
        </w:rPr>
        <w:footnoteReference w:id="66"/>
      </w:r>
      <w:r w:rsidR="00BE650F" w:rsidRPr="00A957F2">
        <w:rPr>
          <w:lang w:val="fr-FR"/>
        </w:rPr>
        <w:t>. Il y a certes quelques obligations pour les organisations concerné</w:t>
      </w:r>
      <w:r w:rsidR="00602C00" w:rsidRPr="00A957F2">
        <w:rPr>
          <w:lang w:val="fr-FR"/>
        </w:rPr>
        <w:t>e</w:t>
      </w:r>
      <w:r w:rsidR="00BE650F" w:rsidRPr="00A957F2">
        <w:rPr>
          <w:lang w:val="fr-FR"/>
        </w:rPr>
        <w:t xml:space="preserve">s, mais celles-ci ne </w:t>
      </w:r>
      <w:r w:rsidR="00602C00" w:rsidRPr="00C8648E">
        <w:rPr>
          <w:lang w:val="fr-FR"/>
        </w:rPr>
        <w:t>sont en aucun cas comparables</w:t>
      </w:r>
      <w:r w:rsidR="007B1B32" w:rsidRPr="0063761A">
        <w:rPr>
          <w:lang w:val="fr-FR"/>
        </w:rPr>
        <w:t xml:space="preserve"> à celles qui reposent sur les épaules d’un employeur</w:t>
      </w:r>
      <w:r w:rsidR="00602C00" w:rsidRPr="0063761A">
        <w:rPr>
          <w:lang w:val="fr-FR"/>
        </w:rPr>
        <w:t xml:space="preserve">. La Cour émet également de sérieux doutes sur la primauté de l’intérêt social </w:t>
      </w:r>
      <w:r w:rsidR="008A5F7D">
        <w:rPr>
          <w:lang w:val="fr-FR"/>
        </w:rPr>
        <w:t>par rapport</w:t>
      </w:r>
      <w:r w:rsidR="00602C00" w:rsidRPr="0063761A">
        <w:rPr>
          <w:lang w:val="fr-FR"/>
        </w:rPr>
        <w:t xml:space="preserve"> but de lucre dans le cad</w:t>
      </w:r>
      <w:r w:rsidR="00602C00" w:rsidRPr="00B544B5">
        <w:rPr>
          <w:lang w:val="fr-FR"/>
        </w:rPr>
        <w:t>re de ces activités. L’intention personnelle du travailleur associatif</w:t>
      </w:r>
      <w:r w:rsidR="007B1B32" w:rsidRPr="00B544B5">
        <w:rPr>
          <w:lang w:val="fr-FR"/>
        </w:rPr>
        <w:t xml:space="preserve"> peut</w:t>
      </w:r>
      <w:r w:rsidR="00602C00" w:rsidRPr="00B544B5">
        <w:rPr>
          <w:lang w:val="fr-FR"/>
        </w:rPr>
        <w:t xml:space="preserve"> difficilement</w:t>
      </w:r>
      <w:r w:rsidR="007B1B32" w:rsidRPr="00B544B5">
        <w:rPr>
          <w:lang w:val="fr-FR"/>
        </w:rPr>
        <w:t xml:space="preserve"> être</w:t>
      </w:r>
      <w:r w:rsidR="00602C00" w:rsidRPr="00B544B5">
        <w:rPr>
          <w:lang w:val="fr-FR"/>
        </w:rPr>
        <w:t xml:space="preserve"> identifi</w:t>
      </w:r>
      <w:r w:rsidR="007B1B32" w:rsidRPr="00B544B5">
        <w:rPr>
          <w:lang w:val="fr-FR"/>
        </w:rPr>
        <w:t>ée</w:t>
      </w:r>
      <w:r w:rsidR="00602C00" w:rsidRPr="00B544B5">
        <w:rPr>
          <w:lang w:val="fr-FR"/>
        </w:rPr>
        <w:t xml:space="preserve">, et ni l’exigence de disposer d’une activité professionnelle </w:t>
      </w:r>
      <w:r w:rsidR="00602C00" w:rsidRPr="00B544B5">
        <w:rPr>
          <w:lang w:val="fr-FR"/>
        </w:rPr>
        <w:lastRenderedPageBreak/>
        <w:t>à titre principal, ni le seuil maximal d’indemnisation fixé par la loi, ne permett</w:t>
      </w:r>
      <w:r w:rsidR="0061668B" w:rsidRPr="00B544B5">
        <w:rPr>
          <w:lang w:val="fr-FR"/>
        </w:rPr>
        <w:t>ent de déterminer l’intentio</w:t>
      </w:r>
      <w:r w:rsidR="00A4729B" w:rsidRPr="00B544B5">
        <w:rPr>
          <w:lang w:val="fr-FR"/>
        </w:rPr>
        <w:t xml:space="preserve">n personnelle de l’intéressé, </w:t>
      </w:r>
      <w:r w:rsidR="007F1BF1">
        <w:rPr>
          <w:lang w:val="fr-FR"/>
        </w:rPr>
        <w:t>ni</w:t>
      </w:r>
      <w:r w:rsidR="007F1BF1" w:rsidRPr="00B544B5">
        <w:rPr>
          <w:lang w:val="fr-FR"/>
        </w:rPr>
        <w:t xml:space="preserve"> </w:t>
      </w:r>
      <w:r w:rsidR="0061668B" w:rsidRPr="00B544B5">
        <w:rPr>
          <w:lang w:val="fr-FR"/>
        </w:rPr>
        <w:t>de juger du caractère secondaire de l’indemnisation à ses yeux</w:t>
      </w:r>
      <w:r w:rsidR="00602C00">
        <w:rPr>
          <w:rStyle w:val="Appelnotedebasdep"/>
          <w:lang w:val="fr-FR"/>
        </w:rPr>
        <w:footnoteReference w:id="67"/>
      </w:r>
      <w:r w:rsidR="00602C00" w:rsidRPr="00A957F2">
        <w:rPr>
          <w:lang w:val="fr-FR"/>
        </w:rPr>
        <w:t>.</w:t>
      </w:r>
    </w:p>
    <w:p w14:paraId="1A01B337" w14:textId="77777777" w:rsidR="009C1EF4" w:rsidRDefault="00E634F8" w:rsidP="004458E6">
      <w:pPr>
        <w:jc w:val="both"/>
        <w:rPr>
          <w:lang w:val="fr-FR"/>
        </w:rPr>
      </w:pPr>
      <w:r>
        <w:rPr>
          <w:lang w:val="fr-FR"/>
        </w:rPr>
        <w:tab/>
      </w:r>
      <w:r w:rsidR="0093659F">
        <w:rPr>
          <w:lang w:val="fr-FR"/>
        </w:rPr>
        <w:t xml:space="preserve"> </w:t>
      </w:r>
      <w:r w:rsidR="00105378">
        <w:t>La Cour relève en outre la possibilité qu’une personne accomplisse pour une même organisation des tâches, tantôt sous le régime du travail associatif, tantôt sous celui du volontariat. L</w:t>
      </w:r>
      <w:r w:rsidR="00D67FEC">
        <w:rPr>
          <w:lang w:val="fr-FR"/>
        </w:rPr>
        <w:t>’article 2, 1°, e)</w:t>
      </w:r>
      <w:r w:rsidR="007F1BF1">
        <w:rPr>
          <w:lang w:val="fr-FR"/>
        </w:rPr>
        <w:t>,</w:t>
      </w:r>
      <w:r w:rsidR="00D67FEC">
        <w:rPr>
          <w:lang w:val="fr-FR"/>
        </w:rPr>
        <w:t xml:space="preserve"> de la loi prévoit que l’activité doit être réalisée</w:t>
      </w:r>
      <w:r w:rsidR="00D67FEC">
        <w:t xml:space="preserve"> par une personne qui, au cours de la période où elle fournit des prestations dans le cadre du travail associatif </w:t>
      </w:r>
      <w:r w:rsidR="00D67FEC">
        <w:rPr>
          <w:lang w:val="fr-FR"/>
        </w:rPr>
        <w:t xml:space="preserve">« […] </w:t>
      </w:r>
      <w:r w:rsidR="00D67FEC">
        <w:t xml:space="preserve">ne fait pas office de volontaire au sens de la loi du 3 juillet 2005 relative aux droits des volontaires pour la même organisation dans la mesure où elle reçoit un défraiement ». </w:t>
      </w:r>
      <w:r w:rsidR="00105378">
        <w:t>Dès lors, si</w:t>
      </w:r>
      <w:r w:rsidR="0093659F">
        <w:t xml:space="preserve"> ces prestations ne sont pas fournies au cours de la même période, l’</w:t>
      </w:r>
      <w:r w:rsidR="00105378">
        <w:t>intéressé</w:t>
      </w:r>
      <w:r w:rsidR="0093659F">
        <w:t xml:space="preserve"> pourra combiner les indemnités maximales des deux statuts, aucune mesure ne venant interdire ce cumul</w:t>
      </w:r>
      <w:r>
        <w:rPr>
          <w:lang w:val="fr-FR"/>
        </w:rPr>
        <w:t>. L’ensemble de ces indemnités cumulées pourrait se trouver en concurrence avec la rémunération que l’on pourrait attendre d’une activité professionnelle à temps partiel, sans qu’aucun garde-fou ne l’empêche</w:t>
      </w:r>
      <w:r>
        <w:rPr>
          <w:rStyle w:val="Appelnotedebasdep"/>
          <w:lang w:val="fr-FR"/>
        </w:rPr>
        <w:footnoteReference w:id="68"/>
      </w:r>
      <w:r>
        <w:rPr>
          <w:lang w:val="fr-FR"/>
        </w:rPr>
        <w:t xml:space="preserve">. </w:t>
      </w:r>
    </w:p>
    <w:p w14:paraId="4E44F934" w14:textId="77777777" w:rsidR="00E634F8" w:rsidRDefault="00E634F8" w:rsidP="004458E6">
      <w:pPr>
        <w:jc w:val="both"/>
        <w:rPr>
          <w:lang w:val="fr-FR"/>
        </w:rPr>
      </w:pPr>
      <w:r>
        <w:rPr>
          <w:lang w:val="fr-FR"/>
        </w:rPr>
        <w:tab/>
        <w:t>La Cour se montre particulièrement critique vis-à-vis de l’argument développé par le Conseil des ministres selon lequel la loi en question viserait à lutter contre le recours</w:t>
      </w:r>
      <w:r w:rsidR="006C48C2">
        <w:rPr>
          <w:lang w:val="fr-FR"/>
        </w:rPr>
        <w:t xml:space="preserve"> abusif au statut de volontaire</w:t>
      </w:r>
      <w:r w:rsidR="00144A55">
        <w:rPr>
          <w:lang w:val="fr-FR"/>
        </w:rPr>
        <w:t>.</w:t>
      </w:r>
      <w:r w:rsidR="0061668B">
        <w:rPr>
          <w:lang w:val="fr-FR"/>
        </w:rPr>
        <w:t xml:space="preserve"> De deux choses l’une : soit le recours au volontariat est abusif, soit il ne l’est pas. Dans le premier cas de figure, l</w:t>
      </w:r>
      <w:r w:rsidR="00B34201">
        <w:rPr>
          <w:lang w:val="fr-FR"/>
        </w:rPr>
        <w:t xml:space="preserve">a possibilité de recourir de façon abusive au statut de volontaire </w:t>
      </w:r>
      <w:r w:rsidR="00A7366B">
        <w:rPr>
          <w:lang w:val="fr-FR"/>
        </w:rPr>
        <w:t xml:space="preserve">alors que les prestations effectuées présentent un caractère professionnel ne justifie pas la mise en place d’un statut </w:t>
      </w:r>
      <w:r w:rsidR="003D48E6">
        <w:rPr>
          <w:lang w:val="fr-FR"/>
        </w:rPr>
        <w:t xml:space="preserve">– celui du travail associatif – </w:t>
      </w:r>
      <w:r w:rsidR="00A7366B">
        <w:rPr>
          <w:lang w:val="fr-FR"/>
        </w:rPr>
        <w:t xml:space="preserve">excluant </w:t>
      </w:r>
      <w:r w:rsidR="00A7366B" w:rsidRPr="00123485">
        <w:rPr>
          <w:i/>
          <w:lang w:val="fr-FR"/>
        </w:rPr>
        <w:t xml:space="preserve">a </w:t>
      </w:r>
      <w:r w:rsidR="00123485" w:rsidRPr="00123485">
        <w:rPr>
          <w:i/>
          <w:lang w:val="fr-FR"/>
        </w:rPr>
        <w:t>priori</w:t>
      </w:r>
      <w:r w:rsidR="00123485">
        <w:rPr>
          <w:lang w:val="fr-FR"/>
        </w:rPr>
        <w:t> l’application</w:t>
      </w:r>
      <w:r w:rsidR="004272B0">
        <w:rPr>
          <w:lang w:val="fr-FR"/>
        </w:rPr>
        <w:t xml:space="preserve"> de</w:t>
      </w:r>
      <w:r w:rsidR="00A7366B">
        <w:rPr>
          <w:lang w:val="fr-FR"/>
        </w:rPr>
        <w:t xml:space="preserve"> l’essentiel de la législation sur le travail.</w:t>
      </w:r>
      <w:r w:rsidR="0061668B">
        <w:rPr>
          <w:lang w:val="fr-FR"/>
        </w:rPr>
        <w:t xml:space="preserve"> Pire,</w:t>
      </w:r>
      <w:r w:rsidR="009F21A5">
        <w:rPr>
          <w:lang w:val="fr-FR"/>
        </w:rPr>
        <w:t xml:space="preserve"> la loi permet « que la même activité soit exercée par la même personne pour la même organisation, tantôt comme travailleur volontaire, tantôt comme travailleur associatif »</w:t>
      </w:r>
      <w:r w:rsidR="00123485">
        <w:rPr>
          <w:lang w:val="fr-FR"/>
        </w:rPr>
        <w:t>. Or, « il n’est pas plausible que ces activités soient exercées différemment selon qu’elles sont soumises à l’un ou l’autre statut »</w:t>
      </w:r>
      <w:r w:rsidR="0061668B">
        <w:rPr>
          <w:lang w:val="fr-FR"/>
        </w:rPr>
        <w:t xml:space="preserve">. </w:t>
      </w:r>
      <w:r w:rsidR="003D48E6">
        <w:rPr>
          <w:lang w:val="fr-FR"/>
        </w:rPr>
        <w:t>Si ces activités sont professionnelles, l</w:t>
      </w:r>
      <w:r w:rsidR="0061668B">
        <w:rPr>
          <w:lang w:val="fr-FR"/>
        </w:rPr>
        <w:t xml:space="preserve">a loi </w:t>
      </w:r>
      <w:r w:rsidR="003D48E6">
        <w:rPr>
          <w:lang w:val="fr-FR"/>
        </w:rPr>
        <w:t xml:space="preserve">risque de </w:t>
      </w:r>
      <w:r w:rsidR="0061668B">
        <w:rPr>
          <w:lang w:val="fr-FR"/>
        </w:rPr>
        <w:t>facilite</w:t>
      </w:r>
      <w:r w:rsidR="003D48E6">
        <w:rPr>
          <w:lang w:val="fr-FR"/>
        </w:rPr>
        <w:t>r</w:t>
      </w:r>
      <w:r w:rsidR="0061668B">
        <w:rPr>
          <w:lang w:val="fr-FR"/>
        </w:rPr>
        <w:t xml:space="preserve"> </w:t>
      </w:r>
      <w:r w:rsidR="003D48E6">
        <w:rPr>
          <w:lang w:val="fr-FR"/>
        </w:rPr>
        <w:t>les abus qu’elle prétend vouloir éviter</w:t>
      </w:r>
      <w:r w:rsidR="0061668B">
        <w:rPr>
          <w:lang w:val="fr-FR"/>
        </w:rPr>
        <w:t xml:space="preserve">. </w:t>
      </w:r>
      <w:r w:rsidR="00393FF5">
        <w:rPr>
          <w:lang w:val="fr-FR"/>
        </w:rPr>
        <w:t xml:space="preserve">Dans le second cas – </w:t>
      </w:r>
      <w:r w:rsidR="003D48E6">
        <w:rPr>
          <w:lang w:val="fr-FR"/>
        </w:rPr>
        <w:t>les activités ne sont pas professionnelles et peuvent être e</w:t>
      </w:r>
      <w:r w:rsidR="00393FF5">
        <w:rPr>
          <w:lang w:val="fr-FR"/>
        </w:rPr>
        <w:t>xercées dans le cadre du volontariat –, on</w:t>
      </w:r>
      <w:r w:rsidR="0061668B">
        <w:rPr>
          <w:lang w:val="fr-FR"/>
        </w:rPr>
        <w:t xml:space="preserve"> voit encore moins l’utilité de la loi </w:t>
      </w:r>
      <w:r w:rsidR="00393FF5">
        <w:rPr>
          <w:lang w:val="fr-FR"/>
        </w:rPr>
        <w:t>puisque, dans</w:t>
      </w:r>
      <w:r w:rsidR="009F21A5">
        <w:rPr>
          <w:lang w:val="fr-FR"/>
        </w:rPr>
        <w:t xml:space="preserve"> cette hypothèse, il </w:t>
      </w:r>
      <w:r w:rsidR="00393FF5">
        <w:rPr>
          <w:lang w:val="fr-FR"/>
        </w:rPr>
        <w:t>n’y a pas</w:t>
      </w:r>
      <w:r w:rsidR="009F21A5">
        <w:rPr>
          <w:lang w:val="fr-FR"/>
        </w:rPr>
        <w:t xml:space="preserve"> d’abus</w:t>
      </w:r>
      <w:r w:rsidR="00393FF5">
        <w:rPr>
          <w:lang w:val="fr-FR"/>
        </w:rPr>
        <w:t xml:space="preserve"> de celle-ci</w:t>
      </w:r>
      <w:r w:rsidR="009F21A5">
        <w:rPr>
          <w:lang w:val="fr-FR"/>
        </w:rPr>
        <w:t xml:space="preserve">. </w:t>
      </w:r>
      <w:r w:rsidR="00F45C5B">
        <w:rPr>
          <w:lang w:val="fr-FR"/>
        </w:rPr>
        <w:t xml:space="preserve">Le régime attaqué revient alors à </w:t>
      </w:r>
      <w:r w:rsidR="009F21A5">
        <w:rPr>
          <w:lang w:val="fr-FR"/>
        </w:rPr>
        <w:t>« </w:t>
      </w:r>
      <w:r w:rsidR="00F45C5B">
        <w:rPr>
          <w:lang w:val="fr-FR"/>
        </w:rPr>
        <w:t>augmenter l’indemnité forfaitaire accordée pour le volontariat</w:t>
      </w:r>
      <w:r w:rsidR="009F21A5">
        <w:rPr>
          <w:lang w:val="fr-FR"/>
        </w:rPr>
        <w:t>, sans qu’un critère objectif permette d’établir pourquoi cette augmentation s’applique à certaines activités à l’exclusion d’autres activités pouvant également présenter une valeur ajoutée sociétale ». On ne perçoit « pas non plus pourquoi cette augmentation s’accompagne de la création d’un statut qui est encore moins encadré et qui se limite à des personnes ayant déjà une activité principale</w:t>
      </w:r>
      <w:r w:rsidR="00F81BEC">
        <w:rPr>
          <w:lang w:val="fr-FR"/>
        </w:rPr>
        <w:t> »</w:t>
      </w:r>
      <w:r w:rsidR="0061668B">
        <w:rPr>
          <w:rStyle w:val="Appelnotedebasdep"/>
          <w:lang w:val="fr-FR"/>
        </w:rPr>
        <w:footnoteReference w:id="69"/>
      </w:r>
      <w:r w:rsidR="0061668B">
        <w:rPr>
          <w:lang w:val="fr-FR"/>
        </w:rPr>
        <w:t xml:space="preserve">. </w:t>
      </w:r>
      <w:r w:rsidR="00144A55">
        <w:rPr>
          <w:lang w:val="fr-FR"/>
        </w:rPr>
        <w:t xml:space="preserve"> </w:t>
      </w:r>
    </w:p>
    <w:p w14:paraId="471930E2" w14:textId="77777777" w:rsidR="00A90998" w:rsidRDefault="00E577A6" w:rsidP="004458E6">
      <w:pPr>
        <w:jc w:val="both"/>
        <w:rPr>
          <w:lang w:val="fr-FR"/>
        </w:rPr>
      </w:pPr>
      <w:r>
        <w:rPr>
          <w:lang w:val="fr-FR"/>
        </w:rPr>
        <w:tab/>
        <w:t xml:space="preserve"> L</w:t>
      </w:r>
      <w:r w:rsidR="00365571">
        <w:rPr>
          <w:lang w:val="fr-FR"/>
        </w:rPr>
        <w:t>a C</w:t>
      </w:r>
      <w:r>
        <w:rPr>
          <w:lang w:val="fr-FR"/>
        </w:rPr>
        <w:t>our censure donc</w:t>
      </w:r>
      <w:r w:rsidR="00365571">
        <w:rPr>
          <w:lang w:val="fr-FR"/>
        </w:rPr>
        <w:t xml:space="preserve"> la mise à l’écart presq</w:t>
      </w:r>
      <w:r>
        <w:rPr>
          <w:lang w:val="fr-FR"/>
        </w:rPr>
        <w:t xml:space="preserve">ue complète du droit du travail par la loi du 18 juillet 2018.  </w:t>
      </w:r>
    </w:p>
    <w:p w14:paraId="2C7524A5" w14:textId="77777777" w:rsidR="00365571" w:rsidRDefault="00123485" w:rsidP="00B544B5">
      <w:pPr>
        <w:jc w:val="both"/>
        <w:rPr>
          <w:lang w:val="fr-FR"/>
        </w:rPr>
      </w:pPr>
      <w:r>
        <w:rPr>
          <w:lang w:val="fr-FR"/>
        </w:rPr>
        <w:tab/>
        <w:t>On se permettra une observation sur cette argumentation.</w:t>
      </w:r>
      <w:r w:rsidR="00B544B5">
        <w:rPr>
          <w:lang w:val="fr-FR"/>
        </w:rPr>
        <w:t xml:space="preserve"> </w:t>
      </w:r>
      <w:r>
        <w:rPr>
          <w:lang w:val="fr-FR"/>
        </w:rPr>
        <w:t>S</w:t>
      </w:r>
      <w:r w:rsidR="00B544B5">
        <w:rPr>
          <w:lang w:val="fr-FR"/>
        </w:rPr>
        <w:t>i l’on comprend que la Cour juge disproportionné l’écartement de tout le droit du travail lorsqu’il s’agit de travailleurs associatifs subordonnés</w:t>
      </w:r>
      <w:r w:rsidR="00B544B5" w:rsidRPr="00E577A6">
        <w:rPr>
          <w:lang w:val="fr-FR"/>
        </w:rPr>
        <w:t xml:space="preserve"> </w:t>
      </w:r>
      <w:r w:rsidR="00B544B5">
        <w:rPr>
          <w:lang w:val="fr-FR"/>
        </w:rPr>
        <w:t xml:space="preserve">aux organisations qui font appel à leurs services, on le comprend moins si l’on songe au travail associatif accompli par des </w:t>
      </w:r>
      <w:r w:rsidR="00E577A6">
        <w:rPr>
          <w:lang w:val="fr-FR"/>
        </w:rPr>
        <w:t>prestataires qui ne sont pas subordonnés. Peut-être y aurait-il eu là matière à nuance en distinguant les deux situations. Le législateur avait néanmoins donné le bâton pour se faire battre, puisque la confusion tire ses origines, comme nous avons eu l’occasion de le souligner, du texte même de la loi</w:t>
      </w:r>
      <w:r w:rsidR="00E577A6">
        <w:rPr>
          <w:rStyle w:val="Appelnotedebasdep"/>
          <w:lang w:val="fr-FR"/>
        </w:rPr>
        <w:footnoteReference w:id="70"/>
      </w:r>
      <w:r w:rsidR="00E577A6">
        <w:rPr>
          <w:lang w:val="fr-FR"/>
        </w:rPr>
        <w:t xml:space="preserve">. </w:t>
      </w:r>
    </w:p>
    <w:p w14:paraId="250B9FEA" w14:textId="098DBC7C" w:rsidR="002925A0" w:rsidRDefault="00A87F0D" w:rsidP="00116DA9">
      <w:pPr>
        <w:pStyle w:val="Paragraphedeliste"/>
        <w:numPr>
          <w:ilvl w:val="0"/>
          <w:numId w:val="2"/>
        </w:numPr>
        <w:jc w:val="both"/>
        <w:rPr>
          <w:lang w:val="fr-FR"/>
        </w:rPr>
      </w:pPr>
      <w:r>
        <w:rPr>
          <w:lang w:val="fr-FR"/>
        </w:rPr>
        <w:lastRenderedPageBreak/>
        <w:t xml:space="preserve"> </w:t>
      </w:r>
      <w:r w:rsidR="002925A0">
        <w:rPr>
          <w:lang w:val="fr-FR"/>
        </w:rPr>
        <w:t xml:space="preserve">La Cour se penche ensuite sur la question d’une éventuelle discrimination vis-à-vis des travailleurs salariés ou indépendants exerçant des activités identiques à celles des travailleurs associatifs. </w:t>
      </w:r>
      <w:r w:rsidR="00AB4AD3">
        <w:rPr>
          <w:lang w:val="fr-FR"/>
        </w:rPr>
        <w:t>La Cour examine les d</w:t>
      </w:r>
      <w:r w:rsidR="002925A0">
        <w:rPr>
          <w:lang w:val="fr-FR"/>
        </w:rPr>
        <w:t>eux arguments</w:t>
      </w:r>
      <w:r w:rsidR="00AB4AD3">
        <w:rPr>
          <w:lang w:val="fr-FR"/>
        </w:rPr>
        <w:t xml:space="preserve"> </w:t>
      </w:r>
      <w:r w:rsidR="002925A0">
        <w:rPr>
          <w:lang w:val="fr-FR"/>
        </w:rPr>
        <w:t xml:space="preserve">invoqués par le législateur pour justifier </w:t>
      </w:r>
      <w:r w:rsidR="00AB4AD3">
        <w:rPr>
          <w:lang w:val="fr-FR"/>
        </w:rPr>
        <w:t>du f</w:t>
      </w:r>
      <w:r w:rsidR="00C07001">
        <w:rPr>
          <w:lang w:val="fr-FR"/>
        </w:rPr>
        <w:t xml:space="preserve">ait que ces derniers se voient appliquer </w:t>
      </w:r>
      <w:r w:rsidR="00AB4AD3">
        <w:rPr>
          <w:lang w:val="fr-FR"/>
        </w:rPr>
        <w:t>un traitement fiscal et social distinct</w:t>
      </w:r>
      <w:r w:rsidR="002925A0">
        <w:rPr>
          <w:lang w:val="fr-FR"/>
        </w:rPr>
        <w:t xml:space="preserve">. </w:t>
      </w:r>
      <w:r w:rsidR="00AB4AD3">
        <w:rPr>
          <w:lang w:val="fr-FR"/>
        </w:rPr>
        <w:t>Le premier argument, celui du caractère secondaire que revêt l’indemnisation dans le chef du travailleur associatif a déjà été rejeté par la Cour. Le second argument est celui de la plus-value sociale particulière apportée par les activités con</w:t>
      </w:r>
      <w:r w:rsidR="007A6102">
        <w:rPr>
          <w:lang w:val="fr-FR"/>
        </w:rPr>
        <w:t xml:space="preserve">cernées, faisant l’objet d’une énumération exhaustive. La Cour considère que de telles activités sont également exercées par des travailleurs salariés et des travailleurs indépendants. L’argument de la plus-value sociale particulière ne permet pas de justifier une différence de traitement aussi significative entre activités identiques. Enfin, la Cour juge que rien n’indique que les activités énumérées par la loi du </w:t>
      </w:r>
      <w:r w:rsidR="0030469E">
        <w:rPr>
          <w:lang w:val="fr-FR"/>
        </w:rPr>
        <w:t>18</w:t>
      </w:r>
      <w:r w:rsidR="007A6102">
        <w:rPr>
          <w:lang w:val="fr-FR"/>
        </w:rPr>
        <w:t xml:space="preserve"> juillet 2018 présentent une plus-value sociale plus importante que d’autres activités</w:t>
      </w:r>
      <w:r w:rsidR="007A6102">
        <w:rPr>
          <w:rStyle w:val="Appelnotedebasdep"/>
          <w:lang w:val="fr-FR"/>
        </w:rPr>
        <w:footnoteReference w:id="71"/>
      </w:r>
      <w:r w:rsidR="007A6102">
        <w:rPr>
          <w:lang w:val="fr-FR"/>
        </w:rPr>
        <w:t>.</w:t>
      </w:r>
    </w:p>
    <w:p w14:paraId="4A02A2E8" w14:textId="77777777" w:rsidR="0030469E" w:rsidRDefault="0030469E" w:rsidP="00900084">
      <w:pPr>
        <w:pStyle w:val="Paragraphedeliste"/>
        <w:ind w:left="1068"/>
        <w:jc w:val="both"/>
        <w:rPr>
          <w:lang w:val="fr-FR"/>
        </w:rPr>
      </w:pPr>
    </w:p>
    <w:p w14:paraId="62308262" w14:textId="1D848730" w:rsidR="001642DF" w:rsidRDefault="00DD68FE" w:rsidP="00116DA9">
      <w:pPr>
        <w:pStyle w:val="Paragraphedeliste"/>
        <w:numPr>
          <w:ilvl w:val="0"/>
          <w:numId w:val="2"/>
        </w:numPr>
        <w:jc w:val="both"/>
        <w:rPr>
          <w:lang w:val="fr-FR"/>
        </w:rPr>
      </w:pPr>
      <w:r>
        <w:rPr>
          <w:lang w:val="fr-FR"/>
        </w:rPr>
        <w:t>Le législateur évoquait également dans les travaux préparatoires son souhait de lutter contre le travail au noir en permettant aux personnes ayant une activité principale de percevoir des revenus complémentaires non taxés.</w:t>
      </w:r>
      <w:r w:rsidR="00E567D1">
        <w:rPr>
          <w:lang w:val="fr-FR"/>
        </w:rPr>
        <w:t xml:space="preserve"> L’exonération totale des indemnités perçues de la sécurité sociale et de l’impôt est cependant excessive</w:t>
      </w:r>
      <w:r w:rsidR="00C8648E">
        <w:rPr>
          <w:lang w:val="fr-FR"/>
        </w:rPr>
        <w:t>, juge la Cour</w:t>
      </w:r>
      <w:r w:rsidR="00E567D1">
        <w:rPr>
          <w:lang w:val="fr-FR"/>
        </w:rPr>
        <w:t>. Les règles visant à éviter le glissement du travail salarié existant au sein d’une organisation vers le travail associatif n’empêchent pas que la préférence soit donnée au travail associatif si de nouvelles fonctions ou de nouvelles organisations voient le jour. Il existe donc une vraie discrimination entre le travailleur associatif et le travailleur salarié, ainsi qu’un risque de concurrence entre les deux en défaveur de ce dernier</w:t>
      </w:r>
      <w:r w:rsidR="00E567D1">
        <w:rPr>
          <w:rStyle w:val="Appelnotedebasdep"/>
          <w:lang w:val="fr-FR"/>
        </w:rPr>
        <w:footnoteReference w:id="72"/>
      </w:r>
      <w:r w:rsidR="00A40999">
        <w:rPr>
          <w:lang w:val="fr-FR"/>
        </w:rPr>
        <w:t>.</w:t>
      </w:r>
    </w:p>
    <w:p w14:paraId="7A06DD36" w14:textId="77777777" w:rsidR="00180555" w:rsidRPr="007B1B32" w:rsidRDefault="00180555" w:rsidP="00900084">
      <w:pPr>
        <w:pStyle w:val="Paragraphedeliste"/>
        <w:ind w:left="1068"/>
        <w:jc w:val="both"/>
        <w:rPr>
          <w:lang w:val="fr-FR"/>
        </w:rPr>
      </w:pPr>
    </w:p>
    <w:p w14:paraId="74616B3B" w14:textId="77777777" w:rsidR="002544C1" w:rsidRDefault="00A87F0D" w:rsidP="00116DA9">
      <w:pPr>
        <w:pStyle w:val="Paragraphedeliste"/>
        <w:numPr>
          <w:ilvl w:val="0"/>
          <w:numId w:val="2"/>
        </w:numPr>
        <w:jc w:val="both"/>
        <w:rPr>
          <w:lang w:val="fr-FR"/>
        </w:rPr>
      </w:pPr>
      <w:r>
        <w:rPr>
          <w:lang w:val="fr-FR"/>
        </w:rPr>
        <w:t xml:space="preserve"> </w:t>
      </w:r>
      <w:r w:rsidR="00526056" w:rsidRPr="00A87F0D">
        <w:rPr>
          <w:lang w:val="fr-FR"/>
        </w:rPr>
        <w:t>L’étude de la décision permet de tirer quelques enseignements précieux quant à l’étendue du champ d’application du droit du travail. E</w:t>
      </w:r>
      <w:r w:rsidR="00FC340A" w:rsidRPr="00A87F0D">
        <w:rPr>
          <w:lang w:val="fr-FR"/>
        </w:rPr>
        <w:t xml:space="preserve">n soi, il est loisible </w:t>
      </w:r>
      <w:r w:rsidR="00180555">
        <w:rPr>
          <w:lang w:val="fr-FR"/>
        </w:rPr>
        <w:t>au</w:t>
      </w:r>
      <w:r w:rsidR="00FC340A" w:rsidRPr="00A87F0D">
        <w:rPr>
          <w:lang w:val="fr-FR"/>
        </w:rPr>
        <w:t xml:space="preserve"> législateur d’introduire un nouveau statut, distinct de celui du travailleur salarié, du travailleur indépendant et du volontaire. Ce n’est pas sur ce point que la</w:t>
      </w:r>
      <w:r w:rsidR="00180555">
        <w:rPr>
          <w:lang w:val="fr-FR"/>
        </w:rPr>
        <w:t xml:space="preserve"> loi est</w:t>
      </w:r>
      <w:r w:rsidR="00FC340A" w:rsidRPr="00A87F0D">
        <w:rPr>
          <w:lang w:val="fr-FR"/>
        </w:rPr>
        <w:t xml:space="preserve"> censur</w:t>
      </w:r>
      <w:r w:rsidR="00180555">
        <w:rPr>
          <w:lang w:val="fr-FR"/>
        </w:rPr>
        <w:t>é</w:t>
      </w:r>
      <w:r w:rsidR="00FC340A" w:rsidRPr="00A87F0D">
        <w:rPr>
          <w:lang w:val="fr-FR"/>
        </w:rPr>
        <w:t>e</w:t>
      </w:r>
      <w:r w:rsidR="00C8648E">
        <w:rPr>
          <w:rStyle w:val="Appelnotedebasdep"/>
          <w:lang w:val="fr-FR"/>
        </w:rPr>
        <w:footnoteReference w:id="73"/>
      </w:r>
      <w:r w:rsidR="00FC340A" w:rsidRPr="00A87F0D">
        <w:rPr>
          <w:lang w:val="fr-FR"/>
        </w:rPr>
        <w:t xml:space="preserve">. </w:t>
      </w:r>
      <w:r w:rsidR="00895100" w:rsidRPr="00A87F0D">
        <w:rPr>
          <w:lang w:val="fr-FR"/>
        </w:rPr>
        <w:t>Le cas échéant, un écartement plus ou moins important de la législation sociale, en particulier de celle relative au contrat de travail,</w:t>
      </w:r>
      <w:r w:rsidR="0030469E">
        <w:rPr>
          <w:lang w:val="fr-FR"/>
        </w:rPr>
        <w:t xml:space="preserve"> peut </w:t>
      </w:r>
      <w:r w:rsidR="000633CD">
        <w:rPr>
          <w:lang w:val="fr-FR"/>
        </w:rPr>
        <w:t>être</w:t>
      </w:r>
      <w:r w:rsidR="00895100" w:rsidRPr="00A87F0D">
        <w:rPr>
          <w:lang w:val="fr-FR"/>
        </w:rPr>
        <w:t xml:space="preserve"> envisag</w:t>
      </w:r>
      <w:r w:rsidR="00180555">
        <w:rPr>
          <w:lang w:val="fr-FR"/>
        </w:rPr>
        <w:t>é</w:t>
      </w:r>
      <w:r w:rsidR="00511395">
        <w:rPr>
          <w:lang w:val="fr-FR"/>
        </w:rPr>
        <w:t xml:space="preserve">, à condition que le législateur fournisse une justification satisfaisante </w:t>
      </w:r>
      <w:r w:rsidR="006B1E24">
        <w:rPr>
          <w:lang w:val="fr-FR"/>
        </w:rPr>
        <w:t>d’</w:t>
      </w:r>
      <w:r w:rsidR="00511395">
        <w:rPr>
          <w:lang w:val="fr-FR"/>
        </w:rPr>
        <w:t>un tel écartement, et qu’il démontre que cette intervention législative est en mesure de satisfaire aux objectifs invoqués</w:t>
      </w:r>
      <w:r w:rsidR="00895100" w:rsidRPr="00A87F0D">
        <w:rPr>
          <w:lang w:val="fr-FR"/>
        </w:rPr>
        <w:t>. Ce qui n</w:t>
      </w:r>
      <w:r w:rsidR="00180555">
        <w:rPr>
          <w:lang w:val="fr-FR"/>
        </w:rPr>
        <w:t>’est</w:t>
      </w:r>
      <w:r w:rsidR="00895100" w:rsidRPr="00A87F0D">
        <w:rPr>
          <w:lang w:val="fr-FR"/>
        </w:rPr>
        <w:t xml:space="preserve"> pas admis, c’est une exclusion presque totale de la législation sociale, en particulier de celle relative au droit du travail. </w:t>
      </w:r>
      <w:r w:rsidR="00511395">
        <w:rPr>
          <w:lang w:val="fr-FR"/>
        </w:rPr>
        <w:t xml:space="preserve"> </w:t>
      </w:r>
    </w:p>
    <w:p w14:paraId="585BB822" w14:textId="77777777" w:rsidR="002544C1" w:rsidRDefault="002544C1" w:rsidP="00900084">
      <w:pPr>
        <w:pStyle w:val="Paragraphedeliste"/>
        <w:ind w:left="1068"/>
        <w:jc w:val="both"/>
        <w:rPr>
          <w:lang w:val="fr-FR"/>
        </w:rPr>
      </w:pPr>
    </w:p>
    <w:p w14:paraId="51B3DA60" w14:textId="77777777" w:rsidR="002544C1" w:rsidRPr="00900084" w:rsidRDefault="002544C1" w:rsidP="00900084">
      <w:pPr>
        <w:pStyle w:val="Paragraphedeliste"/>
        <w:numPr>
          <w:ilvl w:val="0"/>
          <w:numId w:val="7"/>
        </w:numPr>
        <w:jc w:val="both"/>
        <w:rPr>
          <w:b/>
          <w:lang w:val="fr-FR"/>
        </w:rPr>
      </w:pPr>
      <w:r w:rsidRPr="00900084">
        <w:rPr>
          <w:b/>
          <w:lang w:val="fr-FR"/>
        </w:rPr>
        <w:t>La</w:t>
      </w:r>
      <w:r w:rsidR="007A5712">
        <w:rPr>
          <w:b/>
          <w:lang w:val="fr-FR"/>
        </w:rPr>
        <w:t xml:space="preserve"> loi du 24 décembre 2020 sur le travail associatif</w:t>
      </w:r>
    </w:p>
    <w:p w14:paraId="7BCD6F89" w14:textId="77777777" w:rsidR="00A87F0D" w:rsidRPr="00A87F0D" w:rsidRDefault="00A87F0D" w:rsidP="00A87F0D">
      <w:pPr>
        <w:pStyle w:val="Paragraphedeliste"/>
        <w:ind w:left="1068"/>
        <w:jc w:val="both"/>
        <w:rPr>
          <w:lang w:val="fr-FR"/>
        </w:rPr>
      </w:pPr>
    </w:p>
    <w:p w14:paraId="133CD2BC" w14:textId="77777777" w:rsidR="007A5712" w:rsidRDefault="00A87F0D" w:rsidP="00116DA9">
      <w:pPr>
        <w:pStyle w:val="Paragraphedeliste"/>
        <w:numPr>
          <w:ilvl w:val="0"/>
          <w:numId w:val="2"/>
        </w:numPr>
        <w:jc w:val="both"/>
        <w:rPr>
          <w:lang w:val="fr-FR"/>
        </w:rPr>
      </w:pPr>
      <w:r>
        <w:rPr>
          <w:lang w:val="fr-FR"/>
        </w:rPr>
        <w:t xml:space="preserve"> </w:t>
      </w:r>
      <w:r w:rsidR="00F048B6">
        <w:rPr>
          <w:lang w:val="fr-FR"/>
        </w:rPr>
        <w:t>L</w:t>
      </w:r>
      <w:r w:rsidR="00895100" w:rsidRPr="00A87F0D">
        <w:rPr>
          <w:lang w:val="fr-FR"/>
        </w:rPr>
        <w:t>e législateur ne s’est pas résigné à abandonner purement et simplement l’un des régimes introduits par la loi du 3 juillet 2018, à savoir celui du travail associatif. Une nouvelle proposition de loi a en effet été déposée le 8 juillet 2020, avec pour objectif de mettre en place un cadre juridique adapté « pour combler une lacune à partir du 1</w:t>
      </w:r>
      <w:r w:rsidR="00895100" w:rsidRPr="00A87F0D">
        <w:rPr>
          <w:vertAlign w:val="superscript"/>
          <w:lang w:val="fr-FR"/>
        </w:rPr>
        <w:t>er</w:t>
      </w:r>
      <w:r w:rsidR="00895100" w:rsidRPr="00A87F0D">
        <w:rPr>
          <w:lang w:val="fr-FR"/>
        </w:rPr>
        <w:t xml:space="preserve"> janvier 2021 ». Ses auteurs </w:t>
      </w:r>
      <w:r w:rsidR="00E070CA" w:rsidRPr="00A87F0D">
        <w:rPr>
          <w:lang w:val="fr-FR"/>
        </w:rPr>
        <w:t>indiquent souhaiter adapter le cadre juridique en question afin de répondre aux critiques énoncées par la Cour constitutionnelle</w:t>
      </w:r>
      <w:r w:rsidR="00E070CA">
        <w:rPr>
          <w:rStyle w:val="Appelnotedebasdep"/>
          <w:lang w:val="fr-FR"/>
        </w:rPr>
        <w:footnoteReference w:id="74"/>
      </w:r>
      <w:r w:rsidR="00E070CA" w:rsidRPr="00A87F0D">
        <w:rPr>
          <w:lang w:val="fr-FR"/>
        </w:rPr>
        <w:t xml:space="preserve">. </w:t>
      </w:r>
      <w:r w:rsidR="007A5712">
        <w:rPr>
          <w:lang w:val="fr-FR"/>
        </w:rPr>
        <w:t>La loi sur le travail associatif a été adoptée le 24 décembre 2020</w:t>
      </w:r>
      <w:r w:rsidR="007A5712">
        <w:rPr>
          <w:rStyle w:val="Appelnotedebasdep"/>
          <w:lang w:val="fr-FR"/>
        </w:rPr>
        <w:footnoteReference w:id="75"/>
      </w:r>
      <w:r w:rsidR="007A5712">
        <w:rPr>
          <w:lang w:val="fr-FR"/>
        </w:rPr>
        <w:t>.</w:t>
      </w:r>
    </w:p>
    <w:p w14:paraId="1F6D226F" w14:textId="77777777" w:rsidR="00610513" w:rsidRDefault="00610513" w:rsidP="00B576DC">
      <w:pPr>
        <w:pStyle w:val="Paragraphedeliste"/>
        <w:ind w:left="1068"/>
        <w:jc w:val="both"/>
        <w:rPr>
          <w:lang w:val="fr-FR"/>
        </w:rPr>
      </w:pPr>
    </w:p>
    <w:p w14:paraId="38CEAF47" w14:textId="405CFB88" w:rsidR="007A5712" w:rsidRDefault="00610513" w:rsidP="00610513">
      <w:pPr>
        <w:pStyle w:val="Paragraphedeliste"/>
        <w:numPr>
          <w:ilvl w:val="0"/>
          <w:numId w:val="2"/>
        </w:numPr>
        <w:jc w:val="both"/>
        <w:rPr>
          <w:lang w:val="fr-FR"/>
        </w:rPr>
      </w:pPr>
      <w:r>
        <w:rPr>
          <w:lang w:val="fr-FR"/>
        </w:rPr>
        <w:lastRenderedPageBreak/>
        <w:t xml:space="preserve"> Remarquons d’emblée que la nouvelle loi a pour particularité de n’être que temporaire. Elle ne s’appliquera que du 1</w:t>
      </w:r>
      <w:r w:rsidRPr="00B576DC">
        <w:rPr>
          <w:vertAlign w:val="superscript"/>
          <w:lang w:val="fr-FR"/>
        </w:rPr>
        <w:t>er</w:t>
      </w:r>
      <w:r>
        <w:rPr>
          <w:lang w:val="fr-FR"/>
        </w:rPr>
        <w:t xml:space="preserve"> janvier au 31 décembre 2021</w:t>
      </w:r>
      <w:r>
        <w:rPr>
          <w:rStyle w:val="Appelnotedebasdep"/>
          <w:lang w:val="fr-FR"/>
        </w:rPr>
        <w:footnoteReference w:id="76"/>
      </w:r>
      <w:r>
        <w:rPr>
          <w:lang w:val="fr-FR"/>
        </w:rPr>
        <w:t>. Cette limitation a été introduite par un amendement et ne figurait pas dans le texte original de la proposition</w:t>
      </w:r>
      <w:r w:rsidR="00765E2A">
        <w:rPr>
          <w:rStyle w:val="Appelnotedebasdep"/>
          <w:lang w:val="fr-FR"/>
        </w:rPr>
        <w:footnoteReference w:id="77"/>
      </w:r>
      <w:r>
        <w:rPr>
          <w:lang w:val="fr-FR"/>
        </w:rPr>
        <w:t xml:space="preserve">. </w:t>
      </w:r>
      <w:r w:rsidR="000C3C79">
        <w:rPr>
          <w:lang w:val="fr-FR"/>
        </w:rPr>
        <w:t>Le gouvernement est en outre chargé d’effectuer une évaluation des dispositifs mis en place après un an d’application et de la faire parvenir à la Chambre des représentants</w:t>
      </w:r>
      <w:r w:rsidR="000C3C79">
        <w:rPr>
          <w:rStyle w:val="Appelnotedebasdep"/>
          <w:lang w:val="fr-FR"/>
        </w:rPr>
        <w:footnoteReference w:id="78"/>
      </w:r>
      <w:r w:rsidR="000C3C79">
        <w:rPr>
          <w:lang w:val="fr-FR"/>
        </w:rPr>
        <w:t>. Les travaux préparatoires ajoutent que l’objectif est de pouvoir élargir ou limiter les éléments clés de ce cadre juridique</w:t>
      </w:r>
      <w:r w:rsidR="000C3C79">
        <w:rPr>
          <w:rStyle w:val="Appelnotedebasdep"/>
          <w:lang w:val="fr-FR"/>
        </w:rPr>
        <w:footnoteReference w:id="79"/>
      </w:r>
      <w:r w:rsidR="000C3C79">
        <w:rPr>
          <w:lang w:val="fr-FR"/>
        </w:rPr>
        <w:t>.</w:t>
      </w:r>
      <w:r w:rsidR="00C43BCB">
        <w:rPr>
          <w:lang w:val="fr-FR"/>
        </w:rPr>
        <w:t xml:space="preserve"> Le timing n’est pas des plus heureux puisque, si l’on s’en tient au texte, l’évaluation gouvernementale ne sera disponible qu’après la fin de la période d’application prévue par la loi. </w:t>
      </w:r>
      <w:r w:rsidR="000C3C79">
        <w:rPr>
          <w:lang w:val="fr-FR"/>
        </w:rPr>
        <w:t xml:space="preserve"> Il faudra donc encore attendre avant de savoir si le régime du travail associatif demeurera dans notre droit positif de façon pérenne.</w:t>
      </w:r>
    </w:p>
    <w:p w14:paraId="6C26FE0C" w14:textId="77777777" w:rsidR="00610513" w:rsidRPr="00610513" w:rsidRDefault="00610513" w:rsidP="00B576DC">
      <w:pPr>
        <w:pStyle w:val="Paragraphedeliste"/>
        <w:ind w:left="1068"/>
        <w:jc w:val="both"/>
        <w:rPr>
          <w:lang w:val="fr-FR"/>
        </w:rPr>
      </w:pPr>
    </w:p>
    <w:p w14:paraId="2EED0899" w14:textId="3440837B" w:rsidR="00F048B6" w:rsidRDefault="0017741D" w:rsidP="007A5712">
      <w:pPr>
        <w:pStyle w:val="Paragraphedeliste"/>
        <w:numPr>
          <w:ilvl w:val="0"/>
          <w:numId w:val="2"/>
        </w:numPr>
        <w:jc w:val="both"/>
        <w:rPr>
          <w:lang w:val="fr-FR"/>
        </w:rPr>
      </w:pPr>
      <w:r>
        <w:rPr>
          <w:lang w:val="fr-FR"/>
        </w:rPr>
        <w:t xml:space="preserve"> </w:t>
      </w:r>
      <w:r w:rsidR="00E070CA" w:rsidRPr="00A87F0D">
        <w:rPr>
          <w:lang w:val="fr-FR"/>
        </w:rPr>
        <w:t xml:space="preserve">Cette </w:t>
      </w:r>
      <w:r w:rsidR="007A5712">
        <w:rPr>
          <w:lang w:val="fr-FR"/>
        </w:rPr>
        <w:t>loi</w:t>
      </w:r>
      <w:r w:rsidR="00E070CA" w:rsidRPr="00A87F0D">
        <w:rPr>
          <w:lang w:val="fr-FR"/>
        </w:rPr>
        <w:t xml:space="preserve"> n’envisage que le travail associatif</w:t>
      </w:r>
      <w:r w:rsidR="007A5712">
        <w:rPr>
          <w:lang w:val="fr-FR"/>
        </w:rPr>
        <w:t xml:space="preserve"> dans le secteur sportif</w:t>
      </w:r>
      <w:r w:rsidR="007A5712">
        <w:rPr>
          <w:rStyle w:val="Appelnotedebasdep"/>
          <w:lang w:val="fr-FR"/>
        </w:rPr>
        <w:footnoteReference w:id="80"/>
      </w:r>
      <w:r w:rsidR="00E070CA" w:rsidRPr="00A87F0D">
        <w:rPr>
          <w:lang w:val="fr-FR"/>
        </w:rPr>
        <w:t>. Les services occasionnels entre citoyens et les ajouts relatifs au statut du travailleur de plateforme</w:t>
      </w:r>
      <w:r w:rsidR="006D0F9F">
        <w:rPr>
          <w:lang w:val="fr-FR"/>
        </w:rPr>
        <w:t>s</w:t>
      </w:r>
      <w:r w:rsidR="00E070CA" w:rsidRPr="00A87F0D">
        <w:rPr>
          <w:lang w:val="fr-FR"/>
        </w:rPr>
        <w:t xml:space="preserve"> introduits par la loi de 2018 ne sont pas quant à eux conservés. </w:t>
      </w:r>
      <w:r w:rsidR="00C44469" w:rsidRPr="00A87F0D">
        <w:rPr>
          <w:lang w:val="fr-FR"/>
        </w:rPr>
        <w:t xml:space="preserve"> Ce choix s’explique sans doute par le fait que</w:t>
      </w:r>
      <w:r w:rsidR="00F048B6">
        <w:rPr>
          <w:lang w:val="fr-FR"/>
        </w:rPr>
        <w:t xml:space="preserve"> les partisans de la proposition de loi estim</w:t>
      </w:r>
      <w:r w:rsidR="007A5712">
        <w:rPr>
          <w:lang w:val="fr-FR"/>
        </w:rPr>
        <w:t>ai</w:t>
      </w:r>
      <w:r w:rsidR="00F048B6">
        <w:rPr>
          <w:lang w:val="fr-FR"/>
        </w:rPr>
        <w:t>ent que</w:t>
      </w:r>
      <w:r w:rsidR="00C44469" w:rsidRPr="00A87F0D">
        <w:rPr>
          <w:lang w:val="fr-FR"/>
        </w:rPr>
        <w:t xml:space="preserve"> les activités entrant dans le champ d’application du travail associatif présentent une plus-value sociale marquée et plus facilement identifiable</w:t>
      </w:r>
      <w:r w:rsidR="00932090">
        <w:rPr>
          <w:lang w:val="fr-FR"/>
        </w:rPr>
        <w:t xml:space="preserve"> </w:t>
      </w:r>
      <w:r w:rsidR="00C44469" w:rsidRPr="00A87F0D">
        <w:rPr>
          <w:lang w:val="fr-FR"/>
        </w:rPr>
        <w:t xml:space="preserve">que celles </w:t>
      </w:r>
      <w:r w:rsidR="00F048B6">
        <w:rPr>
          <w:lang w:val="fr-FR"/>
        </w:rPr>
        <w:t>pouvant être exercées dans le cadre des</w:t>
      </w:r>
      <w:r w:rsidR="00C44469" w:rsidRPr="00A87F0D">
        <w:rPr>
          <w:lang w:val="fr-FR"/>
        </w:rPr>
        <w:t xml:space="preserve"> deux autres statuts</w:t>
      </w:r>
      <w:r w:rsidR="007A5712">
        <w:rPr>
          <w:lang w:val="fr-FR"/>
        </w:rPr>
        <w:t>.  La limitation du</w:t>
      </w:r>
      <w:r w:rsidR="00F048B6">
        <w:rPr>
          <w:lang w:val="fr-FR"/>
        </w:rPr>
        <w:t xml:space="preserve"> champ d’application </w:t>
      </w:r>
      <w:r w:rsidR="007A5712">
        <w:rPr>
          <w:lang w:val="fr-FR"/>
        </w:rPr>
        <w:t xml:space="preserve">au seul secteur </w:t>
      </w:r>
      <w:r w:rsidR="00B576DC">
        <w:rPr>
          <w:lang w:val="fr-FR"/>
        </w:rPr>
        <w:t>sportif s’explique</w:t>
      </w:r>
      <w:r w:rsidR="007A5712">
        <w:rPr>
          <w:lang w:val="fr-FR"/>
        </w:rPr>
        <w:t xml:space="preserve"> par le fait que seul ce secteur est considéré </w:t>
      </w:r>
      <w:r w:rsidR="0080708B">
        <w:rPr>
          <w:lang w:val="fr-FR"/>
        </w:rPr>
        <w:t xml:space="preserve">par les travaux </w:t>
      </w:r>
      <w:r w:rsidR="00F048B6">
        <w:rPr>
          <w:lang w:val="fr-FR"/>
        </w:rPr>
        <w:t xml:space="preserve">académiques sur lesquelles s’était </w:t>
      </w:r>
      <w:r w:rsidR="00A37447">
        <w:rPr>
          <w:lang w:val="fr-FR"/>
        </w:rPr>
        <w:t>appu</w:t>
      </w:r>
      <w:r w:rsidR="00306632">
        <w:rPr>
          <w:lang w:val="fr-FR"/>
        </w:rPr>
        <w:t>y</w:t>
      </w:r>
      <w:r w:rsidR="00A37447">
        <w:rPr>
          <w:lang w:val="fr-FR"/>
        </w:rPr>
        <w:t xml:space="preserve">é </w:t>
      </w:r>
      <w:r w:rsidR="00F048B6">
        <w:rPr>
          <w:lang w:val="fr-FR"/>
        </w:rPr>
        <w:t>le législateur. Les autres activités sont perçues comme présentant un caractère trop professionnel et le risque de concurrence déloyale avec les travailleurs réguliers du secteur seraient trop importants</w:t>
      </w:r>
      <w:r w:rsidR="00F048B6">
        <w:rPr>
          <w:rStyle w:val="Appelnotedebasdep"/>
          <w:lang w:val="fr-FR"/>
        </w:rPr>
        <w:footnoteReference w:id="81"/>
      </w:r>
      <w:r w:rsidR="00F048B6">
        <w:rPr>
          <w:lang w:val="fr-FR"/>
        </w:rPr>
        <w:t xml:space="preserve">. </w:t>
      </w:r>
      <w:r w:rsidR="00174549" w:rsidRPr="00A87F0D">
        <w:rPr>
          <w:lang w:val="fr-FR"/>
        </w:rPr>
        <w:t xml:space="preserve"> </w:t>
      </w:r>
    </w:p>
    <w:p w14:paraId="566FA155" w14:textId="77777777" w:rsidR="00F048B6" w:rsidRDefault="00F048B6" w:rsidP="00900084">
      <w:pPr>
        <w:pStyle w:val="Paragraphedeliste"/>
        <w:ind w:left="1068"/>
        <w:jc w:val="both"/>
        <w:rPr>
          <w:lang w:val="fr-FR"/>
        </w:rPr>
      </w:pPr>
    </w:p>
    <w:p w14:paraId="138D2C39" w14:textId="2A00DA48" w:rsidR="00895100" w:rsidRPr="00F048B6" w:rsidRDefault="00E4258E" w:rsidP="00116DA9">
      <w:pPr>
        <w:pStyle w:val="Paragraphedeliste"/>
        <w:numPr>
          <w:ilvl w:val="0"/>
          <w:numId w:val="2"/>
        </w:numPr>
        <w:jc w:val="both"/>
        <w:rPr>
          <w:lang w:val="fr-FR"/>
        </w:rPr>
      </w:pPr>
      <w:r>
        <w:rPr>
          <w:lang w:val="fr-FR"/>
        </w:rPr>
        <w:t xml:space="preserve"> </w:t>
      </w:r>
      <w:r w:rsidR="00174549" w:rsidRPr="00F048B6">
        <w:rPr>
          <w:lang w:val="fr-FR"/>
        </w:rPr>
        <w:t xml:space="preserve">Globalement, on constate une reprise du statut tel qu’il </w:t>
      </w:r>
      <w:r w:rsidR="00A37447" w:rsidRPr="00F048B6">
        <w:rPr>
          <w:lang w:val="fr-FR"/>
        </w:rPr>
        <w:t>exist</w:t>
      </w:r>
      <w:r w:rsidR="00A37447">
        <w:rPr>
          <w:lang w:val="fr-FR"/>
        </w:rPr>
        <w:t>ait</w:t>
      </w:r>
      <w:r w:rsidR="00A37447" w:rsidRPr="00F048B6">
        <w:rPr>
          <w:lang w:val="fr-FR"/>
        </w:rPr>
        <w:t xml:space="preserve"> </w:t>
      </w:r>
      <w:r w:rsidR="00174549" w:rsidRPr="00F048B6">
        <w:rPr>
          <w:lang w:val="fr-FR"/>
        </w:rPr>
        <w:t xml:space="preserve">dans la loi de 2018. Des adaptations sont néanmoins </w:t>
      </w:r>
      <w:r w:rsidR="00932090">
        <w:rPr>
          <w:lang w:val="fr-FR"/>
        </w:rPr>
        <w:t>apporté</w:t>
      </w:r>
      <w:r w:rsidR="00932090" w:rsidRPr="00F048B6">
        <w:rPr>
          <w:lang w:val="fr-FR"/>
        </w:rPr>
        <w:t xml:space="preserve">es </w:t>
      </w:r>
      <w:r w:rsidR="00174549" w:rsidRPr="00F048B6">
        <w:rPr>
          <w:lang w:val="fr-FR"/>
        </w:rPr>
        <w:t>pour tenir compte de l’arrê</w:t>
      </w:r>
      <w:r w:rsidR="00E250B9" w:rsidRPr="00F048B6">
        <w:rPr>
          <w:lang w:val="fr-FR"/>
        </w:rPr>
        <w:t>t de la Cour constitutionnelle.</w:t>
      </w:r>
    </w:p>
    <w:p w14:paraId="29E6413A" w14:textId="77777777" w:rsidR="0017741D" w:rsidRDefault="00713DFB" w:rsidP="004458E6">
      <w:pPr>
        <w:jc w:val="both"/>
        <w:rPr>
          <w:lang w:val="fr-FR"/>
        </w:rPr>
      </w:pPr>
      <w:r>
        <w:rPr>
          <w:lang w:val="fr-FR"/>
        </w:rPr>
        <w:tab/>
      </w:r>
      <w:r w:rsidR="00E250B9">
        <w:rPr>
          <w:lang w:val="fr-FR"/>
        </w:rPr>
        <w:t>Ainsi, il est prévu que les prestations fournies par le travailleur associatif ne peuvent excéder un total de cinquante heures par mois.</w:t>
      </w:r>
      <w:r w:rsidR="005E7E16">
        <w:rPr>
          <w:lang w:val="fr-FR"/>
        </w:rPr>
        <w:t xml:space="preserve"> </w:t>
      </w:r>
      <w:r w:rsidR="0017741D">
        <w:t>La moyenne mensuelle des heures de travail associatif est évaluée par trimestre</w:t>
      </w:r>
      <w:r w:rsidR="0017741D">
        <w:rPr>
          <w:rStyle w:val="Appelnotedebasdep"/>
        </w:rPr>
        <w:footnoteReference w:id="82"/>
      </w:r>
      <w:r w:rsidR="0017741D">
        <w:t>.</w:t>
      </w:r>
    </w:p>
    <w:p w14:paraId="01612298" w14:textId="561EC8A3" w:rsidR="00E250B9" w:rsidRDefault="005E7E16" w:rsidP="00F6374E">
      <w:pPr>
        <w:ind w:firstLine="708"/>
        <w:jc w:val="both"/>
        <w:rPr>
          <w:lang w:val="fr-FR"/>
        </w:rPr>
      </w:pPr>
      <w:r>
        <w:rPr>
          <w:lang w:val="fr-FR"/>
        </w:rPr>
        <w:t>Le contrat</w:t>
      </w:r>
      <w:r w:rsidR="00E250B9">
        <w:rPr>
          <w:lang w:val="fr-FR"/>
        </w:rPr>
        <w:t xml:space="preserve"> </w:t>
      </w:r>
      <w:r>
        <w:rPr>
          <w:lang w:val="fr-FR"/>
        </w:rPr>
        <w:t xml:space="preserve">en matière de travail associatif </w:t>
      </w:r>
      <w:r>
        <w:t xml:space="preserve">est un contrat à durée déterminée d’une durée maximale d'un an. Par année civile, </w:t>
      </w:r>
      <w:r w:rsidR="00F01C36">
        <w:rPr>
          <w:lang w:val="fr-FR"/>
        </w:rPr>
        <w:t>l</w:t>
      </w:r>
      <w:r w:rsidR="00E250B9">
        <w:rPr>
          <w:lang w:val="fr-FR"/>
        </w:rPr>
        <w:t xml:space="preserve">es parties peuvent conclure </w:t>
      </w:r>
      <w:r>
        <w:rPr>
          <w:lang w:val="fr-FR"/>
        </w:rPr>
        <w:t xml:space="preserve">jusqu’à </w:t>
      </w:r>
      <w:r w:rsidR="00E250B9">
        <w:rPr>
          <w:lang w:val="fr-FR"/>
        </w:rPr>
        <w:t>trois contrats</w:t>
      </w:r>
      <w:r w:rsidR="00932090">
        <w:rPr>
          <w:lang w:val="fr-FR"/>
        </w:rPr>
        <w:t xml:space="preserve"> </w:t>
      </w:r>
      <w:r w:rsidR="00E250B9">
        <w:rPr>
          <w:lang w:val="fr-FR"/>
        </w:rPr>
        <w:t>successifs</w:t>
      </w:r>
      <w:r>
        <w:rPr>
          <w:rStyle w:val="Appelnotedebasdep"/>
          <w:lang w:val="fr-FR"/>
        </w:rPr>
        <w:footnoteReference w:id="83"/>
      </w:r>
      <w:r>
        <w:rPr>
          <w:lang w:val="fr-FR"/>
        </w:rPr>
        <w:t> ; le dépassement de ce nombre entraine une</w:t>
      </w:r>
      <w:r w:rsidR="00E250B9">
        <w:rPr>
          <w:lang w:val="fr-FR"/>
        </w:rPr>
        <w:t xml:space="preserve"> requalification de la relation</w:t>
      </w:r>
      <w:r w:rsidR="00F048B6">
        <w:rPr>
          <w:lang w:val="fr-FR"/>
        </w:rPr>
        <w:t xml:space="preserve"> en contrat de travail</w:t>
      </w:r>
      <w:r w:rsidR="00E250B9">
        <w:rPr>
          <w:lang w:val="fr-FR"/>
        </w:rPr>
        <w:t xml:space="preserve">. </w:t>
      </w:r>
      <w:r w:rsidR="00BE0C81">
        <w:rPr>
          <w:lang w:val="fr-FR"/>
        </w:rPr>
        <w:t xml:space="preserve">La situation des travailleurs associatifs </w:t>
      </w:r>
      <w:r w:rsidR="007A5712">
        <w:rPr>
          <w:lang w:val="fr-FR"/>
        </w:rPr>
        <w:t>est</w:t>
      </w:r>
      <w:r w:rsidR="00BE0C81">
        <w:rPr>
          <w:lang w:val="fr-FR"/>
        </w:rPr>
        <w:t xml:space="preserve"> nettement plus précaire que celle des travailleurs engagés dans le cadre de contrats de travail à durée déterminée successifs. </w:t>
      </w:r>
      <w:r w:rsidR="004B6210">
        <w:rPr>
          <w:lang w:val="fr-FR"/>
        </w:rPr>
        <w:t xml:space="preserve"> En vertu de l’article 10</w:t>
      </w:r>
      <w:r w:rsidR="004B6210" w:rsidRPr="00123485">
        <w:rPr>
          <w:i/>
          <w:lang w:val="fr-FR"/>
        </w:rPr>
        <w:t>bis</w:t>
      </w:r>
      <w:r w:rsidR="004B6210">
        <w:rPr>
          <w:lang w:val="fr-FR"/>
        </w:rPr>
        <w:t xml:space="preserve"> de la loi du 3 juillet 1978 relative aux contrats de travail, il est possible de conclure, sur une période de deux ans au plus, un maximum de quatre contrats à durée déterminée successifs</w:t>
      </w:r>
      <w:r>
        <w:rPr>
          <w:lang w:val="fr-FR"/>
        </w:rPr>
        <w:t>, dont</w:t>
      </w:r>
      <w:r w:rsidR="0017741D">
        <w:rPr>
          <w:lang w:val="fr-FR"/>
        </w:rPr>
        <w:t xml:space="preserve"> </w:t>
      </w:r>
      <w:r>
        <w:rPr>
          <w:lang w:val="fr-FR"/>
        </w:rPr>
        <w:t>l</w:t>
      </w:r>
      <w:r w:rsidR="002A6B9F">
        <w:rPr>
          <w:lang w:val="fr-FR"/>
        </w:rPr>
        <w:t>a durée minimale est fixée à trois mois</w:t>
      </w:r>
      <w:r w:rsidR="004B6210">
        <w:rPr>
          <w:lang w:val="fr-FR"/>
        </w:rPr>
        <w:t>.</w:t>
      </w:r>
      <w:r w:rsidR="00947D7C">
        <w:rPr>
          <w:lang w:val="fr-FR"/>
        </w:rPr>
        <w:t xml:space="preserve"> Par contraste, pour autant que les parties</w:t>
      </w:r>
      <w:r w:rsidR="00F01C36">
        <w:rPr>
          <w:lang w:val="fr-FR"/>
        </w:rPr>
        <w:t xml:space="preserve"> respectent la durée maximale prévue et</w:t>
      </w:r>
      <w:r w:rsidR="00947D7C">
        <w:rPr>
          <w:lang w:val="fr-FR"/>
        </w:rPr>
        <w:t xml:space="preserve"> ne concluent pas plus de </w:t>
      </w:r>
      <w:r w:rsidR="00C8648E">
        <w:rPr>
          <w:lang w:val="fr-FR"/>
        </w:rPr>
        <w:t>trois</w:t>
      </w:r>
      <w:r w:rsidR="00947D7C">
        <w:rPr>
          <w:lang w:val="fr-FR"/>
        </w:rPr>
        <w:t xml:space="preserve"> contrats </w:t>
      </w:r>
      <w:r w:rsidR="00932090">
        <w:rPr>
          <w:lang w:val="fr-FR"/>
        </w:rPr>
        <w:t xml:space="preserve">en matière </w:t>
      </w:r>
      <w:r w:rsidR="00947D7C">
        <w:rPr>
          <w:lang w:val="fr-FR"/>
        </w:rPr>
        <w:t xml:space="preserve">de travail associatif par an, aucune autre contrainte </w:t>
      </w:r>
      <w:r w:rsidR="00947D7C">
        <w:rPr>
          <w:lang w:val="fr-FR"/>
        </w:rPr>
        <w:lastRenderedPageBreak/>
        <w:t>temporelle ne vien</w:t>
      </w:r>
      <w:r w:rsidR="0063793B">
        <w:rPr>
          <w:lang w:val="fr-FR"/>
        </w:rPr>
        <w:t>t</w:t>
      </w:r>
      <w:r w:rsidR="00947D7C">
        <w:rPr>
          <w:lang w:val="fr-FR"/>
        </w:rPr>
        <w:t xml:space="preserve"> limiter leur liberté.</w:t>
      </w:r>
      <w:r w:rsidR="00C07001">
        <w:rPr>
          <w:lang w:val="fr-FR"/>
        </w:rPr>
        <w:t xml:space="preserve"> Il </w:t>
      </w:r>
      <w:r w:rsidR="0063793B">
        <w:rPr>
          <w:lang w:val="fr-FR"/>
        </w:rPr>
        <w:t>est</w:t>
      </w:r>
      <w:r w:rsidR="00C07001">
        <w:rPr>
          <w:lang w:val="fr-FR"/>
        </w:rPr>
        <w:t xml:space="preserve"> ainsi possible, par exemple, de conclure</w:t>
      </w:r>
      <w:r w:rsidR="00511395">
        <w:rPr>
          <w:lang w:val="fr-FR"/>
        </w:rPr>
        <w:t xml:space="preserve"> successivement</w:t>
      </w:r>
      <w:r w:rsidR="00C07001">
        <w:rPr>
          <w:lang w:val="fr-FR"/>
        </w:rPr>
        <w:t xml:space="preserve"> </w:t>
      </w:r>
      <w:r w:rsidR="00511395">
        <w:rPr>
          <w:lang w:val="fr-FR"/>
        </w:rPr>
        <w:t>plusieurs contrats d’une durée d’un an chacun</w:t>
      </w:r>
      <w:r w:rsidR="002A6B9F">
        <w:rPr>
          <w:lang w:val="fr-FR"/>
        </w:rPr>
        <w:t>, ou des contrats de quelques semaines seulement</w:t>
      </w:r>
      <w:r w:rsidR="00511395">
        <w:rPr>
          <w:lang w:val="fr-FR"/>
        </w:rPr>
        <w:t>.</w:t>
      </w:r>
    </w:p>
    <w:p w14:paraId="0678D081" w14:textId="77777777" w:rsidR="00E250B9" w:rsidRDefault="00E250B9" w:rsidP="004458E6">
      <w:pPr>
        <w:jc w:val="both"/>
        <w:rPr>
          <w:lang w:val="fr-FR"/>
        </w:rPr>
      </w:pPr>
      <w:r>
        <w:rPr>
          <w:lang w:val="fr-FR"/>
        </w:rPr>
        <w:tab/>
        <w:t>La possibilité de cumuler travail associatif et</w:t>
      </w:r>
      <w:r w:rsidR="00634EDA">
        <w:rPr>
          <w:lang w:val="fr-FR"/>
        </w:rPr>
        <w:t xml:space="preserve"> travail volontaire</w:t>
      </w:r>
      <w:r>
        <w:rPr>
          <w:lang w:val="fr-FR"/>
        </w:rPr>
        <w:t xml:space="preserve"> au sein de la même organisation, censurée par la Cour </w:t>
      </w:r>
      <w:r w:rsidR="00C75FA2">
        <w:rPr>
          <w:lang w:val="fr-FR"/>
        </w:rPr>
        <w:t xml:space="preserve">constitutionnelle, fait l’objet de </w:t>
      </w:r>
      <w:r w:rsidR="00070C03">
        <w:rPr>
          <w:lang w:val="fr-FR"/>
        </w:rPr>
        <w:t>révision</w:t>
      </w:r>
      <w:r w:rsidR="00C75FA2">
        <w:rPr>
          <w:lang w:val="fr-FR"/>
        </w:rPr>
        <w:t xml:space="preserve"> : </w:t>
      </w:r>
      <w:r w:rsidR="002819D6">
        <w:rPr>
          <w:lang w:val="fr-FR"/>
        </w:rPr>
        <w:t xml:space="preserve">l’ancienne loi utilisait le critère temporel pour apprécier la possibilité de combinaison (les activités de volontariat et de travail associatif ne peuvent être exercées simultanément au sein de la même organisation sauf si les activités </w:t>
      </w:r>
      <w:r w:rsidR="007C1EB4">
        <w:rPr>
          <w:lang w:val="fr-FR"/>
        </w:rPr>
        <w:t xml:space="preserve">de volontariat </w:t>
      </w:r>
      <w:r w:rsidR="002819D6">
        <w:rPr>
          <w:lang w:val="fr-FR"/>
        </w:rPr>
        <w:t xml:space="preserve">ne sont pas défrayées), tandis que la </w:t>
      </w:r>
      <w:r w:rsidR="0063793B">
        <w:rPr>
          <w:lang w:val="fr-FR"/>
        </w:rPr>
        <w:t>nouvelle</w:t>
      </w:r>
      <w:r w:rsidR="002819D6">
        <w:rPr>
          <w:lang w:val="fr-FR"/>
        </w:rPr>
        <w:t xml:space="preserve"> loi utilise le critère de l’activité (désormais, le cumul ne sera possible que si les activités</w:t>
      </w:r>
      <w:r w:rsidR="007C1EB4">
        <w:rPr>
          <w:lang w:val="fr-FR"/>
        </w:rPr>
        <w:t xml:space="preserve"> de volontariat </w:t>
      </w:r>
      <w:r w:rsidR="005269B6">
        <w:rPr>
          <w:lang w:val="fr-FR"/>
        </w:rPr>
        <w:t>et de travail associatif</w:t>
      </w:r>
      <w:r w:rsidR="002819D6">
        <w:rPr>
          <w:lang w:val="fr-FR"/>
        </w:rPr>
        <w:t xml:space="preserve"> exercées au sein d’une même organisation sont </w:t>
      </w:r>
      <w:r w:rsidR="007C1EB4">
        <w:rPr>
          <w:lang w:val="fr-FR"/>
        </w:rPr>
        <w:t xml:space="preserve">de nature </w:t>
      </w:r>
      <w:r w:rsidR="002819D6">
        <w:rPr>
          <w:lang w:val="fr-FR"/>
        </w:rPr>
        <w:t>distincte)</w:t>
      </w:r>
      <w:r w:rsidR="00871D31">
        <w:rPr>
          <w:rStyle w:val="Appelnotedebasdep"/>
          <w:lang w:val="fr-FR"/>
        </w:rPr>
        <w:footnoteReference w:id="84"/>
      </w:r>
      <w:r>
        <w:rPr>
          <w:lang w:val="fr-FR"/>
        </w:rPr>
        <w:t xml:space="preserve">. </w:t>
      </w:r>
    </w:p>
    <w:p w14:paraId="63E38994" w14:textId="77777777" w:rsidR="003B4685" w:rsidRDefault="003B4685" w:rsidP="004458E6">
      <w:pPr>
        <w:jc w:val="both"/>
        <w:rPr>
          <w:lang w:val="fr-FR"/>
        </w:rPr>
      </w:pPr>
      <w:r>
        <w:rPr>
          <w:lang w:val="fr-FR"/>
        </w:rPr>
        <w:tab/>
        <w:t>Si la relation qui lie le travailleur associatif et l’organisation qui a recours à ses services n</w:t>
      </w:r>
      <w:r w:rsidR="00634EDA">
        <w:rPr>
          <w:lang w:val="fr-FR"/>
        </w:rPr>
        <w:t>’est</w:t>
      </w:r>
      <w:r w:rsidR="00947D7C">
        <w:rPr>
          <w:lang w:val="fr-FR"/>
        </w:rPr>
        <w:t xml:space="preserve"> toujours </w:t>
      </w:r>
      <w:r w:rsidR="00634EDA">
        <w:rPr>
          <w:lang w:val="fr-FR"/>
        </w:rPr>
        <w:t xml:space="preserve">pas considérée comme </w:t>
      </w:r>
      <w:r w:rsidR="00EC0B0B">
        <w:rPr>
          <w:lang w:val="fr-FR"/>
        </w:rPr>
        <w:t>s’effectuant dans le cadre d’un lien</w:t>
      </w:r>
      <w:r w:rsidR="00634EDA">
        <w:rPr>
          <w:lang w:val="fr-FR"/>
        </w:rPr>
        <w:t xml:space="preserve"> de</w:t>
      </w:r>
      <w:r>
        <w:rPr>
          <w:lang w:val="fr-FR"/>
        </w:rPr>
        <w:t xml:space="preserve"> subordination</w:t>
      </w:r>
      <w:r w:rsidR="00CC1D66">
        <w:rPr>
          <w:rStyle w:val="Appelnotedebasdep"/>
          <w:lang w:val="fr-FR"/>
        </w:rPr>
        <w:footnoteReference w:id="85"/>
      </w:r>
      <w:r>
        <w:rPr>
          <w:lang w:val="fr-FR"/>
        </w:rPr>
        <w:t>, le régime révisé inclut toutefois un</w:t>
      </w:r>
      <w:r w:rsidR="001D13B6">
        <w:rPr>
          <w:lang w:val="fr-FR"/>
        </w:rPr>
        <w:t xml:space="preserve"> ensemble</w:t>
      </w:r>
      <w:r w:rsidR="00947D7C">
        <w:rPr>
          <w:lang w:val="fr-FR"/>
        </w:rPr>
        <w:t xml:space="preserve"> plus large</w:t>
      </w:r>
      <w:r>
        <w:rPr>
          <w:lang w:val="fr-FR"/>
        </w:rPr>
        <w:t xml:space="preserve"> de mesures protectrices.</w:t>
      </w:r>
      <w:r w:rsidR="00634EDA" w:rsidRPr="00634EDA">
        <w:rPr>
          <w:lang w:val="fr-FR"/>
        </w:rPr>
        <w:t xml:space="preserve"> </w:t>
      </w:r>
      <w:r w:rsidR="00634EDA">
        <w:rPr>
          <w:lang w:val="fr-FR"/>
        </w:rPr>
        <w:t>À l’instar de la loi du 16 mars 1971, la loi</w:t>
      </w:r>
      <w:r w:rsidR="0063793B">
        <w:rPr>
          <w:lang w:val="fr-FR"/>
        </w:rPr>
        <w:t xml:space="preserve"> du 24 décembre 2020</w:t>
      </w:r>
      <w:r w:rsidR="00634EDA">
        <w:rPr>
          <w:lang w:val="fr-FR"/>
        </w:rPr>
        <w:t xml:space="preserve"> contient des dispositions relatives à l’horaire de travail.</w:t>
      </w:r>
      <w:r>
        <w:rPr>
          <w:lang w:val="fr-FR"/>
        </w:rPr>
        <w:t xml:space="preserve">  Ainsi faut-il prévoir un minimum d</w:t>
      </w:r>
      <w:r w:rsidR="0063793B">
        <w:rPr>
          <w:lang w:val="fr-FR"/>
        </w:rPr>
        <w:t>’un quart d’heure</w:t>
      </w:r>
      <w:r>
        <w:rPr>
          <w:lang w:val="fr-FR"/>
        </w:rPr>
        <w:t xml:space="preserve"> de pause pour le travailleur après six heures de prestations, ainsi que onze heures entres deux prestations </w:t>
      </w:r>
      <w:r w:rsidR="0063793B">
        <w:rPr>
          <w:lang w:val="fr-FR"/>
        </w:rPr>
        <w:t>exécutées durant des jours calendrier différents</w:t>
      </w:r>
      <w:r w:rsidR="00A33137">
        <w:rPr>
          <w:rStyle w:val="Appelnotedebasdep"/>
          <w:lang w:val="fr-FR"/>
        </w:rPr>
        <w:footnoteReference w:id="86"/>
      </w:r>
      <w:r>
        <w:rPr>
          <w:lang w:val="fr-FR"/>
        </w:rPr>
        <w:t xml:space="preserve">. </w:t>
      </w:r>
      <w:r w:rsidR="00634EDA">
        <w:rPr>
          <w:lang w:val="fr-FR"/>
        </w:rPr>
        <w:t>L</w:t>
      </w:r>
      <w:r w:rsidR="00B74703">
        <w:rPr>
          <w:lang w:val="fr-FR"/>
        </w:rPr>
        <w:t xml:space="preserve">es parties ont le choix entre l’adoption d’un horaire fixe ou </w:t>
      </w:r>
      <w:r w:rsidR="00DD16B9">
        <w:rPr>
          <w:lang w:val="fr-FR"/>
        </w:rPr>
        <w:t>l’adoption d’</w:t>
      </w:r>
      <w:r w:rsidR="00B74703">
        <w:rPr>
          <w:lang w:val="fr-FR"/>
        </w:rPr>
        <w:t>un horaire variable</w:t>
      </w:r>
      <w:r w:rsidR="00B74703">
        <w:rPr>
          <w:rStyle w:val="Appelnotedebasdep"/>
          <w:lang w:val="fr-FR"/>
        </w:rPr>
        <w:footnoteReference w:id="87"/>
      </w:r>
      <w:r w:rsidR="00B74703">
        <w:rPr>
          <w:lang w:val="fr-FR"/>
        </w:rPr>
        <w:t xml:space="preserve">, mais </w:t>
      </w:r>
      <w:r w:rsidR="00FE2EC8">
        <w:rPr>
          <w:lang w:val="fr-FR"/>
        </w:rPr>
        <w:t xml:space="preserve">elles peuvent </w:t>
      </w:r>
      <w:r w:rsidR="00B74703">
        <w:rPr>
          <w:lang w:val="fr-FR"/>
        </w:rPr>
        <w:t xml:space="preserve">y déroger à tout moment, moyennant la conservation sous forme écrite de ces dérogations pendant une période de cinq ans. </w:t>
      </w:r>
      <w:r>
        <w:rPr>
          <w:lang w:val="fr-FR"/>
        </w:rPr>
        <w:t>La loi introduit également de nouvelles règles relatives à la suspension du contrat, à sa rupture anticipée pour motif grave ainsi qu’</w:t>
      </w:r>
      <w:r w:rsidR="00FE2EC8">
        <w:rPr>
          <w:lang w:val="fr-FR"/>
        </w:rPr>
        <w:t>à l’indemnité</w:t>
      </w:r>
      <w:r>
        <w:rPr>
          <w:lang w:val="fr-FR"/>
        </w:rPr>
        <w:t xml:space="preserve"> de rupture</w:t>
      </w:r>
      <w:r w:rsidR="00A33137">
        <w:rPr>
          <w:rStyle w:val="Appelnotedebasdep"/>
          <w:lang w:val="fr-FR"/>
        </w:rPr>
        <w:footnoteReference w:id="88"/>
      </w:r>
      <w:r>
        <w:rPr>
          <w:lang w:val="fr-FR"/>
        </w:rPr>
        <w:t xml:space="preserve">. </w:t>
      </w:r>
    </w:p>
    <w:p w14:paraId="2B21D841" w14:textId="32D8F33D" w:rsidR="00B14659" w:rsidRDefault="00B14659" w:rsidP="004458E6">
      <w:pPr>
        <w:jc w:val="both"/>
        <w:rPr>
          <w:lang w:val="fr-FR"/>
        </w:rPr>
      </w:pPr>
      <w:r>
        <w:rPr>
          <w:lang w:val="fr-FR"/>
        </w:rPr>
        <w:tab/>
        <w:t>Un seuil minimum au montant de l’indemnité pour les prestations de travail associatif est également introduit</w:t>
      </w:r>
      <w:r w:rsidR="00306632">
        <w:rPr>
          <w:rStyle w:val="Appelnotedebasdep"/>
          <w:lang w:val="fr-FR"/>
        </w:rPr>
        <w:footnoteReference w:id="89"/>
      </w:r>
      <w:r>
        <w:rPr>
          <w:lang w:val="fr-FR"/>
        </w:rPr>
        <w:t>. Fixé à 3,57 €</w:t>
      </w:r>
      <w:r w:rsidR="00DE70F8">
        <w:rPr>
          <w:lang w:val="fr-FR"/>
        </w:rPr>
        <w:t xml:space="preserve"> </w:t>
      </w:r>
      <w:r>
        <w:rPr>
          <w:lang w:val="fr-FR"/>
        </w:rPr>
        <w:t>par heure</w:t>
      </w:r>
      <w:r w:rsidR="00DE70F8">
        <w:rPr>
          <w:lang w:val="fr-FR"/>
        </w:rPr>
        <w:t>(ce qui correspond à 5,10€ en 2021)</w:t>
      </w:r>
      <w:r>
        <w:rPr>
          <w:lang w:val="fr-FR"/>
        </w:rPr>
        <w:t>, ce seuil</w:t>
      </w:r>
      <w:r w:rsidRPr="00B14659">
        <w:rPr>
          <w:lang w:val="fr-FR"/>
        </w:rPr>
        <w:t xml:space="preserve"> est lié à l'indice-pivot 103,14 (base 1996 = 100) et varie comme visé à la loi du 2 août 1971</w:t>
      </w:r>
      <w:r w:rsidR="008360A3">
        <w:rPr>
          <w:lang w:val="fr-FR"/>
        </w:rPr>
        <w:t xml:space="preserve"> organi</w:t>
      </w:r>
      <w:r w:rsidR="0017741D">
        <w:rPr>
          <w:lang w:val="fr-FR"/>
        </w:rPr>
        <w:t>s</w:t>
      </w:r>
      <w:r w:rsidR="008360A3">
        <w:rPr>
          <w:lang w:val="fr-FR"/>
        </w:rPr>
        <w:t>ant un régime de liaison à l’indice des prix à la consommation</w:t>
      </w:r>
      <w:r w:rsidR="00306632">
        <w:rPr>
          <w:rStyle w:val="Appelnotedebasdep"/>
          <w:lang w:val="fr-FR"/>
        </w:rPr>
        <w:footnoteReference w:id="90"/>
      </w:r>
      <w:r w:rsidRPr="00B14659">
        <w:rPr>
          <w:lang w:val="fr-FR"/>
        </w:rPr>
        <w:t>.</w:t>
      </w:r>
    </w:p>
    <w:p w14:paraId="4C71F5E7" w14:textId="77777777" w:rsidR="003B4685" w:rsidRDefault="003B4685" w:rsidP="004458E6">
      <w:pPr>
        <w:jc w:val="both"/>
        <w:rPr>
          <w:lang w:val="fr-FR"/>
        </w:rPr>
      </w:pPr>
      <w:r>
        <w:rPr>
          <w:lang w:val="fr-FR"/>
        </w:rPr>
        <w:tab/>
      </w:r>
      <w:r w:rsidRPr="009919CE">
        <w:rPr>
          <w:lang w:val="fr-FR"/>
        </w:rPr>
        <w:t>Enfin, il est prévu que l’organisation doive payer une « cotisation de solidarité »</w:t>
      </w:r>
      <w:r w:rsidR="00CA53C6" w:rsidRPr="009919CE">
        <w:rPr>
          <w:lang w:val="fr-FR"/>
        </w:rPr>
        <w:t xml:space="preserve"> s’élevant à 10 pourcent</w:t>
      </w:r>
      <w:r w:rsidR="00E10C60" w:rsidRPr="009919CE">
        <w:rPr>
          <w:lang w:val="fr-FR"/>
        </w:rPr>
        <w:t xml:space="preserve"> de l’indemnité perçue par le travailleur associatif</w:t>
      </w:r>
      <w:r w:rsidR="00DF0180" w:rsidRPr="009919CE">
        <w:rPr>
          <w:rStyle w:val="Appelnotedebasdep"/>
          <w:lang w:val="fr-FR"/>
        </w:rPr>
        <w:footnoteReference w:id="91"/>
      </w:r>
      <w:r w:rsidRPr="009919CE">
        <w:rPr>
          <w:lang w:val="fr-FR"/>
        </w:rPr>
        <w:t>.</w:t>
      </w:r>
      <w:r w:rsidR="001810EE" w:rsidRPr="00900084">
        <w:rPr>
          <w:lang w:val="fr-FR"/>
        </w:rPr>
        <w:t xml:space="preserve"> Les cotisations de solidarité, quoique versées à l’ONSS, ne sont pas des cotisations de sécurité sociale</w:t>
      </w:r>
      <w:r w:rsidR="00F503BF" w:rsidRPr="00900084">
        <w:rPr>
          <w:lang w:val="fr-FR"/>
        </w:rPr>
        <w:t xml:space="preserve"> et s’appliquent dans des cas de figure très divers</w:t>
      </w:r>
      <w:r w:rsidR="00F503BF" w:rsidRPr="00900084">
        <w:rPr>
          <w:rStyle w:val="Appelnotedebasdep"/>
          <w:lang w:val="fr-FR"/>
        </w:rPr>
        <w:footnoteReference w:id="92"/>
      </w:r>
      <w:r w:rsidR="001810EE" w:rsidRPr="00900084">
        <w:rPr>
          <w:lang w:val="fr-FR"/>
        </w:rPr>
        <w:t>. On</w:t>
      </w:r>
      <w:r w:rsidR="00F503BF" w:rsidRPr="00900084">
        <w:rPr>
          <w:lang w:val="fr-FR"/>
        </w:rPr>
        <w:t xml:space="preserve"> peut citer comme</w:t>
      </w:r>
      <w:r w:rsidR="001810EE" w:rsidRPr="00900084">
        <w:rPr>
          <w:lang w:val="fr-FR"/>
        </w:rPr>
        <w:t xml:space="preserve"> exemple </w:t>
      </w:r>
      <w:r w:rsidR="00F503BF" w:rsidRPr="00900084">
        <w:rPr>
          <w:lang w:val="fr-FR"/>
        </w:rPr>
        <w:t xml:space="preserve">comparable celui de </w:t>
      </w:r>
      <w:r w:rsidR="001810EE" w:rsidRPr="00900084">
        <w:rPr>
          <w:lang w:val="fr-FR"/>
        </w:rPr>
        <w:t xml:space="preserve">la </w:t>
      </w:r>
      <w:r w:rsidR="00161630" w:rsidRPr="00900084">
        <w:rPr>
          <w:lang w:val="fr-FR"/>
        </w:rPr>
        <w:t>cotisation de solidarité mise e</w:t>
      </w:r>
      <w:r w:rsidR="00804454" w:rsidRPr="00900084">
        <w:rPr>
          <w:lang w:val="fr-FR"/>
        </w:rPr>
        <w:t xml:space="preserve">n place dans le cadre </w:t>
      </w:r>
      <w:r w:rsidR="00F52342" w:rsidRPr="00900084">
        <w:rPr>
          <w:lang w:val="fr-FR"/>
        </w:rPr>
        <w:t xml:space="preserve">du contrat </w:t>
      </w:r>
      <w:r w:rsidR="00804454" w:rsidRPr="00900084">
        <w:rPr>
          <w:lang w:val="fr-FR"/>
        </w:rPr>
        <w:t>d’occupation d’</w:t>
      </w:r>
      <w:r w:rsidR="00161630" w:rsidRPr="00900084">
        <w:rPr>
          <w:lang w:val="fr-FR"/>
        </w:rPr>
        <w:t>étudiant</w:t>
      </w:r>
      <w:r w:rsidR="00F52342" w:rsidRPr="00900084">
        <w:rPr>
          <w:lang w:val="fr-FR"/>
        </w:rPr>
        <w:t>s</w:t>
      </w:r>
      <w:r w:rsidR="00161630" w:rsidRPr="00900084">
        <w:rPr>
          <w:lang w:val="fr-FR"/>
        </w:rPr>
        <w:t xml:space="preserve"> par l’arrêté royal du 23 décembre 1996</w:t>
      </w:r>
      <w:r w:rsidR="00161630" w:rsidRPr="00900084">
        <w:rPr>
          <w:rStyle w:val="Appelnotedebasdep"/>
          <w:lang w:val="fr-FR"/>
        </w:rPr>
        <w:footnoteReference w:id="93"/>
      </w:r>
      <w:r w:rsidR="00161630" w:rsidRPr="00900084">
        <w:rPr>
          <w:lang w:val="fr-FR"/>
        </w:rPr>
        <w:t>.</w:t>
      </w:r>
      <w:r w:rsidRPr="009919CE">
        <w:rPr>
          <w:lang w:val="fr-FR"/>
        </w:rPr>
        <w:t xml:space="preserve"> </w:t>
      </w:r>
      <w:r w:rsidR="001810EE" w:rsidRPr="00900084">
        <w:rPr>
          <w:lang w:val="fr-FR"/>
        </w:rPr>
        <w:t xml:space="preserve">Dans </w:t>
      </w:r>
      <w:r w:rsidR="001810EE" w:rsidRPr="00900084">
        <w:rPr>
          <w:lang w:val="fr-FR"/>
        </w:rPr>
        <w:lastRenderedPageBreak/>
        <w:t xml:space="preserve">les deux cas, l’idée est de conserver l’équilibre </w:t>
      </w:r>
      <w:r w:rsidR="00531DF7" w:rsidRPr="00900084">
        <w:rPr>
          <w:lang w:val="fr-FR"/>
        </w:rPr>
        <w:t xml:space="preserve">financier du système belge </w:t>
      </w:r>
      <w:r w:rsidR="001810EE" w:rsidRPr="00900084">
        <w:rPr>
          <w:lang w:val="fr-FR"/>
        </w:rPr>
        <w:t>sécurité sociale et non de créer des droits en matière de sécurité sociale dans le chef des travailleurs concernés</w:t>
      </w:r>
      <w:r w:rsidR="00F503BF" w:rsidRPr="00900084">
        <w:rPr>
          <w:rStyle w:val="Appelnotedebasdep"/>
          <w:lang w:val="fr-FR"/>
        </w:rPr>
        <w:footnoteReference w:id="94"/>
      </w:r>
      <w:r w:rsidRPr="009919CE">
        <w:rPr>
          <w:lang w:val="fr-FR"/>
        </w:rPr>
        <w:t xml:space="preserve">. </w:t>
      </w:r>
      <w:r w:rsidR="00161630" w:rsidRPr="00900084">
        <w:rPr>
          <w:lang w:val="fr-FR"/>
        </w:rPr>
        <w:t xml:space="preserve"> </w:t>
      </w:r>
    </w:p>
    <w:p w14:paraId="4AF372EA" w14:textId="77777777" w:rsidR="009C3CA8" w:rsidRDefault="009C3CA8" w:rsidP="00B576DC">
      <w:pPr>
        <w:pStyle w:val="Paragraphedeliste"/>
        <w:numPr>
          <w:ilvl w:val="0"/>
          <w:numId w:val="2"/>
        </w:numPr>
        <w:jc w:val="both"/>
        <w:rPr>
          <w:lang w:val="fr-FR"/>
        </w:rPr>
      </w:pPr>
      <w:r>
        <w:rPr>
          <w:lang w:val="fr-FR"/>
        </w:rPr>
        <w:t xml:space="preserve"> On constate par contre un assouplissement par rapport à la loi du 18 juillet 2018 concernant les conditions auxquelles une organisation pourra faire appel aux services d’un travailleur associatif. Ainsi, si le travailleur en question doit toujours avoir eu une activité professionnelle à titre principal au trimestre T-3 avant le début de son affectation comme travailleur associatif, l’exigence que cette activité l’ait occupé à concurrence d’au moins un 4/5</w:t>
      </w:r>
      <w:r w:rsidRPr="00B576DC">
        <w:rPr>
          <w:vertAlign w:val="superscript"/>
          <w:lang w:val="fr-FR"/>
        </w:rPr>
        <w:t>ème</w:t>
      </w:r>
      <w:r>
        <w:rPr>
          <w:lang w:val="fr-FR"/>
        </w:rPr>
        <w:t xml:space="preserve"> temps disparaît. Les travaux préparatoires ne donnent pas les raisons de cette suppression</w:t>
      </w:r>
      <w:r>
        <w:rPr>
          <w:rStyle w:val="Appelnotedebasdep"/>
          <w:lang w:val="fr-FR"/>
        </w:rPr>
        <w:footnoteReference w:id="95"/>
      </w:r>
      <w:r>
        <w:rPr>
          <w:lang w:val="fr-FR"/>
        </w:rPr>
        <w:t>.</w:t>
      </w:r>
    </w:p>
    <w:p w14:paraId="788C463C" w14:textId="77777777" w:rsidR="00D84E64" w:rsidRDefault="00D84E64" w:rsidP="00F6374E">
      <w:pPr>
        <w:pStyle w:val="Paragraphedeliste"/>
        <w:ind w:left="1068"/>
        <w:jc w:val="both"/>
        <w:rPr>
          <w:lang w:val="fr-FR"/>
        </w:rPr>
      </w:pPr>
    </w:p>
    <w:p w14:paraId="386F53B9" w14:textId="39AA72F2" w:rsidR="00D84E64" w:rsidRDefault="0017741D" w:rsidP="00B576DC">
      <w:pPr>
        <w:pStyle w:val="Paragraphedeliste"/>
        <w:numPr>
          <w:ilvl w:val="0"/>
          <w:numId w:val="2"/>
        </w:numPr>
        <w:jc w:val="both"/>
        <w:rPr>
          <w:lang w:val="fr-FR"/>
        </w:rPr>
      </w:pPr>
      <w:r>
        <w:rPr>
          <w:lang w:val="fr-FR"/>
        </w:rPr>
        <w:t xml:space="preserve"> </w:t>
      </w:r>
      <w:r w:rsidR="00D84E64">
        <w:rPr>
          <w:lang w:val="fr-FR"/>
        </w:rPr>
        <w:t>En ce qui concerne le volet fiscal, on ne peut plus parler désormais d’exonération totale. L’article 90 du CIR 92 est modifié</w:t>
      </w:r>
      <w:r w:rsidR="005E6C04">
        <w:rPr>
          <w:rStyle w:val="Appelnotedebasdep"/>
          <w:lang w:val="fr-FR"/>
        </w:rPr>
        <w:footnoteReference w:id="96"/>
      </w:r>
      <w:r w:rsidR="00D84E64">
        <w:rPr>
          <w:lang w:val="fr-FR"/>
        </w:rPr>
        <w:t xml:space="preserve"> de façon </w:t>
      </w:r>
      <w:r w:rsidR="00DC2EA8">
        <w:rPr>
          <w:lang w:val="fr-FR"/>
        </w:rPr>
        <w:t>telle</w:t>
      </w:r>
      <w:r w:rsidR="00D84E64">
        <w:rPr>
          <w:lang w:val="fr-FR"/>
        </w:rPr>
        <w:t xml:space="preserve"> que l’indemnité reçue dans le cadre du travail associatif</w:t>
      </w:r>
      <w:r w:rsidR="00B41357">
        <w:rPr>
          <w:lang w:val="fr-FR"/>
        </w:rPr>
        <w:t xml:space="preserve">, si elle remplit les conditions prévues par la loi, </w:t>
      </w:r>
      <w:r w:rsidR="00DC2EA8">
        <w:rPr>
          <w:lang w:val="fr-FR"/>
        </w:rPr>
        <w:t>est</w:t>
      </w:r>
      <w:r w:rsidR="00B41357">
        <w:rPr>
          <w:lang w:val="fr-FR"/>
        </w:rPr>
        <w:t xml:space="preserve"> désormais considérée comme un revenu divers et taxée au taux de 20% en vertu de l’article 171 du même code</w:t>
      </w:r>
      <w:r w:rsidR="005E6C04">
        <w:rPr>
          <w:rStyle w:val="Appelnotedebasdep"/>
          <w:lang w:val="fr-FR"/>
        </w:rPr>
        <w:footnoteReference w:id="97"/>
      </w:r>
      <w:r w:rsidR="00B41357">
        <w:rPr>
          <w:lang w:val="fr-FR"/>
        </w:rPr>
        <w:t>. Dans le cas contraire, il s’agi</w:t>
      </w:r>
      <w:r w:rsidR="00DC2EA8">
        <w:rPr>
          <w:lang w:val="fr-FR"/>
        </w:rPr>
        <w:t>t</w:t>
      </w:r>
      <w:r w:rsidR="00B41357">
        <w:rPr>
          <w:lang w:val="fr-FR"/>
        </w:rPr>
        <w:t xml:space="preserve"> de revenus professionnels conformément à l’article 37</w:t>
      </w:r>
      <w:r w:rsidR="00B41357" w:rsidRPr="00F6374E">
        <w:rPr>
          <w:i/>
          <w:lang w:val="fr-FR"/>
        </w:rPr>
        <w:t>bis</w:t>
      </w:r>
      <w:r w:rsidR="00B41357">
        <w:rPr>
          <w:lang w:val="fr-FR"/>
        </w:rPr>
        <w:t xml:space="preserve"> du code</w:t>
      </w:r>
      <w:r w:rsidR="005E6C04">
        <w:rPr>
          <w:rStyle w:val="Appelnotedebasdep"/>
          <w:lang w:val="fr-FR"/>
        </w:rPr>
        <w:footnoteReference w:id="98"/>
      </w:r>
      <w:r>
        <w:rPr>
          <w:lang w:val="fr-FR"/>
        </w:rPr>
        <w:t>-</w:t>
      </w:r>
      <w:r w:rsidR="00F64DDC">
        <w:rPr>
          <w:rStyle w:val="Appelnotedebasdep"/>
          <w:lang w:val="fr-FR"/>
        </w:rPr>
        <w:footnoteReference w:id="99"/>
      </w:r>
      <w:r w:rsidR="00B41357">
        <w:rPr>
          <w:lang w:val="fr-FR"/>
        </w:rPr>
        <w:t xml:space="preserve">. </w:t>
      </w:r>
    </w:p>
    <w:p w14:paraId="21EBB7A7" w14:textId="77777777" w:rsidR="009C3CA8" w:rsidRPr="009C3CA8" w:rsidRDefault="009C3CA8" w:rsidP="00B576DC">
      <w:pPr>
        <w:pStyle w:val="Paragraphedeliste"/>
        <w:ind w:left="1068"/>
        <w:jc w:val="both"/>
        <w:rPr>
          <w:lang w:val="fr-FR"/>
        </w:rPr>
      </w:pPr>
    </w:p>
    <w:p w14:paraId="6AF1342B" w14:textId="5B0879D1" w:rsidR="00610513" w:rsidRPr="00610513" w:rsidRDefault="003C7192" w:rsidP="00610513">
      <w:pPr>
        <w:pStyle w:val="Paragraphedeliste"/>
        <w:numPr>
          <w:ilvl w:val="0"/>
          <w:numId w:val="2"/>
        </w:numPr>
        <w:jc w:val="both"/>
        <w:rPr>
          <w:lang w:val="fr-FR"/>
        </w:rPr>
      </w:pPr>
      <w:r>
        <w:rPr>
          <w:lang w:val="fr-FR"/>
        </w:rPr>
        <w:t xml:space="preserve"> </w:t>
      </w:r>
      <w:r w:rsidR="00B3090D">
        <w:rPr>
          <w:lang w:val="fr-FR"/>
        </w:rPr>
        <w:t>La nouvelle loi rapproche</w:t>
      </w:r>
      <w:r w:rsidR="00ED7FCC" w:rsidRPr="003C7192">
        <w:rPr>
          <w:lang w:val="fr-FR"/>
        </w:rPr>
        <w:t xml:space="preserve"> par certains aspects le statut du travailleur associatif de celui de </w:t>
      </w:r>
      <w:r w:rsidR="00597BBC" w:rsidRPr="003C7192">
        <w:rPr>
          <w:lang w:val="fr-FR"/>
        </w:rPr>
        <w:t xml:space="preserve">certains contrats de travail </w:t>
      </w:r>
      <w:r w:rsidR="00FE2EC8">
        <w:rPr>
          <w:lang w:val="fr-FR"/>
        </w:rPr>
        <w:t xml:space="preserve">soumis à </w:t>
      </w:r>
      <w:r w:rsidR="00597BBC" w:rsidRPr="003C7192">
        <w:rPr>
          <w:lang w:val="fr-FR"/>
        </w:rPr>
        <w:t xml:space="preserve">une réglementation spécifique moins protectrice que la loi du 3 juillet 1978. Cependant, nous pensons que cette comparaison atteint rapidement ses limites. </w:t>
      </w:r>
      <w:r w:rsidR="00B22CCA" w:rsidRPr="003C7192">
        <w:rPr>
          <w:lang w:val="fr-FR"/>
        </w:rPr>
        <w:t>Le nouveau régime du travailleur associatif conserve la substance de celui introduit par la loi du 18 juillet 2018. L’indemnisation perçue par ce travailleur ne constitue toujours pas une rémunération. Certes, de nouvelles mesures protectrices sont proposées, mais elles sont encore loin d’offrir un niveau de protection similaire à celui du droit</w:t>
      </w:r>
      <w:r w:rsidR="0070040F">
        <w:rPr>
          <w:lang w:val="fr-FR"/>
        </w:rPr>
        <w:t xml:space="preserve"> commun</w:t>
      </w:r>
      <w:r w:rsidR="00B22CCA" w:rsidRPr="003C7192">
        <w:rPr>
          <w:lang w:val="fr-FR"/>
        </w:rPr>
        <w:t xml:space="preserve"> du travail dont</w:t>
      </w:r>
      <w:r w:rsidR="00B14D79">
        <w:rPr>
          <w:lang w:val="fr-FR"/>
        </w:rPr>
        <w:t xml:space="preserve"> l’application demeure largement exclue</w:t>
      </w:r>
      <w:r w:rsidR="00B22CCA" w:rsidRPr="003C7192">
        <w:rPr>
          <w:lang w:val="fr-FR"/>
        </w:rPr>
        <w:t xml:space="preserve">. </w:t>
      </w:r>
      <w:r w:rsidR="00307FDC">
        <w:rPr>
          <w:lang w:val="fr-FR"/>
        </w:rPr>
        <w:t>C</w:t>
      </w:r>
      <w:r w:rsidR="00AC31EE">
        <w:rPr>
          <w:lang w:val="fr-FR"/>
        </w:rPr>
        <w:t>e droit commun</w:t>
      </w:r>
      <w:r w:rsidR="00307FDC">
        <w:rPr>
          <w:lang w:val="fr-FR"/>
        </w:rPr>
        <w:t xml:space="preserve"> comprend toute la réglementation du travail qui s’applique traditionnellement aux personnes qui</w:t>
      </w:r>
      <w:r w:rsidR="00621CCC">
        <w:rPr>
          <w:lang w:val="fr-FR"/>
        </w:rPr>
        <w:t>,</w:t>
      </w:r>
      <w:r w:rsidR="00307FDC">
        <w:rPr>
          <w:lang w:val="fr-FR"/>
        </w:rPr>
        <w:t xml:space="preserve"> autrement qu’en vertu d’un contrat de travail</w:t>
      </w:r>
      <w:r w:rsidR="00621CCC">
        <w:rPr>
          <w:lang w:val="fr-FR"/>
        </w:rPr>
        <w:t>,</w:t>
      </w:r>
      <w:r w:rsidR="00307FDC">
        <w:rPr>
          <w:lang w:val="fr-FR"/>
        </w:rPr>
        <w:t xml:space="preserve"> travaillent sous l’autorité d’une autre personne. Le travailleur associatif subordonné se trouve donc toujours moins bien protégé que le travailleur salarié ou</w:t>
      </w:r>
      <w:r w:rsidR="00AC31EE">
        <w:rPr>
          <w:lang w:val="fr-FR"/>
        </w:rPr>
        <w:t xml:space="preserve"> que</w:t>
      </w:r>
      <w:r w:rsidR="00307FDC">
        <w:rPr>
          <w:lang w:val="fr-FR"/>
        </w:rPr>
        <w:t xml:space="preserve"> le volontaire. En outre, le législateur n’a pas jugé utile de modifier la situation des travailleurs associatifs non subordonnés par rapport à la loi antérieure. Ceux-ci se voient appliquer des règles auxquelles les indépendants, dont ils se rapprochent le plus, ne sont pas soumis. </w:t>
      </w:r>
    </w:p>
    <w:p w14:paraId="426B3FCB" w14:textId="77777777" w:rsidR="00036591" w:rsidRDefault="00036591" w:rsidP="00900084">
      <w:pPr>
        <w:pStyle w:val="Paragraphedeliste"/>
        <w:ind w:left="1068"/>
        <w:jc w:val="both"/>
        <w:rPr>
          <w:lang w:val="fr-FR"/>
        </w:rPr>
      </w:pPr>
    </w:p>
    <w:p w14:paraId="277B376C" w14:textId="0F707D04" w:rsidR="00036591" w:rsidRPr="003C7192" w:rsidRDefault="004D48C7" w:rsidP="00900084">
      <w:pPr>
        <w:pStyle w:val="Paragraphedeliste"/>
        <w:ind w:left="0"/>
        <w:jc w:val="both"/>
        <w:rPr>
          <w:lang w:val="fr-FR"/>
        </w:rPr>
      </w:pPr>
      <w:r>
        <w:rPr>
          <w:lang w:val="fr-FR"/>
        </w:rPr>
        <w:tab/>
      </w:r>
      <w:r w:rsidR="00036591">
        <w:rPr>
          <w:lang w:val="fr-FR"/>
        </w:rPr>
        <w:t>Dans son avis du 2 octobre 2020</w:t>
      </w:r>
      <w:r w:rsidR="00337ED7">
        <w:rPr>
          <w:rStyle w:val="Appelnotedebasdep"/>
          <w:lang w:val="fr-FR"/>
        </w:rPr>
        <w:footnoteReference w:id="100"/>
      </w:r>
      <w:r w:rsidR="00036591">
        <w:rPr>
          <w:lang w:val="fr-FR"/>
        </w:rPr>
        <w:t xml:space="preserve">, </w:t>
      </w:r>
      <w:r w:rsidR="00307FDC">
        <w:rPr>
          <w:lang w:val="fr-FR"/>
        </w:rPr>
        <w:t xml:space="preserve">la section </w:t>
      </w:r>
      <w:r w:rsidR="00621CCC">
        <w:rPr>
          <w:lang w:val="fr-FR"/>
        </w:rPr>
        <w:t xml:space="preserve">de </w:t>
      </w:r>
      <w:r w:rsidR="00307FDC">
        <w:rPr>
          <w:lang w:val="fr-FR"/>
        </w:rPr>
        <w:t>législation du Conseil d’État</w:t>
      </w:r>
      <w:r w:rsidR="00337ED7">
        <w:rPr>
          <w:lang w:val="fr-FR"/>
        </w:rPr>
        <w:t xml:space="preserve"> s</w:t>
      </w:r>
      <w:r w:rsidR="00DB6854">
        <w:rPr>
          <w:lang w:val="fr-FR"/>
        </w:rPr>
        <w:t>’</w:t>
      </w:r>
      <w:r w:rsidR="00337ED7">
        <w:rPr>
          <w:lang w:val="fr-FR"/>
        </w:rPr>
        <w:t>e</w:t>
      </w:r>
      <w:r w:rsidR="00DB6854">
        <w:rPr>
          <w:lang w:val="fr-FR"/>
        </w:rPr>
        <w:t>st</w:t>
      </w:r>
      <w:r w:rsidR="00337ED7">
        <w:rPr>
          <w:lang w:val="fr-FR"/>
        </w:rPr>
        <w:t xml:space="preserve"> montr</w:t>
      </w:r>
      <w:r w:rsidR="00DB6854">
        <w:rPr>
          <w:lang w:val="fr-FR"/>
        </w:rPr>
        <w:t>é</w:t>
      </w:r>
      <w:r w:rsidR="00337ED7">
        <w:rPr>
          <w:lang w:val="fr-FR"/>
        </w:rPr>
        <w:t>e très c</w:t>
      </w:r>
      <w:r w:rsidR="00EE32DA">
        <w:rPr>
          <w:lang w:val="fr-FR"/>
        </w:rPr>
        <w:t>irconspect</w:t>
      </w:r>
      <w:r w:rsidR="00307FDC">
        <w:rPr>
          <w:lang w:val="fr-FR"/>
        </w:rPr>
        <w:t>e</w:t>
      </w:r>
      <w:r w:rsidR="00337ED7">
        <w:rPr>
          <w:lang w:val="fr-FR"/>
        </w:rPr>
        <w:t xml:space="preserve"> vis-à-vis de la proposition de loi. Le Conseil d’État</w:t>
      </w:r>
      <w:r w:rsidR="00DB6854">
        <w:rPr>
          <w:lang w:val="fr-FR"/>
        </w:rPr>
        <w:t xml:space="preserve"> a</w:t>
      </w:r>
      <w:r w:rsidR="00337ED7">
        <w:rPr>
          <w:lang w:val="fr-FR"/>
        </w:rPr>
        <w:t xml:space="preserve"> </w:t>
      </w:r>
      <w:r w:rsidR="00DB6854">
        <w:rPr>
          <w:lang w:val="fr-FR"/>
        </w:rPr>
        <w:t xml:space="preserve">repris </w:t>
      </w:r>
      <w:r w:rsidR="00EE32DA">
        <w:rPr>
          <w:lang w:val="fr-FR"/>
        </w:rPr>
        <w:t>l</w:t>
      </w:r>
      <w:r w:rsidR="00337ED7">
        <w:rPr>
          <w:lang w:val="fr-FR"/>
        </w:rPr>
        <w:t>es motifs en vertu desquels la Cour constitutionnelle a annulé la loi du 18 juillet 2018</w:t>
      </w:r>
      <w:r w:rsidR="006B02EB">
        <w:rPr>
          <w:lang w:val="fr-FR"/>
        </w:rPr>
        <w:t xml:space="preserve"> et </w:t>
      </w:r>
      <w:r w:rsidR="00DB6854">
        <w:rPr>
          <w:lang w:val="fr-FR"/>
        </w:rPr>
        <w:t xml:space="preserve">émis </w:t>
      </w:r>
      <w:r w:rsidR="006B02EB">
        <w:rPr>
          <w:lang w:val="fr-FR"/>
        </w:rPr>
        <w:t>de nombreuses réserves</w:t>
      </w:r>
      <w:r w:rsidR="00337ED7">
        <w:rPr>
          <w:lang w:val="fr-FR"/>
        </w:rPr>
        <w:t xml:space="preserve">.  </w:t>
      </w:r>
      <w:r w:rsidR="00B525D5">
        <w:rPr>
          <w:lang w:val="fr-FR"/>
        </w:rPr>
        <w:t>Il</w:t>
      </w:r>
      <w:r w:rsidR="00337ED7">
        <w:rPr>
          <w:lang w:val="fr-FR"/>
        </w:rPr>
        <w:t xml:space="preserve"> </w:t>
      </w:r>
      <w:r w:rsidR="00DB6854">
        <w:rPr>
          <w:lang w:val="fr-FR"/>
        </w:rPr>
        <w:t xml:space="preserve">a constaté </w:t>
      </w:r>
      <w:r w:rsidR="00337ED7">
        <w:rPr>
          <w:lang w:val="fr-FR"/>
        </w:rPr>
        <w:t xml:space="preserve">qu’en dépit des modifications apportées par la proposition de loi, </w:t>
      </w:r>
      <w:r w:rsidR="006B02EB">
        <w:rPr>
          <w:lang w:val="fr-FR"/>
        </w:rPr>
        <w:t>le choix fondamental d’un statut spécifique pour le travailleur associatif est maintenu. L’application de pans importants du droit du travail est toujours écartée, et les adaptations ne revêtent qu’un caractère ponctuel. La proposition de loi maintient pour l’essentiel le régime de la loi annulée sans qu’une justification de l’adoption de ce régime au regard du principe d’égalité</w:t>
      </w:r>
      <w:r w:rsidR="00883040">
        <w:rPr>
          <w:lang w:val="fr-FR"/>
        </w:rPr>
        <w:t xml:space="preserve"> prévu par l’article 10 de la Constitution</w:t>
      </w:r>
      <w:r w:rsidR="006B02EB">
        <w:rPr>
          <w:lang w:val="fr-FR"/>
        </w:rPr>
        <w:t xml:space="preserve"> ne soit apporté</w:t>
      </w:r>
      <w:r w:rsidR="00D42CEA">
        <w:rPr>
          <w:lang w:val="fr-FR"/>
        </w:rPr>
        <w:t>e</w:t>
      </w:r>
      <w:r w:rsidR="006B02EB">
        <w:rPr>
          <w:lang w:val="fr-FR"/>
        </w:rPr>
        <w:t xml:space="preserve"> de </w:t>
      </w:r>
      <w:r w:rsidR="006B02EB">
        <w:rPr>
          <w:lang w:val="fr-FR"/>
        </w:rPr>
        <w:lastRenderedPageBreak/>
        <w:t>façon satisfaisante</w:t>
      </w:r>
      <w:r w:rsidR="00003603">
        <w:rPr>
          <w:rStyle w:val="Appelnotedebasdep"/>
          <w:lang w:val="fr-FR"/>
        </w:rPr>
        <w:footnoteReference w:id="101"/>
      </w:r>
      <w:r w:rsidR="006B02EB">
        <w:rPr>
          <w:lang w:val="fr-FR"/>
        </w:rPr>
        <w:t>.</w:t>
      </w:r>
      <w:r w:rsidR="00D67052">
        <w:rPr>
          <w:lang w:val="fr-FR"/>
        </w:rPr>
        <w:t xml:space="preserve"> En ce qui concerne le traitement privilégié de l’indemnité reçue sur le</w:t>
      </w:r>
      <w:r w:rsidR="00672389">
        <w:rPr>
          <w:lang w:val="fr-FR"/>
        </w:rPr>
        <w:t>s</w:t>
      </w:r>
      <w:r w:rsidR="00D67052">
        <w:rPr>
          <w:lang w:val="fr-FR"/>
        </w:rPr>
        <w:t xml:space="preserve"> plan</w:t>
      </w:r>
      <w:r w:rsidR="00672389">
        <w:rPr>
          <w:lang w:val="fr-FR"/>
        </w:rPr>
        <w:t>s</w:t>
      </w:r>
      <w:r w:rsidR="00D67052">
        <w:rPr>
          <w:lang w:val="fr-FR"/>
        </w:rPr>
        <w:t xml:space="preserve"> social et fiscal</w:t>
      </w:r>
      <w:r w:rsidR="009140BE">
        <w:rPr>
          <w:lang w:val="fr-FR"/>
        </w:rPr>
        <w:t xml:space="preserve">, le Conseil d’État </w:t>
      </w:r>
      <w:r w:rsidR="00DB6854">
        <w:rPr>
          <w:lang w:val="fr-FR"/>
        </w:rPr>
        <w:t>a reproduit</w:t>
      </w:r>
      <w:r w:rsidR="009140BE">
        <w:rPr>
          <w:lang w:val="fr-FR"/>
        </w:rPr>
        <w:t xml:space="preserve"> le raisonnement de la Cour constitutionnelle et </w:t>
      </w:r>
      <w:r w:rsidR="00B525D5">
        <w:rPr>
          <w:lang w:val="fr-FR"/>
        </w:rPr>
        <w:t>consid</w:t>
      </w:r>
      <w:r w:rsidR="00DB6854">
        <w:rPr>
          <w:lang w:val="fr-FR"/>
        </w:rPr>
        <w:t>éré</w:t>
      </w:r>
      <w:r w:rsidR="00B525D5">
        <w:rPr>
          <w:lang w:val="fr-FR"/>
        </w:rPr>
        <w:t xml:space="preserve"> </w:t>
      </w:r>
      <w:r w:rsidR="009140BE">
        <w:rPr>
          <w:lang w:val="fr-FR"/>
        </w:rPr>
        <w:t>que l’existence d’une plus-value sociale particulière apportée par certaines activités ne justifie pas de différence de traitement significative par rapport aux travailleurs salariés ou indépendants qui exercent une activité identique. De plus, il n’apparaît pas en quoi les activités énumérées par la proposition apporteraient une plus-value sociale supérieure à d’autres activités</w:t>
      </w:r>
      <w:r w:rsidR="00F464EF">
        <w:rPr>
          <w:rStyle w:val="Appelnotedebasdep"/>
          <w:lang w:val="fr-FR"/>
        </w:rPr>
        <w:footnoteReference w:id="102"/>
      </w:r>
      <w:r w:rsidR="00F464EF">
        <w:rPr>
          <w:lang w:val="fr-FR"/>
        </w:rPr>
        <w:t xml:space="preserve">. </w:t>
      </w:r>
      <w:r w:rsidR="006944D3">
        <w:rPr>
          <w:lang w:val="fr-FR"/>
        </w:rPr>
        <w:t xml:space="preserve">L’amendement qui propose de réduire le champ d’application de la loi aux seules activités du sport et de l’animation sportive </w:t>
      </w:r>
      <w:r w:rsidR="00791A3F">
        <w:rPr>
          <w:lang w:val="fr-FR"/>
        </w:rPr>
        <w:t>pèche également par manque de justification concrète de l’existence d’une plus-value sociale particulière</w:t>
      </w:r>
      <w:r w:rsidR="00F464EF">
        <w:rPr>
          <w:rStyle w:val="Appelnotedebasdep"/>
          <w:lang w:val="fr-FR"/>
        </w:rPr>
        <w:footnoteReference w:id="103"/>
      </w:r>
      <w:r w:rsidR="00791A3F">
        <w:rPr>
          <w:lang w:val="fr-FR"/>
        </w:rPr>
        <w:t>.  Répondre aux objections relatives aux exonérations sociales et fiscales en introduisant une cotisation de solidarité de 10%</w:t>
      </w:r>
      <w:r w:rsidR="00AA05DE">
        <w:rPr>
          <w:lang w:val="fr-FR"/>
        </w:rPr>
        <w:t xml:space="preserve"> n</w:t>
      </w:r>
      <w:r w:rsidR="00DB6854">
        <w:rPr>
          <w:lang w:val="fr-FR"/>
        </w:rPr>
        <w:t>’a pas non plus</w:t>
      </w:r>
      <w:r w:rsidR="00AA05DE">
        <w:rPr>
          <w:lang w:val="fr-FR"/>
        </w:rPr>
        <w:t xml:space="preserve"> sembl</w:t>
      </w:r>
      <w:r w:rsidR="00DB6854">
        <w:rPr>
          <w:lang w:val="fr-FR"/>
        </w:rPr>
        <w:t>é</w:t>
      </w:r>
      <w:r w:rsidR="00AA05DE">
        <w:rPr>
          <w:lang w:val="fr-FR"/>
        </w:rPr>
        <w:t xml:space="preserve"> plus adéquat</w:t>
      </w:r>
      <w:r w:rsidR="00B07256">
        <w:rPr>
          <w:lang w:val="fr-FR"/>
        </w:rPr>
        <w:t>, aux yeux du Conseil d’État</w:t>
      </w:r>
      <w:r w:rsidR="00AA05DE">
        <w:rPr>
          <w:lang w:val="fr-FR"/>
        </w:rPr>
        <w:t>. La cotisation, qui n’est due que par l’organisation, est sans rapport avec la différence de traitement qu’elle prétend corriger</w:t>
      </w:r>
      <w:r w:rsidR="008853E7">
        <w:rPr>
          <w:rStyle w:val="Appelnotedebasdep"/>
          <w:lang w:val="fr-FR"/>
        </w:rPr>
        <w:footnoteReference w:id="104"/>
      </w:r>
      <w:r w:rsidR="00B338C5">
        <w:rPr>
          <w:lang w:val="fr-FR"/>
        </w:rPr>
        <w:t>, puisque le travail associatif ne donne toujours pas accès aux prestations de sécurité sociale</w:t>
      </w:r>
      <w:r w:rsidR="00AA05DE">
        <w:rPr>
          <w:lang w:val="fr-FR"/>
        </w:rPr>
        <w:t xml:space="preserve">. </w:t>
      </w:r>
      <w:r w:rsidR="00A72071">
        <w:rPr>
          <w:lang w:val="fr-FR"/>
        </w:rPr>
        <w:t xml:space="preserve">Le Conseil d’État </w:t>
      </w:r>
      <w:r w:rsidR="00DB6854">
        <w:rPr>
          <w:lang w:val="fr-FR"/>
        </w:rPr>
        <w:t xml:space="preserve">a regretté </w:t>
      </w:r>
      <w:r w:rsidR="00A72071">
        <w:rPr>
          <w:lang w:val="fr-FR"/>
        </w:rPr>
        <w:t>également que l’occasion de clarifier l’articulation entre travail volontaire et travail associatif n’ait pas été saisie, ce qui aurait pu être fait en introduisant un montant minimal pour l’indemnité de travail associatif supérieur à</w:t>
      </w:r>
      <w:r w:rsidR="00EE32DA">
        <w:rPr>
          <w:lang w:val="fr-FR"/>
        </w:rPr>
        <w:t xml:space="preserve"> celui de</w:t>
      </w:r>
      <w:r w:rsidR="00A72071">
        <w:rPr>
          <w:lang w:val="fr-FR"/>
        </w:rPr>
        <w:t xml:space="preserve"> l’indemnité forfaitaire maximale autorisée pour le travail volontaire</w:t>
      </w:r>
      <w:r w:rsidR="00A72071">
        <w:rPr>
          <w:rStyle w:val="Appelnotedebasdep"/>
          <w:lang w:val="fr-FR"/>
        </w:rPr>
        <w:footnoteReference w:id="105"/>
      </w:r>
      <w:r w:rsidR="00A72071">
        <w:rPr>
          <w:lang w:val="fr-FR"/>
        </w:rPr>
        <w:t>.</w:t>
      </w:r>
      <w:r w:rsidR="0086399B">
        <w:rPr>
          <w:lang w:val="fr-FR"/>
        </w:rPr>
        <w:t xml:space="preserve"> Enfin, le Conseil d’État</w:t>
      </w:r>
      <w:r w:rsidR="00DB6854">
        <w:rPr>
          <w:lang w:val="fr-FR"/>
        </w:rPr>
        <w:t xml:space="preserve"> a</w:t>
      </w:r>
      <w:r w:rsidR="0086399B">
        <w:rPr>
          <w:lang w:val="fr-FR"/>
        </w:rPr>
        <w:t xml:space="preserve"> invit</w:t>
      </w:r>
      <w:r w:rsidR="00DB6854">
        <w:rPr>
          <w:lang w:val="fr-FR"/>
        </w:rPr>
        <w:t>é</w:t>
      </w:r>
      <w:r w:rsidR="0086399B">
        <w:rPr>
          <w:lang w:val="fr-FR"/>
        </w:rPr>
        <w:t xml:space="preserve"> le législateur à prendre garde à une éventuelle incompatibilité de la législation proposée avec différents instruments tant de droit européen que de droit international visant à assurer une protection minimale aux travailleurs</w:t>
      </w:r>
      <w:r w:rsidR="0086399B">
        <w:rPr>
          <w:rStyle w:val="Appelnotedebasdep"/>
          <w:lang w:val="fr-FR"/>
        </w:rPr>
        <w:footnoteReference w:id="106"/>
      </w:r>
      <w:r w:rsidR="0086399B">
        <w:rPr>
          <w:lang w:val="fr-FR"/>
        </w:rPr>
        <w:t>.</w:t>
      </w:r>
      <w:r w:rsidR="00A72071">
        <w:rPr>
          <w:lang w:val="fr-FR"/>
        </w:rPr>
        <w:t xml:space="preserve"> </w:t>
      </w:r>
      <w:r w:rsidR="002D039F">
        <w:rPr>
          <w:lang w:val="fr-FR"/>
        </w:rPr>
        <w:t>En dépit de ces remarques nombreuses, précises et pertinentes, le texte adopté ne diffère pas de la proposition sur ces points</w:t>
      </w:r>
      <w:r w:rsidR="0067480F">
        <w:rPr>
          <w:lang w:val="fr-FR"/>
        </w:rPr>
        <w:t xml:space="preserve">. </w:t>
      </w:r>
    </w:p>
    <w:p w14:paraId="3D09FA8F" w14:textId="77777777" w:rsidR="00602C00" w:rsidRPr="000D6040" w:rsidRDefault="00602C00" w:rsidP="004458E6">
      <w:pPr>
        <w:jc w:val="both"/>
        <w:rPr>
          <w:lang w:val="fr-FR"/>
        </w:rPr>
      </w:pPr>
      <w:r>
        <w:rPr>
          <w:lang w:val="fr-FR"/>
        </w:rPr>
        <w:tab/>
      </w:r>
    </w:p>
    <w:p w14:paraId="42DE0F00" w14:textId="77777777" w:rsidR="00E34ACE" w:rsidRPr="00900084" w:rsidRDefault="00E34ACE" w:rsidP="00900084">
      <w:pPr>
        <w:pStyle w:val="Paragraphedeliste"/>
        <w:numPr>
          <w:ilvl w:val="0"/>
          <w:numId w:val="7"/>
        </w:numPr>
        <w:jc w:val="both"/>
        <w:rPr>
          <w:b/>
          <w:lang w:val="fr-FR"/>
        </w:rPr>
      </w:pPr>
      <w:r w:rsidRPr="00900084">
        <w:rPr>
          <w:b/>
          <w:lang w:val="fr-FR"/>
        </w:rPr>
        <w:t>Conclusions</w:t>
      </w:r>
    </w:p>
    <w:p w14:paraId="5BF23EAD" w14:textId="77777777" w:rsidR="00B576DC" w:rsidRDefault="00222B3D" w:rsidP="00116DA9">
      <w:pPr>
        <w:pStyle w:val="Paragraphedeliste"/>
        <w:numPr>
          <w:ilvl w:val="0"/>
          <w:numId w:val="2"/>
        </w:numPr>
        <w:jc w:val="both"/>
        <w:rPr>
          <w:lang w:val="fr-FR"/>
        </w:rPr>
      </w:pPr>
      <w:r w:rsidRPr="00222B3D">
        <w:rPr>
          <w:lang w:val="fr-FR"/>
        </w:rPr>
        <w:t xml:space="preserve">  </w:t>
      </w:r>
      <w:r w:rsidR="00825F9C">
        <w:rPr>
          <w:lang w:val="fr-FR"/>
        </w:rPr>
        <w:t xml:space="preserve">Par la loi du 18 juillet 2018, le législateur a créé une nouvelle figure juridique en droit belge, celle du travail associatif. Ce faisant, il a sciemment écarté celles du travail salarié, du travail indépendant et du volontariat. Ce nouveau régime possède de nombreuses particularités. </w:t>
      </w:r>
      <w:r w:rsidR="001B5C98">
        <w:rPr>
          <w:lang w:val="fr-FR"/>
        </w:rPr>
        <w:t xml:space="preserve"> Le nouveau statut s’applique tant aux travailleurs associatifs subordonnés qu’aux travailleurs associatifs non subordonnés. Dans le premier cas, le niveau de protection est bien moindre que celui dont jouissent les travailleurs salariés et les volontaires lorsque ceux-ci se trouvent dans un lien de subordination. Dans le second cas, c’est l’exact inverse. D</w:t>
      </w:r>
      <w:r w:rsidR="00280FC2">
        <w:rPr>
          <w:lang w:val="fr-FR"/>
        </w:rPr>
        <w:t>es prestataires qui auraient pu</w:t>
      </w:r>
      <w:r w:rsidR="001B5C98">
        <w:rPr>
          <w:lang w:val="fr-FR"/>
        </w:rPr>
        <w:t xml:space="preserve"> être qualifiés d’indépendants se voient appliquer un régime plus protecteur</w:t>
      </w:r>
      <w:r w:rsidR="004272B0">
        <w:rPr>
          <w:lang w:val="fr-FR"/>
        </w:rPr>
        <w:t xml:space="preserve"> (à une exception notable : les travailleurs associatifs n’ont </w:t>
      </w:r>
      <w:r w:rsidR="0070252A">
        <w:rPr>
          <w:lang w:val="fr-FR"/>
        </w:rPr>
        <w:t>accès ni au régime</w:t>
      </w:r>
      <w:r w:rsidR="004272B0">
        <w:rPr>
          <w:lang w:val="fr-FR"/>
        </w:rPr>
        <w:t xml:space="preserve"> de sécurité sociale des travailleurs salariés, ni à </w:t>
      </w:r>
      <w:r w:rsidR="0070252A">
        <w:rPr>
          <w:lang w:val="fr-FR"/>
        </w:rPr>
        <w:t>celui d</w:t>
      </w:r>
      <w:r w:rsidR="004272B0">
        <w:rPr>
          <w:lang w:val="fr-FR"/>
        </w:rPr>
        <w:t>es travailleurs indépendants</w:t>
      </w:r>
      <w:r w:rsidR="00D04C06">
        <w:rPr>
          <w:lang w:val="fr-FR"/>
        </w:rPr>
        <w:t>)</w:t>
      </w:r>
      <w:r w:rsidR="001B5C98">
        <w:rPr>
          <w:lang w:val="fr-FR"/>
        </w:rPr>
        <w:t>.</w:t>
      </w:r>
    </w:p>
    <w:p w14:paraId="775B5E38" w14:textId="77777777" w:rsidR="00222B3D" w:rsidRPr="002C1595" w:rsidRDefault="00222B3D" w:rsidP="002C1595">
      <w:pPr>
        <w:pStyle w:val="Paragraphedeliste"/>
        <w:ind w:left="1068"/>
        <w:jc w:val="both"/>
        <w:rPr>
          <w:lang w:val="fr-FR"/>
        </w:rPr>
      </w:pPr>
    </w:p>
    <w:p w14:paraId="073A6F5A" w14:textId="77777777" w:rsidR="00E25034" w:rsidRPr="00222B3D" w:rsidRDefault="00222B3D" w:rsidP="00116DA9">
      <w:pPr>
        <w:pStyle w:val="Paragraphedeliste"/>
        <w:numPr>
          <w:ilvl w:val="0"/>
          <w:numId w:val="2"/>
        </w:numPr>
        <w:jc w:val="both"/>
        <w:rPr>
          <w:lang w:val="fr-FR"/>
        </w:rPr>
      </w:pPr>
      <w:r w:rsidRPr="00222B3D">
        <w:rPr>
          <w:lang w:val="fr-FR"/>
        </w:rPr>
        <w:t xml:space="preserve"> </w:t>
      </w:r>
      <w:r w:rsidR="0094124B" w:rsidRPr="00222B3D">
        <w:rPr>
          <w:lang w:val="fr-FR"/>
        </w:rPr>
        <w:t>L’adopt</w:t>
      </w:r>
      <w:r>
        <w:rPr>
          <w:lang w:val="fr-FR"/>
        </w:rPr>
        <w:t>ion de la loi</w:t>
      </w:r>
      <w:r w:rsidR="0094124B" w:rsidRPr="00222B3D">
        <w:rPr>
          <w:lang w:val="fr-FR"/>
        </w:rPr>
        <w:t xml:space="preserve"> a suscité de</w:t>
      </w:r>
      <w:r w:rsidR="00BB32A5" w:rsidRPr="00222B3D">
        <w:rPr>
          <w:lang w:val="fr-FR"/>
        </w:rPr>
        <w:t xml:space="preserve"> nombreuses réactions négatives</w:t>
      </w:r>
      <w:r w:rsidR="001B5C98">
        <w:rPr>
          <w:lang w:val="fr-FR"/>
        </w:rPr>
        <w:t>, qui se sont concentrées sur le premier cas de figure</w:t>
      </w:r>
      <w:r w:rsidR="0094124B" w:rsidRPr="00222B3D">
        <w:rPr>
          <w:lang w:val="fr-FR"/>
        </w:rPr>
        <w:t xml:space="preserve">. </w:t>
      </w:r>
      <w:r w:rsidR="00BB32A5" w:rsidRPr="00222B3D">
        <w:rPr>
          <w:lang w:val="fr-FR"/>
        </w:rPr>
        <w:t>L’hostilité des partenaires sociaux et d’une partie d</w:t>
      </w:r>
      <w:r w:rsidR="00D42CEA">
        <w:rPr>
          <w:lang w:val="fr-FR"/>
        </w:rPr>
        <w:t>e la doctrine</w:t>
      </w:r>
      <w:r w:rsidR="00BB32A5" w:rsidRPr="00222B3D">
        <w:rPr>
          <w:lang w:val="fr-FR"/>
        </w:rPr>
        <w:t xml:space="preserve"> </w:t>
      </w:r>
      <w:r w:rsidR="00FE2EC8">
        <w:rPr>
          <w:lang w:val="fr-FR"/>
        </w:rPr>
        <w:t>est née de</w:t>
      </w:r>
      <w:r w:rsidR="00BB32A5" w:rsidRPr="00222B3D">
        <w:rPr>
          <w:lang w:val="fr-FR"/>
        </w:rPr>
        <w:t xml:space="preserve"> la crainte de voir le nouveau régime</w:t>
      </w:r>
      <w:r w:rsidR="00AE7C39">
        <w:rPr>
          <w:lang w:val="fr-FR"/>
        </w:rPr>
        <w:t xml:space="preserve"> du travail associatif</w:t>
      </w:r>
      <w:r w:rsidR="00BB32A5" w:rsidRPr="00222B3D">
        <w:rPr>
          <w:lang w:val="fr-FR"/>
        </w:rPr>
        <w:t xml:space="preserve"> introduit par la loi, excluant la majorité des règles du droit social, se muer en sous-statut.</w:t>
      </w:r>
      <w:r w:rsidR="00CA53C6" w:rsidRPr="00222B3D">
        <w:rPr>
          <w:lang w:val="fr-FR"/>
        </w:rPr>
        <w:t xml:space="preserve"> </w:t>
      </w:r>
      <w:r w:rsidR="00BB32A5" w:rsidRPr="00222B3D">
        <w:rPr>
          <w:lang w:val="fr-FR"/>
        </w:rPr>
        <w:t>La Cour constitutionnelle a estimé que ces craintes étaient fondées et a décidé d’annuler la loi.</w:t>
      </w:r>
    </w:p>
    <w:p w14:paraId="67CE7D79" w14:textId="75556ADD" w:rsidR="00BB32A5" w:rsidRDefault="00BB32A5" w:rsidP="00474AC4">
      <w:pPr>
        <w:jc w:val="both"/>
        <w:rPr>
          <w:lang w:val="fr-FR"/>
        </w:rPr>
      </w:pPr>
      <w:r>
        <w:rPr>
          <w:lang w:val="fr-FR"/>
        </w:rPr>
        <w:tab/>
      </w:r>
      <w:r w:rsidR="00950FAD">
        <w:rPr>
          <w:lang w:val="fr-FR"/>
        </w:rPr>
        <w:t xml:space="preserve">Il ne faut pas exagérer la portée de </w:t>
      </w:r>
      <w:r w:rsidR="00175A7D">
        <w:rPr>
          <w:lang w:val="fr-FR"/>
        </w:rPr>
        <w:t xml:space="preserve">l’arrêt du 23 avril 2020. Ce n’est pas parce que les régimes du travail associatif et des services occasionnels entre citoyens, ainsi que les amendements apportés </w:t>
      </w:r>
      <w:r w:rsidR="00175A7D">
        <w:rPr>
          <w:lang w:val="fr-FR"/>
        </w:rPr>
        <w:lastRenderedPageBreak/>
        <w:t>au régime des prestations de travail fournies par l’intermédiaire des plateformes agréées ont été censurés qu</w:t>
      </w:r>
      <w:r w:rsidR="00517920">
        <w:rPr>
          <w:lang w:val="fr-FR"/>
        </w:rPr>
        <w:t xml:space="preserve">’il n’est pas permis au </w:t>
      </w:r>
      <w:r w:rsidR="00175A7D">
        <w:rPr>
          <w:lang w:val="fr-FR"/>
        </w:rPr>
        <w:t xml:space="preserve">législateur d’envisager la création de régimes intermédiaires distincts tant du droit du travail </w:t>
      </w:r>
      <w:r w:rsidR="001412C0">
        <w:rPr>
          <w:lang w:val="fr-FR"/>
        </w:rPr>
        <w:t xml:space="preserve">professionnel que de celui du volontariat. </w:t>
      </w:r>
      <w:r w:rsidR="00861B47">
        <w:rPr>
          <w:lang w:val="fr-FR"/>
        </w:rPr>
        <w:t xml:space="preserve"> </w:t>
      </w:r>
      <w:r w:rsidR="002A7F34">
        <w:rPr>
          <w:lang w:val="fr-FR"/>
        </w:rPr>
        <w:t xml:space="preserve">C’est d’ailleurs pour cette raison que le législateur </w:t>
      </w:r>
      <w:r w:rsidR="00495123">
        <w:rPr>
          <w:lang w:val="fr-FR"/>
        </w:rPr>
        <w:t xml:space="preserve">a adopté la loi du 24 décembre 2020, qui permet de </w:t>
      </w:r>
      <w:r w:rsidR="0070040F">
        <w:rPr>
          <w:lang w:val="fr-FR"/>
        </w:rPr>
        <w:t>maintenir</w:t>
      </w:r>
      <w:r w:rsidR="00517920">
        <w:rPr>
          <w:lang w:val="fr-FR"/>
        </w:rPr>
        <w:t xml:space="preserve"> un régime distinct pour le</w:t>
      </w:r>
      <w:r w:rsidR="002A7F34">
        <w:rPr>
          <w:lang w:val="fr-FR"/>
        </w:rPr>
        <w:t xml:space="preserve"> travail associatif</w:t>
      </w:r>
      <w:r w:rsidR="00F01C36">
        <w:rPr>
          <w:lang w:val="fr-FR"/>
        </w:rPr>
        <w:t>.</w:t>
      </w:r>
      <w:r w:rsidR="00D42CEA">
        <w:rPr>
          <w:lang w:val="fr-FR"/>
        </w:rPr>
        <w:t xml:space="preserve"> </w:t>
      </w:r>
      <w:r w:rsidR="00F01C36">
        <w:rPr>
          <w:lang w:val="fr-FR"/>
        </w:rPr>
        <w:t xml:space="preserve"> </w:t>
      </w:r>
      <w:r w:rsidR="00955F45">
        <w:rPr>
          <w:lang w:val="fr-FR"/>
        </w:rPr>
        <w:t>Le champ d’application du texte se limite désormais au seul secteur sportif, revenant aux premières réflexions du législateur dont on trouve écho dans le rapport rendu par MM. De Wortelaer et Van Limberghen au sujet du travail s</w:t>
      </w:r>
      <w:r w:rsidR="00880183">
        <w:rPr>
          <w:lang w:val="fr-FR"/>
        </w:rPr>
        <w:t>emi-agoral</w:t>
      </w:r>
      <w:r w:rsidR="00F01C36">
        <w:rPr>
          <w:lang w:val="fr-FR"/>
        </w:rPr>
        <w:t>.</w:t>
      </w:r>
      <w:r w:rsidR="00C7538F">
        <w:rPr>
          <w:lang w:val="fr-FR"/>
        </w:rPr>
        <w:t xml:space="preserve"> </w:t>
      </w:r>
      <w:r w:rsidR="0000288D">
        <w:rPr>
          <w:lang w:val="fr-FR"/>
        </w:rPr>
        <w:t>Notre analyse révèle</w:t>
      </w:r>
      <w:r w:rsidR="0073735E">
        <w:rPr>
          <w:lang w:val="fr-FR"/>
        </w:rPr>
        <w:t xml:space="preserve"> toutefois</w:t>
      </w:r>
      <w:r w:rsidR="0000288D">
        <w:rPr>
          <w:lang w:val="fr-FR"/>
        </w:rPr>
        <w:t xml:space="preserve"> que si le </w:t>
      </w:r>
      <w:r w:rsidR="002D039F">
        <w:rPr>
          <w:lang w:val="fr-FR"/>
        </w:rPr>
        <w:t>législateur affirme chercher</w:t>
      </w:r>
      <w:r w:rsidR="0000288D">
        <w:rPr>
          <w:lang w:val="fr-FR"/>
        </w:rPr>
        <w:t xml:space="preserve"> à rencontrer les différents griefs émis par la Cour, il se contente surtout de reprendre l’essentiel du régime précédent. L’application du droit du travail demeure largement écartée</w:t>
      </w:r>
      <w:r w:rsidR="009919CE">
        <w:rPr>
          <w:lang w:val="fr-FR"/>
        </w:rPr>
        <w:t xml:space="preserve">. </w:t>
      </w:r>
      <w:r w:rsidR="00374C30">
        <w:rPr>
          <w:lang w:val="fr-FR"/>
        </w:rPr>
        <w:t xml:space="preserve"> L’avis très prudent rendu par la section législation du Conseil d’État fait les mêmes constatations. </w:t>
      </w:r>
      <w:r w:rsidR="002B4477">
        <w:rPr>
          <w:lang w:val="fr-FR"/>
        </w:rPr>
        <w:t xml:space="preserve">Si le législateur </w:t>
      </w:r>
      <w:r w:rsidR="00495123">
        <w:rPr>
          <w:lang w:val="fr-FR"/>
        </w:rPr>
        <w:t>avait voulu éviter que la</w:t>
      </w:r>
      <w:r w:rsidR="00B576DC">
        <w:rPr>
          <w:lang w:val="fr-FR"/>
        </w:rPr>
        <w:t xml:space="preserve"> </w:t>
      </w:r>
      <w:r w:rsidR="009919CE">
        <w:rPr>
          <w:lang w:val="fr-FR"/>
        </w:rPr>
        <w:t>loi subisse</w:t>
      </w:r>
      <w:r w:rsidR="002B4477">
        <w:rPr>
          <w:lang w:val="fr-FR"/>
        </w:rPr>
        <w:t xml:space="preserve"> le même destin que la loi du 18 juillet 2018, des modifications substantielles </w:t>
      </w:r>
      <w:r w:rsidR="00495123">
        <w:rPr>
          <w:lang w:val="fr-FR"/>
        </w:rPr>
        <w:t>auraient dû</w:t>
      </w:r>
      <w:r w:rsidR="002B4477">
        <w:rPr>
          <w:lang w:val="fr-FR"/>
        </w:rPr>
        <w:t xml:space="preserve"> être apportées.</w:t>
      </w:r>
      <w:r w:rsidR="00B91A88">
        <w:rPr>
          <w:lang w:val="fr-FR"/>
        </w:rPr>
        <w:t xml:space="preserve"> </w:t>
      </w:r>
    </w:p>
    <w:p w14:paraId="77B08A7B" w14:textId="713869BA" w:rsidR="00B91A88" w:rsidRPr="00883040" w:rsidRDefault="00B91A88" w:rsidP="00116DA9">
      <w:pPr>
        <w:pStyle w:val="Paragraphedeliste"/>
        <w:numPr>
          <w:ilvl w:val="0"/>
          <w:numId w:val="2"/>
        </w:numPr>
        <w:jc w:val="both"/>
        <w:rPr>
          <w:lang w:val="fr-FR"/>
        </w:rPr>
      </w:pPr>
      <w:r w:rsidRPr="00652E35">
        <w:rPr>
          <w:lang w:val="fr-FR"/>
        </w:rPr>
        <w:t>Le législateur ne parvient pas à justifier de</w:t>
      </w:r>
      <w:r w:rsidRPr="00800A77">
        <w:rPr>
          <w:lang w:val="fr-FR"/>
        </w:rPr>
        <w:t xml:space="preserve"> manière satisfaisante la mise de côté du droit du travail et du droit de la sécurité sociale</w:t>
      </w:r>
      <w:r w:rsidR="00CE7E01" w:rsidRPr="00800A77">
        <w:rPr>
          <w:lang w:val="fr-FR"/>
        </w:rPr>
        <w:t xml:space="preserve"> dans le cas où les travailleurs associatifs sont subordonnés</w:t>
      </w:r>
      <w:r w:rsidRPr="00800A77">
        <w:rPr>
          <w:lang w:val="fr-FR"/>
        </w:rPr>
        <w:t>.</w:t>
      </w:r>
      <w:r w:rsidR="00CE7E01" w:rsidRPr="00800A77">
        <w:rPr>
          <w:lang w:val="fr-FR"/>
        </w:rPr>
        <w:t xml:space="preserve"> Il ne justifie pas davantage l’application</w:t>
      </w:r>
      <w:r w:rsidR="00DB6854">
        <w:rPr>
          <w:lang w:val="fr-FR"/>
        </w:rPr>
        <w:t>, aux prestataires</w:t>
      </w:r>
      <w:r w:rsidR="00DB6854" w:rsidRPr="00800A77">
        <w:rPr>
          <w:lang w:val="fr-FR"/>
        </w:rPr>
        <w:t xml:space="preserve"> qui ne sont pas</w:t>
      </w:r>
      <w:r w:rsidR="00DB6854">
        <w:rPr>
          <w:lang w:val="fr-FR"/>
        </w:rPr>
        <w:t xml:space="preserve"> subordonnés,</w:t>
      </w:r>
      <w:r w:rsidR="00CE7E01" w:rsidRPr="00800A77">
        <w:rPr>
          <w:lang w:val="fr-FR"/>
        </w:rPr>
        <w:t xml:space="preserve"> des quelques règles protectrices qu’il a insérées dans la loi.</w:t>
      </w:r>
      <w:r w:rsidRPr="0093687A">
        <w:rPr>
          <w:lang w:val="fr-FR"/>
        </w:rPr>
        <w:t xml:space="preserve"> </w:t>
      </w:r>
      <w:r w:rsidR="00495123">
        <w:rPr>
          <w:lang w:val="fr-FR"/>
        </w:rPr>
        <w:t>N</w:t>
      </w:r>
      <w:r w:rsidRPr="0093687A">
        <w:rPr>
          <w:lang w:val="fr-FR"/>
        </w:rPr>
        <w:t>ous pensons que l’option la plus judicieuse</w:t>
      </w:r>
      <w:r w:rsidR="00495123">
        <w:rPr>
          <w:lang w:val="fr-FR"/>
        </w:rPr>
        <w:t xml:space="preserve"> pour créer un statut spécifique pour les travailleurs associatifs</w:t>
      </w:r>
      <w:r w:rsidRPr="0093687A">
        <w:rPr>
          <w:lang w:val="fr-FR"/>
        </w:rPr>
        <w:t xml:space="preserve"> </w:t>
      </w:r>
      <w:r w:rsidR="00495123">
        <w:rPr>
          <w:lang w:val="fr-FR"/>
        </w:rPr>
        <w:t xml:space="preserve">aurait été de </w:t>
      </w:r>
      <w:r w:rsidRPr="00AC31EE">
        <w:rPr>
          <w:lang w:val="fr-FR"/>
        </w:rPr>
        <w:t>se limite</w:t>
      </w:r>
      <w:r w:rsidR="00495123">
        <w:rPr>
          <w:lang w:val="fr-FR"/>
        </w:rPr>
        <w:t>r</w:t>
      </w:r>
      <w:r w:rsidRPr="00AC31EE">
        <w:rPr>
          <w:lang w:val="fr-FR"/>
        </w:rPr>
        <w:t xml:space="preserve"> à la question de l’élaboration d’un statut fiscal </w:t>
      </w:r>
      <w:r w:rsidR="00343072" w:rsidRPr="00883040">
        <w:rPr>
          <w:lang w:val="fr-FR"/>
        </w:rPr>
        <w:t xml:space="preserve">propre à ces travailleurs. </w:t>
      </w:r>
    </w:p>
    <w:p w14:paraId="4ABD96BB" w14:textId="1C3CF6FD" w:rsidR="0000288D" w:rsidRPr="000842DD" w:rsidRDefault="0000288D" w:rsidP="00474AC4">
      <w:pPr>
        <w:jc w:val="both"/>
        <w:rPr>
          <w:lang w:val="fr-FR"/>
        </w:rPr>
      </w:pPr>
      <w:r>
        <w:rPr>
          <w:lang w:val="fr-FR"/>
        </w:rPr>
        <w:tab/>
      </w:r>
      <w:r w:rsidR="00B84DA4">
        <w:rPr>
          <w:lang w:val="fr-FR"/>
        </w:rPr>
        <w:t xml:space="preserve">Cette loi maintient l’existence en doit </w:t>
      </w:r>
      <w:r>
        <w:rPr>
          <w:lang w:val="fr-FR"/>
        </w:rPr>
        <w:t>belge</w:t>
      </w:r>
      <w:r w:rsidR="00F723EF">
        <w:rPr>
          <w:lang w:val="fr-FR"/>
        </w:rPr>
        <w:t>,</w:t>
      </w:r>
      <w:r>
        <w:rPr>
          <w:lang w:val="fr-FR"/>
        </w:rPr>
        <w:t xml:space="preserve"> </w:t>
      </w:r>
      <w:r w:rsidR="00B07256">
        <w:rPr>
          <w:lang w:val="fr-FR"/>
        </w:rPr>
        <w:t>pour certains travailleurs</w:t>
      </w:r>
      <w:r w:rsidR="00F723EF">
        <w:rPr>
          <w:lang w:val="fr-FR"/>
        </w:rPr>
        <w:t>,</w:t>
      </w:r>
      <w:r w:rsidR="00B84DA4">
        <w:rPr>
          <w:lang w:val="fr-FR"/>
        </w:rPr>
        <w:t xml:space="preserve"> d’</w:t>
      </w:r>
      <w:r>
        <w:rPr>
          <w:lang w:val="fr-FR"/>
        </w:rPr>
        <w:t xml:space="preserve">un </w:t>
      </w:r>
      <w:r w:rsidR="00B07256">
        <w:rPr>
          <w:lang w:val="fr-FR"/>
        </w:rPr>
        <w:t xml:space="preserve">statut </w:t>
      </w:r>
      <w:r>
        <w:rPr>
          <w:lang w:val="fr-FR"/>
        </w:rPr>
        <w:t>distinct</w:t>
      </w:r>
      <w:r w:rsidR="00545B02">
        <w:rPr>
          <w:lang w:val="fr-FR"/>
        </w:rPr>
        <w:t xml:space="preserve"> de celui du travail salarié</w:t>
      </w:r>
      <w:r w:rsidR="003B20FF">
        <w:rPr>
          <w:lang w:val="fr-FR"/>
        </w:rPr>
        <w:t xml:space="preserve"> (entendu dans toutes ses variantes)</w:t>
      </w:r>
      <w:r w:rsidR="00B960EC">
        <w:rPr>
          <w:lang w:val="fr-FR"/>
        </w:rPr>
        <w:t>,</w:t>
      </w:r>
      <w:r w:rsidR="00545B02">
        <w:rPr>
          <w:lang w:val="fr-FR"/>
        </w:rPr>
        <w:t xml:space="preserve"> de celui du travail indépendant</w:t>
      </w:r>
      <w:r w:rsidR="00B960EC">
        <w:rPr>
          <w:lang w:val="fr-FR"/>
        </w:rPr>
        <w:t>, mais également du volontariat</w:t>
      </w:r>
      <w:r w:rsidR="00B84DA4">
        <w:rPr>
          <w:lang w:val="fr-FR"/>
        </w:rPr>
        <w:t>, et ce du moins jusqu’au 31 décembre 202</w:t>
      </w:r>
      <w:r w:rsidR="000C3C79">
        <w:rPr>
          <w:lang w:val="fr-FR"/>
        </w:rPr>
        <w:t>1</w:t>
      </w:r>
      <w:r w:rsidR="00AE7356">
        <w:rPr>
          <w:lang w:val="fr-FR"/>
        </w:rPr>
        <w:t xml:space="preserve">. </w:t>
      </w:r>
    </w:p>
    <w:sectPr w:rsidR="0000288D" w:rsidRPr="000842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26AAF8" w14:textId="77777777" w:rsidR="0008624D" w:rsidRDefault="0008624D" w:rsidP="00474AC4">
      <w:pPr>
        <w:spacing w:after="0" w:line="240" w:lineRule="auto"/>
      </w:pPr>
      <w:r>
        <w:separator/>
      </w:r>
    </w:p>
  </w:endnote>
  <w:endnote w:type="continuationSeparator" w:id="0">
    <w:p w14:paraId="22D03AF2" w14:textId="77777777" w:rsidR="0008624D" w:rsidRDefault="0008624D" w:rsidP="00474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6674571"/>
      <w:docPartObj>
        <w:docPartGallery w:val="Page Numbers (Bottom of Page)"/>
        <w:docPartUnique/>
      </w:docPartObj>
    </w:sdtPr>
    <w:sdtEndPr/>
    <w:sdtContent>
      <w:p w14:paraId="39800B31" w14:textId="0A4EE1B9" w:rsidR="00F64DDC" w:rsidRDefault="00F64DDC">
        <w:pPr>
          <w:pStyle w:val="Pieddepage"/>
          <w:jc w:val="right"/>
        </w:pPr>
        <w:r>
          <w:fldChar w:fldCharType="begin"/>
        </w:r>
        <w:r>
          <w:instrText>PAGE   \* MERGEFORMAT</w:instrText>
        </w:r>
        <w:r>
          <w:fldChar w:fldCharType="separate"/>
        </w:r>
        <w:r w:rsidR="00CA6D4D" w:rsidRPr="00CA6D4D">
          <w:rPr>
            <w:noProof/>
            <w:lang w:val="fr-FR"/>
          </w:rPr>
          <w:t>2</w:t>
        </w:r>
        <w:r>
          <w:fldChar w:fldCharType="end"/>
        </w:r>
      </w:p>
    </w:sdtContent>
  </w:sdt>
  <w:p w14:paraId="003A2EFF" w14:textId="77777777" w:rsidR="00F64DDC" w:rsidRDefault="00F64DDC">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8FCE5" w14:textId="77777777" w:rsidR="0008624D" w:rsidRDefault="0008624D" w:rsidP="00474AC4">
      <w:pPr>
        <w:spacing w:after="0" w:line="240" w:lineRule="auto"/>
      </w:pPr>
      <w:r>
        <w:separator/>
      </w:r>
    </w:p>
  </w:footnote>
  <w:footnote w:type="continuationSeparator" w:id="0">
    <w:p w14:paraId="198B8B26" w14:textId="77777777" w:rsidR="0008624D" w:rsidRDefault="0008624D" w:rsidP="00474AC4">
      <w:pPr>
        <w:spacing w:after="0" w:line="240" w:lineRule="auto"/>
      </w:pPr>
      <w:r>
        <w:continuationSeparator/>
      </w:r>
    </w:p>
  </w:footnote>
  <w:footnote w:id="1">
    <w:p w14:paraId="4BED78BA" w14:textId="77777777" w:rsidR="00F64DDC" w:rsidRPr="008406A6" w:rsidRDefault="00F64DDC" w:rsidP="00880183">
      <w:pPr>
        <w:pStyle w:val="Notedebasdepage"/>
        <w:jc w:val="both"/>
        <w:rPr>
          <w:lang w:val="fr-FR"/>
        </w:rPr>
      </w:pPr>
      <w:bookmarkStart w:id="0" w:name="_GoBack"/>
      <w:r>
        <w:rPr>
          <w:rStyle w:val="Appelnotedebasdep"/>
        </w:rPr>
        <w:footnoteRef/>
      </w:r>
      <w:r>
        <w:t xml:space="preserve"> A</w:t>
      </w:r>
      <w:r w:rsidRPr="008406A6">
        <w:rPr>
          <w:lang w:val="fr-FR"/>
        </w:rPr>
        <w:t>spirant du</w:t>
      </w:r>
      <w:r>
        <w:rPr>
          <w:lang w:val="fr-FR"/>
        </w:rPr>
        <w:t xml:space="preserve"> F.R.S.-</w:t>
      </w:r>
      <w:r w:rsidRPr="008406A6">
        <w:rPr>
          <w:lang w:val="fr-FR"/>
        </w:rPr>
        <w:t xml:space="preserve"> F</w:t>
      </w:r>
      <w:r>
        <w:rPr>
          <w:lang w:val="fr-FR"/>
        </w:rPr>
        <w:t>.</w:t>
      </w:r>
      <w:r w:rsidRPr="008406A6">
        <w:rPr>
          <w:lang w:val="fr-FR"/>
        </w:rPr>
        <w:t>N</w:t>
      </w:r>
      <w:r>
        <w:rPr>
          <w:lang w:val="fr-FR"/>
        </w:rPr>
        <w:t>.</w:t>
      </w:r>
      <w:r w:rsidRPr="008406A6">
        <w:rPr>
          <w:lang w:val="fr-FR"/>
        </w:rPr>
        <w:t>R</w:t>
      </w:r>
      <w:r>
        <w:rPr>
          <w:lang w:val="fr-FR"/>
        </w:rPr>
        <w:t>.</w:t>
      </w:r>
      <w:r w:rsidRPr="008406A6">
        <w:rPr>
          <w:lang w:val="fr-FR"/>
        </w:rPr>
        <w:t>S</w:t>
      </w:r>
      <w:r>
        <w:rPr>
          <w:lang w:val="fr-FR"/>
        </w:rPr>
        <w:t xml:space="preserve">. à l’Université de Liège. </w:t>
      </w:r>
    </w:p>
  </w:footnote>
  <w:footnote w:id="2">
    <w:p w14:paraId="703D65CA" w14:textId="77777777" w:rsidR="00F64DDC" w:rsidRPr="00C4424B" w:rsidRDefault="00F64DDC" w:rsidP="00880183">
      <w:pPr>
        <w:pStyle w:val="Notedebasdepage"/>
        <w:jc w:val="both"/>
      </w:pPr>
      <w:r>
        <w:rPr>
          <w:rStyle w:val="Appelnotedebasdep"/>
        </w:rPr>
        <w:footnoteRef/>
      </w:r>
      <w:r>
        <w:t xml:space="preserve"> Loi du 18 juillet 2018 </w:t>
      </w:r>
      <w:r w:rsidRPr="00C4424B">
        <w:t>relative à la relance économique et au renforcement de la cohésion sociale</w:t>
      </w:r>
      <w:r>
        <w:t xml:space="preserve">, </w:t>
      </w:r>
      <w:r w:rsidRPr="00C4424B">
        <w:rPr>
          <w:i/>
        </w:rPr>
        <w:t>M.B</w:t>
      </w:r>
      <w:r>
        <w:t>., 26 juillet 2018.</w:t>
      </w:r>
    </w:p>
  </w:footnote>
  <w:footnote w:id="3">
    <w:p w14:paraId="7E76D7A3" w14:textId="77777777" w:rsidR="00F64DDC" w:rsidRPr="00C4424B" w:rsidRDefault="00F64DDC" w:rsidP="00880183">
      <w:pPr>
        <w:pStyle w:val="Notedebasdepage"/>
        <w:jc w:val="both"/>
        <w:rPr>
          <w:lang w:val="fr-FR"/>
        </w:rPr>
      </w:pPr>
      <w:r>
        <w:rPr>
          <w:rStyle w:val="Appelnotedebasdep"/>
        </w:rPr>
        <w:footnoteRef/>
      </w:r>
      <w:r>
        <w:t xml:space="preserve"> </w:t>
      </w:r>
      <w:r w:rsidRPr="001B17F4">
        <w:t>Projet de loi relatif à la relance économique et au renf</w:t>
      </w:r>
      <w:r>
        <w:t xml:space="preserve">orcement de la cohésion sociale, </w:t>
      </w:r>
      <w:r w:rsidRPr="005B6FBA">
        <w:rPr>
          <w:i/>
        </w:rPr>
        <w:t xml:space="preserve">Doc. parl., </w:t>
      </w:r>
      <w:r w:rsidRPr="00902B55">
        <w:t>Chambre</w:t>
      </w:r>
      <w:r>
        <w:t>, 2017-2018, n°</w:t>
      </w:r>
      <w:r w:rsidRPr="001B17F4">
        <w:t xml:space="preserve"> 54</w:t>
      </w:r>
      <w:r>
        <w:t>-</w:t>
      </w:r>
      <w:r w:rsidRPr="001B17F4">
        <w:t>2839</w:t>
      </w:r>
      <w:r>
        <w:t>.</w:t>
      </w:r>
    </w:p>
  </w:footnote>
  <w:footnote w:id="4">
    <w:p w14:paraId="303B7FBA" w14:textId="55B7C80C" w:rsidR="00F64DDC" w:rsidRPr="00900084" w:rsidRDefault="00F64DDC" w:rsidP="00880183">
      <w:pPr>
        <w:pStyle w:val="Notedebasdepage"/>
        <w:jc w:val="both"/>
        <w:rPr>
          <w:lang w:val="fr-FR"/>
        </w:rPr>
      </w:pPr>
      <w:r>
        <w:rPr>
          <w:rStyle w:val="Appelnotedebasdep"/>
        </w:rPr>
        <w:footnoteRef/>
      </w:r>
      <w:r>
        <w:t xml:space="preserve"> </w:t>
      </w:r>
      <w:r>
        <w:rPr>
          <w:lang w:val="fr-FR"/>
        </w:rPr>
        <w:t xml:space="preserve">C.C., 23 avril 2020, n° 53/2020, </w:t>
      </w:r>
      <w:r w:rsidRPr="00F6374E">
        <w:rPr>
          <w:i/>
          <w:lang w:val="fr-FR"/>
        </w:rPr>
        <w:t>J.T.T</w:t>
      </w:r>
      <w:r>
        <w:rPr>
          <w:lang w:val="fr-FR"/>
        </w:rPr>
        <w:t>., 2020, p. 517. Voy. également</w:t>
      </w:r>
      <w:r w:rsidR="00C237D1">
        <w:rPr>
          <w:lang w:val="fr-FR"/>
        </w:rPr>
        <w:t>, au sujet de cet arrêt,</w:t>
      </w:r>
      <w:r>
        <w:rPr>
          <w:lang w:val="fr-FR"/>
        </w:rPr>
        <w:fldChar w:fldCharType="begin"/>
      </w:r>
      <w:r>
        <w:rPr>
          <w:lang w:val="fr-FR"/>
        </w:rPr>
        <w:instrText xml:space="preserve"> ADDIN ZOTERO_ITEM CSL_CITATION {"citationID":"EYfPlDk2","properties":{"formattedCitation":"S. {\\scaps Ghislain} et M. {\\scaps Verwilghen}, \\uc0\\u171{}\\uc0\\u160{}Le statut social des travailleurs de plateforme-premi\\uc0\\u232{}re partie\\uc0\\u160{}\\uc0\\u187{}, {\\i{}J.T.T.}, 2020, pp. 538\\uc0\\u8209{}541.","plainCitation":"S. Ghislain et M. Verwilghen, « Le statut social des travailleurs de plateforme-première partie », J.T.T., 2020, pp. 538</w:instrText>
      </w:r>
      <w:r>
        <w:rPr>
          <w:rFonts w:ascii="Cambria Math" w:hAnsi="Cambria Math" w:cs="Cambria Math"/>
          <w:lang w:val="fr-FR"/>
        </w:rPr>
        <w:instrText>‑</w:instrText>
      </w:r>
      <w:r>
        <w:rPr>
          <w:lang w:val="fr-FR"/>
        </w:rPr>
        <w:instrText xml:space="preserve">541.","noteIndex":4},"citationItems":[{"id":603,"uris":["http://zotero.org/users/local/0X1c0osY/items/5T3VIQE7"],"uri":["http://zotero.org/users/local/0X1c0osY/items/5T3VIQE7"],"itemData":{"id":603,"type":"article-newspaper","container-title":"J.T.T.","title":"Le statut social des travailleurs de plateforme-première partie","author":[{"family":"Ghislain","given":"S."},{"family":"Verwilghen","given":"M."}],"issued":{"date-parts":[["2020"]]}},"locator":"538-541"}],"schema":"https://github.com/citation-style-language/schema/raw/master/csl-citation.json"} </w:instrText>
      </w:r>
      <w:r>
        <w:rPr>
          <w:lang w:val="fr-FR"/>
        </w:rPr>
        <w:fldChar w:fldCharType="separate"/>
      </w:r>
      <w:r w:rsidRPr="00306632">
        <w:rPr>
          <w:rFonts w:ascii="Calibri" w:hAnsi="Calibri" w:cs="Calibri"/>
          <w:szCs w:val="24"/>
        </w:rPr>
        <w:t xml:space="preserve">S. </w:t>
      </w:r>
      <w:r w:rsidRPr="00306632">
        <w:rPr>
          <w:rFonts w:ascii="Calibri" w:hAnsi="Calibri" w:cs="Calibri"/>
          <w:smallCaps/>
          <w:szCs w:val="24"/>
        </w:rPr>
        <w:t>Ghislain</w:t>
      </w:r>
      <w:r w:rsidRPr="00306632">
        <w:rPr>
          <w:rFonts w:ascii="Calibri" w:hAnsi="Calibri" w:cs="Calibri"/>
          <w:szCs w:val="24"/>
        </w:rPr>
        <w:t xml:space="preserve"> et M. </w:t>
      </w:r>
      <w:r w:rsidRPr="00306632">
        <w:rPr>
          <w:rFonts w:ascii="Calibri" w:hAnsi="Calibri" w:cs="Calibri"/>
          <w:smallCaps/>
          <w:szCs w:val="24"/>
        </w:rPr>
        <w:t>Verwilghen</w:t>
      </w:r>
      <w:r w:rsidRPr="00306632">
        <w:rPr>
          <w:rFonts w:ascii="Calibri" w:hAnsi="Calibri" w:cs="Calibri"/>
          <w:szCs w:val="24"/>
        </w:rPr>
        <w:t xml:space="preserve">, « Le statut social des travailleurs de plateforme-première partie », </w:t>
      </w:r>
      <w:r w:rsidRPr="00306632">
        <w:rPr>
          <w:rFonts w:ascii="Calibri" w:hAnsi="Calibri" w:cs="Calibri"/>
          <w:i/>
          <w:iCs/>
          <w:szCs w:val="24"/>
        </w:rPr>
        <w:t>J.T.T.</w:t>
      </w:r>
      <w:r w:rsidRPr="00306632">
        <w:rPr>
          <w:rFonts w:ascii="Calibri" w:hAnsi="Calibri" w:cs="Calibri"/>
          <w:szCs w:val="24"/>
        </w:rPr>
        <w:t>, 2020, pp. 538‑541.</w:t>
      </w:r>
      <w:r>
        <w:rPr>
          <w:lang w:val="fr-FR"/>
        </w:rPr>
        <w:fldChar w:fldCharType="end"/>
      </w:r>
    </w:p>
  </w:footnote>
  <w:footnote w:id="5">
    <w:p w14:paraId="759FD19E" w14:textId="77777777" w:rsidR="00F64DDC" w:rsidRPr="006067C6" w:rsidRDefault="00F64DDC" w:rsidP="00880183">
      <w:pPr>
        <w:pStyle w:val="Notedebasdepage"/>
        <w:jc w:val="both"/>
      </w:pPr>
      <w:r>
        <w:rPr>
          <w:rStyle w:val="Appelnotedebasdep"/>
        </w:rPr>
        <w:footnoteRef/>
      </w:r>
      <w:r>
        <w:t xml:space="preserve"> Loi du 24 décembre 2020 relative au travail associatif, </w:t>
      </w:r>
      <w:r w:rsidRPr="00126EF3">
        <w:rPr>
          <w:i/>
        </w:rPr>
        <w:t>M.B</w:t>
      </w:r>
      <w:r>
        <w:t>., 31 décembre 2020.</w:t>
      </w:r>
    </w:p>
  </w:footnote>
  <w:footnote w:id="6">
    <w:p w14:paraId="0F398C71" w14:textId="77777777" w:rsidR="00F64DDC" w:rsidRPr="00900084" w:rsidRDefault="00F64DDC" w:rsidP="00880183">
      <w:pPr>
        <w:pStyle w:val="Notedebasdepage"/>
        <w:jc w:val="both"/>
        <w:rPr>
          <w:lang w:val="fr-FR"/>
        </w:rPr>
      </w:pPr>
      <w:r>
        <w:rPr>
          <w:rStyle w:val="Appelnotedebasdep"/>
        </w:rPr>
        <w:footnoteRef/>
      </w:r>
      <w:r>
        <w:t xml:space="preserve"> </w:t>
      </w:r>
      <w:r>
        <w:rPr>
          <w:lang w:val="fr-FR"/>
        </w:rPr>
        <w:t xml:space="preserve">Loi du 3 juillet 2005 relative au droit des volontaires, </w:t>
      </w:r>
      <w:r w:rsidRPr="00474AC4">
        <w:rPr>
          <w:i/>
          <w:lang w:val="fr-FR"/>
        </w:rPr>
        <w:t>M.B.</w:t>
      </w:r>
      <w:r>
        <w:rPr>
          <w:lang w:val="fr-FR"/>
        </w:rPr>
        <w:t>, 28 août 2005.</w:t>
      </w:r>
    </w:p>
  </w:footnote>
  <w:footnote w:id="7">
    <w:p w14:paraId="2DCD9036" w14:textId="77777777" w:rsidR="00F64DDC" w:rsidRPr="00DE023E" w:rsidRDefault="00F64DDC" w:rsidP="00880183">
      <w:pPr>
        <w:pStyle w:val="Notedebasdepage"/>
        <w:jc w:val="both"/>
      </w:pPr>
      <w:r>
        <w:rPr>
          <w:rStyle w:val="Appelnotedebasdep"/>
        </w:rPr>
        <w:footnoteRef/>
      </w:r>
      <w:r w:rsidRPr="00DE023E">
        <w:t xml:space="preserve"> </w:t>
      </w:r>
      <w:r>
        <w:fldChar w:fldCharType="begin"/>
      </w:r>
      <w:r>
        <w:instrText xml:space="preserve"> ADDIN ZOTERO_ITEM CSL_CITATION {"citationID":"leDxIgfU","properties":{"formattedCitation":"D. {\\scaps Dumont} et P. {\\scaps Claes}, {\\i{}Le nouveau statut des b\\uc0\\u233{}n\\uc0\\u233{}voles - Commentaire de la loi du 3 juillet 2005 relative aux droits des volontaires et r\\uc0\\u233{}flexions sur le droit social et la gratuit\\uc0\\u233{}}, Bruxelles, Larcier, 2006, p. 38\\uc0\\u160{}; D. {\\scaps Fr\\uc0\\u232{}re}, \\uc0\\u171{}\\uc0\\u160{}La loi du 3 juillet 1978 relative au droit des volontaires\\uc0\\u160{}\\uc0\\u187{}, {\\i{}in} J. {\\scaps Clesse} et F. {\\scaps K\\uc0\\u233{}fer} (\\uc0\\u233{}ds.), {\\i{}Questions de droit social}, C.U.P., n\\uc0\\u176{} 94, Li\\uc0\\u232{}ge, Anth\\uc0\\u233{}mis, 2007, p. 110.","plainCitation":"D. Dumont et P. Claes, Le nouveau statut des bénévoles - Commentaire de la loi du 3 juillet 2005 relative aux droits des volontaires et réflexions sur le droit social et la gratuité, Bruxelles, Larcier, 2006, p. 38 ; D. Frère, « La loi du 3 juillet 1978 relative au droit des volontaires », in J. Clesse et F. Kéfer (éds.), Questions de droit social, C.U.P., n° 94, Liège, Anthémis, 2007, p. 110.","noteIndex":7},"citationItems":[{"id":501,"uris":["http://zotero.org/users/local/0X1c0osY/items/74FYFGF6"],"uri":["http://zotero.org/users/local/0X1c0osY/items/74FYFGF6"],"itemData":{"id":501,"type":"book","event-place":"Bruxelles","publisher":"Larcier","publisher-place":"Bruxelles","title":"Le nouveau statut des bénévoles - Commentaire de la loi du 3 juillet 2005 relative aux droits des volontaires et réflexions sur le droit social et la gratuité","author":[{"family":"Dumont","given":"Daniel"},{"family":"Claes","given":"Pauline"}],"issued":{"date-parts":[["2006"]]}},"locator":"38"},{"id":515,"uris":["http://zotero.org/users/local/0X1c0osY/items/SITL4TAZ"],"uri":["http://zotero.org/users/local/0X1c0osY/items/SITL4TAZ"],"itemData":{"id":515,"type":"chapter","collection-number":"94","collection-title":"C.U.P.","container-title":"Questions de droit social","event-place":"Liège","publisher":"Anthémis","publisher-place":"Liège","title":"La loi du 3 juillet 1978 relative au droit des volontaires","author":[{"family":"Frère","given":"Damien"}],"editor":[{"family":"Clesse","given":"Jacques"},{"family":"Kéfer","given":"Fabienne"}],"issued":{"date-parts":[["2007"]]}},"locator":"110"}],"schema":"https://github.com/citation-style-language/schema/raw/master/csl-citation.json"} </w:instrText>
      </w:r>
      <w:r>
        <w:fldChar w:fldCharType="separate"/>
      </w:r>
      <w:r w:rsidRPr="00A84A99">
        <w:rPr>
          <w:rFonts w:ascii="Calibri" w:hAnsi="Calibri" w:cs="Calibri"/>
          <w:szCs w:val="24"/>
        </w:rPr>
        <w:t xml:space="preserve">D. </w:t>
      </w:r>
      <w:r w:rsidRPr="00A84A99">
        <w:rPr>
          <w:rFonts w:ascii="Calibri" w:hAnsi="Calibri" w:cs="Calibri"/>
          <w:smallCaps/>
          <w:szCs w:val="24"/>
        </w:rPr>
        <w:t>Dumont</w:t>
      </w:r>
      <w:r w:rsidRPr="00A84A99">
        <w:rPr>
          <w:rFonts w:ascii="Calibri" w:hAnsi="Calibri" w:cs="Calibri"/>
          <w:szCs w:val="24"/>
        </w:rPr>
        <w:t xml:space="preserve"> et P. </w:t>
      </w:r>
      <w:r w:rsidRPr="00A84A99">
        <w:rPr>
          <w:rFonts w:ascii="Calibri" w:hAnsi="Calibri" w:cs="Calibri"/>
          <w:smallCaps/>
          <w:szCs w:val="24"/>
        </w:rPr>
        <w:t>Claes</w:t>
      </w:r>
      <w:r w:rsidRPr="00A84A99">
        <w:rPr>
          <w:rFonts w:ascii="Calibri" w:hAnsi="Calibri" w:cs="Calibri"/>
          <w:szCs w:val="24"/>
        </w:rPr>
        <w:t xml:space="preserve">, </w:t>
      </w:r>
      <w:r w:rsidRPr="00A84A99">
        <w:rPr>
          <w:rFonts w:ascii="Calibri" w:hAnsi="Calibri" w:cs="Calibri"/>
          <w:i/>
          <w:iCs/>
          <w:szCs w:val="24"/>
        </w:rPr>
        <w:t>Le nouveau statut des bénévoles - Commentaire de la loi du 3 juillet 2005 relative aux droits des volontaires et réflexions sur le droit social et la gratuité</w:t>
      </w:r>
      <w:r w:rsidRPr="00A84A99">
        <w:rPr>
          <w:rFonts w:ascii="Calibri" w:hAnsi="Calibri" w:cs="Calibri"/>
          <w:szCs w:val="24"/>
        </w:rPr>
        <w:t xml:space="preserve">, Bruxelles, Larcier, 2006, p. 38 ; D. </w:t>
      </w:r>
      <w:r w:rsidRPr="00A84A99">
        <w:rPr>
          <w:rFonts w:ascii="Calibri" w:hAnsi="Calibri" w:cs="Calibri"/>
          <w:smallCaps/>
          <w:szCs w:val="24"/>
        </w:rPr>
        <w:t>Frère</w:t>
      </w:r>
      <w:r w:rsidRPr="00A84A99">
        <w:rPr>
          <w:rFonts w:ascii="Calibri" w:hAnsi="Calibri" w:cs="Calibri"/>
          <w:szCs w:val="24"/>
        </w:rPr>
        <w:t xml:space="preserve">, « La loi du 3 juillet 1978 relative au droit des volontaires », </w:t>
      </w:r>
      <w:r w:rsidRPr="00A84A99">
        <w:rPr>
          <w:rFonts w:ascii="Calibri" w:hAnsi="Calibri" w:cs="Calibri"/>
          <w:i/>
          <w:iCs/>
          <w:szCs w:val="24"/>
        </w:rPr>
        <w:t>in</w:t>
      </w:r>
      <w:r w:rsidRPr="00A84A99">
        <w:rPr>
          <w:rFonts w:ascii="Calibri" w:hAnsi="Calibri" w:cs="Calibri"/>
          <w:szCs w:val="24"/>
        </w:rPr>
        <w:t xml:space="preserve"> J. </w:t>
      </w:r>
      <w:r w:rsidRPr="00A84A99">
        <w:rPr>
          <w:rFonts w:ascii="Calibri" w:hAnsi="Calibri" w:cs="Calibri"/>
          <w:smallCaps/>
          <w:szCs w:val="24"/>
        </w:rPr>
        <w:t>Clesse</w:t>
      </w:r>
      <w:r w:rsidRPr="00A84A99">
        <w:rPr>
          <w:rFonts w:ascii="Calibri" w:hAnsi="Calibri" w:cs="Calibri"/>
          <w:szCs w:val="24"/>
        </w:rPr>
        <w:t xml:space="preserve"> et F. </w:t>
      </w:r>
      <w:r w:rsidRPr="00A84A99">
        <w:rPr>
          <w:rFonts w:ascii="Calibri" w:hAnsi="Calibri" w:cs="Calibri"/>
          <w:smallCaps/>
          <w:szCs w:val="24"/>
        </w:rPr>
        <w:t>Kéfer</w:t>
      </w:r>
      <w:r w:rsidRPr="00A84A99">
        <w:rPr>
          <w:rFonts w:ascii="Calibri" w:hAnsi="Calibri" w:cs="Calibri"/>
          <w:szCs w:val="24"/>
        </w:rPr>
        <w:t xml:space="preserve"> (éds.), </w:t>
      </w:r>
      <w:r w:rsidRPr="00A84A99">
        <w:rPr>
          <w:rFonts w:ascii="Calibri" w:hAnsi="Calibri" w:cs="Calibri"/>
          <w:i/>
          <w:iCs/>
          <w:szCs w:val="24"/>
        </w:rPr>
        <w:t>Questions de droit social</w:t>
      </w:r>
      <w:r w:rsidRPr="00A84A99">
        <w:rPr>
          <w:rFonts w:ascii="Calibri" w:hAnsi="Calibri" w:cs="Calibri"/>
          <w:szCs w:val="24"/>
        </w:rPr>
        <w:t>, C.U.P., n° 94, Liège, Anthémis, 2007, p. 110.</w:t>
      </w:r>
      <w:r>
        <w:fldChar w:fldCharType="end"/>
      </w:r>
    </w:p>
  </w:footnote>
  <w:footnote w:id="8">
    <w:p w14:paraId="42223432" w14:textId="77777777" w:rsidR="00F64DDC" w:rsidRPr="00FC100F" w:rsidRDefault="00F64DDC" w:rsidP="00880183">
      <w:pPr>
        <w:pStyle w:val="Notedebasdepage"/>
        <w:jc w:val="both"/>
        <w:rPr>
          <w:lang w:val="fr-FR"/>
        </w:rPr>
      </w:pPr>
      <w:r>
        <w:rPr>
          <w:rStyle w:val="Appelnotedebasdep"/>
        </w:rPr>
        <w:footnoteRef/>
      </w:r>
      <w:r>
        <w:t xml:space="preserve"> </w:t>
      </w:r>
      <w:r>
        <w:fldChar w:fldCharType="begin"/>
      </w:r>
      <w:r>
        <w:instrText xml:space="preserve"> ADDIN ZOTERO_ITEM CSL_CITATION {"citationID":"tJ3Bttew","properties":{"formattedCitation":"D. {\\scaps Dumont} et P. {\\scaps Claes}, {\\i{}Le nouveau statut des b\\uc0\\u233{}n\\uc0\\u233{}voles - Commentaire de la loi du 3 juillet 2005 relative aux droits des volontaires et r\\uc0\\u233{}flexions sur le droit social et la gratuit\\uc0\\u233{}}, {\\i{}op. cit.}, p. 38\\uc0\\u160{}; G. {\\scaps S\\uc0\\u233{}ny}, \\uc0\\u171{}\\uc0\\u160{}Le p\\uc0\\u233{}riple l\\uc0\\u233{}gislatif de la nouvelle loi relative aux volontaires\\uc0\\u160{}\\uc0\\u187{}, {\\i{}in} M. {\\scaps Davagle} (\\uc0\\u233{}d.), {\\i{}La nouvelle l\\uc0\\u233{}gislation relative aux volontaires}, Les Dossiers d\\uc0\\u8217{}ASBL Actualit\\uc0\\u233{}s, n\\uc0\\u176{} 1, Li\\uc0\\u232{}ge, Edipro, 2007, p. 44\\uc0\\u160{}; M. {\\scaps Davagle}, \\uc0\\u171{}\\uc0\\u160{}Le volontariat est-il soluble dans le droit du travail\\uc0\\u8239{}?\\uc0\\u160{}\\uc0\\u187{}, {\\i{}in} S. {\\scaps Gilson} (\\uc0\\u233{}d.), {\\i{}Questions sp\\uc0\\u233{}ciales de droit social: liber amicorum Maurice Henrard}, Waterloo, Wolters Kluwer, 2018, p. 202.","plainCitation":"D. Dumont et P. Claes, Le nouveau statut des bénévoles - Commentaire de la loi du 3 juillet 2005 relative aux droits des volontaires et réflexions sur le droit social et la gratuité, op. cit., p. 38 ; G. Sény, « Le périple législatif de la nouvelle loi relative aux volontaires », in M. Davagle (éd.), La nouvelle législation relative aux volontaires, Les Dossiers d’ASBL Actualités, n° 1, Liège, Edipro, 2007, p. 44 ; M. Davagle, « Le volontariat est-il soluble dans le droit du travail ? », in S. Gilson (éd.), Questions spéciales de droit social: liber amicorum Maurice Henrard, Waterloo, Wolters Kluwer, 2018, p. 202.","noteIndex":8},"citationItems":[{"id":501,"uris":["http://zotero.org/users/local/0X1c0osY/items/74FYFGF6"],"uri":["http://zotero.org/users/local/0X1c0osY/items/74FYFGF6"],"itemData":{"id":501,"type":"book","event-place":"Bruxelles","publisher":"Larcier","publisher-place":"Bruxelles","title":"Le nouveau statut des bénévoles - Commentaire de la loi du 3 juillet 2005 relative aux droits des volontaires et réflexions sur le droit social et la gratuité","author":[{"family":"Dumont","given":"Daniel"},{"family":"Claes","given":"Pauline"}],"issued":{"date-parts":[["2006"]]}},"locator":"38"},{"id":516,"uris":["http://zotero.org/users/local/0X1c0osY/items/JF949BSG"],"uri":["http://zotero.org/users/local/0X1c0osY/items/JF949BSG"],"itemData":{"id":516,"type":"chapter","collection-number":"1","collection-title":"Les Dossiers d'ASBL Actualités","container-title":"La nouvelle législation relative aux volontaires","event-place":"Liège","publisher":"Edipro","publisher-place":"Liège","title":"Le périple législatif de la nouvelle loi relative aux volontaires","author":[{"family":"Sény","given":"Géraldine"}],"editor":[{"family":"Davagle","given":"Michel"}],"issued":{"date-parts":[["2007"]]}},"locator":"44"},{"id":511,"uris":["http://zotero.org/users/local/0X1c0osY/items/G3CW8TQS"],"uri":["http://zotero.org/users/local/0X1c0osY/items/G3CW8TQS"],"itemData":{"id":511,"type":"chapter","container-title":"Questions spéciales de droit social: liber amicorum Maurice Henrard","event-place":"Waterloo","publisher":"Wolters Kluwer","publisher-place":"Waterloo","title":"Le volontariat est-il soluble dans le droit du travail ?","author":[{"family":"Davagle","given":"Michel"}],"editor":[{"family":"Gilson","given":"Steve"}],"issued":{"date-parts":[["2018"]]}},"locator":"202"}],"schema":"https://github.com/citation-style-language/schema/raw/master/csl-citation.json"} </w:instrText>
      </w:r>
      <w:r>
        <w:fldChar w:fldCharType="separate"/>
      </w:r>
      <w:r w:rsidRPr="00C70035">
        <w:rPr>
          <w:rFonts w:ascii="Calibri" w:hAnsi="Calibri" w:cs="Calibri"/>
          <w:szCs w:val="24"/>
        </w:rPr>
        <w:t xml:space="preserve">D. </w:t>
      </w:r>
      <w:r w:rsidRPr="00C70035">
        <w:rPr>
          <w:rFonts w:ascii="Calibri" w:hAnsi="Calibri" w:cs="Calibri"/>
          <w:smallCaps/>
          <w:szCs w:val="24"/>
        </w:rPr>
        <w:t>Dumont</w:t>
      </w:r>
      <w:r w:rsidRPr="00C70035">
        <w:rPr>
          <w:rFonts w:ascii="Calibri" w:hAnsi="Calibri" w:cs="Calibri"/>
          <w:szCs w:val="24"/>
        </w:rPr>
        <w:t xml:space="preserve"> et P. </w:t>
      </w:r>
      <w:r w:rsidRPr="00C70035">
        <w:rPr>
          <w:rFonts w:ascii="Calibri" w:hAnsi="Calibri" w:cs="Calibri"/>
          <w:smallCaps/>
          <w:szCs w:val="24"/>
        </w:rPr>
        <w:t>Claes</w:t>
      </w:r>
      <w:r w:rsidRPr="00C70035">
        <w:rPr>
          <w:rFonts w:ascii="Calibri" w:hAnsi="Calibri" w:cs="Calibri"/>
          <w:szCs w:val="24"/>
        </w:rPr>
        <w:t xml:space="preserve">, </w:t>
      </w:r>
      <w:r w:rsidRPr="00C70035">
        <w:rPr>
          <w:rFonts w:ascii="Calibri" w:hAnsi="Calibri" w:cs="Calibri"/>
          <w:i/>
          <w:iCs/>
          <w:szCs w:val="24"/>
        </w:rPr>
        <w:t>Le nouveau statut des bénévoles - Commentaire de la loi du 3 juillet 2005 relative aux droits des volontaires et réflexions sur le droit social et la gratuité</w:t>
      </w:r>
      <w:r w:rsidRPr="00C70035">
        <w:rPr>
          <w:rFonts w:ascii="Calibri" w:hAnsi="Calibri" w:cs="Calibri"/>
          <w:szCs w:val="24"/>
        </w:rPr>
        <w:t xml:space="preserve">, </w:t>
      </w:r>
      <w:r w:rsidRPr="00C70035">
        <w:rPr>
          <w:rFonts w:ascii="Calibri" w:hAnsi="Calibri" w:cs="Calibri"/>
          <w:i/>
          <w:iCs/>
          <w:szCs w:val="24"/>
        </w:rPr>
        <w:t>op. cit.</w:t>
      </w:r>
      <w:r w:rsidRPr="00C70035">
        <w:rPr>
          <w:rFonts w:ascii="Calibri" w:hAnsi="Calibri" w:cs="Calibri"/>
          <w:szCs w:val="24"/>
        </w:rPr>
        <w:t xml:space="preserve">, p. 38 ; G. </w:t>
      </w:r>
      <w:r w:rsidRPr="00C70035">
        <w:rPr>
          <w:rFonts w:ascii="Calibri" w:hAnsi="Calibri" w:cs="Calibri"/>
          <w:smallCaps/>
          <w:szCs w:val="24"/>
        </w:rPr>
        <w:t>Sény</w:t>
      </w:r>
      <w:r w:rsidRPr="00C70035">
        <w:rPr>
          <w:rFonts w:ascii="Calibri" w:hAnsi="Calibri" w:cs="Calibri"/>
          <w:szCs w:val="24"/>
        </w:rPr>
        <w:t xml:space="preserve">, « Le périple législatif de la nouvelle loi relative aux volontaires », </w:t>
      </w:r>
      <w:r w:rsidRPr="00C70035">
        <w:rPr>
          <w:rFonts w:ascii="Calibri" w:hAnsi="Calibri" w:cs="Calibri"/>
          <w:i/>
          <w:iCs/>
          <w:szCs w:val="24"/>
        </w:rPr>
        <w:t>in</w:t>
      </w:r>
      <w:r w:rsidRPr="00C70035">
        <w:rPr>
          <w:rFonts w:ascii="Calibri" w:hAnsi="Calibri" w:cs="Calibri"/>
          <w:szCs w:val="24"/>
        </w:rPr>
        <w:t xml:space="preserve"> M. </w:t>
      </w:r>
      <w:r w:rsidRPr="00C70035">
        <w:rPr>
          <w:rFonts w:ascii="Calibri" w:hAnsi="Calibri" w:cs="Calibri"/>
          <w:smallCaps/>
          <w:szCs w:val="24"/>
        </w:rPr>
        <w:t>Davagle</w:t>
      </w:r>
      <w:r w:rsidRPr="00C70035">
        <w:rPr>
          <w:rFonts w:ascii="Calibri" w:hAnsi="Calibri" w:cs="Calibri"/>
          <w:szCs w:val="24"/>
        </w:rPr>
        <w:t xml:space="preserve"> (éd.), </w:t>
      </w:r>
      <w:r w:rsidRPr="00C70035">
        <w:rPr>
          <w:rFonts w:ascii="Calibri" w:hAnsi="Calibri" w:cs="Calibri"/>
          <w:i/>
          <w:iCs/>
          <w:szCs w:val="24"/>
        </w:rPr>
        <w:t>La nouvelle législation relative aux volontaires</w:t>
      </w:r>
      <w:r w:rsidRPr="00C70035">
        <w:rPr>
          <w:rFonts w:ascii="Calibri" w:hAnsi="Calibri" w:cs="Calibri"/>
          <w:szCs w:val="24"/>
        </w:rPr>
        <w:t xml:space="preserve">, Les Dossiers d’ASBL Actualités, n° 1, Liège, Edipro, 2007, p. 44 ; M. </w:t>
      </w:r>
      <w:r w:rsidRPr="00C70035">
        <w:rPr>
          <w:rFonts w:ascii="Calibri" w:hAnsi="Calibri" w:cs="Calibri"/>
          <w:smallCaps/>
          <w:szCs w:val="24"/>
        </w:rPr>
        <w:t>Davagle</w:t>
      </w:r>
      <w:r w:rsidRPr="00C70035">
        <w:rPr>
          <w:rFonts w:ascii="Calibri" w:hAnsi="Calibri" w:cs="Calibri"/>
          <w:szCs w:val="24"/>
        </w:rPr>
        <w:t xml:space="preserve">, « Le volontariat est-il soluble dans le droit du travail ? », </w:t>
      </w:r>
      <w:r w:rsidRPr="00C70035">
        <w:rPr>
          <w:rFonts w:ascii="Calibri" w:hAnsi="Calibri" w:cs="Calibri"/>
          <w:i/>
          <w:iCs/>
          <w:szCs w:val="24"/>
        </w:rPr>
        <w:t>in</w:t>
      </w:r>
      <w:r w:rsidRPr="00C70035">
        <w:rPr>
          <w:rFonts w:ascii="Calibri" w:hAnsi="Calibri" w:cs="Calibri"/>
          <w:szCs w:val="24"/>
        </w:rPr>
        <w:t xml:space="preserve"> S. </w:t>
      </w:r>
      <w:r w:rsidRPr="00C70035">
        <w:rPr>
          <w:rFonts w:ascii="Calibri" w:hAnsi="Calibri" w:cs="Calibri"/>
          <w:smallCaps/>
          <w:szCs w:val="24"/>
        </w:rPr>
        <w:t>Gilson</w:t>
      </w:r>
      <w:r w:rsidRPr="00C70035">
        <w:rPr>
          <w:rFonts w:ascii="Calibri" w:hAnsi="Calibri" w:cs="Calibri"/>
          <w:szCs w:val="24"/>
        </w:rPr>
        <w:t xml:space="preserve"> (éd.), </w:t>
      </w:r>
      <w:r w:rsidRPr="00C70035">
        <w:rPr>
          <w:rFonts w:ascii="Calibri" w:hAnsi="Calibri" w:cs="Calibri"/>
          <w:i/>
          <w:iCs/>
          <w:szCs w:val="24"/>
        </w:rPr>
        <w:t>Questions spéciales de droit social: liber amicorum Maurice Henrard</w:t>
      </w:r>
      <w:r w:rsidRPr="00C70035">
        <w:rPr>
          <w:rFonts w:ascii="Calibri" w:hAnsi="Calibri" w:cs="Calibri"/>
          <w:szCs w:val="24"/>
        </w:rPr>
        <w:t>, Waterloo, Wolters Kluwer, 2018, p. 202.</w:t>
      </w:r>
      <w:r>
        <w:fldChar w:fldCharType="end"/>
      </w:r>
    </w:p>
  </w:footnote>
  <w:footnote w:id="9">
    <w:p w14:paraId="35392E11" w14:textId="77777777" w:rsidR="00F64DDC" w:rsidRPr="00242175" w:rsidRDefault="00F64DDC" w:rsidP="00880183">
      <w:pPr>
        <w:pStyle w:val="Notedebasdepage"/>
        <w:jc w:val="both"/>
      </w:pPr>
      <w:r>
        <w:rPr>
          <w:rStyle w:val="Appelnotedebasdep"/>
        </w:rPr>
        <w:footnoteRef/>
      </w:r>
      <w:r w:rsidRPr="00242175">
        <w:t xml:space="preserve"> </w:t>
      </w:r>
      <w:r>
        <w:fldChar w:fldCharType="begin"/>
      </w:r>
      <w:r>
        <w:instrText xml:space="preserve"> ADDIN ZOTERO_ITEM CSL_CITATION {"citationID":"arMsfpJP","properties":{"formattedCitation":"D. {\\scaps Dumont} et P. {\\scaps Claes}, {\\i{}Le nouveau statut des b\\uc0\\u233{}n\\uc0\\u233{}voles - Commentaire de la loi du 3 juillet 2005 relative aux droits des volontaires et r\\uc0\\u233{}flexions sur le droit social et la gratuit\\uc0\\u233{}}, {\\i{}op. cit.}, pp. 90\\uc0\\u8209{}92 et 125\\uc0\\u8209{}129\\uc0\\u160{}; C. {\\scaps Fischer}, \\uc0\\u171{}\\uc0\\u160{}Le remboursement des frais support\\uc0\\u233{}s par les volontaires lors de leurs prestations b\\uc0\\u233{}n\\uc0\\u233{}voles\\uc0\\u160{}\\uc0\\u187{}, {\\i{}in} M. {\\scaps Davagle} (\\uc0\\u233{}d.), {\\i{}La nouvelle l\\uc0\\u233{}gislation relative aux volontaires}, Les Dossiers d\\uc0\\u8217{}ASBL Actualit\\uc0\\u233{}s, n\\uc0\\u176{} 1, Li\\uc0\\u232{}ge, Edipro, 2007, pp. 165\\uc0\\u8209{}185.","plainCitation":"D. Dumont et P. Claes, Le nouveau statut des bénévoles - Commentaire de la loi du 3 juillet 2005 relative aux droits des volontaires et réflexions sur le droit social et la gratuité, op. cit., pp. 90</w:instrText>
      </w:r>
      <w:r>
        <w:rPr>
          <w:rFonts w:ascii="Cambria Math" w:hAnsi="Cambria Math" w:cs="Cambria Math"/>
        </w:rPr>
        <w:instrText>‑</w:instrText>
      </w:r>
      <w:r>
        <w:instrText>92 et 125</w:instrText>
      </w:r>
      <w:r>
        <w:rPr>
          <w:rFonts w:ascii="Cambria Math" w:hAnsi="Cambria Math" w:cs="Cambria Math"/>
        </w:rPr>
        <w:instrText>‑</w:instrText>
      </w:r>
      <w:r>
        <w:instrText>129</w:instrText>
      </w:r>
      <w:r>
        <w:rPr>
          <w:rFonts w:ascii="Calibri" w:hAnsi="Calibri" w:cs="Calibri"/>
        </w:rPr>
        <w:instrText> </w:instrText>
      </w:r>
      <w:r>
        <w:instrText xml:space="preserve">; C. Fischer, </w:instrText>
      </w:r>
      <w:r>
        <w:rPr>
          <w:rFonts w:ascii="Calibri" w:hAnsi="Calibri" w:cs="Calibri"/>
        </w:rPr>
        <w:instrText>« </w:instrText>
      </w:r>
      <w:r>
        <w:instrText>Le remboursement des frais support</w:instrText>
      </w:r>
      <w:r>
        <w:rPr>
          <w:rFonts w:ascii="Calibri" w:hAnsi="Calibri" w:cs="Calibri"/>
        </w:rPr>
        <w:instrText>é</w:instrText>
      </w:r>
      <w:r>
        <w:instrText>s par les volontaires lors de leurs prestations b</w:instrText>
      </w:r>
      <w:r>
        <w:rPr>
          <w:rFonts w:ascii="Calibri" w:hAnsi="Calibri" w:cs="Calibri"/>
        </w:rPr>
        <w:instrText>é</w:instrText>
      </w:r>
      <w:r>
        <w:instrText>n</w:instrText>
      </w:r>
      <w:r>
        <w:rPr>
          <w:rFonts w:ascii="Calibri" w:hAnsi="Calibri" w:cs="Calibri"/>
        </w:rPr>
        <w:instrText>é</w:instrText>
      </w:r>
      <w:r>
        <w:instrText>voles</w:instrText>
      </w:r>
      <w:r>
        <w:rPr>
          <w:rFonts w:ascii="Calibri" w:hAnsi="Calibri" w:cs="Calibri"/>
        </w:rPr>
        <w:instrText> »</w:instrText>
      </w:r>
      <w:r>
        <w:instrText>, in M. Davagle (</w:instrText>
      </w:r>
      <w:r>
        <w:rPr>
          <w:rFonts w:ascii="Calibri" w:hAnsi="Calibri" w:cs="Calibri"/>
        </w:rPr>
        <w:instrText>é</w:instrText>
      </w:r>
      <w:r>
        <w:instrText>d.), La nouvelle l</w:instrText>
      </w:r>
      <w:r>
        <w:rPr>
          <w:rFonts w:ascii="Calibri" w:hAnsi="Calibri" w:cs="Calibri"/>
        </w:rPr>
        <w:instrText>é</w:instrText>
      </w:r>
      <w:r>
        <w:instrText>gislation relative aux volontaires, Les Dossiers d</w:instrText>
      </w:r>
      <w:r>
        <w:rPr>
          <w:rFonts w:ascii="Calibri" w:hAnsi="Calibri" w:cs="Calibri"/>
        </w:rPr>
        <w:instrText>’</w:instrText>
      </w:r>
      <w:r>
        <w:instrText>ASBL Actualités, n° 1, Liège, Edipro, 2007, pp. 165</w:instrText>
      </w:r>
      <w:r>
        <w:rPr>
          <w:rFonts w:ascii="Cambria Math" w:hAnsi="Cambria Math" w:cs="Cambria Math"/>
        </w:rPr>
        <w:instrText>‑</w:instrText>
      </w:r>
      <w:r>
        <w:instrText xml:space="preserve">185.","noteIndex":9},"citationItems":[{"id":501,"uris":["http://zotero.org/users/local/0X1c0osY/items/74FYFGF6"],"uri":["http://zotero.org/users/local/0X1c0osY/items/74FYFGF6"],"itemData":{"id":501,"type":"book","event-place":"Bruxelles","publisher":"Larcier","publisher-place":"Bruxelles","title":"Le nouveau statut des bénévoles - Commentaire de la loi du 3 juillet 2005 relative aux droits des volontaires et réflexions sur le droit social et la gratuité","author":[{"family":"Dumont","given":"Daniel"},{"family":"Claes","given":"Pauline"}],"issued":{"date-parts":[["2006"]]}},"locator":"90-92 et 125-129"},{"id":517,"uris":["http://zotero.org/users/local/0X1c0osY/items/AS666AAK"],"uri":["http://zotero.org/users/local/0X1c0osY/items/AS666AAK"],"itemData":{"id":517,"type":"chapter","collection-number":"1","collection-title":"Les Dossiers d'ASBL Actualités","container-title":"La nouvelle législation relative aux volontaires","event-place":"Liège","publisher":"Edipro","publisher-place":"Liège","title":"Le remboursement des frais supportés par les volontaires lors de leurs prestations bénévoles","author":[{"family":"Fischer","given":"Christian"}],"editor":[{"family":"Davagle","given":"Michel"}],"issued":{"date-parts":[["2007"]]}},"locator":"165-185"}],"schema":"https://github.com/citation-style-language/schema/raw/master/csl-citation.json"} </w:instrText>
      </w:r>
      <w:r>
        <w:fldChar w:fldCharType="separate"/>
      </w:r>
      <w:r w:rsidRPr="001E7D39">
        <w:rPr>
          <w:rFonts w:ascii="Calibri" w:hAnsi="Calibri" w:cs="Calibri"/>
          <w:szCs w:val="24"/>
        </w:rPr>
        <w:t xml:space="preserve">D. </w:t>
      </w:r>
      <w:r w:rsidRPr="001E7D39">
        <w:rPr>
          <w:rFonts w:ascii="Calibri" w:hAnsi="Calibri" w:cs="Calibri"/>
          <w:smallCaps/>
          <w:szCs w:val="24"/>
        </w:rPr>
        <w:t>Dumont</w:t>
      </w:r>
      <w:r w:rsidRPr="001E7D39">
        <w:rPr>
          <w:rFonts w:ascii="Calibri" w:hAnsi="Calibri" w:cs="Calibri"/>
          <w:szCs w:val="24"/>
        </w:rPr>
        <w:t xml:space="preserve"> et P. </w:t>
      </w:r>
      <w:r w:rsidRPr="001E7D39">
        <w:rPr>
          <w:rFonts w:ascii="Calibri" w:hAnsi="Calibri" w:cs="Calibri"/>
          <w:smallCaps/>
          <w:szCs w:val="24"/>
        </w:rPr>
        <w:t>Claes</w:t>
      </w:r>
      <w:r w:rsidRPr="001E7D39">
        <w:rPr>
          <w:rFonts w:ascii="Calibri" w:hAnsi="Calibri" w:cs="Calibri"/>
          <w:szCs w:val="24"/>
        </w:rPr>
        <w:t xml:space="preserve">, </w:t>
      </w:r>
      <w:r w:rsidRPr="001E7D39">
        <w:rPr>
          <w:rFonts w:ascii="Calibri" w:hAnsi="Calibri" w:cs="Calibri"/>
          <w:i/>
          <w:iCs/>
          <w:szCs w:val="24"/>
        </w:rPr>
        <w:t>Le nouveau statut des bénévoles - Commentaire de la loi du 3 juillet 2005 relative aux droits des volontaires et réflexions sur le droit social et la gratuité</w:t>
      </w:r>
      <w:r w:rsidRPr="001E7D39">
        <w:rPr>
          <w:rFonts w:ascii="Calibri" w:hAnsi="Calibri" w:cs="Calibri"/>
          <w:szCs w:val="24"/>
        </w:rPr>
        <w:t xml:space="preserve">, </w:t>
      </w:r>
      <w:r w:rsidRPr="001E7D39">
        <w:rPr>
          <w:rFonts w:ascii="Calibri" w:hAnsi="Calibri" w:cs="Calibri"/>
          <w:i/>
          <w:iCs/>
          <w:szCs w:val="24"/>
        </w:rPr>
        <w:t>op. cit.</w:t>
      </w:r>
      <w:r w:rsidRPr="001E7D39">
        <w:rPr>
          <w:rFonts w:ascii="Calibri" w:hAnsi="Calibri" w:cs="Calibri"/>
          <w:szCs w:val="24"/>
        </w:rPr>
        <w:t xml:space="preserve">, pp. 90‑92 et 125‑129 ; C. </w:t>
      </w:r>
      <w:r w:rsidRPr="001E7D39">
        <w:rPr>
          <w:rFonts w:ascii="Calibri" w:hAnsi="Calibri" w:cs="Calibri"/>
          <w:smallCaps/>
          <w:szCs w:val="24"/>
        </w:rPr>
        <w:t>Fischer</w:t>
      </w:r>
      <w:r w:rsidRPr="001E7D39">
        <w:rPr>
          <w:rFonts w:ascii="Calibri" w:hAnsi="Calibri" w:cs="Calibri"/>
          <w:szCs w:val="24"/>
        </w:rPr>
        <w:t xml:space="preserve">, « Le remboursement des frais supportés par les volontaires lors de leurs prestations bénévoles », </w:t>
      </w:r>
      <w:r w:rsidRPr="001E7D39">
        <w:rPr>
          <w:rFonts w:ascii="Calibri" w:hAnsi="Calibri" w:cs="Calibri"/>
          <w:i/>
          <w:iCs/>
          <w:szCs w:val="24"/>
        </w:rPr>
        <w:t>in</w:t>
      </w:r>
      <w:r w:rsidRPr="001E7D39">
        <w:rPr>
          <w:rFonts w:ascii="Calibri" w:hAnsi="Calibri" w:cs="Calibri"/>
          <w:szCs w:val="24"/>
        </w:rPr>
        <w:t xml:space="preserve"> M. </w:t>
      </w:r>
      <w:r w:rsidRPr="001E7D39">
        <w:rPr>
          <w:rFonts w:ascii="Calibri" w:hAnsi="Calibri" w:cs="Calibri"/>
          <w:smallCaps/>
          <w:szCs w:val="24"/>
        </w:rPr>
        <w:t>Davagle</w:t>
      </w:r>
      <w:r w:rsidRPr="001E7D39">
        <w:rPr>
          <w:rFonts w:ascii="Calibri" w:hAnsi="Calibri" w:cs="Calibri"/>
          <w:szCs w:val="24"/>
        </w:rPr>
        <w:t xml:space="preserve"> (éd.), </w:t>
      </w:r>
      <w:r w:rsidRPr="001E7D39">
        <w:rPr>
          <w:rFonts w:ascii="Calibri" w:hAnsi="Calibri" w:cs="Calibri"/>
          <w:i/>
          <w:iCs/>
          <w:szCs w:val="24"/>
        </w:rPr>
        <w:t>La nouvelle législation relative aux volontaires</w:t>
      </w:r>
      <w:r w:rsidRPr="001E7D39">
        <w:rPr>
          <w:rFonts w:ascii="Calibri" w:hAnsi="Calibri" w:cs="Calibri"/>
          <w:szCs w:val="24"/>
        </w:rPr>
        <w:t>, Les Dossiers d’ASBL Actualités, n° 1, Liège, Edipro, 2007, pp. 165‑185.</w:t>
      </w:r>
      <w:r>
        <w:fldChar w:fldCharType="end"/>
      </w:r>
    </w:p>
  </w:footnote>
  <w:footnote w:id="10">
    <w:p w14:paraId="6DA91C16" w14:textId="77777777" w:rsidR="00F64DDC" w:rsidRPr="003D0CE2" w:rsidRDefault="00F64DDC" w:rsidP="00880183">
      <w:pPr>
        <w:pStyle w:val="Notedebasdepage"/>
        <w:jc w:val="both"/>
      </w:pPr>
      <w:r>
        <w:rPr>
          <w:rStyle w:val="Appelnotedebasdep"/>
        </w:rPr>
        <w:footnoteRef/>
      </w:r>
      <w:r w:rsidRPr="003D0CE2">
        <w:t xml:space="preserve"> Article 10, alinéa 1 de la loi du 3 juillet 2005</w:t>
      </w:r>
      <w:r>
        <w:t>.</w:t>
      </w:r>
    </w:p>
  </w:footnote>
  <w:footnote w:id="11">
    <w:p w14:paraId="0BA77700" w14:textId="77777777" w:rsidR="00F64DDC" w:rsidRPr="003D0CE2" w:rsidRDefault="00F64DDC" w:rsidP="00880183">
      <w:pPr>
        <w:pStyle w:val="Notedebasdepage"/>
        <w:jc w:val="both"/>
      </w:pPr>
      <w:r>
        <w:rPr>
          <w:rStyle w:val="Appelnotedebasdep"/>
        </w:rPr>
        <w:footnoteRef/>
      </w:r>
      <w:r w:rsidRPr="003D0CE2">
        <w:t xml:space="preserve"> Article 10, alinéa 2 de la loi du 3 juillet 2005</w:t>
      </w:r>
      <w:r>
        <w:t>.</w:t>
      </w:r>
    </w:p>
  </w:footnote>
  <w:footnote w:id="12">
    <w:p w14:paraId="328CE9FB" w14:textId="77777777" w:rsidR="00F64DDC" w:rsidRPr="00FC100F" w:rsidRDefault="00F64DDC" w:rsidP="00880183">
      <w:pPr>
        <w:pStyle w:val="Notedebasdepage"/>
        <w:jc w:val="both"/>
      </w:pPr>
      <w:r>
        <w:rPr>
          <w:rStyle w:val="Appelnotedebasdep"/>
        </w:rPr>
        <w:footnoteRef/>
      </w:r>
      <w:r>
        <w:t xml:space="preserve"> Cass., 18 octobre 2010, </w:t>
      </w:r>
      <w:r w:rsidRPr="00FC100F">
        <w:rPr>
          <w:i/>
        </w:rPr>
        <w:t>Pas.</w:t>
      </w:r>
      <w:r>
        <w:t>, 2010, p. 2662.</w:t>
      </w:r>
    </w:p>
  </w:footnote>
  <w:footnote w:id="13">
    <w:p w14:paraId="62F917C0" w14:textId="77777777" w:rsidR="00F64DDC" w:rsidRPr="00BA41EE" w:rsidRDefault="00F64DDC" w:rsidP="00880183">
      <w:pPr>
        <w:pStyle w:val="Notedebasdepage"/>
        <w:jc w:val="both"/>
      </w:pPr>
      <w:r>
        <w:rPr>
          <w:rStyle w:val="Appelnotedebasdep"/>
        </w:rPr>
        <w:footnoteRef/>
      </w:r>
      <w:r>
        <w:t xml:space="preserve"> Cour trav Bruxelles, 16 février 2012, </w:t>
      </w:r>
      <w:r w:rsidRPr="00BA41EE">
        <w:rPr>
          <w:i/>
        </w:rPr>
        <w:t>R.G.,</w:t>
      </w:r>
      <w:r>
        <w:t xml:space="preserve"> n° 2011/AB/124.</w:t>
      </w:r>
    </w:p>
  </w:footnote>
  <w:footnote w:id="14">
    <w:p w14:paraId="09110B3A" w14:textId="77777777" w:rsidR="00F64DDC" w:rsidRPr="00123485" w:rsidRDefault="00F64DDC" w:rsidP="00880183">
      <w:pPr>
        <w:pStyle w:val="Notedebasdepage"/>
        <w:jc w:val="both"/>
        <w:rPr>
          <w:lang w:val="nl-BE"/>
        </w:rPr>
      </w:pPr>
      <w:r>
        <w:rPr>
          <w:rStyle w:val="Appelnotedebasdep"/>
        </w:rPr>
        <w:footnoteRef/>
      </w:r>
      <w:r>
        <w:t xml:space="preserve"> Cass., 10 mars 2014, </w:t>
      </w:r>
      <w:r w:rsidRPr="00BA41EE">
        <w:rPr>
          <w:i/>
        </w:rPr>
        <w:t>Pas</w:t>
      </w:r>
      <w:r w:rsidRPr="00BA41EE">
        <w:t>.</w:t>
      </w:r>
      <w:r>
        <w:t xml:space="preserve">, 2014, p. 664. </w:t>
      </w:r>
      <w:r>
        <w:fldChar w:fldCharType="begin"/>
      </w:r>
      <w:r>
        <w:instrText xml:space="preserve"> ADDIN ZOTERO_ITEM CSL_CITATION {"citationID":"jAWlASe1","properties":{"formattedCitation":"J. {\\scaps Clesse} et R. {\\scaps Linguelet}, \\uc0\\u171{}\\uc0\\u160{}Travail et r\\uc0\\u233{}mun\\uc0\\u233{}ration\\uc0\\u8239{}: \\uc0\\u233{}l\\uc0\\u233{}ments constitutifs du contrat de travail - Commentaire d\\uc0\\u8217{}un arr\\uc0\\u234{}t du 10 mars 2014 de la Cour de Cassation\\uc0\\u160{}\\uc0\\u187{}, {\\i{}in} P. {\\scaps Gosseries} et M. {\\scaps Morsa} (\\uc0\\u233{}ds.), {\\i{}Le droit du travail au XXIe si\\uc0\\u232{}cle\\uc0\\u8239{}: liber amicorum Claude Wantiez}, Bruxelles, Larcier, 2015, p. 447.","plainCitation":"J. Clesse et R. Linguelet, « Travail et rémunération : éléments constitutifs du contrat de travail - Commentaire d’un arrêt du 10 mars 2014 de la Cour de Cassation », in P. Gosseries et M. Morsa (éds.), Le droit du travail au XXIe siècle : liber amicorum Claude Wantiez, Bruxelles, Larcier, 2015, p. 447.","noteIndex":14},"citationItems":[{"id":514,"uris":["http://zotero.org/users/local/0X1c0osY/items/YUM927ME"],"uri":["http://zotero.org/users/local/0X1c0osY/items/YUM927ME"],"itemData":{"id":514,"type":"chapter","container-title":"Le droit du travail au XXIe siècle : liber amicorum Claude Wantiez","event-place":"Bruxelles","publisher":"Larcier","publisher-place":"Bruxelles","title":"Travail et rémunération : éléments constitutifs du contrat de travail - Commentaire d'un arrêt du 10 mars 2014 de la Cour de Cassation","author":[{"family":"Clesse","given":"Jacques"},{"family":"Linguelet","given":"Renaud"}],"editor":[{"family":"Gosseries","given":"P."},{"family":"Morsa","given":"M."}],"issued":{"date-parts":[["2015"]]}},"locator":"447"}],"schema":"https://github.com/citation-style-language/schema/raw/master/csl-citation.json"} </w:instrText>
      </w:r>
      <w:r>
        <w:fldChar w:fldCharType="separate"/>
      </w:r>
      <w:r w:rsidRPr="00826716">
        <w:rPr>
          <w:rFonts w:ascii="Calibri" w:hAnsi="Calibri" w:cs="Times New Roman"/>
          <w:szCs w:val="24"/>
        </w:rPr>
        <w:t xml:space="preserve">J. </w:t>
      </w:r>
      <w:r w:rsidRPr="00826716">
        <w:rPr>
          <w:rFonts w:ascii="Calibri" w:hAnsi="Calibri" w:cs="Times New Roman"/>
          <w:smallCaps/>
          <w:szCs w:val="24"/>
        </w:rPr>
        <w:t>Clesse</w:t>
      </w:r>
      <w:r w:rsidRPr="00826716">
        <w:rPr>
          <w:rFonts w:ascii="Calibri" w:hAnsi="Calibri" w:cs="Times New Roman"/>
          <w:szCs w:val="24"/>
        </w:rPr>
        <w:t xml:space="preserve"> et R. </w:t>
      </w:r>
      <w:r w:rsidRPr="00826716">
        <w:rPr>
          <w:rFonts w:ascii="Calibri" w:hAnsi="Calibri" w:cs="Times New Roman"/>
          <w:smallCaps/>
          <w:szCs w:val="24"/>
        </w:rPr>
        <w:t>Linguelet</w:t>
      </w:r>
      <w:r w:rsidRPr="00826716">
        <w:rPr>
          <w:rFonts w:ascii="Calibri" w:hAnsi="Calibri" w:cs="Times New Roman"/>
          <w:szCs w:val="24"/>
        </w:rPr>
        <w:t xml:space="preserve">, « Travail et rémunération : éléments constitutifs du contrat de travail - Commentaire d’un arrêt du 10 mars 2014 de la Cour de Cassation », </w:t>
      </w:r>
      <w:r w:rsidRPr="00826716">
        <w:rPr>
          <w:rFonts w:ascii="Calibri" w:hAnsi="Calibri" w:cs="Times New Roman"/>
          <w:i/>
          <w:iCs/>
          <w:szCs w:val="24"/>
        </w:rPr>
        <w:t>in</w:t>
      </w:r>
      <w:r w:rsidRPr="00826716">
        <w:rPr>
          <w:rFonts w:ascii="Calibri" w:hAnsi="Calibri" w:cs="Times New Roman"/>
          <w:szCs w:val="24"/>
        </w:rPr>
        <w:t xml:space="preserve"> P. </w:t>
      </w:r>
      <w:r w:rsidRPr="00826716">
        <w:rPr>
          <w:rFonts w:ascii="Calibri" w:hAnsi="Calibri" w:cs="Times New Roman"/>
          <w:smallCaps/>
          <w:szCs w:val="24"/>
        </w:rPr>
        <w:t>Gosseries</w:t>
      </w:r>
      <w:r w:rsidRPr="00826716">
        <w:rPr>
          <w:rFonts w:ascii="Calibri" w:hAnsi="Calibri" w:cs="Times New Roman"/>
          <w:szCs w:val="24"/>
        </w:rPr>
        <w:t xml:space="preserve"> et M. </w:t>
      </w:r>
      <w:r w:rsidRPr="00826716">
        <w:rPr>
          <w:rFonts w:ascii="Calibri" w:hAnsi="Calibri" w:cs="Times New Roman"/>
          <w:smallCaps/>
          <w:szCs w:val="24"/>
        </w:rPr>
        <w:t>Morsa</w:t>
      </w:r>
      <w:r w:rsidRPr="00826716">
        <w:rPr>
          <w:rFonts w:ascii="Calibri" w:hAnsi="Calibri" w:cs="Times New Roman"/>
          <w:szCs w:val="24"/>
        </w:rPr>
        <w:t xml:space="preserve"> (éds.), </w:t>
      </w:r>
      <w:r w:rsidRPr="00826716">
        <w:rPr>
          <w:rFonts w:ascii="Calibri" w:hAnsi="Calibri" w:cs="Times New Roman"/>
          <w:i/>
          <w:iCs/>
          <w:szCs w:val="24"/>
        </w:rPr>
        <w:t>Le droit du travail au XXIe siècle : liber amicorum Claude Wantiez</w:t>
      </w:r>
      <w:r w:rsidRPr="00826716">
        <w:rPr>
          <w:rFonts w:ascii="Calibri" w:hAnsi="Calibri" w:cs="Times New Roman"/>
          <w:szCs w:val="24"/>
        </w:rPr>
        <w:t>, Bruxelles, Larcier, 2015, p. 447.</w:t>
      </w:r>
      <w:r>
        <w:fldChar w:fldCharType="end"/>
      </w:r>
      <w:r w:rsidRPr="00A94B96">
        <w:rPr>
          <w:color w:val="000000" w:themeColor="text1"/>
          <w:lang w:val="fr-FR"/>
        </w:rPr>
        <w:t xml:space="preserve"> </w:t>
      </w:r>
      <w:r w:rsidRPr="003516A4">
        <w:rPr>
          <w:color w:val="000000" w:themeColor="text1"/>
          <w:lang w:val="fr-FR"/>
        </w:rPr>
        <w:t xml:space="preserve">L’arrêt </w:t>
      </w:r>
      <w:r>
        <w:rPr>
          <w:color w:val="000000" w:themeColor="text1"/>
          <w:lang w:val="fr-FR"/>
        </w:rPr>
        <w:t>de la c</w:t>
      </w:r>
      <w:r w:rsidRPr="003516A4">
        <w:rPr>
          <w:color w:val="000000" w:themeColor="text1"/>
          <w:lang w:val="fr-FR"/>
        </w:rPr>
        <w:t>our du trava</w:t>
      </w:r>
      <w:r>
        <w:rPr>
          <w:color w:val="000000" w:themeColor="text1"/>
          <w:lang w:val="fr-FR"/>
        </w:rPr>
        <w:t xml:space="preserve">il de Gand du 21 novembre 2015 </w:t>
      </w:r>
      <w:r w:rsidRPr="003516A4">
        <w:rPr>
          <w:color w:val="000000" w:themeColor="text1"/>
          <w:lang w:val="fr-FR"/>
        </w:rPr>
        <w:t>suit le raisonnement de la Cour de cassation, la simple existence d’une contrepartie sous la forme d’un avantage valorisable en espèces exclut toute forme de volontariat</w:t>
      </w:r>
      <w:r>
        <w:rPr>
          <w:color w:val="000000" w:themeColor="text1"/>
          <w:lang w:val="fr-FR"/>
        </w:rPr>
        <w:t xml:space="preserve">. </w:t>
      </w:r>
      <w:r w:rsidRPr="000670D2">
        <w:rPr>
          <w:color w:val="000000" w:themeColor="text1"/>
          <w:lang w:val="nl-BE"/>
        </w:rPr>
        <w:t xml:space="preserve">Cour. trav. </w:t>
      </w:r>
      <w:r w:rsidRPr="00123485">
        <w:rPr>
          <w:color w:val="000000" w:themeColor="text1"/>
          <w:lang w:val="nl-BE"/>
        </w:rPr>
        <w:t>Gand, 21 septembre 2015, J.T.T., 2016, p. 138.</w:t>
      </w:r>
    </w:p>
  </w:footnote>
  <w:footnote w:id="15">
    <w:p w14:paraId="6DE867D1" w14:textId="77777777" w:rsidR="00F64DDC" w:rsidRPr="003410C6" w:rsidRDefault="00F64DDC" w:rsidP="00880183">
      <w:pPr>
        <w:pStyle w:val="Notedebasdepage"/>
        <w:jc w:val="both"/>
        <w:rPr>
          <w:lang w:val="nl-BE"/>
        </w:rPr>
      </w:pPr>
      <w:r>
        <w:rPr>
          <w:rStyle w:val="Appelnotedebasdep"/>
        </w:rPr>
        <w:footnoteRef/>
      </w:r>
      <w:r w:rsidRPr="008853E7">
        <w:rPr>
          <w:lang w:val="nl-BE"/>
        </w:rPr>
        <w:t xml:space="preserve"> </w:t>
      </w:r>
      <w:r>
        <w:fldChar w:fldCharType="begin"/>
      </w:r>
      <w:r>
        <w:rPr>
          <w:lang w:val="nl-BE"/>
        </w:rPr>
        <w:instrText xml:space="preserve"> ADDIN ZOTERO_ITEM CSL_CITATION {"citationID":"vmn6c2sr","properties":{"formattedCitation":"M. {\\scaps De Vos}, {\\i{}Loon naar Belgisch arbeidsovereenkomstenrecht: rechtspositie, recht op loon, loonbegrip}, Antwerpen, Maklu, 2001, p. 98\\uc0\\u160{}; K. {\\scaps Reyniers}, {\\i{}(Verboden) arbeid\\uc0\\u8239{}: (grond)rechtelijke analyse van het arbeidsbegrip toegepast op de arbeidsverboden uit de wet van 16 maart 1971}, Antwerpen, Intersentia, 2012, p. 46.","plainCitation":"M. De Vos, Loon naar Belgisch arbeidsovereenkomstenrecht: rechtspositie, recht op loon, loonbegrip, Antwerpen, Maklu, 2001, p. 98 ; K. Reyniers, (Verboden) arbeid : (grond)rechtelijke analyse van het arbeidsbegrip toegepast op de arbeidsverboden uit de wet van 16 maart 1971, Antwerpen, Intersentia, 2012, p. 46.","dontUpdate":true,"noteIndex":15},"citationItems":[{"id":226,"uris":["http://zotero.org/users/local/0X1c0osY/items/4FL2WHLJ"],"uri":["http://zotero.org/users/local/0X1c0osY/items/4FL2WHLJ"],"itemData":{"id":226,"type":"book","event-place":"Antwerpen","ISBN":"978-90-6215-758-7","language":"Dutch","note":"OCLC: 426720329","publisher":"Maklu","publisher-place":"Antwerpen","source":"Open WorldCat","title":"Loon naar Belgisch arbeidsovereenkomstenrecht: rechtspositie, recht op loon, loonbegrip","title-short":"Loon naar Belgisch arbeidsovereenkomstenrecht","author":[{"family":"De Vos","given":"Marc"}],"issued":{"date-parts":[["2001"]]}},"locator":"98"},{"id":519,"uris":["http://zotero.org/users/local/0X1c0osY/items/JRJDRWKE"],"uri":["http://zotero.org/users/local/0X1c0osY/items/JRJDRWKE"],"itemData":{"id":519,"type":"book","event-place":"Antwerpen","publisher":"Intersentia","publisher-place":"Antwerpen","title":"(Verboden) arbeid : (grond)rechtelijke analyse van het arbeidsbegrip toegepast op de arbeidsverboden uit de wet van 16 maart 1971","author":[{"family":"Reyniers","given":"K."}],"issued":{"date-parts":[["2012"]]}},"locator":"46"}],"schema":"https://github.com/citation-style-language/schema/raw/master/csl-citation.json"} </w:instrText>
      </w:r>
      <w:r>
        <w:fldChar w:fldCharType="separate"/>
      </w:r>
      <w:r w:rsidRPr="008853E7">
        <w:rPr>
          <w:rFonts w:ascii="Calibri" w:hAnsi="Calibri" w:cs="Calibri"/>
          <w:szCs w:val="24"/>
          <w:lang w:val="nl-BE"/>
        </w:rPr>
        <w:t xml:space="preserve">M. </w:t>
      </w:r>
      <w:r w:rsidRPr="008853E7">
        <w:rPr>
          <w:rFonts w:ascii="Calibri" w:hAnsi="Calibri" w:cs="Calibri"/>
          <w:smallCaps/>
          <w:szCs w:val="24"/>
          <w:lang w:val="nl-BE"/>
        </w:rPr>
        <w:t>De Vos</w:t>
      </w:r>
      <w:r w:rsidRPr="008853E7">
        <w:rPr>
          <w:rFonts w:ascii="Calibri" w:hAnsi="Calibri" w:cs="Calibri"/>
          <w:szCs w:val="24"/>
          <w:lang w:val="nl-BE"/>
        </w:rPr>
        <w:t xml:space="preserve">, </w:t>
      </w:r>
      <w:r w:rsidRPr="008853E7">
        <w:rPr>
          <w:rFonts w:ascii="Calibri" w:hAnsi="Calibri" w:cs="Calibri"/>
          <w:i/>
          <w:iCs/>
          <w:szCs w:val="24"/>
          <w:lang w:val="nl-BE"/>
        </w:rPr>
        <w:t>Loon naar Belgisch arbeidsovereenkomstenrecht: rechtspositie, recht op loon, loonbegrip</w:t>
      </w:r>
      <w:r w:rsidRPr="008853E7">
        <w:rPr>
          <w:rFonts w:ascii="Calibri" w:hAnsi="Calibri" w:cs="Calibri"/>
          <w:szCs w:val="24"/>
          <w:lang w:val="nl-BE"/>
        </w:rPr>
        <w:t>, Antwerpen, Maklu, 2001, p. 98 ;</w:t>
      </w:r>
      <w:r>
        <w:rPr>
          <w:rFonts w:ascii="Calibri" w:hAnsi="Calibri" w:cs="Calibri"/>
          <w:szCs w:val="24"/>
          <w:lang w:val="nl-BE"/>
        </w:rPr>
        <w:t xml:space="preserve"> dans le même sens</w:t>
      </w:r>
      <w:r w:rsidRPr="008853E7">
        <w:rPr>
          <w:rFonts w:ascii="Calibri" w:hAnsi="Calibri" w:cs="Calibri"/>
          <w:szCs w:val="24"/>
          <w:lang w:val="nl-BE"/>
        </w:rPr>
        <w:t xml:space="preserve"> K. </w:t>
      </w:r>
      <w:r w:rsidRPr="008853E7">
        <w:rPr>
          <w:rFonts w:ascii="Calibri" w:hAnsi="Calibri" w:cs="Calibri"/>
          <w:smallCaps/>
          <w:szCs w:val="24"/>
          <w:lang w:val="nl-BE"/>
        </w:rPr>
        <w:t>Reyniers</w:t>
      </w:r>
      <w:r w:rsidRPr="008853E7">
        <w:rPr>
          <w:rFonts w:ascii="Calibri" w:hAnsi="Calibri" w:cs="Calibri"/>
          <w:szCs w:val="24"/>
          <w:lang w:val="nl-BE"/>
        </w:rPr>
        <w:t xml:space="preserve">, </w:t>
      </w:r>
      <w:r w:rsidRPr="008853E7">
        <w:rPr>
          <w:rFonts w:ascii="Calibri" w:hAnsi="Calibri" w:cs="Calibri"/>
          <w:i/>
          <w:iCs/>
          <w:szCs w:val="24"/>
          <w:lang w:val="nl-BE"/>
        </w:rPr>
        <w:t>(Verboden) arbeid : (grond)rechtelijke analyse van het arbeidsbegrip toegepast op de arbeidsverboden uit de wet van 16 maart 1971</w:t>
      </w:r>
      <w:r w:rsidRPr="008853E7">
        <w:rPr>
          <w:rFonts w:ascii="Calibri" w:hAnsi="Calibri" w:cs="Calibri"/>
          <w:szCs w:val="24"/>
          <w:lang w:val="nl-BE"/>
        </w:rPr>
        <w:t>, Antwerpen, Intersentia, 2012, p. 46.</w:t>
      </w:r>
      <w:r>
        <w:fldChar w:fldCharType="end"/>
      </w:r>
    </w:p>
  </w:footnote>
  <w:footnote w:id="16">
    <w:p w14:paraId="07E39C2A" w14:textId="77777777" w:rsidR="00F64DDC" w:rsidRPr="00DA01F4" w:rsidRDefault="00F64DDC" w:rsidP="00880183">
      <w:pPr>
        <w:pStyle w:val="Notedebasdepage"/>
        <w:jc w:val="both"/>
      </w:pPr>
      <w:r>
        <w:rPr>
          <w:rStyle w:val="Appelnotedebasdep"/>
        </w:rPr>
        <w:footnoteRef/>
      </w:r>
      <w:r w:rsidRPr="002665CB">
        <w:t xml:space="preserve"> </w:t>
      </w:r>
      <w:r w:rsidRPr="002665CB">
        <w:rPr>
          <w:rFonts w:ascii="Calibri" w:hAnsi="Calibri" w:cs="Calibri"/>
          <w:szCs w:val="24"/>
        </w:rPr>
        <w:t> </w:t>
      </w:r>
      <w:r>
        <w:rPr>
          <w:rFonts w:ascii="Calibri" w:hAnsi="Calibri" w:cs="Calibri"/>
          <w:szCs w:val="24"/>
        </w:rPr>
        <w:t xml:space="preserve"> </w:t>
      </w:r>
      <w:r>
        <w:rPr>
          <w:rFonts w:ascii="Calibri" w:hAnsi="Calibri" w:cs="Calibri"/>
          <w:szCs w:val="24"/>
        </w:rPr>
        <w:fldChar w:fldCharType="begin"/>
      </w:r>
      <w:r>
        <w:rPr>
          <w:rFonts w:ascii="Calibri" w:hAnsi="Calibri" w:cs="Calibri"/>
          <w:szCs w:val="24"/>
        </w:rPr>
        <w:instrText xml:space="preserve"> ADDIN ZOTERO_ITEM CSL_CITATION {"citationID":"FxZ5mNUC","properties":{"formattedCitation":"D. {\\scaps Dumont} et P. {\\scaps Claes}, {\\i{}Le nouveau statut des b\\uc0\\u233{}n\\uc0\\u233{}voles - Commentaire de la loi du 3 juillet 2005 relative aux droits des volontaires et r\\uc0\\u233{}flexions sur le droit social et la gratuit\\uc0\\u233{}}, {\\i{}op. cit.}, pp. 87-88.","plainCitation":"D. Dumont et P. Claes, Le nouveau statut des bénévoles - Commentaire de la loi du 3 juillet 2005 relative aux droits des volontaires et réflexions sur le droit social et la gratuité, op. cit., pp. 87-88.","dontUpdate":true,"noteIndex":16},"citationItems":[{"id":501,"uris":["http://zotero.org/users/local/0X1c0osY/items/74FYFGF6"],"uri":["http://zotero.org/users/local/0X1c0osY/items/74FYFGF6"],"itemData":{"id":501,"type":"book","event-place":"Bruxelles","publisher":"Larcier","publisher-place":"Bruxelles","title":"Le nouveau statut des bénévoles - Commentaire de la loi du 3 juillet 2005 relative aux droits des volontaires et réflexions sur le droit social et la gratuité","author":[{"family":"Dumont","given":"Daniel"},{"family":"Claes","given":"Pauline"}],"issued":{"date-parts":[["2006"]]}},"locator":"87-88."}],"schema":"https://github.com/citation-style-language/schema/raw/master/csl-citation.json"} </w:instrText>
      </w:r>
      <w:r>
        <w:rPr>
          <w:rFonts w:ascii="Calibri" w:hAnsi="Calibri" w:cs="Calibri"/>
          <w:szCs w:val="24"/>
        </w:rPr>
        <w:fldChar w:fldCharType="separate"/>
      </w:r>
      <w:r w:rsidRPr="00A84A99">
        <w:rPr>
          <w:rFonts w:ascii="Calibri" w:hAnsi="Calibri" w:cs="Calibri"/>
          <w:szCs w:val="24"/>
        </w:rPr>
        <w:t xml:space="preserve">D. </w:t>
      </w:r>
      <w:r w:rsidRPr="00A84A99">
        <w:rPr>
          <w:rFonts w:ascii="Calibri" w:hAnsi="Calibri" w:cs="Calibri"/>
          <w:smallCaps/>
          <w:szCs w:val="24"/>
        </w:rPr>
        <w:t>Dumont</w:t>
      </w:r>
      <w:r w:rsidRPr="00A84A99">
        <w:rPr>
          <w:rFonts w:ascii="Calibri" w:hAnsi="Calibri" w:cs="Calibri"/>
          <w:szCs w:val="24"/>
        </w:rPr>
        <w:t xml:space="preserve"> et P. </w:t>
      </w:r>
      <w:r w:rsidRPr="00A84A99">
        <w:rPr>
          <w:rFonts w:ascii="Calibri" w:hAnsi="Calibri" w:cs="Calibri"/>
          <w:smallCaps/>
          <w:szCs w:val="24"/>
        </w:rPr>
        <w:t>Claes</w:t>
      </w:r>
      <w:r w:rsidRPr="00A84A99">
        <w:rPr>
          <w:rFonts w:ascii="Calibri" w:hAnsi="Calibri" w:cs="Calibri"/>
          <w:szCs w:val="24"/>
        </w:rPr>
        <w:t xml:space="preserve">, </w:t>
      </w:r>
      <w:r w:rsidRPr="00A84A99">
        <w:rPr>
          <w:rFonts w:ascii="Calibri" w:hAnsi="Calibri" w:cs="Calibri"/>
          <w:i/>
          <w:iCs/>
          <w:szCs w:val="24"/>
        </w:rPr>
        <w:t>Le nouveau statut des bénévoles - Commentaire de la loi du 3 juillet 2005 relative aux droits des volontaires et réflexions sur le droit social et la gratuité</w:t>
      </w:r>
      <w:r w:rsidRPr="00A84A99">
        <w:rPr>
          <w:rFonts w:ascii="Calibri" w:hAnsi="Calibri" w:cs="Calibri"/>
          <w:szCs w:val="24"/>
        </w:rPr>
        <w:t xml:space="preserve">, </w:t>
      </w:r>
      <w:r w:rsidRPr="00A84A99">
        <w:rPr>
          <w:rFonts w:ascii="Calibri" w:hAnsi="Calibri" w:cs="Calibri"/>
          <w:i/>
          <w:iCs/>
          <w:szCs w:val="24"/>
        </w:rPr>
        <w:t>op. cit.</w:t>
      </w:r>
      <w:r w:rsidRPr="00A84A99">
        <w:rPr>
          <w:rFonts w:ascii="Calibri" w:hAnsi="Calibri" w:cs="Calibri"/>
          <w:szCs w:val="24"/>
        </w:rPr>
        <w:t>, pp. 87-88</w:t>
      </w:r>
      <w:r>
        <w:rPr>
          <w:rFonts w:ascii="Calibri" w:hAnsi="Calibri" w:cs="Calibri"/>
          <w:szCs w:val="24"/>
        </w:rPr>
        <w:t>;</w:t>
      </w:r>
      <w:r>
        <w:rPr>
          <w:rFonts w:ascii="Calibri" w:hAnsi="Calibri" w:cs="Calibri"/>
          <w:szCs w:val="24"/>
        </w:rPr>
        <w:fldChar w:fldCharType="end"/>
      </w:r>
      <w:r w:rsidRPr="001C3F8C">
        <w:rPr>
          <w:rFonts w:ascii="Calibri" w:hAnsi="Calibri" w:cs="Calibri"/>
          <w:szCs w:val="24"/>
        </w:rPr>
        <w:t xml:space="preserve"> </w:t>
      </w:r>
      <w:r w:rsidRPr="002665CB">
        <w:rPr>
          <w:rFonts w:ascii="Calibri" w:hAnsi="Calibri" w:cs="Calibri"/>
          <w:szCs w:val="24"/>
        </w:rPr>
        <w:t>C</w:t>
      </w:r>
      <w:r>
        <w:rPr>
          <w:rFonts w:ascii="Calibri" w:hAnsi="Calibri" w:cs="Calibri"/>
          <w:szCs w:val="24"/>
        </w:rPr>
        <w:t>.</w:t>
      </w:r>
      <w:r w:rsidRPr="002665CB">
        <w:rPr>
          <w:rFonts w:ascii="Calibri" w:hAnsi="Calibri" w:cs="Calibri"/>
          <w:szCs w:val="24"/>
        </w:rPr>
        <w:t xml:space="preserve"> trav. </w:t>
      </w:r>
      <w:r>
        <w:rPr>
          <w:rFonts w:ascii="Calibri" w:hAnsi="Calibri" w:cs="Calibri"/>
          <w:szCs w:val="24"/>
        </w:rPr>
        <w:t>Bruxelles (4</w:t>
      </w:r>
      <w:r w:rsidRPr="00E83A40">
        <w:rPr>
          <w:rFonts w:ascii="Calibri" w:hAnsi="Calibri" w:cs="Calibri"/>
          <w:szCs w:val="24"/>
          <w:vertAlign w:val="superscript"/>
        </w:rPr>
        <w:t>e</w:t>
      </w:r>
      <w:r>
        <w:rPr>
          <w:rFonts w:ascii="Calibri" w:hAnsi="Calibri" w:cs="Calibri"/>
          <w:szCs w:val="24"/>
        </w:rPr>
        <w:t xml:space="preserve"> ch.), arrêt du 4 décembre </w:t>
      </w:r>
      <w:r w:rsidRPr="00DA01F4">
        <w:rPr>
          <w:rFonts w:ascii="Calibri" w:hAnsi="Calibri" w:cs="Calibri"/>
          <w:szCs w:val="24"/>
        </w:rPr>
        <w:t>2018,</w:t>
      </w:r>
      <w:r>
        <w:rPr>
          <w:rFonts w:ascii="Calibri" w:hAnsi="Calibri" w:cs="Calibri"/>
          <w:szCs w:val="24"/>
        </w:rPr>
        <w:t xml:space="preserve"> </w:t>
      </w:r>
      <w:r w:rsidRPr="00DA01F4">
        <w:rPr>
          <w:rFonts w:ascii="Calibri" w:hAnsi="Calibri" w:cs="Calibri"/>
          <w:i/>
          <w:szCs w:val="24"/>
        </w:rPr>
        <w:t>J.T.T</w:t>
      </w:r>
      <w:r>
        <w:rPr>
          <w:rFonts w:ascii="Calibri" w:hAnsi="Calibri" w:cs="Calibri"/>
          <w:szCs w:val="24"/>
        </w:rPr>
        <w:t>., 2019, pp. 103 et 104.</w:t>
      </w:r>
    </w:p>
  </w:footnote>
  <w:footnote w:id="17">
    <w:p w14:paraId="41EAA5A3" w14:textId="77777777" w:rsidR="00F64DDC" w:rsidRPr="00E83A40" w:rsidRDefault="00F64DDC" w:rsidP="00880183">
      <w:pPr>
        <w:pStyle w:val="Notedebasdepage"/>
        <w:jc w:val="both"/>
      </w:pPr>
      <w:r>
        <w:rPr>
          <w:rStyle w:val="Appelnotedebasdep"/>
        </w:rPr>
        <w:footnoteRef/>
      </w:r>
      <w:r w:rsidRPr="00E83A40">
        <w:t xml:space="preserve"> </w:t>
      </w:r>
      <w:r>
        <w:t>Trib. trav. Liège, division de Verviers (1</w:t>
      </w:r>
      <w:r w:rsidRPr="00E83A40">
        <w:rPr>
          <w:vertAlign w:val="superscript"/>
        </w:rPr>
        <w:t>e</w:t>
      </w:r>
      <w:r>
        <w:t xml:space="preserve"> ch.), jugement du 28 février 2018, </w:t>
      </w:r>
      <w:r w:rsidRPr="00E83A40">
        <w:rPr>
          <w:i/>
        </w:rPr>
        <w:t>J.L.M.B</w:t>
      </w:r>
      <w:r>
        <w:t>., 2018, pp. 1057-1061 ; </w:t>
      </w:r>
      <w:r w:rsidRPr="00E83A40">
        <w:t>C</w:t>
      </w:r>
      <w:r>
        <w:t>.</w:t>
      </w:r>
      <w:r w:rsidRPr="00E83A40">
        <w:t xml:space="preserve"> trav. Liège (3</w:t>
      </w:r>
      <w:r w:rsidRPr="00E83A40">
        <w:rPr>
          <w:vertAlign w:val="superscript"/>
        </w:rPr>
        <w:t>e</w:t>
      </w:r>
      <w:r w:rsidRPr="00E83A40">
        <w:t xml:space="preserve"> </w:t>
      </w:r>
      <w:r>
        <w:t>ch.)</w:t>
      </w:r>
      <w:r w:rsidRPr="00E83A40">
        <w:t>, arrêt du 16 avril 2019</w:t>
      </w:r>
      <w:r>
        <w:t xml:space="preserve">, </w:t>
      </w:r>
      <w:r w:rsidRPr="00E83A40">
        <w:rPr>
          <w:i/>
        </w:rPr>
        <w:t>Chron. D.S.,</w:t>
      </w:r>
      <w:r w:rsidRPr="00E83A40">
        <w:t xml:space="preserve"> 2020, p. 81 ;</w:t>
      </w:r>
      <w:r>
        <w:t xml:space="preserve"> </w:t>
      </w:r>
      <w:r>
        <w:fldChar w:fldCharType="begin"/>
      </w:r>
      <w:r>
        <w:instrText xml:space="preserve"> ADDIN ZOTERO_ITEM CSL_CITATION {"citationID":"6lSo26pd","properties":{"formattedCitation":"M. {\\scaps Davagle}, \\uc0\\u171{}\\uc0\\u160{}Des ambulanciers volontaires consid\\uc0\\u233{}r\\uc0\\u233{}s comme \\uc0\\u233{}tant des travailleurs ind\\uc0\\u233{}pendants\\uc0\\u160{}\\uc0\\u187{}, {\\i{}B.J.S.}, 2018, n\\uc0\\u176{} 608, p. 6.","plainCitation":"M. Davagle, « Des ambulanciers volontaires considérés comme étant des travailleurs indépendants », B.J.S., 2018, n° 608, p. 6.","noteIndex":17},"citationItems":[{"id":491,"uris":["http://zotero.org/users/local/0X1c0osY/items/BFKTTRBK"],"uri":["http://zotero.org/users/local/0X1c0osY/items/BFKTTRBK"],"itemData":{"id":491,"type":"article-journal","container-title":"B.J.S.","issue":"608","page":"6","title":"Des ambulanciers volontaires considérés comme étant des travailleurs indépendants","author":[{"family":"Davagle","given":"Michel"}],"issued":{"date-parts":[["2018"]]}}}],"schema":"https://github.com/citation-style-language/schema/raw/master/csl-citation.json"} </w:instrText>
      </w:r>
      <w:r>
        <w:fldChar w:fldCharType="separate"/>
      </w:r>
      <w:r w:rsidRPr="00E83A40">
        <w:rPr>
          <w:rFonts w:ascii="Calibri" w:hAnsi="Calibri" w:cs="Calibri"/>
          <w:szCs w:val="24"/>
        </w:rPr>
        <w:t xml:space="preserve">M. </w:t>
      </w:r>
      <w:r w:rsidRPr="00E83A40">
        <w:rPr>
          <w:rFonts w:ascii="Calibri" w:hAnsi="Calibri" w:cs="Calibri"/>
          <w:smallCaps/>
          <w:szCs w:val="24"/>
        </w:rPr>
        <w:t>Davagle</w:t>
      </w:r>
      <w:r w:rsidRPr="00E83A40">
        <w:rPr>
          <w:rFonts w:ascii="Calibri" w:hAnsi="Calibri" w:cs="Calibri"/>
          <w:szCs w:val="24"/>
        </w:rPr>
        <w:t xml:space="preserve">, « Des ambulanciers volontaires considérés comme étant des travailleurs indépendants », </w:t>
      </w:r>
      <w:r w:rsidRPr="00E83A40">
        <w:rPr>
          <w:rFonts w:ascii="Calibri" w:hAnsi="Calibri" w:cs="Calibri"/>
          <w:i/>
          <w:iCs/>
          <w:szCs w:val="24"/>
        </w:rPr>
        <w:t>B.J.S.</w:t>
      </w:r>
      <w:r w:rsidRPr="00E83A40">
        <w:rPr>
          <w:rFonts w:ascii="Calibri" w:hAnsi="Calibri" w:cs="Calibri"/>
          <w:szCs w:val="24"/>
        </w:rPr>
        <w:t>, 2018, n° 608, p. 6.</w:t>
      </w:r>
      <w:r>
        <w:fldChar w:fldCharType="end"/>
      </w:r>
    </w:p>
  </w:footnote>
  <w:footnote w:id="18">
    <w:p w14:paraId="61E148C3" w14:textId="77777777" w:rsidR="00F64DDC" w:rsidRPr="00001E8D" w:rsidRDefault="00F64DDC" w:rsidP="00880183">
      <w:pPr>
        <w:pStyle w:val="Notedebasdepage"/>
        <w:jc w:val="both"/>
      </w:pPr>
      <w:r>
        <w:rPr>
          <w:rStyle w:val="Appelnotedebasdep"/>
        </w:rPr>
        <w:footnoteRef/>
      </w:r>
      <w:r>
        <w:t xml:space="preserve">  Citons dans ce cadre la loi du 16 mars 1971 sur le travail, la loi du 4 août 1996 relative au bien-être au travail et le Code du bien-être au travail, la loi du 8 avril 1965 instituant le règlement de travail et la loi du 5 décembre 1968 sur les conventions collectives de travail et les commissions paritaires.</w:t>
      </w:r>
    </w:p>
  </w:footnote>
  <w:footnote w:id="19">
    <w:p w14:paraId="1AB145EC" w14:textId="77777777" w:rsidR="00F64DDC" w:rsidRPr="00001E8D" w:rsidRDefault="00F64DDC" w:rsidP="00880183">
      <w:pPr>
        <w:pStyle w:val="Notedebasdepage"/>
        <w:jc w:val="both"/>
      </w:pPr>
      <w:r>
        <w:rPr>
          <w:rStyle w:val="Appelnotedebasdep"/>
        </w:rPr>
        <w:footnoteRef/>
      </w:r>
      <w:r>
        <w:t xml:space="preserve"> </w:t>
      </w:r>
      <w:r>
        <w:fldChar w:fldCharType="begin"/>
      </w:r>
      <w:r>
        <w:instrText xml:space="preserve"> ADDIN ZOTERO_ITEM CSL_CITATION {"citationID":"JocNOtbz","properties":{"formattedCitation":"D. {\\scaps Dumont} et P. {\\scaps Claes}, {\\i{}Le nouveau statut des b\\uc0\\u233{}n\\uc0\\u233{}voles - Commentaire de la loi du 3 juillet 2005 relative aux droits des volontaires et r\\uc0\\u233{}flexions sur le droit social et la gratuit\\uc0\\u233{}}, {\\i{}op. cit.}, p. 108\\uc0\\u160{}; D. {\\scaps Dumont}, \\uc0\\u171{}\\uc0\\u160{}L\\uc0\\u8217{}applicabilit\\uc0\\u233{} de la r\\uc0\\u233{}glementation du travail aux b\\uc0\\u233{}n\\uc0\\u233{}voles- Quand le l\\uc0\\u233{}gislateur tourne en rond...\\uc0\\u160{}\\uc0\\u187{}, {\\i{}in} M. {\\scaps Davagle} (\\uc0\\u233{}d.), {\\i{}La nouvelle l\\uc0\\u233{}gislation relative aux volontaires}, Les Dossiers d\\uc0\\u8217{}ASBL Actualit\\uc0\\u233{}s, n\\uc0\\u176{} 1, Li\\uc0\\u232{}ge, Edipro, 2007, pp. 201\\uc0\\u8209{}215\\uc0\\u160{}; G. {\\scaps S\\uc0\\u233{}ny}, \\uc0\\u171{}\\uc0\\u160{}Le p\\uc0\\u233{}riple l\\uc0\\u233{}gislatif de la nouvelle loi relative aux volontaires\\uc0\\u160{}\\uc0\\u187{}, {\\i{}op. cit.}, pp. 41\\uc0\\u8209{}42\\uc0\\u160{}; D. {\\scaps Fr\\uc0\\u232{}re}, \\uc0\\u171{}\\uc0\\u160{}La loi du 3 juillet 1978 relative au droit des volontaires\\uc0\\u160{}\\uc0\\u187{}, {\\i{}op. cit.}, p. 95.","plainCitation":"D. Dumont et P. Claes, Le nouveau statut des bénévoles - Commentaire de la loi du 3 juillet 2005 relative aux droits des volontaires et réflexions sur le droit social et la gratuité, op. cit., p. 108 ; D. Dumont, « L’applicabilité de la réglementation du travail aux bénévoles- Quand le législateur tourne en rond... », in M. Davagle (éd.), La nouvelle législation relative aux volontaires, Les Dossiers d’ASBL Actualités, n° 1, Liège, Edipro, 2007, pp. 201</w:instrText>
      </w:r>
      <w:r>
        <w:rPr>
          <w:rFonts w:ascii="Cambria Math" w:hAnsi="Cambria Math" w:cs="Cambria Math"/>
        </w:rPr>
        <w:instrText>‑</w:instrText>
      </w:r>
      <w:r>
        <w:instrText>215</w:instrText>
      </w:r>
      <w:r>
        <w:rPr>
          <w:rFonts w:ascii="Calibri" w:hAnsi="Calibri" w:cs="Calibri"/>
        </w:rPr>
        <w:instrText> </w:instrText>
      </w:r>
      <w:r>
        <w:instrText>; G. S</w:instrText>
      </w:r>
      <w:r>
        <w:rPr>
          <w:rFonts w:ascii="Calibri" w:hAnsi="Calibri" w:cs="Calibri"/>
        </w:rPr>
        <w:instrText>é</w:instrText>
      </w:r>
      <w:r>
        <w:instrText xml:space="preserve">ny, </w:instrText>
      </w:r>
      <w:r>
        <w:rPr>
          <w:rFonts w:ascii="Calibri" w:hAnsi="Calibri" w:cs="Calibri"/>
        </w:rPr>
        <w:instrText>« </w:instrText>
      </w:r>
      <w:r>
        <w:instrText>Le p</w:instrText>
      </w:r>
      <w:r>
        <w:rPr>
          <w:rFonts w:ascii="Calibri" w:hAnsi="Calibri" w:cs="Calibri"/>
        </w:rPr>
        <w:instrText>é</w:instrText>
      </w:r>
      <w:r>
        <w:instrText>riple l</w:instrText>
      </w:r>
      <w:r>
        <w:rPr>
          <w:rFonts w:ascii="Calibri" w:hAnsi="Calibri" w:cs="Calibri"/>
        </w:rPr>
        <w:instrText>é</w:instrText>
      </w:r>
      <w:r>
        <w:instrText>gislatif de la nouvelle loi relative aux volontaires », op. cit., pp. 41</w:instrText>
      </w:r>
      <w:r>
        <w:rPr>
          <w:rFonts w:ascii="Cambria Math" w:hAnsi="Cambria Math" w:cs="Cambria Math"/>
        </w:rPr>
        <w:instrText>‑</w:instrText>
      </w:r>
      <w:r>
        <w:instrText>42</w:instrText>
      </w:r>
      <w:r>
        <w:rPr>
          <w:rFonts w:ascii="Calibri" w:hAnsi="Calibri" w:cs="Calibri"/>
        </w:rPr>
        <w:instrText> </w:instrText>
      </w:r>
      <w:r>
        <w:instrText>; D. Fr</w:instrText>
      </w:r>
      <w:r>
        <w:rPr>
          <w:rFonts w:ascii="Calibri" w:hAnsi="Calibri" w:cs="Calibri"/>
        </w:rPr>
        <w:instrText>è</w:instrText>
      </w:r>
      <w:r>
        <w:instrText xml:space="preserve">re, </w:instrText>
      </w:r>
      <w:r>
        <w:rPr>
          <w:rFonts w:ascii="Calibri" w:hAnsi="Calibri" w:cs="Calibri"/>
        </w:rPr>
        <w:instrText>« </w:instrText>
      </w:r>
      <w:r>
        <w:instrText>La loi du 3 juillet 1978 relative au droit des volontaires</w:instrText>
      </w:r>
      <w:r>
        <w:rPr>
          <w:rFonts w:ascii="Calibri" w:hAnsi="Calibri" w:cs="Calibri"/>
        </w:rPr>
        <w:instrText> »</w:instrText>
      </w:r>
      <w:r>
        <w:instrText xml:space="preserve">, op. cit., p. 95.","noteIndex":19},"citationItems":[{"id":501,"uris":["http://zotero.org/users/local/0X1c0osY/items/74FYFGF6"],"uri":["http://zotero.org/users/local/0X1c0osY/items/74FYFGF6"],"itemData":{"id":501,"type":"book","event-place":"Bruxelles","publisher":"Larcier","publisher-place":"Bruxelles","title":"Le nouveau statut des bénévoles - Commentaire de la loi du 3 juillet 2005 relative aux droits des volontaires et réflexions sur le droit social et la gratuité","author":[{"family":"Dumont","given":"Daniel"},{"family":"Claes","given":"Pauline"}],"issued":{"date-parts":[["2006"]]}},"locator":"108"},{"id":518,"uris":["http://zotero.org/users/local/0X1c0osY/items/PGKKJRUY"],"uri":["http://zotero.org/users/local/0X1c0osY/items/PGKKJRUY"],"itemData":{"id":518,"type":"chapter","collection-number":"1","collection-title":"Les Dossiers d'ASBL Actualités","container-title":"La nouvelle législation relative aux volontaires","event-place":"Liège","publisher":"Edipro","publisher-place":"Liège","title":"L'applicabilité de la réglementation du travail aux bénévoles- Quand le législateur tourne en rond...","author":[{"family":"Dumont","given":"Daniel"}],"editor":[{"family":"Davagle","given":"Michel"}],"issued":{"date-parts":[["2007"]]}},"locator":"201-215"},{"id":516,"uris":["http://zotero.org/users/local/0X1c0osY/items/JF949BSG"],"uri":["http://zotero.org/users/local/0X1c0osY/items/JF949BSG"],"itemData":{"id":516,"type":"chapter","collection-number":"1","collection-title":"Les Dossiers d'ASBL Actualités","container-title":"La nouvelle législation relative aux volontaires","event-place":"Liège","publisher":"Edipro","publisher-place":"Liège","title":"Le périple législatif de la nouvelle loi relative aux volontaires","author":[{"family":"Sény","given":"Géraldine"}],"editor":[{"family":"Davagle","given":"Michel"}],"issued":{"date-parts":[["2007"]]}},"locator":"41-42"},{"id":515,"uris":["http://zotero.org/users/local/0X1c0osY/items/SITL4TAZ"],"uri":["http://zotero.org/users/local/0X1c0osY/items/SITL4TAZ"],"itemData":{"id":515,"type":"chapter","collection-number":"94","collection-title":"C.U.P.","container-title":"Questions de droit social","event-place":"Liège","publisher":"Anthémis","publisher-place":"Liège","title":"La loi du 3 juillet 1978 relative au droit des volontaires","author":[{"family":"Frère","given":"Damien"}],"editor":[{"family":"Clesse","given":"Jacques"},{"family":"Kéfer","given":"Fabienne"}],"issued":{"date-parts":[["2007"]]}},"locator":"95"}],"schema":"https://github.com/citation-style-language/schema/raw/master/csl-citation.json"} </w:instrText>
      </w:r>
      <w:r>
        <w:fldChar w:fldCharType="separate"/>
      </w:r>
      <w:r w:rsidRPr="00C90E54">
        <w:rPr>
          <w:rFonts w:ascii="Calibri" w:hAnsi="Calibri" w:cs="Calibri"/>
          <w:szCs w:val="24"/>
        </w:rPr>
        <w:t xml:space="preserve">D. </w:t>
      </w:r>
      <w:r w:rsidRPr="00C90E54">
        <w:rPr>
          <w:rFonts w:ascii="Calibri" w:hAnsi="Calibri" w:cs="Calibri"/>
          <w:smallCaps/>
          <w:szCs w:val="24"/>
        </w:rPr>
        <w:t>Dumont</w:t>
      </w:r>
      <w:r w:rsidRPr="00C90E54">
        <w:rPr>
          <w:rFonts w:ascii="Calibri" w:hAnsi="Calibri" w:cs="Calibri"/>
          <w:szCs w:val="24"/>
        </w:rPr>
        <w:t xml:space="preserve"> et P. </w:t>
      </w:r>
      <w:r w:rsidRPr="00C90E54">
        <w:rPr>
          <w:rFonts w:ascii="Calibri" w:hAnsi="Calibri" w:cs="Calibri"/>
          <w:smallCaps/>
          <w:szCs w:val="24"/>
        </w:rPr>
        <w:t>Claes</w:t>
      </w:r>
      <w:r w:rsidRPr="00C90E54">
        <w:rPr>
          <w:rFonts w:ascii="Calibri" w:hAnsi="Calibri" w:cs="Calibri"/>
          <w:szCs w:val="24"/>
        </w:rPr>
        <w:t xml:space="preserve">, </w:t>
      </w:r>
      <w:r w:rsidRPr="00C90E54">
        <w:rPr>
          <w:rFonts w:ascii="Calibri" w:hAnsi="Calibri" w:cs="Calibri"/>
          <w:i/>
          <w:iCs/>
          <w:szCs w:val="24"/>
        </w:rPr>
        <w:t>Le nouveau statut des bénévoles - Commentaire de la loi du 3 juillet 2005 relative aux droits des volontaires et réflexions sur le droit social et la gratuité</w:t>
      </w:r>
      <w:r w:rsidRPr="00C90E54">
        <w:rPr>
          <w:rFonts w:ascii="Calibri" w:hAnsi="Calibri" w:cs="Calibri"/>
          <w:szCs w:val="24"/>
        </w:rPr>
        <w:t xml:space="preserve">, </w:t>
      </w:r>
      <w:r w:rsidRPr="00C90E54">
        <w:rPr>
          <w:rFonts w:ascii="Calibri" w:hAnsi="Calibri" w:cs="Calibri"/>
          <w:i/>
          <w:iCs/>
          <w:szCs w:val="24"/>
        </w:rPr>
        <w:t>op. cit.</w:t>
      </w:r>
      <w:r w:rsidRPr="00C90E54">
        <w:rPr>
          <w:rFonts w:ascii="Calibri" w:hAnsi="Calibri" w:cs="Calibri"/>
          <w:szCs w:val="24"/>
        </w:rPr>
        <w:t xml:space="preserve">, p. 108 ; D. </w:t>
      </w:r>
      <w:r w:rsidRPr="00C90E54">
        <w:rPr>
          <w:rFonts w:ascii="Calibri" w:hAnsi="Calibri" w:cs="Calibri"/>
          <w:smallCaps/>
          <w:szCs w:val="24"/>
        </w:rPr>
        <w:t>Dumont</w:t>
      </w:r>
      <w:r w:rsidRPr="00C90E54">
        <w:rPr>
          <w:rFonts w:ascii="Calibri" w:hAnsi="Calibri" w:cs="Calibri"/>
          <w:szCs w:val="24"/>
        </w:rPr>
        <w:t xml:space="preserve">, « L’applicabilité de la réglementation du travail aux bénévoles- Quand le législateur tourne en rond... », </w:t>
      </w:r>
      <w:r w:rsidRPr="00C90E54">
        <w:rPr>
          <w:rFonts w:ascii="Calibri" w:hAnsi="Calibri" w:cs="Calibri"/>
          <w:i/>
          <w:iCs/>
          <w:szCs w:val="24"/>
        </w:rPr>
        <w:t>in</w:t>
      </w:r>
      <w:r w:rsidRPr="00C90E54">
        <w:rPr>
          <w:rFonts w:ascii="Calibri" w:hAnsi="Calibri" w:cs="Calibri"/>
          <w:szCs w:val="24"/>
        </w:rPr>
        <w:t xml:space="preserve"> M. </w:t>
      </w:r>
      <w:r w:rsidRPr="00C90E54">
        <w:rPr>
          <w:rFonts w:ascii="Calibri" w:hAnsi="Calibri" w:cs="Calibri"/>
          <w:smallCaps/>
          <w:szCs w:val="24"/>
        </w:rPr>
        <w:t>Davagle</w:t>
      </w:r>
      <w:r w:rsidRPr="00C90E54">
        <w:rPr>
          <w:rFonts w:ascii="Calibri" w:hAnsi="Calibri" w:cs="Calibri"/>
          <w:szCs w:val="24"/>
        </w:rPr>
        <w:t xml:space="preserve"> (éd.), </w:t>
      </w:r>
      <w:r w:rsidRPr="00C90E54">
        <w:rPr>
          <w:rFonts w:ascii="Calibri" w:hAnsi="Calibri" w:cs="Calibri"/>
          <w:i/>
          <w:iCs/>
          <w:szCs w:val="24"/>
        </w:rPr>
        <w:t>La nouvelle législation relative aux volontaires</w:t>
      </w:r>
      <w:r w:rsidRPr="00C90E54">
        <w:rPr>
          <w:rFonts w:ascii="Calibri" w:hAnsi="Calibri" w:cs="Calibri"/>
          <w:szCs w:val="24"/>
        </w:rPr>
        <w:t xml:space="preserve">, Les Dossiers d’ASBL Actualités, n° 1, Liège, Edipro, 2007, pp. 201‑215 ; G. </w:t>
      </w:r>
      <w:r w:rsidRPr="00C90E54">
        <w:rPr>
          <w:rFonts w:ascii="Calibri" w:hAnsi="Calibri" w:cs="Calibri"/>
          <w:smallCaps/>
          <w:szCs w:val="24"/>
        </w:rPr>
        <w:t>Sény</w:t>
      </w:r>
      <w:r w:rsidRPr="00C90E54">
        <w:rPr>
          <w:rFonts w:ascii="Calibri" w:hAnsi="Calibri" w:cs="Calibri"/>
          <w:szCs w:val="24"/>
        </w:rPr>
        <w:t xml:space="preserve">, « Le périple législatif de la nouvelle loi relative aux volontaires », </w:t>
      </w:r>
      <w:r w:rsidRPr="00C90E54">
        <w:rPr>
          <w:rFonts w:ascii="Calibri" w:hAnsi="Calibri" w:cs="Calibri"/>
          <w:i/>
          <w:iCs/>
          <w:szCs w:val="24"/>
        </w:rPr>
        <w:t>op. cit.</w:t>
      </w:r>
      <w:r w:rsidRPr="00C90E54">
        <w:rPr>
          <w:rFonts w:ascii="Calibri" w:hAnsi="Calibri" w:cs="Calibri"/>
          <w:szCs w:val="24"/>
        </w:rPr>
        <w:t xml:space="preserve">, pp. 41‑42 ; D. </w:t>
      </w:r>
      <w:r w:rsidRPr="00C90E54">
        <w:rPr>
          <w:rFonts w:ascii="Calibri" w:hAnsi="Calibri" w:cs="Calibri"/>
          <w:smallCaps/>
          <w:szCs w:val="24"/>
        </w:rPr>
        <w:t>Frère</w:t>
      </w:r>
      <w:r w:rsidRPr="00C90E54">
        <w:rPr>
          <w:rFonts w:ascii="Calibri" w:hAnsi="Calibri" w:cs="Calibri"/>
          <w:szCs w:val="24"/>
        </w:rPr>
        <w:t xml:space="preserve">, « La loi du 3 juillet 1978 relative au droit des volontaires », </w:t>
      </w:r>
      <w:r w:rsidRPr="00C90E54">
        <w:rPr>
          <w:rFonts w:ascii="Calibri" w:hAnsi="Calibri" w:cs="Calibri"/>
          <w:i/>
          <w:iCs/>
          <w:szCs w:val="24"/>
        </w:rPr>
        <w:t>op. cit.</w:t>
      </w:r>
      <w:r w:rsidRPr="00C90E54">
        <w:rPr>
          <w:rFonts w:ascii="Calibri" w:hAnsi="Calibri" w:cs="Calibri"/>
          <w:szCs w:val="24"/>
        </w:rPr>
        <w:t>, p. 95.</w:t>
      </w:r>
      <w:r>
        <w:fldChar w:fldCharType="end"/>
      </w:r>
    </w:p>
  </w:footnote>
  <w:footnote w:id="20">
    <w:p w14:paraId="1DD4237C" w14:textId="77777777" w:rsidR="00F64DDC" w:rsidRPr="00FA0C3B" w:rsidRDefault="00F64DDC" w:rsidP="00880183">
      <w:pPr>
        <w:pStyle w:val="Notedebasdepage"/>
        <w:jc w:val="both"/>
      </w:pPr>
      <w:r>
        <w:rPr>
          <w:rStyle w:val="Appelnotedebasdep"/>
        </w:rPr>
        <w:footnoteRef/>
      </w:r>
      <w:r>
        <w:t xml:space="preserve"> </w:t>
      </w:r>
      <w:r>
        <w:fldChar w:fldCharType="begin"/>
      </w:r>
      <w:r>
        <w:instrText xml:space="preserve"> ADDIN ZOTERO_ITEM CSL_CITATION {"citationID":"emyovofs","properties":{"formattedCitation":"D. {\\scaps Dumont} et P. {\\scaps Claes}, {\\i{}Le nouveau statut des b\\uc0\\u233{}n\\uc0\\u233{}voles - Commentaire de la loi du 3 juillet 2005 relative aux droits des volontaires et r\\uc0\\u233{}flexions sur le droit social et la gratuit\\uc0\\u233{}}, {\\i{}op. cit.}, p. 36.","plainCitation":"D. Dumont et P. Claes, Le nouveau statut des bénévoles - Commentaire de la loi du 3 juillet 2005 relative aux droits des volontaires et réflexions sur le droit social et la gratuité, op. cit., p. 36.","noteIndex":20},"citationItems":[{"id":501,"uris":["http://zotero.org/users/local/0X1c0osY/items/74FYFGF6"],"uri":["http://zotero.org/users/local/0X1c0osY/items/74FYFGF6"],"itemData":{"id":501,"type":"book","event-place":"Bruxelles","publisher":"Larcier","publisher-place":"Bruxelles","title":"Le nouveau statut des bénévoles - Commentaire de la loi du 3 juillet 2005 relative aux droits des volontaires et réflexions sur le droit social et la gratuité","author":[{"family":"Dumont","given":"Daniel"},{"family":"Claes","given":"Pauline"}],"issued":{"date-parts":[["2006"]]}},"locator":"36"}],"schema":"https://github.com/citation-style-language/schema/raw/master/csl-citation.json"} </w:instrText>
      </w:r>
      <w:r>
        <w:fldChar w:fldCharType="separate"/>
      </w:r>
      <w:r w:rsidRPr="00F1675A">
        <w:rPr>
          <w:rFonts w:ascii="Calibri" w:hAnsi="Calibri" w:cs="Times New Roman"/>
          <w:szCs w:val="24"/>
        </w:rPr>
        <w:t xml:space="preserve">D. </w:t>
      </w:r>
      <w:r w:rsidRPr="00F1675A">
        <w:rPr>
          <w:rFonts w:ascii="Calibri" w:hAnsi="Calibri" w:cs="Times New Roman"/>
          <w:smallCaps/>
          <w:szCs w:val="24"/>
        </w:rPr>
        <w:t>Dumont</w:t>
      </w:r>
      <w:r w:rsidRPr="00F1675A">
        <w:rPr>
          <w:rFonts w:ascii="Calibri" w:hAnsi="Calibri" w:cs="Times New Roman"/>
          <w:szCs w:val="24"/>
        </w:rPr>
        <w:t xml:space="preserve"> et P. </w:t>
      </w:r>
      <w:r w:rsidRPr="00F1675A">
        <w:rPr>
          <w:rFonts w:ascii="Calibri" w:hAnsi="Calibri" w:cs="Times New Roman"/>
          <w:smallCaps/>
          <w:szCs w:val="24"/>
        </w:rPr>
        <w:t>Claes</w:t>
      </w:r>
      <w:r w:rsidRPr="00F1675A">
        <w:rPr>
          <w:rFonts w:ascii="Calibri" w:hAnsi="Calibri" w:cs="Times New Roman"/>
          <w:szCs w:val="24"/>
        </w:rPr>
        <w:t xml:space="preserve">, </w:t>
      </w:r>
      <w:r w:rsidRPr="00F1675A">
        <w:rPr>
          <w:rFonts w:ascii="Calibri" w:hAnsi="Calibri" w:cs="Times New Roman"/>
          <w:i/>
          <w:iCs/>
          <w:szCs w:val="24"/>
        </w:rPr>
        <w:t>Le nouveau statut des bénévoles - Commentaire de la loi du 3 juillet 2005 relative aux droits des volontaires et réflexions sur le droit social et la gratuité</w:t>
      </w:r>
      <w:r w:rsidRPr="00F1675A">
        <w:rPr>
          <w:rFonts w:ascii="Calibri" w:hAnsi="Calibri" w:cs="Times New Roman"/>
          <w:szCs w:val="24"/>
        </w:rPr>
        <w:t xml:space="preserve">, </w:t>
      </w:r>
      <w:r w:rsidRPr="00F1675A">
        <w:rPr>
          <w:rFonts w:ascii="Calibri" w:hAnsi="Calibri" w:cs="Times New Roman"/>
          <w:i/>
          <w:iCs/>
          <w:szCs w:val="24"/>
        </w:rPr>
        <w:t>op. cit.</w:t>
      </w:r>
      <w:r w:rsidRPr="00F1675A">
        <w:rPr>
          <w:rFonts w:ascii="Calibri" w:hAnsi="Calibri" w:cs="Times New Roman"/>
          <w:szCs w:val="24"/>
        </w:rPr>
        <w:t>, p. 36.</w:t>
      </w:r>
      <w:r>
        <w:fldChar w:fldCharType="end"/>
      </w:r>
    </w:p>
  </w:footnote>
  <w:footnote w:id="21">
    <w:p w14:paraId="6E622117" w14:textId="77777777" w:rsidR="00F64DDC" w:rsidRPr="004B1ACC" w:rsidRDefault="00F64DDC" w:rsidP="00880183">
      <w:pPr>
        <w:pStyle w:val="Notedebasdepage"/>
        <w:jc w:val="both"/>
        <w:rPr>
          <w:lang w:val="nl-BE"/>
        </w:rPr>
      </w:pPr>
      <w:r>
        <w:rPr>
          <w:rStyle w:val="Appelnotedebasdep"/>
        </w:rPr>
        <w:footnoteRef/>
      </w:r>
      <w:r w:rsidRPr="004B1ACC">
        <w:rPr>
          <w:lang w:val="nl-BE"/>
        </w:rPr>
        <w:t xml:space="preserve"> </w:t>
      </w:r>
      <w:r>
        <w:fldChar w:fldCharType="begin"/>
      </w:r>
      <w:r>
        <w:rPr>
          <w:lang w:val="nl-BE"/>
        </w:rPr>
        <w:instrText xml:space="preserve"> ADDIN ZOTERO_ITEM CSL_CITATION {"citationID":"AvOK4Xqo","properties":{"formattedCitation":"S. {\\scaps Bouckaert} et B. {\\scaps Van Buggenhout}, {\\i{}Een juridisch verkenning van de grijze zone tussen vrijwilligerswerk en professionele arbeid}, Bruxelles, Fondation Roi Baudouin, 2002, p. 20, disponible sur file:///C:/Users/u187754/AppData/Local/Temp/PUB%201282%20Een%20juridische%20verkenning%20van%20de%20grijze%20zone.pdf.","plainCitation":"S. Bouckaert et B. Van Buggenhout, Een juridisch verkenning van de grijze zone tussen vrijwilligerswerk en professionele arbeid, Bruxelles, Fondation Roi Baudouin, 2002, p. 20, disponible sur file:///C:/Users/u187754/AppData/Local/Temp/PUB%201282%20Een%20juridische%20verkenning%20van%20de%20grijze%20zone.pdf.","noteIndex":21},"citationItems":[{"id":483,"uris":["http://zotero.org/users/local/0X1c0osY/items/5HEKPYD7"],"uri":["http://zotero.org/users/local/0X1c0osY/items/5HEKPYD7"],"itemData":{"id":483,"type":"book","event-place":"Bruxelles","publisher":"Fondation Roi Baudouin","publisher-place":"Bruxelles","title":"Een juridisch verkenning van de grijze zone tussen vrijwilligerswerk en professionele arbeid","URL":"file:///C:/Users/u187754/AppData/Local/Temp/PUB%201282%20Een%20juridische%20verkenning%20van%20de%20grijze%20zone.pdf","author":[{"family":"Bouckaert","given":"Steve"},{"family":"Van Buggenhout","given":"Beatrice"}],"issued":{"date-parts":[["2002"]]}},"locator":"20"}],"schema":"https://github.com/citation-style-language/schema/raw/master/csl-citation.json"} </w:instrText>
      </w:r>
      <w:r>
        <w:fldChar w:fldCharType="separate"/>
      </w:r>
      <w:r w:rsidRPr="008853E7">
        <w:rPr>
          <w:rFonts w:ascii="Calibri" w:hAnsi="Calibri" w:cs="Calibri"/>
          <w:szCs w:val="24"/>
          <w:lang w:val="nl-BE"/>
        </w:rPr>
        <w:t xml:space="preserve">S. </w:t>
      </w:r>
      <w:r w:rsidRPr="008853E7">
        <w:rPr>
          <w:rFonts w:ascii="Calibri" w:hAnsi="Calibri" w:cs="Calibri"/>
          <w:smallCaps/>
          <w:szCs w:val="24"/>
          <w:lang w:val="nl-BE"/>
        </w:rPr>
        <w:t>Bouckaert</w:t>
      </w:r>
      <w:r w:rsidRPr="008853E7">
        <w:rPr>
          <w:rFonts w:ascii="Calibri" w:hAnsi="Calibri" w:cs="Calibri"/>
          <w:szCs w:val="24"/>
          <w:lang w:val="nl-BE"/>
        </w:rPr>
        <w:t xml:space="preserve"> et B. </w:t>
      </w:r>
      <w:r w:rsidRPr="008853E7">
        <w:rPr>
          <w:rFonts w:ascii="Calibri" w:hAnsi="Calibri" w:cs="Calibri"/>
          <w:smallCaps/>
          <w:szCs w:val="24"/>
          <w:lang w:val="nl-BE"/>
        </w:rPr>
        <w:t>Van Buggenhout</w:t>
      </w:r>
      <w:r w:rsidRPr="008853E7">
        <w:rPr>
          <w:rFonts w:ascii="Calibri" w:hAnsi="Calibri" w:cs="Calibri"/>
          <w:szCs w:val="24"/>
          <w:lang w:val="nl-BE"/>
        </w:rPr>
        <w:t xml:space="preserve">, </w:t>
      </w:r>
      <w:r w:rsidRPr="008853E7">
        <w:rPr>
          <w:rFonts w:ascii="Calibri" w:hAnsi="Calibri" w:cs="Calibri"/>
          <w:i/>
          <w:iCs/>
          <w:szCs w:val="24"/>
          <w:lang w:val="nl-BE"/>
        </w:rPr>
        <w:t>Een juridisch verkenning van de grijze zone tussen vrijwilligerswerk en professionele arbeid</w:t>
      </w:r>
      <w:r w:rsidRPr="008853E7">
        <w:rPr>
          <w:rFonts w:ascii="Calibri" w:hAnsi="Calibri" w:cs="Calibri"/>
          <w:szCs w:val="24"/>
          <w:lang w:val="nl-BE"/>
        </w:rPr>
        <w:t>, Bruxelles, Fondation Roi Baudouin, 2002, p. 20, disponible sur file:///C:/Users/u187754/AppData/Local/Temp/PUB%201282%20Een%20juridische%20verkenning%20van%20de%20grijze%20zone.pdf.</w:t>
      </w:r>
      <w:r>
        <w:fldChar w:fldCharType="end"/>
      </w:r>
    </w:p>
  </w:footnote>
  <w:footnote w:id="22">
    <w:p w14:paraId="459C4F6A" w14:textId="77777777" w:rsidR="00F64DDC" w:rsidRPr="004B3870" w:rsidRDefault="00F64DDC" w:rsidP="00880183">
      <w:pPr>
        <w:pStyle w:val="Notedebasdepage"/>
        <w:jc w:val="both"/>
        <w:rPr>
          <w:lang w:val="en-GB"/>
        </w:rPr>
      </w:pPr>
      <w:r>
        <w:rPr>
          <w:rStyle w:val="Appelnotedebasdep"/>
        </w:rPr>
        <w:footnoteRef/>
      </w:r>
      <w:r w:rsidRPr="004B3870">
        <w:rPr>
          <w:lang w:val="en-GB"/>
        </w:rPr>
        <w:t xml:space="preserve"> </w:t>
      </w:r>
      <w:r>
        <w:fldChar w:fldCharType="begin"/>
      </w:r>
      <w:r>
        <w:rPr>
          <w:lang w:val="en-GB"/>
        </w:rPr>
        <w:instrText xml:space="preserve"> ADDIN ZOTERO_ITEM CSL_CITATION {"citationID":"u6sBQO2p","properties":{"formattedCitation":"{\\i{}Ibid.}, p. 27.","plainCitation":"Ibid., p. 27.","noteIndex":22},"citationItems":[{"id":483,"uris":["http://zotero.org/users/local/0X1c0osY/items/5HEKPYD7"],"uri":["http://zotero.org/users/local/0X1c0osY/items/5HEKPYD7"],"itemData":{"id":483,"type":"book","event-place":"Bruxelles","publisher":"Fondation Roi Baudouin","publisher-place":"Bruxelles","title":"Een juridisch verkenning van de grijze zone tussen vrijwilligerswerk en professionele arbeid","URL":"file:///C:/Users/u187754/AppData/Local/Temp/PUB%201282%20Een%20juridische%20verkenning%20van%20de%20grijze%20zone.pdf","author":[{"family":"Bouckaert","given":"Steve"},{"family":"Van Buggenhout","given":"Beatrice"}],"issued":{"date-parts":[["2002"]]}},"locator":"27"}],"schema":"https://github.com/citation-style-language/schema/raw/master/csl-citation.json"} </w:instrText>
      </w:r>
      <w:r>
        <w:fldChar w:fldCharType="separate"/>
      </w:r>
      <w:r w:rsidRPr="004B3870">
        <w:rPr>
          <w:rFonts w:ascii="Calibri" w:hAnsi="Calibri" w:cs="Calibri"/>
          <w:i/>
          <w:iCs/>
          <w:szCs w:val="24"/>
          <w:lang w:val="en-GB"/>
        </w:rPr>
        <w:t>Ibid.</w:t>
      </w:r>
      <w:r w:rsidRPr="004B3870">
        <w:rPr>
          <w:rFonts w:ascii="Calibri" w:hAnsi="Calibri" w:cs="Calibri"/>
          <w:szCs w:val="24"/>
          <w:lang w:val="en-GB"/>
        </w:rPr>
        <w:t>, p. 27.</w:t>
      </w:r>
      <w:r>
        <w:fldChar w:fldCharType="end"/>
      </w:r>
    </w:p>
  </w:footnote>
  <w:footnote w:id="23">
    <w:p w14:paraId="189F6A41" w14:textId="77777777" w:rsidR="00F64DDC" w:rsidRPr="008853E7" w:rsidRDefault="00F64DDC" w:rsidP="00880183">
      <w:pPr>
        <w:pStyle w:val="Notedebasdepage"/>
        <w:jc w:val="both"/>
        <w:rPr>
          <w:lang w:val="en-GB"/>
        </w:rPr>
      </w:pPr>
      <w:r>
        <w:rPr>
          <w:rStyle w:val="Appelnotedebasdep"/>
        </w:rPr>
        <w:footnoteRef/>
      </w:r>
      <w:r w:rsidRPr="008853E7">
        <w:rPr>
          <w:lang w:val="en-GB"/>
        </w:rPr>
        <w:t xml:space="preserve"> </w:t>
      </w:r>
      <w:r>
        <w:fldChar w:fldCharType="begin"/>
      </w:r>
      <w:r>
        <w:rPr>
          <w:lang w:val="en-GB"/>
        </w:rPr>
        <w:instrText xml:space="preserve"> ADDIN ZOTERO_ITEM CSL_CITATION {"citationID":"rJ8tLTb1","properties":{"formattedCitation":"{\\i{}Ibid.}, p. 17.","plainCitation":"Ibid., p. 17.","noteIndex":23},"citationItems":[{"id":483,"uris":["http://zotero.org/users/local/0X1c0osY/items/5HEKPYD7"],"uri":["http://zotero.org/users/local/0X1c0osY/items/5HEKPYD7"],"itemData":{"id":483,"type":"book","event-place":"Bruxelles","publisher":"Fondation Roi Baudouin","publisher-place":"Bruxelles","title":"Een juridisch verkenning van de grijze zone tussen vrijwilligerswerk en professionele arbeid","URL":"file:///C:/Users/u187754/AppData/Local/Temp/PUB%201282%20Een%20juridische%20verkenning%20van%20de%20grijze%20zone.pdf","author":[{"family":"Bouckaert","given":"Steve"},{"family":"Van Buggenhout","given":"Beatrice"}],"issued":{"date-parts":[["2002"]]}},"locator":"17"}],"schema":"https://github.com/citation-style-language/schema/raw/master/csl-citation.json"} </w:instrText>
      </w:r>
      <w:r>
        <w:fldChar w:fldCharType="separate"/>
      </w:r>
      <w:r w:rsidRPr="008853E7">
        <w:rPr>
          <w:rFonts w:ascii="Calibri" w:hAnsi="Calibri" w:cs="Calibri"/>
          <w:i/>
          <w:iCs/>
          <w:szCs w:val="24"/>
          <w:lang w:val="en-GB"/>
        </w:rPr>
        <w:t>Ibid.</w:t>
      </w:r>
      <w:r w:rsidRPr="008853E7">
        <w:rPr>
          <w:rFonts w:ascii="Calibri" w:hAnsi="Calibri" w:cs="Calibri"/>
          <w:szCs w:val="24"/>
          <w:lang w:val="en-GB"/>
        </w:rPr>
        <w:t>, p. 17.</w:t>
      </w:r>
      <w:r>
        <w:fldChar w:fldCharType="end"/>
      </w:r>
    </w:p>
  </w:footnote>
  <w:footnote w:id="24">
    <w:p w14:paraId="36BC03CD" w14:textId="77777777" w:rsidR="00F64DDC" w:rsidRPr="006201C6" w:rsidRDefault="00F64DDC" w:rsidP="00880183">
      <w:pPr>
        <w:pStyle w:val="Notedebasdepage"/>
        <w:jc w:val="both"/>
        <w:rPr>
          <w:lang w:val="en-GB"/>
        </w:rPr>
      </w:pPr>
      <w:r>
        <w:rPr>
          <w:rStyle w:val="Appelnotedebasdep"/>
        </w:rPr>
        <w:footnoteRef/>
      </w:r>
      <w:r w:rsidRPr="006201C6">
        <w:rPr>
          <w:lang w:val="en-GB"/>
        </w:rPr>
        <w:t xml:space="preserve"> </w:t>
      </w:r>
      <w:r>
        <w:fldChar w:fldCharType="begin"/>
      </w:r>
      <w:r>
        <w:rPr>
          <w:lang w:val="en-GB"/>
        </w:rPr>
        <w:instrText xml:space="preserve"> ADDIN ZOTERO_ITEM CSL_CITATION {"citationID":"zJptlxbI","properties":{"formattedCitation":"{\\i{}Ibid.}, p. 46.","plainCitation":"Ibid., p. 46.","noteIndex":24},"citationItems":[{"id":483,"uris":["http://zotero.org/users/local/0X1c0osY/items/5HEKPYD7"],"uri":["http://zotero.org/users/local/0X1c0osY/items/5HEKPYD7"],"itemData":{"id":483,"type":"book","event-place":"Bruxelles","publisher":"Fondation Roi Baudouin","publisher-place":"Bruxelles","title":"Een juridisch verkenning van de grijze zone tussen vrijwilligerswerk en professionele arbeid","URL":"file:///C:/Users/u187754/AppData/Local/Temp/PUB%201282%20Een%20juridische%20verkenning%20van%20de%20grijze%20zone.pdf","author":[{"family":"Bouckaert","given":"Steve"},{"family":"Van Buggenhout","given":"Beatrice"}],"issued":{"date-parts":[["2002"]]}},"locator":"46"}],"schema":"https://github.com/citation-style-language/schema/raw/master/csl-citation.json"} </w:instrText>
      </w:r>
      <w:r>
        <w:fldChar w:fldCharType="separate"/>
      </w:r>
      <w:r w:rsidRPr="006201C6">
        <w:rPr>
          <w:rFonts w:ascii="Calibri" w:hAnsi="Calibri" w:cs="Calibri"/>
          <w:i/>
          <w:iCs/>
          <w:szCs w:val="24"/>
          <w:lang w:val="en-GB"/>
        </w:rPr>
        <w:t>Ibid.</w:t>
      </w:r>
      <w:r w:rsidRPr="006201C6">
        <w:rPr>
          <w:rFonts w:ascii="Calibri" w:hAnsi="Calibri" w:cs="Calibri"/>
          <w:szCs w:val="24"/>
          <w:lang w:val="en-GB"/>
        </w:rPr>
        <w:t>, p. 46.</w:t>
      </w:r>
      <w:r>
        <w:fldChar w:fldCharType="end"/>
      </w:r>
    </w:p>
  </w:footnote>
  <w:footnote w:id="25">
    <w:p w14:paraId="65EA8E30" w14:textId="77777777" w:rsidR="00F64DDC" w:rsidRPr="00306632" w:rsidRDefault="00F64DDC" w:rsidP="00880183">
      <w:pPr>
        <w:pStyle w:val="Notedebasdepage"/>
        <w:jc w:val="both"/>
        <w:rPr>
          <w:lang w:val="en-GB"/>
        </w:rPr>
      </w:pPr>
      <w:r>
        <w:rPr>
          <w:rStyle w:val="Appelnotedebasdep"/>
        </w:rPr>
        <w:footnoteRef/>
      </w:r>
      <w:r w:rsidRPr="00306632">
        <w:rPr>
          <w:lang w:val="en-GB"/>
        </w:rPr>
        <w:t xml:space="preserve"> </w:t>
      </w:r>
      <w:r>
        <w:fldChar w:fldCharType="begin"/>
      </w:r>
      <w:r w:rsidRPr="00306632">
        <w:rPr>
          <w:lang w:val="en-GB"/>
        </w:rPr>
        <w:instrText xml:space="preserve"> ADDIN ZOTERO_ITEM CSL_CITATION {"citationID":"VdiHTrIX","properties":{"formattedCitation":"{\\i{}Ibid.}, p. 41.","plainCitation":"Ibid., p. 41.","noteIndex":25},"citationItems":[{"id":483,"uris":["http://zotero.org/users/local/0X1c0osY/items/5HEKPYD7"],"uri":["http://zotero.org/users/local/0X1c0osY/items/5HEKPYD7"],"itemData":{"id":483,"type":"book","event-place":"Bruxelles","publisher":"Fondation Roi Baudouin","publisher-place":"Bruxelles","title":"Een juridisch verkenning van de grijze zone tussen vrijwilligerswerk en professionele arbeid","URL":"file:///C:/Users/u187754/AppData/Local/Temp/PUB%201282%20Een%20juridische%20verkenning%20van%20de%20grijze%20zone.pdf","author":[{"family":"Bouckaert","given":"Steve"},{"family":"Van Buggenhout","given":"Beatrice"}],"issued":{"date-parts":[["2002"]]}},"locator":"41"}],"schema":"https://github.com/citation-style-language/schema/raw/master/csl-citation.json"} </w:instrText>
      </w:r>
      <w:r>
        <w:fldChar w:fldCharType="separate"/>
      </w:r>
      <w:r w:rsidRPr="00306632">
        <w:rPr>
          <w:rFonts w:ascii="Calibri" w:hAnsi="Calibri" w:cs="Calibri"/>
          <w:i/>
          <w:iCs/>
          <w:szCs w:val="24"/>
          <w:lang w:val="en-GB"/>
        </w:rPr>
        <w:t>Ibid.</w:t>
      </w:r>
      <w:r w:rsidRPr="00306632">
        <w:rPr>
          <w:rFonts w:ascii="Calibri" w:hAnsi="Calibri" w:cs="Calibri"/>
          <w:szCs w:val="24"/>
          <w:lang w:val="en-GB"/>
        </w:rPr>
        <w:t>, p. 41.</w:t>
      </w:r>
      <w:r>
        <w:fldChar w:fldCharType="end"/>
      </w:r>
    </w:p>
  </w:footnote>
  <w:footnote w:id="26">
    <w:p w14:paraId="725DA28C" w14:textId="77777777" w:rsidR="00F64DDC" w:rsidRPr="00306632" w:rsidRDefault="00F64DDC" w:rsidP="00880183">
      <w:pPr>
        <w:pStyle w:val="Notedebasdepage"/>
        <w:jc w:val="both"/>
        <w:rPr>
          <w:lang w:val="en-GB"/>
        </w:rPr>
      </w:pPr>
      <w:r>
        <w:rPr>
          <w:rStyle w:val="Appelnotedebasdep"/>
        </w:rPr>
        <w:footnoteRef/>
      </w:r>
      <w:r w:rsidRPr="00306632">
        <w:rPr>
          <w:lang w:val="en-GB"/>
        </w:rPr>
        <w:t xml:space="preserve"> </w:t>
      </w:r>
      <w:r>
        <w:fldChar w:fldCharType="begin"/>
      </w:r>
      <w:r w:rsidRPr="00306632">
        <w:rPr>
          <w:lang w:val="en-GB"/>
        </w:rPr>
        <w:instrText xml:space="preserve"> ADDIN ZOTERO_ITEM CSL_CITATION {"citationID":"bR91pDqK","properties":{"formattedCitation":"{\\i{}Ibid.}, p. 46.","plainCitation":"Ibid., p. 46.","noteIndex":26},"citationItems":[{"id":483,"uris":["http://zotero.org/users/local/0X1c0osY/items/5HEKPYD7"],"uri":["http://zotero.org/users/local/0X1c0osY/items/5HEKPYD7"],"itemData":{"id":483,"type":"book","event-place":"Bruxelles","publisher":"Fondation Roi Baudouin","publisher-place":"Bruxelles","title":"Een juridisch verkenning van de grijze zone tussen vrijwilligerswerk en professionele arbeid","URL":"file:///C:/Users/u187754/AppData/Local/Temp/PUB%201282%20Een%20juridische%20verkenning%20van%20de%20grijze%20zone.pdf","author":[{"family":"Bouckaert","given":"Steve"},{"family":"Van Buggenhout","given":"Beatrice"}],"issued":{"date-parts":[["2002"]]}},"locator":"46"}],"schema":"https://github.com/citation-style-language/schema/raw/master/csl-citation.json"} </w:instrText>
      </w:r>
      <w:r>
        <w:fldChar w:fldCharType="separate"/>
      </w:r>
      <w:r w:rsidRPr="00306632">
        <w:rPr>
          <w:rFonts w:ascii="Calibri" w:hAnsi="Calibri" w:cs="Calibri"/>
          <w:i/>
          <w:iCs/>
          <w:szCs w:val="24"/>
          <w:lang w:val="en-GB"/>
        </w:rPr>
        <w:t>Ibid.</w:t>
      </w:r>
      <w:r w:rsidRPr="00306632">
        <w:rPr>
          <w:rFonts w:ascii="Calibri" w:hAnsi="Calibri" w:cs="Calibri"/>
          <w:szCs w:val="24"/>
          <w:lang w:val="en-GB"/>
        </w:rPr>
        <w:t>, p. 46.</w:t>
      </w:r>
      <w:r>
        <w:fldChar w:fldCharType="end"/>
      </w:r>
    </w:p>
  </w:footnote>
  <w:footnote w:id="27">
    <w:p w14:paraId="0D31D045" w14:textId="068262A8" w:rsidR="00F64DDC" w:rsidRPr="00B90C45" w:rsidRDefault="00F64DDC" w:rsidP="00880183">
      <w:pPr>
        <w:pStyle w:val="Notedebasdepage"/>
        <w:jc w:val="both"/>
      </w:pPr>
      <w:r>
        <w:rPr>
          <w:rStyle w:val="Appelnotedebasdep"/>
        </w:rPr>
        <w:footnoteRef/>
      </w:r>
      <w:r w:rsidRPr="00765E2A">
        <w:rPr>
          <w:lang w:val="en-GB"/>
        </w:rPr>
        <w:t xml:space="preserve"> </w:t>
      </w:r>
      <w:r>
        <w:fldChar w:fldCharType="begin"/>
      </w:r>
      <w:r w:rsidRPr="00765E2A">
        <w:rPr>
          <w:lang w:val="en-GB"/>
        </w:rPr>
        <w:instrText xml:space="preserve"> ADDIN ZOTERO_ITEM CSL_CITATION {"citationID":"jVZUX1lj","properties":{"formattedCitation":"{\\i{}Ibid.}, p. 12\\uc0\\u160{}; J. {\\scaps De Wortelaer} et G. {\\scaps Van Limberghen}, {\\i{}Opdracht voor het uitwerken van een specifiek statuut voor semi-agorale arbeid voor de sportbegeleider dat betaalbaar is voor de sportaanbieders, minimale administratieve lasten omvat en een billijke verloning van de sportbegeleider mogelijk maakt. Eindrappoort}, Bruxelles, VUB, 2013, p. 1, disponible sur https://kics.sport.vlaanderen/Tewerkstelling/Gedeelde%20%20documenten/Semi-agorale%20arbeid/130830_VUB_Eindrapport_semi-agorale_arbeid.pdf.","plainCitation":"Ibid., p. 12 ; J. De Wortelaer et G. Van Limberghen, Opdracht voor het uitwerken van een specifiek statuut voor semi-agorale arbeid voor de sportbegeleider dat betaalbaar is voor de sportaanbieders, minimale administratieve lasten omvat en een billijke verloning van de sportbegeleider mogelijk maakt. Eindrappoort, Bruxelles, VUB, 2013, p. 1, disponible sur https://kics.sport.vlaanderen/Tewerkstelling/Gedeelde%20%20documenten/Semi-agorale%20arbeid/130830_VUB_Eindrapport_semi-agorale_arbeid.pdf.","dontUpdate":true,"noteIndex":27},"citationItems":[{"id":483,"uris":["http://zotero.org/users/loc</w:instrText>
      </w:r>
      <w:r w:rsidRPr="00F6374E">
        <w:rPr>
          <w:lang w:val="en-GB"/>
        </w:rPr>
        <w:instrText xml:space="preserve">al/0X1c0osY/items/5HEKPYD7"],"uri":["http://zotero.org/users/local/0X1c0osY/items/5HEKPYD7"],"itemData":{"id":483,"type":"book","event-place":"Bruxelles","publisher":"Fondation Roi Baudouin","publisher-place":"Bruxelles","title":"Een juridisch verkenning van de grijze zone tussen vrijwilligerswerk en professionele arbeid","URL":"file:///C:/Users/u187754/AppData/Local/Temp/PUB%201282%20Een%20juridische%20verkenning%20van%20de%20grijze%20zone.pdf","author":[{"family":"Bouckaert","given":"Steve"},{"family":"Van Buggenhout","given":"Beatrice"}],"issued":{"date-parts":[["2002"]]}},"locator":"12"},{"id":484,"uris":["http://zotero.org/users/local/0X1c0osY/items/D7QLR94E"],"uri":["http://zotero.org/users/local/0X1c0osY/items/D7QLR94E"],"itemData":{"id":484,"type":"book","event-place":"Bruxelles","publisher":"VUB","publisher-place":"Bruxelles","title":"Opdracht voor het uitwerken van een specifiek statuut voor semi-agorale arbeid voor de sportbegeleider dat betaalbaar is voor de sportaanbieders, minimale administratieve lasten omvat en een billijke verloning van de sportbegeleider mogelijk maakt. Eindrappoort","URL":"https://kics.sport.vlaanderen/Tewerkstelling/Gedeelde%20%20documenten/Semi-agorale%20arbeid/130830_VUB_Eindrapport_semi-agorale_arbeid.pdf","author":[{"family":"De Wortelaer","given":"J"},{"family":"Van Limberghen","given":"G."}],"issued":{"date-parts":[["2013"]]}},"locator":"1"}],"schema":"https://github.com/citation-style-language/schema/raw/master/csl-citation.json"} </w:instrText>
      </w:r>
      <w:r>
        <w:fldChar w:fldCharType="separate"/>
      </w:r>
      <w:r w:rsidRPr="00F6374E">
        <w:rPr>
          <w:rFonts w:ascii="Calibri" w:hAnsi="Calibri" w:cs="Calibri"/>
          <w:i/>
          <w:iCs/>
          <w:szCs w:val="24"/>
          <w:lang w:val="en-GB"/>
        </w:rPr>
        <w:t>Ibid.</w:t>
      </w:r>
      <w:r w:rsidRPr="00F6374E">
        <w:rPr>
          <w:rFonts w:ascii="Calibri" w:hAnsi="Calibri" w:cs="Calibri"/>
          <w:szCs w:val="24"/>
          <w:lang w:val="en-GB"/>
        </w:rPr>
        <w:t xml:space="preserve">, p. 12; J. </w:t>
      </w:r>
      <w:r w:rsidRPr="00F6374E">
        <w:rPr>
          <w:rFonts w:ascii="Calibri" w:hAnsi="Calibri" w:cs="Calibri"/>
          <w:smallCaps/>
          <w:szCs w:val="24"/>
          <w:lang w:val="en-GB"/>
        </w:rPr>
        <w:t>De Wortelaer</w:t>
      </w:r>
      <w:r w:rsidRPr="00F6374E">
        <w:rPr>
          <w:rFonts w:ascii="Calibri" w:hAnsi="Calibri" w:cs="Calibri"/>
          <w:szCs w:val="24"/>
          <w:lang w:val="en-GB"/>
        </w:rPr>
        <w:t xml:space="preserve"> et G. </w:t>
      </w:r>
      <w:r w:rsidRPr="00F6374E">
        <w:rPr>
          <w:rFonts w:ascii="Calibri" w:hAnsi="Calibri" w:cs="Calibri"/>
          <w:smallCaps/>
          <w:szCs w:val="24"/>
          <w:lang w:val="en-GB"/>
        </w:rPr>
        <w:t>Van Limberghen</w:t>
      </w:r>
      <w:r w:rsidRPr="00F6374E">
        <w:rPr>
          <w:rFonts w:ascii="Calibri" w:hAnsi="Calibri" w:cs="Calibri"/>
          <w:szCs w:val="24"/>
          <w:lang w:val="en-GB"/>
        </w:rPr>
        <w:t xml:space="preserve">, </w:t>
      </w:r>
      <w:r w:rsidRPr="00F6374E">
        <w:rPr>
          <w:rFonts w:ascii="Calibri" w:hAnsi="Calibri" w:cs="Calibri"/>
          <w:i/>
          <w:iCs/>
          <w:szCs w:val="24"/>
          <w:lang w:val="en-GB"/>
        </w:rPr>
        <w:t>Opdracht voor het uitwerken van een specifiek statuut voor semi-agorale arbeid voor de sportbegeleider dat betaalbaar is voor de sportaanbieders, minimale administratieve lasten omvat en een bi</w:t>
      </w:r>
      <w:r w:rsidRPr="008853E7">
        <w:rPr>
          <w:rFonts w:ascii="Calibri" w:hAnsi="Calibri" w:cs="Calibri"/>
          <w:i/>
          <w:iCs/>
          <w:szCs w:val="24"/>
          <w:lang w:val="nl-BE"/>
        </w:rPr>
        <w:t xml:space="preserve">llijke verloning van de sportbegeleider mogelijk maakt. </w:t>
      </w:r>
      <w:r w:rsidRPr="00453B98">
        <w:rPr>
          <w:rFonts w:ascii="Calibri" w:hAnsi="Calibri" w:cs="Calibri"/>
          <w:i/>
          <w:iCs/>
          <w:szCs w:val="24"/>
        </w:rPr>
        <w:t>Eindrappoort</w:t>
      </w:r>
      <w:r w:rsidRPr="00453B98">
        <w:rPr>
          <w:rFonts w:ascii="Calibri" w:hAnsi="Calibri" w:cs="Calibri"/>
          <w:szCs w:val="24"/>
        </w:rPr>
        <w:t>, Bruxelles, VUB, 2013, p. 1, disponible sur https://kics.sport.vlaanderen/Tewerkstelling/Gedeelde%20%20documenten/Semi-agorale%20arbeid/130830_VUB_Eindrapport_semi-agorale_arbeid.pdf.</w:t>
      </w:r>
      <w:r>
        <w:fldChar w:fldCharType="end"/>
      </w:r>
    </w:p>
  </w:footnote>
  <w:footnote w:id="28">
    <w:p w14:paraId="4B0FA0D6" w14:textId="77777777" w:rsidR="00F64DDC" w:rsidRPr="00542D26" w:rsidRDefault="00F64DDC" w:rsidP="00880183">
      <w:pPr>
        <w:pStyle w:val="Notedebasdepage"/>
        <w:jc w:val="both"/>
        <w:rPr>
          <w:lang w:val="nl-BE"/>
        </w:rPr>
      </w:pPr>
      <w:r>
        <w:rPr>
          <w:rStyle w:val="Appelnotedebasdep"/>
        </w:rPr>
        <w:footnoteRef/>
      </w:r>
      <w:r w:rsidRPr="00542D26">
        <w:t xml:space="preserve"> On peut citer à titre d’exemple le cas des accom</w:t>
      </w:r>
      <w:r>
        <w:t xml:space="preserve">pagnateurs sportifs, qui peuvent voir leur grille horaire évoluer au fur et à mesure de l’année, au rythme de la saison. Il n’est ainsi pas rare de voir des matchs et des entraînements programmés pendant les week-ends et les jours fériés. </w:t>
      </w:r>
      <w:r>
        <w:fldChar w:fldCharType="begin"/>
      </w:r>
      <w:r>
        <w:instrText xml:space="preserve"> ADDIN ZOTERO_ITEM CSL_CITATION {"citationID":"Pecz1LPN","properties":{"formattedCitation":"J. {\\scaps De Wortelaer} et G. {\\scaps Van Limberghen}, {\\i{}Opdracht voor het uitwerken van een specifiek statuut voor semi-agorale arbeid voor de sportbegeleider dat betaalbaar is voor de sportaanbieders, minimale administratieve lasten omvat en een billijke verloning van de sportbegeleider mogelijk maakt. Eindrappoort}, {\\i{}op. cit.}, p. 3.","plainCitation":"J. De Wortelaer et G. Van Limberghen, Opdracht voor het uitwerken van een specifiek statuut voor semi-agorale arbeid voor de sportbegeleider dat betaalbaar is voor de sportaanbieders, minimale administratieve lasten omvat en een billijke verloning van de sportbegeleider mogelijk maakt. Eindrappoort, op. cit., p. 3.","noteIndex":28},"citationItems":[{"id":484,"uris":["http://zotero.org/users/local/0X1c0osY/items/D7QLR94E"],"uri":["http://zotero.org/users/local/0X1c0osY/items/D7QLR94E"],"itemData":{"id":484,"type":"book","event-place":"Bruxelles","publisher":"VUB","publisher-place":"Bruxelles","title":"Opdracht voor het uitwerken van een specifiek statuut voor semi-agorale arbeid voor de sportbegeleider dat betaalbaar is voor de sportaanbieders, minimale administratieve lasten omvat en een billijke verloning van de sportbegeleider mogelijk maakt. Eindrappoort","URL":"https://kics.sport.vlaanderen/Tewerkstelling/Gedeelde%20%20documenten/Semi-agorale%20arbeid/130830_VUB_Eindrapport_semi-agorale_arbeid.pdf","author":[{"family":"De Wortelaer","given":"J"},{"family":"Van Limberghen","given":"G."}],"issued":{"date-parts":[["2013"]]}},"locator":"3"}],"schema":"https://github.com/citation-style-language/schema/raw/master/csl-citation.json"} </w:instrText>
      </w:r>
      <w:r>
        <w:fldChar w:fldCharType="separate"/>
      </w:r>
      <w:r w:rsidRPr="00900084">
        <w:rPr>
          <w:rFonts w:ascii="Calibri" w:hAnsi="Calibri" w:cs="Calibri"/>
          <w:szCs w:val="24"/>
          <w:lang w:val="nl-BE"/>
        </w:rPr>
        <w:t xml:space="preserve">J. </w:t>
      </w:r>
      <w:r w:rsidRPr="00900084">
        <w:rPr>
          <w:rFonts w:ascii="Calibri" w:hAnsi="Calibri" w:cs="Calibri"/>
          <w:smallCaps/>
          <w:szCs w:val="24"/>
          <w:lang w:val="nl-BE"/>
        </w:rPr>
        <w:t>De Wortelaer</w:t>
      </w:r>
      <w:r w:rsidRPr="00900084">
        <w:rPr>
          <w:rFonts w:ascii="Calibri" w:hAnsi="Calibri" w:cs="Calibri"/>
          <w:szCs w:val="24"/>
          <w:lang w:val="nl-BE"/>
        </w:rPr>
        <w:t xml:space="preserve"> et G. </w:t>
      </w:r>
      <w:r w:rsidRPr="00900084">
        <w:rPr>
          <w:rFonts w:ascii="Calibri" w:hAnsi="Calibri" w:cs="Calibri"/>
          <w:smallCaps/>
          <w:szCs w:val="24"/>
          <w:lang w:val="nl-BE"/>
        </w:rPr>
        <w:t>Van Limberghen</w:t>
      </w:r>
      <w:r w:rsidRPr="00900084">
        <w:rPr>
          <w:rFonts w:ascii="Calibri" w:hAnsi="Calibri" w:cs="Calibri"/>
          <w:szCs w:val="24"/>
          <w:lang w:val="nl-BE"/>
        </w:rPr>
        <w:t xml:space="preserve">, </w:t>
      </w:r>
      <w:r w:rsidRPr="00900084">
        <w:rPr>
          <w:rFonts w:ascii="Calibri" w:hAnsi="Calibri" w:cs="Calibri"/>
          <w:i/>
          <w:iCs/>
          <w:szCs w:val="24"/>
          <w:lang w:val="nl-BE"/>
        </w:rPr>
        <w:t>Opdracht voor het uitwerken van een specifiek statuut voor semi-agorale arbeid voor de sportbegeleider dat betaalbaar is voor de sportaanbieders, minimale administratieve lasten omvat en een billijke verloning van de sportbegeleider mogelijk maakt. Eindrappoort</w:t>
      </w:r>
      <w:r w:rsidRPr="00900084">
        <w:rPr>
          <w:rFonts w:ascii="Calibri" w:hAnsi="Calibri" w:cs="Calibri"/>
          <w:szCs w:val="24"/>
          <w:lang w:val="nl-BE"/>
        </w:rPr>
        <w:t xml:space="preserve">, </w:t>
      </w:r>
      <w:r w:rsidRPr="00900084">
        <w:rPr>
          <w:rFonts w:ascii="Calibri" w:hAnsi="Calibri" w:cs="Calibri"/>
          <w:i/>
          <w:iCs/>
          <w:szCs w:val="24"/>
          <w:lang w:val="nl-BE"/>
        </w:rPr>
        <w:t>op. cit.</w:t>
      </w:r>
      <w:r w:rsidRPr="00900084">
        <w:rPr>
          <w:rFonts w:ascii="Calibri" w:hAnsi="Calibri" w:cs="Calibri"/>
          <w:szCs w:val="24"/>
          <w:lang w:val="nl-BE"/>
        </w:rPr>
        <w:t>, p. 3.</w:t>
      </w:r>
      <w:r>
        <w:fldChar w:fldCharType="end"/>
      </w:r>
    </w:p>
  </w:footnote>
  <w:footnote w:id="29">
    <w:p w14:paraId="319A0D4E" w14:textId="77777777" w:rsidR="00F64DDC" w:rsidRPr="00900084" w:rsidRDefault="00F64DDC" w:rsidP="00880183">
      <w:pPr>
        <w:pStyle w:val="Notedebasdepage"/>
        <w:jc w:val="both"/>
      </w:pPr>
      <w:r>
        <w:rPr>
          <w:rStyle w:val="Appelnotedebasdep"/>
        </w:rPr>
        <w:footnoteRef/>
      </w:r>
      <w:r w:rsidRPr="004919C4">
        <w:rPr>
          <w:lang w:val="nl-BE"/>
        </w:rPr>
        <w:t xml:space="preserve"> </w:t>
      </w:r>
      <w:r>
        <w:fldChar w:fldCharType="begin"/>
      </w:r>
      <w:r>
        <w:rPr>
          <w:lang w:val="nl-BE"/>
        </w:rPr>
        <w:instrText xml:space="preserve"> ADDIN ZOTERO_ITEM CSL_CITATION {"citationID":"PHgxldAl","properties":{"formattedCitation":"S. {\\scaps Bouckaert} et B. {\\scaps Van Buggenhout}, {\\i{}Een juridisch verkenning van de grijze zone tussen vrijwilligerswerk en professionele arbeid}, {\\i{}op. cit.}, p. 107\\uc0\\u160{}; J. {\\scaps De Wortelaer} et G. {\\scaps Van Limberghen}, {\\i{}Opdracht voor het uitwerken van een specifiek statuut voor semi-agorale arbeid voor de sportbegeleider dat betaalbaar is voor de sportaanbieders, minimale administratieve lasten omvat en een billijke verloning van de sportbegeleider mogelijk maakt. Eindrappoort}, {\\i{}op. cit.}","plainCitation":"S. Bouckaert et B. Van Buggenhout, Een juridisch verkenning van de grijze zone tussen vrijwilligerswerk en professionele arbeid, op. cit., p. 107 ; J. De Wortelaer et G. Van Limberghen, Opdracht voor het uitwerken van een specifiek statuut voor semi-agorale arbeid voor de sportbegeleider dat betaalbaar is voor de sportaanbieders, minimale administratieve lasten omvat en een billijke verloning van de sportbegeleider mogelijk maakt. Eindrappoort, op. cit.","noteIndex":29},"citationItems":[{"id":483,"uris":["http://zotero.org/users/local/0X1c0osY/items/5HEKPYD7"],"uri":["http://zotero.org/users/local/0X1c0osY/items/5HEKPYD7"],"itemData":{"id":483,"type":"book","event-place":"Bruxelles","publisher":"Fondation Roi Baudouin","publisher-place":"Bruxelles","title":"Een juridisch verkenning van de grijze zone tussen vrijwilligerswerk en professionele arbeid","URL":"file:///C:/Users/u187754/AppData/Local/Temp/PUB%201282%20Een%20juridische%20verkenning%20van%20de%20grijze%20zone.pdf","author":[{"family":"Bouckaert","given":"Steve"},{"family":"Van Buggenhout","given":"Beatrice"}],"issued":{"date-parts":[["2002"]]}},"locator":"107"},{"id":484,"uris":["http://zotero.org/users/local/0X1c0osY/items/D7QLR94E"],"uri":["http://zotero.org/users/local/0X1c0osY/items/D7QLR94E"],"itemData":{"id":484,"type":"book","event-place":"Bruxelles","publisher":"VUB","publisher-place":"Bruxelles","title":"Opdracht voor het uitwerken van een specifiek statuut voor semi-agorale arbeid voor de sportbegeleider dat betaalbaar is voor de sportaanbieders, minimale administratieve lasten omvat en een billijke verloning van de sportbegeleider mogelijk maakt. Eindrappoort","URL":"https://kics.sport.vlaanderen/Tewerkstelling/Gedeelde%20%20documenten/Semi-agorale%20arbeid/130830_VUB_Eindrapport_semi-agorale_arbeid.pdf","author":[{"family":"De Wortelaer","given":"J"},{"family":"Van Limberghen","given":"G."}],"issued":{"date-parts":[["2013"]]}}}],"schema":"https://github.com/citation-style-language/schema/raw/master/csl-citation.json"} </w:instrText>
      </w:r>
      <w:r>
        <w:fldChar w:fldCharType="separate"/>
      </w:r>
      <w:r w:rsidRPr="00900084">
        <w:rPr>
          <w:rFonts w:ascii="Calibri" w:hAnsi="Calibri" w:cs="Calibri"/>
          <w:szCs w:val="24"/>
          <w:lang w:val="nl-BE"/>
        </w:rPr>
        <w:t xml:space="preserve">S. </w:t>
      </w:r>
      <w:r w:rsidRPr="00900084">
        <w:rPr>
          <w:rFonts w:ascii="Calibri" w:hAnsi="Calibri" w:cs="Calibri"/>
          <w:smallCaps/>
          <w:szCs w:val="24"/>
          <w:lang w:val="nl-BE"/>
        </w:rPr>
        <w:t>Bouckaert</w:t>
      </w:r>
      <w:r w:rsidRPr="00900084">
        <w:rPr>
          <w:rFonts w:ascii="Calibri" w:hAnsi="Calibri" w:cs="Calibri"/>
          <w:szCs w:val="24"/>
          <w:lang w:val="nl-BE"/>
        </w:rPr>
        <w:t xml:space="preserve"> et B. </w:t>
      </w:r>
      <w:r w:rsidRPr="00900084">
        <w:rPr>
          <w:rFonts w:ascii="Calibri" w:hAnsi="Calibri" w:cs="Calibri"/>
          <w:smallCaps/>
          <w:szCs w:val="24"/>
          <w:lang w:val="nl-BE"/>
        </w:rPr>
        <w:t>Van Buggenhout</w:t>
      </w:r>
      <w:r w:rsidRPr="00900084">
        <w:rPr>
          <w:rFonts w:ascii="Calibri" w:hAnsi="Calibri" w:cs="Calibri"/>
          <w:szCs w:val="24"/>
          <w:lang w:val="nl-BE"/>
        </w:rPr>
        <w:t xml:space="preserve">, </w:t>
      </w:r>
      <w:r w:rsidRPr="00900084">
        <w:rPr>
          <w:rFonts w:ascii="Calibri" w:hAnsi="Calibri" w:cs="Calibri"/>
          <w:i/>
          <w:iCs/>
          <w:szCs w:val="24"/>
          <w:lang w:val="nl-BE"/>
        </w:rPr>
        <w:t>Een juridisch verkenning van de grijze zone tussen vrijwilligerswerk en professionele arbeid</w:t>
      </w:r>
      <w:r w:rsidRPr="00900084">
        <w:rPr>
          <w:rFonts w:ascii="Calibri" w:hAnsi="Calibri" w:cs="Calibri"/>
          <w:szCs w:val="24"/>
          <w:lang w:val="nl-BE"/>
        </w:rPr>
        <w:t xml:space="preserve">, </w:t>
      </w:r>
      <w:r w:rsidRPr="00900084">
        <w:rPr>
          <w:rFonts w:ascii="Calibri" w:hAnsi="Calibri" w:cs="Calibri"/>
          <w:i/>
          <w:iCs/>
          <w:szCs w:val="24"/>
          <w:lang w:val="nl-BE"/>
        </w:rPr>
        <w:t>op. cit.</w:t>
      </w:r>
      <w:r w:rsidRPr="00900084">
        <w:rPr>
          <w:rFonts w:ascii="Calibri" w:hAnsi="Calibri" w:cs="Calibri"/>
          <w:szCs w:val="24"/>
          <w:lang w:val="nl-BE"/>
        </w:rPr>
        <w:t xml:space="preserve">, p. 107 ; J. </w:t>
      </w:r>
      <w:r w:rsidRPr="00900084">
        <w:rPr>
          <w:rFonts w:ascii="Calibri" w:hAnsi="Calibri" w:cs="Calibri"/>
          <w:smallCaps/>
          <w:szCs w:val="24"/>
          <w:lang w:val="nl-BE"/>
        </w:rPr>
        <w:t>De Wortelaer</w:t>
      </w:r>
      <w:r w:rsidRPr="00900084">
        <w:rPr>
          <w:rFonts w:ascii="Calibri" w:hAnsi="Calibri" w:cs="Calibri"/>
          <w:szCs w:val="24"/>
          <w:lang w:val="nl-BE"/>
        </w:rPr>
        <w:t xml:space="preserve"> et G. </w:t>
      </w:r>
      <w:r w:rsidRPr="00900084">
        <w:rPr>
          <w:rFonts w:ascii="Calibri" w:hAnsi="Calibri" w:cs="Calibri"/>
          <w:smallCaps/>
          <w:szCs w:val="24"/>
          <w:lang w:val="nl-BE"/>
        </w:rPr>
        <w:t>Van Limberghen</w:t>
      </w:r>
      <w:r w:rsidRPr="00900084">
        <w:rPr>
          <w:rFonts w:ascii="Calibri" w:hAnsi="Calibri" w:cs="Calibri"/>
          <w:szCs w:val="24"/>
          <w:lang w:val="nl-BE"/>
        </w:rPr>
        <w:t xml:space="preserve">, </w:t>
      </w:r>
      <w:r w:rsidRPr="00900084">
        <w:rPr>
          <w:rFonts w:ascii="Calibri" w:hAnsi="Calibri" w:cs="Calibri"/>
          <w:i/>
          <w:iCs/>
          <w:szCs w:val="24"/>
          <w:lang w:val="nl-BE"/>
        </w:rPr>
        <w:t xml:space="preserve">Opdracht voor het uitwerken van een specifiek statuut voor semi-agorale arbeid voor de sportbegeleider dat betaalbaar is voor de sportaanbieders, minimale administratieve lasten omvat en een billijke verloning van de sportbegeleider mogelijk maakt. </w:t>
      </w:r>
      <w:r w:rsidRPr="00C90E54">
        <w:rPr>
          <w:rFonts w:ascii="Calibri" w:hAnsi="Calibri" w:cs="Calibri"/>
          <w:i/>
          <w:iCs/>
          <w:szCs w:val="24"/>
        </w:rPr>
        <w:t>Eindrappoort</w:t>
      </w:r>
      <w:r w:rsidRPr="00C90E54">
        <w:rPr>
          <w:rFonts w:ascii="Calibri" w:hAnsi="Calibri" w:cs="Calibri"/>
          <w:szCs w:val="24"/>
        </w:rPr>
        <w:t xml:space="preserve">, </w:t>
      </w:r>
      <w:r w:rsidRPr="00C90E54">
        <w:rPr>
          <w:rFonts w:ascii="Calibri" w:hAnsi="Calibri" w:cs="Calibri"/>
          <w:i/>
          <w:iCs/>
          <w:szCs w:val="24"/>
        </w:rPr>
        <w:t>op. cit.</w:t>
      </w:r>
      <w:r>
        <w:fldChar w:fldCharType="end"/>
      </w:r>
    </w:p>
  </w:footnote>
  <w:footnote w:id="30">
    <w:p w14:paraId="7DFD41D3" w14:textId="77777777" w:rsidR="00F64DDC" w:rsidRPr="00C6498C" w:rsidRDefault="00F64DDC" w:rsidP="00880183">
      <w:pPr>
        <w:pStyle w:val="Notedebasdepage"/>
        <w:jc w:val="both"/>
      </w:pPr>
      <w:r>
        <w:rPr>
          <w:rStyle w:val="Appelnotedebasdep"/>
        </w:rPr>
        <w:footnoteRef/>
      </w:r>
      <w:r>
        <w:t xml:space="preserve"> Pour une étude approfondie de l’application de la loi de 2018 à l’économie de plateforme, nous renvoyons le</w:t>
      </w:r>
      <w:r w:rsidR="00127AAB">
        <w:t xml:space="preserve"> lecteur aux auteurs suivants :</w:t>
      </w:r>
      <w:r>
        <w:t xml:space="preserve"> </w:t>
      </w:r>
      <w:r>
        <w:fldChar w:fldCharType="begin"/>
      </w:r>
      <w:r w:rsidR="00794AC3">
        <w:instrText xml:space="preserve"> ADDIN ZOTERO_ITEM CSL_CITATION {"citationID":"5fiyNxrT","properties":{"formattedCitation":"S. {\\scaps Nerinckx}, \\uc0\\u171{}\\uc0\\u160{}De uberisering van de arbeidsmarkt: enkele bedenkingen bij het sociaal statuut van de actoren in de platformeconomie\\uc0\\u160{}\\uc0\\u187{}, {\\i{}R.D.S-T.S.R.}, 2018, pp. 3\\uc0\\u8209{}50\\uc0\\u160{}; J. {\\scaps Clesse}, F. {\\scaps K\\uc0\\u233{}fer} et Q. {\\scaps Cordier}, \\uc0\\u171{}\\uc0\\u160{}Le statut social des travailleurs de plateformes num\\uc0\\u233{}riques\\uc0\\u160{}\\uc0\\u187{}, {\\i{}in} J. {\\scaps Clesse} et F. {\\scaps K\\uc0\\u233{}fer} (\\uc0\\u233{}ds.), {\\i{}Enjeux et d\\uc0\\u233{}fis juridiques de l\\uc0\\u8217{}\\uc0\\u233{}conomie de plateforme}, CUP, Limal, Anth\\uc0\\u233{}mis, 2019, pp. 137\\uc0\\u8209{}184\\uc0\\u160{}; W. {\\scaps Van Eeckhoutte}, \\uc0\\u171{}\\uc0\\u160{}Les fr\\uc0\\u232{}res Jacques c. D\\uc0\\u233{}lub\\uc0\\u233{}ro\\uc0\\u160{}\\uc0\\u187{}, {\\i{}in} V. {\\scaps Huart} et F. {\\scaps K\\uc0\\u233{}fer} (\\uc0\\u233{}ds.), {\\i{}Casus de droit social}, CUP, Limal, Anth\\uc0\\u233{}mis, 2019, pp. 83\\uc0\\u8209{}103\\uc0\\u160{}; A. {\\scaps Lamine} et C. {\\scaps Wattecamps}, {\\i{}Quel droit social pour les travailleurs de plateforme\\uc0\\u8239{}? Premiers diagnostics et actualit\\uc0\\u233{}s l\\uc0\\u233{}gislatives}, Limal, Anth\\uc0\\u233{}mis, 2020\\uc0\\u160{}; S. {\\scaps Ghislain} et M. {\\scaps Verwilghen}, \\uc0\\u171{}\\uc0\\u160{}Le statut social des travailleurs de plateforme-premi\\uc0\\u232{}re partie\\uc0\\u160{}\\uc0\\u187{}, {\\i{}op. cit.}, pp. 536\\uc0\\u8209{}538.","plainCitation":"S. Nerinckx, « De uberisering van de arbeidsmarkt: enkele bedenkingen bij het sociaal statuut van de actoren in de platformeconomie », R.D.S-T.S.R., 2018, pp. 3</w:instrText>
      </w:r>
      <w:r w:rsidR="00794AC3">
        <w:rPr>
          <w:rFonts w:ascii="Cambria Math" w:hAnsi="Cambria Math" w:cs="Cambria Math"/>
        </w:rPr>
        <w:instrText>‑</w:instrText>
      </w:r>
      <w:r w:rsidR="00794AC3">
        <w:instrText>50</w:instrText>
      </w:r>
      <w:r w:rsidR="00794AC3">
        <w:rPr>
          <w:rFonts w:ascii="Calibri" w:hAnsi="Calibri" w:cs="Calibri"/>
        </w:rPr>
        <w:instrText> </w:instrText>
      </w:r>
      <w:r w:rsidR="00794AC3">
        <w:instrText>; J. Clesse, F. K</w:instrText>
      </w:r>
      <w:r w:rsidR="00794AC3">
        <w:rPr>
          <w:rFonts w:ascii="Calibri" w:hAnsi="Calibri" w:cs="Calibri"/>
        </w:rPr>
        <w:instrText>é</w:instrText>
      </w:r>
      <w:r w:rsidR="00794AC3">
        <w:instrText xml:space="preserve">fer et Q. Cordier, </w:instrText>
      </w:r>
      <w:r w:rsidR="00794AC3">
        <w:rPr>
          <w:rFonts w:ascii="Calibri" w:hAnsi="Calibri" w:cs="Calibri"/>
        </w:rPr>
        <w:instrText>« </w:instrText>
      </w:r>
      <w:r w:rsidR="00794AC3">
        <w:instrText>Le statut social des travailleurs de plateformes num</w:instrText>
      </w:r>
      <w:r w:rsidR="00794AC3">
        <w:rPr>
          <w:rFonts w:ascii="Calibri" w:hAnsi="Calibri" w:cs="Calibri"/>
        </w:rPr>
        <w:instrText>é</w:instrText>
      </w:r>
      <w:r w:rsidR="00794AC3">
        <w:instrText>riques</w:instrText>
      </w:r>
      <w:r w:rsidR="00794AC3">
        <w:rPr>
          <w:rFonts w:ascii="Calibri" w:hAnsi="Calibri" w:cs="Calibri"/>
        </w:rPr>
        <w:instrText> »</w:instrText>
      </w:r>
      <w:r w:rsidR="00794AC3">
        <w:instrText>, in J. Clesse et F. K</w:instrText>
      </w:r>
      <w:r w:rsidR="00794AC3">
        <w:rPr>
          <w:rFonts w:ascii="Calibri" w:hAnsi="Calibri" w:cs="Calibri"/>
        </w:rPr>
        <w:instrText>é</w:instrText>
      </w:r>
      <w:r w:rsidR="00794AC3">
        <w:instrText>fer (</w:instrText>
      </w:r>
      <w:r w:rsidR="00794AC3">
        <w:rPr>
          <w:rFonts w:ascii="Calibri" w:hAnsi="Calibri" w:cs="Calibri"/>
        </w:rPr>
        <w:instrText>é</w:instrText>
      </w:r>
      <w:r w:rsidR="00794AC3">
        <w:instrText>ds.), Enjeux et d</w:instrText>
      </w:r>
      <w:r w:rsidR="00794AC3">
        <w:rPr>
          <w:rFonts w:ascii="Calibri" w:hAnsi="Calibri" w:cs="Calibri"/>
        </w:rPr>
        <w:instrText>é</w:instrText>
      </w:r>
      <w:r w:rsidR="00794AC3">
        <w:instrText>fis juridiques de l</w:instrText>
      </w:r>
      <w:r w:rsidR="00794AC3">
        <w:rPr>
          <w:rFonts w:ascii="Calibri" w:hAnsi="Calibri" w:cs="Calibri"/>
        </w:rPr>
        <w:instrText>’é</w:instrText>
      </w:r>
      <w:r w:rsidR="00794AC3">
        <w:instrText>conomie de plateforme, CUP, Limal, Anth</w:instrText>
      </w:r>
      <w:r w:rsidR="00794AC3">
        <w:rPr>
          <w:rFonts w:ascii="Calibri" w:hAnsi="Calibri" w:cs="Calibri"/>
        </w:rPr>
        <w:instrText>é</w:instrText>
      </w:r>
      <w:r w:rsidR="00794AC3">
        <w:instrText>mis, 2019, pp. 137</w:instrText>
      </w:r>
      <w:r w:rsidR="00794AC3">
        <w:rPr>
          <w:rFonts w:ascii="Cambria Math" w:hAnsi="Cambria Math" w:cs="Cambria Math"/>
        </w:rPr>
        <w:instrText>‑</w:instrText>
      </w:r>
      <w:r w:rsidR="00794AC3">
        <w:instrText>184</w:instrText>
      </w:r>
      <w:r w:rsidR="00794AC3">
        <w:rPr>
          <w:rFonts w:ascii="Calibri" w:hAnsi="Calibri" w:cs="Calibri"/>
        </w:rPr>
        <w:instrText> </w:instrText>
      </w:r>
      <w:r w:rsidR="00794AC3">
        <w:instrText xml:space="preserve">; W. Van Eeckhoutte, </w:instrText>
      </w:r>
      <w:r w:rsidR="00794AC3">
        <w:rPr>
          <w:rFonts w:ascii="Calibri" w:hAnsi="Calibri" w:cs="Calibri"/>
        </w:rPr>
        <w:instrText>« </w:instrText>
      </w:r>
      <w:r w:rsidR="00794AC3">
        <w:instrText>Les fr</w:instrText>
      </w:r>
      <w:r w:rsidR="00794AC3">
        <w:rPr>
          <w:rFonts w:ascii="Calibri" w:hAnsi="Calibri" w:cs="Calibri"/>
        </w:rPr>
        <w:instrText>è</w:instrText>
      </w:r>
      <w:r w:rsidR="00794AC3">
        <w:instrText>res Jacques c. D</w:instrText>
      </w:r>
      <w:r w:rsidR="00794AC3">
        <w:rPr>
          <w:rFonts w:ascii="Calibri" w:hAnsi="Calibri" w:cs="Calibri"/>
        </w:rPr>
        <w:instrText>é</w:instrText>
      </w:r>
      <w:r w:rsidR="00794AC3">
        <w:instrText>lub</w:instrText>
      </w:r>
      <w:r w:rsidR="00794AC3">
        <w:rPr>
          <w:rFonts w:ascii="Calibri" w:hAnsi="Calibri" w:cs="Calibri"/>
        </w:rPr>
        <w:instrText>é</w:instrText>
      </w:r>
      <w:r w:rsidR="00794AC3">
        <w:instrText>ro</w:instrText>
      </w:r>
      <w:r w:rsidR="00794AC3">
        <w:rPr>
          <w:rFonts w:ascii="Calibri" w:hAnsi="Calibri" w:cs="Calibri"/>
        </w:rPr>
        <w:instrText> »</w:instrText>
      </w:r>
      <w:r w:rsidR="00794AC3">
        <w:instrText>, in V. Huart et F. K</w:instrText>
      </w:r>
      <w:r w:rsidR="00794AC3">
        <w:rPr>
          <w:rFonts w:ascii="Calibri" w:hAnsi="Calibri" w:cs="Calibri"/>
        </w:rPr>
        <w:instrText>é</w:instrText>
      </w:r>
      <w:r w:rsidR="00794AC3">
        <w:instrText>fer (</w:instrText>
      </w:r>
      <w:r w:rsidR="00794AC3">
        <w:rPr>
          <w:rFonts w:ascii="Calibri" w:hAnsi="Calibri" w:cs="Calibri"/>
        </w:rPr>
        <w:instrText>é</w:instrText>
      </w:r>
      <w:r w:rsidR="00794AC3">
        <w:instrText>ds.), Casus de droit social, CUP, Limal, Anth</w:instrText>
      </w:r>
      <w:r w:rsidR="00794AC3">
        <w:rPr>
          <w:rFonts w:ascii="Calibri" w:hAnsi="Calibri" w:cs="Calibri"/>
        </w:rPr>
        <w:instrText>é</w:instrText>
      </w:r>
      <w:r w:rsidR="00794AC3">
        <w:instrText>mis, 2019, pp. 83</w:instrText>
      </w:r>
      <w:r w:rsidR="00794AC3">
        <w:rPr>
          <w:rFonts w:ascii="Cambria Math" w:hAnsi="Cambria Math" w:cs="Cambria Math"/>
        </w:rPr>
        <w:instrText>‑</w:instrText>
      </w:r>
      <w:r w:rsidR="00794AC3">
        <w:instrText>103</w:instrText>
      </w:r>
      <w:r w:rsidR="00794AC3">
        <w:rPr>
          <w:rFonts w:ascii="Calibri" w:hAnsi="Calibri" w:cs="Calibri"/>
        </w:rPr>
        <w:instrText> </w:instrText>
      </w:r>
      <w:r w:rsidR="00794AC3">
        <w:instrText>; A. Lamine et C. Wattecamps, Quel droit social pour les travailleurs de plateforme</w:instrText>
      </w:r>
      <w:r w:rsidR="00794AC3">
        <w:rPr>
          <w:rFonts w:ascii="Calibri" w:hAnsi="Calibri" w:cs="Calibri"/>
        </w:rPr>
        <w:instrText> </w:instrText>
      </w:r>
      <w:r w:rsidR="00794AC3">
        <w:instrText>? Premiers diagnostics et actualités législatives, Limal, Anthémis, 2020 ; S. Ghislain et M. Verwilghen, « Le statut social des travailleurs de plateforme-première partie », op. cit., pp. 536</w:instrText>
      </w:r>
      <w:r w:rsidR="00794AC3">
        <w:rPr>
          <w:rFonts w:ascii="Cambria Math" w:hAnsi="Cambria Math" w:cs="Cambria Math"/>
        </w:rPr>
        <w:instrText>‑</w:instrText>
      </w:r>
      <w:r w:rsidR="00794AC3">
        <w:instrText xml:space="preserve">538.","noteIndex":30},"citationItems":[{"id":266,"uris":["http://zotero.org/users/local/0X1c0osY/items/XJNJLDM3"],"uri":["http://zotero.org/users/local/0X1c0osY/items/XJNJLDM3"],"itemData":{"id":266,"type":"article-newspaper","container-title":"R.D.S-T.S.R.","page":"3-50","title":"De uberisering van de arbeidsmarkt: enkele bedenkingen bij het sociaal statuut van de actoren in de platformeconomie","author":[{"family":"Nerinckx","given":"S."}],"issued":{"date-parts":[["2018"]]}}},{"id":635,"uris":["http://zotero.org/users/local/0X1c0osY/items/DFLTLZG3"],"uri":["http://zotero.org/users/local/0X1c0osY/items/DFLTLZG3"],"itemData":{"id":635,"type":"chapter","collection-title":"CUP","container-title":"Enjeux et défis juridiques de l’économie de plateforme","event-place":"Limal","publisher":"Anthémis","publisher-place":"Limal","title":"Le statut social des travailleurs de plateformes numériques","author":[{"family":"Clesse","given":"Jacques"},{"family":"Kéfer","given":"Fabienne"},{"family":"Cordier","given":"Quentin"}],"editor":[{"family":"Clesse","given":"Jacques"},{"family":"Kéfer","given":"Fabienne"}],"issued":{"date-parts":[["2019"]]}},"locator":"137-184"},{"id":638,"uris":["http://zotero.org/users/local/0X1c0osY/items/CCKEL839"],"uri":["http://zotero.org/users/local/0X1c0osY/items/CCKEL839"],"itemData":{"id":638,"type":"chapter","collection-title":"CUP","container-title":"Casus de droit social","event-place":"Limal","publisher":"Anthémis","publisher-place":"Limal","title":"Les frères Jacques c. Délubéro","author":[{"family":"Van Eeckhoutte","given":"W."}],"editor":[{"family":"Huart","given":"V."},{"family":"Kéfer","given":"Fabienne"}],"issued":{"date-parts":[["2019"]]}},"locator":"83-103"},{"id":639,"uris":["http://zotero.org/users/local/0X1c0osY/items/693EPSIG"],"uri":["http://zotero.org/users/local/0X1c0osY/items/693EPSIG"],"itemData":{"id":639,"type":"book","event-place":"Limal","publisher":"Anthémis","publisher-place":"Limal","title":"Quel droit social pour les travailleurs de plateforme ? Premiers diagnostics et actualités législatives","author":[{"family":"Lamine","given":"Auriane"},{"family":"Wattecamps","given":"C."}],"issued":{"date-parts":[["2020"]]}}},{"id":603,"uris":["http://zotero.org/users/local/0X1c0osY/items/5T3VIQE7"],"uri":["http://zotero.org/users/local/0X1c0osY/items/5T3VIQE7"],"itemData":{"id":603,"type":"article-newspaper","container-title":"J.T.T.","title":"Le statut social des travailleurs de plateforme-première partie","author":[{"family":"Ghislain","given":"S."},{"family":"Verwilghen","given":"M."}],"issued":{"date-parts":[["2020"]]}},"locator":"536-538"}],"schema":"https://github.com/citation-style-language/schema/raw/master/csl-citation.json"} </w:instrText>
      </w:r>
      <w:r>
        <w:fldChar w:fldCharType="separate"/>
      </w:r>
      <w:r w:rsidR="00794AC3" w:rsidRPr="00794AC3">
        <w:rPr>
          <w:rFonts w:ascii="Calibri" w:hAnsi="Calibri" w:cs="Calibri"/>
          <w:szCs w:val="24"/>
        </w:rPr>
        <w:t xml:space="preserve">S. </w:t>
      </w:r>
      <w:r w:rsidR="00794AC3" w:rsidRPr="00794AC3">
        <w:rPr>
          <w:rFonts w:ascii="Calibri" w:hAnsi="Calibri" w:cs="Calibri"/>
          <w:smallCaps/>
          <w:szCs w:val="24"/>
        </w:rPr>
        <w:t>Nerinckx</w:t>
      </w:r>
      <w:r w:rsidR="00794AC3" w:rsidRPr="00794AC3">
        <w:rPr>
          <w:rFonts w:ascii="Calibri" w:hAnsi="Calibri" w:cs="Calibri"/>
          <w:szCs w:val="24"/>
        </w:rPr>
        <w:t xml:space="preserve">, « De uberisering van de arbeidsmarkt: enkele bedenkingen bij het sociaal statuut van de actoren in de platformeconomie », </w:t>
      </w:r>
      <w:r w:rsidR="00794AC3" w:rsidRPr="00794AC3">
        <w:rPr>
          <w:rFonts w:ascii="Calibri" w:hAnsi="Calibri" w:cs="Calibri"/>
          <w:i/>
          <w:iCs/>
          <w:szCs w:val="24"/>
        </w:rPr>
        <w:t>R.D.S-T.S.R.</w:t>
      </w:r>
      <w:r w:rsidR="00794AC3" w:rsidRPr="00794AC3">
        <w:rPr>
          <w:rFonts w:ascii="Calibri" w:hAnsi="Calibri" w:cs="Calibri"/>
          <w:szCs w:val="24"/>
        </w:rPr>
        <w:t xml:space="preserve">, 2018, pp. 3‑50 ; J. </w:t>
      </w:r>
      <w:r w:rsidR="00794AC3" w:rsidRPr="00794AC3">
        <w:rPr>
          <w:rFonts w:ascii="Calibri" w:hAnsi="Calibri" w:cs="Calibri"/>
          <w:smallCaps/>
          <w:szCs w:val="24"/>
        </w:rPr>
        <w:t>Clesse</w:t>
      </w:r>
      <w:r w:rsidR="00794AC3" w:rsidRPr="00794AC3">
        <w:rPr>
          <w:rFonts w:ascii="Calibri" w:hAnsi="Calibri" w:cs="Calibri"/>
          <w:szCs w:val="24"/>
        </w:rPr>
        <w:t xml:space="preserve">, F. </w:t>
      </w:r>
      <w:r w:rsidR="00794AC3" w:rsidRPr="00794AC3">
        <w:rPr>
          <w:rFonts w:ascii="Calibri" w:hAnsi="Calibri" w:cs="Calibri"/>
          <w:smallCaps/>
          <w:szCs w:val="24"/>
        </w:rPr>
        <w:t>Kéfer</w:t>
      </w:r>
      <w:r w:rsidR="00794AC3" w:rsidRPr="00794AC3">
        <w:rPr>
          <w:rFonts w:ascii="Calibri" w:hAnsi="Calibri" w:cs="Calibri"/>
          <w:szCs w:val="24"/>
        </w:rPr>
        <w:t xml:space="preserve"> et Q. </w:t>
      </w:r>
      <w:r w:rsidR="00794AC3" w:rsidRPr="00794AC3">
        <w:rPr>
          <w:rFonts w:ascii="Calibri" w:hAnsi="Calibri" w:cs="Calibri"/>
          <w:smallCaps/>
          <w:szCs w:val="24"/>
        </w:rPr>
        <w:t>Cordier</w:t>
      </w:r>
      <w:r w:rsidR="00794AC3" w:rsidRPr="00794AC3">
        <w:rPr>
          <w:rFonts w:ascii="Calibri" w:hAnsi="Calibri" w:cs="Calibri"/>
          <w:szCs w:val="24"/>
        </w:rPr>
        <w:t xml:space="preserve">, « Le statut social des travailleurs de plateformes numériques », </w:t>
      </w:r>
      <w:r w:rsidR="00794AC3" w:rsidRPr="00794AC3">
        <w:rPr>
          <w:rFonts w:ascii="Calibri" w:hAnsi="Calibri" w:cs="Calibri"/>
          <w:i/>
          <w:iCs/>
          <w:szCs w:val="24"/>
        </w:rPr>
        <w:t>in</w:t>
      </w:r>
      <w:r w:rsidR="00794AC3" w:rsidRPr="00794AC3">
        <w:rPr>
          <w:rFonts w:ascii="Calibri" w:hAnsi="Calibri" w:cs="Calibri"/>
          <w:szCs w:val="24"/>
        </w:rPr>
        <w:t xml:space="preserve"> J. </w:t>
      </w:r>
      <w:r w:rsidR="00794AC3" w:rsidRPr="00794AC3">
        <w:rPr>
          <w:rFonts w:ascii="Calibri" w:hAnsi="Calibri" w:cs="Calibri"/>
          <w:smallCaps/>
          <w:szCs w:val="24"/>
        </w:rPr>
        <w:t>Clesse</w:t>
      </w:r>
      <w:r w:rsidR="00794AC3" w:rsidRPr="00794AC3">
        <w:rPr>
          <w:rFonts w:ascii="Calibri" w:hAnsi="Calibri" w:cs="Calibri"/>
          <w:szCs w:val="24"/>
        </w:rPr>
        <w:t xml:space="preserve"> et F. </w:t>
      </w:r>
      <w:r w:rsidR="00794AC3" w:rsidRPr="00794AC3">
        <w:rPr>
          <w:rFonts w:ascii="Calibri" w:hAnsi="Calibri" w:cs="Calibri"/>
          <w:smallCaps/>
          <w:szCs w:val="24"/>
        </w:rPr>
        <w:t>Kéfer</w:t>
      </w:r>
      <w:r w:rsidR="00794AC3" w:rsidRPr="00794AC3">
        <w:rPr>
          <w:rFonts w:ascii="Calibri" w:hAnsi="Calibri" w:cs="Calibri"/>
          <w:szCs w:val="24"/>
        </w:rPr>
        <w:t xml:space="preserve"> (éds.), </w:t>
      </w:r>
      <w:r w:rsidR="00794AC3" w:rsidRPr="00794AC3">
        <w:rPr>
          <w:rFonts w:ascii="Calibri" w:hAnsi="Calibri" w:cs="Calibri"/>
          <w:i/>
          <w:iCs/>
          <w:szCs w:val="24"/>
        </w:rPr>
        <w:t>Enjeux et défis juridiques de l’économie de plateforme</w:t>
      </w:r>
      <w:r w:rsidR="00794AC3" w:rsidRPr="00794AC3">
        <w:rPr>
          <w:rFonts w:ascii="Calibri" w:hAnsi="Calibri" w:cs="Calibri"/>
          <w:szCs w:val="24"/>
        </w:rPr>
        <w:t xml:space="preserve">, CUP, Limal, Anthémis, 2019, pp. 137‑184 ; W. </w:t>
      </w:r>
      <w:r w:rsidR="00794AC3" w:rsidRPr="00794AC3">
        <w:rPr>
          <w:rFonts w:ascii="Calibri" w:hAnsi="Calibri" w:cs="Calibri"/>
          <w:smallCaps/>
          <w:szCs w:val="24"/>
        </w:rPr>
        <w:t>Van Eeckhoutte</w:t>
      </w:r>
      <w:r w:rsidR="00794AC3" w:rsidRPr="00794AC3">
        <w:rPr>
          <w:rFonts w:ascii="Calibri" w:hAnsi="Calibri" w:cs="Calibri"/>
          <w:szCs w:val="24"/>
        </w:rPr>
        <w:t xml:space="preserve">, « Les frères Jacques c. Délubéro », </w:t>
      </w:r>
      <w:r w:rsidR="00794AC3" w:rsidRPr="00794AC3">
        <w:rPr>
          <w:rFonts w:ascii="Calibri" w:hAnsi="Calibri" w:cs="Calibri"/>
          <w:i/>
          <w:iCs/>
          <w:szCs w:val="24"/>
        </w:rPr>
        <w:t>in</w:t>
      </w:r>
      <w:r w:rsidR="00794AC3" w:rsidRPr="00794AC3">
        <w:rPr>
          <w:rFonts w:ascii="Calibri" w:hAnsi="Calibri" w:cs="Calibri"/>
          <w:szCs w:val="24"/>
        </w:rPr>
        <w:t xml:space="preserve"> V. </w:t>
      </w:r>
      <w:r w:rsidR="00794AC3" w:rsidRPr="00794AC3">
        <w:rPr>
          <w:rFonts w:ascii="Calibri" w:hAnsi="Calibri" w:cs="Calibri"/>
          <w:smallCaps/>
          <w:szCs w:val="24"/>
        </w:rPr>
        <w:t>Huart</w:t>
      </w:r>
      <w:r w:rsidR="00794AC3" w:rsidRPr="00794AC3">
        <w:rPr>
          <w:rFonts w:ascii="Calibri" w:hAnsi="Calibri" w:cs="Calibri"/>
          <w:szCs w:val="24"/>
        </w:rPr>
        <w:t xml:space="preserve"> et F. </w:t>
      </w:r>
      <w:r w:rsidR="00794AC3" w:rsidRPr="00794AC3">
        <w:rPr>
          <w:rFonts w:ascii="Calibri" w:hAnsi="Calibri" w:cs="Calibri"/>
          <w:smallCaps/>
          <w:szCs w:val="24"/>
        </w:rPr>
        <w:t>Kéfer</w:t>
      </w:r>
      <w:r w:rsidR="00794AC3" w:rsidRPr="00794AC3">
        <w:rPr>
          <w:rFonts w:ascii="Calibri" w:hAnsi="Calibri" w:cs="Calibri"/>
          <w:szCs w:val="24"/>
        </w:rPr>
        <w:t xml:space="preserve"> (éds.), </w:t>
      </w:r>
      <w:r w:rsidR="00794AC3" w:rsidRPr="00794AC3">
        <w:rPr>
          <w:rFonts w:ascii="Calibri" w:hAnsi="Calibri" w:cs="Calibri"/>
          <w:i/>
          <w:iCs/>
          <w:szCs w:val="24"/>
        </w:rPr>
        <w:t>Casus de droit social</w:t>
      </w:r>
      <w:r w:rsidR="00794AC3" w:rsidRPr="00794AC3">
        <w:rPr>
          <w:rFonts w:ascii="Calibri" w:hAnsi="Calibri" w:cs="Calibri"/>
          <w:szCs w:val="24"/>
        </w:rPr>
        <w:t xml:space="preserve">, CUP, Limal, Anthémis, 2019, pp. 83‑103 ; A. </w:t>
      </w:r>
      <w:r w:rsidR="00794AC3" w:rsidRPr="00794AC3">
        <w:rPr>
          <w:rFonts w:ascii="Calibri" w:hAnsi="Calibri" w:cs="Calibri"/>
          <w:smallCaps/>
          <w:szCs w:val="24"/>
        </w:rPr>
        <w:t>Lamine</w:t>
      </w:r>
      <w:r w:rsidR="00794AC3" w:rsidRPr="00794AC3">
        <w:rPr>
          <w:rFonts w:ascii="Calibri" w:hAnsi="Calibri" w:cs="Calibri"/>
          <w:szCs w:val="24"/>
        </w:rPr>
        <w:t xml:space="preserve"> et C. </w:t>
      </w:r>
      <w:r w:rsidR="00794AC3" w:rsidRPr="00794AC3">
        <w:rPr>
          <w:rFonts w:ascii="Calibri" w:hAnsi="Calibri" w:cs="Calibri"/>
          <w:smallCaps/>
          <w:szCs w:val="24"/>
        </w:rPr>
        <w:t>Wattecamps</w:t>
      </w:r>
      <w:r w:rsidR="00794AC3" w:rsidRPr="00794AC3">
        <w:rPr>
          <w:rFonts w:ascii="Calibri" w:hAnsi="Calibri" w:cs="Calibri"/>
          <w:szCs w:val="24"/>
        </w:rPr>
        <w:t xml:space="preserve">, </w:t>
      </w:r>
      <w:r w:rsidR="00794AC3" w:rsidRPr="00794AC3">
        <w:rPr>
          <w:rFonts w:ascii="Calibri" w:hAnsi="Calibri" w:cs="Calibri"/>
          <w:i/>
          <w:iCs/>
          <w:szCs w:val="24"/>
        </w:rPr>
        <w:t>Quel droit social pour les travailleurs de plateforme ? Premiers diagnostics et actualités législatives</w:t>
      </w:r>
      <w:r w:rsidR="00794AC3" w:rsidRPr="00794AC3">
        <w:rPr>
          <w:rFonts w:ascii="Calibri" w:hAnsi="Calibri" w:cs="Calibri"/>
          <w:szCs w:val="24"/>
        </w:rPr>
        <w:t xml:space="preserve">, Limal, Anthémis, 2020 ; S. </w:t>
      </w:r>
      <w:r w:rsidR="00794AC3" w:rsidRPr="00794AC3">
        <w:rPr>
          <w:rFonts w:ascii="Calibri" w:hAnsi="Calibri" w:cs="Calibri"/>
          <w:smallCaps/>
          <w:szCs w:val="24"/>
        </w:rPr>
        <w:t>Ghislain</w:t>
      </w:r>
      <w:r w:rsidR="00794AC3" w:rsidRPr="00794AC3">
        <w:rPr>
          <w:rFonts w:ascii="Calibri" w:hAnsi="Calibri" w:cs="Calibri"/>
          <w:szCs w:val="24"/>
        </w:rPr>
        <w:t xml:space="preserve"> et M. </w:t>
      </w:r>
      <w:r w:rsidR="00794AC3" w:rsidRPr="00794AC3">
        <w:rPr>
          <w:rFonts w:ascii="Calibri" w:hAnsi="Calibri" w:cs="Calibri"/>
          <w:smallCaps/>
          <w:szCs w:val="24"/>
        </w:rPr>
        <w:t>Verwilghen</w:t>
      </w:r>
      <w:r w:rsidR="00794AC3" w:rsidRPr="00794AC3">
        <w:rPr>
          <w:rFonts w:ascii="Calibri" w:hAnsi="Calibri" w:cs="Calibri"/>
          <w:szCs w:val="24"/>
        </w:rPr>
        <w:t xml:space="preserve">, « Le statut social des travailleurs de plateforme-première partie », </w:t>
      </w:r>
      <w:r w:rsidR="00794AC3" w:rsidRPr="00794AC3">
        <w:rPr>
          <w:rFonts w:ascii="Calibri" w:hAnsi="Calibri" w:cs="Calibri"/>
          <w:i/>
          <w:iCs/>
          <w:szCs w:val="24"/>
        </w:rPr>
        <w:t>op. cit.</w:t>
      </w:r>
      <w:r w:rsidR="00794AC3" w:rsidRPr="00794AC3">
        <w:rPr>
          <w:rFonts w:ascii="Calibri" w:hAnsi="Calibri" w:cs="Calibri"/>
          <w:szCs w:val="24"/>
        </w:rPr>
        <w:t>, pp. 536‑538.</w:t>
      </w:r>
      <w:r>
        <w:fldChar w:fldCharType="end"/>
      </w:r>
    </w:p>
  </w:footnote>
  <w:footnote w:id="31">
    <w:p w14:paraId="77D32958" w14:textId="77777777" w:rsidR="00F64DDC" w:rsidRPr="00B064AE" w:rsidRDefault="00F64DDC" w:rsidP="00880183">
      <w:pPr>
        <w:pStyle w:val="Notedebasdepage"/>
        <w:jc w:val="both"/>
        <w:rPr>
          <w:lang w:val="fr-FR"/>
        </w:rPr>
      </w:pPr>
      <w:r>
        <w:rPr>
          <w:rStyle w:val="Appelnotedebasdep"/>
        </w:rPr>
        <w:footnoteRef/>
      </w:r>
      <w:r w:rsidRPr="004919C4">
        <w:t xml:space="preserve"> </w:t>
      </w:r>
      <w:r>
        <w:fldChar w:fldCharType="begin"/>
      </w:r>
      <w:r w:rsidR="00D3669F">
        <w:instrText xml:space="preserve"> ADDIN ZOTERO_ITEM CSL_CITATION {"citationID":"x1CthTVM","properties":{"formattedCitation":"T. {\\scaps Douillet} {\\i{}et al.}, \\uc0\\u171{}\\uc0\\u160{}Le statut social des travailleurs de l\\uc0\\u8217{}\\uc0\\u233{}conomie collaborative\\uc0\\u160{}\\uc0\\u187{}, {\\i{}in} A. {\\scaps Lamine} et C. {\\scaps Wattecamps} (\\uc0\\u233{}ds.), {\\i{}Quel droit du travail pour les travailleurs de l\\uc0\\u8217{}\\uc0\\u233{}conomie de plateforme\\uc0\\u8239{}? Premier diagnostics et actualit\\uc0\\u233{}s l\\uc0\\u233{}gislatives}, Limal, Anth\\uc0\\u233{}mis, 2020, p. 199.","plainCitation":"T. Douillet et al., « Le statut social des travailleurs de l’économie collaborative », in A. Lamine et C. Wattecamps (éds.), Quel droit du travail pour les travailleurs de l’économie de plateforme ? Premier diagnostics et actualités législatives, Limal, Anthémis, 2020, p. 199.","noteIndex":31},"citationItems":[{"id":485,"uris":["http://zotero.org/users/local/0X1c0osY/items/HERAAMHL"],"uri":["http://zotero.org/users/local/0X1c0osY/items/HERAAMHL"],"itemData":{"id":485,"type":"chapter","container-title":"Quel droit du travail pour les travailleurs de l'économie de plateforme ? Premier diagnostics et actualités législatives","event-place":"Limal","page":"195-215","publisher":"Anthémis","publisher-place":"Limal","title":"Le statut social des travailleurs de l'économie collaborative","author":[{"family":"Douillet","given":"Thomas"},{"family":"Gilson","given":"Steve"},{"family":"Lambinet","given":"France"},{"family":"Verwilghen","given":"Myriam"}],"editor":[{"family":"Lamine","given":"Auriane"},{"family":"Wattecamps","given":"C."}],"issued":{"date-parts":[["2020"]]}},"locator":"199"}],"schema":"https://github.com/citation-style-language/schema/raw/master/csl-citation.json"} </w:instrText>
      </w:r>
      <w:r>
        <w:fldChar w:fldCharType="separate"/>
      </w:r>
      <w:r w:rsidRPr="004919C4">
        <w:rPr>
          <w:rFonts w:ascii="Calibri" w:hAnsi="Calibri" w:cs="Calibri"/>
          <w:szCs w:val="24"/>
        </w:rPr>
        <w:t xml:space="preserve">T. </w:t>
      </w:r>
      <w:r w:rsidRPr="004919C4">
        <w:rPr>
          <w:rFonts w:ascii="Calibri" w:hAnsi="Calibri" w:cs="Calibri"/>
          <w:smallCaps/>
          <w:szCs w:val="24"/>
        </w:rPr>
        <w:t>Douillet</w:t>
      </w:r>
      <w:r w:rsidRPr="004919C4">
        <w:rPr>
          <w:rFonts w:ascii="Calibri" w:hAnsi="Calibri" w:cs="Calibri"/>
          <w:szCs w:val="24"/>
        </w:rPr>
        <w:t xml:space="preserve"> </w:t>
      </w:r>
      <w:r w:rsidRPr="004919C4">
        <w:rPr>
          <w:rFonts w:ascii="Calibri" w:hAnsi="Calibri" w:cs="Calibri"/>
          <w:i/>
          <w:iCs/>
          <w:szCs w:val="24"/>
        </w:rPr>
        <w:t>et al.</w:t>
      </w:r>
      <w:r w:rsidRPr="004919C4">
        <w:rPr>
          <w:rFonts w:ascii="Calibri" w:hAnsi="Calibri" w:cs="Calibri"/>
          <w:szCs w:val="24"/>
        </w:rPr>
        <w:t xml:space="preserve">, « Le statut social des travailleurs de l’économie collaborative », </w:t>
      </w:r>
      <w:r w:rsidRPr="004919C4">
        <w:rPr>
          <w:rFonts w:ascii="Calibri" w:hAnsi="Calibri" w:cs="Calibri"/>
          <w:i/>
          <w:iCs/>
          <w:szCs w:val="24"/>
        </w:rPr>
        <w:t>in</w:t>
      </w:r>
      <w:r w:rsidRPr="004919C4">
        <w:rPr>
          <w:rFonts w:ascii="Calibri" w:hAnsi="Calibri" w:cs="Calibri"/>
          <w:szCs w:val="24"/>
        </w:rPr>
        <w:t xml:space="preserve"> A. </w:t>
      </w:r>
      <w:r w:rsidRPr="004919C4">
        <w:rPr>
          <w:rFonts w:ascii="Calibri" w:hAnsi="Calibri" w:cs="Calibri"/>
          <w:smallCaps/>
          <w:szCs w:val="24"/>
        </w:rPr>
        <w:t>Lamine</w:t>
      </w:r>
      <w:r w:rsidRPr="004919C4">
        <w:rPr>
          <w:rFonts w:ascii="Calibri" w:hAnsi="Calibri" w:cs="Calibri"/>
          <w:szCs w:val="24"/>
        </w:rPr>
        <w:t xml:space="preserve"> et C. </w:t>
      </w:r>
      <w:r w:rsidRPr="004919C4">
        <w:rPr>
          <w:rFonts w:ascii="Calibri" w:hAnsi="Calibri" w:cs="Calibri"/>
          <w:smallCaps/>
          <w:szCs w:val="24"/>
        </w:rPr>
        <w:t>Wattecamps</w:t>
      </w:r>
      <w:r w:rsidRPr="004919C4">
        <w:rPr>
          <w:rFonts w:ascii="Calibri" w:hAnsi="Calibri" w:cs="Calibri"/>
          <w:szCs w:val="24"/>
        </w:rPr>
        <w:t xml:space="preserve"> (éds.), </w:t>
      </w:r>
      <w:r w:rsidRPr="004919C4">
        <w:rPr>
          <w:rFonts w:ascii="Calibri" w:hAnsi="Calibri" w:cs="Calibri"/>
          <w:i/>
          <w:iCs/>
          <w:szCs w:val="24"/>
        </w:rPr>
        <w:t xml:space="preserve">Quel droit du travail pour les travailleurs de l’économie de plateforme ? </w:t>
      </w:r>
      <w:r w:rsidRPr="00B064AE">
        <w:rPr>
          <w:rFonts w:ascii="Calibri" w:hAnsi="Calibri" w:cs="Calibri"/>
          <w:i/>
          <w:iCs/>
          <w:szCs w:val="24"/>
        </w:rPr>
        <w:t>Premier diagnostics et actualités législatives</w:t>
      </w:r>
      <w:r w:rsidRPr="00B064AE">
        <w:rPr>
          <w:rFonts w:ascii="Calibri" w:hAnsi="Calibri" w:cs="Calibri"/>
          <w:szCs w:val="24"/>
        </w:rPr>
        <w:t>, Limal, Anthémis, 2020, p. 199.</w:t>
      </w:r>
      <w:r>
        <w:fldChar w:fldCharType="end"/>
      </w:r>
    </w:p>
  </w:footnote>
  <w:footnote w:id="32">
    <w:p w14:paraId="7AE6122C" w14:textId="77777777" w:rsidR="00F64DDC" w:rsidRPr="001E652F" w:rsidRDefault="00F64DDC" w:rsidP="00880183">
      <w:pPr>
        <w:pStyle w:val="Notedebasdepage"/>
        <w:jc w:val="both"/>
      </w:pPr>
      <w:r>
        <w:rPr>
          <w:rStyle w:val="Appelnotedebasdep"/>
        </w:rPr>
        <w:footnoteRef/>
      </w:r>
      <w:r>
        <w:t xml:space="preserve"> Articles 26 à 40 de la loi. </w:t>
      </w:r>
    </w:p>
  </w:footnote>
  <w:footnote w:id="33">
    <w:p w14:paraId="67540FE7" w14:textId="77777777" w:rsidR="00F64DDC" w:rsidRPr="006F0537" w:rsidRDefault="00F64DDC" w:rsidP="00880183">
      <w:pPr>
        <w:pStyle w:val="Notedebasdepage"/>
        <w:jc w:val="both"/>
      </w:pPr>
      <w:r>
        <w:rPr>
          <w:rStyle w:val="Appelnotedebasdep"/>
        </w:rPr>
        <w:footnoteRef/>
      </w:r>
      <w:r>
        <w:t xml:space="preserve"> </w:t>
      </w:r>
      <w:r w:rsidRPr="001B17F4">
        <w:t>Projet de loi relatif à la relance économique et au renf</w:t>
      </w:r>
      <w:r>
        <w:t xml:space="preserve">orcement de la cohésion sociale, </w:t>
      </w:r>
      <w:r w:rsidRPr="005B6FBA">
        <w:rPr>
          <w:i/>
        </w:rPr>
        <w:t xml:space="preserve">Doc. parl., </w:t>
      </w:r>
      <w:r w:rsidRPr="00902B55">
        <w:t>Chambre</w:t>
      </w:r>
      <w:r>
        <w:t>, 2017-2018, n°</w:t>
      </w:r>
      <w:r w:rsidRPr="001B17F4">
        <w:t xml:space="preserve"> 54</w:t>
      </w:r>
      <w:r>
        <w:t>-</w:t>
      </w:r>
      <w:r w:rsidRPr="001B17F4">
        <w:t>2839</w:t>
      </w:r>
      <w:r>
        <w:t>, p. 162.</w:t>
      </w:r>
    </w:p>
  </w:footnote>
  <w:footnote w:id="34">
    <w:p w14:paraId="1EF2FCBE" w14:textId="77777777" w:rsidR="00F64DDC" w:rsidRPr="001B17F4" w:rsidRDefault="00F64DDC" w:rsidP="00880183">
      <w:pPr>
        <w:pStyle w:val="Notedebasdepage"/>
        <w:jc w:val="both"/>
      </w:pPr>
      <w:r>
        <w:rPr>
          <w:rStyle w:val="Appelnotedebasdep"/>
        </w:rPr>
        <w:footnoteRef/>
      </w:r>
      <w:r w:rsidRPr="001B17F4">
        <w:t>Projet de loi relatif à la relance économique et au renf</w:t>
      </w:r>
      <w:r>
        <w:t xml:space="preserve">orcement de la cohésion sociale, </w:t>
      </w:r>
      <w:r w:rsidRPr="005B6FBA">
        <w:rPr>
          <w:i/>
        </w:rPr>
        <w:t xml:space="preserve">Doc. parl., </w:t>
      </w:r>
      <w:r w:rsidRPr="00902B55">
        <w:t>Chambre</w:t>
      </w:r>
      <w:r>
        <w:t>,2017-2018, n°</w:t>
      </w:r>
      <w:r w:rsidRPr="001B17F4">
        <w:t xml:space="preserve"> 54</w:t>
      </w:r>
      <w:r>
        <w:t>-</w:t>
      </w:r>
      <w:r w:rsidRPr="001B17F4">
        <w:t>2839</w:t>
      </w:r>
      <w:r>
        <w:t xml:space="preserve">, p. 152. </w:t>
      </w:r>
    </w:p>
  </w:footnote>
  <w:footnote w:id="35">
    <w:p w14:paraId="6AD6C71C" w14:textId="77777777" w:rsidR="00F64DDC" w:rsidRPr="00826716" w:rsidRDefault="00F64DDC" w:rsidP="00880183">
      <w:pPr>
        <w:pStyle w:val="Notedebasdepage"/>
        <w:jc w:val="both"/>
        <w:rPr>
          <w:lang w:val="fr-FR"/>
        </w:rPr>
      </w:pPr>
      <w:r>
        <w:rPr>
          <w:rStyle w:val="Appelnotedebasdep"/>
        </w:rPr>
        <w:footnoteRef/>
      </w:r>
      <w:r>
        <w:t xml:space="preserve"> Au sujet de cette suppression, voy.  </w:t>
      </w:r>
      <w:r>
        <w:fldChar w:fldCharType="begin"/>
      </w:r>
      <w:r w:rsidR="00D3669F">
        <w:instrText xml:space="preserve"> ADDIN ZOTERO_ITEM CSL_CITATION {"citationID":"HUYCM6VI","properties":{"formattedCitation":"J. {\\scaps Clesse} et R. {\\scaps Linguelet}, \\uc0\\u171{}\\uc0\\u160{}Travail et r\\uc0\\u233{}mun\\uc0\\u233{}ration\\uc0\\u8239{}: \\uc0\\u233{}l\\uc0\\u233{}ments constitutifs du contrat de travail - Commentaire d\\uc0\\u8217{}un arr\\uc0\\u234{}t du 10 mars 2014 de la Cour de Cassation\\uc0\\u160{}\\uc0\\u187{}, {\\i{}op. cit.}, p. 461.","plainCitation":"J. Clesse et R. Linguelet, « Travail et rémunération : éléments constitutifs du contrat de travail - Commentaire d’un arrêt du 10 mars 2014 de la Cour de Cassation », op. cit., p. 461.","noteIndex":35},"citationItems":[{"id":514,"uris":["http://zotero.org/users/local/0X1c0osY/items/YUM927ME"],"uri":["http://zotero.org/users/local/0X1c0osY/items/YUM927ME"],"itemData":{"id":514,"type":"chapter","container-title":"Le droit du travail au XXIe siècle : liber amicorum Claude Wantiez","event-place":"Bruxelles","publisher":"Larcier","publisher-place":"Bruxelles","title":"Travail et rémunération : éléments constitutifs du contrat de travail - Commentaire d'un arrêt du 10 mars 2014 de la Cour de Cassation","author":[{"family":"Clesse","given":"Jacques"},{"family":"Linguelet","given":"Renaud"}],"editor":[{"family":"Gosseries","given":"P."},{"family":"Morsa","given":"M."}],"issued":{"date-parts":[["2015"]]}},"locator":"461"}],"schema":"https://github.com/citation-style-language/schema/raw/master/csl-citation.json"} </w:instrText>
      </w:r>
      <w:r>
        <w:fldChar w:fldCharType="separate"/>
      </w:r>
      <w:r w:rsidRPr="00826716">
        <w:rPr>
          <w:rFonts w:ascii="Calibri" w:hAnsi="Calibri" w:cs="Times New Roman"/>
          <w:szCs w:val="24"/>
        </w:rPr>
        <w:t xml:space="preserve">J. </w:t>
      </w:r>
      <w:r w:rsidRPr="00826716">
        <w:rPr>
          <w:rFonts w:ascii="Calibri" w:hAnsi="Calibri" w:cs="Times New Roman"/>
          <w:smallCaps/>
          <w:szCs w:val="24"/>
        </w:rPr>
        <w:t>Clesse</w:t>
      </w:r>
      <w:r w:rsidRPr="00826716">
        <w:rPr>
          <w:rFonts w:ascii="Calibri" w:hAnsi="Calibri" w:cs="Times New Roman"/>
          <w:szCs w:val="24"/>
        </w:rPr>
        <w:t xml:space="preserve"> et R. </w:t>
      </w:r>
      <w:r w:rsidRPr="00826716">
        <w:rPr>
          <w:rFonts w:ascii="Calibri" w:hAnsi="Calibri" w:cs="Times New Roman"/>
          <w:smallCaps/>
          <w:szCs w:val="24"/>
        </w:rPr>
        <w:t>Linguelet</w:t>
      </w:r>
      <w:r w:rsidRPr="00826716">
        <w:rPr>
          <w:rFonts w:ascii="Calibri" w:hAnsi="Calibri" w:cs="Times New Roman"/>
          <w:szCs w:val="24"/>
        </w:rPr>
        <w:t xml:space="preserve">, « Travail et rémunération : éléments constitutifs du contrat de travail - Commentaire d’un arrêt du 10 mars 2014 de la Cour de Cassation », </w:t>
      </w:r>
      <w:r w:rsidRPr="00826716">
        <w:rPr>
          <w:rFonts w:ascii="Calibri" w:hAnsi="Calibri" w:cs="Times New Roman"/>
          <w:i/>
          <w:iCs/>
          <w:szCs w:val="24"/>
        </w:rPr>
        <w:t>op. cit.</w:t>
      </w:r>
      <w:r w:rsidRPr="00826716">
        <w:rPr>
          <w:rFonts w:ascii="Calibri" w:hAnsi="Calibri" w:cs="Times New Roman"/>
          <w:szCs w:val="24"/>
        </w:rPr>
        <w:t>, p. 461.</w:t>
      </w:r>
      <w:r>
        <w:fldChar w:fldCharType="end"/>
      </w:r>
    </w:p>
  </w:footnote>
  <w:footnote w:id="36">
    <w:p w14:paraId="4CA15EF4" w14:textId="77777777" w:rsidR="00F64DDC" w:rsidRPr="00900084" w:rsidRDefault="00F64DDC" w:rsidP="00880183">
      <w:pPr>
        <w:pStyle w:val="Notedebasdepage"/>
        <w:jc w:val="both"/>
      </w:pPr>
      <w:r>
        <w:rPr>
          <w:rStyle w:val="Appelnotedebasdep"/>
        </w:rPr>
        <w:footnoteRef/>
      </w:r>
      <w:r>
        <w:t xml:space="preserve"> Articles 4 et 21 de la loi du 18 juillet 2018. </w:t>
      </w:r>
    </w:p>
  </w:footnote>
  <w:footnote w:id="37">
    <w:p w14:paraId="65C49220" w14:textId="77777777" w:rsidR="00F64DDC" w:rsidRPr="00900084" w:rsidRDefault="00F64DDC" w:rsidP="00880183">
      <w:pPr>
        <w:pStyle w:val="Notedebasdepage"/>
        <w:jc w:val="both"/>
        <w:rPr>
          <w:lang w:val="nl-BE"/>
        </w:rPr>
      </w:pPr>
      <w:r>
        <w:rPr>
          <w:rStyle w:val="Appelnotedebasdep"/>
        </w:rPr>
        <w:footnoteRef/>
      </w:r>
      <w:r w:rsidRPr="00900084">
        <w:rPr>
          <w:lang w:val="nl-BE"/>
        </w:rPr>
        <w:t xml:space="preserve"> </w:t>
      </w:r>
      <w:r>
        <w:fldChar w:fldCharType="begin"/>
      </w:r>
      <w:r w:rsidR="00D3669F">
        <w:rPr>
          <w:lang w:val="nl-BE"/>
        </w:rPr>
        <w:instrText xml:space="preserve"> ADDIN ZOTERO_ITEM CSL_CITATION {"citationID":"7OwGC0l9","properties":{"formattedCitation":"Y. {\\scaps Stevens} et J. {\\scaps Put}, \\uc0\\u171{}\\uc0\\u160{}Het laatste heilige huisje: professionele apartheid in de sociale zekerheid\\uc0\\u160{}\\uc0\\u187{}, {\\i{}in} R. {\\scaps De Corte} {\\i{}et al.} (\\uc0\\u233{}ds.), {\\i{}De taal is gans het recht: Liber amicorum Willy van Eeckhoutte}, Malines, Kluwer, 2018, p. 141.","plainCitation":"Y. Stevens et J. Put, « Het laatste heilige huisje: professionele apartheid in de sociale zekerheid », in R. De Corte et al. (éds.), De taal is gans het recht: Liber amicorum Willy van Eeckhoutte, Malines, Kluwer, 2018, p. 141.","noteIndex":37},"citationItems":[{"id":509,"uris":["http://zotero.org/users/local/0X1c0osY/items/CVUVE2A6"],"uri":["http://zotero.org/users/local/0X1c0osY/items/CVUVE2A6"],"itemData":{"id":509,"type":"chapter","container-title":"De taal is gans het recht: Liber amicorum Willy van Eeckhoutte","event-place":"Malines","publisher":"Kluwer","publisher-place":"Malines","title":"Het laatste heilige huisje: professionele apartheid in de sociale zekerheid","author":[{"family":"Stevens","given":"Y."},{"family":"Put","given":"J."}],"editor":[{"family":"De Corte","given":"R."},{"family":"De Vos","given":"Marc"},{"family":"Humblet","given":"P."},{"family":"Kéfer","given":"Fabienne"},{"family":"Van Hoorde","given":"H."}],"issued":{"date-parts":[["2018"]]}},"locator":"141"}],"schema":"https://github.com/citation-style-language/schema/raw/master/csl-citation.json"} </w:instrText>
      </w:r>
      <w:r>
        <w:fldChar w:fldCharType="separate"/>
      </w:r>
      <w:r w:rsidRPr="00900084">
        <w:rPr>
          <w:rFonts w:ascii="Calibri" w:hAnsi="Calibri" w:cs="Calibri"/>
          <w:szCs w:val="24"/>
          <w:lang w:val="nl-BE"/>
        </w:rPr>
        <w:t xml:space="preserve">Y. </w:t>
      </w:r>
      <w:r w:rsidRPr="00900084">
        <w:rPr>
          <w:rFonts w:ascii="Calibri" w:hAnsi="Calibri" w:cs="Calibri"/>
          <w:smallCaps/>
          <w:szCs w:val="24"/>
          <w:lang w:val="nl-BE"/>
        </w:rPr>
        <w:t>Stevens</w:t>
      </w:r>
      <w:r w:rsidRPr="00900084">
        <w:rPr>
          <w:rFonts w:ascii="Calibri" w:hAnsi="Calibri" w:cs="Calibri"/>
          <w:szCs w:val="24"/>
          <w:lang w:val="nl-BE"/>
        </w:rPr>
        <w:t xml:space="preserve"> et J. </w:t>
      </w:r>
      <w:r w:rsidRPr="00900084">
        <w:rPr>
          <w:rFonts w:ascii="Calibri" w:hAnsi="Calibri" w:cs="Calibri"/>
          <w:smallCaps/>
          <w:szCs w:val="24"/>
          <w:lang w:val="nl-BE"/>
        </w:rPr>
        <w:t>Put</w:t>
      </w:r>
      <w:r w:rsidRPr="00900084">
        <w:rPr>
          <w:rFonts w:ascii="Calibri" w:hAnsi="Calibri" w:cs="Calibri"/>
          <w:szCs w:val="24"/>
          <w:lang w:val="nl-BE"/>
        </w:rPr>
        <w:t xml:space="preserve">, « Het laatste heilige huisje: professionele apartheid in de sociale zekerheid », </w:t>
      </w:r>
      <w:r w:rsidRPr="00900084">
        <w:rPr>
          <w:rFonts w:ascii="Calibri" w:hAnsi="Calibri" w:cs="Calibri"/>
          <w:i/>
          <w:iCs/>
          <w:szCs w:val="24"/>
          <w:lang w:val="nl-BE"/>
        </w:rPr>
        <w:t>in</w:t>
      </w:r>
      <w:r w:rsidRPr="00900084">
        <w:rPr>
          <w:rFonts w:ascii="Calibri" w:hAnsi="Calibri" w:cs="Calibri"/>
          <w:szCs w:val="24"/>
          <w:lang w:val="nl-BE"/>
        </w:rPr>
        <w:t xml:space="preserve"> R. </w:t>
      </w:r>
      <w:r w:rsidRPr="00900084">
        <w:rPr>
          <w:rFonts w:ascii="Calibri" w:hAnsi="Calibri" w:cs="Calibri"/>
          <w:smallCaps/>
          <w:szCs w:val="24"/>
          <w:lang w:val="nl-BE"/>
        </w:rPr>
        <w:t>De Corte</w:t>
      </w:r>
      <w:r w:rsidRPr="00900084">
        <w:rPr>
          <w:rFonts w:ascii="Calibri" w:hAnsi="Calibri" w:cs="Calibri"/>
          <w:szCs w:val="24"/>
          <w:lang w:val="nl-BE"/>
        </w:rPr>
        <w:t xml:space="preserve"> </w:t>
      </w:r>
      <w:r w:rsidRPr="00900084">
        <w:rPr>
          <w:rFonts w:ascii="Calibri" w:hAnsi="Calibri" w:cs="Calibri"/>
          <w:i/>
          <w:iCs/>
          <w:szCs w:val="24"/>
          <w:lang w:val="nl-BE"/>
        </w:rPr>
        <w:t>et al.</w:t>
      </w:r>
      <w:r w:rsidRPr="00900084">
        <w:rPr>
          <w:rFonts w:ascii="Calibri" w:hAnsi="Calibri" w:cs="Calibri"/>
          <w:szCs w:val="24"/>
          <w:lang w:val="nl-BE"/>
        </w:rPr>
        <w:t xml:space="preserve"> </w:t>
      </w:r>
      <w:r w:rsidRPr="0060228D">
        <w:rPr>
          <w:rFonts w:ascii="Calibri" w:hAnsi="Calibri" w:cs="Calibri"/>
          <w:szCs w:val="24"/>
          <w:lang w:val="nl-BE"/>
        </w:rPr>
        <w:t xml:space="preserve">(éds.), </w:t>
      </w:r>
      <w:r w:rsidRPr="0060228D">
        <w:rPr>
          <w:rFonts w:ascii="Calibri" w:hAnsi="Calibri" w:cs="Calibri"/>
          <w:i/>
          <w:iCs/>
          <w:szCs w:val="24"/>
          <w:lang w:val="nl-BE"/>
        </w:rPr>
        <w:t>De taal is gans het recht: Liber amicorum Willy van Eeckhoutte</w:t>
      </w:r>
      <w:r w:rsidRPr="0060228D">
        <w:rPr>
          <w:rFonts w:ascii="Calibri" w:hAnsi="Calibri" w:cs="Calibri"/>
          <w:szCs w:val="24"/>
          <w:lang w:val="nl-BE"/>
        </w:rPr>
        <w:t>, Malines, Kluwer, 2018, p. 141.</w:t>
      </w:r>
      <w:r>
        <w:fldChar w:fldCharType="end"/>
      </w:r>
    </w:p>
  </w:footnote>
  <w:footnote w:id="38">
    <w:p w14:paraId="4126CD83" w14:textId="77777777" w:rsidR="00F64DDC" w:rsidRPr="000F6945" w:rsidRDefault="00F64DDC" w:rsidP="00880183">
      <w:pPr>
        <w:pStyle w:val="Notedebasdepage"/>
        <w:jc w:val="both"/>
      </w:pPr>
      <w:r>
        <w:rPr>
          <w:rStyle w:val="Appelnotedebasdep"/>
        </w:rPr>
        <w:footnoteRef/>
      </w:r>
      <w:r>
        <w:t xml:space="preserve"> Article 13 de la loi du 18 juillet 2018.</w:t>
      </w:r>
    </w:p>
  </w:footnote>
  <w:footnote w:id="39">
    <w:p w14:paraId="08A6E60C" w14:textId="77777777" w:rsidR="00F64DDC" w:rsidRPr="000F6945" w:rsidRDefault="00F64DDC" w:rsidP="00880183">
      <w:pPr>
        <w:pStyle w:val="Notedebasdepage"/>
        <w:jc w:val="both"/>
      </w:pPr>
      <w:r>
        <w:rPr>
          <w:rStyle w:val="Appelnotedebasdep"/>
        </w:rPr>
        <w:footnoteRef/>
      </w:r>
      <w:r>
        <w:t xml:space="preserve"> Article 17 de la loi du 18 juillet 2018.</w:t>
      </w:r>
      <w:r w:rsidRPr="00E212E2">
        <w:t xml:space="preserve"> </w:t>
      </w:r>
      <w:r w:rsidRPr="001B17F4">
        <w:t>Projet de loi relatif à la relance économique et au renf</w:t>
      </w:r>
      <w:r>
        <w:t xml:space="preserve">orcement de la cohésion sociale, </w:t>
      </w:r>
      <w:r w:rsidRPr="005B6FBA">
        <w:rPr>
          <w:i/>
        </w:rPr>
        <w:t xml:space="preserve">Doc. parl., </w:t>
      </w:r>
      <w:r w:rsidRPr="00902B55">
        <w:t>Chambre</w:t>
      </w:r>
      <w:r>
        <w:t>,2017-2018, n°</w:t>
      </w:r>
      <w:r w:rsidRPr="001B17F4">
        <w:t xml:space="preserve"> 54</w:t>
      </w:r>
      <w:r>
        <w:t>-</w:t>
      </w:r>
      <w:r w:rsidRPr="001B17F4">
        <w:t>2839</w:t>
      </w:r>
      <w:r>
        <w:t>, p. 175.</w:t>
      </w:r>
    </w:p>
  </w:footnote>
  <w:footnote w:id="40">
    <w:p w14:paraId="05D40A78" w14:textId="77777777" w:rsidR="00F64DDC" w:rsidRPr="00105378" w:rsidRDefault="00F64DDC" w:rsidP="00880183">
      <w:pPr>
        <w:pStyle w:val="Notedebasdepage"/>
        <w:jc w:val="both"/>
      </w:pPr>
      <w:r>
        <w:rPr>
          <w:rStyle w:val="Appelnotedebasdep"/>
        </w:rPr>
        <w:footnoteRef/>
      </w:r>
      <w:r>
        <w:t xml:space="preserve"> Article 2, 1°, e) de la loi. </w:t>
      </w:r>
    </w:p>
  </w:footnote>
  <w:footnote w:id="41">
    <w:p w14:paraId="32A2423C" w14:textId="77777777" w:rsidR="00F64DDC" w:rsidRPr="00B265CE" w:rsidRDefault="00F64DDC" w:rsidP="00880183">
      <w:pPr>
        <w:pStyle w:val="Notedebasdepage"/>
        <w:jc w:val="both"/>
      </w:pPr>
      <w:r>
        <w:rPr>
          <w:rStyle w:val="Appelnotedebasdep"/>
        </w:rPr>
        <w:footnoteRef/>
      </w:r>
      <w:r>
        <w:t xml:space="preserve"> Articles 12 et 24 de la loi du 18 juillet 2018. Le seuil est fixé à 6340,00€ pour l’année 2020,</w:t>
      </w:r>
      <w:r w:rsidRPr="005E1526">
        <w:t xml:space="preserve"> </w:t>
      </w:r>
      <w:hyperlink r:id="rId1" w:history="1">
        <w:r w:rsidRPr="003632F0">
          <w:rPr>
            <w:rStyle w:val="Lienhypertexte"/>
          </w:rPr>
          <w:t>https://www.socialsecurity.be/employer/instructions/dmfa/fr/latest/instructions/persons/specific/community_workers.html</w:t>
        </w:r>
      </w:hyperlink>
      <w:r>
        <w:t xml:space="preserve"> .</w:t>
      </w:r>
    </w:p>
  </w:footnote>
  <w:footnote w:id="42">
    <w:p w14:paraId="15D3CAD2" w14:textId="77777777" w:rsidR="00F64DDC" w:rsidRPr="008853E7" w:rsidRDefault="00F64DDC" w:rsidP="00880183">
      <w:pPr>
        <w:pStyle w:val="Notedebasdepage"/>
        <w:jc w:val="both"/>
        <w:rPr>
          <w:lang w:val="fr-FR"/>
        </w:rPr>
      </w:pPr>
      <w:r>
        <w:rPr>
          <w:rStyle w:val="Appelnotedebasdep"/>
        </w:rPr>
        <w:footnoteRef/>
      </w:r>
      <w:r>
        <w:t xml:space="preserve"> Voy. </w:t>
      </w:r>
      <w:r w:rsidRPr="008853E7">
        <w:rPr>
          <w:i/>
        </w:rPr>
        <w:t>supra</w:t>
      </w:r>
      <w:r>
        <w:t>, n° 5.</w:t>
      </w:r>
    </w:p>
  </w:footnote>
  <w:footnote w:id="43">
    <w:p w14:paraId="791897A7" w14:textId="77777777" w:rsidR="00F64DDC" w:rsidRPr="00575568" w:rsidRDefault="00F64DDC" w:rsidP="00880183">
      <w:pPr>
        <w:pStyle w:val="Notedebasdepage"/>
        <w:jc w:val="both"/>
      </w:pPr>
      <w:r>
        <w:rPr>
          <w:rStyle w:val="Appelnotedebasdep"/>
        </w:rPr>
        <w:footnoteRef/>
      </w:r>
      <w:r>
        <w:t xml:space="preserve"> Article 5 de la loi.</w:t>
      </w:r>
    </w:p>
  </w:footnote>
  <w:footnote w:id="44">
    <w:p w14:paraId="3F7ED8CE" w14:textId="77777777" w:rsidR="00F64DDC" w:rsidRPr="00575568" w:rsidRDefault="00F64DDC" w:rsidP="00880183">
      <w:pPr>
        <w:pStyle w:val="Notedebasdepage"/>
        <w:jc w:val="both"/>
      </w:pPr>
      <w:r>
        <w:rPr>
          <w:rStyle w:val="Appelnotedebasdep"/>
        </w:rPr>
        <w:footnoteRef/>
      </w:r>
      <w:r>
        <w:t xml:space="preserve"> Articles 19 et 25 de la loi. </w:t>
      </w:r>
    </w:p>
  </w:footnote>
  <w:footnote w:id="45">
    <w:p w14:paraId="0050297C" w14:textId="77777777" w:rsidR="00F64DDC" w:rsidRPr="00E86BD1" w:rsidRDefault="00F64DDC" w:rsidP="00880183">
      <w:pPr>
        <w:pStyle w:val="Notedebasdepage"/>
        <w:jc w:val="both"/>
      </w:pPr>
      <w:r>
        <w:rPr>
          <w:rStyle w:val="Appelnotedebasdep"/>
        </w:rPr>
        <w:footnoteRef/>
      </w:r>
      <w:r>
        <w:t xml:space="preserve"> Articles 26 à 40 de la loi du 18 juillet 2018.</w:t>
      </w:r>
    </w:p>
  </w:footnote>
  <w:footnote w:id="46">
    <w:p w14:paraId="1E543AF0" w14:textId="77777777" w:rsidR="00F64DDC" w:rsidRPr="005C6062" w:rsidRDefault="00F64DDC" w:rsidP="00880183">
      <w:pPr>
        <w:pStyle w:val="Notedebasdepage"/>
        <w:jc w:val="both"/>
      </w:pPr>
      <w:r>
        <w:rPr>
          <w:rStyle w:val="Appelnotedebasdep"/>
        </w:rPr>
        <w:footnoteRef/>
      </w:r>
      <w:r>
        <w:t xml:space="preserve"> Articles 7 et 22 de la loi. Il convient également pour les organisations de s’assurer pour couvrir les dégâts corporels subis par le travailleur associatif en cas d’accident durant sa prestation. </w:t>
      </w:r>
    </w:p>
  </w:footnote>
  <w:footnote w:id="47">
    <w:p w14:paraId="2065C835" w14:textId="77777777" w:rsidR="00F64DDC" w:rsidRPr="00900084" w:rsidRDefault="00F64DDC" w:rsidP="00880183">
      <w:pPr>
        <w:pStyle w:val="Notedebasdepage"/>
        <w:jc w:val="both"/>
        <w:rPr>
          <w:lang w:val="fr-FR"/>
        </w:rPr>
      </w:pPr>
      <w:r>
        <w:rPr>
          <w:rStyle w:val="Appelnotedebasdep"/>
        </w:rPr>
        <w:footnoteRef/>
      </w:r>
      <w:r>
        <w:t xml:space="preserve"> </w:t>
      </w:r>
      <w:r>
        <w:rPr>
          <w:lang w:val="fr-FR"/>
        </w:rPr>
        <w:t>Article 6, alinéa 1 de la loi.</w:t>
      </w:r>
    </w:p>
  </w:footnote>
  <w:footnote w:id="48">
    <w:p w14:paraId="7BBE51E5" w14:textId="77777777" w:rsidR="00F64DDC" w:rsidRPr="00900084" w:rsidRDefault="00F64DDC" w:rsidP="00880183">
      <w:pPr>
        <w:pStyle w:val="Notedebasdepage"/>
        <w:jc w:val="both"/>
        <w:rPr>
          <w:lang w:val="fr-FR"/>
        </w:rPr>
      </w:pPr>
      <w:r>
        <w:rPr>
          <w:rStyle w:val="Appelnotedebasdep"/>
        </w:rPr>
        <w:footnoteRef/>
      </w:r>
      <w:r>
        <w:t xml:space="preserve"> </w:t>
      </w:r>
      <w:r>
        <w:rPr>
          <w:lang w:val="fr-FR"/>
        </w:rPr>
        <w:t>Article 6, alinéa 2 de la loi.</w:t>
      </w:r>
    </w:p>
  </w:footnote>
  <w:footnote w:id="49">
    <w:p w14:paraId="4F58CAAE" w14:textId="77777777" w:rsidR="00F64DDC" w:rsidRPr="002925A0" w:rsidRDefault="00F64DDC" w:rsidP="00880183">
      <w:pPr>
        <w:pStyle w:val="Notedebasdepage"/>
        <w:jc w:val="both"/>
        <w:rPr>
          <w:lang w:val="nl-BE"/>
        </w:rPr>
      </w:pPr>
      <w:r>
        <w:rPr>
          <w:rStyle w:val="Appelnotedebasdep"/>
        </w:rPr>
        <w:footnoteRef/>
      </w:r>
      <w:r w:rsidRPr="002925A0">
        <w:rPr>
          <w:lang w:val="nl-BE"/>
        </w:rPr>
        <w:t xml:space="preserve"> Article 10 de la loi. </w:t>
      </w:r>
    </w:p>
  </w:footnote>
  <w:footnote w:id="50">
    <w:p w14:paraId="1C64653B" w14:textId="77777777" w:rsidR="00F64DDC" w:rsidRPr="00EB77CC" w:rsidRDefault="00F64DDC" w:rsidP="00880183">
      <w:pPr>
        <w:pStyle w:val="Notedebasdepage"/>
        <w:jc w:val="both"/>
        <w:rPr>
          <w:lang w:val="nl-BE"/>
        </w:rPr>
      </w:pPr>
      <w:r>
        <w:rPr>
          <w:rStyle w:val="Appelnotedebasdep"/>
        </w:rPr>
        <w:footnoteRef/>
      </w:r>
      <w:r w:rsidRPr="00EB77CC">
        <w:rPr>
          <w:lang w:val="nl-BE"/>
        </w:rPr>
        <w:t xml:space="preserve"> </w:t>
      </w:r>
      <w:r>
        <w:fldChar w:fldCharType="begin"/>
      </w:r>
      <w:r w:rsidR="00D3669F">
        <w:rPr>
          <w:lang w:val="nl-BE"/>
        </w:rPr>
        <w:instrText xml:space="preserve"> ADDIN ZOTERO_ITEM CSL_CITATION {"citationID":"lsyiKUmk","properties":{"formattedCitation":"K. {\\scaps Reyniers} et K. {\\scaps Van den Langenbergh}, \\uc0\\u171{}\\uc0\\u160{}De gezagsrelatie als aanknopingspunt voor welzijnsbescherming: aan herdenking toe in een veranderende arbeidswereld?\\uc0\\u160{}\\uc0\\u187{}, {\\i{}R.D.S-T.S.R.}, 2018, p. 697.","plainCitation":"K. Reyniers et K. Van den Langenbergh, « De gezagsrelatie als aanknopingspunt voor welzijnsbescherming: aan herdenking toe in een veranderende arbeidswereld? », R.D.S-T.S.R., 2018, p. 697.","noteIndex":50},"citationItems":[{"id":488,"uris":["http://zotero.org/users/local/0X1c0osY/items/9F7LZ6PP"],"uri":["http://zotero.org/users/local/0X1c0osY/items/9F7LZ6PP"],"itemData":{"id":488,"type":"article-newspaper","container-title":"R.D.S-T.S.R.","page":"691-729","title":"De gezagsrelatie als aanknopingspunt voor welzijnsbescherming: aan herdenking toe in een veranderende arbeidswereld?","author":[{"family":"Reyniers","given":"K."},{"family":"Van den Langenbergh","given":"K."}],"issued":{"date-parts":[["2018"]]}},"locator":"697"}],"schema":"https://github.com/citation-style-language/schema/raw/master/csl-citation.json"} </w:instrText>
      </w:r>
      <w:r>
        <w:fldChar w:fldCharType="separate"/>
      </w:r>
      <w:r w:rsidRPr="00EB77CC">
        <w:rPr>
          <w:rFonts w:ascii="Calibri" w:hAnsi="Calibri" w:cs="Calibri"/>
          <w:szCs w:val="24"/>
          <w:lang w:val="nl-BE"/>
        </w:rPr>
        <w:t xml:space="preserve">K. </w:t>
      </w:r>
      <w:r w:rsidRPr="00EB77CC">
        <w:rPr>
          <w:rFonts w:ascii="Calibri" w:hAnsi="Calibri" w:cs="Calibri"/>
          <w:smallCaps/>
          <w:szCs w:val="24"/>
          <w:lang w:val="nl-BE"/>
        </w:rPr>
        <w:t>Reyniers</w:t>
      </w:r>
      <w:r w:rsidRPr="00EB77CC">
        <w:rPr>
          <w:rFonts w:ascii="Calibri" w:hAnsi="Calibri" w:cs="Calibri"/>
          <w:szCs w:val="24"/>
          <w:lang w:val="nl-BE"/>
        </w:rPr>
        <w:t xml:space="preserve"> et K. </w:t>
      </w:r>
      <w:r w:rsidRPr="00EB77CC">
        <w:rPr>
          <w:rFonts w:ascii="Calibri" w:hAnsi="Calibri" w:cs="Calibri"/>
          <w:smallCaps/>
          <w:szCs w:val="24"/>
          <w:lang w:val="nl-BE"/>
        </w:rPr>
        <w:t>Van den Langenbergh</w:t>
      </w:r>
      <w:r w:rsidRPr="00EB77CC">
        <w:rPr>
          <w:rFonts w:ascii="Calibri" w:hAnsi="Calibri" w:cs="Calibri"/>
          <w:szCs w:val="24"/>
          <w:lang w:val="nl-BE"/>
        </w:rPr>
        <w:t xml:space="preserve">, « De gezagsrelatie als aanknopingspunt voor welzijnsbescherming: aan herdenking toe in een veranderende arbeidswereld? », </w:t>
      </w:r>
      <w:r w:rsidRPr="00EB77CC">
        <w:rPr>
          <w:rFonts w:ascii="Calibri" w:hAnsi="Calibri" w:cs="Calibri"/>
          <w:i/>
          <w:iCs/>
          <w:szCs w:val="24"/>
          <w:lang w:val="nl-BE"/>
        </w:rPr>
        <w:t>R.D.S-T.S.R.</w:t>
      </w:r>
      <w:r w:rsidRPr="00EB77CC">
        <w:rPr>
          <w:rFonts w:ascii="Calibri" w:hAnsi="Calibri" w:cs="Calibri"/>
          <w:szCs w:val="24"/>
          <w:lang w:val="nl-BE"/>
        </w:rPr>
        <w:t>, 2018, p. 697.</w:t>
      </w:r>
      <w:r>
        <w:fldChar w:fldCharType="end"/>
      </w:r>
    </w:p>
  </w:footnote>
  <w:footnote w:id="51">
    <w:p w14:paraId="528C511D" w14:textId="77777777" w:rsidR="00F64DDC" w:rsidRPr="003B6D7B" w:rsidRDefault="00F64DDC" w:rsidP="00880183">
      <w:pPr>
        <w:pStyle w:val="Notedebasdepage"/>
        <w:jc w:val="both"/>
      </w:pPr>
      <w:r>
        <w:rPr>
          <w:rStyle w:val="Appelnotedebasdep"/>
        </w:rPr>
        <w:footnoteRef/>
      </w:r>
      <w:r>
        <w:t xml:space="preserve"> N°8.</w:t>
      </w:r>
    </w:p>
  </w:footnote>
  <w:footnote w:id="52">
    <w:p w14:paraId="6C10A6B7" w14:textId="77777777" w:rsidR="00F64DDC" w:rsidRPr="008A452F" w:rsidRDefault="00F64DDC" w:rsidP="00880183">
      <w:pPr>
        <w:pStyle w:val="Notedebasdepage"/>
        <w:jc w:val="both"/>
      </w:pPr>
      <w:r>
        <w:rPr>
          <w:rStyle w:val="Appelnotedebasdep"/>
        </w:rPr>
        <w:footnoteRef/>
      </w:r>
      <w:r>
        <w:t xml:space="preserve"> M. Davagle qualifiait cette situation d’ « ubuesque » alors que la loi était encore à l’état de projet. </w:t>
      </w:r>
      <w:r>
        <w:fldChar w:fldCharType="begin"/>
      </w:r>
      <w:r w:rsidR="00D3669F">
        <w:instrText xml:space="preserve"> ADDIN ZOTERO_ITEM CSL_CITATION {"citationID":"iaJHlLUh","properties":{"formattedCitation":"M. {\\scaps Davagle}, \\uc0\\u171{}\\uc0\\u160{}Le volontariat est-il soluble dans le droit du travail\\uc0\\u8239{}?\\uc0\\u160{}\\uc0\\u187{}, {\\i{}op. cit.}, p. 234.","plainCitation":"M. Davagle, « Le volontariat est-il soluble dans le droit du travail ? », op. cit., p. 234.","noteIndex":52},"citationItems":[{"id":511,"uris":["http://zotero.org/users/local/0X1c0osY/items/G3CW8TQS"],"uri":["http://zotero.org/users/local/0X1c0osY/items/G3CW8TQS"],"itemData":{"id":511,"type":"chapter","container-title":"Questions spéciales de droit social: liber amicorum Maurice Henrard","event-place":"Waterloo","publisher":"Wolters Kluwer","publisher-place":"Waterloo","title":"Le volontariat est-il soluble dans le droit du travail ?","author":[{"family":"Davagle","given":"Michel"}],"editor":[{"family":"Gilson","given":"Steve"}],"issued":{"date-parts":[["2018"]]}},"locator":"234"}],"schema":"https://github.com/citation-style-language/schema/raw/master/csl-citation.json"} </w:instrText>
      </w:r>
      <w:r>
        <w:fldChar w:fldCharType="separate"/>
      </w:r>
      <w:r w:rsidRPr="008A452F">
        <w:rPr>
          <w:rFonts w:ascii="Calibri" w:hAnsi="Calibri" w:cs="Calibri"/>
          <w:szCs w:val="24"/>
        </w:rPr>
        <w:t xml:space="preserve">M. </w:t>
      </w:r>
      <w:r w:rsidRPr="008A452F">
        <w:rPr>
          <w:rFonts w:ascii="Calibri" w:hAnsi="Calibri" w:cs="Calibri"/>
          <w:smallCaps/>
          <w:szCs w:val="24"/>
        </w:rPr>
        <w:t>Davagle</w:t>
      </w:r>
      <w:r w:rsidRPr="008A452F">
        <w:rPr>
          <w:rFonts w:ascii="Calibri" w:hAnsi="Calibri" w:cs="Calibri"/>
          <w:szCs w:val="24"/>
        </w:rPr>
        <w:t xml:space="preserve">, « Le volontariat est-il soluble dans le droit du travail ? », </w:t>
      </w:r>
      <w:r w:rsidRPr="008A452F">
        <w:rPr>
          <w:rFonts w:ascii="Calibri" w:hAnsi="Calibri" w:cs="Calibri"/>
          <w:i/>
          <w:iCs/>
          <w:szCs w:val="24"/>
        </w:rPr>
        <w:t>op. cit.</w:t>
      </w:r>
      <w:r w:rsidRPr="008A452F">
        <w:rPr>
          <w:rFonts w:ascii="Calibri" w:hAnsi="Calibri" w:cs="Calibri"/>
          <w:szCs w:val="24"/>
        </w:rPr>
        <w:t>, p. 234.</w:t>
      </w:r>
      <w:r>
        <w:fldChar w:fldCharType="end"/>
      </w:r>
    </w:p>
  </w:footnote>
  <w:footnote w:id="53">
    <w:p w14:paraId="55D8AADF" w14:textId="77777777" w:rsidR="00F64DDC" w:rsidRPr="00B72737" w:rsidRDefault="00F64DDC" w:rsidP="00880183">
      <w:pPr>
        <w:pStyle w:val="Notedebasdepage"/>
        <w:jc w:val="both"/>
      </w:pPr>
      <w:r>
        <w:rPr>
          <w:rStyle w:val="Appelnotedebasdep"/>
        </w:rPr>
        <w:footnoteRef/>
      </w:r>
      <w:r>
        <w:t xml:space="preserve"> Article 90/1 du Code des impôts sur les revenus (CIR 92), introduit par l’article 47 de la loi du 18 juillet 2018</w:t>
      </w:r>
    </w:p>
  </w:footnote>
  <w:footnote w:id="54">
    <w:p w14:paraId="74201888" w14:textId="77777777" w:rsidR="00F64DDC" w:rsidRPr="00B72737" w:rsidRDefault="00F64DDC" w:rsidP="00880183">
      <w:pPr>
        <w:pStyle w:val="Notedebasdepage"/>
        <w:jc w:val="both"/>
      </w:pPr>
      <w:r>
        <w:rPr>
          <w:rStyle w:val="Appelnotedebasdep"/>
        </w:rPr>
        <w:footnoteRef/>
      </w:r>
      <w:r>
        <w:t xml:space="preserve"> Article 37, §2 du CIR 92, tel que modifié par l’article 45 de la loi de 2018.</w:t>
      </w:r>
    </w:p>
  </w:footnote>
  <w:footnote w:id="55">
    <w:p w14:paraId="0E5A0C5A" w14:textId="77F1057E" w:rsidR="00F64DDC" w:rsidRPr="00B72737" w:rsidRDefault="00F64DDC" w:rsidP="00880183">
      <w:pPr>
        <w:pStyle w:val="Notedebasdepage"/>
        <w:jc w:val="both"/>
      </w:pPr>
      <w:r>
        <w:rPr>
          <w:rStyle w:val="Appelnotedebasdep"/>
        </w:rPr>
        <w:footnoteRef/>
      </w:r>
      <w:r>
        <w:t xml:space="preserve"> Pour plus d’informations sur le volet fiscal de la loi de 2018, voy. notamment </w:t>
      </w:r>
      <w:r>
        <w:fldChar w:fldCharType="begin"/>
      </w:r>
      <w:r w:rsidR="00680FA2">
        <w:instrText xml:space="preserve"> ADDIN ZOTERO_ITEM CSL_CITATION {"citationID":"qdJ9Wces","properties":{"formattedCitation":"J.-L. {\\scaps Davain}, \\uc0\\u171{}\\uc0\\u160{}Revenus professionnels\\uc0\\u8239{}: vers une \\uc0\\u233{}volution du concept\\uc0\\u8239{}?\\uc0\\u160{}\\uc0\\u187{}, {\\i{}in} C. {\\scaps Docclo} (\\uc0\\u233{}d.), {\\i{}\\uc0\\u201{}tudes de droit fiscal}, Limal, Anthemis, 2019, pp. 53\\uc0\\u8209{}81\\uc0\\u160{}; A. {\\scaps Nollet} et F. {\\scaps Vanrykel}, \\uc0\\u171{}\\uc0\\u160{}Aspects de droit fiscal de l\\uc0\\u8217{}\\uc0\\u233{}conomie collaborative en Belgique\\uc0\\u160{}\\uc0\\u187{}, {\\i{}in} J. {\\scaps Clesse} et F. {\\scaps K\\uc0\\u233{}fer} (\\uc0\\u233{}ds.), {\\i{}Enjeux et d\\uc0\\u233{}fis juridiques de l\\uc0\\u8217{}\\uc0\\u233{}conomie de plateforme}, CUP, Limal, Anthemis, 2019, pp. 200\\uc0\\u8209{}203.","plainCitation":"J.-L. Davain, « Revenus professionnels : vers une évolution du concept ? », in C. Docclo (éd.), Études de droit fiscal, Limal, Anthemis, 2019, pp. 53</w:instrText>
      </w:r>
      <w:r w:rsidR="00680FA2">
        <w:rPr>
          <w:rFonts w:ascii="Cambria Math" w:hAnsi="Cambria Math" w:cs="Cambria Math"/>
        </w:rPr>
        <w:instrText>‑</w:instrText>
      </w:r>
      <w:r w:rsidR="00680FA2">
        <w:instrText>81</w:instrText>
      </w:r>
      <w:r w:rsidR="00680FA2">
        <w:rPr>
          <w:rFonts w:ascii="Calibri" w:hAnsi="Calibri" w:cs="Calibri"/>
        </w:rPr>
        <w:instrText> </w:instrText>
      </w:r>
      <w:r w:rsidR="00680FA2">
        <w:instrText xml:space="preserve">; A. Nollet et F. Vanrykel, </w:instrText>
      </w:r>
      <w:r w:rsidR="00680FA2">
        <w:rPr>
          <w:rFonts w:ascii="Calibri" w:hAnsi="Calibri" w:cs="Calibri"/>
        </w:rPr>
        <w:instrText>« </w:instrText>
      </w:r>
      <w:r w:rsidR="00680FA2">
        <w:instrText>Aspects de droit fiscal de l</w:instrText>
      </w:r>
      <w:r w:rsidR="00680FA2">
        <w:rPr>
          <w:rFonts w:ascii="Calibri" w:hAnsi="Calibri" w:cs="Calibri"/>
        </w:rPr>
        <w:instrText>’é</w:instrText>
      </w:r>
      <w:r w:rsidR="00680FA2">
        <w:instrText>conomie collaborative en Belgique</w:instrText>
      </w:r>
      <w:r w:rsidR="00680FA2">
        <w:rPr>
          <w:rFonts w:ascii="Calibri" w:hAnsi="Calibri" w:cs="Calibri"/>
        </w:rPr>
        <w:instrText> »</w:instrText>
      </w:r>
      <w:r w:rsidR="00680FA2">
        <w:instrText>, in J. Clesse et F. K</w:instrText>
      </w:r>
      <w:r w:rsidR="00680FA2">
        <w:rPr>
          <w:rFonts w:ascii="Calibri" w:hAnsi="Calibri" w:cs="Calibri"/>
        </w:rPr>
        <w:instrText>é</w:instrText>
      </w:r>
      <w:r w:rsidR="00680FA2">
        <w:instrText>fer (</w:instrText>
      </w:r>
      <w:r w:rsidR="00680FA2">
        <w:rPr>
          <w:rFonts w:ascii="Calibri" w:hAnsi="Calibri" w:cs="Calibri"/>
        </w:rPr>
        <w:instrText>é</w:instrText>
      </w:r>
      <w:r w:rsidR="00680FA2">
        <w:instrText>ds.), Enjeux et d</w:instrText>
      </w:r>
      <w:r w:rsidR="00680FA2">
        <w:rPr>
          <w:rFonts w:ascii="Calibri" w:hAnsi="Calibri" w:cs="Calibri"/>
        </w:rPr>
        <w:instrText>é</w:instrText>
      </w:r>
      <w:r w:rsidR="00680FA2">
        <w:instrText>fis juridiques de l</w:instrText>
      </w:r>
      <w:r w:rsidR="00680FA2">
        <w:rPr>
          <w:rFonts w:ascii="Calibri" w:hAnsi="Calibri" w:cs="Calibri"/>
        </w:rPr>
        <w:instrText>’é</w:instrText>
      </w:r>
      <w:r w:rsidR="00680FA2">
        <w:instrText>conomie de plateforme, CUP, Limal, Anthemis, 2019, pp. 200</w:instrText>
      </w:r>
      <w:r w:rsidR="00680FA2">
        <w:rPr>
          <w:rFonts w:ascii="Cambria Math" w:hAnsi="Cambria Math" w:cs="Cambria Math"/>
        </w:rPr>
        <w:instrText>‑</w:instrText>
      </w:r>
      <w:r w:rsidR="00680FA2">
        <w:instrText xml:space="preserve">203.","noteIndex":55},"citationItems":[{"id":631,"uris":["http://zotero.org/users/local/0X1c0osY/items/K9E2HSKA"],"uri":["http://zotero.org/users/local/0X1c0osY/items/K9E2HSKA"],"itemData":{"id":631,"type":"chapter","container-title":"Études de droit fiscal","event-place":"Limal","language":"French","page":"53-81","publisher":"Anthemis","publisher-place":"Limal","title":"Revenus professionnels : vers une évolution du concept ?","author":[{"family":"Davain","given":"J-L."}],"editor":[{"family":"Docclo","given":"C."}],"issued":{"date-parts":[["2019"]]}}},{"id":636,"uris":["http://zotero.org/users/local/0X1c0osY/items/85FDEKHD"],"uri":["http://zotero.org/users/local/0X1c0osY/items/85FDEKHD"],"itemData":{"id":636,"type":"chapter","collection-title":"CUP","container-title":"Enjeux et défis juridiques de l'économie de plateforme","event-place":"Limal","language":"French","page":"185-213","publisher":"Anthemis","publisher-place":"Limal","title":"Aspects de droit fiscal de l'économie collaborative en Belgique","author":[{"family":"Nollet","given":"A."},{"family":"Vanrykel","given":"F."}],"editor":[{"family":"Clesse","given":"Jacques"},{"family":"Kéfer","given":"Fabienne"}],"issued":{"date-parts":[["2019"]]}},"locator":"200-203"}],"schema":"https://github.com/citation-style-language/schema/raw/master/csl-citation.json"} </w:instrText>
      </w:r>
      <w:r>
        <w:fldChar w:fldCharType="separate"/>
      </w:r>
      <w:r w:rsidR="00680FA2" w:rsidRPr="00680FA2">
        <w:rPr>
          <w:rFonts w:ascii="Calibri" w:hAnsi="Calibri" w:cs="Calibri"/>
          <w:szCs w:val="24"/>
        </w:rPr>
        <w:t xml:space="preserve">J.-L. </w:t>
      </w:r>
      <w:r w:rsidR="00680FA2" w:rsidRPr="00680FA2">
        <w:rPr>
          <w:rFonts w:ascii="Calibri" w:hAnsi="Calibri" w:cs="Calibri"/>
          <w:smallCaps/>
          <w:szCs w:val="24"/>
        </w:rPr>
        <w:t>Davain</w:t>
      </w:r>
      <w:r w:rsidR="00680FA2" w:rsidRPr="00680FA2">
        <w:rPr>
          <w:rFonts w:ascii="Calibri" w:hAnsi="Calibri" w:cs="Calibri"/>
          <w:szCs w:val="24"/>
        </w:rPr>
        <w:t xml:space="preserve">, « Revenus professionnels : vers une évolution du concept ? », </w:t>
      </w:r>
      <w:r w:rsidR="00680FA2" w:rsidRPr="00680FA2">
        <w:rPr>
          <w:rFonts w:ascii="Calibri" w:hAnsi="Calibri" w:cs="Calibri"/>
          <w:i/>
          <w:iCs/>
          <w:szCs w:val="24"/>
        </w:rPr>
        <w:t>in</w:t>
      </w:r>
      <w:r w:rsidR="00680FA2" w:rsidRPr="00680FA2">
        <w:rPr>
          <w:rFonts w:ascii="Calibri" w:hAnsi="Calibri" w:cs="Calibri"/>
          <w:szCs w:val="24"/>
        </w:rPr>
        <w:t xml:space="preserve"> C. </w:t>
      </w:r>
      <w:r w:rsidR="00680FA2" w:rsidRPr="00680FA2">
        <w:rPr>
          <w:rFonts w:ascii="Calibri" w:hAnsi="Calibri" w:cs="Calibri"/>
          <w:smallCaps/>
          <w:szCs w:val="24"/>
        </w:rPr>
        <w:t>Docclo</w:t>
      </w:r>
      <w:r w:rsidR="00680FA2" w:rsidRPr="00680FA2">
        <w:rPr>
          <w:rFonts w:ascii="Calibri" w:hAnsi="Calibri" w:cs="Calibri"/>
          <w:szCs w:val="24"/>
        </w:rPr>
        <w:t xml:space="preserve"> (éd.), </w:t>
      </w:r>
      <w:r w:rsidR="00680FA2" w:rsidRPr="00680FA2">
        <w:rPr>
          <w:rFonts w:ascii="Calibri" w:hAnsi="Calibri" w:cs="Calibri"/>
          <w:i/>
          <w:iCs/>
          <w:szCs w:val="24"/>
        </w:rPr>
        <w:t>Études de droit fiscal</w:t>
      </w:r>
      <w:r w:rsidR="00680FA2" w:rsidRPr="00680FA2">
        <w:rPr>
          <w:rFonts w:ascii="Calibri" w:hAnsi="Calibri" w:cs="Calibri"/>
          <w:szCs w:val="24"/>
        </w:rPr>
        <w:t xml:space="preserve">, Limal, Anthemis, 2019, pp. 53‑81 ; A. </w:t>
      </w:r>
      <w:r w:rsidR="00680FA2" w:rsidRPr="00680FA2">
        <w:rPr>
          <w:rFonts w:ascii="Calibri" w:hAnsi="Calibri" w:cs="Calibri"/>
          <w:smallCaps/>
          <w:szCs w:val="24"/>
        </w:rPr>
        <w:t>Nollet</w:t>
      </w:r>
      <w:r w:rsidR="00680FA2" w:rsidRPr="00680FA2">
        <w:rPr>
          <w:rFonts w:ascii="Calibri" w:hAnsi="Calibri" w:cs="Calibri"/>
          <w:szCs w:val="24"/>
        </w:rPr>
        <w:t xml:space="preserve"> et F. </w:t>
      </w:r>
      <w:r w:rsidR="00680FA2" w:rsidRPr="00680FA2">
        <w:rPr>
          <w:rFonts w:ascii="Calibri" w:hAnsi="Calibri" w:cs="Calibri"/>
          <w:smallCaps/>
          <w:szCs w:val="24"/>
        </w:rPr>
        <w:t>Vanrykel</w:t>
      </w:r>
      <w:r w:rsidR="00680FA2" w:rsidRPr="00680FA2">
        <w:rPr>
          <w:rFonts w:ascii="Calibri" w:hAnsi="Calibri" w:cs="Calibri"/>
          <w:szCs w:val="24"/>
        </w:rPr>
        <w:t xml:space="preserve">, « Aspects de droit fiscal de l’économie collaborative en Belgique », </w:t>
      </w:r>
      <w:r w:rsidR="00680FA2" w:rsidRPr="00680FA2">
        <w:rPr>
          <w:rFonts w:ascii="Calibri" w:hAnsi="Calibri" w:cs="Calibri"/>
          <w:i/>
          <w:iCs/>
          <w:szCs w:val="24"/>
        </w:rPr>
        <w:t>in</w:t>
      </w:r>
      <w:r w:rsidR="00680FA2" w:rsidRPr="00680FA2">
        <w:rPr>
          <w:rFonts w:ascii="Calibri" w:hAnsi="Calibri" w:cs="Calibri"/>
          <w:szCs w:val="24"/>
        </w:rPr>
        <w:t xml:space="preserve"> J. </w:t>
      </w:r>
      <w:r w:rsidR="00680FA2" w:rsidRPr="00680FA2">
        <w:rPr>
          <w:rFonts w:ascii="Calibri" w:hAnsi="Calibri" w:cs="Calibri"/>
          <w:smallCaps/>
          <w:szCs w:val="24"/>
        </w:rPr>
        <w:t>Clesse</w:t>
      </w:r>
      <w:r w:rsidR="00680FA2" w:rsidRPr="00680FA2">
        <w:rPr>
          <w:rFonts w:ascii="Calibri" w:hAnsi="Calibri" w:cs="Calibri"/>
          <w:szCs w:val="24"/>
        </w:rPr>
        <w:t xml:space="preserve"> et F. </w:t>
      </w:r>
      <w:r w:rsidR="00680FA2" w:rsidRPr="00680FA2">
        <w:rPr>
          <w:rFonts w:ascii="Calibri" w:hAnsi="Calibri" w:cs="Calibri"/>
          <w:smallCaps/>
          <w:szCs w:val="24"/>
        </w:rPr>
        <w:t>Kéfer</w:t>
      </w:r>
      <w:r w:rsidR="00680FA2" w:rsidRPr="00680FA2">
        <w:rPr>
          <w:rFonts w:ascii="Calibri" w:hAnsi="Calibri" w:cs="Calibri"/>
          <w:szCs w:val="24"/>
        </w:rPr>
        <w:t xml:space="preserve"> (éds.), </w:t>
      </w:r>
      <w:r w:rsidR="00680FA2" w:rsidRPr="00680FA2">
        <w:rPr>
          <w:rFonts w:ascii="Calibri" w:hAnsi="Calibri" w:cs="Calibri"/>
          <w:i/>
          <w:iCs/>
          <w:szCs w:val="24"/>
        </w:rPr>
        <w:t>Enjeux et défis juridiques de l’économie de plateforme</w:t>
      </w:r>
      <w:r w:rsidR="00680FA2" w:rsidRPr="00680FA2">
        <w:rPr>
          <w:rFonts w:ascii="Calibri" w:hAnsi="Calibri" w:cs="Calibri"/>
          <w:szCs w:val="24"/>
        </w:rPr>
        <w:t>, CUP, Limal, Anthemis, 2019, pp. 200‑203.</w:t>
      </w:r>
      <w:r>
        <w:fldChar w:fldCharType="end"/>
      </w:r>
    </w:p>
  </w:footnote>
  <w:footnote w:id="56">
    <w:p w14:paraId="2F987E63" w14:textId="77777777" w:rsidR="00F64DDC" w:rsidRPr="00EC5665" w:rsidRDefault="00F64DDC" w:rsidP="00880183">
      <w:pPr>
        <w:pStyle w:val="Notedebasdepage"/>
        <w:jc w:val="both"/>
        <w:rPr>
          <w:highlight w:val="yellow"/>
        </w:rPr>
      </w:pPr>
      <w:r>
        <w:rPr>
          <w:rStyle w:val="Appelnotedebasdep"/>
        </w:rPr>
        <w:footnoteRef/>
      </w:r>
      <w:r>
        <w:t xml:space="preserve"> </w:t>
      </w:r>
      <w:r w:rsidRPr="00123485">
        <w:t xml:space="preserve">Dans le même sens, voyez </w:t>
      </w:r>
      <w:r w:rsidRPr="00123485">
        <w:fldChar w:fldCharType="begin"/>
      </w:r>
      <w:r w:rsidR="00D3669F">
        <w:instrText xml:space="preserve"> ADDIN ZOTERO_ITEM CSL_CITATION {"citationID":"CiQlYTrI","properties":{"formattedCitation":"W. {\\scaps Van Eeckhoutte} et V. {\\scaps Neuprez}, {\\i{}Compendium social: droit du travail contenant des annotations fiscales,  2019-2020}, Malines, Wolters Kluwer, 2019, p. 720\\uc0\\u160{}; F. {\\scaps Hendrickx} et C. {\\scaps Engels}, {\\i{}Arbeidsrecht, t.1}, Bruges, Die Keure, 2020, p. 394.","plainCitation":"W. Van Eeckhoutte et V. Neuprez, Compendium social: droit du travail contenant des annotations fiscales,  2019-2020, Malines, Wolters Kluwer, 2019, p. 720 ; F. Hendrickx et C. Engels, Arbeidsrecht, t.1, Bruges, Die Keure, 2020, p. 394.","noteIndex":56},"citationItems":[{"id":505,"uris":["http://zotero.org/users/local/0X1c0osY/items/TGVR43XN"],"uri":["http://zotero.org/users/local/0X1c0osY/items/TGVR43XN"],"itemData":{"id":505,"type":"book","event-place":"Malines","publisher":"Wolters Kluwer","publisher-place":"Malines","title":"Compendium social: droit du travail contenant des annotations fiscales,  2019-2020","author":[{"family":"Van Eeckhoutte","given":"Willy"},{"family":"Neuprez","given":"Vincent"}],"issued":{"date-parts":[["2019"]]}},"locator":"720"},{"id":507,"uris":["http://zotero.org/users/local/0X1c0osY/items/LBGB9JYD"],"uri":["http://zotero.org/users/local/0X1c0osY/items/LBGB9JYD"],"itemData":{"id":507,"type":"book","event-place":"Bruges","publisher":"Die Keure","publisher-place":"Bruges","title":"Arbeidsrecht, t.1","author":[{"family":"Hendrickx","given":"Frank"},{"family":"Engels","given":"Chris"}],"issued":{"date-parts":[["2020"]]}},"locator":"394"}],"schema":"https://github.com/citation-style-language/schema/raw/master/csl-citation.json"} </w:instrText>
      </w:r>
      <w:r w:rsidRPr="00123485">
        <w:fldChar w:fldCharType="separate"/>
      </w:r>
      <w:r w:rsidRPr="00123485">
        <w:rPr>
          <w:rFonts w:ascii="Calibri" w:hAnsi="Calibri" w:cs="Calibri"/>
          <w:szCs w:val="24"/>
        </w:rPr>
        <w:t xml:space="preserve">W. </w:t>
      </w:r>
      <w:r w:rsidRPr="00123485">
        <w:rPr>
          <w:rFonts w:ascii="Calibri" w:hAnsi="Calibri" w:cs="Calibri"/>
          <w:smallCaps/>
          <w:szCs w:val="24"/>
        </w:rPr>
        <w:t>Van Eeckhoutte</w:t>
      </w:r>
      <w:r w:rsidRPr="00123485">
        <w:rPr>
          <w:rFonts w:ascii="Calibri" w:hAnsi="Calibri" w:cs="Calibri"/>
          <w:szCs w:val="24"/>
        </w:rPr>
        <w:t xml:space="preserve"> et V. </w:t>
      </w:r>
      <w:r w:rsidRPr="00123485">
        <w:rPr>
          <w:rFonts w:ascii="Calibri" w:hAnsi="Calibri" w:cs="Calibri"/>
          <w:smallCaps/>
          <w:szCs w:val="24"/>
        </w:rPr>
        <w:t>Neuprez</w:t>
      </w:r>
      <w:r w:rsidRPr="00123485">
        <w:rPr>
          <w:rFonts w:ascii="Calibri" w:hAnsi="Calibri" w:cs="Calibri"/>
          <w:szCs w:val="24"/>
        </w:rPr>
        <w:t xml:space="preserve">, </w:t>
      </w:r>
      <w:r w:rsidRPr="00123485">
        <w:rPr>
          <w:rFonts w:ascii="Calibri" w:hAnsi="Calibri" w:cs="Calibri"/>
          <w:i/>
          <w:iCs/>
          <w:szCs w:val="24"/>
        </w:rPr>
        <w:t>Compendium social: droit du travail contenant des annotations fiscales,  2019-2020</w:t>
      </w:r>
      <w:r w:rsidRPr="00123485">
        <w:rPr>
          <w:rFonts w:ascii="Calibri" w:hAnsi="Calibri" w:cs="Calibri"/>
          <w:szCs w:val="24"/>
        </w:rPr>
        <w:t xml:space="preserve">, Malines, Wolters Kluwer, 2019, p. 720 ; F. </w:t>
      </w:r>
      <w:r w:rsidRPr="00123485">
        <w:rPr>
          <w:rFonts w:ascii="Calibri" w:hAnsi="Calibri" w:cs="Calibri"/>
          <w:smallCaps/>
          <w:szCs w:val="24"/>
        </w:rPr>
        <w:t>Hendrickx</w:t>
      </w:r>
      <w:r w:rsidRPr="00123485">
        <w:rPr>
          <w:rFonts w:ascii="Calibri" w:hAnsi="Calibri" w:cs="Calibri"/>
          <w:szCs w:val="24"/>
        </w:rPr>
        <w:t xml:space="preserve"> et C. </w:t>
      </w:r>
      <w:r w:rsidRPr="00123485">
        <w:rPr>
          <w:rFonts w:ascii="Calibri" w:hAnsi="Calibri" w:cs="Calibri"/>
          <w:smallCaps/>
          <w:szCs w:val="24"/>
        </w:rPr>
        <w:t>Engels</w:t>
      </w:r>
      <w:r w:rsidRPr="00123485">
        <w:rPr>
          <w:rFonts w:ascii="Calibri" w:hAnsi="Calibri" w:cs="Calibri"/>
          <w:szCs w:val="24"/>
        </w:rPr>
        <w:t xml:space="preserve">, </w:t>
      </w:r>
      <w:r w:rsidRPr="00123485">
        <w:rPr>
          <w:rFonts w:ascii="Calibri" w:hAnsi="Calibri" w:cs="Calibri"/>
          <w:i/>
          <w:iCs/>
          <w:szCs w:val="24"/>
        </w:rPr>
        <w:t>Arbeidsrecht, t.1</w:t>
      </w:r>
      <w:r w:rsidRPr="00123485">
        <w:rPr>
          <w:rFonts w:ascii="Calibri" w:hAnsi="Calibri" w:cs="Calibri"/>
          <w:szCs w:val="24"/>
        </w:rPr>
        <w:t>, Bruges, Die Keure, 2020, p. 394.</w:t>
      </w:r>
      <w:r w:rsidRPr="00123485">
        <w:fldChar w:fldCharType="end"/>
      </w:r>
    </w:p>
  </w:footnote>
  <w:footnote w:id="57">
    <w:p w14:paraId="08355D75" w14:textId="77777777" w:rsidR="00F64DDC" w:rsidRPr="00883040" w:rsidRDefault="00F64DDC" w:rsidP="00880183">
      <w:pPr>
        <w:pStyle w:val="Notedebasdepage"/>
        <w:jc w:val="both"/>
      </w:pPr>
      <w:r>
        <w:rPr>
          <w:rStyle w:val="Appelnotedebasdep"/>
        </w:rPr>
        <w:footnoteRef/>
      </w:r>
      <w:r>
        <w:t xml:space="preserve"> </w:t>
      </w:r>
      <w:r w:rsidRPr="001B17F4">
        <w:t>Projet de loi relatif à la relance économique et au renf</w:t>
      </w:r>
      <w:r>
        <w:t xml:space="preserve">orcement de la cohésion sociale, </w:t>
      </w:r>
      <w:r w:rsidRPr="005B6FBA">
        <w:rPr>
          <w:i/>
        </w:rPr>
        <w:t xml:space="preserve">Doc. parl., </w:t>
      </w:r>
      <w:r w:rsidRPr="00902B55">
        <w:t>Chambre</w:t>
      </w:r>
      <w:r>
        <w:t>,2017-2018, n°</w:t>
      </w:r>
      <w:r w:rsidRPr="001B17F4">
        <w:t xml:space="preserve"> 54</w:t>
      </w:r>
      <w:r>
        <w:t>-</w:t>
      </w:r>
      <w:r w:rsidRPr="001B17F4">
        <w:t>2839</w:t>
      </w:r>
      <w:r>
        <w:t>, p. 152.</w:t>
      </w:r>
    </w:p>
  </w:footnote>
  <w:footnote w:id="58">
    <w:p w14:paraId="024EFB8B" w14:textId="77777777" w:rsidR="00F64DDC" w:rsidRPr="008853E7" w:rsidRDefault="00F64DDC" w:rsidP="00880183">
      <w:pPr>
        <w:pStyle w:val="Notedebasdepage"/>
        <w:jc w:val="both"/>
        <w:rPr>
          <w:lang w:val="fr-FR"/>
        </w:rPr>
      </w:pPr>
      <w:r>
        <w:rPr>
          <w:rStyle w:val="Appelnotedebasdep"/>
        </w:rPr>
        <w:footnoteRef/>
      </w:r>
      <w:r>
        <w:t xml:space="preserve"> </w:t>
      </w:r>
      <w:r w:rsidRPr="00C90E54">
        <w:rPr>
          <w:rFonts w:ascii="Calibri" w:hAnsi="Calibri" w:cs="Calibri"/>
          <w:szCs w:val="24"/>
        </w:rPr>
        <w:t xml:space="preserve">Y. </w:t>
      </w:r>
      <w:r w:rsidRPr="00C90E54">
        <w:rPr>
          <w:rFonts w:ascii="Calibri" w:hAnsi="Calibri" w:cs="Calibri"/>
          <w:smallCaps/>
          <w:szCs w:val="24"/>
        </w:rPr>
        <w:t>Stevens</w:t>
      </w:r>
      <w:r w:rsidRPr="00C90E54">
        <w:rPr>
          <w:rFonts w:ascii="Calibri" w:hAnsi="Calibri" w:cs="Calibri"/>
          <w:szCs w:val="24"/>
        </w:rPr>
        <w:t xml:space="preserve"> et J. </w:t>
      </w:r>
      <w:r w:rsidRPr="00C90E54">
        <w:rPr>
          <w:rFonts w:ascii="Calibri" w:hAnsi="Calibri" w:cs="Calibri"/>
          <w:smallCaps/>
          <w:szCs w:val="24"/>
        </w:rPr>
        <w:t>Put</w:t>
      </w:r>
      <w:r w:rsidRPr="00C90E54">
        <w:rPr>
          <w:rFonts w:ascii="Calibri" w:hAnsi="Calibri" w:cs="Calibri"/>
          <w:szCs w:val="24"/>
        </w:rPr>
        <w:t xml:space="preserve">, « Het laatste heilige huisje: professionele apartheid in de sociale zekerheid », </w:t>
      </w:r>
      <w:r w:rsidRPr="00C90E54">
        <w:rPr>
          <w:rFonts w:ascii="Calibri" w:hAnsi="Calibri" w:cs="Calibri"/>
          <w:i/>
          <w:iCs/>
          <w:szCs w:val="24"/>
        </w:rPr>
        <w:t>op. cit.</w:t>
      </w:r>
      <w:r w:rsidRPr="00C90E54">
        <w:rPr>
          <w:rFonts w:ascii="Calibri" w:hAnsi="Calibri" w:cs="Calibri"/>
          <w:szCs w:val="24"/>
        </w:rPr>
        <w:t xml:space="preserve">, p. 147 ; T. </w:t>
      </w:r>
      <w:r w:rsidRPr="00C90E54">
        <w:rPr>
          <w:rFonts w:ascii="Calibri" w:hAnsi="Calibri" w:cs="Calibri"/>
          <w:smallCaps/>
          <w:szCs w:val="24"/>
        </w:rPr>
        <w:t>Douillet</w:t>
      </w:r>
      <w:r w:rsidRPr="00C90E54">
        <w:rPr>
          <w:rFonts w:ascii="Calibri" w:hAnsi="Calibri" w:cs="Calibri"/>
          <w:szCs w:val="24"/>
        </w:rPr>
        <w:t xml:space="preserve"> </w:t>
      </w:r>
      <w:r w:rsidRPr="00C90E54">
        <w:rPr>
          <w:rFonts w:ascii="Calibri" w:hAnsi="Calibri" w:cs="Calibri"/>
          <w:i/>
          <w:iCs/>
          <w:szCs w:val="24"/>
        </w:rPr>
        <w:t>et al.</w:t>
      </w:r>
      <w:r w:rsidRPr="00C90E54">
        <w:rPr>
          <w:rFonts w:ascii="Calibri" w:hAnsi="Calibri" w:cs="Calibri"/>
          <w:szCs w:val="24"/>
        </w:rPr>
        <w:t xml:space="preserve">, « Le statut social des travailleurs de l’économie collaborative », </w:t>
      </w:r>
      <w:r w:rsidRPr="00C90E54">
        <w:rPr>
          <w:rFonts w:ascii="Calibri" w:hAnsi="Calibri" w:cs="Calibri"/>
          <w:i/>
          <w:iCs/>
          <w:szCs w:val="24"/>
        </w:rPr>
        <w:t>op. cit.</w:t>
      </w:r>
    </w:p>
  </w:footnote>
  <w:footnote w:id="59">
    <w:p w14:paraId="2B14B327" w14:textId="16038612" w:rsidR="00F64DDC" w:rsidRPr="004D48C7" w:rsidRDefault="00F64DDC" w:rsidP="00880183">
      <w:pPr>
        <w:pStyle w:val="Notedebasdepage"/>
        <w:jc w:val="both"/>
      </w:pPr>
      <w:r>
        <w:rPr>
          <w:rStyle w:val="Appelnotedebasdep"/>
        </w:rPr>
        <w:footnoteRef/>
      </w:r>
      <w:r>
        <w:t xml:space="preserve"> Communiqué de presse de la CSC du 17 novembre 2017,</w:t>
      </w:r>
      <w:r w:rsidRPr="004D48C7">
        <w:t xml:space="preserve"> </w:t>
      </w:r>
      <w:r w:rsidRPr="00900084">
        <w:rPr>
          <w:i/>
        </w:rPr>
        <w:t xml:space="preserve">Contrat </w:t>
      </w:r>
      <w:r w:rsidRPr="00427F1E">
        <w:rPr>
          <w:i/>
        </w:rPr>
        <w:t>associatif :</w:t>
      </w:r>
      <w:r w:rsidRPr="00900084">
        <w:rPr>
          <w:i/>
        </w:rPr>
        <w:t xml:space="preserve"> le gouvernement NVA remonte le temps en</w:t>
      </w:r>
      <w:r>
        <w:rPr>
          <w:i/>
        </w:rPr>
        <w:t xml:space="preserve"> </w:t>
      </w:r>
      <w:r w:rsidRPr="00900084">
        <w:rPr>
          <w:i/>
        </w:rPr>
        <w:t xml:space="preserve">vendant le Non Marchand sur l’autel des petits </w:t>
      </w:r>
      <w:r w:rsidRPr="00427F1E">
        <w:rPr>
          <w:i/>
        </w:rPr>
        <w:t>boulots !</w:t>
      </w:r>
      <w:r>
        <w:t xml:space="preserve"> , disponible sur</w:t>
      </w:r>
      <w:r w:rsidRPr="004D48C7">
        <w:t xml:space="preserve"> </w:t>
      </w:r>
      <w:r w:rsidR="00C7538F" w:rsidRPr="00F6374E">
        <w:t>http://www.50nuancesdeblack.be/wp-content/uploads/2018/03/ContratAssociatif_CNE_CommuniquePresse_20171117.pdf</w:t>
      </w:r>
      <w:r>
        <w:t xml:space="preserve">; communication de la CGSLB du 29 janvier 2019, </w:t>
      </w:r>
      <w:r w:rsidRPr="00900084">
        <w:rPr>
          <w:i/>
        </w:rPr>
        <w:t>La CGSLB conteste la réglementation inepte et déstabilisatrice sur les revenus d'appoint non imposables devant la Cour constitutionnelle</w:t>
      </w:r>
      <w:r>
        <w:t xml:space="preserve">, disponible sur </w:t>
      </w:r>
      <w:r w:rsidR="00C7538F" w:rsidRPr="00F6374E">
        <w:t>https://www.cgslb.be/fr/articles/la-cgslb-conteste-la-reglementation-inepte-et-destabilisatrice-sur-les-revenus-dappoint-non</w:t>
      </w:r>
      <w:r>
        <w:t xml:space="preserve"> .</w:t>
      </w:r>
    </w:p>
  </w:footnote>
  <w:footnote w:id="60">
    <w:p w14:paraId="5429A6BA" w14:textId="203B21F4" w:rsidR="00F64DDC" w:rsidRPr="00B72DF2" w:rsidRDefault="00F64DDC" w:rsidP="00880183">
      <w:pPr>
        <w:pStyle w:val="Notedebasdepage"/>
        <w:jc w:val="both"/>
      </w:pPr>
      <w:r>
        <w:rPr>
          <w:rStyle w:val="Appelnotedebasdep"/>
        </w:rPr>
        <w:footnoteRef/>
      </w:r>
      <w:r>
        <w:t xml:space="preserve"> Note de position de la Confédération des Employeurs des secteurs Sportif et Socio-Culturel ( CESSoC) du 23 novembre 2017, </w:t>
      </w:r>
      <w:r w:rsidRPr="00900084">
        <w:rPr>
          <w:i/>
        </w:rPr>
        <w:t>Travail ”semi-agoral“ Une mauvaise réponse à un vrai problème</w:t>
      </w:r>
      <w:r>
        <w:rPr>
          <w:i/>
        </w:rPr>
        <w:t xml:space="preserve">, </w:t>
      </w:r>
      <w:r>
        <w:t xml:space="preserve">disponible sur </w:t>
      </w:r>
      <w:r w:rsidR="00C7538F" w:rsidRPr="00F6374E">
        <w:t>http://msw.be/wp-content/uploads/2018/03/Position-CESSoC-Travail-semi-agoral_2017-11-28.pdf</w:t>
      </w:r>
      <w:r>
        <w:t xml:space="preserve"> </w:t>
      </w:r>
    </w:p>
  </w:footnote>
  <w:footnote w:id="61">
    <w:p w14:paraId="5CEE09F5" w14:textId="17925713" w:rsidR="00F64DDC" w:rsidRPr="00BC2DE9" w:rsidRDefault="00F64DDC" w:rsidP="00880183">
      <w:pPr>
        <w:pStyle w:val="Notedebasdepage"/>
        <w:jc w:val="both"/>
      </w:pPr>
      <w:r>
        <w:rPr>
          <w:rStyle w:val="Appelnotedebasdep"/>
        </w:rPr>
        <w:footnoteRef/>
      </w:r>
      <w:r>
        <w:t xml:space="preserve">  Avis du 24 novembre 2017 du Conseil supérieur des volontaires concernant les projets de loi et d’arrêté royal relatifs aux activités complémentaires, disponible sur </w:t>
      </w:r>
      <w:r w:rsidR="00C7538F" w:rsidRPr="00F6374E">
        <w:t>https://conseilsuperieurvolontaires.belgium.be/docs/avis-2017-travail-associatif.pdf</w:t>
      </w:r>
      <w:r>
        <w:t xml:space="preserve">; avis de la Plateforme Francophone du Volontariat, 2017, disponible sur </w:t>
      </w:r>
      <w:r w:rsidRPr="00BC2DE9">
        <w:t>https://www.levolontariat.be/lavis-de-la-pfv-le-projet-de-loi-relatif-au-travail-associatif</w:t>
      </w:r>
      <w:r>
        <w:t>.</w:t>
      </w:r>
    </w:p>
  </w:footnote>
  <w:footnote w:id="62">
    <w:p w14:paraId="3300D46C" w14:textId="77777777" w:rsidR="00F64DDC" w:rsidRPr="008F3CD4" w:rsidRDefault="00F64DDC" w:rsidP="00880183">
      <w:pPr>
        <w:pStyle w:val="Notedebasdepage"/>
        <w:jc w:val="both"/>
        <w:rPr>
          <w:lang w:val="fr-FR"/>
        </w:rPr>
      </w:pPr>
      <w:r>
        <w:rPr>
          <w:rStyle w:val="Appelnotedebasdep"/>
        </w:rPr>
        <w:footnoteRef/>
      </w:r>
      <w:r>
        <w:t xml:space="preserve"> </w:t>
      </w:r>
      <w:r>
        <w:fldChar w:fldCharType="begin"/>
      </w:r>
      <w:r w:rsidR="00D3669F">
        <w:instrText xml:space="preserve"> ADDIN ZOTERO_ITEM CSL_CITATION {"citationID":"aRR8Faxo","properties":{"formattedCitation":"M. {\\scaps Dew\\uc0\\u232{}vre}, \\uc0\\u171{}\\uc0\\u160{}Pour une \\uc0\\u233{}conomie de plateforme au service de l\\uc0\\u8217{}entrepreneuriat\\uc0\\u160{}\\uc0\\u187{}, in {\\i{}Quel doit social pour les travailleurs de plateformes\\uc0\\u8239{}? Premiers diagnostics et actualit\\uc0\\u233{}s l\\uc0\\u233{}gislatives}, Limal, Anth\\uc0\\u233{}mis, 2020, pp. 419\\uc0\\u8209{}429.","plainCitation":"M. Dewèvre, « Pour une économie de plateforme au service de l’entrepreneuriat », in Quel doit social pour les travailleurs de plateformes ? Premiers diagnostics et actualités législatives, Limal, Anthémis, 2020, pp. 419</w:instrText>
      </w:r>
      <w:r w:rsidR="00D3669F">
        <w:rPr>
          <w:rFonts w:ascii="Cambria Math" w:hAnsi="Cambria Math" w:cs="Cambria Math"/>
        </w:rPr>
        <w:instrText>‑</w:instrText>
      </w:r>
      <w:r w:rsidR="00D3669F">
        <w:instrText xml:space="preserve">429.","noteIndex":62},"citationItems":[{"id":486,"uris":["http://zotero.org/users/local/0X1c0osY/items/4CNA7PI9"],"uri":["http://zotero.org/users/local/0X1c0osY/items/4CNA7PI9"],"itemData":{"id":486,"type":"chapter","container-title":"Quel doit social pour les travailleurs de plateformes ? Premiers diagnostics et actualités législatives","event-place":"Limal","page":"419-429","publisher":"Anthémis","publisher-place":"Limal","title":"Pour une économie de plateforme au service de l'entrepreneuriat","author":[{"family":"Dewèvre","given":"Mathieu"}],"issued":{"date-parts":[["2020"]]}}}],"schema":"https://github.com/citation-style-language/schema/raw/master/csl-citation.json"} </w:instrText>
      </w:r>
      <w:r>
        <w:fldChar w:fldCharType="separate"/>
      </w:r>
      <w:r w:rsidRPr="00F34B81">
        <w:rPr>
          <w:rFonts w:ascii="Calibri" w:hAnsi="Calibri" w:cs="Calibri"/>
          <w:szCs w:val="24"/>
        </w:rPr>
        <w:t xml:space="preserve">M. </w:t>
      </w:r>
      <w:r w:rsidRPr="00F34B81">
        <w:rPr>
          <w:rFonts w:ascii="Calibri" w:hAnsi="Calibri" w:cs="Calibri"/>
          <w:smallCaps/>
          <w:szCs w:val="24"/>
        </w:rPr>
        <w:t>Dewèvre</w:t>
      </w:r>
      <w:r w:rsidRPr="00F34B81">
        <w:rPr>
          <w:rFonts w:ascii="Calibri" w:hAnsi="Calibri" w:cs="Calibri"/>
          <w:szCs w:val="24"/>
        </w:rPr>
        <w:t xml:space="preserve">, « Pour une économie de plateforme au service de l’entrepreneuriat », in </w:t>
      </w:r>
      <w:r w:rsidRPr="00F34B81">
        <w:rPr>
          <w:rFonts w:ascii="Calibri" w:hAnsi="Calibri" w:cs="Calibri"/>
          <w:i/>
          <w:iCs/>
          <w:szCs w:val="24"/>
        </w:rPr>
        <w:t>Quel doit social pour les travailleurs de plateformes ? Premiers diagnostics et actualités législatives</w:t>
      </w:r>
      <w:r w:rsidRPr="00F34B81">
        <w:rPr>
          <w:rFonts w:ascii="Calibri" w:hAnsi="Calibri" w:cs="Calibri"/>
          <w:szCs w:val="24"/>
        </w:rPr>
        <w:t>, Limal, Anthémis, 2020, pp. 419‑429.</w:t>
      </w:r>
      <w:r>
        <w:fldChar w:fldCharType="end"/>
      </w:r>
    </w:p>
  </w:footnote>
  <w:footnote w:id="63">
    <w:p w14:paraId="41E1F399" w14:textId="479697B2" w:rsidR="00F64DDC" w:rsidRPr="008853E7" w:rsidRDefault="00F64DDC" w:rsidP="00880183">
      <w:pPr>
        <w:pStyle w:val="Notedebasdepage"/>
        <w:jc w:val="both"/>
        <w:rPr>
          <w:lang w:val="fr-FR"/>
        </w:rPr>
      </w:pPr>
      <w:r>
        <w:rPr>
          <w:rStyle w:val="Appelnotedebasdep"/>
        </w:rPr>
        <w:footnoteRef/>
      </w:r>
      <w:r>
        <w:t xml:space="preserve"> </w:t>
      </w:r>
      <w:r w:rsidRPr="00453B98">
        <w:t>C.C., 23 avril 2020, n° 53/2020</w:t>
      </w:r>
      <w:r>
        <w:t xml:space="preserve">, </w:t>
      </w:r>
      <w:r w:rsidRPr="00F6374E">
        <w:rPr>
          <w:i/>
        </w:rPr>
        <w:t>J.T.T</w:t>
      </w:r>
      <w:r w:rsidR="00AA308D">
        <w:t>., 2020, p. 517</w:t>
      </w:r>
      <w:r>
        <w:t>.</w:t>
      </w:r>
    </w:p>
  </w:footnote>
  <w:footnote w:id="64">
    <w:p w14:paraId="144B0F8C" w14:textId="77777777" w:rsidR="00F64DDC" w:rsidRPr="00EB014E" w:rsidRDefault="00F64DDC" w:rsidP="00880183">
      <w:pPr>
        <w:pStyle w:val="Notedebasdepage"/>
        <w:jc w:val="both"/>
        <w:rPr>
          <w:lang w:val="fr-FR"/>
        </w:rPr>
      </w:pPr>
      <w:r>
        <w:rPr>
          <w:rStyle w:val="Appelnotedebasdep"/>
        </w:rPr>
        <w:footnoteRef/>
      </w:r>
      <w:r>
        <w:t xml:space="preserve"> </w:t>
      </w:r>
      <w:r>
        <w:rPr>
          <w:lang w:val="fr-FR"/>
        </w:rPr>
        <w:t>Arrêt, point B. 9., p. 36.</w:t>
      </w:r>
    </w:p>
  </w:footnote>
  <w:footnote w:id="65">
    <w:p w14:paraId="1EA034F8" w14:textId="06EC5304" w:rsidR="00F64DDC" w:rsidRPr="00306632" w:rsidRDefault="00F64DDC" w:rsidP="00880183">
      <w:pPr>
        <w:pStyle w:val="Notedebasdepage"/>
        <w:jc w:val="both"/>
      </w:pPr>
      <w:r>
        <w:rPr>
          <w:rStyle w:val="Appelnotedebasdep"/>
        </w:rPr>
        <w:footnoteRef/>
      </w:r>
      <w:r>
        <w:t xml:space="preserve"> </w:t>
      </w:r>
      <w:r w:rsidR="00AA308D">
        <w:t>Pour une étude détaillée</w:t>
      </w:r>
      <w:r w:rsidR="000670D2" w:rsidRPr="00AA308D">
        <w:t xml:space="preserve"> </w:t>
      </w:r>
      <w:r w:rsidR="00807A49" w:rsidRPr="00AA308D">
        <w:t>de l’arrêt</w:t>
      </w:r>
      <w:r w:rsidR="00807A49">
        <w:t>, cons.</w:t>
      </w:r>
      <w:r>
        <w:t xml:space="preserve"> </w:t>
      </w:r>
      <w:r>
        <w:fldChar w:fldCharType="begin"/>
      </w:r>
      <w:r w:rsidR="00DB45C3">
        <w:instrText xml:space="preserve"> ADDIN ZOTERO_ITEM CSL_CITATION {"citationID":"HLRiPDeW","properties":{"formattedCitation":"B. {\\scaps Mariscal}, \\uc0\\u171{}\\uc0\\u160{}A force de vouloir passer en force\\uc0\\u160{}\\uc0\\u187{}, {\\i{}Revue g\\uc0\\u233{}n\\uc0\\u233{}rale de fiscalit\\uc0\\u233{} et de comptabilit\\uc0\\u233{} pratique}, 2020, n\\uc0\\u176{} 6, pp. 2\\uc0\\u8209{}7\\uc0\\u160{}; S. {\\scaps Ghislain} et M. {\\scaps Verwilghen}, \\uc0\\u171{}\\uc0\\u160{}Le statut social des travailleurs de plateforme-premi\\uc0\\u232{}re partie\\uc0\\u160{}\\uc0\\u187{}, {\\i{}op. cit.}, pp. 539\\uc0\\u8209{}541.","plainCitation":"B. Mariscal, « A force de vouloir passer en force », Revue générale de fiscalité et de comptabilité pratique, 2020, n° 6, pp. 2</w:instrText>
      </w:r>
      <w:r w:rsidR="00DB45C3">
        <w:rPr>
          <w:rFonts w:ascii="Cambria Math" w:hAnsi="Cambria Math" w:cs="Cambria Math"/>
        </w:rPr>
        <w:instrText>‑</w:instrText>
      </w:r>
      <w:r w:rsidR="00DB45C3">
        <w:instrText>7</w:instrText>
      </w:r>
      <w:r w:rsidR="00DB45C3">
        <w:rPr>
          <w:rFonts w:ascii="Calibri" w:hAnsi="Calibri" w:cs="Calibri"/>
        </w:rPr>
        <w:instrText> </w:instrText>
      </w:r>
      <w:r w:rsidR="00DB45C3">
        <w:instrText xml:space="preserve">; S. Ghislain et M. Verwilghen, </w:instrText>
      </w:r>
      <w:r w:rsidR="00DB45C3">
        <w:rPr>
          <w:rFonts w:ascii="Calibri" w:hAnsi="Calibri" w:cs="Calibri"/>
        </w:rPr>
        <w:instrText>« </w:instrText>
      </w:r>
      <w:r w:rsidR="00DB45C3">
        <w:instrText>Le statut social des travailleurs de plateforme-premi</w:instrText>
      </w:r>
      <w:r w:rsidR="00DB45C3">
        <w:rPr>
          <w:rFonts w:ascii="Calibri" w:hAnsi="Calibri" w:cs="Calibri"/>
        </w:rPr>
        <w:instrText>è</w:instrText>
      </w:r>
      <w:r w:rsidR="00DB45C3">
        <w:instrText>re partie</w:instrText>
      </w:r>
      <w:r w:rsidR="00DB45C3">
        <w:rPr>
          <w:rFonts w:ascii="Calibri" w:hAnsi="Calibri" w:cs="Calibri"/>
        </w:rPr>
        <w:instrText> »</w:instrText>
      </w:r>
      <w:r w:rsidR="00DB45C3">
        <w:instrText>, op. cit., pp. 539</w:instrText>
      </w:r>
      <w:r w:rsidR="00DB45C3">
        <w:rPr>
          <w:rFonts w:ascii="Cambria Math" w:hAnsi="Cambria Math" w:cs="Cambria Math"/>
        </w:rPr>
        <w:instrText>‑</w:instrText>
      </w:r>
      <w:r w:rsidR="00DB45C3">
        <w:instrText xml:space="preserve">541.","noteIndex":65},"citationItems":[{"id":643,"uris":["http://zotero.org/users/local/0X1c0osY/items/MH6T95NU"],"uri":["http://zotero.org/users/local/0X1c0osY/items/MH6T95NU"],"itemData":{"id":643,"type":"article-journal","container-title":"Revue générale de fiscalité et de comptabilité pratique","issue":"6","page":"2-7","title":"A force de vouloir passer en force","author":[{"family":"Mariscal","given":"Bernard"}],"issued":{"date-parts":[["2020"]]}}},{"id":603,"uris":["http://zotero.org/users/local/0X1c0osY/items/5T3VIQE7"],"uri":["http://zotero.org/users/local/0X1c0osY/items/5T3VIQE7"],"itemData":{"id":603,"type":"article-newspaper","container-title":"J.T.T.","title":"Le statut social des travailleurs de plateforme-première partie","author":[{"family":"Ghislain","given":"S."},{"family":"Verwilghen","given":"M."}],"issued":{"date-parts":[["2020"]]}},"locator":"539-541"}],"schema":"https://github.com/citation-style-language/schema/raw/master/csl-citation.json"} </w:instrText>
      </w:r>
      <w:r>
        <w:fldChar w:fldCharType="separate"/>
      </w:r>
      <w:r w:rsidR="00DB45C3" w:rsidRPr="00DB45C3">
        <w:rPr>
          <w:rFonts w:ascii="Calibri" w:hAnsi="Calibri" w:cs="Calibri"/>
          <w:szCs w:val="24"/>
        </w:rPr>
        <w:t xml:space="preserve">B. </w:t>
      </w:r>
      <w:r w:rsidR="00DB45C3" w:rsidRPr="00DB45C3">
        <w:rPr>
          <w:rFonts w:ascii="Calibri" w:hAnsi="Calibri" w:cs="Calibri"/>
          <w:smallCaps/>
          <w:szCs w:val="24"/>
        </w:rPr>
        <w:t>Mariscal</w:t>
      </w:r>
      <w:r w:rsidR="00DB45C3" w:rsidRPr="00DB45C3">
        <w:rPr>
          <w:rFonts w:ascii="Calibri" w:hAnsi="Calibri" w:cs="Calibri"/>
          <w:szCs w:val="24"/>
        </w:rPr>
        <w:t xml:space="preserve">, « A force de vouloir passer en force », </w:t>
      </w:r>
      <w:r w:rsidR="00DB45C3" w:rsidRPr="00DB45C3">
        <w:rPr>
          <w:rFonts w:ascii="Calibri" w:hAnsi="Calibri" w:cs="Calibri"/>
          <w:i/>
          <w:iCs/>
          <w:szCs w:val="24"/>
        </w:rPr>
        <w:t>Revue générale de fiscalité et de comptabilité pratique</w:t>
      </w:r>
      <w:r w:rsidR="00DB45C3" w:rsidRPr="00DB45C3">
        <w:rPr>
          <w:rFonts w:ascii="Calibri" w:hAnsi="Calibri" w:cs="Calibri"/>
          <w:szCs w:val="24"/>
        </w:rPr>
        <w:t xml:space="preserve">, 2020, n° 6, pp. 2‑7 ; S. </w:t>
      </w:r>
      <w:r w:rsidR="00DB45C3" w:rsidRPr="00DB45C3">
        <w:rPr>
          <w:rFonts w:ascii="Calibri" w:hAnsi="Calibri" w:cs="Calibri"/>
          <w:smallCaps/>
          <w:szCs w:val="24"/>
        </w:rPr>
        <w:t>Ghislain</w:t>
      </w:r>
      <w:r w:rsidR="00DB45C3" w:rsidRPr="00DB45C3">
        <w:rPr>
          <w:rFonts w:ascii="Calibri" w:hAnsi="Calibri" w:cs="Calibri"/>
          <w:szCs w:val="24"/>
        </w:rPr>
        <w:t xml:space="preserve"> et M. </w:t>
      </w:r>
      <w:r w:rsidR="00DB45C3" w:rsidRPr="00DB45C3">
        <w:rPr>
          <w:rFonts w:ascii="Calibri" w:hAnsi="Calibri" w:cs="Calibri"/>
          <w:smallCaps/>
          <w:szCs w:val="24"/>
        </w:rPr>
        <w:t>Verwilghen</w:t>
      </w:r>
      <w:r w:rsidR="00DB45C3" w:rsidRPr="00DB45C3">
        <w:rPr>
          <w:rFonts w:ascii="Calibri" w:hAnsi="Calibri" w:cs="Calibri"/>
          <w:szCs w:val="24"/>
        </w:rPr>
        <w:t xml:space="preserve">, « Le statut social des travailleurs de plateforme-première partie », </w:t>
      </w:r>
      <w:r w:rsidR="00DB45C3" w:rsidRPr="00DB45C3">
        <w:rPr>
          <w:rFonts w:ascii="Calibri" w:hAnsi="Calibri" w:cs="Calibri"/>
          <w:i/>
          <w:iCs/>
          <w:szCs w:val="24"/>
        </w:rPr>
        <w:t>op. cit.</w:t>
      </w:r>
      <w:r w:rsidR="00DB45C3" w:rsidRPr="00DB45C3">
        <w:rPr>
          <w:rFonts w:ascii="Calibri" w:hAnsi="Calibri" w:cs="Calibri"/>
          <w:szCs w:val="24"/>
        </w:rPr>
        <w:t>, pp. 539‑541.</w:t>
      </w:r>
      <w:r>
        <w:fldChar w:fldCharType="end"/>
      </w:r>
    </w:p>
  </w:footnote>
  <w:footnote w:id="66">
    <w:p w14:paraId="031CD009" w14:textId="77777777" w:rsidR="00F64DDC" w:rsidRPr="003B0529" w:rsidRDefault="00F64DDC" w:rsidP="00880183">
      <w:pPr>
        <w:pStyle w:val="Notedebasdepage"/>
        <w:jc w:val="both"/>
        <w:rPr>
          <w:lang w:val="fr-FR"/>
        </w:rPr>
      </w:pPr>
      <w:r>
        <w:rPr>
          <w:rStyle w:val="Appelnotedebasdep"/>
        </w:rPr>
        <w:footnoteRef/>
      </w:r>
      <w:r>
        <w:t xml:space="preserve"> </w:t>
      </w:r>
      <w:r>
        <w:rPr>
          <w:lang w:val="fr-FR"/>
        </w:rPr>
        <w:t>Arrêt, point B.5.6., pp. 24 et 25.</w:t>
      </w:r>
    </w:p>
  </w:footnote>
  <w:footnote w:id="67">
    <w:p w14:paraId="036596C1" w14:textId="77777777" w:rsidR="00F64DDC" w:rsidRPr="00602C00" w:rsidRDefault="00F64DDC" w:rsidP="00880183">
      <w:pPr>
        <w:pStyle w:val="Notedebasdepage"/>
        <w:jc w:val="both"/>
        <w:rPr>
          <w:lang w:val="fr-FR"/>
        </w:rPr>
      </w:pPr>
      <w:r>
        <w:rPr>
          <w:rStyle w:val="Appelnotedebasdep"/>
        </w:rPr>
        <w:footnoteRef/>
      </w:r>
      <w:r>
        <w:t xml:space="preserve"> Arrêt, point B.5.7., p. 25.</w:t>
      </w:r>
    </w:p>
  </w:footnote>
  <w:footnote w:id="68">
    <w:p w14:paraId="6B552768" w14:textId="77777777" w:rsidR="00F64DDC" w:rsidRPr="00E634F8" w:rsidRDefault="00F64DDC" w:rsidP="00880183">
      <w:pPr>
        <w:pStyle w:val="Notedebasdepage"/>
        <w:jc w:val="both"/>
        <w:rPr>
          <w:lang w:val="fr-FR"/>
        </w:rPr>
      </w:pPr>
      <w:r>
        <w:rPr>
          <w:rStyle w:val="Appelnotedebasdep"/>
        </w:rPr>
        <w:footnoteRef/>
      </w:r>
      <w:r>
        <w:t xml:space="preserve"> </w:t>
      </w:r>
      <w:r>
        <w:rPr>
          <w:lang w:val="fr-FR"/>
        </w:rPr>
        <w:t>Arrêt, point B.5.7., p. 25.</w:t>
      </w:r>
    </w:p>
  </w:footnote>
  <w:footnote w:id="69">
    <w:p w14:paraId="3CD5A194" w14:textId="77777777" w:rsidR="00F64DDC" w:rsidRPr="00144A55" w:rsidRDefault="00F64DDC" w:rsidP="00880183">
      <w:pPr>
        <w:pStyle w:val="Notedebasdepage"/>
        <w:jc w:val="both"/>
        <w:rPr>
          <w:lang w:val="fr-FR"/>
        </w:rPr>
      </w:pPr>
      <w:r>
        <w:rPr>
          <w:rStyle w:val="Appelnotedebasdep"/>
        </w:rPr>
        <w:footnoteRef/>
      </w:r>
      <w:r>
        <w:t xml:space="preserve"> </w:t>
      </w:r>
      <w:r>
        <w:rPr>
          <w:lang w:val="fr-FR"/>
        </w:rPr>
        <w:t>Arrêt, point B.5.8., p. 26.</w:t>
      </w:r>
    </w:p>
  </w:footnote>
  <w:footnote w:id="70">
    <w:p w14:paraId="6AA48F8B" w14:textId="77777777" w:rsidR="00F64DDC" w:rsidRPr="00123485" w:rsidRDefault="00F64DDC" w:rsidP="00880183">
      <w:pPr>
        <w:pStyle w:val="Notedebasdepage"/>
        <w:jc w:val="both"/>
        <w:rPr>
          <w:lang w:val="fr-FR"/>
        </w:rPr>
      </w:pPr>
      <w:r>
        <w:rPr>
          <w:rStyle w:val="Appelnotedebasdep"/>
        </w:rPr>
        <w:footnoteRef/>
      </w:r>
      <w:r>
        <w:t xml:space="preserve"> </w:t>
      </w:r>
      <w:r>
        <w:rPr>
          <w:lang w:val="fr-FR"/>
        </w:rPr>
        <w:t xml:space="preserve">Voy. </w:t>
      </w:r>
      <w:r w:rsidRPr="00123485">
        <w:rPr>
          <w:i/>
          <w:lang w:val="fr-FR"/>
        </w:rPr>
        <w:t>supra</w:t>
      </w:r>
      <w:r>
        <w:rPr>
          <w:lang w:val="fr-FR"/>
        </w:rPr>
        <w:t>, n° 17.</w:t>
      </w:r>
    </w:p>
  </w:footnote>
  <w:footnote w:id="71">
    <w:p w14:paraId="4623AD19" w14:textId="77777777" w:rsidR="00F64DDC" w:rsidRPr="00900084" w:rsidRDefault="00F64DDC" w:rsidP="00880183">
      <w:pPr>
        <w:pStyle w:val="Notedebasdepage"/>
        <w:jc w:val="both"/>
        <w:rPr>
          <w:lang w:val="fr-FR"/>
        </w:rPr>
      </w:pPr>
      <w:r>
        <w:rPr>
          <w:rStyle w:val="Appelnotedebasdep"/>
        </w:rPr>
        <w:footnoteRef/>
      </w:r>
      <w:r>
        <w:t xml:space="preserve"> </w:t>
      </w:r>
      <w:r>
        <w:rPr>
          <w:lang w:val="fr-FR"/>
        </w:rPr>
        <w:t xml:space="preserve">Arrêt, point B.6.9., p. 32. </w:t>
      </w:r>
    </w:p>
  </w:footnote>
  <w:footnote w:id="72">
    <w:p w14:paraId="61B47D9C" w14:textId="77777777" w:rsidR="00F64DDC" w:rsidRPr="00900084" w:rsidRDefault="00F64DDC" w:rsidP="00880183">
      <w:pPr>
        <w:pStyle w:val="Notedebasdepage"/>
        <w:jc w:val="both"/>
        <w:rPr>
          <w:lang w:val="fr-FR"/>
        </w:rPr>
      </w:pPr>
      <w:r>
        <w:rPr>
          <w:rStyle w:val="Appelnotedebasdep"/>
        </w:rPr>
        <w:footnoteRef/>
      </w:r>
      <w:r>
        <w:t xml:space="preserve"> </w:t>
      </w:r>
      <w:r>
        <w:rPr>
          <w:lang w:val="fr-FR"/>
        </w:rPr>
        <w:t>Arrêt, point B.6.10., pp. 32 et 33.</w:t>
      </w:r>
    </w:p>
  </w:footnote>
  <w:footnote w:id="73">
    <w:p w14:paraId="6443A83B" w14:textId="77777777" w:rsidR="00F64DDC" w:rsidRDefault="00F64DDC" w:rsidP="00880183">
      <w:pPr>
        <w:pStyle w:val="Notedebasdepage"/>
        <w:jc w:val="both"/>
      </w:pPr>
      <w:r>
        <w:rPr>
          <w:rStyle w:val="Appelnotedebasdep"/>
        </w:rPr>
        <w:footnoteRef/>
      </w:r>
      <w:r>
        <w:t xml:space="preserve"> </w:t>
      </w:r>
      <w:r w:rsidRPr="00A87F0D">
        <w:rPr>
          <w:lang w:val="fr-FR"/>
        </w:rPr>
        <w:t>Ainsi, le statut spécifique du travailleur fournissant des prestations par le biais d’une plateforme agréée tel qu’</w:t>
      </w:r>
      <w:r>
        <w:rPr>
          <w:lang w:val="fr-FR"/>
        </w:rPr>
        <w:t xml:space="preserve">il est </w:t>
      </w:r>
      <w:r w:rsidRPr="00A87F0D">
        <w:rPr>
          <w:lang w:val="fr-FR"/>
        </w:rPr>
        <w:t>introduit par la loi-programme du 1</w:t>
      </w:r>
      <w:r w:rsidRPr="00A87F0D">
        <w:rPr>
          <w:vertAlign w:val="superscript"/>
          <w:lang w:val="fr-FR"/>
        </w:rPr>
        <w:t>er</w:t>
      </w:r>
      <w:r w:rsidRPr="00A87F0D">
        <w:rPr>
          <w:lang w:val="fr-FR"/>
        </w:rPr>
        <w:t xml:space="preserve"> juillet 2016 n’est pas remis en cause.</w:t>
      </w:r>
    </w:p>
  </w:footnote>
  <w:footnote w:id="74">
    <w:p w14:paraId="1299C21E" w14:textId="77777777" w:rsidR="00F64DDC" w:rsidRPr="00E070CA" w:rsidRDefault="00F64DDC" w:rsidP="00880183">
      <w:pPr>
        <w:pStyle w:val="Notedebasdepage"/>
        <w:jc w:val="both"/>
        <w:rPr>
          <w:lang w:val="fr-FR"/>
        </w:rPr>
      </w:pPr>
      <w:r>
        <w:rPr>
          <w:rStyle w:val="Appelnotedebasdep"/>
        </w:rPr>
        <w:footnoteRef/>
      </w:r>
      <w:r>
        <w:t xml:space="preserve"> Proposition de loi relative au travail associatif, </w:t>
      </w:r>
      <w:r w:rsidRPr="005B6FBA">
        <w:rPr>
          <w:i/>
        </w:rPr>
        <w:t xml:space="preserve">Doc. parl., </w:t>
      </w:r>
      <w:r w:rsidRPr="00902B55">
        <w:t>Chambre</w:t>
      </w:r>
      <w:r>
        <w:t>, 2019-2020, n°55-1433. </w:t>
      </w:r>
      <w:r w:rsidRPr="00E070CA">
        <w:rPr>
          <w:lang w:val="fr-FR"/>
        </w:rPr>
        <w:t xml:space="preserve"> </w:t>
      </w:r>
    </w:p>
  </w:footnote>
  <w:footnote w:id="75">
    <w:p w14:paraId="2FB8B4D8" w14:textId="77777777" w:rsidR="00F64DDC" w:rsidRPr="007A5712" w:rsidRDefault="00F64DDC" w:rsidP="00880183">
      <w:pPr>
        <w:pStyle w:val="Notedebasdepage"/>
        <w:jc w:val="both"/>
      </w:pPr>
      <w:r>
        <w:rPr>
          <w:rStyle w:val="Appelnotedebasdep"/>
        </w:rPr>
        <w:footnoteRef/>
      </w:r>
      <w:r>
        <w:t xml:space="preserve"> Loi du 24 décembre 2020 relative au travail associatif, </w:t>
      </w:r>
      <w:r w:rsidRPr="00B576DC">
        <w:rPr>
          <w:i/>
        </w:rPr>
        <w:t>M.B</w:t>
      </w:r>
      <w:r>
        <w:t>., 31 décembre 2020.</w:t>
      </w:r>
    </w:p>
  </w:footnote>
  <w:footnote w:id="76">
    <w:p w14:paraId="5BFE81EE" w14:textId="77777777" w:rsidR="00F64DDC" w:rsidRPr="00B576DC" w:rsidRDefault="00F64DDC" w:rsidP="00880183">
      <w:pPr>
        <w:pStyle w:val="Notedebasdepage"/>
        <w:jc w:val="both"/>
        <w:rPr>
          <w:lang w:val="fr-FR"/>
        </w:rPr>
      </w:pPr>
      <w:r>
        <w:rPr>
          <w:rStyle w:val="Appelnotedebasdep"/>
        </w:rPr>
        <w:footnoteRef/>
      </w:r>
      <w:r>
        <w:t xml:space="preserve"> </w:t>
      </w:r>
      <w:r>
        <w:rPr>
          <w:lang w:val="fr-FR"/>
        </w:rPr>
        <w:t xml:space="preserve">Article 72 de la loi. </w:t>
      </w:r>
    </w:p>
  </w:footnote>
  <w:footnote w:id="77">
    <w:p w14:paraId="4DCB81E5" w14:textId="77777777" w:rsidR="00F64DDC" w:rsidRPr="00F6374E" w:rsidRDefault="00F64DDC" w:rsidP="00880183">
      <w:pPr>
        <w:pStyle w:val="Notedebasdepage"/>
        <w:jc w:val="both"/>
        <w:rPr>
          <w:lang w:val="fr-FR"/>
        </w:rPr>
      </w:pPr>
      <w:r>
        <w:rPr>
          <w:rStyle w:val="Appelnotedebasdep"/>
        </w:rPr>
        <w:footnoteRef/>
      </w:r>
      <w:r>
        <w:t xml:space="preserve"> Proposition de loi relative au travail associatif, amendement, </w:t>
      </w:r>
      <w:r w:rsidRPr="005B6FBA">
        <w:rPr>
          <w:i/>
        </w:rPr>
        <w:t xml:space="preserve">Doc. parl., </w:t>
      </w:r>
      <w:r w:rsidRPr="00902B55">
        <w:t>Chambre</w:t>
      </w:r>
      <w:r>
        <w:t>, 2019-2020, n°55-1433/006, p. 39.</w:t>
      </w:r>
    </w:p>
  </w:footnote>
  <w:footnote w:id="78">
    <w:p w14:paraId="13430064" w14:textId="77777777" w:rsidR="00F64DDC" w:rsidRPr="00F6374E" w:rsidRDefault="00F64DDC" w:rsidP="00880183">
      <w:pPr>
        <w:pStyle w:val="Notedebasdepage"/>
        <w:jc w:val="both"/>
        <w:rPr>
          <w:lang w:val="fr-FR"/>
        </w:rPr>
      </w:pPr>
      <w:r>
        <w:rPr>
          <w:rStyle w:val="Appelnotedebasdep"/>
        </w:rPr>
        <w:footnoteRef/>
      </w:r>
      <w:r>
        <w:t xml:space="preserve"> </w:t>
      </w:r>
      <w:r>
        <w:rPr>
          <w:lang w:val="fr-FR"/>
        </w:rPr>
        <w:t xml:space="preserve">Article 69, §4 de la loi. </w:t>
      </w:r>
    </w:p>
  </w:footnote>
  <w:footnote w:id="79">
    <w:p w14:paraId="0C72B9C6" w14:textId="77777777" w:rsidR="00F64DDC" w:rsidRPr="00F6374E" w:rsidRDefault="00F64DDC" w:rsidP="00880183">
      <w:pPr>
        <w:pStyle w:val="Notedebasdepage"/>
        <w:jc w:val="both"/>
        <w:rPr>
          <w:lang w:val="fr-FR"/>
        </w:rPr>
      </w:pPr>
      <w:r>
        <w:rPr>
          <w:rStyle w:val="Appelnotedebasdep"/>
        </w:rPr>
        <w:footnoteRef/>
      </w:r>
      <w:r>
        <w:t xml:space="preserve"> Proposition, p. 52.</w:t>
      </w:r>
    </w:p>
  </w:footnote>
  <w:footnote w:id="80">
    <w:p w14:paraId="42F2AF13" w14:textId="77777777" w:rsidR="00F64DDC" w:rsidRPr="007A5712" w:rsidRDefault="00F64DDC" w:rsidP="00880183">
      <w:pPr>
        <w:pStyle w:val="Notedebasdepage"/>
        <w:jc w:val="both"/>
      </w:pPr>
      <w:r>
        <w:rPr>
          <w:rStyle w:val="Appelnotedebasdep"/>
        </w:rPr>
        <w:footnoteRef/>
      </w:r>
      <w:r>
        <w:t xml:space="preserve"> Article 3 de la loi. </w:t>
      </w:r>
    </w:p>
  </w:footnote>
  <w:footnote w:id="81">
    <w:p w14:paraId="73334597" w14:textId="77777777" w:rsidR="00F64DDC" w:rsidRPr="00900084" w:rsidRDefault="00F64DDC" w:rsidP="00880183">
      <w:pPr>
        <w:pStyle w:val="Notedebasdepage"/>
        <w:jc w:val="both"/>
      </w:pPr>
      <w:r>
        <w:rPr>
          <w:rStyle w:val="Appelnotedebasdep"/>
        </w:rPr>
        <w:footnoteRef/>
      </w:r>
      <w:r w:rsidRPr="00075726">
        <w:t xml:space="preserve">  Propo</w:t>
      </w:r>
      <w:r w:rsidRPr="00900084">
        <w:t xml:space="preserve">sition de </w:t>
      </w:r>
      <w:r>
        <w:t xml:space="preserve">loi relative au travail associatif, amendement, </w:t>
      </w:r>
      <w:r w:rsidRPr="005B6FBA">
        <w:rPr>
          <w:i/>
        </w:rPr>
        <w:t xml:space="preserve">Doc. parl., </w:t>
      </w:r>
      <w:r w:rsidRPr="00902B55">
        <w:t>Chambre</w:t>
      </w:r>
      <w:r w:rsidRPr="00900084">
        <w:t>, 2019-2020, n° 55</w:t>
      </w:r>
      <w:r>
        <w:t>-</w:t>
      </w:r>
      <w:r w:rsidRPr="00900084">
        <w:t>1433</w:t>
      </w:r>
      <w:r>
        <w:t>/</w:t>
      </w:r>
      <w:r w:rsidRPr="00900084">
        <w:t>002, pp. 2-3.</w:t>
      </w:r>
    </w:p>
  </w:footnote>
  <w:footnote w:id="82">
    <w:p w14:paraId="11019BF5" w14:textId="77777777" w:rsidR="0017741D" w:rsidRDefault="0017741D" w:rsidP="00880183">
      <w:pPr>
        <w:pStyle w:val="Notedebasdepage"/>
        <w:jc w:val="both"/>
      </w:pPr>
      <w:r>
        <w:rPr>
          <w:rStyle w:val="Appelnotedebasdep"/>
        </w:rPr>
        <w:footnoteRef/>
      </w:r>
      <w:r>
        <w:t xml:space="preserve"> Article 5 de la loi.</w:t>
      </w:r>
    </w:p>
  </w:footnote>
  <w:footnote w:id="83">
    <w:p w14:paraId="05C8C147" w14:textId="77777777" w:rsidR="005E7E16" w:rsidRPr="00871D31" w:rsidRDefault="005E7E16" w:rsidP="00880183">
      <w:pPr>
        <w:pStyle w:val="Notedebasdepage"/>
        <w:jc w:val="both"/>
        <w:rPr>
          <w:lang w:val="fr-FR"/>
        </w:rPr>
      </w:pPr>
      <w:r>
        <w:rPr>
          <w:rStyle w:val="Appelnotedebasdep"/>
        </w:rPr>
        <w:footnoteRef/>
      </w:r>
      <w:r>
        <w:t xml:space="preserve"> Article 7 de la loi.</w:t>
      </w:r>
    </w:p>
  </w:footnote>
  <w:footnote w:id="84">
    <w:p w14:paraId="27BE0214" w14:textId="77777777" w:rsidR="00F64DDC" w:rsidRPr="00871D31" w:rsidRDefault="00F64DDC" w:rsidP="00880183">
      <w:pPr>
        <w:pStyle w:val="Notedebasdepage"/>
        <w:jc w:val="both"/>
        <w:rPr>
          <w:lang w:val="fr-FR"/>
        </w:rPr>
      </w:pPr>
      <w:r>
        <w:rPr>
          <w:rStyle w:val="Appelnotedebasdep"/>
        </w:rPr>
        <w:footnoteRef/>
      </w:r>
      <w:r>
        <w:t xml:space="preserve"> </w:t>
      </w:r>
      <w:r>
        <w:rPr>
          <w:lang w:val="fr-FR"/>
        </w:rPr>
        <w:t>Article 59 de la loi.</w:t>
      </w:r>
    </w:p>
  </w:footnote>
  <w:footnote w:id="85">
    <w:p w14:paraId="3F628818" w14:textId="77777777" w:rsidR="00F64DDC" w:rsidRPr="00CC1D66" w:rsidRDefault="00F64DDC" w:rsidP="00880183">
      <w:pPr>
        <w:pStyle w:val="Notedebasdepage"/>
        <w:jc w:val="both"/>
        <w:rPr>
          <w:lang w:val="fr-FR"/>
        </w:rPr>
      </w:pPr>
      <w:r>
        <w:rPr>
          <w:rStyle w:val="Appelnotedebasdep"/>
        </w:rPr>
        <w:footnoteRef/>
      </w:r>
      <w:r>
        <w:t xml:space="preserve"> </w:t>
      </w:r>
      <w:r>
        <w:rPr>
          <w:lang w:val="fr-FR"/>
        </w:rPr>
        <w:t>Proposition, p. 23.</w:t>
      </w:r>
    </w:p>
  </w:footnote>
  <w:footnote w:id="86">
    <w:p w14:paraId="420BCE7F" w14:textId="77777777" w:rsidR="00F64DDC" w:rsidRPr="00A33137" w:rsidRDefault="00F64DDC" w:rsidP="00880183">
      <w:pPr>
        <w:pStyle w:val="Notedebasdepage"/>
        <w:jc w:val="both"/>
        <w:rPr>
          <w:lang w:val="fr-FR"/>
        </w:rPr>
      </w:pPr>
      <w:r>
        <w:rPr>
          <w:rStyle w:val="Appelnotedebasdep"/>
        </w:rPr>
        <w:footnoteRef/>
      </w:r>
      <w:r>
        <w:t>Articles 9 et 10 de la loi</w:t>
      </w:r>
      <w:r>
        <w:rPr>
          <w:lang w:val="fr-FR"/>
        </w:rPr>
        <w:t>.</w:t>
      </w:r>
    </w:p>
  </w:footnote>
  <w:footnote w:id="87">
    <w:p w14:paraId="59FDA671" w14:textId="77777777" w:rsidR="00F64DDC" w:rsidRPr="00B74703" w:rsidRDefault="00F64DDC" w:rsidP="00880183">
      <w:pPr>
        <w:pStyle w:val="Notedebasdepage"/>
        <w:jc w:val="both"/>
        <w:rPr>
          <w:lang w:val="fr-FR"/>
        </w:rPr>
      </w:pPr>
      <w:r>
        <w:rPr>
          <w:rStyle w:val="Appelnotedebasdep"/>
        </w:rPr>
        <w:footnoteRef/>
      </w:r>
      <w:r>
        <w:t xml:space="preserve"> Article 8 de la loi. </w:t>
      </w:r>
      <w:r>
        <w:rPr>
          <w:lang w:val="fr-FR"/>
        </w:rPr>
        <w:t>Dans ce cas, la communication de l’horaire variable doit se faire au moins cinq jours calendriers avant la prestation concernée.</w:t>
      </w:r>
    </w:p>
  </w:footnote>
  <w:footnote w:id="88">
    <w:p w14:paraId="72E721C0" w14:textId="77777777" w:rsidR="00F64DDC" w:rsidRPr="00A33137" w:rsidRDefault="00F64DDC" w:rsidP="00880183">
      <w:pPr>
        <w:pStyle w:val="Notedebasdepage"/>
        <w:jc w:val="both"/>
        <w:rPr>
          <w:lang w:val="fr-FR"/>
        </w:rPr>
      </w:pPr>
      <w:r>
        <w:rPr>
          <w:rStyle w:val="Appelnotedebasdep"/>
        </w:rPr>
        <w:footnoteRef/>
      </w:r>
      <w:r>
        <w:t xml:space="preserve"> Articles 15 à 20 de la loi</w:t>
      </w:r>
    </w:p>
  </w:footnote>
  <w:footnote w:id="89">
    <w:p w14:paraId="2806C7C0" w14:textId="77777777" w:rsidR="00F64DDC" w:rsidRPr="00B576DC" w:rsidRDefault="00F64DDC" w:rsidP="00880183">
      <w:pPr>
        <w:pStyle w:val="Notedebasdepage"/>
        <w:jc w:val="both"/>
        <w:rPr>
          <w:lang w:val="fr-FR"/>
        </w:rPr>
      </w:pPr>
      <w:r>
        <w:rPr>
          <w:rStyle w:val="Appelnotedebasdep"/>
        </w:rPr>
        <w:footnoteRef/>
      </w:r>
      <w:r>
        <w:t xml:space="preserve"> </w:t>
      </w:r>
      <w:r>
        <w:rPr>
          <w:lang w:val="fr-FR"/>
        </w:rPr>
        <w:t xml:space="preserve">Article 27 de la loi. </w:t>
      </w:r>
    </w:p>
  </w:footnote>
  <w:footnote w:id="90">
    <w:p w14:paraId="2729D41D" w14:textId="77777777" w:rsidR="00F64DDC" w:rsidRPr="00306632" w:rsidRDefault="00F64DDC" w:rsidP="00880183">
      <w:pPr>
        <w:pStyle w:val="Notedebasdepage"/>
        <w:jc w:val="both"/>
      </w:pPr>
      <w:r>
        <w:rPr>
          <w:rStyle w:val="Appelnotedebasdep"/>
        </w:rPr>
        <w:footnoteRef/>
      </w:r>
      <w:r>
        <w:t xml:space="preserve"> Loi du 2 août 1971 </w:t>
      </w:r>
      <w:r w:rsidRPr="00B14659">
        <w:rPr>
          <w:lang w:val="fr-FR"/>
        </w:rPr>
        <w:t>organisant un régime de liaison à l'indice des prix à la consommation des traitements, salaires, pensions, allocations et subventions à charge du trésor public, de certaines prestations sociales, des limites de rémunération à prendre en considération pour le calcul de certaines cotisations de sécurité sociale des travailleurs, ainsi que des obligations imposées en matière sociale aux travailleurs indépendants</w:t>
      </w:r>
      <w:r>
        <w:t xml:space="preserve">, </w:t>
      </w:r>
      <w:r w:rsidRPr="00F6374E">
        <w:rPr>
          <w:i/>
        </w:rPr>
        <w:t>M.B.</w:t>
      </w:r>
      <w:r>
        <w:t>, 20 août 1971.</w:t>
      </w:r>
    </w:p>
  </w:footnote>
  <w:footnote w:id="91">
    <w:p w14:paraId="4714213C" w14:textId="77777777" w:rsidR="00F64DDC" w:rsidRPr="00F6374E" w:rsidRDefault="00F64DDC" w:rsidP="00880183">
      <w:pPr>
        <w:pStyle w:val="Notedebasdepage"/>
        <w:jc w:val="both"/>
        <w:rPr>
          <w:lang w:val="nl-BE"/>
        </w:rPr>
      </w:pPr>
      <w:r>
        <w:rPr>
          <w:rStyle w:val="Appelnotedebasdep"/>
        </w:rPr>
        <w:footnoteRef/>
      </w:r>
      <w:r w:rsidRPr="00F6374E">
        <w:rPr>
          <w:lang w:val="nl-BE"/>
        </w:rPr>
        <w:t xml:space="preserve"> Article 58 de la loi. </w:t>
      </w:r>
    </w:p>
  </w:footnote>
  <w:footnote w:id="92">
    <w:p w14:paraId="6A4BCBB8" w14:textId="77777777" w:rsidR="00F64DDC" w:rsidRPr="00900084" w:rsidRDefault="00F64DDC" w:rsidP="00880183">
      <w:pPr>
        <w:pStyle w:val="Notedebasdepage"/>
        <w:jc w:val="both"/>
        <w:rPr>
          <w:lang w:val="nl-BE"/>
        </w:rPr>
      </w:pPr>
      <w:r>
        <w:rPr>
          <w:rStyle w:val="Appelnotedebasdep"/>
        </w:rPr>
        <w:footnoteRef/>
      </w:r>
      <w:r w:rsidRPr="00900084">
        <w:rPr>
          <w:lang w:val="nl-BE"/>
        </w:rPr>
        <w:t xml:space="preserve"> </w:t>
      </w:r>
      <w:r>
        <w:fldChar w:fldCharType="begin"/>
      </w:r>
      <w:r w:rsidR="00D3669F">
        <w:rPr>
          <w:lang w:val="nl-BE"/>
        </w:rPr>
        <w:instrText xml:space="preserve"> ADDIN ZOTERO_ITEM CSL_CITATION {"citationID":"XghYBUJO","properties":{"formattedCitation":"J. {\\scaps Put}, Y. {\\scaps Stevens} et V. {\\scaps Verdeyen} (\\uc0\\u233{}ds.), {\\i{}Praktijkboek sociale zekerheid\\uc0\\u8239{}: voor de onderneming en de sociale adviseur}, Mechelen, Wolters Kluwer, 2020, p. 153.","plainCitation":"J. Put, Y. Stevens et V. Verdeyen (éds.), Praktijkboek sociale zekerheid : voor de onderneming en de sociale adviseur, Mechelen, Wolters Kluwer, 2020, p. 153.","noteIndex":95},"citationItems":[{"id":520,"uris":["http://zotero.org/users/local/0X1c0osY/items/TC8YFCFY"],"uri":["http://zotero.org/users/local/0X1c0osY/items/TC8YFCFY"],"itemData":{"id":520,"type":"book","event-place":"Mechelen","publisher":"Wolters Kluwer","publisher-place":"Mechelen","title":"Praktijkboek sociale zekerheid : voor de onderneming en de sociale adviseur","editor":[{"family":"Put","given":"J."},{"family":"Stevens","given":"Yves"},{"family":"Verdeyen","given":"Vanessa"}],"issued":{"date-parts":[["2020"]]}},"locator":"153"}],"schema":"https://github.com/citation-style-language/schema/raw/master/csl-citation.json"} </w:instrText>
      </w:r>
      <w:r>
        <w:fldChar w:fldCharType="separate"/>
      </w:r>
      <w:r w:rsidRPr="00900084">
        <w:rPr>
          <w:rFonts w:ascii="Calibri" w:hAnsi="Calibri" w:cs="Calibri"/>
          <w:szCs w:val="24"/>
          <w:lang w:val="nl-BE"/>
        </w:rPr>
        <w:t xml:space="preserve">J. </w:t>
      </w:r>
      <w:r w:rsidRPr="00900084">
        <w:rPr>
          <w:rFonts w:ascii="Calibri" w:hAnsi="Calibri" w:cs="Calibri"/>
          <w:smallCaps/>
          <w:szCs w:val="24"/>
          <w:lang w:val="nl-BE"/>
        </w:rPr>
        <w:t>Put</w:t>
      </w:r>
      <w:r w:rsidRPr="00900084">
        <w:rPr>
          <w:rFonts w:ascii="Calibri" w:hAnsi="Calibri" w:cs="Calibri"/>
          <w:szCs w:val="24"/>
          <w:lang w:val="nl-BE"/>
        </w:rPr>
        <w:t xml:space="preserve">, Y. </w:t>
      </w:r>
      <w:r w:rsidRPr="00900084">
        <w:rPr>
          <w:rFonts w:ascii="Calibri" w:hAnsi="Calibri" w:cs="Calibri"/>
          <w:smallCaps/>
          <w:szCs w:val="24"/>
          <w:lang w:val="nl-BE"/>
        </w:rPr>
        <w:t>Stevens</w:t>
      </w:r>
      <w:r w:rsidRPr="00900084">
        <w:rPr>
          <w:rFonts w:ascii="Calibri" w:hAnsi="Calibri" w:cs="Calibri"/>
          <w:szCs w:val="24"/>
          <w:lang w:val="nl-BE"/>
        </w:rPr>
        <w:t xml:space="preserve"> et V. </w:t>
      </w:r>
      <w:r w:rsidRPr="00900084">
        <w:rPr>
          <w:rFonts w:ascii="Calibri" w:hAnsi="Calibri" w:cs="Calibri"/>
          <w:smallCaps/>
          <w:szCs w:val="24"/>
          <w:lang w:val="nl-BE"/>
        </w:rPr>
        <w:t>Verdeyen</w:t>
      </w:r>
      <w:r w:rsidRPr="00900084">
        <w:rPr>
          <w:rFonts w:ascii="Calibri" w:hAnsi="Calibri" w:cs="Calibri"/>
          <w:szCs w:val="24"/>
          <w:lang w:val="nl-BE"/>
        </w:rPr>
        <w:t xml:space="preserve"> (éds.), </w:t>
      </w:r>
      <w:r w:rsidRPr="00900084">
        <w:rPr>
          <w:rFonts w:ascii="Calibri" w:hAnsi="Calibri" w:cs="Calibri"/>
          <w:i/>
          <w:iCs/>
          <w:szCs w:val="24"/>
          <w:lang w:val="nl-BE"/>
        </w:rPr>
        <w:t>Praktijkboek sociale zekerheid : voor de onderneming en de sociale adviseur</w:t>
      </w:r>
      <w:r w:rsidRPr="00900084">
        <w:rPr>
          <w:rFonts w:ascii="Calibri" w:hAnsi="Calibri" w:cs="Calibri"/>
          <w:szCs w:val="24"/>
          <w:lang w:val="nl-BE"/>
        </w:rPr>
        <w:t>, Mechelen, Wolters Kluwer, 2020, p. 153.</w:t>
      </w:r>
      <w:r>
        <w:fldChar w:fldCharType="end"/>
      </w:r>
    </w:p>
  </w:footnote>
  <w:footnote w:id="93">
    <w:p w14:paraId="78D33246" w14:textId="77777777" w:rsidR="00F64DDC" w:rsidRPr="00900084" w:rsidRDefault="00F64DDC" w:rsidP="00880183">
      <w:pPr>
        <w:pStyle w:val="Notedebasdepage"/>
        <w:jc w:val="both"/>
        <w:rPr>
          <w:lang w:val="fr-FR"/>
        </w:rPr>
      </w:pPr>
      <w:r w:rsidRPr="00427F1E">
        <w:rPr>
          <w:rStyle w:val="Appelnotedebasdep"/>
        </w:rPr>
        <w:footnoteRef/>
      </w:r>
      <w:r w:rsidRPr="00427F1E">
        <w:t xml:space="preserve"> </w:t>
      </w:r>
      <w:r w:rsidRPr="00900084">
        <w:rPr>
          <w:bCs/>
        </w:rPr>
        <w:t>Arrêté royal</w:t>
      </w:r>
      <w:r>
        <w:rPr>
          <w:bCs/>
        </w:rPr>
        <w:t xml:space="preserve"> du 23 décembre 1996</w:t>
      </w:r>
      <w:r w:rsidRPr="00900084">
        <w:rPr>
          <w:bCs/>
        </w:rPr>
        <w:t xml:space="preserve"> portant des mesures en vue de l'instauration d'une cotisation de solidarité pour l'occupation d'étudiants non assujettis au régime de la sécurité sociale des travailleurs salariés, en application de l'article 3, § 1er, 4° de la loi du 26 juillet 1996 visant à réaliser les conditions budgétaires de la participation de la Belgique à l'Union économique et monétaire européenne</w:t>
      </w:r>
      <w:r w:rsidRPr="00900084">
        <w:rPr>
          <w:bCs/>
          <w:i/>
        </w:rPr>
        <w:t>, M.B.,</w:t>
      </w:r>
      <w:r>
        <w:rPr>
          <w:bCs/>
          <w:i/>
        </w:rPr>
        <w:t xml:space="preserve"> </w:t>
      </w:r>
      <w:r>
        <w:rPr>
          <w:bCs/>
        </w:rPr>
        <w:t>31 décembre 1996</w:t>
      </w:r>
      <w:r w:rsidRPr="00900084">
        <w:rPr>
          <w:bCs/>
        </w:rPr>
        <w:t>.</w:t>
      </w:r>
    </w:p>
  </w:footnote>
  <w:footnote w:id="94">
    <w:p w14:paraId="593C9EDD" w14:textId="77777777" w:rsidR="00F64DDC" w:rsidRPr="00900084" w:rsidRDefault="00F64DDC" w:rsidP="00880183">
      <w:pPr>
        <w:pStyle w:val="Notedebasdepage"/>
        <w:jc w:val="both"/>
        <w:rPr>
          <w:lang w:val="nl-BE"/>
        </w:rPr>
      </w:pPr>
      <w:r>
        <w:rPr>
          <w:rStyle w:val="Appelnotedebasdep"/>
        </w:rPr>
        <w:footnoteRef/>
      </w:r>
      <w:r w:rsidRPr="00900084">
        <w:rPr>
          <w:lang w:val="nl-BE"/>
        </w:rPr>
        <w:t xml:space="preserve"> </w:t>
      </w:r>
      <w:r>
        <w:fldChar w:fldCharType="begin"/>
      </w:r>
      <w:r w:rsidR="00D3669F">
        <w:rPr>
          <w:lang w:val="nl-BE"/>
        </w:rPr>
        <w:instrText xml:space="preserve"> ADDIN ZOTERO_ITEM CSL_CITATION {"citationID":"rHjTRb6n","properties":{"formattedCitation":"J. {\\scaps Put}, Y. {\\scaps Stevens} et V. {\\scaps Verdeyen} (\\uc0\\u233{}ds.), {\\i{}Praktijkboek sociale zekerheid\\uc0\\u8239{}: voor de onderneming en de sociale adviseur}, {\\i{}op. cit.}, p. 170.","plainCitation":"J. Put, Y. Stevens et V. Verdeyen (éds.), Praktijkboek sociale zekerheid : voor de onderneming en de sociale adviseur, op. cit., p. 170.","noteIndex":97},"citationItems":[{"id":520,"uris":["http://zotero.org/users/local/0X1c0osY/items/TC8YFCFY"],"uri":["http://zotero.org/users/local/0X1c0osY/items/TC8YFCFY"],"itemData":{"id":520,"type":"book","event-place":"Mechelen","publisher":"Wolters Kluwer","publisher-place":"Mechelen","title":"Praktijkboek sociale zekerheid : voor de onderneming en de sociale adviseur","editor":[{"family":"Put","given":"J."},{"family":"Stevens","given":"Yves"},{"family":"Verdeyen","given":"Vanessa"}],"issued":{"date-parts":[["2020"]]}},"locator":"170"}],"schema":"https://github.com/citation-style-language/schema/raw/master/csl-citation.json"} </w:instrText>
      </w:r>
      <w:r>
        <w:fldChar w:fldCharType="separate"/>
      </w:r>
      <w:r w:rsidRPr="00900084">
        <w:rPr>
          <w:rFonts w:ascii="Calibri" w:hAnsi="Calibri" w:cs="Calibri"/>
          <w:szCs w:val="24"/>
          <w:lang w:val="nl-BE"/>
        </w:rPr>
        <w:t xml:space="preserve">J. </w:t>
      </w:r>
      <w:r w:rsidRPr="00900084">
        <w:rPr>
          <w:rFonts w:ascii="Calibri" w:hAnsi="Calibri" w:cs="Calibri"/>
          <w:smallCaps/>
          <w:szCs w:val="24"/>
          <w:lang w:val="nl-BE"/>
        </w:rPr>
        <w:t>Put</w:t>
      </w:r>
      <w:r w:rsidRPr="00900084">
        <w:rPr>
          <w:rFonts w:ascii="Calibri" w:hAnsi="Calibri" w:cs="Calibri"/>
          <w:szCs w:val="24"/>
          <w:lang w:val="nl-BE"/>
        </w:rPr>
        <w:t xml:space="preserve">, Y. </w:t>
      </w:r>
      <w:r w:rsidRPr="00900084">
        <w:rPr>
          <w:rFonts w:ascii="Calibri" w:hAnsi="Calibri" w:cs="Calibri"/>
          <w:smallCaps/>
          <w:szCs w:val="24"/>
          <w:lang w:val="nl-BE"/>
        </w:rPr>
        <w:t>Stevens</w:t>
      </w:r>
      <w:r w:rsidRPr="00900084">
        <w:rPr>
          <w:rFonts w:ascii="Calibri" w:hAnsi="Calibri" w:cs="Calibri"/>
          <w:szCs w:val="24"/>
          <w:lang w:val="nl-BE"/>
        </w:rPr>
        <w:t xml:space="preserve"> et V. </w:t>
      </w:r>
      <w:r w:rsidRPr="00900084">
        <w:rPr>
          <w:rFonts w:ascii="Calibri" w:hAnsi="Calibri" w:cs="Calibri"/>
          <w:smallCaps/>
          <w:szCs w:val="24"/>
          <w:lang w:val="nl-BE"/>
        </w:rPr>
        <w:t>Verdeyen</w:t>
      </w:r>
      <w:r w:rsidRPr="00900084">
        <w:rPr>
          <w:rFonts w:ascii="Calibri" w:hAnsi="Calibri" w:cs="Calibri"/>
          <w:szCs w:val="24"/>
          <w:lang w:val="nl-BE"/>
        </w:rPr>
        <w:t xml:space="preserve"> (éds.), </w:t>
      </w:r>
      <w:r w:rsidRPr="00900084">
        <w:rPr>
          <w:rFonts w:ascii="Calibri" w:hAnsi="Calibri" w:cs="Calibri"/>
          <w:i/>
          <w:iCs/>
          <w:szCs w:val="24"/>
          <w:lang w:val="nl-BE"/>
        </w:rPr>
        <w:t>Praktijkboek sociale zekerheid : voor de onderneming en de sociale adviseur</w:t>
      </w:r>
      <w:r w:rsidRPr="00900084">
        <w:rPr>
          <w:rFonts w:ascii="Calibri" w:hAnsi="Calibri" w:cs="Calibri"/>
          <w:szCs w:val="24"/>
          <w:lang w:val="nl-BE"/>
        </w:rPr>
        <w:t xml:space="preserve">, </w:t>
      </w:r>
      <w:r w:rsidRPr="00900084">
        <w:rPr>
          <w:rFonts w:ascii="Calibri" w:hAnsi="Calibri" w:cs="Calibri"/>
          <w:i/>
          <w:iCs/>
          <w:szCs w:val="24"/>
          <w:lang w:val="nl-BE"/>
        </w:rPr>
        <w:t>op. cit.</w:t>
      </w:r>
      <w:r w:rsidRPr="00900084">
        <w:rPr>
          <w:rFonts w:ascii="Calibri" w:hAnsi="Calibri" w:cs="Calibri"/>
          <w:szCs w:val="24"/>
          <w:lang w:val="nl-BE"/>
        </w:rPr>
        <w:t>, p. 170.</w:t>
      </w:r>
      <w:r>
        <w:fldChar w:fldCharType="end"/>
      </w:r>
    </w:p>
  </w:footnote>
  <w:footnote w:id="95">
    <w:p w14:paraId="05A772CF" w14:textId="77777777" w:rsidR="00F64DDC" w:rsidRPr="00B576DC" w:rsidRDefault="00F64DDC" w:rsidP="00880183">
      <w:pPr>
        <w:pStyle w:val="Notedebasdepage"/>
        <w:jc w:val="both"/>
        <w:rPr>
          <w:lang w:val="fr-FR"/>
        </w:rPr>
      </w:pPr>
      <w:r>
        <w:rPr>
          <w:rStyle w:val="Appelnotedebasdep"/>
        </w:rPr>
        <w:footnoteRef/>
      </w:r>
      <w:r>
        <w:t xml:space="preserve"> Proposition de loi relative au travail associatif, amendement, </w:t>
      </w:r>
      <w:r w:rsidRPr="005B6FBA">
        <w:rPr>
          <w:i/>
        </w:rPr>
        <w:t xml:space="preserve">Doc. parl., </w:t>
      </w:r>
      <w:r w:rsidRPr="00902B55">
        <w:t>Chambre</w:t>
      </w:r>
      <w:r>
        <w:t>, 2019-2020, n°55-1433/006, p. 11.</w:t>
      </w:r>
    </w:p>
  </w:footnote>
  <w:footnote w:id="96">
    <w:p w14:paraId="03EC1F9B" w14:textId="77777777" w:rsidR="00F64DDC" w:rsidRPr="005E6C04" w:rsidRDefault="00F64DDC" w:rsidP="00880183">
      <w:pPr>
        <w:pStyle w:val="Notedebasdepage"/>
        <w:jc w:val="both"/>
      </w:pPr>
      <w:r>
        <w:rPr>
          <w:rStyle w:val="Appelnotedebasdep"/>
        </w:rPr>
        <w:footnoteRef/>
      </w:r>
      <w:r>
        <w:t xml:space="preserve"> Article 61 de la loi du 24 décembre 2020.</w:t>
      </w:r>
    </w:p>
  </w:footnote>
  <w:footnote w:id="97">
    <w:p w14:paraId="14853DD3" w14:textId="77777777" w:rsidR="00F64DDC" w:rsidRPr="005E6C04" w:rsidRDefault="00F64DDC" w:rsidP="00880183">
      <w:pPr>
        <w:pStyle w:val="Notedebasdepage"/>
        <w:jc w:val="both"/>
      </w:pPr>
      <w:r>
        <w:rPr>
          <w:rStyle w:val="Appelnotedebasdep"/>
        </w:rPr>
        <w:footnoteRef/>
      </w:r>
      <w:r>
        <w:t xml:space="preserve"> Tel que modifié par l’article 64 de la loi de 2020. </w:t>
      </w:r>
    </w:p>
  </w:footnote>
  <w:footnote w:id="98">
    <w:p w14:paraId="56A18A30" w14:textId="77777777" w:rsidR="00F64DDC" w:rsidRPr="00F6374E" w:rsidRDefault="00F64DDC" w:rsidP="00880183">
      <w:pPr>
        <w:pStyle w:val="Notedebasdepage"/>
        <w:jc w:val="both"/>
        <w:rPr>
          <w:lang w:val="fr-FR"/>
        </w:rPr>
      </w:pPr>
      <w:r>
        <w:rPr>
          <w:rStyle w:val="Appelnotedebasdep"/>
        </w:rPr>
        <w:footnoteRef/>
      </w:r>
      <w:r>
        <w:t xml:space="preserve"> </w:t>
      </w:r>
      <w:r>
        <w:rPr>
          <w:lang w:val="fr-FR"/>
        </w:rPr>
        <w:t xml:space="preserve">Tel que modifié par l’article 60 de la loi de 2020. </w:t>
      </w:r>
    </w:p>
  </w:footnote>
  <w:footnote w:id="99">
    <w:p w14:paraId="0E3F38AB" w14:textId="3187A2C1" w:rsidR="00F64DDC" w:rsidRPr="00F6374E" w:rsidRDefault="00F64DDC" w:rsidP="00880183">
      <w:pPr>
        <w:pStyle w:val="Notedebasdepage"/>
        <w:jc w:val="both"/>
        <w:rPr>
          <w:lang w:val="fr-FR"/>
        </w:rPr>
      </w:pPr>
      <w:r>
        <w:rPr>
          <w:rStyle w:val="Appelnotedebasdep"/>
        </w:rPr>
        <w:footnoteRef/>
      </w:r>
      <w:r>
        <w:t xml:space="preserve"> </w:t>
      </w:r>
      <w:r>
        <w:rPr>
          <w:lang w:val="fr-FR"/>
        </w:rPr>
        <w:t xml:space="preserve">Pour davantage d’informations voy. </w:t>
      </w:r>
      <w:r>
        <w:rPr>
          <w:lang w:val="fr-FR"/>
        </w:rPr>
        <w:fldChar w:fldCharType="begin"/>
      </w:r>
      <w:r w:rsidR="00DB45C3">
        <w:rPr>
          <w:lang w:val="fr-FR"/>
        </w:rPr>
        <w:instrText xml:space="preserve"> ADDIN ZOTERO_ITEM CSL_CITATION {"citationID":"VbDZ3hcj","properties":{"formattedCitation":"J. {\\scaps Van Dyck}, \\uc0\\u171{}\\uc0\\u160{}Activit\\uc0\\u233{}s compl\\uc0\\u233{}mentaires dans le secteur sportif, sensibles modifications\\uc0\\u160{}\\uc0\\u187{}, {\\i{}Le Fiscologue}, 2021, vol. 1685, pp. 1\\uc0\\u8209{}8.","plainCitation":"J. Van Dyck, « Activités complémentaires dans le secteur sportif, sensibles modifications », Le Fiscologue, 2021, vol. 1685, pp. 1</w:instrText>
      </w:r>
      <w:r w:rsidR="00DB45C3">
        <w:rPr>
          <w:rFonts w:ascii="Cambria Math" w:hAnsi="Cambria Math" w:cs="Cambria Math"/>
          <w:lang w:val="fr-FR"/>
        </w:rPr>
        <w:instrText>‑</w:instrText>
      </w:r>
      <w:r w:rsidR="00DB45C3">
        <w:rPr>
          <w:lang w:val="fr-FR"/>
        </w:rPr>
        <w:instrText xml:space="preserve">8.","noteIndex":102},"citationItems":[{"id":642,"uris":["http://zotero.org/users/local/0X1c0osY/items/9NR3KFWB"],"uri":["http://zotero.org/users/local/0X1c0osY/items/9NR3KFWB"],"itemData":{"id":642,"type":"article-journal","container-title":"Le Fiscologue","page":"1-8","title":"Activités complémentaires dans le secteur sportif, sensibles modifications","volume":"1685","author":[{"family":"Van Dyck","given":"J."}],"issued":{"date-parts":[["2021"]]}}}],"schema":"https://github.com/citation-style-language/schema/raw/master/csl-citation.json"} </w:instrText>
      </w:r>
      <w:r>
        <w:rPr>
          <w:lang w:val="fr-FR"/>
        </w:rPr>
        <w:fldChar w:fldCharType="separate"/>
      </w:r>
      <w:r w:rsidR="00DB45C3" w:rsidRPr="00DB45C3">
        <w:rPr>
          <w:rFonts w:ascii="Calibri" w:hAnsi="Calibri" w:cs="Calibri"/>
          <w:szCs w:val="24"/>
        </w:rPr>
        <w:t xml:space="preserve">J. </w:t>
      </w:r>
      <w:r w:rsidR="00DB45C3" w:rsidRPr="00DB45C3">
        <w:rPr>
          <w:rFonts w:ascii="Calibri" w:hAnsi="Calibri" w:cs="Calibri"/>
          <w:smallCaps/>
          <w:szCs w:val="24"/>
        </w:rPr>
        <w:t>Van Dyck</w:t>
      </w:r>
      <w:r w:rsidR="00DB45C3" w:rsidRPr="00DB45C3">
        <w:rPr>
          <w:rFonts w:ascii="Calibri" w:hAnsi="Calibri" w:cs="Calibri"/>
          <w:szCs w:val="24"/>
        </w:rPr>
        <w:t xml:space="preserve">, « Activités complémentaires dans le secteur sportif, sensibles modifications », </w:t>
      </w:r>
      <w:r w:rsidR="00DB45C3" w:rsidRPr="00DB45C3">
        <w:rPr>
          <w:rFonts w:ascii="Calibri" w:hAnsi="Calibri" w:cs="Calibri"/>
          <w:i/>
          <w:iCs/>
          <w:szCs w:val="24"/>
        </w:rPr>
        <w:t>Le Fiscologue</w:t>
      </w:r>
      <w:r w:rsidR="00DB45C3" w:rsidRPr="00DB45C3">
        <w:rPr>
          <w:rFonts w:ascii="Calibri" w:hAnsi="Calibri" w:cs="Calibri"/>
          <w:szCs w:val="24"/>
        </w:rPr>
        <w:t>, 2021, vol. 1685, pp. 1‑8.</w:t>
      </w:r>
      <w:r>
        <w:rPr>
          <w:lang w:val="fr-FR"/>
        </w:rPr>
        <w:fldChar w:fldCharType="end"/>
      </w:r>
    </w:p>
  </w:footnote>
  <w:footnote w:id="100">
    <w:p w14:paraId="4EA46400" w14:textId="77777777" w:rsidR="00F64DDC" w:rsidRPr="00122D54" w:rsidRDefault="00F64DDC" w:rsidP="00880183">
      <w:pPr>
        <w:pStyle w:val="Notedebasdepage"/>
        <w:jc w:val="both"/>
      </w:pPr>
      <w:r>
        <w:rPr>
          <w:rStyle w:val="Appelnotedebasdep"/>
        </w:rPr>
        <w:footnoteRef/>
      </w:r>
      <w:r w:rsidRPr="00122D54">
        <w:t>Propo</w:t>
      </w:r>
      <w:r w:rsidRPr="00900084">
        <w:t>siti</w:t>
      </w:r>
      <w:r>
        <w:t>on de loi relative au travail associatif, avis du Conseil d’État,</w:t>
      </w:r>
      <w:r w:rsidRPr="00122D54">
        <w:t xml:space="preserve"> </w:t>
      </w:r>
      <w:r w:rsidRPr="005B6FBA">
        <w:rPr>
          <w:i/>
        </w:rPr>
        <w:t xml:space="preserve">Doc. parl., </w:t>
      </w:r>
      <w:r w:rsidRPr="008853E7">
        <w:t>Chambre,</w:t>
      </w:r>
      <w:r w:rsidRPr="005B6FBA" w:rsidDel="005B6FBA">
        <w:rPr>
          <w:i/>
        </w:rPr>
        <w:t xml:space="preserve"> </w:t>
      </w:r>
      <w:r>
        <w:rPr>
          <w:i/>
        </w:rPr>
        <w:t xml:space="preserve"> </w:t>
      </w:r>
      <w:r w:rsidRPr="00900084">
        <w:t>2019-2020, n° 55</w:t>
      </w:r>
      <w:r>
        <w:t>-</w:t>
      </w:r>
      <w:r w:rsidRPr="00900084">
        <w:t>1433</w:t>
      </w:r>
      <w:r>
        <w:t>/</w:t>
      </w:r>
      <w:r w:rsidRPr="00900084">
        <w:t>004.</w:t>
      </w:r>
    </w:p>
  </w:footnote>
  <w:footnote w:id="101">
    <w:p w14:paraId="139D34CF" w14:textId="77777777" w:rsidR="00F64DDC" w:rsidRPr="00EC5665" w:rsidRDefault="00F64DDC" w:rsidP="00880183">
      <w:pPr>
        <w:pStyle w:val="Notedebasdepage"/>
        <w:jc w:val="both"/>
        <w:rPr>
          <w:highlight w:val="yellow"/>
          <w:lang w:val="fr-FR"/>
        </w:rPr>
      </w:pPr>
      <w:r w:rsidRPr="00123485">
        <w:rPr>
          <w:rStyle w:val="Appelnotedebasdep"/>
        </w:rPr>
        <w:footnoteRef/>
      </w:r>
      <w:r w:rsidRPr="00123485">
        <w:t xml:space="preserve"> </w:t>
      </w:r>
      <w:r w:rsidRPr="00123485">
        <w:rPr>
          <w:lang w:val="fr-FR"/>
        </w:rPr>
        <w:t xml:space="preserve">Avis du Conseil d’État, </w:t>
      </w:r>
      <w:r>
        <w:rPr>
          <w:i/>
          <w:lang w:val="fr-FR"/>
        </w:rPr>
        <w:t>ibid.</w:t>
      </w:r>
      <w:r>
        <w:rPr>
          <w:lang w:val="fr-FR"/>
        </w:rPr>
        <w:t xml:space="preserve">, </w:t>
      </w:r>
      <w:r w:rsidRPr="00123485">
        <w:rPr>
          <w:lang w:val="fr-FR"/>
        </w:rPr>
        <w:t xml:space="preserve">p. 10. </w:t>
      </w:r>
    </w:p>
  </w:footnote>
  <w:footnote w:id="102">
    <w:p w14:paraId="10FFB6C1" w14:textId="77777777" w:rsidR="00F64DDC" w:rsidRPr="008853E7" w:rsidRDefault="00F64DDC" w:rsidP="00880183">
      <w:pPr>
        <w:pStyle w:val="Notedebasdepage"/>
        <w:jc w:val="both"/>
        <w:rPr>
          <w:lang w:val="fr-FR"/>
        </w:rPr>
      </w:pPr>
      <w:r>
        <w:rPr>
          <w:rStyle w:val="Appelnotedebasdep"/>
        </w:rPr>
        <w:footnoteRef/>
      </w:r>
      <w:r>
        <w:t xml:space="preserve"> </w:t>
      </w:r>
      <w:r>
        <w:rPr>
          <w:lang w:val="fr-FR"/>
        </w:rPr>
        <w:t>Avis, p. 11.</w:t>
      </w:r>
    </w:p>
  </w:footnote>
  <w:footnote w:id="103">
    <w:p w14:paraId="3D12BD84" w14:textId="77777777" w:rsidR="00F64DDC" w:rsidRPr="008853E7" w:rsidRDefault="00F64DDC" w:rsidP="00880183">
      <w:pPr>
        <w:pStyle w:val="Notedebasdepage"/>
        <w:jc w:val="both"/>
        <w:rPr>
          <w:lang w:val="fr-FR"/>
        </w:rPr>
      </w:pPr>
      <w:r>
        <w:rPr>
          <w:rStyle w:val="Appelnotedebasdep"/>
        </w:rPr>
        <w:footnoteRef/>
      </w:r>
      <w:r>
        <w:t xml:space="preserve"> </w:t>
      </w:r>
      <w:r w:rsidRPr="00F464EF">
        <w:t>Avis, p. 14.</w:t>
      </w:r>
    </w:p>
  </w:footnote>
  <w:footnote w:id="104">
    <w:p w14:paraId="12FD3BA9" w14:textId="77777777" w:rsidR="00F64DDC" w:rsidRPr="008853E7" w:rsidRDefault="00F64DDC" w:rsidP="00880183">
      <w:pPr>
        <w:pStyle w:val="Notedebasdepage"/>
        <w:jc w:val="both"/>
        <w:rPr>
          <w:lang w:val="fr-FR"/>
        </w:rPr>
      </w:pPr>
      <w:r>
        <w:rPr>
          <w:rStyle w:val="Appelnotedebasdep"/>
        </w:rPr>
        <w:footnoteRef/>
      </w:r>
      <w:r>
        <w:t xml:space="preserve"> </w:t>
      </w:r>
      <w:r w:rsidRPr="008853E7">
        <w:t>Avis, pp. 11 et 12.</w:t>
      </w:r>
    </w:p>
  </w:footnote>
  <w:footnote w:id="105">
    <w:p w14:paraId="17E6798B" w14:textId="77777777" w:rsidR="00F64DDC" w:rsidRPr="00900084" w:rsidRDefault="00F64DDC" w:rsidP="00880183">
      <w:pPr>
        <w:pStyle w:val="Notedebasdepage"/>
        <w:jc w:val="both"/>
        <w:rPr>
          <w:lang w:val="fr-FR"/>
        </w:rPr>
      </w:pPr>
      <w:r w:rsidRPr="00123485">
        <w:rPr>
          <w:rStyle w:val="Appelnotedebasdep"/>
        </w:rPr>
        <w:footnoteRef/>
      </w:r>
      <w:r w:rsidRPr="00123485">
        <w:t xml:space="preserve"> </w:t>
      </w:r>
      <w:r w:rsidRPr="00123485">
        <w:rPr>
          <w:lang w:val="fr-FR"/>
        </w:rPr>
        <w:t>Avis, p. 12 et 13.</w:t>
      </w:r>
    </w:p>
  </w:footnote>
  <w:footnote w:id="106">
    <w:p w14:paraId="7FD19758" w14:textId="77777777" w:rsidR="00F64DDC" w:rsidRPr="00900084" w:rsidRDefault="00F64DDC" w:rsidP="00880183">
      <w:pPr>
        <w:pStyle w:val="Notedebasdepage"/>
        <w:jc w:val="both"/>
        <w:rPr>
          <w:lang w:val="fr-FR"/>
        </w:rPr>
      </w:pPr>
      <w:r>
        <w:rPr>
          <w:rStyle w:val="Appelnotedebasdep"/>
        </w:rPr>
        <w:footnoteRef/>
      </w:r>
      <w:r>
        <w:t xml:space="preserve"> </w:t>
      </w:r>
      <w:r>
        <w:rPr>
          <w:lang w:val="fr-FR"/>
        </w:rPr>
        <w:t>Avis, p. 13.</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0522"/>
    <w:multiLevelType w:val="hybridMultilevel"/>
    <w:tmpl w:val="540E22EE"/>
    <w:lvl w:ilvl="0" w:tplc="080C0013">
      <w:start w:val="1"/>
      <w:numFmt w:val="upperRoman"/>
      <w:lvlText w:val="%1."/>
      <w:lvlJc w:val="righ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 w15:restartNumberingAfterBreak="0">
    <w:nsid w:val="072A7EAA"/>
    <w:multiLevelType w:val="hybridMultilevel"/>
    <w:tmpl w:val="47EEF4E4"/>
    <w:lvl w:ilvl="0" w:tplc="EF9A6C72">
      <w:start w:val="1"/>
      <w:numFmt w:val="decimal"/>
      <w:lvlText w:val="%1."/>
      <w:lvlJc w:val="left"/>
      <w:pPr>
        <w:ind w:left="1428" w:hanging="360"/>
      </w:pPr>
      <w:rPr>
        <w:rFonts w:ascii="Cambria" w:hAnsi="Cambria" w:hint="default"/>
        <w:b/>
        <w:i w:val="0"/>
        <w:sz w:val="24"/>
        <w:szCs w:val="24"/>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2" w15:restartNumberingAfterBreak="0">
    <w:nsid w:val="0D1A474D"/>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E87912"/>
    <w:multiLevelType w:val="hybridMultilevel"/>
    <w:tmpl w:val="8E76CDE8"/>
    <w:lvl w:ilvl="0" w:tplc="BB84462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5547B4F"/>
    <w:multiLevelType w:val="hybridMultilevel"/>
    <w:tmpl w:val="E27C6D68"/>
    <w:lvl w:ilvl="0" w:tplc="080C000F">
      <w:start w:val="1"/>
      <w:numFmt w:val="decimal"/>
      <w:lvlText w:val="%1."/>
      <w:lvlJc w:val="left"/>
      <w:pPr>
        <w:ind w:left="1428" w:hanging="360"/>
      </w:p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5" w15:restartNumberingAfterBreak="0">
    <w:nsid w:val="1A8F184B"/>
    <w:multiLevelType w:val="hybridMultilevel"/>
    <w:tmpl w:val="FB800F76"/>
    <w:lvl w:ilvl="0" w:tplc="080C000F">
      <w:start w:val="1"/>
      <w:numFmt w:val="decimal"/>
      <w:lvlText w:val="%1."/>
      <w:lvlJc w:val="left"/>
      <w:pPr>
        <w:ind w:left="1428" w:hanging="360"/>
      </w:p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6" w15:restartNumberingAfterBreak="0">
    <w:nsid w:val="1D6E3F87"/>
    <w:multiLevelType w:val="hybridMultilevel"/>
    <w:tmpl w:val="265E4C4C"/>
    <w:lvl w:ilvl="0" w:tplc="424823CE">
      <w:start w:val="1"/>
      <w:numFmt w:val="decimal"/>
      <w:lvlText w:val="%1."/>
      <w:lvlJc w:val="left"/>
      <w:pPr>
        <w:ind w:left="0" w:firstLine="1068"/>
      </w:pPr>
      <w:rPr>
        <w:rFonts w:ascii="Cambria" w:hAnsi="Cambria" w:hint="default"/>
        <w:b/>
        <w:i w:val="0"/>
        <w:sz w:val="24"/>
        <w:szCs w:val="24"/>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7" w15:restartNumberingAfterBreak="0">
    <w:nsid w:val="1D742A5A"/>
    <w:multiLevelType w:val="hybridMultilevel"/>
    <w:tmpl w:val="F2FC49F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29F42EF9"/>
    <w:multiLevelType w:val="hybridMultilevel"/>
    <w:tmpl w:val="8292BD3C"/>
    <w:lvl w:ilvl="0" w:tplc="080C001B">
      <w:start w:val="1"/>
      <w:numFmt w:val="lowerRoman"/>
      <w:lvlText w:val="%1."/>
      <w:lvlJc w:val="righ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9" w15:restartNumberingAfterBreak="0">
    <w:nsid w:val="2D5130C8"/>
    <w:multiLevelType w:val="hybridMultilevel"/>
    <w:tmpl w:val="A92EF41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413C6EA5"/>
    <w:multiLevelType w:val="hybridMultilevel"/>
    <w:tmpl w:val="20CCB652"/>
    <w:lvl w:ilvl="0" w:tplc="EF9A6C72">
      <w:start w:val="1"/>
      <w:numFmt w:val="decimal"/>
      <w:lvlText w:val="%1."/>
      <w:lvlJc w:val="left"/>
      <w:pPr>
        <w:ind w:left="1428" w:hanging="360"/>
      </w:pPr>
      <w:rPr>
        <w:rFonts w:ascii="Cambria" w:hAnsi="Cambria" w:hint="default"/>
        <w:b/>
        <w:i w:val="0"/>
        <w:sz w:val="24"/>
        <w:szCs w:val="24"/>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11" w15:restartNumberingAfterBreak="0">
    <w:nsid w:val="428F3BC1"/>
    <w:multiLevelType w:val="hybridMultilevel"/>
    <w:tmpl w:val="3E06F1FE"/>
    <w:lvl w:ilvl="0" w:tplc="EF9A6C72">
      <w:start w:val="1"/>
      <w:numFmt w:val="decimal"/>
      <w:lvlText w:val="%1."/>
      <w:lvlJc w:val="left"/>
      <w:pPr>
        <w:ind w:left="1428" w:hanging="360"/>
      </w:pPr>
      <w:rPr>
        <w:rFonts w:ascii="Cambria" w:hAnsi="Cambria" w:hint="default"/>
        <w:b/>
        <w:i w:val="0"/>
        <w:sz w:val="24"/>
        <w:szCs w:val="24"/>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12" w15:restartNumberingAfterBreak="0">
    <w:nsid w:val="505059ED"/>
    <w:multiLevelType w:val="hybridMultilevel"/>
    <w:tmpl w:val="EAB4A8F8"/>
    <w:lvl w:ilvl="0" w:tplc="424823CE">
      <w:start w:val="1"/>
      <w:numFmt w:val="decimal"/>
      <w:lvlText w:val="%1."/>
      <w:lvlJc w:val="left"/>
      <w:pPr>
        <w:ind w:left="1428" w:hanging="360"/>
      </w:pPr>
      <w:rPr>
        <w:rFonts w:ascii="Cambria" w:hAnsi="Cambria" w:hint="default"/>
        <w:b/>
        <w:i w:val="0"/>
        <w:sz w:val="24"/>
        <w:szCs w:val="24"/>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13" w15:restartNumberingAfterBreak="0">
    <w:nsid w:val="5D8A2FB8"/>
    <w:multiLevelType w:val="hybridMultilevel"/>
    <w:tmpl w:val="D42AC92E"/>
    <w:lvl w:ilvl="0" w:tplc="424823CE">
      <w:start w:val="1"/>
      <w:numFmt w:val="decimal"/>
      <w:lvlText w:val="%1."/>
      <w:lvlJc w:val="left"/>
      <w:pPr>
        <w:ind w:left="1428" w:hanging="360"/>
      </w:pPr>
      <w:rPr>
        <w:rFonts w:ascii="Cambria" w:hAnsi="Cambria" w:hint="default"/>
        <w:b/>
        <w:i w:val="0"/>
        <w:sz w:val="24"/>
        <w:szCs w:val="24"/>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14" w15:restartNumberingAfterBreak="0">
    <w:nsid w:val="5F854ACE"/>
    <w:multiLevelType w:val="hybridMultilevel"/>
    <w:tmpl w:val="FE6E5536"/>
    <w:lvl w:ilvl="0" w:tplc="EF9A6C72">
      <w:start w:val="1"/>
      <w:numFmt w:val="decimal"/>
      <w:lvlText w:val="%1."/>
      <w:lvlJc w:val="left"/>
      <w:pPr>
        <w:ind w:left="1428" w:hanging="360"/>
      </w:pPr>
      <w:rPr>
        <w:rFonts w:ascii="Cambria" w:hAnsi="Cambria" w:hint="default"/>
        <w:b/>
        <w:i w:val="0"/>
        <w:sz w:val="24"/>
        <w:szCs w:val="24"/>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15" w15:restartNumberingAfterBreak="0">
    <w:nsid w:val="66726584"/>
    <w:multiLevelType w:val="hybridMultilevel"/>
    <w:tmpl w:val="FF8C4FE6"/>
    <w:lvl w:ilvl="0" w:tplc="424823CE">
      <w:start w:val="1"/>
      <w:numFmt w:val="decimal"/>
      <w:lvlText w:val="%1."/>
      <w:lvlJc w:val="left"/>
      <w:pPr>
        <w:ind w:left="1428" w:hanging="360"/>
      </w:pPr>
      <w:rPr>
        <w:rFonts w:ascii="Cambria" w:hAnsi="Cambria" w:hint="default"/>
        <w:b/>
        <w:i w:val="0"/>
        <w:sz w:val="24"/>
        <w:szCs w:val="24"/>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16" w15:restartNumberingAfterBreak="0">
    <w:nsid w:val="6EDC337A"/>
    <w:multiLevelType w:val="hybridMultilevel"/>
    <w:tmpl w:val="8C507176"/>
    <w:lvl w:ilvl="0" w:tplc="424823CE">
      <w:start w:val="1"/>
      <w:numFmt w:val="decimal"/>
      <w:lvlText w:val="%1."/>
      <w:lvlJc w:val="left"/>
      <w:pPr>
        <w:ind w:left="0" w:firstLine="1068"/>
      </w:pPr>
      <w:rPr>
        <w:rFonts w:ascii="Cambria" w:hAnsi="Cambria" w:hint="default"/>
        <w:b/>
        <w:i w:val="0"/>
        <w:sz w:val="24"/>
        <w:szCs w:val="24"/>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17" w15:restartNumberingAfterBreak="0">
    <w:nsid w:val="6F707357"/>
    <w:multiLevelType w:val="hybridMultilevel"/>
    <w:tmpl w:val="F2124BE4"/>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73B5499F"/>
    <w:multiLevelType w:val="hybridMultilevel"/>
    <w:tmpl w:val="1640DFBA"/>
    <w:lvl w:ilvl="0" w:tplc="080C001B">
      <w:start w:val="1"/>
      <w:numFmt w:val="lowerRoman"/>
      <w:lvlText w:val="%1."/>
      <w:lvlJc w:val="right"/>
      <w:pPr>
        <w:ind w:left="2160" w:hanging="360"/>
      </w:pPr>
    </w:lvl>
    <w:lvl w:ilvl="1" w:tplc="080C0019" w:tentative="1">
      <w:start w:val="1"/>
      <w:numFmt w:val="lowerLetter"/>
      <w:lvlText w:val="%2."/>
      <w:lvlJc w:val="left"/>
      <w:pPr>
        <w:ind w:left="2880" w:hanging="360"/>
      </w:pPr>
    </w:lvl>
    <w:lvl w:ilvl="2" w:tplc="080C001B" w:tentative="1">
      <w:start w:val="1"/>
      <w:numFmt w:val="lowerRoman"/>
      <w:lvlText w:val="%3."/>
      <w:lvlJc w:val="right"/>
      <w:pPr>
        <w:ind w:left="3600" w:hanging="180"/>
      </w:pPr>
    </w:lvl>
    <w:lvl w:ilvl="3" w:tplc="080C000F" w:tentative="1">
      <w:start w:val="1"/>
      <w:numFmt w:val="decimal"/>
      <w:lvlText w:val="%4."/>
      <w:lvlJc w:val="left"/>
      <w:pPr>
        <w:ind w:left="4320" w:hanging="360"/>
      </w:pPr>
    </w:lvl>
    <w:lvl w:ilvl="4" w:tplc="080C0019" w:tentative="1">
      <w:start w:val="1"/>
      <w:numFmt w:val="lowerLetter"/>
      <w:lvlText w:val="%5."/>
      <w:lvlJc w:val="left"/>
      <w:pPr>
        <w:ind w:left="5040" w:hanging="360"/>
      </w:pPr>
    </w:lvl>
    <w:lvl w:ilvl="5" w:tplc="080C001B" w:tentative="1">
      <w:start w:val="1"/>
      <w:numFmt w:val="lowerRoman"/>
      <w:lvlText w:val="%6."/>
      <w:lvlJc w:val="right"/>
      <w:pPr>
        <w:ind w:left="5760" w:hanging="180"/>
      </w:pPr>
    </w:lvl>
    <w:lvl w:ilvl="6" w:tplc="080C000F" w:tentative="1">
      <w:start w:val="1"/>
      <w:numFmt w:val="decimal"/>
      <w:lvlText w:val="%7."/>
      <w:lvlJc w:val="left"/>
      <w:pPr>
        <w:ind w:left="6480" w:hanging="360"/>
      </w:pPr>
    </w:lvl>
    <w:lvl w:ilvl="7" w:tplc="080C0019" w:tentative="1">
      <w:start w:val="1"/>
      <w:numFmt w:val="lowerLetter"/>
      <w:lvlText w:val="%8."/>
      <w:lvlJc w:val="left"/>
      <w:pPr>
        <w:ind w:left="7200" w:hanging="360"/>
      </w:pPr>
    </w:lvl>
    <w:lvl w:ilvl="8" w:tplc="080C001B" w:tentative="1">
      <w:start w:val="1"/>
      <w:numFmt w:val="lowerRoman"/>
      <w:lvlText w:val="%9."/>
      <w:lvlJc w:val="right"/>
      <w:pPr>
        <w:ind w:left="7920" w:hanging="180"/>
      </w:pPr>
    </w:lvl>
  </w:abstractNum>
  <w:abstractNum w:abstractNumId="19" w15:restartNumberingAfterBreak="0">
    <w:nsid w:val="781F02BE"/>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6"/>
  </w:num>
  <w:num w:numId="3">
    <w:abstractNumId w:val="11"/>
  </w:num>
  <w:num w:numId="4">
    <w:abstractNumId w:val="14"/>
  </w:num>
  <w:num w:numId="5">
    <w:abstractNumId w:val="1"/>
  </w:num>
  <w:num w:numId="6">
    <w:abstractNumId w:val="10"/>
  </w:num>
  <w:num w:numId="7">
    <w:abstractNumId w:val="17"/>
  </w:num>
  <w:num w:numId="8">
    <w:abstractNumId w:val="0"/>
  </w:num>
  <w:num w:numId="9">
    <w:abstractNumId w:val="19"/>
  </w:num>
  <w:num w:numId="10">
    <w:abstractNumId w:val="2"/>
  </w:num>
  <w:num w:numId="11">
    <w:abstractNumId w:val="18"/>
  </w:num>
  <w:num w:numId="12">
    <w:abstractNumId w:val="8"/>
  </w:num>
  <w:num w:numId="13">
    <w:abstractNumId w:val="13"/>
  </w:num>
  <w:num w:numId="14">
    <w:abstractNumId w:val="9"/>
  </w:num>
  <w:num w:numId="15">
    <w:abstractNumId w:val="7"/>
  </w:num>
  <w:num w:numId="16">
    <w:abstractNumId w:val="12"/>
  </w:num>
  <w:num w:numId="17">
    <w:abstractNumId w:val="16"/>
  </w:num>
  <w:num w:numId="18">
    <w:abstractNumId w:val="4"/>
  </w:num>
  <w:num w:numId="19">
    <w:abstractNumId w:val="5"/>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2DD"/>
    <w:rsid w:val="00001E8D"/>
    <w:rsid w:val="0000288D"/>
    <w:rsid w:val="00003603"/>
    <w:rsid w:val="0000396A"/>
    <w:rsid w:val="00015151"/>
    <w:rsid w:val="00022D9A"/>
    <w:rsid w:val="000273F0"/>
    <w:rsid w:val="000341F4"/>
    <w:rsid w:val="00036591"/>
    <w:rsid w:val="000414F1"/>
    <w:rsid w:val="000560BC"/>
    <w:rsid w:val="00060B6D"/>
    <w:rsid w:val="00062E49"/>
    <w:rsid w:val="000633CD"/>
    <w:rsid w:val="0006673C"/>
    <w:rsid w:val="000670D2"/>
    <w:rsid w:val="00070C03"/>
    <w:rsid w:val="00075726"/>
    <w:rsid w:val="000842DD"/>
    <w:rsid w:val="0008624D"/>
    <w:rsid w:val="0009239A"/>
    <w:rsid w:val="00093081"/>
    <w:rsid w:val="0009519D"/>
    <w:rsid w:val="000A001E"/>
    <w:rsid w:val="000B459D"/>
    <w:rsid w:val="000C3C79"/>
    <w:rsid w:val="000C7C5E"/>
    <w:rsid w:val="000D6040"/>
    <w:rsid w:val="000E06B9"/>
    <w:rsid w:val="000E1522"/>
    <w:rsid w:val="000F6945"/>
    <w:rsid w:val="00105378"/>
    <w:rsid w:val="00116DA9"/>
    <w:rsid w:val="00120F1A"/>
    <w:rsid w:val="00122D54"/>
    <w:rsid w:val="00123485"/>
    <w:rsid w:val="001251D1"/>
    <w:rsid w:val="001252FF"/>
    <w:rsid w:val="00126843"/>
    <w:rsid w:val="00127AAB"/>
    <w:rsid w:val="001339DC"/>
    <w:rsid w:val="00137414"/>
    <w:rsid w:val="001412C0"/>
    <w:rsid w:val="00144A55"/>
    <w:rsid w:val="001612AE"/>
    <w:rsid w:val="00161630"/>
    <w:rsid w:val="001642DF"/>
    <w:rsid w:val="00174549"/>
    <w:rsid w:val="00175A7D"/>
    <w:rsid w:val="00176D52"/>
    <w:rsid w:val="0017741D"/>
    <w:rsid w:val="00180555"/>
    <w:rsid w:val="001810EE"/>
    <w:rsid w:val="001914C0"/>
    <w:rsid w:val="001946BA"/>
    <w:rsid w:val="001A476F"/>
    <w:rsid w:val="001B17F4"/>
    <w:rsid w:val="001B5590"/>
    <w:rsid w:val="001B5C98"/>
    <w:rsid w:val="001B7F47"/>
    <w:rsid w:val="001C24BE"/>
    <w:rsid w:val="001C3F8C"/>
    <w:rsid w:val="001D13B6"/>
    <w:rsid w:val="001E2652"/>
    <w:rsid w:val="001E3777"/>
    <w:rsid w:val="001E652F"/>
    <w:rsid w:val="001E6B48"/>
    <w:rsid w:val="001E7D39"/>
    <w:rsid w:val="0020051D"/>
    <w:rsid w:val="00200658"/>
    <w:rsid w:val="002156F9"/>
    <w:rsid w:val="00222B3D"/>
    <w:rsid w:val="00223A56"/>
    <w:rsid w:val="00225FF2"/>
    <w:rsid w:val="002349D0"/>
    <w:rsid w:val="00242175"/>
    <w:rsid w:val="002544C1"/>
    <w:rsid w:val="00261D68"/>
    <w:rsid w:val="002665CB"/>
    <w:rsid w:val="002675F1"/>
    <w:rsid w:val="002718C0"/>
    <w:rsid w:val="00271F7C"/>
    <w:rsid w:val="00276097"/>
    <w:rsid w:val="00280FC2"/>
    <w:rsid w:val="002819D6"/>
    <w:rsid w:val="002856BF"/>
    <w:rsid w:val="0028619F"/>
    <w:rsid w:val="00290003"/>
    <w:rsid w:val="002925A0"/>
    <w:rsid w:val="00295AA6"/>
    <w:rsid w:val="00296B6B"/>
    <w:rsid w:val="002970E4"/>
    <w:rsid w:val="002A2BEB"/>
    <w:rsid w:val="002A3A06"/>
    <w:rsid w:val="002A4E10"/>
    <w:rsid w:val="002A6B9F"/>
    <w:rsid w:val="002A7F34"/>
    <w:rsid w:val="002B4477"/>
    <w:rsid w:val="002C1595"/>
    <w:rsid w:val="002C41DC"/>
    <w:rsid w:val="002D039F"/>
    <w:rsid w:val="002D3EC6"/>
    <w:rsid w:val="002D6A6A"/>
    <w:rsid w:val="002D752B"/>
    <w:rsid w:val="002E1B42"/>
    <w:rsid w:val="002E21D3"/>
    <w:rsid w:val="002E7F38"/>
    <w:rsid w:val="002F1D33"/>
    <w:rsid w:val="002F5BE0"/>
    <w:rsid w:val="0030469E"/>
    <w:rsid w:val="00306632"/>
    <w:rsid w:val="00307FDC"/>
    <w:rsid w:val="00310385"/>
    <w:rsid w:val="003169ED"/>
    <w:rsid w:val="00326219"/>
    <w:rsid w:val="00334747"/>
    <w:rsid w:val="00337ED7"/>
    <w:rsid w:val="0034048E"/>
    <w:rsid w:val="003410C6"/>
    <w:rsid w:val="00343072"/>
    <w:rsid w:val="00347287"/>
    <w:rsid w:val="003516A4"/>
    <w:rsid w:val="00352BF3"/>
    <w:rsid w:val="003629B2"/>
    <w:rsid w:val="00365571"/>
    <w:rsid w:val="00365B2D"/>
    <w:rsid w:val="00370FBD"/>
    <w:rsid w:val="00374BDE"/>
    <w:rsid w:val="00374C30"/>
    <w:rsid w:val="003916C3"/>
    <w:rsid w:val="00391E43"/>
    <w:rsid w:val="00392090"/>
    <w:rsid w:val="00393FF5"/>
    <w:rsid w:val="003A0839"/>
    <w:rsid w:val="003A1777"/>
    <w:rsid w:val="003A3B9A"/>
    <w:rsid w:val="003B0529"/>
    <w:rsid w:val="003B20FF"/>
    <w:rsid w:val="003B4685"/>
    <w:rsid w:val="003B6D7B"/>
    <w:rsid w:val="003C1194"/>
    <w:rsid w:val="003C66ED"/>
    <w:rsid w:val="003C7192"/>
    <w:rsid w:val="003C770D"/>
    <w:rsid w:val="003D0CE2"/>
    <w:rsid w:val="003D48E6"/>
    <w:rsid w:val="003D65B2"/>
    <w:rsid w:val="003D6A09"/>
    <w:rsid w:val="003E0C01"/>
    <w:rsid w:val="003E792A"/>
    <w:rsid w:val="003E7E51"/>
    <w:rsid w:val="003F1CE2"/>
    <w:rsid w:val="003F7C4C"/>
    <w:rsid w:val="003F7FAC"/>
    <w:rsid w:val="00404479"/>
    <w:rsid w:val="00421D47"/>
    <w:rsid w:val="0042220E"/>
    <w:rsid w:val="00423C69"/>
    <w:rsid w:val="004261B9"/>
    <w:rsid w:val="004272B0"/>
    <w:rsid w:val="00427F1E"/>
    <w:rsid w:val="004419CC"/>
    <w:rsid w:val="00444BA2"/>
    <w:rsid w:val="004458E6"/>
    <w:rsid w:val="00453B98"/>
    <w:rsid w:val="00456E27"/>
    <w:rsid w:val="0045788B"/>
    <w:rsid w:val="00465EF0"/>
    <w:rsid w:val="00471152"/>
    <w:rsid w:val="00474AC4"/>
    <w:rsid w:val="0048259F"/>
    <w:rsid w:val="004919C4"/>
    <w:rsid w:val="0049302A"/>
    <w:rsid w:val="00495123"/>
    <w:rsid w:val="004A056A"/>
    <w:rsid w:val="004A4E50"/>
    <w:rsid w:val="004A6E34"/>
    <w:rsid w:val="004A7F2B"/>
    <w:rsid w:val="004B0FB7"/>
    <w:rsid w:val="004B1ACC"/>
    <w:rsid w:val="004B3870"/>
    <w:rsid w:val="004B6210"/>
    <w:rsid w:val="004D48C7"/>
    <w:rsid w:val="004D727F"/>
    <w:rsid w:val="004E1D70"/>
    <w:rsid w:val="004E6EF1"/>
    <w:rsid w:val="004F0BBF"/>
    <w:rsid w:val="00511395"/>
    <w:rsid w:val="00514CDF"/>
    <w:rsid w:val="00516170"/>
    <w:rsid w:val="00517920"/>
    <w:rsid w:val="00526056"/>
    <w:rsid w:val="005269B6"/>
    <w:rsid w:val="00531DF7"/>
    <w:rsid w:val="00532B31"/>
    <w:rsid w:val="00537891"/>
    <w:rsid w:val="005413F5"/>
    <w:rsid w:val="00542D26"/>
    <w:rsid w:val="00545B02"/>
    <w:rsid w:val="00553EEB"/>
    <w:rsid w:val="0055547C"/>
    <w:rsid w:val="00575568"/>
    <w:rsid w:val="00577D2E"/>
    <w:rsid w:val="00580B7C"/>
    <w:rsid w:val="005946D1"/>
    <w:rsid w:val="00597B36"/>
    <w:rsid w:val="00597BBC"/>
    <w:rsid w:val="005A0B87"/>
    <w:rsid w:val="005A7BA5"/>
    <w:rsid w:val="005B6FBA"/>
    <w:rsid w:val="005C6062"/>
    <w:rsid w:val="005D10B7"/>
    <w:rsid w:val="005E1526"/>
    <w:rsid w:val="005E36C7"/>
    <w:rsid w:val="005E6C04"/>
    <w:rsid w:val="005E7E16"/>
    <w:rsid w:val="005F2488"/>
    <w:rsid w:val="005F5AC7"/>
    <w:rsid w:val="00601195"/>
    <w:rsid w:val="00601C22"/>
    <w:rsid w:val="0060211B"/>
    <w:rsid w:val="0060228D"/>
    <w:rsid w:val="00602C00"/>
    <w:rsid w:val="00603D10"/>
    <w:rsid w:val="006044F0"/>
    <w:rsid w:val="006067C6"/>
    <w:rsid w:val="00610513"/>
    <w:rsid w:val="0061111D"/>
    <w:rsid w:val="006160A4"/>
    <w:rsid w:val="0061668B"/>
    <w:rsid w:val="006201C6"/>
    <w:rsid w:val="00621CCC"/>
    <w:rsid w:val="006247CC"/>
    <w:rsid w:val="00634EDA"/>
    <w:rsid w:val="0063761A"/>
    <w:rsid w:val="0063793B"/>
    <w:rsid w:val="00637A4F"/>
    <w:rsid w:val="00640698"/>
    <w:rsid w:val="0064316E"/>
    <w:rsid w:val="00643363"/>
    <w:rsid w:val="00644071"/>
    <w:rsid w:val="00645AD9"/>
    <w:rsid w:val="00647C68"/>
    <w:rsid w:val="00652E35"/>
    <w:rsid w:val="00660119"/>
    <w:rsid w:val="006638E1"/>
    <w:rsid w:val="00672333"/>
    <w:rsid w:val="00672389"/>
    <w:rsid w:val="0067480F"/>
    <w:rsid w:val="00680FA2"/>
    <w:rsid w:val="00680FD0"/>
    <w:rsid w:val="00693CB6"/>
    <w:rsid w:val="006944D3"/>
    <w:rsid w:val="00695D3A"/>
    <w:rsid w:val="006B02EB"/>
    <w:rsid w:val="006B0D8D"/>
    <w:rsid w:val="006B1E24"/>
    <w:rsid w:val="006B75DF"/>
    <w:rsid w:val="006C46D4"/>
    <w:rsid w:val="006C48C2"/>
    <w:rsid w:val="006C5145"/>
    <w:rsid w:val="006C5309"/>
    <w:rsid w:val="006D0F9F"/>
    <w:rsid w:val="006D55FE"/>
    <w:rsid w:val="006D6337"/>
    <w:rsid w:val="006D63E8"/>
    <w:rsid w:val="006E0B02"/>
    <w:rsid w:val="006E64DF"/>
    <w:rsid w:val="006F0537"/>
    <w:rsid w:val="0070040F"/>
    <w:rsid w:val="0070252A"/>
    <w:rsid w:val="00713DFB"/>
    <w:rsid w:val="007204D1"/>
    <w:rsid w:val="0072789E"/>
    <w:rsid w:val="007333D2"/>
    <w:rsid w:val="00735BF4"/>
    <w:rsid w:val="0073735E"/>
    <w:rsid w:val="007420A7"/>
    <w:rsid w:val="00745254"/>
    <w:rsid w:val="00754E6A"/>
    <w:rsid w:val="00757F97"/>
    <w:rsid w:val="00763C8F"/>
    <w:rsid w:val="007658C4"/>
    <w:rsid w:val="00765E2A"/>
    <w:rsid w:val="0076622C"/>
    <w:rsid w:val="00773E86"/>
    <w:rsid w:val="007838FF"/>
    <w:rsid w:val="00785160"/>
    <w:rsid w:val="00786A13"/>
    <w:rsid w:val="00790CEE"/>
    <w:rsid w:val="00791A3F"/>
    <w:rsid w:val="00794A89"/>
    <w:rsid w:val="00794AC3"/>
    <w:rsid w:val="007A259E"/>
    <w:rsid w:val="007A5712"/>
    <w:rsid w:val="007A6102"/>
    <w:rsid w:val="007A7594"/>
    <w:rsid w:val="007A7D33"/>
    <w:rsid w:val="007B1B32"/>
    <w:rsid w:val="007B700F"/>
    <w:rsid w:val="007C1EB4"/>
    <w:rsid w:val="007D4054"/>
    <w:rsid w:val="007D465F"/>
    <w:rsid w:val="007D61ED"/>
    <w:rsid w:val="007E2CFF"/>
    <w:rsid w:val="007F117E"/>
    <w:rsid w:val="007F1BF1"/>
    <w:rsid w:val="007F4757"/>
    <w:rsid w:val="007F625B"/>
    <w:rsid w:val="00800A77"/>
    <w:rsid w:val="00804454"/>
    <w:rsid w:val="0080708B"/>
    <w:rsid w:val="00807A49"/>
    <w:rsid w:val="008140CB"/>
    <w:rsid w:val="00817EAB"/>
    <w:rsid w:val="00821986"/>
    <w:rsid w:val="00824F52"/>
    <w:rsid w:val="00825F9C"/>
    <w:rsid w:val="00826716"/>
    <w:rsid w:val="00826A89"/>
    <w:rsid w:val="008360A3"/>
    <w:rsid w:val="008406A6"/>
    <w:rsid w:val="00850AEB"/>
    <w:rsid w:val="00861B47"/>
    <w:rsid w:val="0086399B"/>
    <w:rsid w:val="00864ABC"/>
    <w:rsid w:val="00867438"/>
    <w:rsid w:val="00871D31"/>
    <w:rsid w:val="00880183"/>
    <w:rsid w:val="00882763"/>
    <w:rsid w:val="00883040"/>
    <w:rsid w:val="00883C6E"/>
    <w:rsid w:val="008853E7"/>
    <w:rsid w:val="00895100"/>
    <w:rsid w:val="008A2FED"/>
    <w:rsid w:val="008A30B9"/>
    <w:rsid w:val="008A452F"/>
    <w:rsid w:val="008A4EF2"/>
    <w:rsid w:val="008A59E0"/>
    <w:rsid w:val="008A5F7D"/>
    <w:rsid w:val="008C4EF9"/>
    <w:rsid w:val="008D11EF"/>
    <w:rsid w:val="008E4CDB"/>
    <w:rsid w:val="008E6933"/>
    <w:rsid w:val="008F3CD4"/>
    <w:rsid w:val="008F414F"/>
    <w:rsid w:val="008F6DDC"/>
    <w:rsid w:val="00900084"/>
    <w:rsid w:val="009045B8"/>
    <w:rsid w:val="009106A0"/>
    <w:rsid w:val="009110C1"/>
    <w:rsid w:val="009140BE"/>
    <w:rsid w:val="00916153"/>
    <w:rsid w:val="00922D12"/>
    <w:rsid w:val="009253B6"/>
    <w:rsid w:val="00932090"/>
    <w:rsid w:val="00934FC6"/>
    <w:rsid w:val="009359B7"/>
    <w:rsid w:val="0093659F"/>
    <w:rsid w:val="0093687A"/>
    <w:rsid w:val="0094124B"/>
    <w:rsid w:val="00946004"/>
    <w:rsid w:val="00947D7C"/>
    <w:rsid w:val="00950FAD"/>
    <w:rsid w:val="00953FF9"/>
    <w:rsid w:val="0095531F"/>
    <w:rsid w:val="00955F45"/>
    <w:rsid w:val="0096199A"/>
    <w:rsid w:val="0096381B"/>
    <w:rsid w:val="00973825"/>
    <w:rsid w:val="0097407A"/>
    <w:rsid w:val="0097550C"/>
    <w:rsid w:val="00985C3B"/>
    <w:rsid w:val="009919CE"/>
    <w:rsid w:val="00997FCF"/>
    <w:rsid w:val="009A0F8F"/>
    <w:rsid w:val="009A3CDC"/>
    <w:rsid w:val="009B35CC"/>
    <w:rsid w:val="009B49E3"/>
    <w:rsid w:val="009C1EF4"/>
    <w:rsid w:val="009C2D0D"/>
    <w:rsid w:val="009C3CA8"/>
    <w:rsid w:val="009C42B7"/>
    <w:rsid w:val="009C431A"/>
    <w:rsid w:val="009D109F"/>
    <w:rsid w:val="009D161D"/>
    <w:rsid w:val="009D2D0F"/>
    <w:rsid w:val="009E08F6"/>
    <w:rsid w:val="009E2FD9"/>
    <w:rsid w:val="009E4196"/>
    <w:rsid w:val="009E49FA"/>
    <w:rsid w:val="009F1CD3"/>
    <w:rsid w:val="009F21A5"/>
    <w:rsid w:val="009F236D"/>
    <w:rsid w:val="009F2B6F"/>
    <w:rsid w:val="009F2EB3"/>
    <w:rsid w:val="00A135B4"/>
    <w:rsid w:val="00A278B3"/>
    <w:rsid w:val="00A33137"/>
    <w:rsid w:val="00A3397D"/>
    <w:rsid w:val="00A36895"/>
    <w:rsid w:val="00A37447"/>
    <w:rsid w:val="00A37675"/>
    <w:rsid w:val="00A40999"/>
    <w:rsid w:val="00A4729B"/>
    <w:rsid w:val="00A50231"/>
    <w:rsid w:val="00A62FFA"/>
    <w:rsid w:val="00A6399C"/>
    <w:rsid w:val="00A66658"/>
    <w:rsid w:val="00A72071"/>
    <w:rsid w:val="00A730B3"/>
    <w:rsid w:val="00A7366B"/>
    <w:rsid w:val="00A73D2E"/>
    <w:rsid w:val="00A75EF1"/>
    <w:rsid w:val="00A7633A"/>
    <w:rsid w:val="00A84A99"/>
    <w:rsid w:val="00A87F0D"/>
    <w:rsid w:val="00A90998"/>
    <w:rsid w:val="00A93126"/>
    <w:rsid w:val="00A94B96"/>
    <w:rsid w:val="00A957F2"/>
    <w:rsid w:val="00A97363"/>
    <w:rsid w:val="00AA05DE"/>
    <w:rsid w:val="00AA308D"/>
    <w:rsid w:val="00AB339B"/>
    <w:rsid w:val="00AB4AD3"/>
    <w:rsid w:val="00AC31EE"/>
    <w:rsid w:val="00AC7660"/>
    <w:rsid w:val="00AD07F3"/>
    <w:rsid w:val="00AD222C"/>
    <w:rsid w:val="00AE001F"/>
    <w:rsid w:val="00AE66EF"/>
    <w:rsid w:val="00AE7356"/>
    <w:rsid w:val="00AE7C39"/>
    <w:rsid w:val="00B02388"/>
    <w:rsid w:val="00B055B7"/>
    <w:rsid w:val="00B064AE"/>
    <w:rsid w:val="00B07256"/>
    <w:rsid w:val="00B143A0"/>
    <w:rsid w:val="00B14659"/>
    <w:rsid w:val="00B14D79"/>
    <w:rsid w:val="00B22CCA"/>
    <w:rsid w:val="00B265CE"/>
    <w:rsid w:val="00B3090D"/>
    <w:rsid w:val="00B309CE"/>
    <w:rsid w:val="00B315AD"/>
    <w:rsid w:val="00B32C33"/>
    <w:rsid w:val="00B338C5"/>
    <w:rsid w:val="00B34201"/>
    <w:rsid w:val="00B36299"/>
    <w:rsid w:val="00B375A8"/>
    <w:rsid w:val="00B41357"/>
    <w:rsid w:val="00B509B4"/>
    <w:rsid w:val="00B525D5"/>
    <w:rsid w:val="00B53EC7"/>
    <w:rsid w:val="00B53F6A"/>
    <w:rsid w:val="00B544B5"/>
    <w:rsid w:val="00B576DC"/>
    <w:rsid w:val="00B72737"/>
    <w:rsid w:val="00B72DF2"/>
    <w:rsid w:val="00B74703"/>
    <w:rsid w:val="00B747B6"/>
    <w:rsid w:val="00B80BA3"/>
    <w:rsid w:val="00B83BD6"/>
    <w:rsid w:val="00B83D89"/>
    <w:rsid w:val="00B84DA4"/>
    <w:rsid w:val="00B90C45"/>
    <w:rsid w:val="00B918A4"/>
    <w:rsid w:val="00B91A88"/>
    <w:rsid w:val="00B91CBD"/>
    <w:rsid w:val="00B960EC"/>
    <w:rsid w:val="00BA41EE"/>
    <w:rsid w:val="00BA4ED0"/>
    <w:rsid w:val="00BB32A5"/>
    <w:rsid w:val="00BC2DE9"/>
    <w:rsid w:val="00BC7344"/>
    <w:rsid w:val="00BD2BB4"/>
    <w:rsid w:val="00BD3649"/>
    <w:rsid w:val="00BD4354"/>
    <w:rsid w:val="00BE0C81"/>
    <w:rsid w:val="00BE650F"/>
    <w:rsid w:val="00BF5FD9"/>
    <w:rsid w:val="00BF6ED5"/>
    <w:rsid w:val="00BF7E57"/>
    <w:rsid w:val="00C0233F"/>
    <w:rsid w:val="00C025A5"/>
    <w:rsid w:val="00C07001"/>
    <w:rsid w:val="00C11FEF"/>
    <w:rsid w:val="00C12C43"/>
    <w:rsid w:val="00C20809"/>
    <w:rsid w:val="00C237D1"/>
    <w:rsid w:val="00C268B3"/>
    <w:rsid w:val="00C31D0B"/>
    <w:rsid w:val="00C32C47"/>
    <w:rsid w:val="00C367D0"/>
    <w:rsid w:val="00C40594"/>
    <w:rsid w:val="00C43BCB"/>
    <w:rsid w:val="00C4424B"/>
    <w:rsid w:val="00C44469"/>
    <w:rsid w:val="00C45458"/>
    <w:rsid w:val="00C502A5"/>
    <w:rsid w:val="00C53978"/>
    <w:rsid w:val="00C55BCD"/>
    <w:rsid w:val="00C6498C"/>
    <w:rsid w:val="00C6517F"/>
    <w:rsid w:val="00C70035"/>
    <w:rsid w:val="00C7538F"/>
    <w:rsid w:val="00C75FA2"/>
    <w:rsid w:val="00C81BA9"/>
    <w:rsid w:val="00C824BA"/>
    <w:rsid w:val="00C8648E"/>
    <w:rsid w:val="00C90E54"/>
    <w:rsid w:val="00C9651F"/>
    <w:rsid w:val="00CA43C2"/>
    <w:rsid w:val="00CA53C6"/>
    <w:rsid w:val="00CA6D4D"/>
    <w:rsid w:val="00CA74A2"/>
    <w:rsid w:val="00CA7EAD"/>
    <w:rsid w:val="00CB4254"/>
    <w:rsid w:val="00CC1CCA"/>
    <w:rsid w:val="00CC1D66"/>
    <w:rsid w:val="00CC3E82"/>
    <w:rsid w:val="00CC5CB4"/>
    <w:rsid w:val="00CE7E01"/>
    <w:rsid w:val="00D0205D"/>
    <w:rsid w:val="00D0337B"/>
    <w:rsid w:val="00D04C06"/>
    <w:rsid w:val="00D14E96"/>
    <w:rsid w:val="00D21F9E"/>
    <w:rsid w:val="00D224C8"/>
    <w:rsid w:val="00D2313A"/>
    <w:rsid w:val="00D237FF"/>
    <w:rsid w:val="00D27B36"/>
    <w:rsid w:val="00D34EFF"/>
    <w:rsid w:val="00D3669F"/>
    <w:rsid w:val="00D42CEA"/>
    <w:rsid w:val="00D524BA"/>
    <w:rsid w:val="00D6419D"/>
    <w:rsid w:val="00D67052"/>
    <w:rsid w:val="00D67FEC"/>
    <w:rsid w:val="00D75778"/>
    <w:rsid w:val="00D83B6B"/>
    <w:rsid w:val="00D84E64"/>
    <w:rsid w:val="00D92090"/>
    <w:rsid w:val="00D926BD"/>
    <w:rsid w:val="00D92CC7"/>
    <w:rsid w:val="00D9305D"/>
    <w:rsid w:val="00D93619"/>
    <w:rsid w:val="00DA01F4"/>
    <w:rsid w:val="00DA63C8"/>
    <w:rsid w:val="00DA64DA"/>
    <w:rsid w:val="00DB45C3"/>
    <w:rsid w:val="00DB6854"/>
    <w:rsid w:val="00DB7B0D"/>
    <w:rsid w:val="00DC2EA8"/>
    <w:rsid w:val="00DC3C83"/>
    <w:rsid w:val="00DD16B9"/>
    <w:rsid w:val="00DD3BDF"/>
    <w:rsid w:val="00DD68FE"/>
    <w:rsid w:val="00DE023E"/>
    <w:rsid w:val="00DE70A6"/>
    <w:rsid w:val="00DE70F8"/>
    <w:rsid w:val="00DF0180"/>
    <w:rsid w:val="00DF3C9D"/>
    <w:rsid w:val="00DF7CFD"/>
    <w:rsid w:val="00E06282"/>
    <w:rsid w:val="00E070CA"/>
    <w:rsid w:val="00E10C60"/>
    <w:rsid w:val="00E16E39"/>
    <w:rsid w:val="00E212E2"/>
    <w:rsid w:val="00E25034"/>
    <w:rsid w:val="00E250B9"/>
    <w:rsid w:val="00E2549B"/>
    <w:rsid w:val="00E31F2E"/>
    <w:rsid w:val="00E34ACE"/>
    <w:rsid w:val="00E3542F"/>
    <w:rsid w:val="00E4258E"/>
    <w:rsid w:val="00E44C1B"/>
    <w:rsid w:val="00E54820"/>
    <w:rsid w:val="00E567D1"/>
    <w:rsid w:val="00E57584"/>
    <w:rsid w:val="00E577A6"/>
    <w:rsid w:val="00E6026D"/>
    <w:rsid w:val="00E633C5"/>
    <w:rsid w:val="00E634F8"/>
    <w:rsid w:val="00E63B79"/>
    <w:rsid w:val="00E641C4"/>
    <w:rsid w:val="00E70219"/>
    <w:rsid w:val="00E770F2"/>
    <w:rsid w:val="00E77263"/>
    <w:rsid w:val="00E83A40"/>
    <w:rsid w:val="00E85E5B"/>
    <w:rsid w:val="00E86BD1"/>
    <w:rsid w:val="00E86D18"/>
    <w:rsid w:val="00E91050"/>
    <w:rsid w:val="00E9596D"/>
    <w:rsid w:val="00EA756F"/>
    <w:rsid w:val="00EB014E"/>
    <w:rsid w:val="00EB11BE"/>
    <w:rsid w:val="00EB77CC"/>
    <w:rsid w:val="00EC0B0B"/>
    <w:rsid w:val="00EC5665"/>
    <w:rsid w:val="00EC6CA9"/>
    <w:rsid w:val="00ED7FCC"/>
    <w:rsid w:val="00EE32DA"/>
    <w:rsid w:val="00EF582A"/>
    <w:rsid w:val="00EF60B4"/>
    <w:rsid w:val="00F01C36"/>
    <w:rsid w:val="00F048B6"/>
    <w:rsid w:val="00F071D0"/>
    <w:rsid w:val="00F07945"/>
    <w:rsid w:val="00F1675A"/>
    <w:rsid w:val="00F32DF7"/>
    <w:rsid w:val="00F34B81"/>
    <w:rsid w:val="00F414A1"/>
    <w:rsid w:val="00F45C5B"/>
    <w:rsid w:val="00F464A6"/>
    <w:rsid w:val="00F464EF"/>
    <w:rsid w:val="00F47509"/>
    <w:rsid w:val="00F503BF"/>
    <w:rsid w:val="00F52342"/>
    <w:rsid w:val="00F5678A"/>
    <w:rsid w:val="00F6374E"/>
    <w:rsid w:val="00F6408E"/>
    <w:rsid w:val="00F64DDC"/>
    <w:rsid w:val="00F70BC8"/>
    <w:rsid w:val="00F723EF"/>
    <w:rsid w:val="00F755DA"/>
    <w:rsid w:val="00F7605E"/>
    <w:rsid w:val="00F77DA0"/>
    <w:rsid w:val="00F8076F"/>
    <w:rsid w:val="00F81BEC"/>
    <w:rsid w:val="00F833A1"/>
    <w:rsid w:val="00F958DD"/>
    <w:rsid w:val="00F96F5B"/>
    <w:rsid w:val="00FA0C3B"/>
    <w:rsid w:val="00FB51CD"/>
    <w:rsid w:val="00FB5F1A"/>
    <w:rsid w:val="00FC100F"/>
    <w:rsid w:val="00FC1EC3"/>
    <w:rsid w:val="00FC340A"/>
    <w:rsid w:val="00FC70DF"/>
    <w:rsid w:val="00FD271F"/>
    <w:rsid w:val="00FD5FF1"/>
    <w:rsid w:val="00FD7F16"/>
    <w:rsid w:val="00FE2EC8"/>
    <w:rsid w:val="00FE3E59"/>
    <w:rsid w:val="00FE66D1"/>
    <w:rsid w:val="00FF06E4"/>
    <w:rsid w:val="00FF7F1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622FF"/>
  <w15:chartTrackingRefBased/>
  <w15:docId w15:val="{4826C79A-21FB-4ED1-99B6-2DD96CD96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474AC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74AC4"/>
    <w:rPr>
      <w:sz w:val="20"/>
      <w:szCs w:val="20"/>
    </w:rPr>
  </w:style>
  <w:style w:type="character" w:styleId="Appelnotedebasdep">
    <w:name w:val="footnote reference"/>
    <w:basedOn w:val="Policepardfaut"/>
    <w:uiPriority w:val="99"/>
    <w:semiHidden/>
    <w:unhideWhenUsed/>
    <w:rsid w:val="00474AC4"/>
    <w:rPr>
      <w:vertAlign w:val="superscript"/>
    </w:rPr>
  </w:style>
  <w:style w:type="paragraph" w:styleId="Paragraphedeliste">
    <w:name w:val="List Paragraph"/>
    <w:basedOn w:val="Normal"/>
    <w:uiPriority w:val="34"/>
    <w:qFormat/>
    <w:rsid w:val="00D524BA"/>
    <w:pPr>
      <w:ind w:left="720"/>
      <w:contextualSpacing/>
    </w:pPr>
  </w:style>
  <w:style w:type="paragraph" w:styleId="En-tte">
    <w:name w:val="header"/>
    <w:basedOn w:val="Normal"/>
    <w:link w:val="En-tteCar"/>
    <w:uiPriority w:val="99"/>
    <w:unhideWhenUsed/>
    <w:rsid w:val="003E0C01"/>
    <w:pPr>
      <w:tabs>
        <w:tab w:val="center" w:pos="4536"/>
        <w:tab w:val="right" w:pos="9072"/>
      </w:tabs>
      <w:spacing w:after="0" w:line="240" w:lineRule="auto"/>
    </w:pPr>
  </w:style>
  <w:style w:type="character" w:customStyle="1" w:styleId="En-tteCar">
    <w:name w:val="En-tête Car"/>
    <w:basedOn w:val="Policepardfaut"/>
    <w:link w:val="En-tte"/>
    <w:uiPriority w:val="99"/>
    <w:rsid w:val="003E0C01"/>
  </w:style>
  <w:style w:type="paragraph" w:styleId="Pieddepage">
    <w:name w:val="footer"/>
    <w:basedOn w:val="Normal"/>
    <w:link w:val="PieddepageCar"/>
    <w:uiPriority w:val="99"/>
    <w:unhideWhenUsed/>
    <w:rsid w:val="003E0C0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E0C01"/>
  </w:style>
  <w:style w:type="character" w:styleId="Lienhypertexte">
    <w:name w:val="Hyperlink"/>
    <w:basedOn w:val="Policepardfaut"/>
    <w:uiPriority w:val="99"/>
    <w:unhideWhenUsed/>
    <w:rsid w:val="005E1526"/>
    <w:rPr>
      <w:color w:val="0563C1" w:themeColor="hyperlink"/>
      <w:u w:val="single"/>
    </w:rPr>
  </w:style>
  <w:style w:type="paragraph" w:styleId="Titre">
    <w:name w:val="Title"/>
    <w:basedOn w:val="Normal"/>
    <w:next w:val="Normal"/>
    <w:link w:val="TitreCar"/>
    <w:uiPriority w:val="10"/>
    <w:qFormat/>
    <w:rsid w:val="008406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406A6"/>
    <w:rPr>
      <w:rFonts w:asciiTheme="majorHAnsi" w:eastAsiaTheme="majorEastAsia" w:hAnsiTheme="majorHAnsi" w:cstheme="majorBidi"/>
      <w:spacing w:val="-10"/>
      <w:kern w:val="28"/>
      <w:sz w:val="56"/>
      <w:szCs w:val="56"/>
    </w:rPr>
  </w:style>
  <w:style w:type="paragraph" w:styleId="Bibliographie">
    <w:name w:val="Bibliography"/>
    <w:basedOn w:val="Normal"/>
    <w:next w:val="Normal"/>
    <w:uiPriority w:val="37"/>
    <w:semiHidden/>
    <w:unhideWhenUsed/>
    <w:rsid w:val="0060228D"/>
  </w:style>
  <w:style w:type="paragraph" w:styleId="Textedebulles">
    <w:name w:val="Balloon Text"/>
    <w:basedOn w:val="Normal"/>
    <w:link w:val="TextedebullesCar"/>
    <w:uiPriority w:val="99"/>
    <w:semiHidden/>
    <w:unhideWhenUsed/>
    <w:rsid w:val="00271F7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71F7C"/>
    <w:rPr>
      <w:rFonts w:ascii="Segoe UI" w:hAnsi="Segoe UI" w:cs="Segoe UI"/>
      <w:sz w:val="18"/>
      <w:szCs w:val="18"/>
    </w:rPr>
  </w:style>
  <w:style w:type="character" w:styleId="Marquedecommentaire">
    <w:name w:val="annotation reference"/>
    <w:basedOn w:val="Policepardfaut"/>
    <w:uiPriority w:val="99"/>
    <w:semiHidden/>
    <w:unhideWhenUsed/>
    <w:rsid w:val="00180555"/>
    <w:rPr>
      <w:sz w:val="16"/>
      <w:szCs w:val="16"/>
    </w:rPr>
  </w:style>
  <w:style w:type="paragraph" w:styleId="Commentaire">
    <w:name w:val="annotation text"/>
    <w:basedOn w:val="Normal"/>
    <w:link w:val="CommentaireCar"/>
    <w:uiPriority w:val="99"/>
    <w:unhideWhenUsed/>
    <w:rsid w:val="00180555"/>
    <w:pPr>
      <w:spacing w:line="240" w:lineRule="auto"/>
    </w:pPr>
    <w:rPr>
      <w:sz w:val="20"/>
      <w:szCs w:val="20"/>
    </w:rPr>
  </w:style>
  <w:style w:type="character" w:customStyle="1" w:styleId="CommentaireCar">
    <w:name w:val="Commentaire Car"/>
    <w:basedOn w:val="Policepardfaut"/>
    <w:link w:val="Commentaire"/>
    <w:uiPriority w:val="99"/>
    <w:rsid w:val="00180555"/>
    <w:rPr>
      <w:sz w:val="20"/>
      <w:szCs w:val="20"/>
    </w:rPr>
  </w:style>
  <w:style w:type="paragraph" w:styleId="Objetducommentaire">
    <w:name w:val="annotation subject"/>
    <w:basedOn w:val="Commentaire"/>
    <w:next w:val="Commentaire"/>
    <w:link w:val="ObjetducommentaireCar"/>
    <w:uiPriority w:val="99"/>
    <w:semiHidden/>
    <w:unhideWhenUsed/>
    <w:rsid w:val="00180555"/>
    <w:rPr>
      <w:b/>
      <w:bCs/>
    </w:rPr>
  </w:style>
  <w:style w:type="character" w:customStyle="1" w:styleId="ObjetducommentaireCar">
    <w:name w:val="Objet du commentaire Car"/>
    <w:basedOn w:val="CommentaireCar"/>
    <w:link w:val="Objetducommentaire"/>
    <w:uiPriority w:val="99"/>
    <w:semiHidden/>
    <w:rsid w:val="00180555"/>
    <w:rPr>
      <w:b/>
      <w:bCs/>
      <w:sz w:val="20"/>
      <w:szCs w:val="20"/>
    </w:rPr>
  </w:style>
  <w:style w:type="paragraph" w:styleId="Rvision">
    <w:name w:val="Revision"/>
    <w:hidden/>
    <w:uiPriority w:val="99"/>
    <w:semiHidden/>
    <w:rsid w:val="004A4E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93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ocialsecurity.be/employer/instructions/dmfa/fr/latest/instructions/persons/specific/community_workers.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8B34C-A4D0-480C-B915-2B69DA449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8101</Words>
  <Characters>44560</Characters>
  <Application>Microsoft Office Word</Application>
  <DocSecurity>0</DocSecurity>
  <Lines>371</Lines>
  <Paragraphs>105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Février Vincent</dc:creator>
  <cp:keywords/>
  <dc:description/>
  <cp:lastModifiedBy>Février Vincent</cp:lastModifiedBy>
  <cp:revision>2</cp:revision>
  <cp:lastPrinted>2020-11-20T13:09:00Z</cp:lastPrinted>
  <dcterms:created xsi:type="dcterms:W3CDTF">2021-04-26T07:47:00Z</dcterms:created>
  <dcterms:modified xsi:type="dcterms:W3CDTF">2021-04-26T07:47:00Z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id="Yf07PQDd"/&gt;&lt;style id="http://www.zotero.org/styles/universite-de-liege-droit" hasBibliography="1" bibliographyStyleHasBeenSet="1"/&gt;&lt;prefs&gt;&lt;pref name="fieldType" value="Field"/&gt;&lt;pref name="autom</vt:lpwstr>
  </property>
  <property fmtid="{D5CDD505-2E9C-101B-9397-08002B2CF9AE}" pid="3" name="ZOTERO_PREF_2">
    <vt:lpwstr>aticJournalAbbreviations" value="true"/&gt;&lt;pref name="noteType" value="1"/&gt;&lt;/prefs&gt;&lt;/data&gt;</vt:lpwstr>
  </property>
</Properties>
</file>