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D6A" w:rsidRPr="00466480" w:rsidRDefault="00466480" w:rsidP="00466480">
      <w:pPr>
        <w:jc w:val="both"/>
        <w:rPr>
          <w:rFonts w:ascii="Times New Roman" w:hAnsi="Times New Roman" w:cs="Times New Roman"/>
          <w:b/>
        </w:rPr>
      </w:pPr>
      <w:r w:rsidRPr="00466480">
        <w:rPr>
          <w:rFonts w:ascii="Times New Roman" w:hAnsi="Times New Roman" w:cs="Times New Roman"/>
          <w:b/>
        </w:rPr>
        <w:t xml:space="preserve">Miguel Ángel García: </w:t>
      </w:r>
      <w:r w:rsidRPr="00466480">
        <w:rPr>
          <w:rFonts w:ascii="Times New Roman" w:hAnsi="Times New Roman" w:cs="Times New Roman"/>
          <w:b/>
          <w:i/>
        </w:rPr>
        <w:t>Los autores como lectores. Lógicas internas de la literatura española contemporánea</w:t>
      </w:r>
      <w:r w:rsidRPr="00466480">
        <w:rPr>
          <w:rFonts w:ascii="Times New Roman" w:hAnsi="Times New Roman" w:cs="Times New Roman"/>
          <w:b/>
        </w:rPr>
        <w:t>. Madrid/Barcelona/Buenos Aires/São Paulo: Marcial Pons 2017. 305 páginas.</w:t>
      </w:r>
    </w:p>
    <w:p w:rsidR="00466480" w:rsidRDefault="00466480">
      <w:pPr>
        <w:rPr>
          <w:rFonts w:ascii="Times New Roman" w:hAnsi="Times New Roman" w:cs="Times New Roman"/>
        </w:rPr>
      </w:pPr>
    </w:p>
    <w:p w:rsidR="00466480" w:rsidRDefault="009020DF" w:rsidP="009020D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Consabido es que e</w:t>
      </w:r>
      <w:r w:rsidR="00C70B79">
        <w:rPr>
          <w:rFonts w:ascii="Times New Roman" w:hAnsi="Times New Roman" w:cs="Times New Roman"/>
        </w:rPr>
        <w:t xml:space="preserve">n este palimpsesto infinito que llamamos literatura, </w:t>
      </w:r>
      <w:r>
        <w:rPr>
          <w:rFonts w:ascii="Times New Roman" w:hAnsi="Times New Roman" w:cs="Times New Roman"/>
        </w:rPr>
        <w:t>cualquier autor es necesariamente, y</w:t>
      </w:r>
      <w:r w:rsidR="00280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quizás</w:t>
      </w:r>
      <w:r w:rsidR="002800F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ante todo, un lector. Con </w:t>
      </w:r>
      <w:r w:rsidRPr="009020DF">
        <w:rPr>
          <w:rFonts w:ascii="Times New Roman" w:hAnsi="Times New Roman" w:cs="Times New Roman"/>
          <w:i/>
        </w:rPr>
        <w:t>Los autores como lectores</w:t>
      </w:r>
      <w:r>
        <w:rPr>
          <w:rFonts w:ascii="Times New Roman" w:hAnsi="Times New Roman" w:cs="Times New Roman"/>
        </w:rPr>
        <w:t xml:space="preserve">, Miguel Ángel García muestra hasta qué punto esta afirmación, por tópica que </w:t>
      </w:r>
      <w:r w:rsidR="00BA1FEF">
        <w:rPr>
          <w:rFonts w:ascii="Times New Roman" w:hAnsi="Times New Roman" w:cs="Times New Roman"/>
        </w:rPr>
        <w:t>pueda parecer</w:t>
      </w:r>
      <w:r>
        <w:rPr>
          <w:rFonts w:ascii="Times New Roman" w:hAnsi="Times New Roman" w:cs="Times New Roman"/>
        </w:rPr>
        <w:t>, resulta cierta y fructífera: analizar las lecturas de los autores españoles contemporáneos permite, en efecto, no solo identificar sus fuentes</w:t>
      </w:r>
      <w:r w:rsidR="001E2F7B">
        <w:rPr>
          <w:rFonts w:ascii="Times New Roman" w:hAnsi="Times New Roman" w:cs="Times New Roman"/>
        </w:rPr>
        <w:t xml:space="preserve"> —y </w:t>
      </w:r>
      <w:r w:rsidR="00DA7E1D">
        <w:rPr>
          <w:rFonts w:ascii="Times New Roman" w:hAnsi="Times New Roman" w:cs="Times New Roman"/>
        </w:rPr>
        <w:t xml:space="preserve">a </w:t>
      </w:r>
      <w:r w:rsidR="001E2F7B">
        <w:rPr>
          <w:rFonts w:ascii="Times New Roman" w:hAnsi="Times New Roman" w:cs="Times New Roman"/>
        </w:rPr>
        <w:t xml:space="preserve">partir de ahí, </w:t>
      </w:r>
      <w:r>
        <w:rPr>
          <w:rFonts w:ascii="Times New Roman" w:hAnsi="Times New Roman" w:cs="Times New Roman"/>
        </w:rPr>
        <w:t>las tradiciones en las que se inscriben</w:t>
      </w:r>
      <w:r w:rsidR="00570402">
        <w:rPr>
          <w:rFonts w:ascii="Times New Roman" w:hAnsi="Times New Roman" w:cs="Times New Roman"/>
        </w:rPr>
        <w:t xml:space="preserve"> los escritores</w:t>
      </w:r>
      <w:r w:rsidR="001E2F7B">
        <w:rPr>
          <w:rFonts w:ascii="Times New Roman" w:hAnsi="Times New Roman" w:cs="Times New Roman"/>
        </w:rPr>
        <w:t>—</w:t>
      </w:r>
      <w:r>
        <w:rPr>
          <w:rFonts w:ascii="Times New Roman" w:hAnsi="Times New Roman" w:cs="Times New Roman"/>
        </w:rPr>
        <w:t xml:space="preserve">, sino también esclarecer las coordenadas </w:t>
      </w:r>
      <w:proofErr w:type="spellStart"/>
      <w:r w:rsidR="00E042DD">
        <w:rPr>
          <w:rFonts w:ascii="Times New Roman" w:hAnsi="Times New Roman" w:cs="Times New Roman"/>
        </w:rPr>
        <w:t>extra</w:t>
      </w:r>
      <w:r w:rsidR="002277CA">
        <w:rPr>
          <w:rFonts w:ascii="Times New Roman" w:hAnsi="Times New Roman" w:cs="Times New Roman"/>
        </w:rPr>
        <w:t>textuales</w:t>
      </w:r>
      <w:proofErr w:type="spellEnd"/>
      <w:r>
        <w:rPr>
          <w:rFonts w:ascii="Times New Roman" w:hAnsi="Times New Roman" w:cs="Times New Roman"/>
        </w:rPr>
        <w:t xml:space="preserve"> que encauzan la práctica de la lectura</w:t>
      </w:r>
      <w:r w:rsidR="006354EC">
        <w:rPr>
          <w:rFonts w:ascii="Times New Roman" w:hAnsi="Times New Roman" w:cs="Times New Roman"/>
        </w:rPr>
        <w:t>, ya que c</w:t>
      </w:r>
      <w:r w:rsidR="00E042DD">
        <w:rPr>
          <w:rFonts w:ascii="Times New Roman" w:hAnsi="Times New Roman" w:cs="Times New Roman"/>
        </w:rPr>
        <w:t xml:space="preserve">ada autor lee, tanto a los clásicos como a sus contemporáneos, en función de cierto inconsciente ideológico y estético. Al disecar los mecanismos de lectura de </w:t>
      </w:r>
      <w:r w:rsidR="00E876D8">
        <w:rPr>
          <w:rFonts w:ascii="Times New Roman" w:hAnsi="Times New Roman" w:cs="Times New Roman"/>
        </w:rPr>
        <w:t xml:space="preserve">más de </w:t>
      </w:r>
      <w:r w:rsidR="00E042DD">
        <w:rPr>
          <w:rFonts w:ascii="Times New Roman" w:hAnsi="Times New Roman" w:cs="Times New Roman"/>
        </w:rPr>
        <w:t xml:space="preserve">una decena de autores españoles del siglo XX, Miguel Ángel García evidencia esta dimensión ideológica y demuestra en qué medida estos creadores suelen instrumentalizar sus lecturas para construir su propio quehacer </w:t>
      </w:r>
      <w:r w:rsidR="00B23FAA">
        <w:rPr>
          <w:rFonts w:ascii="Times New Roman" w:hAnsi="Times New Roman" w:cs="Times New Roman"/>
        </w:rPr>
        <w:t>poético</w:t>
      </w:r>
      <w:r w:rsidR="00E042DD">
        <w:rPr>
          <w:rFonts w:ascii="Times New Roman" w:hAnsi="Times New Roman" w:cs="Times New Roman"/>
        </w:rPr>
        <w:t xml:space="preserve"> y para situarse a sí mismos </w:t>
      </w:r>
      <w:r w:rsidR="00B23FAA">
        <w:rPr>
          <w:rFonts w:ascii="Times New Roman" w:hAnsi="Times New Roman" w:cs="Times New Roman"/>
        </w:rPr>
        <w:t xml:space="preserve">en el sistema o campo literario del que participan. </w:t>
      </w:r>
    </w:p>
    <w:p w:rsidR="00466480" w:rsidRDefault="009E1D52" w:rsidP="0082040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Este trabajo se sustenta en unos sugerentes p</w:t>
      </w:r>
      <w:r w:rsidR="00910510">
        <w:rPr>
          <w:rFonts w:ascii="Times New Roman" w:hAnsi="Times New Roman" w:cs="Times New Roman"/>
        </w:rPr>
        <w:t>rolegómenos teóricos</w:t>
      </w:r>
      <w:r>
        <w:rPr>
          <w:rFonts w:ascii="Times New Roman" w:hAnsi="Times New Roman" w:cs="Times New Roman"/>
        </w:rPr>
        <w:t xml:space="preserve"> en los cuales el autor ofrece un</w:t>
      </w:r>
      <w:r w:rsidR="00910510">
        <w:rPr>
          <w:rFonts w:ascii="Times New Roman" w:hAnsi="Times New Roman" w:cs="Times New Roman"/>
        </w:rPr>
        <w:t xml:space="preserve"> </w:t>
      </w:r>
      <w:r w:rsidR="001B5649">
        <w:rPr>
          <w:rFonts w:ascii="Times New Roman" w:hAnsi="Times New Roman" w:cs="Times New Roman"/>
        </w:rPr>
        <w:t xml:space="preserve">compendio y </w:t>
      </w:r>
      <w:r w:rsidR="00910510">
        <w:rPr>
          <w:rFonts w:ascii="Times New Roman" w:hAnsi="Times New Roman" w:cs="Times New Roman"/>
        </w:rPr>
        <w:t xml:space="preserve">balance crítico sobre el </w:t>
      </w:r>
      <w:r w:rsidR="00097AFA">
        <w:rPr>
          <w:rFonts w:ascii="Times New Roman" w:hAnsi="Times New Roman" w:cs="Times New Roman"/>
        </w:rPr>
        <w:t>lugar ocupado por</w:t>
      </w:r>
      <w:r w:rsidR="00910510">
        <w:rPr>
          <w:rFonts w:ascii="Times New Roman" w:hAnsi="Times New Roman" w:cs="Times New Roman"/>
        </w:rPr>
        <w:t xml:space="preserve"> la lectura</w:t>
      </w:r>
      <w:r w:rsidR="00097AFA">
        <w:rPr>
          <w:rFonts w:ascii="Times New Roman" w:hAnsi="Times New Roman" w:cs="Times New Roman"/>
        </w:rPr>
        <w:t xml:space="preserve"> entre los estudios literarios</w:t>
      </w:r>
      <w:r w:rsidR="00910510">
        <w:rPr>
          <w:rFonts w:ascii="Times New Roman" w:hAnsi="Times New Roman" w:cs="Times New Roman"/>
        </w:rPr>
        <w:t>, desde la estética de la recepción hasta</w:t>
      </w:r>
      <w:r w:rsidR="00E803D7">
        <w:rPr>
          <w:rFonts w:ascii="Times New Roman" w:hAnsi="Times New Roman" w:cs="Times New Roman"/>
        </w:rPr>
        <w:t xml:space="preserve"> la sociología de la lectura</w:t>
      </w:r>
      <w:r w:rsidR="00C253E8">
        <w:rPr>
          <w:rFonts w:ascii="Times New Roman" w:hAnsi="Times New Roman" w:cs="Times New Roman"/>
        </w:rPr>
        <w:t xml:space="preserve">, pasando por el lector </w:t>
      </w:r>
      <w:r w:rsidR="00C253E8" w:rsidRPr="00C253E8">
        <w:rPr>
          <w:rFonts w:ascii="Times New Roman" w:hAnsi="Times New Roman" w:cs="Times New Roman"/>
          <w:i/>
        </w:rPr>
        <w:t>in fabula</w:t>
      </w:r>
      <w:r w:rsidR="00C253E8">
        <w:rPr>
          <w:rFonts w:ascii="Times New Roman" w:hAnsi="Times New Roman" w:cs="Times New Roman"/>
        </w:rPr>
        <w:t xml:space="preserve"> de Eco</w:t>
      </w:r>
      <w:r w:rsidR="00E803D7">
        <w:rPr>
          <w:rFonts w:ascii="Times New Roman" w:hAnsi="Times New Roman" w:cs="Times New Roman"/>
        </w:rPr>
        <w:t xml:space="preserve"> o los </w:t>
      </w:r>
      <w:r w:rsidR="00E803D7" w:rsidRPr="00625239">
        <w:rPr>
          <w:rFonts w:ascii="Times New Roman" w:hAnsi="Times New Roman" w:cs="Times New Roman"/>
          <w:i/>
        </w:rPr>
        <w:t>efectos</w:t>
      </w:r>
      <w:r w:rsidR="00E803D7">
        <w:rPr>
          <w:rFonts w:ascii="Times New Roman" w:hAnsi="Times New Roman" w:cs="Times New Roman"/>
        </w:rPr>
        <w:t xml:space="preserve"> de lectura de </w:t>
      </w:r>
      <w:proofErr w:type="spellStart"/>
      <w:r w:rsidR="00E803D7">
        <w:rPr>
          <w:rFonts w:ascii="Times New Roman" w:hAnsi="Times New Roman" w:cs="Times New Roman"/>
        </w:rPr>
        <w:t>Vincent</w:t>
      </w:r>
      <w:proofErr w:type="spellEnd"/>
      <w:r w:rsidR="00E803D7">
        <w:rPr>
          <w:rFonts w:ascii="Times New Roman" w:hAnsi="Times New Roman" w:cs="Times New Roman"/>
        </w:rPr>
        <w:t xml:space="preserve"> </w:t>
      </w:r>
      <w:proofErr w:type="spellStart"/>
      <w:r w:rsidR="00E803D7">
        <w:rPr>
          <w:rFonts w:ascii="Times New Roman" w:hAnsi="Times New Roman" w:cs="Times New Roman"/>
        </w:rPr>
        <w:t>Jouve</w:t>
      </w:r>
      <w:proofErr w:type="spellEnd"/>
      <w:r w:rsidR="00097AFA">
        <w:rPr>
          <w:rFonts w:ascii="Times New Roman" w:hAnsi="Times New Roman" w:cs="Times New Roman"/>
        </w:rPr>
        <w:t>. Se presenta el estudio de las prácticas de lectura, en su dimensión diacrónica, como un corolario fundamental —aunque a menudo implícito— de cualquier historia de la literatura.</w:t>
      </w:r>
      <w:r w:rsidR="0077263F">
        <w:rPr>
          <w:rFonts w:ascii="Times New Roman" w:hAnsi="Times New Roman" w:cs="Times New Roman"/>
        </w:rPr>
        <w:t xml:space="preserve"> </w:t>
      </w:r>
      <w:r w:rsidR="00910510">
        <w:rPr>
          <w:rFonts w:ascii="Times New Roman" w:hAnsi="Times New Roman" w:cs="Times New Roman"/>
        </w:rPr>
        <w:t xml:space="preserve">El autor rechaza atinadamente la perspectiva de la fenomenología de la lectura </w:t>
      </w:r>
      <w:r w:rsidR="0077263F">
        <w:rPr>
          <w:rFonts w:ascii="Times New Roman" w:hAnsi="Times New Roman" w:cs="Times New Roman"/>
        </w:rPr>
        <w:t xml:space="preserve">—cuyo componente esencialista denuncia— </w:t>
      </w:r>
      <w:r w:rsidR="00910510">
        <w:rPr>
          <w:rFonts w:ascii="Times New Roman" w:hAnsi="Times New Roman" w:cs="Times New Roman"/>
        </w:rPr>
        <w:t xml:space="preserve">para adoptar </w:t>
      </w:r>
      <w:r w:rsidR="00E803D7">
        <w:rPr>
          <w:rFonts w:ascii="Times New Roman" w:hAnsi="Times New Roman" w:cs="Times New Roman"/>
        </w:rPr>
        <w:t>el</w:t>
      </w:r>
      <w:r w:rsidR="00910510">
        <w:rPr>
          <w:rFonts w:ascii="Times New Roman" w:hAnsi="Times New Roman" w:cs="Times New Roman"/>
        </w:rPr>
        <w:t xml:space="preserve"> enfoque mucho más dinámico</w:t>
      </w:r>
      <w:r w:rsidR="0077263F">
        <w:rPr>
          <w:rFonts w:ascii="Times New Roman" w:hAnsi="Times New Roman" w:cs="Times New Roman"/>
        </w:rPr>
        <w:t xml:space="preserve"> </w:t>
      </w:r>
      <w:r w:rsidR="00E803D7">
        <w:rPr>
          <w:rFonts w:ascii="Times New Roman" w:hAnsi="Times New Roman" w:cs="Times New Roman"/>
        </w:rPr>
        <w:t>de una sociología</w:t>
      </w:r>
      <w:r w:rsidR="00991229">
        <w:rPr>
          <w:rFonts w:ascii="Times New Roman" w:hAnsi="Times New Roman" w:cs="Times New Roman"/>
        </w:rPr>
        <w:t xml:space="preserve"> de </w:t>
      </w:r>
      <w:r w:rsidR="00E803D7">
        <w:rPr>
          <w:rFonts w:ascii="Times New Roman" w:hAnsi="Times New Roman" w:cs="Times New Roman"/>
        </w:rPr>
        <w:t>la lectura</w:t>
      </w:r>
      <w:r w:rsidR="00991229">
        <w:rPr>
          <w:rFonts w:ascii="Times New Roman" w:hAnsi="Times New Roman" w:cs="Times New Roman"/>
        </w:rPr>
        <w:t>, entendida como una práctica social</w:t>
      </w:r>
      <w:r w:rsidR="00324414">
        <w:rPr>
          <w:rFonts w:ascii="Times New Roman" w:hAnsi="Times New Roman" w:cs="Times New Roman"/>
        </w:rPr>
        <w:t xml:space="preserve"> </w:t>
      </w:r>
      <w:r w:rsidR="00991229">
        <w:rPr>
          <w:rFonts w:ascii="Times New Roman" w:hAnsi="Times New Roman" w:cs="Times New Roman"/>
        </w:rPr>
        <w:t>e ideológica</w:t>
      </w:r>
      <w:r w:rsidR="00324414">
        <w:rPr>
          <w:rFonts w:ascii="Times New Roman" w:hAnsi="Times New Roman" w:cs="Times New Roman"/>
        </w:rPr>
        <w:t xml:space="preserve"> que conviene </w:t>
      </w:r>
      <w:proofErr w:type="spellStart"/>
      <w:r w:rsidR="00324414" w:rsidRPr="00324414">
        <w:rPr>
          <w:rFonts w:ascii="Times New Roman" w:hAnsi="Times New Roman" w:cs="Times New Roman"/>
          <w:i/>
        </w:rPr>
        <w:t>historizar</w:t>
      </w:r>
      <w:proofErr w:type="spellEnd"/>
      <w:r w:rsidR="00E803D7">
        <w:rPr>
          <w:rFonts w:ascii="Times New Roman" w:hAnsi="Times New Roman" w:cs="Times New Roman"/>
        </w:rPr>
        <w:t xml:space="preserve">. </w:t>
      </w:r>
      <w:r w:rsidR="004B6254">
        <w:rPr>
          <w:rFonts w:ascii="Times New Roman" w:hAnsi="Times New Roman" w:cs="Times New Roman"/>
        </w:rPr>
        <w:t>García</w:t>
      </w:r>
      <w:r w:rsidR="0087694C">
        <w:rPr>
          <w:rFonts w:ascii="Times New Roman" w:hAnsi="Times New Roman" w:cs="Times New Roman"/>
        </w:rPr>
        <w:t xml:space="preserve"> p</w:t>
      </w:r>
      <w:r w:rsidR="00E62407">
        <w:rPr>
          <w:rFonts w:ascii="Times New Roman" w:hAnsi="Times New Roman" w:cs="Times New Roman"/>
        </w:rPr>
        <w:t>ropone</w:t>
      </w:r>
      <w:r w:rsidR="0087694C">
        <w:rPr>
          <w:rFonts w:ascii="Times New Roman" w:hAnsi="Times New Roman" w:cs="Times New Roman"/>
        </w:rPr>
        <w:t>, de este modo,</w:t>
      </w:r>
      <w:r w:rsidR="00E62407">
        <w:rPr>
          <w:rFonts w:ascii="Times New Roman" w:hAnsi="Times New Roman" w:cs="Times New Roman"/>
        </w:rPr>
        <w:t xml:space="preserve"> trazar una “historia crítica de lecturas” (16)</w:t>
      </w:r>
      <w:r w:rsidR="00CD68CF">
        <w:rPr>
          <w:rFonts w:ascii="Times New Roman" w:hAnsi="Times New Roman" w:cs="Times New Roman"/>
        </w:rPr>
        <w:t xml:space="preserve"> que </w:t>
      </w:r>
      <w:r w:rsidR="008C044D">
        <w:rPr>
          <w:rFonts w:ascii="Times New Roman" w:hAnsi="Times New Roman" w:cs="Times New Roman"/>
        </w:rPr>
        <w:t>consigue</w:t>
      </w:r>
      <w:r w:rsidR="00CD68CF">
        <w:rPr>
          <w:rFonts w:ascii="Times New Roman" w:hAnsi="Times New Roman" w:cs="Times New Roman"/>
        </w:rPr>
        <w:t xml:space="preserve"> cuestionar, </w:t>
      </w:r>
      <w:r w:rsidR="00733600">
        <w:rPr>
          <w:rFonts w:ascii="Times New Roman" w:hAnsi="Times New Roman" w:cs="Times New Roman"/>
        </w:rPr>
        <w:t xml:space="preserve">desplazar </w:t>
      </w:r>
      <w:r w:rsidR="00CD68CF">
        <w:rPr>
          <w:rFonts w:ascii="Times New Roman" w:hAnsi="Times New Roman" w:cs="Times New Roman"/>
        </w:rPr>
        <w:t xml:space="preserve">y hasta </w:t>
      </w:r>
      <w:proofErr w:type="spellStart"/>
      <w:r w:rsidR="00CD68CF">
        <w:rPr>
          <w:rFonts w:ascii="Times New Roman" w:hAnsi="Times New Roman" w:cs="Times New Roman"/>
        </w:rPr>
        <w:t>deconstruir</w:t>
      </w:r>
      <w:proofErr w:type="spellEnd"/>
      <w:r w:rsidR="00CD68CF">
        <w:rPr>
          <w:rFonts w:ascii="Times New Roman" w:hAnsi="Times New Roman" w:cs="Times New Roman"/>
        </w:rPr>
        <w:t xml:space="preserve"> ciertas etiquetas (</w:t>
      </w:r>
      <w:r w:rsidR="00E86F2C">
        <w:rPr>
          <w:rFonts w:ascii="Times New Roman" w:hAnsi="Times New Roman" w:cs="Times New Roman"/>
        </w:rPr>
        <w:t xml:space="preserve">los marbetes de </w:t>
      </w:r>
      <w:r w:rsidR="00CD68CF" w:rsidRPr="00CD68CF">
        <w:rPr>
          <w:rFonts w:ascii="Times New Roman" w:hAnsi="Times New Roman" w:cs="Times New Roman"/>
          <w:i/>
        </w:rPr>
        <w:t>noventayochista</w:t>
      </w:r>
      <w:r w:rsidR="0087694C">
        <w:rPr>
          <w:rFonts w:ascii="Times New Roman" w:hAnsi="Times New Roman" w:cs="Times New Roman"/>
        </w:rPr>
        <w:t xml:space="preserve">, </w:t>
      </w:r>
      <w:r w:rsidR="0087694C" w:rsidRPr="0087694C">
        <w:rPr>
          <w:rFonts w:ascii="Times New Roman" w:hAnsi="Times New Roman" w:cs="Times New Roman"/>
          <w:i/>
        </w:rPr>
        <w:t>modernista</w:t>
      </w:r>
      <w:r w:rsidR="00E86F2C">
        <w:rPr>
          <w:rFonts w:ascii="Times New Roman" w:hAnsi="Times New Roman" w:cs="Times New Roman"/>
        </w:rPr>
        <w:t xml:space="preserve">, los conceptos de </w:t>
      </w:r>
      <w:r w:rsidR="00E86F2C" w:rsidRPr="00E86F2C">
        <w:rPr>
          <w:rFonts w:ascii="Times New Roman" w:hAnsi="Times New Roman" w:cs="Times New Roman"/>
          <w:i/>
        </w:rPr>
        <w:t>generación</w:t>
      </w:r>
      <w:r w:rsidR="00E86F2C">
        <w:rPr>
          <w:rFonts w:ascii="Times New Roman" w:hAnsi="Times New Roman" w:cs="Times New Roman"/>
        </w:rPr>
        <w:t xml:space="preserve">, </w:t>
      </w:r>
      <w:r w:rsidR="00E86F2C" w:rsidRPr="00E86F2C">
        <w:rPr>
          <w:rFonts w:ascii="Times New Roman" w:hAnsi="Times New Roman" w:cs="Times New Roman"/>
          <w:i/>
        </w:rPr>
        <w:t>clásico</w:t>
      </w:r>
      <w:r w:rsidR="00E86F2C">
        <w:rPr>
          <w:rFonts w:ascii="Times New Roman" w:hAnsi="Times New Roman" w:cs="Times New Roman"/>
        </w:rPr>
        <w:t xml:space="preserve">, </w:t>
      </w:r>
      <w:r w:rsidR="00E86F2C" w:rsidRPr="00E86F2C">
        <w:rPr>
          <w:rFonts w:ascii="Times New Roman" w:hAnsi="Times New Roman" w:cs="Times New Roman"/>
          <w:i/>
        </w:rPr>
        <w:t>canon</w:t>
      </w:r>
      <w:r w:rsidR="00733600">
        <w:rPr>
          <w:rFonts w:ascii="Times New Roman" w:hAnsi="Times New Roman" w:cs="Times New Roman"/>
        </w:rPr>
        <w:t>,</w:t>
      </w:r>
      <w:r w:rsidR="00733600" w:rsidRPr="00FC654A">
        <w:rPr>
          <w:rFonts w:ascii="Times New Roman" w:hAnsi="Times New Roman" w:cs="Times New Roman"/>
        </w:rPr>
        <w:t xml:space="preserve"> </w:t>
      </w:r>
      <w:proofErr w:type="gramStart"/>
      <w:r w:rsidR="00FC654A" w:rsidRPr="00FC654A">
        <w:rPr>
          <w:rFonts w:ascii="Times New Roman" w:hAnsi="Times New Roman" w:cs="Times New Roman"/>
        </w:rPr>
        <w:t>y</w:t>
      </w:r>
      <w:proofErr w:type="gramEnd"/>
      <w:r w:rsidR="00FC654A" w:rsidRPr="00FC654A">
        <w:rPr>
          <w:rFonts w:ascii="Times New Roman" w:hAnsi="Times New Roman" w:cs="Times New Roman"/>
        </w:rPr>
        <w:t xml:space="preserve"> sobre todo, la noción de</w:t>
      </w:r>
      <w:r w:rsidR="00FC654A">
        <w:rPr>
          <w:rFonts w:ascii="Times New Roman" w:hAnsi="Times New Roman" w:cs="Times New Roman"/>
          <w:i/>
        </w:rPr>
        <w:t xml:space="preserve"> </w:t>
      </w:r>
      <w:r w:rsidR="00FC654A" w:rsidRPr="000910F2">
        <w:rPr>
          <w:rFonts w:ascii="Times New Roman" w:hAnsi="Times New Roman" w:cs="Times New Roman"/>
          <w:i/>
        </w:rPr>
        <w:t>compromiso</w:t>
      </w:r>
      <w:r w:rsidR="00FC654A">
        <w:rPr>
          <w:rFonts w:ascii="Times New Roman" w:hAnsi="Times New Roman" w:cs="Times New Roman"/>
        </w:rPr>
        <w:t xml:space="preserve">, ya abordada en </w:t>
      </w:r>
      <w:r w:rsidR="00FC654A" w:rsidRPr="00FC654A">
        <w:rPr>
          <w:rFonts w:ascii="Times New Roman" w:hAnsi="Times New Roman" w:cs="Times New Roman"/>
          <w:i/>
        </w:rPr>
        <w:t>Cartografías del compromiso. Vanguardia e ideología en los poetas del 27</w:t>
      </w:r>
      <w:r w:rsidR="00FC654A" w:rsidRPr="00FC654A">
        <w:rPr>
          <w:rFonts w:ascii="Times New Roman" w:hAnsi="Times New Roman" w:cs="Times New Roman"/>
        </w:rPr>
        <w:t>, 2016)</w:t>
      </w:r>
      <w:r w:rsidR="00CD68CF">
        <w:rPr>
          <w:rFonts w:ascii="Times New Roman" w:hAnsi="Times New Roman" w:cs="Times New Roman"/>
        </w:rPr>
        <w:t xml:space="preserve"> </w:t>
      </w:r>
      <w:r w:rsidR="00F0203C">
        <w:rPr>
          <w:rFonts w:ascii="Times New Roman" w:hAnsi="Times New Roman" w:cs="Times New Roman"/>
        </w:rPr>
        <w:t>así como</w:t>
      </w:r>
      <w:r w:rsidR="00CD68CF">
        <w:rPr>
          <w:rFonts w:ascii="Times New Roman" w:hAnsi="Times New Roman" w:cs="Times New Roman"/>
        </w:rPr>
        <w:t xml:space="preserve"> tópicos (</w:t>
      </w:r>
      <w:r w:rsidR="00153133">
        <w:rPr>
          <w:rFonts w:ascii="Times New Roman" w:hAnsi="Times New Roman" w:cs="Times New Roman"/>
        </w:rPr>
        <w:t xml:space="preserve">el realismo de la picaresca, </w:t>
      </w:r>
      <w:r w:rsidR="00CD68CF">
        <w:rPr>
          <w:rFonts w:ascii="Times New Roman" w:hAnsi="Times New Roman" w:cs="Times New Roman"/>
        </w:rPr>
        <w:t>el descompromiso de Rubén Darío) de l</w:t>
      </w:r>
      <w:r w:rsidR="00B5400F">
        <w:rPr>
          <w:rFonts w:ascii="Times New Roman" w:hAnsi="Times New Roman" w:cs="Times New Roman"/>
        </w:rPr>
        <w:t>os</w:t>
      </w:r>
      <w:r w:rsidR="00CD68CF">
        <w:rPr>
          <w:rFonts w:ascii="Times New Roman" w:hAnsi="Times New Roman" w:cs="Times New Roman"/>
        </w:rPr>
        <w:t xml:space="preserve"> </w:t>
      </w:r>
      <w:r w:rsidR="00B5400F">
        <w:rPr>
          <w:rFonts w:ascii="Times New Roman" w:hAnsi="Times New Roman" w:cs="Times New Roman"/>
        </w:rPr>
        <w:t>estudios</w:t>
      </w:r>
      <w:r w:rsidR="00CD68CF">
        <w:rPr>
          <w:rFonts w:ascii="Times New Roman" w:hAnsi="Times New Roman" w:cs="Times New Roman"/>
        </w:rPr>
        <w:t xml:space="preserve"> literari</w:t>
      </w:r>
      <w:r w:rsidR="00B5400F">
        <w:rPr>
          <w:rFonts w:ascii="Times New Roman" w:hAnsi="Times New Roman" w:cs="Times New Roman"/>
        </w:rPr>
        <w:t>os</w:t>
      </w:r>
      <w:r w:rsidR="00CD68CF">
        <w:rPr>
          <w:rFonts w:ascii="Times New Roman" w:hAnsi="Times New Roman" w:cs="Times New Roman"/>
        </w:rPr>
        <w:t>.</w:t>
      </w:r>
      <w:r w:rsidR="00B5400F">
        <w:rPr>
          <w:rFonts w:ascii="Times New Roman" w:hAnsi="Times New Roman" w:cs="Times New Roman"/>
        </w:rPr>
        <w:t xml:space="preserve"> Esta historia crítica, parcial —como advierte el autor en varias ocasiones—, se fundamenta en</w:t>
      </w:r>
      <w:r w:rsidR="00097AFA">
        <w:rPr>
          <w:rFonts w:ascii="Times New Roman" w:hAnsi="Times New Roman" w:cs="Times New Roman"/>
        </w:rPr>
        <w:t xml:space="preserve"> </w:t>
      </w:r>
      <w:r w:rsidR="00B5400F">
        <w:rPr>
          <w:rFonts w:ascii="Times New Roman" w:hAnsi="Times New Roman" w:cs="Times New Roman"/>
        </w:rPr>
        <w:t xml:space="preserve">catorce </w:t>
      </w:r>
      <w:r w:rsidR="00097AFA">
        <w:rPr>
          <w:rFonts w:ascii="Times New Roman" w:hAnsi="Times New Roman" w:cs="Times New Roman"/>
        </w:rPr>
        <w:t>e</w:t>
      </w:r>
      <w:r w:rsidR="00910510">
        <w:rPr>
          <w:rFonts w:ascii="Times New Roman" w:hAnsi="Times New Roman" w:cs="Times New Roman"/>
        </w:rPr>
        <w:t>studios de casos</w:t>
      </w:r>
      <w:r w:rsidR="00D37D39">
        <w:rPr>
          <w:rFonts w:ascii="Times New Roman" w:hAnsi="Times New Roman" w:cs="Times New Roman"/>
        </w:rPr>
        <w:t xml:space="preserve"> dedicados, sobre todo, a </w:t>
      </w:r>
      <w:r w:rsidR="00B5400F">
        <w:rPr>
          <w:rFonts w:ascii="Times New Roman" w:hAnsi="Times New Roman" w:cs="Times New Roman"/>
        </w:rPr>
        <w:t>a</w:t>
      </w:r>
      <w:r w:rsidR="00F95BC0">
        <w:rPr>
          <w:rFonts w:ascii="Times New Roman" w:hAnsi="Times New Roman" w:cs="Times New Roman"/>
        </w:rPr>
        <w:t>utores de</w:t>
      </w:r>
      <w:r w:rsidR="00103DC8">
        <w:rPr>
          <w:rFonts w:ascii="Times New Roman" w:hAnsi="Times New Roman" w:cs="Times New Roman"/>
        </w:rPr>
        <w:t>l fin de siglo y de</w:t>
      </w:r>
      <w:r w:rsidR="00F95BC0">
        <w:rPr>
          <w:rFonts w:ascii="Times New Roman" w:hAnsi="Times New Roman" w:cs="Times New Roman"/>
        </w:rPr>
        <w:t xml:space="preserve"> la Edad de Plata</w:t>
      </w:r>
      <w:r w:rsidR="001E1BEF">
        <w:rPr>
          <w:rFonts w:ascii="Times New Roman" w:hAnsi="Times New Roman" w:cs="Times New Roman"/>
        </w:rPr>
        <w:t>. Estos autores</w:t>
      </w:r>
      <w:r w:rsidR="00F95BC0">
        <w:rPr>
          <w:rFonts w:ascii="Times New Roman" w:hAnsi="Times New Roman" w:cs="Times New Roman"/>
        </w:rPr>
        <w:t xml:space="preserve"> </w:t>
      </w:r>
      <w:r w:rsidR="001E1BEF">
        <w:rPr>
          <w:rFonts w:ascii="Times New Roman" w:hAnsi="Times New Roman" w:cs="Times New Roman"/>
        </w:rPr>
        <w:t xml:space="preserve">aparecen así, de forma </w:t>
      </w:r>
      <w:r w:rsidR="00D37D39">
        <w:rPr>
          <w:rFonts w:ascii="Times New Roman" w:hAnsi="Times New Roman" w:cs="Times New Roman"/>
        </w:rPr>
        <w:t xml:space="preserve">algo implícita, como </w:t>
      </w:r>
      <w:r w:rsidR="00696261">
        <w:rPr>
          <w:rFonts w:ascii="Times New Roman" w:hAnsi="Times New Roman" w:cs="Times New Roman"/>
        </w:rPr>
        <w:t xml:space="preserve">una </w:t>
      </w:r>
      <w:r w:rsidR="00696261" w:rsidRPr="001E1BEF">
        <w:rPr>
          <w:rFonts w:ascii="Times New Roman" w:hAnsi="Times New Roman" w:cs="Times New Roman"/>
          <w:i/>
        </w:rPr>
        <w:t>comunidad de interpretación</w:t>
      </w:r>
      <w:r w:rsidR="00696261">
        <w:rPr>
          <w:rFonts w:ascii="Times New Roman" w:hAnsi="Times New Roman" w:cs="Times New Roman"/>
        </w:rPr>
        <w:t xml:space="preserve"> que comparte un mismo conjunto de competencias, códigos e intereses</w:t>
      </w:r>
      <w:r w:rsidR="00D37D39">
        <w:rPr>
          <w:rFonts w:ascii="Times New Roman" w:hAnsi="Times New Roman" w:cs="Times New Roman"/>
        </w:rPr>
        <w:t>, lo que asegura en buena parte la coherencia del conjunto del trabajo</w:t>
      </w:r>
      <w:r w:rsidR="00696261">
        <w:rPr>
          <w:rFonts w:ascii="Times New Roman" w:hAnsi="Times New Roman" w:cs="Times New Roman"/>
        </w:rPr>
        <w:t xml:space="preserve">. </w:t>
      </w:r>
    </w:p>
    <w:p w:rsidR="00213507" w:rsidRDefault="00910510" w:rsidP="000B79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37D39">
        <w:rPr>
          <w:rFonts w:ascii="Times New Roman" w:hAnsi="Times New Roman" w:cs="Times New Roman"/>
        </w:rPr>
        <w:t>unque son muy diversos los a</w:t>
      </w:r>
      <w:r>
        <w:rPr>
          <w:rFonts w:ascii="Times New Roman" w:hAnsi="Times New Roman" w:cs="Times New Roman"/>
        </w:rPr>
        <w:t>spectos considerados en estos estudios de casos</w:t>
      </w:r>
      <w:r w:rsidR="00D37D39">
        <w:rPr>
          <w:rFonts w:ascii="Times New Roman" w:hAnsi="Times New Roman" w:cs="Times New Roman"/>
        </w:rPr>
        <w:t xml:space="preserve">, se pueden distinguir dos grandes tipos de capítulos, unos centrados en </w:t>
      </w:r>
      <w:r>
        <w:rPr>
          <w:rFonts w:ascii="Times New Roman" w:hAnsi="Times New Roman" w:cs="Times New Roman"/>
        </w:rPr>
        <w:t xml:space="preserve">cómo </w:t>
      </w:r>
      <w:r w:rsidR="00D37D39">
        <w:rPr>
          <w:rFonts w:ascii="Times New Roman" w:hAnsi="Times New Roman" w:cs="Times New Roman"/>
        </w:rPr>
        <w:t>leían</w:t>
      </w:r>
      <w:r>
        <w:rPr>
          <w:rFonts w:ascii="Times New Roman" w:hAnsi="Times New Roman" w:cs="Times New Roman"/>
        </w:rPr>
        <w:t xml:space="preserve"> los autores de la Edad de Plata</w:t>
      </w:r>
      <w:r w:rsidR="00D37D39">
        <w:rPr>
          <w:rFonts w:ascii="Times New Roman" w:hAnsi="Times New Roman" w:cs="Times New Roman"/>
        </w:rPr>
        <w:t xml:space="preserve">, otros centrados en cómo estos mismos autores han sido leídos por los poetas y críticos posteriores (entre otros </w:t>
      </w:r>
      <w:proofErr w:type="spellStart"/>
      <w:r w:rsidR="00D37D39">
        <w:rPr>
          <w:rFonts w:ascii="Times New Roman" w:hAnsi="Times New Roman" w:cs="Times New Roman"/>
        </w:rPr>
        <w:t xml:space="preserve">ejemplos, </w:t>
      </w:r>
      <w:proofErr w:type="spellEnd"/>
      <w:r w:rsidR="00D37D39">
        <w:rPr>
          <w:rFonts w:ascii="Times New Roman" w:hAnsi="Times New Roman" w:cs="Times New Roman"/>
        </w:rPr>
        <w:t>Jaime Gil de Biedma lee así a Cernuda y a Jorge Guillén</w:t>
      </w:r>
      <w:r w:rsidR="00E2184E">
        <w:rPr>
          <w:rFonts w:ascii="Times New Roman" w:hAnsi="Times New Roman" w:cs="Times New Roman"/>
        </w:rPr>
        <w:t>;</w:t>
      </w:r>
      <w:r w:rsidR="00D37D39">
        <w:rPr>
          <w:rFonts w:ascii="Times New Roman" w:hAnsi="Times New Roman" w:cs="Times New Roman"/>
        </w:rPr>
        <w:t xml:space="preserve"> el lingüista y poeta Alarcos Llorach lee a Guillén y Diego</w:t>
      </w:r>
      <w:r w:rsidR="00E2184E">
        <w:rPr>
          <w:rFonts w:ascii="Times New Roman" w:hAnsi="Times New Roman" w:cs="Times New Roman"/>
        </w:rPr>
        <w:t>;</w:t>
      </w:r>
      <w:r w:rsidR="00D37D39">
        <w:rPr>
          <w:rFonts w:ascii="Times New Roman" w:hAnsi="Times New Roman" w:cs="Times New Roman"/>
        </w:rPr>
        <w:t xml:space="preserve"> Antonio Carvajal lee a Vicente Aleixandre). Los capítulos dedicados a las prácticas de lectura privilegiadas por los autores de la generación del 98 a la del 27 son, a mi ver, l</w:t>
      </w:r>
      <w:r w:rsidR="00673745">
        <w:rPr>
          <w:rFonts w:ascii="Times New Roman" w:hAnsi="Times New Roman" w:cs="Times New Roman"/>
        </w:rPr>
        <w:t>o</w:t>
      </w:r>
      <w:r w:rsidR="00D37D39">
        <w:rPr>
          <w:rFonts w:ascii="Times New Roman" w:hAnsi="Times New Roman" w:cs="Times New Roman"/>
        </w:rPr>
        <w:t>s más nutrid</w:t>
      </w:r>
      <w:r w:rsidR="00673745">
        <w:rPr>
          <w:rFonts w:ascii="Times New Roman" w:hAnsi="Times New Roman" w:cs="Times New Roman"/>
        </w:rPr>
        <w:t>o</w:t>
      </w:r>
      <w:r w:rsidR="00D37D39">
        <w:rPr>
          <w:rFonts w:ascii="Times New Roman" w:hAnsi="Times New Roman" w:cs="Times New Roman"/>
        </w:rPr>
        <w:t xml:space="preserve">s y relevantes. </w:t>
      </w:r>
      <w:r w:rsidR="00A04203">
        <w:rPr>
          <w:rFonts w:ascii="Times New Roman" w:hAnsi="Times New Roman" w:cs="Times New Roman"/>
        </w:rPr>
        <w:t xml:space="preserve">Resulta especialmente interesante el diálogo que se entabla entre las lecturas clásicas y las lecturas contemporáneas de los autores considerados. García demuestra </w:t>
      </w:r>
      <w:r w:rsidR="00FC70AA">
        <w:rPr>
          <w:rFonts w:ascii="Times New Roman" w:hAnsi="Times New Roman" w:cs="Times New Roman"/>
        </w:rPr>
        <w:t xml:space="preserve">de este modo </w:t>
      </w:r>
      <w:r w:rsidR="00A04203">
        <w:rPr>
          <w:rFonts w:ascii="Times New Roman" w:hAnsi="Times New Roman" w:cs="Times New Roman"/>
        </w:rPr>
        <w:t xml:space="preserve">en qué medida </w:t>
      </w:r>
      <w:r w:rsidR="00CD68CF">
        <w:rPr>
          <w:rFonts w:ascii="Times New Roman" w:hAnsi="Times New Roman" w:cs="Times New Roman"/>
        </w:rPr>
        <w:t xml:space="preserve">Azorín se apropia </w:t>
      </w:r>
      <w:r w:rsidR="00404696">
        <w:rPr>
          <w:rFonts w:ascii="Times New Roman" w:hAnsi="Times New Roman" w:cs="Times New Roman"/>
        </w:rPr>
        <w:t xml:space="preserve">de </w:t>
      </w:r>
      <w:r w:rsidR="00CD68CF">
        <w:rPr>
          <w:rFonts w:ascii="Times New Roman" w:hAnsi="Times New Roman" w:cs="Times New Roman"/>
        </w:rPr>
        <w:t xml:space="preserve">las obras maestras del Siglo de Oro para universalizarlas y así acercarlas a </w:t>
      </w:r>
      <w:r w:rsidR="00394207">
        <w:rPr>
          <w:rFonts w:ascii="Times New Roman" w:hAnsi="Times New Roman" w:cs="Times New Roman"/>
        </w:rPr>
        <w:t>la</w:t>
      </w:r>
      <w:r w:rsidR="00CD68CF">
        <w:rPr>
          <w:rFonts w:ascii="Times New Roman" w:hAnsi="Times New Roman" w:cs="Times New Roman"/>
        </w:rPr>
        <w:t xml:space="preserve"> </w:t>
      </w:r>
      <w:r w:rsidR="00CD68CF" w:rsidRPr="00CD68CF">
        <w:rPr>
          <w:rFonts w:ascii="Times New Roman" w:hAnsi="Times New Roman" w:cs="Times New Roman"/>
          <w:i/>
        </w:rPr>
        <w:t>sensibilidad</w:t>
      </w:r>
      <w:r w:rsidR="00CD68CF">
        <w:rPr>
          <w:rFonts w:ascii="Times New Roman" w:hAnsi="Times New Roman" w:cs="Times New Roman"/>
        </w:rPr>
        <w:t xml:space="preserve"> moderna </w:t>
      </w:r>
      <w:r w:rsidR="00394207">
        <w:rPr>
          <w:rFonts w:ascii="Times New Roman" w:hAnsi="Times New Roman" w:cs="Times New Roman"/>
        </w:rPr>
        <w:t xml:space="preserve">reflejada en sus propios textos literarios </w:t>
      </w:r>
      <w:r w:rsidR="00CD68CF">
        <w:rPr>
          <w:rFonts w:ascii="Times New Roman" w:hAnsi="Times New Roman" w:cs="Times New Roman"/>
        </w:rPr>
        <w:t xml:space="preserve">(un proceso que culmina con sus reescrituras, sean hipertextos o </w:t>
      </w:r>
      <w:proofErr w:type="spellStart"/>
      <w:r w:rsidR="00CD68CF">
        <w:rPr>
          <w:rFonts w:ascii="Times New Roman" w:hAnsi="Times New Roman" w:cs="Times New Roman"/>
        </w:rPr>
        <w:t>transficciones</w:t>
      </w:r>
      <w:proofErr w:type="spellEnd"/>
      <w:r w:rsidR="00CD68CF">
        <w:rPr>
          <w:rFonts w:ascii="Times New Roman" w:hAnsi="Times New Roman" w:cs="Times New Roman"/>
        </w:rPr>
        <w:t xml:space="preserve">, del </w:t>
      </w:r>
      <w:r w:rsidR="00CD68CF" w:rsidRPr="00CD68CF">
        <w:rPr>
          <w:rFonts w:ascii="Times New Roman" w:hAnsi="Times New Roman" w:cs="Times New Roman"/>
          <w:i/>
        </w:rPr>
        <w:t>Lazarillo</w:t>
      </w:r>
      <w:r w:rsidR="00CD68CF">
        <w:rPr>
          <w:rFonts w:ascii="Times New Roman" w:hAnsi="Times New Roman" w:cs="Times New Roman"/>
        </w:rPr>
        <w:t xml:space="preserve"> y </w:t>
      </w:r>
      <w:r w:rsidR="00CD68CF" w:rsidRPr="00CD68CF">
        <w:rPr>
          <w:rFonts w:ascii="Times New Roman" w:hAnsi="Times New Roman" w:cs="Times New Roman"/>
          <w:i/>
        </w:rPr>
        <w:t>La Celestina</w:t>
      </w:r>
      <w:r w:rsidR="00CD68CF">
        <w:rPr>
          <w:rFonts w:ascii="Times New Roman" w:hAnsi="Times New Roman" w:cs="Times New Roman"/>
        </w:rPr>
        <w:t>)</w:t>
      </w:r>
      <w:r w:rsidR="00404696">
        <w:rPr>
          <w:rFonts w:ascii="Times New Roman" w:hAnsi="Times New Roman" w:cs="Times New Roman"/>
        </w:rPr>
        <w:t xml:space="preserve">. </w:t>
      </w:r>
      <w:r w:rsidR="00A04203">
        <w:rPr>
          <w:rFonts w:ascii="Times New Roman" w:hAnsi="Times New Roman" w:cs="Times New Roman"/>
        </w:rPr>
        <w:t xml:space="preserve">Si </w:t>
      </w:r>
      <w:r w:rsidR="00291373">
        <w:rPr>
          <w:rFonts w:ascii="Times New Roman" w:hAnsi="Times New Roman" w:cs="Times New Roman"/>
        </w:rPr>
        <w:t xml:space="preserve">García considera que tal </w:t>
      </w:r>
      <w:proofErr w:type="spellStart"/>
      <w:r w:rsidR="00291373" w:rsidRPr="00291373">
        <w:rPr>
          <w:rFonts w:ascii="Times New Roman" w:hAnsi="Times New Roman" w:cs="Times New Roman"/>
          <w:i/>
        </w:rPr>
        <w:t>deshistorización</w:t>
      </w:r>
      <w:proofErr w:type="spellEnd"/>
      <w:r w:rsidR="00291373">
        <w:rPr>
          <w:rFonts w:ascii="Times New Roman" w:hAnsi="Times New Roman" w:cs="Times New Roman"/>
        </w:rPr>
        <w:t xml:space="preserve"> es uno de los grandes defectos que resta</w:t>
      </w:r>
      <w:r w:rsidR="006437AD">
        <w:rPr>
          <w:rFonts w:ascii="Times New Roman" w:hAnsi="Times New Roman" w:cs="Times New Roman"/>
        </w:rPr>
        <w:t>n</w:t>
      </w:r>
      <w:r w:rsidR="00291373">
        <w:rPr>
          <w:rFonts w:ascii="Times New Roman" w:hAnsi="Times New Roman" w:cs="Times New Roman"/>
        </w:rPr>
        <w:t xml:space="preserve"> fuerza al “sólido fundamento azoriniano para enseñar los clásicos” (64)</w:t>
      </w:r>
      <w:r w:rsidR="00CE0410">
        <w:rPr>
          <w:rFonts w:ascii="Times New Roman" w:hAnsi="Times New Roman" w:cs="Times New Roman"/>
        </w:rPr>
        <w:t xml:space="preserve">, </w:t>
      </w:r>
      <w:r w:rsidR="00A04203">
        <w:rPr>
          <w:rFonts w:ascii="Times New Roman" w:hAnsi="Times New Roman" w:cs="Times New Roman"/>
        </w:rPr>
        <w:t>precisa que</w:t>
      </w:r>
      <w:r w:rsidR="00C72760">
        <w:rPr>
          <w:rFonts w:ascii="Times New Roman" w:hAnsi="Times New Roman" w:cs="Times New Roman"/>
        </w:rPr>
        <w:t xml:space="preserve"> este tipo de lectura</w:t>
      </w:r>
      <w:r w:rsidR="00CE0410">
        <w:rPr>
          <w:rFonts w:ascii="Times New Roman" w:hAnsi="Times New Roman" w:cs="Times New Roman"/>
        </w:rPr>
        <w:t xml:space="preserve"> se explica por el programa político y cultural de regeneración del momento</w:t>
      </w:r>
      <w:r w:rsidR="00291373">
        <w:rPr>
          <w:rFonts w:ascii="Times New Roman" w:hAnsi="Times New Roman" w:cs="Times New Roman"/>
        </w:rPr>
        <w:t>.</w:t>
      </w:r>
      <w:r w:rsidR="00E912AF">
        <w:rPr>
          <w:rFonts w:ascii="Times New Roman" w:hAnsi="Times New Roman" w:cs="Times New Roman"/>
        </w:rPr>
        <w:t xml:space="preserve"> </w:t>
      </w:r>
    </w:p>
    <w:p w:rsidR="00D24028" w:rsidRDefault="00E912AF" w:rsidP="000B79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 lectura que los modernistas y los del 27 hacen de sus (casi)</w:t>
      </w:r>
      <w:r w:rsidR="008F13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contemporáneos tampoco carece de interés: </w:t>
      </w:r>
      <w:r w:rsidR="00CD68CF">
        <w:rPr>
          <w:rFonts w:ascii="Times New Roman" w:hAnsi="Times New Roman" w:cs="Times New Roman"/>
        </w:rPr>
        <w:t xml:space="preserve">la lectura conjunta de Ganivet y del </w:t>
      </w:r>
      <w:r w:rsidR="00CD68CF" w:rsidRPr="00CD68CF">
        <w:rPr>
          <w:rFonts w:ascii="Times New Roman" w:hAnsi="Times New Roman" w:cs="Times New Roman"/>
          <w:i/>
        </w:rPr>
        <w:t>Quijote</w:t>
      </w:r>
      <w:r w:rsidR="00CD68CF">
        <w:rPr>
          <w:rFonts w:ascii="Times New Roman" w:hAnsi="Times New Roman" w:cs="Times New Roman"/>
        </w:rPr>
        <w:t xml:space="preserve"> hecha por Rubén Darío nos muestra que el padre del modernismo no era tan descomprometido como se cree</w:t>
      </w:r>
      <w:r>
        <w:rPr>
          <w:rFonts w:ascii="Times New Roman" w:hAnsi="Times New Roman" w:cs="Times New Roman"/>
        </w:rPr>
        <w:t>. Asimismo,</w:t>
      </w:r>
      <w:r w:rsidR="00CD68CF">
        <w:rPr>
          <w:rFonts w:ascii="Times New Roman" w:hAnsi="Times New Roman" w:cs="Times New Roman"/>
        </w:rPr>
        <w:t xml:space="preserve"> </w:t>
      </w:r>
      <w:r w:rsidR="00394207">
        <w:rPr>
          <w:rFonts w:ascii="Times New Roman" w:hAnsi="Times New Roman" w:cs="Times New Roman"/>
        </w:rPr>
        <w:t xml:space="preserve">las lecturas de Antonio Machado </w:t>
      </w:r>
      <w:r>
        <w:rPr>
          <w:rFonts w:ascii="Times New Roman" w:hAnsi="Times New Roman" w:cs="Times New Roman"/>
        </w:rPr>
        <w:t>propuestas por</w:t>
      </w:r>
      <w:r w:rsidR="00394207">
        <w:rPr>
          <w:rFonts w:ascii="Times New Roman" w:hAnsi="Times New Roman" w:cs="Times New Roman"/>
        </w:rPr>
        <w:t xml:space="preserve"> Juan Ramón Jiménez varían con el tiempo y permiten que el autor de </w:t>
      </w:r>
      <w:r w:rsidR="00394207" w:rsidRPr="00394207">
        <w:rPr>
          <w:rFonts w:ascii="Times New Roman" w:hAnsi="Times New Roman" w:cs="Times New Roman"/>
          <w:i/>
        </w:rPr>
        <w:t>Platero y yo</w:t>
      </w:r>
      <w:r w:rsidR="00394207">
        <w:rPr>
          <w:rFonts w:ascii="Times New Roman" w:hAnsi="Times New Roman" w:cs="Times New Roman"/>
        </w:rPr>
        <w:t xml:space="preserve"> </w:t>
      </w:r>
      <w:r w:rsidR="00811126">
        <w:rPr>
          <w:rFonts w:ascii="Times New Roman" w:hAnsi="Times New Roman" w:cs="Times New Roman"/>
        </w:rPr>
        <w:t xml:space="preserve">construya una serie de </w:t>
      </w:r>
      <w:proofErr w:type="spellStart"/>
      <w:r w:rsidR="00811126" w:rsidRPr="00811126">
        <w:rPr>
          <w:rFonts w:ascii="Times New Roman" w:hAnsi="Times New Roman" w:cs="Times New Roman"/>
          <w:i/>
        </w:rPr>
        <w:t>loci</w:t>
      </w:r>
      <w:proofErr w:type="spellEnd"/>
      <w:r w:rsidR="00811126" w:rsidRPr="00811126">
        <w:rPr>
          <w:rFonts w:ascii="Times New Roman" w:hAnsi="Times New Roman" w:cs="Times New Roman"/>
          <w:i/>
        </w:rPr>
        <w:t xml:space="preserve"> </w:t>
      </w:r>
      <w:proofErr w:type="spellStart"/>
      <w:r w:rsidR="00811126" w:rsidRPr="00811126">
        <w:rPr>
          <w:rFonts w:ascii="Times New Roman" w:hAnsi="Times New Roman" w:cs="Times New Roman"/>
          <w:i/>
        </w:rPr>
        <w:t>critici</w:t>
      </w:r>
      <w:proofErr w:type="spellEnd"/>
      <w:r w:rsidR="00394207" w:rsidRPr="00811126">
        <w:rPr>
          <w:rFonts w:ascii="Times New Roman" w:hAnsi="Times New Roman" w:cs="Times New Roman"/>
        </w:rPr>
        <w:t xml:space="preserve"> </w:t>
      </w:r>
      <w:r w:rsidR="00811126">
        <w:rPr>
          <w:rFonts w:ascii="Times New Roman" w:hAnsi="Times New Roman" w:cs="Times New Roman"/>
        </w:rPr>
        <w:t>sobre</w:t>
      </w:r>
      <w:r w:rsidR="00394207">
        <w:rPr>
          <w:rFonts w:ascii="Times New Roman" w:hAnsi="Times New Roman" w:cs="Times New Roman"/>
        </w:rPr>
        <w:t xml:space="preserve"> </w:t>
      </w:r>
      <w:r w:rsidR="00811126">
        <w:rPr>
          <w:rFonts w:ascii="Times New Roman" w:hAnsi="Times New Roman" w:cs="Times New Roman"/>
        </w:rPr>
        <w:t>sus contemporáneos</w:t>
      </w:r>
      <w:r w:rsidR="00D2222F">
        <w:rPr>
          <w:rFonts w:ascii="Times New Roman" w:hAnsi="Times New Roman" w:cs="Times New Roman"/>
        </w:rPr>
        <w:t xml:space="preserve"> con el fin de situarse en este campo literario de principios de siglo</w:t>
      </w:r>
      <w:r>
        <w:rPr>
          <w:rFonts w:ascii="Times New Roman" w:hAnsi="Times New Roman" w:cs="Times New Roman"/>
        </w:rPr>
        <w:t xml:space="preserve">. </w:t>
      </w:r>
      <w:r w:rsidR="00BF285C">
        <w:rPr>
          <w:rFonts w:ascii="Times New Roman" w:hAnsi="Times New Roman" w:cs="Times New Roman"/>
        </w:rPr>
        <w:t xml:space="preserve">Sobresale </w:t>
      </w:r>
      <w:r w:rsidR="00C56877">
        <w:rPr>
          <w:rFonts w:ascii="Times New Roman" w:hAnsi="Times New Roman" w:cs="Times New Roman"/>
        </w:rPr>
        <w:t>por consiguiente</w:t>
      </w:r>
      <w:r w:rsidR="00BF285C">
        <w:rPr>
          <w:rFonts w:ascii="Times New Roman" w:hAnsi="Times New Roman" w:cs="Times New Roman"/>
        </w:rPr>
        <w:t xml:space="preserve"> la dimensión pragmática de estos comentarios de lectura, capaces de (des)legitimar a ciertos autores y que participan</w:t>
      </w:r>
      <w:r w:rsidR="009A330D">
        <w:rPr>
          <w:rFonts w:ascii="Times New Roman" w:hAnsi="Times New Roman" w:cs="Times New Roman"/>
        </w:rPr>
        <w:t>,</w:t>
      </w:r>
      <w:r w:rsidR="00BF285C">
        <w:rPr>
          <w:rFonts w:ascii="Times New Roman" w:hAnsi="Times New Roman" w:cs="Times New Roman"/>
        </w:rPr>
        <w:t xml:space="preserve"> por tanto</w:t>
      </w:r>
      <w:r w:rsidR="009A330D">
        <w:rPr>
          <w:rFonts w:ascii="Times New Roman" w:hAnsi="Times New Roman" w:cs="Times New Roman"/>
        </w:rPr>
        <w:t xml:space="preserve">, </w:t>
      </w:r>
      <w:r w:rsidR="00BF285C">
        <w:rPr>
          <w:rFonts w:ascii="Times New Roman" w:hAnsi="Times New Roman" w:cs="Times New Roman"/>
        </w:rPr>
        <w:t xml:space="preserve">de la construcción del canon. </w:t>
      </w:r>
      <w:r w:rsidR="00D2222F">
        <w:rPr>
          <w:rFonts w:ascii="Times New Roman" w:hAnsi="Times New Roman" w:cs="Times New Roman"/>
        </w:rPr>
        <w:t xml:space="preserve">Por su parte, la </w:t>
      </w:r>
      <w:r w:rsidR="005F0D46">
        <w:rPr>
          <w:rFonts w:ascii="Times New Roman" w:hAnsi="Times New Roman" w:cs="Times New Roman"/>
        </w:rPr>
        <w:t>lectura</w:t>
      </w:r>
      <w:r w:rsidR="00D2222F">
        <w:rPr>
          <w:rFonts w:ascii="Times New Roman" w:hAnsi="Times New Roman" w:cs="Times New Roman"/>
        </w:rPr>
        <w:t xml:space="preserve"> de Lorca por</w:t>
      </w:r>
      <w:r w:rsidR="003531E9">
        <w:rPr>
          <w:rFonts w:ascii="Times New Roman" w:hAnsi="Times New Roman" w:cs="Times New Roman"/>
        </w:rPr>
        <w:t xml:space="preserve"> Salinas y Alberti </w:t>
      </w:r>
      <w:r>
        <w:rPr>
          <w:rFonts w:ascii="Times New Roman" w:hAnsi="Times New Roman" w:cs="Times New Roman"/>
        </w:rPr>
        <w:t xml:space="preserve">o </w:t>
      </w:r>
      <w:r w:rsidR="00D2222F">
        <w:rPr>
          <w:rFonts w:ascii="Times New Roman" w:hAnsi="Times New Roman" w:cs="Times New Roman"/>
        </w:rPr>
        <w:t>la de</w:t>
      </w:r>
      <w:r w:rsidR="003531E9">
        <w:rPr>
          <w:rFonts w:ascii="Times New Roman" w:hAnsi="Times New Roman" w:cs="Times New Roman"/>
        </w:rPr>
        <w:t xml:space="preserve"> Aleixandre</w:t>
      </w:r>
      <w:r w:rsidR="00D2222F">
        <w:rPr>
          <w:rFonts w:ascii="Times New Roman" w:hAnsi="Times New Roman" w:cs="Times New Roman"/>
        </w:rPr>
        <w:t xml:space="preserve"> por Gerardo Diego revelan</w:t>
      </w:r>
      <w:r>
        <w:rPr>
          <w:rFonts w:ascii="Times New Roman" w:hAnsi="Times New Roman" w:cs="Times New Roman"/>
        </w:rPr>
        <w:t xml:space="preserve"> </w:t>
      </w:r>
      <w:r w:rsidR="005F0D46">
        <w:rPr>
          <w:rFonts w:ascii="Times New Roman" w:hAnsi="Times New Roman" w:cs="Times New Roman"/>
        </w:rPr>
        <w:t>de forma clara las concepciones poéticas movedizas de algunos miembros de esta “generación”.</w:t>
      </w:r>
      <w:r w:rsidR="000B79DB">
        <w:rPr>
          <w:rFonts w:ascii="Times New Roman" w:hAnsi="Times New Roman" w:cs="Times New Roman"/>
        </w:rPr>
        <w:t xml:space="preserve"> </w:t>
      </w:r>
      <w:r w:rsidR="00D24028">
        <w:rPr>
          <w:rFonts w:ascii="Times New Roman" w:hAnsi="Times New Roman" w:cs="Times New Roman"/>
        </w:rPr>
        <w:t xml:space="preserve">Ahora bien, hubiera sido muy esclarecedor enriquecer estas conclusiones con un examen más detenido del </w:t>
      </w:r>
      <w:r w:rsidR="00D24028" w:rsidRPr="00D24028">
        <w:rPr>
          <w:rFonts w:ascii="Times New Roman" w:hAnsi="Times New Roman" w:cs="Times New Roman"/>
          <w:i/>
        </w:rPr>
        <w:t>imaginario</w:t>
      </w:r>
      <w:r w:rsidR="00D24028">
        <w:rPr>
          <w:rFonts w:ascii="Times New Roman" w:hAnsi="Times New Roman" w:cs="Times New Roman"/>
        </w:rPr>
        <w:t xml:space="preserve"> (que a veces roza la mitificación) que estos autores-lectores construyen acerca de los autores que leen.</w:t>
      </w:r>
    </w:p>
    <w:p w:rsidR="000B79DB" w:rsidRDefault="000B79DB" w:rsidP="000B79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 parece particularmente sugerente el segundo capítulo del libro, donde se analiza un caso de lectura al cuadrado. García examina en efecto hasta qué punto Darío lee a Ganivet con el prisma del héroe cervantino (“si don Quijote encarna el alma española áurea, Pío Cid/Ganivet encarna el alma española del fin de siglo”, 43), y así subraya lo que el nicaragüense comparte con el intelectual español —su fe en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una España áurea y caballeresca que convendría regenerar—, a la vez que replantea el debate ideológico en torno a don Quijote que ocupaba a los regeneracionistas. </w:t>
      </w:r>
      <w:r w:rsidR="00C20984">
        <w:rPr>
          <w:rFonts w:ascii="Times New Roman" w:hAnsi="Times New Roman" w:cs="Times New Roman"/>
        </w:rPr>
        <w:t xml:space="preserve">El carácter arborescente de la lectura destaca sobremanera en este ejemplo, como en otros capítulos de </w:t>
      </w:r>
      <w:r w:rsidR="00C20984" w:rsidRPr="00C20984">
        <w:rPr>
          <w:rFonts w:ascii="Times New Roman" w:hAnsi="Times New Roman" w:cs="Times New Roman"/>
          <w:i/>
        </w:rPr>
        <w:t>Los autores como lectores</w:t>
      </w:r>
      <w:r w:rsidR="00045B4C">
        <w:rPr>
          <w:rFonts w:ascii="Times New Roman" w:hAnsi="Times New Roman" w:cs="Times New Roman"/>
        </w:rPr>
        <w:t>,</w:t>
      </w:r>
      <w:r w:rsidR="00C20984">
        <w:rPr>
          <w:rFonts w:ascii="Times New Roman" w:hAnsi="Times New Roman" w:cs="Times New Roman"/>
        </w:rPr>
        <w:t xml:space="preserve"> ya que, como </w:t>
      </w:r>
      <w:r w:rsidR="006A5BA7">
        <w:rPr>
          <w:rFonts w:ascii="Times New Roman" w:hAnsi="Times New Roman" w:cs="Times New Roman"/>
        </w:rPr>
        <w:t>muestra</w:t>
      </w:r>
      <w:r w:rsidR="00C20984">
        <w:rPr>
          <w:rFonts w:ascii="Times New Roman" w:hAnsi="Times New Roman" w:cs="Times New Roman"/>
        </w:rPr>
        <w:t xml:space="preserve"> García, la mayoría de las lecturas efectuadas por los poetas y novelistas son (re)orientadas por otras lecturas suyas.</w:t>
      </w:r>
      <w:r w:rsidR="00D24028">
        <w:rPr>
          <w:rFonts w:ascii="Times New Roman" w:hAnsi="Times New Roman" w:cs="Times New Roman"/>
        </w:rPr>
        <w:t xml:space="preserve"> </w:t>
      </w:r>
    </w:p>
    <w:p w:rsidR="00D24028" w:rsidRDefault="00D24028" w:rsidP="000B79D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Aparte de esta intertextualidad renovadora, los autores considerados también pueden releer a otros autores o incluso desviar la letra de sus textos a partir de la selección y combinación de </w:t>
      </w:r>
      <w:r w:rsidRPr="00D24028">
        <w:rPr>
          <w:rFonts w:ascii="Times New Roman" w:hAnsi="Times New Roman" w:cs="Times New Roman"/>
        </w:rPr>
        <w:t>ciertos elementos de la fuente leída</w:t>
      </w:r>
      <w:r>
        <w:rPr>
          <w:rFonts w:ascii="Times New Roman" w:hAnsi="Times New Roman" w:cs="Times New Roman"/>
        </w:rPr>
        <w:t xml:space="preserve">. </w:t>
      </w:r>
      <w:r w:rsidRPr="00D24028">
        <w:rPr>
          <w:rFonts w:ascii="Times New Roman" w:hAnsi="Times New Roman" w:cs="Times New Roman"/>
        </w:rPr>
        <w:t>La m</w:t>
      </w:r>
      <w:r w:rsidRPr="00D24028">
        <w:rPr>
          <w:rFonts w:ascii="Times New Roman" w:hAnsi="Times New Roman" w:cs="Times New Roman"/>
        </w:rPr>
        <w:t xml:space="preserve">anipulación de la fuente </w:t>
      </w:r>
      <w:r w:rsidRPr="00D24028">
        <w:rPr>
          <w:rFonts w:ascii="Times New Roman" w:hAnsi="Times New Roman" w:cs="Times New Roman"/>
        </w:rPr>
        <w:t xml:space="preserve">es así altamente significativa en algunos de los casos examinados por García </w:t>
      </w:r>
      <w:r w:rsidRPr="00D24028">
        <w:rPr>
          <w:rFonts w:ascii="Times New Roman" w:hAnsi="Times New Roman" w:cs="Times New Roman"/>
        </w:rPr>
        <w:t xml:space="preserve">(el Rubén Darío del </w:t>
      </w:r>
      <w:r w:rsidRPr="00D24028">
        <w:rPr>
          <w:rFonts w:ascii="Times New Roman" w:hAnsi="Times New Roman" w:cs="Times New Roman"/>
          <w:i/>
        </w:rPr>
        <w:t>Azul…</w:t>
      </w:r>
      <w:r w:rsidRPr="00D24028">
        <w:rPr>
          <w:rFonts w:ascii="Times New Roman" w:hAnsi="Times New Roman" w:cs="Times New Roman"/>
        </w:rPr>
        <w:t xml:space="preserve"> de 1890 lleva a cabo, por ejemplo, cierta tergiversación del prólogo de Valera, 83)</w:t>
      </w:r>
      <w:r w:rsidRPr="00D2402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1A1B6D">
        <w:rPr>
          <w:rFonts w:ascii="Times New Roman" w:hAnsi="Times New Roman" w:cs="Times New Roman"/>
        </w:rPr>
        <w:t xml:space="preserve">Al reapropiarse </w:t>
      </w:r>
      <w:r w:rsidR="00963185">
        <w:rPr>
          <w:rFonts w:ascii="Times New Roman" w:hAnsi="Times New Roman" w:cs="Times New Roman"/>
        </w:rPr>
        <w:t xml:space="preserve">de </w:t>
      </w:r>
      <w:r w:rsidR="001A1B6D">
        <w:rPr>
          <w:rFonts w:ascii="Times New Roman" w:hAnsi="Times New Roman" w:cs="Times New Roman"/>
        </w:rPr>
        <w:t>sus lecturas</w:t>
      </w:r>
      <w:r w:rsidR="001A1B6D" w:rsidRPr="001A1B6D">
        <w:rPr>
          <w:rFonts w:ascii="Times New Roman" w:hAnsi="Times New Roman" w:cs="Times New Roman"/>
        </w:rPr>
        <w:t xml:space="preserve">, </w:t>
      </w:r>
      <w:r w:rsidR="00EF07B6">
        <w:rPr>
          <w:rFonts w:ascii="Times New Roman" w:hAnsi="Times New Roman" w:cs="Times New Roman"/>
        </w:rPr>
        <w:t>algunos de</w:t>
      </w:r>
      <w:r w:rsidR="001A1B6D" w:rsidRPr="001A1B6D">
        <w:rPr>
          <w:rFonts w:ascii="Times New Roman" w:hAnsi="Times New Roman" w:cs="Times New Roman"/>
        </w:rPr>
        <w:t xml:space="preserve"> </w:t>
      </w:r>
      <w:r w:rsidR="00EF07B6">
        <w:rPr>
          <w:rFonts w:ascii="Times New Roman" w:hAnsi="Times New Roman" w:cs="Times New Roman"/>
        </w:rPr>
        <w:t xml:space="preserve">los </w:t>
      </w:r>
      <w:r w:rsidR="001A1B6D" w:rsidRPr="001A1B6D">
        <w:rPr>
          <w:rFonts w:ascii="Times New Roman" w:hAnsi="Times New Roman" w:cs="Times New Roman"/>
        </w:rPr>
        <w:t xml:space="preserve">autores </w:t>
      </w:r>
      <w:r w:rsidR="00EF07B6">
        <w:rPr>
          <w:rFonts w:ascii="Times New Roman" w:hAnsi="Times New Roman" w:cs="Times New Roman"/>
        </w:rPr>
        <w:t xml:space="preserve">estudiados </w:t>
      </w:r>
      <w:r w:rsidR="001A1B6D" w:rsidRPr="001A1B6D">
        <w:rPr>
          <w:rFonts w:ascii="Times New Roman" w:hAnsi="Times New Roman" w:cs="Times New Roman"/>
        </w:rPr>
        <w:t xml:space="preserve">se atribuyen </w:t>
      </w:r>
      <w:r w:rsidR="00D479CD">
        <w:rPr>
          <w:rFonts w:ascii="Times New Roman" w:hAnsi="Times New Roman" w:cs="Times New Roman"/>
        </w:rPr>
        <w:t xml:space="preserve">además </w:t>
      </w:r>
      <w:r w:rsidR="001A1B6D" w:rsidRPr="001A1B6D">
        <w:rPr>
          <w:rFonts w:ascii="Times New Roman" w:hAnsi="Times New Roman" w:cs="Times New Roman"/>
        </w:rPr>
        <w:t xml:space="preserve">parte del capital simbólico de sus modelos. </w:t>
      </w:r>
      <w:r w:rsidR="001A1B6D">
        <w:rPr>
          <w:rFonts w:ascii="Times New Roman" w:hAnsi="Times New Roman" w:cs="Times New Roman"/>
        </w:rPr>
        <w:t>Se trata de una</w:t>
      </w:r>
      <w:r w:rsidR="001A1B6D" w:rsidRPr="001A1B6D">
        <w:rPr>
          <w:rFonts w:ascii="Times New Roman" w:hAnsi="Times New Roman" w:cs="Times New Roman"/>
        </w:rPr>
        <w:t xml:space="preserve"> estrategia de autodefinición del autor </w:t>
      </w:r>
      <w:r w:rsidR="001A1B6D">
        <w:rPr>
          <w:rFonts w:ascii="Times New Roman" w:hAnsi="Times New Roman" w:cs="Times New Roman"/>
        </w:rPr>
        <w:t xml:space="preserve">que Gérard </w:t>
      </w:r>
      <w:proofErr w:type="spellStart"/>
      <w:r w:rsidR="001A1B6D">
        <w:rPr>
          <w:rFonts w:ascii="Times New Roman" w:hAnsi="Times New Roman" w:cs="Times New Roman"/>
        </w:rPr>
        <w:t>Genette</w:t>
      </w:r>
      <w:proofErr w:type="spellEnd"/>
      <w:r w:rsidR="001A1B6D">
        <w:rPr>
          <w:rFonts w:ascii="Times New Roman" w:hAnsi="Times New Roman" w:cs="Times New Roman"/>
        </w:rPr>
        <w:t xml:space="preserve"> ya había analizado </w:t>
      </w:r>
      <w:r w:rsidR="001A1B6D" w:rsidRPr="001A1B6D">
        <w:rPr>
          <w:rFonts w:ascii="Times New Roman" w:hAnsi="Times New Roman" w:cs="Times New Roman"/>
        </w:rPr>
        <w:t xml:space="preserve">en </w:t>
      </w:r>
      <w:proofErr w:type="spellStart"/>
      <w:r w:rsidR="001A1B6D" w:rsidRPr="001A1B6D">
        <w:rPr>
          <w:rFonts w:ascii="Times New Roman" w:hAnsi="Times New Roman" w:cs="Times New Roman"/>
          <w:i/>
        </w:rPr>
        <w:t>Seuils</w:t>
      </w:r>
      <w:proofErr w:type="spellEnd"/>
      <w:r w:rsidR="001A1B6D" w:rsidRPr="001A1B6D">
        <w:rPr>
          <w:rFonts w:ascii="Times New Roman" w:hAnsi="Times New Roman" w:cs="Times New Roman"/>
        </w:rPr>
        <w:t xml:space="preserve"> (1987).</w:t>
      </w:r>
    </w:p>
    <w:p w:rsidR="00B108BC" w:rsidRDefault="0049707F" w:rsidP="00B108B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Aunque no expone explícitamente las coordenadas metodológicas de su estudio, es obvio que García recurre al m</w:t>
      </w:r>
      <w:r w:rsidR="00910510">
        <w:rPr>
          <w:rFonts w:ascii="Times New Roman" w:hAnsi="Times New Roman" w:cs="Times New Roman"/>
        </w:rPr>
        <w:t>aterial</w:t>
      </w:r>
      <w:r>
        <w:rPr>
          <w:rFonts w:ascii="Times New Roman" w:hAnsi="Times New Roman" w:cs="Times New Roman"/>
        </w:rPr>
        <w:t xml:space="preserve"> utilizado tradicionalmente por los estudios de redes</w:t>
      </w:r>
      <w:r w:rsidR="00BF7BBC">
        <w:rPr>
          <w:rFonts w:ascii="Times New Roman" w:hAnsi="Times New Roman" w:cs="Times New Roman"/>
        </w:rPr>
        <w:t xml:space="preserve"> literarias</w:t>
      </w:r>
      <w:r>
        <w:rPr>
          <w:rStyle w:val="Appelnotedebasdep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>: tanto piezas</w:t>
      </w:r>
      <w:r w:rsidR="00910510">
        <w:rPr>
          <w:rFonts w:ascii="Times New Roman" w:hAnsi="Times New Roman" w:cs="Times New Roman"/>
        </w:rPr>
        <w:t xml:space="preserve"> </w:t>
      </w:r>
      <w:proofErr w:type="spellStart"/>
      <w:r w:rsidR="00910510">
        <w:rPr>
          <w:rFonts w:ascii="Times New Roman" w:hAnsi="Times New Roman" w:cs="Times New Roman"/>
        </w:rPr>
        <w:t>paratext</w:t>
      </w:r>
      <w:r>
        <w:rPr>
          <w:rFonts w:ascii="Times New Roman" w:hAnsi="Times New Roman" w:cs="Times New Roman"/>
        </w:rPr>
        <w:t>uales</w:t>
      </w:r>
      <w:proofErr w:type="spellEnd"/>
      <w:r w:rsidR="00910510">
        <w:rPr>
          <w:rFonts w:ascii="Times New Roman" w:hAnsi="Times New Roman" w:cs="Times New Roman"/>
        </w:rPr>
        <w:t xml:space="preserve"> (prólogos, entrevistas, correspondencias…)</w:t>
      </w:r>
      <w:r>
        <w:rPr>
          <w:rFonts w:ascii="Times New Roman" w:hAnsi="Times New Roman" w:cs="Times New Roman"/>
        </w:rPr>
        <w:t>, como</w:t>
      </w:r>
      <w:r w:rsidR="00097AFA">
        <w:rPr>
          <w:rFonts w:ascii="Times New Roman" w:hAnsi="Times New Roman" w:cs="Times New Roman"/>
        </w:rPr>
        <w:t xml:space="preserve"> antologías</w:t>
      </w:r>
      <w:r>
        <w:rPr>
          <w:rFonts w:ascii="Times New Roman" w:hAnsi="Times New Roman" w:cs="Times New Roman"/>
        </w:rPr>
        <w:t xml:space="preserve"> y</w:t>
      </w:r>
      <w:r w:rsidR="00910510">
        <w:rPr>
          <w:rFonts w:ascii="Times New Roman" w:hAnsi="Times New Roman" w:cs="Times New Roman"/>
        </w:rPr>
        <w:t xml:space="preserve"> ensayos</w:t>
      </w:r>
      <w:r>
        <w:rPr>
          <w:rFonts w:ascii="Times New Roman" w:hAnsi="Times New Roman" w:cs="Times New Roman"/>
        </w:rPr>
        <w:t xml:space="preserve"> le permiten rastrear y recopilar los indicios de lectura que analiza.</w:t>
      </w:r>
      <w:r w:rsidR="00BF7BBC">
        <w:rPr>
          <w:rFonts w:ascii="Times New Roman" w:hAnsi="Times New Roman" w:cs="Times New Roman"/>
        </w:rPr>
        <w:t xml:space="preserve"> Sin embargo, m</w:t>
      </w:r>
      <w:r w:rsidR="00BC18FA">
        <w:rPr>
          <w:rFonts w:ascii="Times New Roman" w:hAnsi="Times New Roman" w:cs="Times New Roman"/>
        </w:rPr>
        <w:t>ás allá de esta lógica de redes fundamental durante la Edad de Plata,</w:t>
      </w:r>
      <w:r w:rsidR="00BC18FA">
        <w:rPr>
          <w:rStyle w:val="Appelnotedebasdep"/>
          <w:rFonts w:ascii="Times New Roman" w:hAnsi="Times New Roman" w:cs="Times New Roman"/>
        </w:rPr>
        <w:footnoteReference w:id="2"/>
      </w:r>
      <w:r w:rsidR="00BC18FA">
        <w:rPr>
          <w:rFonts w:ascii="Times New Roman" w:hAnsi="Times New Roman" w:cs="Times New Roman"/>
        </w:rPr>
        <w:t xml:space="preserve"> </w:t>
      </w:r>
      <w:r w:rsidR="00103DC8">
        <w:rPr>
          <w:rFonts w:ascii="Times New Roman" w:hAnsi="Times New Roman" w:cs="Times New Roman"/>
        </w:rPr>
        <w:t>el libro de Miguel Ángel García saca</w:t>
      </w:r>
      <w:r w:rsidR="000B79DB">
        <w:rPr>
          <w:rFonts w:ascii="Times New Roman" w:hAnsi="Times New Roman" w:cs="Times New Roman"/>
        </w:rPr>
        <w:t xml:space="preserve"> </w:t>
      </w:r>
      <w:r w:rsidR="00103DC8">
        <w:rPr>
          <w:rFonts w:ascii="Times New Roman" w:hAnsi="Times New Roman" w:cs="Times New Roman"/>
        </w:rPr>
        <w:t xml:space="preserve">a la luz algunas </w:t>
      </w:r>
      <w:r w:rsidR="00103DC8" w:rsidRPr="00103DC8">
        <w:rPr>
          <w:rFonts w:ascii="Times New Roman" w:hAnsi="Times New Roman" w:cs="Times New Roman"/>
          <w:i/>
        </w:rPr>
        <w:t>lógicas internas</w:t>
      </w:r>
      <w:r w:rsidR="00103DC8">
        <w:rPr>
          <w:rFonts w:ascii="Times New Roman" w:hAnsi="Times New Roman" w:cs="Times New Roman"/>
        </w:rPr>
        <w:t xml:space="preserve"> de la literatura española contemporánea: “</w:t>
      </w:r>
      <w:r w:rsidR="00103DC8" w:rsidRPr="00D24028">
        <w:rPr>
          <w:rFonts w:ascii="Times New Roman" w:hAnsi="Times New Roman" w:cs="Times New Roman"/>
        </w:rPr>
        <w:t>la fundación de la actualidad literaria en diálogo con la tradición remota (los clásicos) o inmediata […]; los compromisos ideológicos y estéticos comunes que sustentan la literatura del fin de siglo, por encima de los distingos trasnochados entre modernistas y noventayochistas” (17),</w:t>
      </w:r>
      <w:r w:rsidR="00103DC8">
        <w:rPr>
          <w:rFonts w:ascii="Times New Roman" w:hAnsi="Times New Roman" w:cs="Times New Roman"/>
        </w:rPr>
        <w:t xml:space="preserve"> de la poética depuradora de Juan Ramón Jiménez a la veta </w:t>
      </w:r>
      <w:proofErr w:type="spellStart"/>
      <w:r w:rsidR="00103DC8">
        <w:rPr>
          <w:rFonts w:ascii="Times New Roman" w:hAnsi="Times New Roman" w:cs="Times New Roman"/>
        </w:rPr>
        <w:t>neopopularista</w:t>
      </w:r>
      <w:proofErr w:type="spellEnd"/>
      <w:r w:rsidR="00103DC8">
        <w:rPr>
          <w:rFonts w:ascii="Times New Roman" w:hAnsi="Times New Roman" w:cs="Times New Roman"/>
        </w:rPr>
        <w:t xml:space="preserve"> de Machado o Lorca, pasando por el romanticismo nórdico de Luis Cernuda o la línea de estética ética que reúne a Machado con Ángel González. </w:t>
      </w:r>
      <w:r w:rsidR="000B79DB">
        <w:rPr>
          <w:rFonts w:ascii="Times New Roman" w:hAnsi="Times New Roman" w:cs="Times New Roman"/>
        </w:rPr>
        <w:t>Fuerza es constatar que se ha logrado este objetivo de identificación y explicación de ciertas lógicas internas de las letras españolas del siglo XX.</w:t>
      </w:r>
      <w:r w:rsidR="00B108BC">
        <w:rPr>
          <w:rFonts w:ascii="Times New Roman" w:hAnsi="Times New Roman" w:cs="Times New Roman"/>
        </w:rPr>
        <w:t xml:space="preserve"> </w:t>
      </w:r>
      <w:r w:rsidR="00CF6A4C">
        <w:rPr>
          <w:rFonts w:ascii="Times New Roman" w:hAnsi="Times New Roman" w:cs="Times New Roman"/>
        </w:rPr>
        <w:t>Se podría objetar que</w:t>
      </w:r>
      <w:r w:rsidR="00B108BC" w:rsidRPr="00B56963">
        <w:rPr>
          <w:rFonts w:ascii="Times New Roman" w:hAnsi="Times New Roman" w:cs="Times New Roman"/>
        </w:rPr>
        <w:t xml:space="preserve"> el tipo de lector elegido por García</w:t>
      </w:r>
      <w:r w:rsidR="005738FC">
        <w:rPr>
          <w:rFonts w:ascii="Times New Roman" w:hAnsi="Times New Roman" w:cs="Times New Roman"/>
        </w:rPr>
        <w:t xml:space="preserve"> —</w:t>
      </w:r>
      <w:r w:rsidR="00B108BC" w:rsidRPr="00B56963">
        <w:rPr>
          <w:rFonts w:ascii="Times New Roman" w:hAnsi="Times New Roman" w:cs="Times New Roman"/>
        </w:rPr>
        <w:t xml:space="preserve">un lector </w:t>
      </w:r>
      <w:r w:rsidR="00B108BC" w:rsidRPr="00B56963">
        <w:rPr>
          <w:rFonts w:ascii="Times New Roman" w:hAnsi="Times New Roman" w:cs="Times New Roman"/>
        </w:rPr>
        <w:lastRenderedPageBreak/>
        <w:t>culto que combina muchas veces su quehacer literario con una actividad como crítico o filólogo</w:t>
      </w:r>
      <w:r w:rsidR="005738FC">
        <w:rPr>
          <w:rFonts w:ascii="Times New Roman" w:hAnsi="Times New Roman" w:cs="Times New Roman"/>
        </w:rPr>
        <w:t>—</w:t>
      </w:r>
      <w:r w:rsidR="00B108BC" w:rsidRPr="00B56963">
        <w:rPr>
          <w:rFonts w:ascii="Times New Roman" w:hAnsi="Times New Roman" w:cs="Times New Roman"/>
        </w:rPr>
        <w:t xml:space="preserve">, </w:t>
      </w:r>
      <w:r w:rsidR="00B108BC">
        <w:rPr>
          <w:rFonts w:ascii="Times New Roman" w:hAnsi="Times New Roman" w:cs="Times New Roman"/>
        </w:rPr>
        <w:t>privilegia un tipo de lectura cuya capacidad analítica y</w:t>
      </w:r>
      <w:r w:rsidR="0057404D">
        <w:rPr>
          <w:rFonts w:ascii="Times New Roman" w:hAnsi="Times New Roman" w:cs="Times New Roman"/>
        </w:rPr>
        <w:t xml:space="preserve"> </w:t>
      </w:r>
      <w:r w:rsidR="00B108BC">
        <w:rPr>
          <w:rFonts w:ascii="Times New Roman" w:hAnsi="Times New Roman" w:cs="Times New Roman"/>
        </w:rPr>
        <w:t xml:space="preserve">cuyos mecanismos eruditos, distan mucho de las prácticas de lectura de los llamados lectores ordinarios. Pero es precisamente </w:t>
      </w:r>
      <w:r w:rsidR="0089152A">
        <w:rPr>
          <w:rFonts w:ascii="Times New Roman" w:hAnsi="Times New Roman" w:cs="Times New Roman"/>
        </w:rPr>
        <w:t>tal</w:t>
      </w:r>
      <w:r w:rsidR="00B108BC">
        <w:rPr>
          <w:rFonts w:ascii="Times New Roman" w:hAnsi="Times New Roman" w:cs="Times New Roman"/>
        </w:rPr>
        <w:t xml:space="preserve"> particularidad del objeto-lector seleccionado por García lo que le permite evidenciar </w:t>
      </w:r>
      <w:r w:rsidR="0089152A">
        <w:rPr>
          <w:rFonts w:ascii="Times New Roman" w:hAnsi="Times New Roman" w:cs="Times New Roman"/>
        </w:rPr>
        <w:t>esta</w:t>
      </w:r>
      <w:r w:rsidR="00B108BC">
        <w:rPr>
          <w:rFonts w:ascii="Times New Roman" w:hAnsi="Times New Roman" w:cs="Times New Roman"/>
        </w:rPr>
        <w:t xml:space="preserve"> instrumentalización de la lectura por y para los actores del campo literario.</w:t>
      </w:r>
    </w:p>
    <w:p w:rsidR="007F5328" w:rsidRDefault="007F5328" w:rsidP="00D2402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 vez podamos lamentar cierta falta de articulación entre los diferentes capítulos de </w:t>
      </w:r>
      <w:r w:rsidRPr="007F5328">
        <w:rPr>
          <w:rFonts w:ascii="Times New Roman" w:hAnsi="Times New Roman" w:cs="Times New Roman"/>
          <w:i/>
        </w:rPr>
        <w:t>Los autores como lectores</w:t>
      </w:r>
      <w:r w:rsidR="00CE0410">
        <w:rPr>
          <w:rFonts w:ascii="Times New Roman" w:hAnsi="Times New Roman" w:cs="Times New Roman"/>
        </w:rPr>
        <w:t xml:space="preserve">: primero, porque </w:t>
      </w:r>
      <w:r w:rsidR="002A65EA">
        <w:rPr>
          <w:rFonts w:ascii="Times New Roman" w:hAnsi="Times New Roman" w:cs="Times New Roman"/>
        </w:rPr>
        <w:t xml:space="preserve">el objeto de la lectura </w:t>
      </w:r>
      <w:r w:rsidR="00CE0410">
        <w:rPr>
          <w:rFonts w:ascii="Times New Roman" w:hAnsi="Times New Roman" w:cs="Times New Roman"/>
        </w:rPr>
        <w:t xml:space="preserve">efectuada por los autores estudiados </w:t>
      </w:r>
      <w:r w:rsidR="002A65EA">
        <w:rPr>
          <w:rFonts w:ascii="Times New Roman" w:hAnsi="Times New Roman" w:cs="Times New Roman"/>
        </w:rPr>
        <w:t xml:space="preserve">fluctúa bastante de un caso a otro (puede tratarse del “pensamiento” de un autor, </w:t>
      </w:r>
      <w:r w:rsidR="00AA28E7">
        <w:rPr>
          <w:rFonts w:ascii="Times New Roman" w:hAnsi="Times New Roman" w:cs="Times New Roman"/>
        </w:rPr>
        <w:t>de un amplio conjunto de “clásicos”, de una serie de ensayos o de un poemario concreto</w:t>
      </w:r>
      <w:r w:rsidR="002A65EA">
        <w:rPr>
          <w:rFonts w:ascii="Times New Roman" w:hAnsi="Times New Roman" w:cs="Times New Roman"/>
        </w:rPr>
        <w:t>)</w:t>
      </w:r>
      <w:r w:rsidR="00CE0410">
        <w:rPr>
          <w:rFonts w:ascii="Times New Roman" w:hAnsi="Times New Roman" w:cs="Times New Roman"/>
        </w:rPr>
        <w:t xml:space="preserve">. </w:t>
      </w:r>
      <w:r w:rsidR="002E2E12">
        <w:rPr>
          <w:rFonts w:ascii="Times New Roman" w:hAnsi="Times New Roman" w:cs="Times New Roman"/>
        </w:rPr>
        <w:t>Además</w:t>
      </w:r>
      <w:r w:rsidR="00CE0410">
        <w:rPr>
          <w:rFonts w:ascii="Times New Roman" w:hAnsi="Times New Roman" w:cs="Times New Roman"/>
        </w:rPr>
        <w:t>,</w:t>
      </w:r>
      <w:r w:rsidR="002A6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varias de las sugerentes líneas teóricas presentadas en la introducción quedan en ciernes o apenas afloran en algunos casos. Le toca al lector rastrearlas </w:t>
      </w:r>
      <w:r w:rsidR="00C062E3">
        <w:rPr>
          <w:rFonts w:ascii="Times New Roman" w:hAnsi="Times New Roman" w:cs="Times New Roman"/>
        </w:rPr>
        <w:t>y reorganizar los ejemplos para asir la historicidad ideológica de las lecturas examinadas</w:t>
      </w:r>
      <w:r w:rsidR="00BE560E">
        <w:rPr>
          <w:rFonts w:ascii="Times New Roman" w:hAnsi="Times New Roman" w:cs="Times New Roman"/>
        </w:rPr>
        <w:t>, más allá de</w:t>
      </w:r>
      <w:r w:rsidR="00087815">
        <w:rPr>
          <w:rFonts w:ascii="Times New Roman" w:hAnsi="Times New Roman" w:cs="Times New Roman"/>
        </w:rPr>
        <w:t xml:space="preserve">l “juego plural de correspondencias y espejos” (16) que </w:t>
      </w:r>
      <w:r w:rsidR="0051211B">
        <w:rPr>
          <w:rFonts w:ascii="Times New Roman" w:hAnsi="Times New Roman" w:cs="Times New Roman"/>
        </w:rPr>
        <w:t>relacionan</w:t>
      </w:r>
      <w:r w:rsidR="00087815">
        <w:rPr>
          <w:rFonts w:ascii="Times New Roman" w:hAnsi="Times New Roman" w:cs="Times New Roman"/>
        </w:rPr>
        <w:t xml:space="preserve"> los diferentes capítulos</w:t>
      </w:r>
      <w:r w:rsidR="00C062E3">
        <w:rPr>
          <w:rFonts w:ascii="Times New Roman" w:hAnsi="Times New Roman" w:cs="Times New Roman"/>
        </w:rPr>
        <w:t xml:space="preserve">. Desde su misma estructura, el libro de Miguel Ángel García generaría así una modalidad más de esta práctica de la lectura activa y meta-reflexiva de la que ofrece un estudio valioso.  </w:t>
      </w:r>
    </w:p>
    <w:p w:rsidR="00C70B79" w:rsidRDefault="00C70B79">
      <w:pPr>
        <w:rPr>
          <w:rFonts w:ascii="Times New Roman" w:hAnsi="Times New Roman" w:cs="Times New Roman"/>
        </w:rPr>
      </w:pPr>
    </w:p>
    <w:p w:rsidR="00466480" w:rsidRDefault="00466480" w:rsidP="00466480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Jéromine</w:t>
      </w:r>
      <w:proofErr w:type="spellEnd"/>
      <w:r>
        <w:rPr>
          <w:rFonts w:ascii="Times New Roman" w:hAnsi="Times New Roman" w:cs="Times New Roman"/>
        </w:rPr>
        <w:t xml:space="preserve"> François, </w:t>
      </w:r>
      <w:proofErr w:type="spellStart"/>
      <w:r>
        <w:rPr>
          <w:rFonts w:ascii="Times New Roman" w:hAnsi="Times New Roman" w:cs="Times New Roman"/>
        </w:rPr>
        <w:t>Université</w:t>
      </w:r>
      <w:proofErr w:type="spellEnd"/>
      <w:r>
        <w:rPr>
          <w:rFonts w:ascii="Times New Roman" w:hAnsi="Times New Roman" w:cs="Times New Roman"/>
        </w:rPr>
        <w:t xml:space="preserve"> de Namur (Namur, Bélgica)</w:t>
      </w:r>
    </w:p>
    <w:p w:rsidR="00466480" w:rsidRDefault="00466480">
      <w:pPr>
        <w:rPr>
          <w:rFonts w:ascii="Times New Roman" w:hAnsi="Times New Roman" w:cs="Times New Roman"/>
        </w:rPr>
      </w:pPr>
    </w:p>
    <w:p w:rsidR="00466480" w:rsidRPr="00466480" w:rsidRDefault="00466480">
      <w:pPr>
        <w:rPr>
          <w:rFonts w:ascii="Times New Roman" w:hAnsi="Times New Roman" w:cs="Times New Roman"/>
        </w:rPr>
      </w:pPr>
    </w:p>
    <w:sectPr w:rsidR="00466480" w:rsidRPr="00466480" w:rsidSect="00E203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102" w:rsidRDefault="00EE4102" w:rsidP="00BC18FA">
      <w:r>
        <w:separator/>
      </w:r>
    </w:p>
  </w:endnote>
  <w:endnote w:type="continuationSeparator" w:id="0">
    <w:p w:rsidR="00EE4102" w:rsidRDefault="00EE4102" w:rsidP="00BC1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102" w:rsidRDefault="00EE4102" w:rsidP="00BC18FA">
      <w:r>
        <w:separator/>
      </w:r>
    </w:p>
  </w:footnote>
  <w:footnote w:type="continuationSeparator" w:id="0">
    <w:p w:rsidR="00EE4102" w:rsidRDefault="00EE4102" w:rsidP="00BC18FA">
      <w:r>
        <w:continuationSeparator/>
      </w:r>
    </w:p>
  </w:footnote>
  <w:footnote w:id="1">
    <w:p w:rsidR="00F65694" w:rsidRPr="0049707F" w:rsidRDefault="00F65694" w:rsidP="0049707F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49707F">
        <w:rPr>
          <w:rStyle w:val="Appelnotedebasdep"/>
          <w:rFonts w:ascii="Times New Roman" w:hAnsi="Times New Roman" w:cs="Times New Roman"/>
          <w:sz w:val="20"/>
          <w:szCs w:val="20"/>
        </w:rPr>
        <w:footnoteRef/>
      </w:r>
      <w:r w:rsidRPr="0049707F">
        <w:rPr>
          <w:rFonts w:ascii="Times New Roman" w:hAnsi="Times New Roman" w:cs="Times New Roman"/>
          <w:sz w:val="20"/>
          <w:szCs w:val="20"/>
        </w:rPr>
        <w:t xml:space="preserve"> </w:t>
      </w:r>
      <w:r w:rsidRPr="0049707F">
        <w:rPr>
          <w:rFonts w:ascii="Times New Roman" w:hAnsi="Times New Roman" w:cs="Times New Roman"/>
          <w:sz w:val="20"/>
          <w:szCs w:val="20"/>
          <w:lang w:val="en-US"/>
        </w:rPr>
        <w:t xml:space="preserve">Bruno Latour: </w:t>
      </w:r>
      <w:r w:rsidRPr="00136E03">
        <w:rPr>
          <w:rFonts w:ascii="Times New Roman" w:hAnsi="Times New Roman" w:cs="Times New Roman"/>
          <w:i/>
          <w:sz w:val="20"/>
          <w:szCs w:val="20"/>
          <w:lang w:val="en-US"/>
        </w:rPr>
        <w:t>Reassembling the Social: An Introduction to Actor-Network-Theory</w:t>
      </w:r>
      <w:r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49707F">
        <w:rPr>
          <w:rFonts w:ascii="Times New Roman" w:hAnsi="Times New Roman" w:cs="Times New Roman"/>
          <w:sz w:val="20"/>
          <w:szCs w:val="20"/>
          <w:lang w:val="en-US"/>
        </w:rPr>
        <w:t xml:space="preserve"> Oxford</w:t>
      </w:r>
      <w:r>
        <w:rPr>
          <w:rFonts w:ascii="Times New Roman" w:hAnsi="Times New Roman" w:cs="Times New Roman"/>
          <w:sz w:val="20"/>
          <w:szCs w:val="20"/>
          <w:lang w:val="en-US"/>
        </w:rPr>
        <w:t>: Oxford University Press</w:t>
      </w:r>
      <w:r w:rsidRPr="0049707F">
        <w:rPr>
          <w:rFonts w:ascii="Times New Roman" w:hAnsi="Times New Roman" w:cs="Times New Roman"/>
          <w:sz w:val="20"/>
          <w:szCs w:val="20"/>
          <w:lang w:val="en-US"/>
        </w:rPr>
        <w:t xml:space="preserve"> 2007. </w:t>
      </w:r>
    </w:p>
  </w:footnote>
  <w:footnote w:id="2">
    <w:p w:rsidR="00F65694" w:rsidRPr="00BC18FA" w:rsidRDefault="00F65694" w:rsidP="00BC18FA">
      <w:pPr>
        <w:pStyle w:val="Notedebasdepage"/>
        <w:jc w:val="both"/>
        <w:rPr>
          <w:rFonts w:ascii="Times New Roman" w:hAnsi="Times New Roman" w:cs="Times New Roman"/>
          <w:lang w:val="fr-FR"/>
        </w:rPr>
      </w:pPr>
      <w:r w:rsidRPr="00BC18FA">
        <w:rPr>
          <w:rStyle w:val="Appelnotedebasdep"/>
          <w:rFonts w:ascii="Times New Roman" w:hAnsi="Times New Roman" w:cs="Times New Roman"/>
        </w:rPr>
        <w:footnoteRef/>
      </w:r>
      <w:r w:rsidRPr="00BC18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actualidad de tales estudios de redes no deja lugar a dudas: </w:t>
      </w:r>
      <w:r>
        <w:rPr>
          <w:rFonts w:ascii="Times New Roman" w:hAnsi="Times New Roman" w:cs="Times New Roman"/>
          <w:lang w:val="fr-FR"/>
        </w:rPr>
        <w:t>la</w:t>
      </w:r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dinámica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lang w:val="fr-FR"/>
        </w:rPr>
        <w:t>conexiones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en el </w:t>
      </w:r>
      <w:proofErr w:type="spellStart"/>
      <w:r w:rsidRPr="00BC18FA">
        <w:rPr>
          <w:rFonts w:ascii="Times New Roman" w:hAnsi="Times New Roman" w:cs="Times New Roman"/>
          <w:lang w:val="fr-FR"/>
        </w:rPr>
        <w:t>mundo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hispánico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durante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el modernismo (en el </w:t>
      </w:r>
      <w:proofErr w:type="spellStart"/>
      <w:r w:rsidRPr="00BC18FA">
        <w:rPr>
          <w:rFonts w:ascii="Times New Roman" w:hAnsi="Times New Roman" w:cs="Times New Roman"/>
          <w:lang w:val="fr-FR"/>
        </w:rPr>
        <w:t>sentido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amplio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de la palabra) </w:t>
      </w:r>
      <w:proofErr w:type="spellStart"/>
      <w:r w:rsidRPr="00BC18FA">
        <w:rPr>
          <w:rFonts w:ascii="Times New Roman" w:hAnsi="Times New Roman" w:cs="Times New Roman"/>
          <w:lang w:val="fr-FR"/>
        </w:rPr>
        <w:t>está</w:t>
      </w:r>
      <w:proofErr w:type="spellEnd"/>
      <w:r>
        <w:rPr>
          <w:rFonts w:ascii="Times New Roman" w:hAnsi="Times New Roman" w:cs="Times New Roman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lang w:val="fr-FR"/>
        </w:rPr>
        <w:t>por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ejemplo</w:t>
      </w:r>
      <w:proofErr w:type="spellEnd"/>
      <w:r>
        <w:rPr>
          <w:rFonts w:ascii="Times New Roman" w:hAnsi="Times New Roman" w:cs="Times New Roman"/>
          <w:lang w:val="fr-FR"/>
        </w:rPr>
        <w:t>,</w:t>
      </w:r>
      <w:r w:rsidRPr="00BC18FA">
        <w:rPr>
          <w:rFonts w:ascii="Times New Roman" w:hAnsi="Times New Roman" w:cs="Times New Roman"/>
          <w:lang w:val="fr-FR"/>
        </w:rPr>
        <w:t xml:space="preserve"> en el </w:t>
      </w:r>
      <w:proofErr w:type="spellStart"/>
      <w:r w:rsidRPr="00BC18FA">
        <w:rPr>
          <w:rFonts w:ascii="Times New Roman" w:hAnsi="Times New Roman" w:cs="Times New Roman"/>
          <w:lang w:val="fr-FR"/>
        </w:rPr>
        <w:t>centro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del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proyecto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actual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i/>
          <w:lang w:val="fr-FR"/>
        </w:rPr>
        <w:t>Map</w:t>
      </w:r>
      <w:proofErr w:type="spellEnd"/>
      <w:r w:rsidRPr="00BC18FA">
        <w:rPr>
          <w:rFonts w:ascii="Times New Roman" w:hAnsi="Times New Roman" w:cs="Times New Roman"/>
          <w:i/>
          <w:lang w:val="fr-FR"/>
        </w:rPr>
        <w:t xml:space="preserve"> Modern</w:t>
      </w:r>
      <w:r w:rsidRPr="00BC18FA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BC18FA">
        <w:rPr>
          <w:rFonts w:ascii="Times New Roman" w:hAnsi="Times New Roman" w:cs="Times New Roman"/>
          <w:lang w:val="fr-FR"/>
        </w:rPr>
        <w:t>dirigido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BC18FA">
        <w:rPr>
          <w:rFonts w:ascii="Times New Roman" w:hAnsi="Times New Roman" w:cs="Times New Roman"/>
          <w:lang w:val="fr-FR"/>
        </w:rPr>
        <w:t>por</w:t>
      </w:r>
      <w:proofErr w:type="spellEnd"/>
      <w:r w:rsidRPr="00BC18FA">
        <w:rPr>
          <w:rFonts w:ascii="Times New Roman" w:hAnsi="Times New Roman" w:cs="Times New Roman"/>
          <w:lang w:val="fr-FR"/>
        </w:rPr>
        <w:t xml:space="preserve"> Diana Roig Sanz (</w:t>
      </w:r>
      <w:hyperlink r:id="rId1" w:history="1">
        <w:r w:rsidRPr="00BC18FA">
          <w:rPr>
            <w:rStyle w:val="Lienhypertexte"/>
            <w:rFonts w:ascii="Times New Roman" w:hAnsi="Times New Roman" w:cs="Times New Roman"/>
            <w:lang w:val="fr-FR"/>
          </w:rPr>
          <w:t>https://mapmodern.wordpress.com</w:t>
        </w:r>
      </w:hyperlink>
      <w:r w:rsidRPr="00BC18FA">
        <w:rPr>
          <w:rFonts w:ascii="Times New Roman" w:hAnsi="Times New Roman" w:cs="Times New Roman"/>
          <w:lang w:val="fr-FR"/>
        </w:rPr>
        <w:t xml:space="preserve">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A1"/>
    <w:rsid w:val="000366FB"/>
    <w:rsid w:val="00045B4C"/>
    <w:rsid w:val="00087815"/>
    <w:rsid w:val="000910F2"/>
    <w:rsid w:val="00093E65"/>
    <w:rsid w:val="00097AFA"/>
    <w:rsid w:val="000B1E81"/>
    <w:rsid w:val="000B79DB"/>
    <w:rsid w:val="000E4555"/>
    <w:rsid w:val="00103DC8"/>
    <w:rsid w:val="00136E03"/>
    <w:rsid w:val="00153133"/>
    <w:rsid w:val="001A1B6D"/>
    <w:rsid w:val="001B5649"/>
    <w:rsid w:val="001E1BEF"/>
    <w:rsid w:val="001E2F7B"/>
    <w:rsid w:val="00213507"/>
    <w:rsid w:val="002277CA"/>
    <w:rsid w:val="0024293D"/>
    <w:rsid w:val="002800F7"/>
    <w:rsid w:val="00291373"/>
    <w:rsid w:val="002A65EA"/>
    <w:rsid w:val="002A75E8"/>
    <w:rsid w:val="002C4F42"/>
    <w:rsid w:val="002E2E12"/>
    <w:rsid w:val="00324414"/>
    <w:rsid w:val="00346693"/>
    <w:rsid w:val="003531E9"/>
    <w:rsid w:val="00377181"/>
    <w:rsid w:val="00394207"/>
    <w:rsid w:val="003B5072"/>
    <w:rsid w:val="003D3C3A"/>
    <w:rsid w:val="00404696"/>
    <w:rsid w:val="0041132E"/>
    <w:rsid w:val="00466480"/>
    <w:rsid w:val="00476A2F"/>
    <w:rsid w:val="0049707F"/>
    <w:rsid w:val="004B6254"/>
    <w:rsid w:val="004D4A0D"/>
    <w:rsid w:val="004F2566"/>
    <w:rsid w:val="0051211B"/>
    <w:rsid w:val="00570402"/>
    <w:rsid w:val="005738FC"/>
    <w:rsid w:val="0057404D"/>
    <w:rsid w:val="005D3293"/>
    <w:rsid w:val="005F0D46"/>
    <w:rsid w:val="006034D5"/>
    <w:rsid w:val="00625239"/>
    <w:rsid w:val="006354EC"/>
    <w:rsid w:val="006437AD"/>
    <w:rsid w:val="00663D81"/>
    <w:rsid w:val="00673745"/>
    <w:rsid w:val="00696261"/>
    <w:rsid w:val="006A5BA7"/>
    <w:rsid w:val="00733600"/>
    <w:rsid w:val="0077263F"/>
    <w:rsid w:val="007A334F"/>
    <w:rsid w:val="007A6FDC"/>
    <w:rsid w:val="007C2520"/>
    <w:rsid w:val="007D27FF"/>
    <w:rsid w:val="007F5328"/>
    <w:rsid w:val="00811126"/>
    <w:rsid w:val="0082040B"/>
    <w:rsid w:val="00855A7E"/>
    <w:rsid w:val="008637DC"/>
    <w:rsid w:val="0087694C"/>
    <w:rsid w:val="0089152A"/>
    <w:rsid w:val="008C044D"/>
    <w:rsid w:val="008F13E6"/>
    <w:rsid w:val="009020DF"/>
    <w:rsid w:val="00910510"/>
    <w:rsid w:val="00910B6F"/>
    <w:rsid w:val="00963185"/>
    <w:rsid w:val="00991229"/>
    <w:rsid w:val="009A330D"/>
    <w:rsid w:val="009E1D52"/>
    <w:rsid w:val="009F23F0"/>
    <w:rsid w:val="00A04203"/>
    <w:rsid w:val="00A04EAA"/>
    <w:rsid w:val="00A4030E"/>
    <w:rsid w:val="00A9236C"/>
    <w:rsid w:val="00AA28E7"/>
    <w:rsid w:val="00B108BC"/>
    <w:rsid w:val="00B23FAA"/>
    <w:rsid w:val="00B5400F"/>
    <w:rsid w:val="00B56963"/>
    <w:rsid w:val="00BA1FEF"/>
    <w:rsid w:val="00BC18FA"/>
    <w:rsid w:val="00BE560E"/>
    <w:rsid w:val="00BF285C"/>
    <w:rsid w:val="00BF7BBC"/>
    <w:rsid w:val="00C062E3"/>
    <w:rsid w:val="00C20984"/>
    <w:rsid w:val="00C253E8"/>
    <w:rsid w:val="00C56877"/>
    <w:rsid w:val="00C70B79"/>
    <w:rsid w:val="00C72760"/>
    <w:rsid w:val="00CD68CF"/>
    <w:rsid w:val="00CE0410"/>
    <w:rsid w:val="00CF6A4C"/>
    <w:rsid w:val="00D2222F"/>
    <w:rsid w:val="00D24028"/>
    <w:rsid w:val="00D37D39"/>
    <w:rsid w:val="00D479CD"/>
    <w:rsid w:val="00D93D6A"/>
    <w:rsid w:val="00DA7E1D"/>
    <w:rsid w:val="00DB1744"/>
    <w:rsid w:val="00DC1E00"/>
    <w:rsid w:val="00E042DD"/>
    <w:rsid w:val="00E2039D"/>
    <w:rsid w:val="00E2184E"/>
    <w:rsid w:val="00E31FA1"/>
    <w:rsid w:val="00E62407"/>
    <w:rsid w:val="00E803D7"/>
    <w:rsid w:val="00E86F2C"/>
    <w:rsid w:val="00E876D8"/>
    <w:rsid w:val="00E912AF"/>
    <w:rsid w:val="00EE4102"/>
    <w:rsid w:val="00EF07B6"/>
    <w:rsid w:val="00F0203C"/>
    <w:rsid w:val="00F636B5"/>
    <w:rsid w:val="00F65694"/>
    <w:rsid w:val="00F95BC0"/>
    <w:rsid w:val="00F96841"/>
    <w:rsid w:val="00FC654A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67A127"/>
  <w14:defaultImageDpi w14:val="32767"/>
  <w15:chartTrackingRefBased/>
  <w15:docId w15:val="{8B2F9FC2-7192-8846-8DF5-4513D82E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18F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18FA"/>
    <w:rPr>
      <w:sz w:val="20"/>
      <w:szCs w:val="20"/>
      <w:lang w:val="es-ES"/>
    </w:rPr>
  </w:style>
  <w:style w:type="character" w:styleId="Appelnotedebasdep">
    <w:name w:val="footnote reference"/>
    <w:basedOn w:val="Policepardfaut"/>
    <w:uiPriority w:val="99"/>
    <w:semiHidden/>
    <w:unhideWhenUsed/>
    <w:rsid w:val="00BC18F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C18F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BC1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mapmodern.wordpres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1519</Words>
  <Characters>8131</Characters>
  <Application>Microsoft Office Word</Application>
  <DocSecurity>0</DocSecurity>
  <Lines>112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jeromine francois</dc:creator>
  <cp:keywords/>
  <dc:description/>
  <cp:lastModifiedBy>jeromine francois</cp:lastModifiedBy>
  <cp:revision>96</cp:revision>
  <cp:lastPrinted>2019-07-23T09:32:00Z</cp:lastPrinted>
  <dcterms:created xsi:type="dcterms:W3CDTF">2019-07-23T06:22:00Z</dcterms:created>
  <dcterms:modified xsi:type="dcterms:W3CDTF">2019-07-23T10:24:00Z</dcterms:modified>
  <cp:category/>
</cp:coreProperties>
</file>