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30" w:type="dxa"/>
        <w:tblInd w:w="2" w:type="dxa"/>
        <w:tblCellMar>
          <w:left w:w="0" w:type="dxa"/>
          <w:right w:w="0" w:type="dxa"/>
        </w:tblCellMar>
        <w:tblLook w:val="00A0"/>
      </w:tblPr>
      <w:tblGrid>
        <w:gridCol w:w="270"/>
        <w:gridCol w:w="1327"/>
        <w:gridCol w:w="7325"/>
        <w:gridCol w:w="270"/>
      </w:tblGrid>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b/>
                <w:bCs/>
                <w:sz w:val="24"/>
                <w:szCs w:val="24"/>
                <w:lang w:val="fr-FR" w:eastAsia="fr-BE"/>
              </w:rPr>
              <w:t>Titre</w:t>
            </w:r>
          </w:p>
        </w:tc>
        <w:tc>
          <w:tcPr>
            <w:tcW w:w="0" w:type="auto"/>
            <w:tcMar>
              <w:top w:w="60" w:type="dxa"/>
              <w:left w:w="60" w:type="dxa"/>
              <w:bottom w:w="60" w:type="dxa"/>
              <w:right w:w="60" w:type="dxa"/>
            </w:tcMar>
          </w:tcPr>
          <w:p w:rsidR="00C2735C" w:rsidRPr="00D729D0" w:rsidRDefault="00C2735C" w:rsidP="00546552">
            <w:pPr>
              <w:spacing w:after="0" w:line="240" w:lineRule="auto"/>
              <w:rPr>
                <w:rFonts w:ascii="Times New Roman" w:hAnsi="Times New Roman"/>
                <w:sz w:val="24"/>
                <w:szCs w:val="24"/>
                <w:lang w:eastAsia="fr-BE"/>
              </w:rPr>
            </w:pPr>
            <w:r>
              <w:rPr>
                <w:rFonts w:ascii="Times New Roman" w:hAnsi="Times New Roman"/>
                <w:bCs/>
                <w:sz w:val="24"/>
                <w:szCs w:val="24"/>
                <w:lang w:val="fr-FR" w:eastAsia="fr-BE"/>
              </w:rPr>
              <w:t>Elévation des kisspeptines plasmatiques chez les hommes obèses avec</w:t>
            </w:r>
            <w:r>
              <w:rPr>
                <w:rFonts w:ascii="Times New Roman" w:hAnsi="Times New Roman"/>
                <w:sz w:val="24"/>
                <w:szCs w:val="24"/>
                <w:lang w:val="fr-FR" w:eastAsia="fr-BE"/>
              </w:rPr>
              <w:t xml:space="preserve"> hypogonadisme acquis</w:t>
            </w:r>
            <w:r>
              <w:rPr>
                <w:rFonts w:ascii="Times New Roman" w:hAnsi="Times New Roman"/>
                <w:bCs/>
                <w:sz w:val="24"/>
                <w:szCs w:val="24"/>
                <w:lang w:val="fr-FR" w:eastAsia="fr-BE"/>
              </w:rPr>
              <w:t xml:space="preserve"> et chez les hommes avec hypogonadisme congénital : étude pilote des modifications plasmatiques des kisspeptines avant et après administration de hCG et Testostérone. </w:t>
            </w:r>
            <w:r w:rsidRPr="00D729D0">
              <w:rPr>
                <w:rFonts w:ascii="Times New Roman" w:hAnsi="Times New Roman"/>
                <w:bCs/>
                <w:sz w:val="24"/>
                <w:szCs w:val="24"/>
                <w:lang w:val="fr-FR" w:eastAsia="fr-BE"/>
              </w:rPr>
              <w:t xml:space="preserve">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b/>
                <w:bCs/>
                <w:sz w:val="24"/>
                <w:szCs w:val="24"/>
                <w:lang w:val="fr-FR" w:eastAsia="fr-BE"/>
              </w:rPr>
              <w:t>Résumé</w:t>
            </w:r>
          </w:p>
        </w:tc>
        <w:tc>
          <w:tcPr>
            <w:tcW w:w="0" w:type="auto"/>
            <w:tcMar>
              <w:top w:w="60" w:type="dxa"/>
              <w:left w:w="60" w:type="dxa"/>
              <w:bottom w:w="60" w:type="dxa"/>
              <w:right w:w="60" w:type="dxa"/>
            </w:tcMar>
          </w:tcPr>
          <w:p w:rsidR="00C2735C" w:rsidRPr="00D729D0" w:rsidRDefault="00C2735C" w:rsidP="003611D8">
            <w:pPr>
              <w:spacing w:after="81" w:line="240" w:lineRule="auto"/>
              <w:rPr>
                <w:rFonts w:ascii="Times New Roman" w:hAnsi="Times New Roman"/>
                <w:sz w:val="24"/>
                <w:szCs w:val="24"/>
                <w:lang w:eastAsia="fr-BE"/>
              </w:rPr>
            </w:pPr>
            <w:r w:rsidRPr="00D729D0">
              <w:rPr>
                <w:rFonts w:ascii="Times New Roman" w:hAnsi="Times New Roman"/>
                <w:sz w:val="24"/>
                <w:szCs w:val="24"/>
                <w:lang w:eastAsia="fr-BE"/>
              </w:rPr>
              <w:t>  </w:t>
            </w:r>
          </w:p>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p w:rsidR="00C2735C" w:rsidRDefault="00C2735C" w:rsidP="003354F3">
            <w:pPr>
              <w:pStyle w:val="NormalWeb"/>
              <w:jc w:val="both"/>
              <w:rPr>
                <w:rFonts w:ascii="Verdana" w:hAnsi="Verdana"/>
                <w:color w:val="000000"/>
                <w:sz w:val="18"/>
                <w:szCs w:val="18"/>
              </w:rPr>
            </w:pPr>
            <w:r>
              <w:rPr>
                <w:rStyle w:val="Strong"/>
                <w:rFonts w:ascii="Verdana" w:hAnsi="Verdana"/>
                <w:color w:val="000000"/>
                <w:sz w:val="18"/>
                <w:szCs w:val="18"/>
              </w:rPr>
              <w:t xml:space="preserve">OBJECTIF : </w:t>
            </w:r>
            <w:r>
              <w:rPr>
                <w:rFonts w:ascii="Verdana" w:hAnsi="Verdana"/>
                <w:color w:val="000000"/>
                <w:sz w:val="18"/>
                <w:szCs w:val="18"/>
              </w:rPr>
              <w:t>Les kisspeptines (Kiss-10, Kiss-13, Kiss-14 et Kiss-54) sont des neuropeptides hypothalamiques stimulant l'axe gonadique. La participation périphérique des kisspeptines dans le contrôle gonadique n’a pas été explorée.</w:t>
            </w:r>
          </w:p>
          <w:p w:rsidR="00C2735C" w:rsidRDefault="00C2735C" w:rsidP="003354F3">
            <w:pPr>
              <w:pStyle w:val="NormalWeb"/>
              <w:jc w:val="both"/>
              <w:rPr>
                <w:rFonts w:ascii="Verdana" w:hAnsi="Verdana"/>
                <w:color w:val="000000"/>
                <w:sz w:val="18"/>
                <w:szCs w:val="18"/>
              </w:rPr>
            </w:pPr>
            <w:r>
              <w:rPr>
                <w:rStyle w:val="Strong"/>
                <w:rFonts w:ascii="Verdana" w:hAnsi="Verdana"/>
                <w:color w:val="000000"/>
                <w:sz w:val="18"/>
                <w:szCs w:val="18"/>
              </w:rPr>
              <w:t>PATIENTS et METHODES:</w:t>
            </w:r>
            <w:r>
              <w:rPr>
                <w:rFonts w:ascii="Verdana" w:hAnsi="Verdana"/>
                <w:color w:val="000000"/>
                <w:sz w:val="18"/>
                <w:szCs w:val="18"/>
              </w:rPr>
              <w:t xml:space="preserve"> Nous avons mesuré avec un kit EIA de Kiss-1 (112-121) - amide / Kisspeptin-10 / Metastin (45-54) – amide (Phoenix) les niveaux plasmatiques de kisspeptines chez 3 groupes :</w:t>
            </w:r>
          </w:p>
          <w:p w:rsidR="00C2735C" w:rsidRDefault="00C2735C" w:rsidP="003354F3">
            <w:pPr>
              <w:pStyle w:val="NormalWeb"/>
              <w:jc w:val="both"/>
              <w:rPr>
                <w:rFonts w:ascii="Verdana" w:hAnsi="Verdana"/>
                <w:color w:val="000000"/>
                <w:sz w:val="18"/>
                <w:szCs w:val="18"/>
              </w:rPr>
            </w:pPr>
            <w:r>
              <w:rPr>
                <w:rFonts w:ascii="Verdana" w:hAnsi="Verdana"/>
                <w:color w:val="000000"/>
                <w:sz w:val="18"/>
                <w:szCs w:val="18"/>
              </w:rPr>
              <w:t>50 hommes avec obésité et hypogonadisme acquis, 12 hommes avec hypogonadisme congénital avant et après traitement (hypogonadisme central : Syndrome de Kallman =4, mutation de LH ß=1, retard pubertaire=2 et hypogonadisme périphérique : Syndrome de Klinefelter=4, testiculaire=1), et 13 contrôles. Nous avons comparé entre groupes : âge, BMI, LH (1-8mUI/L), FSH (2-9 mUI/L), testostérone (2,5-9 µg/L), kisspeptines (ng/ml).</w:t>
            </w:r>
          </w:p>
          <w:p w:rsidR="00C2735C" w:rsidRDefault="00C2735C" w:rsidP="003354F3">
            <w:pPr>
              <w:pStyle w:val="NormalWeb"/>
              <w:jc w:val="both"/>
              <w:rPr>
                <w:rFonts w:ascii="Verdana" w:hAnsi="Verdana"/>
                <w:color w:val="000000"/>
                <w:sz w:val="18"/>
                <w:szCs w:val="18"/>
              </w:rPr>
            </w:pPr>
            <w:r>
              <w:rPr>
                <w:rStyle w:val="Strong"/>
                <w:rFonts w:ascii="Verdana" w:hAnsi="Verdana"/>
                <w:color w:val="000000"/>
                <w:sz w:val="18"/>
                <w:szCs w:val="18"/>
              </w:rPr>
              <w:t>RESULTATS :</w:t>
            </w:r>
            <w:r>
              <w:rPr>
                <w:rFonts w:ascii="Verdana" w:hAnsi="Verdana"/>
                <w:color w:val="000000"/>
                <w:sz w:val="18"/>
                <w:szCs w:val="18"/>
              </w:rPr>
              <w:t xml:space="preserve"> Les kisspeptines dans l'hypogonadisme congénital (1,6±0,13 ng/ml) sont plus élevées par rapport aux obèses (1,16±0,4 ng/ml) et aux contrôles (0,9±0,3 ng/ml, p&lt;0,05), alors que les taux de testostérone dans l'hypogonadisme congénital (0,5±0,5 ng/ml) sont plus bas par rapport aux obèses (2,39±0,8 ng/ml) et aux contrôles (4,7±1,4 ng/ml, p&lt;0,01). Sous Pregnyl 5000 UI/sem, les valeurs de kisspeptines s'élèvent de 1,5±0,9 à 1,91±0,6 ng/ml (p&lt;0,05) chez les patients avec hypogonadisme central congénital. Sous Sustanon 250mg /3 semaines les valeurs de kisspeptines s'élèvent de 1,08±0,5 à 2,9±1,05 ng/ml (p&lt;0,05) chez les patients avec hypogonadisme périphérique congénital.</w:t>
            </w:r>
          </w:p>
          <w:p w:rsidR="00C2735C" w:rsidRDefault="00C2735C" w:rsidP="003354F3">
            <w:pPr>
              <w:pStyle w:val="NormalWeb"/>
              <w:jc w:val="both"/>
              <w:rPr>
                <w:rFonts w:ascii="Verdana" w:hAnsi="Verdana"/>
                <w:color w:val="000000"/>
                <w:sz w:val="18"/>
                <w:szCs w:val="18"/>
              </w:rPr>
            </w:pPr>
            <w:r>
              <w:rPr>
                <w:rStyle w:val="Strong"/>
                <w:rFonts w:ascii="Verdana" w:hAnsi="Verdana"/>
                <w:color w:val="000000"/>
                <w:sz w:val="18"/>
                <w:szCs w:val="18"/>
              </w:rPr>
              <w:t>CONCLUSIONS :</w:t>
            </w:r>
            <w:r>
              <w:rPr>
                <w:rFonts w:ascii="Verdana" w:hAnsi="Verdana"/>
                <w:color w:val="000000"/>
                <w:sz w:val="18"/>
                <w:szCs w:val="18"/>
              </w:rPr>
              <w:t xml:space="preserve"> Les kisspeptines plasmatiques sont modifiées par l'administration de hCG et de testostérone dans l'hypogonadisme congénital. Les différentes concentrations des kisspeptines dans l'obésité et l'hypogonadisme congénital suggèrent un lien possible entre le métabolisme et le système reproducteur.</w:t>
            </w:r>
          </w:p>
          <w:p w:rsidR="00C2735C" w:rsidRPr="00D729D0" w:rsidRDefault="00C2735C" w:rsidP="003354F3">
            <w:pPr>
              <w:spacing w:after="0" w:line="240" w:lineRule="auto"/>
              <w:jc w:val="both"/>
              <w:rPr>
                <w:rFonts w:ascii="Times New Roman" w:hAnsi="Times New Roman"/>
                <w:sz w:val="24"/>
                <w:szCs w:val="24"/>
                <w:lang w:eastAsia="fr-BE"/>
              </w:rPr>
            </w:pPr>
            <w:r w:rsidRPr="00D729D0">
              <w:rPr>
                <w:rFonts w:ascii="Times New Roman" w:hAnsi="Times New Roman"/>
                <w:sz w:val="24"/>
                <w:szCs w:val="24"/>
                <w:lang w:eastAsia="fr-BE"/>
              </w:rPr>
              <w:t> </w:t>
            </w:r>
          </w:p>
          <w:p w:rsidR="00C2735C" w:rsidRPr="00D729D0" w:rsidRDefault="00C2735C" w:rsidP="003611D8">
            <w:pPr>
              <w:spacing w:after="81" w:line="240" w:lineRule="auto"/>
              <w:rPr>
                <w:rFonts w:ascii="Times New Roman" w:hAnsi="Times New Roman"/>
                <w:sz w:val="24"/>
                <w:szCs w:val="24"/>
                <w:lang w:eastAsia="fr-BE"/>
              </w:rPr>
            </w:pPr>
            <w:r w:rsidRPr="00D729D0">
              <w:rPr>
                <w:rFonts w:ascii="Times New Roman" w:hAnsi="Times New Roman"/>
                <w:b/>
                <w:bCs/>
                <w:sz w:val="24"/>
                <w:szCs w:val="24"/>
                <w:lang w:eastAsia="fr-BE"/>
              </w:rPr>
              <w:t xml:space="preserve">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b/>
                <w:bCs/>
                <w:sz w:val="24"/>
                <w:szCs w:val="24"/>
                <w:lang w:val="fr-FR" w:eastAsia="fr-BE"/>
              </w:rPr>
              <w:t>Affiliations</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(1) Endocrinologie. CHU Sart Tilman. Université de Liège, Liège, Belgique.</w:t>
            </w:r>
            <w:r w:rsidRPr="00D729D0">
              <w:rPr>
                <w:rFonts w:ascii="Times New Roman" w:hAnsi="Times New Roman"/>
                <w:sz w:val="24"/>
                <w:szCs w:val="24"/>
                <w:lang w:eastAsia="fr-BE"/>
              </w:rPr>
              <w:br/>
            </w:r>
            <w:r w:rsidRPr="00D729D0">
              <w:rPr>
                <w:rFonts w:ascii="Times New Roman" w:hAnsi="Times New Roman"/>
                <w:sz w:val="24"/>
                <w:szCs w:val="24"/>
                <w:lang w:val="fr-FR" w:eastAsia="fr-BE"/>
              </w:rPr>
              <w:t>(2) De fond national de la Recherche Scientifique., Liège, Belgique.</w:t>
            </w:r>
            <w:r w:rsidRPr="00D729D0">
              <w:rPr>
                <w:rFonts w:ascii="Times New Roman" w:hAnsi="Times New Roman"/>
                <w:sz w:val="24"/>
                <w:szCs w:val="24"/>
                <w:lang w:eastAsia="fr-BE"/>
              </w:rPr>
              <w:br/>
            </w:r>
            <w:r w:rsidRPr="00D729D0">
              <w:rPr>
                <w:rFonts w:ascii="Times New Roman" w:hAnsi="Times New Roman"/>
                <w:sz w:val="24"/>
                <w:szCs w:val="24"/>
                <w:lang w:val="fr-FR" w:eastAsia="fr-BE"/>
              </w:rPr>
              <w:t>(3) Biologie clinique. CHU Sart Tilman. Université de Liège, Liège, Belgique.</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b/>
                <w:bCs/>
                <w:sz w:val="24"/>
                <w:szCs w:val="24"/>
                <w:lang w:val="fr-FR" w:eastAsia="fr-BE"/>
              </w:rPr>
              <w:t>Auteurs</w:t>
            </w:r>
          </w:p>
        </w:tc>
        <w:tc>
          <w:tcPr>
            <w:tcW w:w="0" w:type="auto"/>
            <w:tcMar>
              <w:top w:w="60" w:type="dxa"/>
              <w:left w:w="60" w:type="dxa"/>
              <w:bottom w:w="60" w:type="dxa"/>
              <w:right w:w="60" w:type="dxa"/>
            </w:tcMar>
          </w:tcPr>
          <w:tbl>
            <w:tblPr>
              <w:tblW w:w="0" w:type="auto"/>
              <w:tblCellSpacing w:w="0" w:type="dxa"/>
              <w:tblCellMar>
                <w:left w:w="0" w:type="dxa"/>
                <w:right w:w="0" w:type="dxa"/>
              </w:tblCellMar>
              <w:tblLook w:val="00A0"/>
            </w:tblPr>
            <w:tblGrid>
              <w:gridCol w:w="1562"/>
              <w:gridCol w:w="1796"/>
              <w:gridCol w:w="329"/>
              <w:gridCol w:w="329"/>
              <w:gridCol w:w="1236"/>
            </w:tblGrid>
            <w:tr w:rsidR="00C2735C" w:rsidRPr="00D729D0">
              <w:trPr>
                <w:tblCellSpacing w:w="0" w:type="dxa"/>
              </w:trPr>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Hernan</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VALDES-SOCIN</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(1) </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(2) </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Présentation</w:t>
                  </w:r>
                </w:p>
              </w:tc>
            </w:tr>
            <w:tr w:rsidR="00C2735C" w:rsidRPr="00D729D0">
              <w:trPr>
                <w:tblCellSpacing w:w="0" w:type="dxa"/>
              </w:trPr>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Etienne</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CAVALIER</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(3) </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r>
            <w:tr w:rsidR="00C2735C" w:rsidRPr="00D729D0">
              <w:trPr>
                <w:tblCellSpacing w:w="0" w:type="dxa"/>
              </w:trPr>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Anne Catherine</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BECKAERT</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(3) </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r>
            <w:tr w:rsidR="00C2735C" w:rsidRPr="00D729D0">
              <w:trPr>
                <w:tblCellSpacing w:w="0" w:type="dxa"/>
              </w:trPr>
              <w:tc>
                <w:tcPr>
                  <w:tcW w:w="0" w:type="auto"/>
                  <w:tcMar>
                    <w:top w:w="0" w:type="dxa"/>
                    <w:left w:w="0" w:type="dxa"/>
                    <w:bottom w:w="0" w:type="dxa"/>
                    <w:right w:w="49" w:type="dxa"/>
                  </w:tcMar>
                </w:tcPr>
                <w:p w:rsidR="00C2735C" w:rsidRDefault="00C2735C" w:rsidP="003611D8">
                  <w:pPr>
                    <w:spacing w:after="0" w:line="240" w:lineRule="auto"/>
                    <w:rPr>
                      <w:rFonts w:ascii="Times New Roman" w:hAnsi="Times New Roman"/>
                      <w:sz w:val="24"/>
                      <w:szCs w:val="24"/>
                      <w:lang w:val="fr-FR" w:eastAsia="fr-BE"/>
                    </w:rPr>
                  </w:pPr>
                  <w:r w:rsidRPr="00D729D0">
                    <w:rPr>
                      <w:rFonts w:ascii="Times New Roman" w:hAnsi="Times New Roman"/>
                      <w:sz w:val="24"/>
                      <w:szCs w:val="24"/>
                      <w:lang w:val="fr-FR" w:eastAsia="fr-BE"/>
                    </w:rPr>
                    <w:t>Agnès</w:t>
                  </w:r>
                </w:p>
                <w:p w:rsidR="00C2735C" w:rsidRPr="00D729D0" w:rsidRDefault="00C2735C" w:rsidP="003611D8">
                  <w:pPr>
                    <w:spacing w:after="0" w:line="240" w:lineRule="auto"/>
                    <w:rPr>
                      <w:rFonts w:ascii="Times New Roman" w:hAnsi="Times New Roman"/>
                      <w:sz w:val="24"/>
                      <w:szCs w:val="24"/>
                      <w:lang w:eastAsia="fr-BE"/>
                    </w:rPr>
                  </w:pPr>
                  <w:r>
                    <w:rPr>
                      <w:rFonts w:ascii="Times New Roman" w:hAnsi="Times New Roman"/>
                      <w:sz w:val="24"/>
                      <w:szCs w:val="24"/>
                      <w:lang w:val="fr-FR" w:eastAsia="fr-BE"/>
                    </w:rPr>
                    <w:t xml:space="preserve">Marcela </w:t>
                  </w:r>
                </w:p>
              </w:tc>
              <w:tc>
                <w:tcPr>
                  <w:tcW w:w="0" w:type="auto"/>
                  <w:tcMar>
                    <w:top w:w="0" w:type="dxa"/>
                    <w:left w:w="0" w:type="dxa"/>
                    <w:bottom w:w="0" w:type="dxa"/>
                    <w:right w:w="49" w:type="dxa"/>
                  </w:tcMar>
                </w:tcPr>
                <w:p w:rsidR="00C2735C" w:rsidRDefault="00C2735C" w:rsidP="003611D8">
                  <w:pPr>
                    <w:spacing w:after="0" w:line="240" w:lineRule="auto"/>
                    <w:rPr>
                      <w:rFonts w:ascii="Times New Roman" w:hAnsi="Times New Roman"/>
                      <w:sz w:val="24"/>
                      <w:szCs w:val="24"/>
                      <w:lang w:val="fr-FR" w:eastAsia="fr-BE"/>
                    </w:rPr>
                  </w:pPr>
                  <w:r w:rsidRPr="00D729D0">
                    <w:rPr>
                      <w:rFonts w:ascii="Times New Roman" w:hAnsi="Times New Roman"/>
                      <w:sz w:val="24"/>
                      <w:szCs w:val="24"/>
                      <w:lang w:val="fr-FR" w:eastAsia="fr-BE"/>
                    </w:rPr>
                    <w:t>CARLISI</w:t>
                  </w:r>
                </w:p>
                <w:p w:rsidR="00C2735C" w:rsidRPr="00D729D0" w:rsidRDefault="00C2735C" w:rsidP="003611D8">
                  <w:pPr>
                    <w:spacing w:after="0" w:line="240" w:lineRule="auto"/>
                    <w:rPr>
                      <w:rFonts w:ascii="Times New Roman" w:hAnsi="Times New Roman"/>
                      <w:sz w:val="24"/>
                      <w:szCs w:val="24"/>
                      <w:lang w:eastAsia="fr-BE"/>
                    </w:rPr>
                  </w:pPr>
                  <w:r>
                    <w:rPr>
                      <w:rFonts w:ascii="Times New Roman" w:hAnsi="Times New Roman"/>
                      <w:sz w:val="24"/>
                      <w:szCs w:val="24"/>
                      <w:lang w:val="fr-FR" w:eastAsia="fr-BE"/>
                    </w:rPr>
                    <w:t>CHAVEZ</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(3) </w:t>
                  </w:r>
                </w:p>
              </w:tc>
              <w:tc>
                <w:tcPr>
                  <w:tcW w:w="0" w:type="auto"/>
                  <w:tcMar>
                    <w:top w:w="0" w:type="dxa"/>
                    <w:left w:w="0" w:type="dxa"/>
                    <w:bottom w:w="0" w:type="dxa"/>
                    <w:right w:w="49" w:type="dxa"/>
                  </w:tcMar>
                </w:tcPr>
                <w:p w:rsidR="00C2735C" w:rsidRDefault="00C2735C" w:rsidP="003611D8">
                  <w:pPr>
                    <w:spacing w:after="0" w:line="240" w:lineRule="auto"/>
                    <w:rPr>
                      <w:rFonts w:ascii="Times New Roman" w:hAnsi="Times New Roman"/>
                      <w:sz w:val="24"/>
                      <w:szCs w:val="24"/>
                      <w:lang w:eastAsia="fr-BE"/>
                    </w:rPr>
                  </w:pPr>
                </w:p>
                <w:p w:rsidR="00C2735C" w:rsidRPr="00D729D0" w:rsidRDefault="00C2735C" w:rsidP="003611D8">
                  <w:pPr>
                    <w:spacing w:after="0" w:line="240" w:lineRule="auto"/>
                    <w:rPr>
                      <w:rFonts w:ascii="Times New Roman" w:hAnsi="Times New Roman"/>
                      <w:sz w:val="24"/>
                      <w:szCs w:val="24"/>
                      <w:lang w:eastAsia="fr-BE"/>
                    </w:rPr>
                  </w:pP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r>
            <w:tr w:rsidR="00C2735C" w:rsidRPr="00D729D0">
              <w:trPr>
                <w:tblCellSpacing w:w="0" w:type="dxa"/>
              </w:trPr>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Albert</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val="fr-FR" w:eastAsia="fr-BE"/>
                    </w:rPr>
                    <w:t>BECKERS</w:t>
                  </w: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xml:space="preserve">(1) </w:t>
                  </w:r>
                </w:p>
              </w:tc>
              <w:tc>
                <w:tcPr>
                  <w:tcW w:w="0" w:type="auto"/>
                  <w:tcMar>
                    <w:top w:w="0" w:type="dxa"/>
                    <w:left w:w="0" w:type="dxa"/>
                    <w:bottom w:w="0" w:type="dxa"/>
                    <w:right w:w="49" w:type="dxa"/>
                  </w:tcMar>
                </w:tcPr>
                <w:p w:rsidR="00C2735C" w:rsidRDefault="00C2735C" w:rsidP="003611D8">
                  <w:pPr>
                    <w:spacing w:after="0" w:line="240" w:lineRule="auto"/>
                    <w:rPr>
                      <w:rFonts w:ascii="Times New Roman" w:hAnsi="Times New Roman"/>
                      <w:sz w:val="24"/>
                      <w:szCs w:val="24"/>
                      <w:lang w:eastAsia="fr-BE"/>
                    </w:rPr>
                  </w:pPr>
                </w:p>
                <w:p w:rsidR="00C2735C" w:rsidRPr="00D729D0" w:rsidRDefault="00C2735C" w:rsidP="003611D8">
                  <w:pPr>
                    <w:spacing w:after="0" w:line="240" w:lineRule="auto"/>
                    <w:rPr>
                      <w:rFonts w:ascii="Times New Roman" w:hAnsi="Times New Roman"/>
                      <w:sz w:val="24"/>
                      <w:szCs w:val="24"/>
                      <w:lang w:eastAsia="fr-BE"/>
                    </w:rPr>
                  </w:pPr>
                </w:p>
              </w:tc>
              <w:tc>
                <w:tcPr>
                  <w:tcW w:w="0" w:type="auto"/>
                  <w:tcMar>
                    <w:top w:w="0" w:type="dxa"/>
                    <w:left w:w="0" w:type="dxa"/>
                    <w:bottom w:w="0" w:type="dxa"/>
                    <w:right w:w="49" w:type="dxa"/>
                  </w:tcMar>
                </w:tcPr>
                <w:p w:rsidR="00C2735C" w:rsidRPr="00D729D0" w:rsidRDefault="00C2735C" w:rsidP="003611D8">
                  <w:pPr>
                    <w:spacing w:after="0" w:line="240" w:lineRule="auto"/>
                    <w:rPr>
                      <w:rFonts w:ascii="Times New Roman" w:hAnsi="Times New Roman"/>
                      <w:sz w:val="24"/>
                      <w:szCs w:val="24"/>
                      <w:lang w:eastAsia="fr-BE"/>
                    </w:rPr>
                  </w:pPr>
                </w:p>
              </w:tc>
            </w:tr>
          </w:tbl>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r>
      <w:tr w:rsidR="00C2735C" w:rsidRPr="00D729D0">
        <w:trPr>
          <w:tblCellSpacing w:w="30" w:type="dxa"/>
        </w:trPr>
        <w:tc>
          <w:tcPr>
            <w:tcW w:w="180" w:type="dxa"/>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r w:rsidRPr="00D729D0">
              <w:rPr>
                <w:rFonts w:ascii="Times New Roman" w:hAnsi="Times New Roman"/>
                <w:sz w:val="24"/>
                <w:szCs w:val="24"/>
                <w:lang w:eastAsia="fr-BE"/>
              </w:rPr>
              <w:t> </w:t>
            </w: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tcMar>
              <w:top w:w="60" w:type="dxa"/>
              <w:left w:w="60" w:type="dxa"/>
              <w:bottom w:w="60" w:type="dxa"/>
              <w:right w:w="60" w:type="dxa"/>
            </w:tcMar>
          </w:tcPr>
          <w:p w:rsidR="00C2735C" w:rsidRPr="00D729D0" w:rsidRDefault="00C2735C" w:rsidP="003611D8">
            <w:pPr>
              <w:spacing w:after="0" w:line="240" w:lineRule="auto"/>
              <w:rPr>
                <w:rFonts w:ascii="Times New Roman" w:hAnsi="Times New Roman"/>
                <w:sz w:val="24"/>
                <w:szCs w:val="24"/>
                <w:lang w:eastAsia="fr-BE"/>
              </w:rPr>
            </w:pPr>
          </w:p>
        </w:tc>
        <w:tc>
          <w:tcPr>
            <w:tcW w:w="0" w:type="auto"/>
            <w:vAlign w:val="center"/>
          </w:tcPr>
          <w:p w:rsidR="00C2735C" w:rsidRPr="00D729D0" w:rsidRDefault="00C2735C" w:rsidP="003611D8">
            <w:pPr>
              <w:spacing w:after="0" w:line="240" w:lineRule="auto"/>
              <w:rPr>
                <w:rFonts w:ascii="Times New Roman" w:hAnsi="Times New Roman"/>
                <w:sz w:val="24"/>
                <w:szCs w:val="24"/>
                <w:lang w:eastAsia="fr-BE"/>
              </w:rPr>
            </w:pPr>
          </w:p>
        </w:tc>
      </w:tr>
    </w:tbl>
    <w:p w:rsidR="00C2735C" w:rsidRPr="00D729D0" w:rsidRDefault="00C2735C">
      <w:pPr>
        <w:rPr>
          <w:rFonts w:ascii="Times New Roman" w:hAnsi="Times New Roman"/>
          <w:sz w:val="24"/>
          <w:szCs w:val="24"/>
        </w:rPr>
      </w:pPr>
    </w:p>
    <w:sectPr w:rsidR="00C2735C" w:rsidRPr="00D729D0" w:rsidSect="00923F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1D8"/>
    <w:rsid w:val="0000230A"/>
    <w:rsid w:val="00013866"/>
    <w:rsid w:val="0002422E"/>
    <w:rsid w:val="00042FE3"/>
    <w:rsid w:val="00045703"/>
    <w:rsid w:val="00082707"/>
    <w:rsid w:val="000A5DA2"/>
    <w:rsid w:val="000A6D67"/>
    <w:rsid w:val="000A7C11"/>
    <w:rsid w:val="000B07E2"/>
    <w:rsid w:val="000B1C74"/>
    <w:rsid w:val="000B5623"/>
    <w:rsid w:val="000C366C"/>
    <w:rsid w:val="000D064F"/>
    <w:rsid w:val="000E0214"/>
    <w:rsid w:val="000E46FD"/>
    <w:rsid w:val="000E4D3B"/>
    <w:rsid w:val="000F3899"/>
    <w:rsid w:val="00105B12"/>
    <w:rsid w:val="00105BEC"/>
    <w:rsid w:val="00106168"/>
    <w:rsid w:val="00106A3F"/>
    <w:rsid w:val="00106CF5"/>
    <w:rsid w:val="00114929"/>
    <w:rsid w:val="0011657D"/>
    <w:rsid w:val="0011724C"/>
    <w:rsid w:val="0012255A"/>
    <w:rsid w:val="00141CBB"/>
    <w:rsid w:val="001615C5"/>
    <w:rsid w:val="00166624"/>
    <w:rsid w:val="00171D9A"/>
    <w:rsid w:val="001833F6"/>
    <w:rsid w:val="00185662"/>
    <w:rsid w:val="00197DF1"/>
    <w:rsid w:val="001A0EFD"/>
    <w:rsid w:val="001A3E5D"/>
    <w:rsid w:val="001B1F68"/>
    <w:rsid w:val="001C272B"/>
    <w:rsid w:val="001C79A5"/>
    <w:rsid w:val="001D5ACF"/>
    <w:rsid w:val="001D7B48"/>
    <w:rsid w:val="001F6593"/>
    <w:rsid w:val="00203DC6"/>
    <w:rsid w:val="002055BB"/>
    <w:rsid w:val="0022526B"/>
    <w:rsid w:val="00225772"/>
    <w:rsid w:val="00231202"/>
    <w:rsid w:val="002418D4"/>
    <w:rsid w:val="0025009C"/>
    <w:rsid w:val="00253724"/>
    <w:rsid w:val="0025499D"/>
    <w:rsid w:val="00262CBD"/>
    <w:rsid w:val="00264D06"/>
    <w:rsid w:val="00284AF4"/>
    <w:rsid w:val="0028602B"/>
    <w:rsid w:val="002A10E5"/>
    <w:rsid w:val="002B400B"/>
    <w:rsid w:val="002B40E3"/>
    <w:rsid w:val="002C5A14"/>
    <w:rsid w:val="002D3366"/>
    <w:rsid w:val="002E6ABA"/>
    <w:rsid w:val="00302FDC"/>
    <w:rsid w:val="0031097E"/>
    <w:rsid w:val="00317CB8"/>
    <w:rsid w:val="00321C25"/>
    <w:rsid w:val="00326687"/>
    <w:rsid w:val="00330FCC"/>
    <w:rsid w:val="003349C6"/>
    <w:rsid w:val="003354F3"/>
    <w:rsid w:val="00337FCD"/>
    <w:rsid w:val="00341F81"/>
    <w:rsid w:val="003479FC"/>
    <w:rsid w:val="003611D8"/>
    <w:rsid w:val="0036355B"/>
    <w:rsid w:val="00365A53"/>
    <w:rsid w:val="00381E58"/>
    <w:rsid w:val="00382044"/>
    <w:rsid w:val="00384EA3"/>
    <w:rsid w:val="00393196"/>
    <w:rsid w:val="003A63CB"/>
    <w:rsid w:val="003B2294"/>
    <w:rsid w:val="003C4F6F"/>
    <w:rsid w:val="003C753F"/>
    <w:rsid w:val="003D6C1F"/>
    <w:rsid w:val="003E287D"/>
    <w:rsid w:val="003F065D"/>
    <w:rsid w:val="003F5BF9"/>
    <w:rsid w:val="003F7472"/>
    <w:rsid w:val="0040150D"/>
    <w:rsid w:val="004019AB"/>
    <w:rsid w:val="004026B7"/>
    <w:rsid w:val="00403704"/>
    <w:rsid w:val="00405447"/>
    <w:rsid w:val="00423B1A"/>
    <w:rsid w:val="0042696C"/>
    <w:rsid w:val="00433753"/>
    <w:rsid w:val="00440AC6"/>
    <w:rsid w:val="00451313"/>
    <w:rsid w:val="00476490"/>
    <w:rsid w:val="004861CF"/>
    <w:rsid w:val="004B5B9E"/>
    <w:rsid w:val="004C22F4"/>
    <w:rsid w:val="004C6C91"/>
    <w:rsid w:val="004D12C3"/>
    <w:rsid w:val="004D564D"/>
    <w:rsid w:val="004D6417"/>
    <w:rsid w:val="004E1EA7"/>
    <w:rsid w:val="004F28B6"/>
    <w:rsid w:val="004F3A04"/>
    <w:rsid w:val="004F4EE8"/>
    <w:rsid w:val="0050586A"/>
    <w:rsid w:val="00506E05"/>
    <w:rsid w:val="00510563"/>
    <w:rsid w:val="00525BB0"/>
    <w:rsid w:val="00527DA2"/>
    <w:rsid w:val="00532AE4"/>
    <w:rsid w:val="0053318A"/>
    <w:rsid w:val="005444BA"/>
    <w:rsid w:val="00546552"/>
    <w:rsid w:val="0055196E"/>
    <w:rsid w:val="00555EC7"/>
    <w:rsid w:val="00557865"/>
    <w:rsid w:val="005578DB"/>
    <w:rsid w:val="00566863"/>
    <w:rsid w:val="0057721B"/>
    <w:rsid w:val="005966EF"/>
    <w:rsid w:val="005B43E5"/>
    <w:rsid w:val="005C0624"/>
    <w:rsid w:val="005C12F4"/>
    <w:rsid w:val="005C36DE"/>
    <w:rsid w:val="005C7F4D"/>
    <w:rsid w:val="005D7984"/>
    <w:rsid w:val="005E1FB9"/>
    <w:rsid w:val="005E373A"/>
    <w:rsid w:val="005E4B5C"/>
    <w:rsid w:val="005E61C5"/>
    <w:rsid w:val="005F1056"/>
    <w:rsid w:val="005F2A0D"/>
    <w:rsid w:val="005F75FB"/>
    <w:rsid w:val="006004A1"/>
    <w:rsid w:val="00605B2C"/>
    <w:rsid w:val="00607E95"/>
    <w:rsid w:val="00616DF4"/>
    <w:rsid w:val="00621259"/>
    <w:rsid w:val="0064135B"/>
    <w:rsid w:val="00666C30"/>
    <w:rsid w:val="00667A3D"/>
    <w:rsid w:val="00683C7D"/>
    <w:rsid w:val="00685BB2"/>
    <w:rsid w:val="006934DB"/>
    <w:rsid w:val="006A6831"/>
    <w:rsid w:val="006A70F5"/>
    <w:rsid w:val="006B6DD7"/>
    <w:rsid w:val="006C619D"/>
    <w:rsid w:val="006F1017"/>
    <w:rsid w:val="006F1CB1"/>
    <w:rsid w:val="006F5920"/>
    <w:rsid w:val="00702592"/>
    <w:rsid w:val="007149F7"/>
    <w:rsid w:val="00716085"/>
    <w:rsid w:val="0072509F"/>
    <w:rsid w:val="007339EE"/>
    <w:rsid w:val="00735961"/>
    <w:rsid w:val="00740CE9"/>
    <w:rsid w:val="0077137A"/>
    <w:rsid w:val="007730BD"/>
    <w:rsid w:val="00773E6A"/>
    <w:rsid w:val="00775876"/>
    <w:rsid w:val="00775BC2"/>
    <w:rsid w:val="007766BD"/>
    <w:rsid w:val="00790FB8"/>
    <w:rsid w:val="0079323F"/>
    <w:rsid w:val="007A618D"/>
    <w:rsid w:val="007B1629"/>
    <w:rsid w:val="007B2AE0"/>
    <w:rsid w:val="007B5E9C"/>
    <w:rsid w:val="007E6EAD"/>
    <w:rsid w:val="007F644A"/>
    <w:rsid w:val="0080231E"/>
    <w:rsid w:val="0080795E"/>
    <w:rsid w:val="00816FAD"/>
    <w:rsid w:val="00817845"/>
    <w:rsid w:val="008350D4"/>
    <w:rsid w:val="008618B3"/>
    <w:rsid w:val="00861F22"/>
    <w:rsid w:val="0086461B"/>
    <w:rsid w:val="00870FE9"/>
    <w:rsid w:val="00873257"/>
    <w:rsid w:val="008831F9"/>
    <w:rsid w:val="00886D8C"/>
    <w:rsid w:val="00890DCA"/>
    <w:rsid w:val="008A39D0"/>
    <w:rsid w:val="008C2569"/>
    <w:rsid w:val="008D4997"/>
    <w:rsid w:val="008E14EE"/>
    <w:rsid w:val="008E2A64"/>
    <w:rsid w:val="008E78A9"/>
    <w:rsid w:val="008F40DA"/>
    <w:rsid w:val="008F5172"/>
    <w:rsid w:val="0090492C"/>
    <w:rsid w:val="00907E43"/>
    <w:rsid w:val="0091107A"/>
    <w:rsid w:val="009174E8"/>
    <w:rsid w:val="00923443"/>
    <w:rsid w:val="00923E9F"/>
    <w:rsid w:val="00923F19"/>
    <w:rsid w:val="009249D3"/>
    <w:rsid w:val="0093029F"/>
    <w:rsid w:val="00933264"/>
    <w:rsid w:val="009441D3"/>
    <w:rsid w:val="00952E35"/>
    <w:rsid w:val="00953E8F"/>
    <w:rsid w:val="009555C1"/>
    <w:rsid w:val="009619BF"/>
    <w:rsid w:val="00962CD1"/>
    <w:rsid w:val="00962FCF"/>
    <w:rsid w:val="00965CF0"/>
    <w:rsid w:val="0096619E"/>
    <w:rsid w:val="009713C9"/>
    <w:rsid w:val="00975F29"/>
    <w:rsid w:val="009901CB"/>
    <w:rsid w:val="00993374"/>
    <w:rsid w:val="009A056F"/>
    <w:rsid w:val="009C08B3"/>
    <w:rsid w:val="009C5608"/>
    <w:rsid w:val="009C6DBC"/>
    <w:rsid w:val="009C7BA4"/>
    <w:rsid w:val="009D36C8"/>
    <w:rsid w:val="009D608E"/>
    <w:rsid w:val="009D62BF"/>
    <w:rsid w:val="009E11F4"/>
    <w:rsid w:val="009E6319"/>
    <w:rsid w:val="009F28BA"/>
    <w:rsid w:val="009F5BC1"/>
    <w:rsid w:val="009F777E"/>
    <w:rsid w:val="00A01662"/>
    <w:rsid w:val="00A12ED6"/>
    <w:rsid w:val="00A13664"/>
    <w:rsid w:val="00A23CCD"/>
    <w:rsid w:val="00A24564"/>
    <w:rsid w:val="00A26737"/>
    <w:rsid w:val="00A340C8"/>
    <w:rsid w:val="00A36349"/>
    <w:rsid w:val="00A36D20"/>
    <w:rsid w:val="00A37308"/>
    <w:rsid w:val="00A454CF"/>
    <w:rsid w:val="00A558C5"/>
    <w:rsid w:val="00A5720F"/>
    <w:rsid w:val="00A67DF6"/>
    <w:rsid w:val="00A75DA6"/>
    <w:rsid w:val="00A8131B"/>
    <w:rsid w:val="00A8486C"/>
    <w:rsid w:val="00A97E7F"/>
    <w:rsid w:val="00AA0359"/>
    <w:rsid w:val="00AA2402"/>
    <w:rsid w:val="00AA4E02"/>
    <w:rsid w:val="00AD702F"/>
    <w:rsid w:val="00AE1CA3"/>
    <w:rsid w:val="00AF2D0A"/>
    <w:rsid w:val="00AF2EC9"/>
    <w:rsid w:val="00AF74FE"/>
    <w:rsid w:val="00B177B5"/>
    <w:rsid w:val="00B638C8"/>
    <w:rsid w:val="00B64121"/>
    <w:rsid w:val="00B9273C"/>
    <w:rsid w:val="00B943AD"/>
    <w:rsid w:val="00BB5F05"/>
    <w:rsid w:val="00BB70BA"/>
    <w:rsid w:val="00BB7A41"/>
    <w:rsid w:val="00BD0C01"/>
    <w:rsid w:val="00BD33F8"/>
    <w:rsid w:val="00BD6E39"/>
    <w:rsid w:val="00BE2F6F"/>
    <w:rsid w:val="00BF57B3"/>
    <w:rsid w:val="00C00606"/>
    <w:rsid w:val="00C11466"/>
    <w:rsid w:val="00C1454E"/>
    <w:rsid w:val="00C15493"/>
    <w:rsid w:val="00C2735C"/>
    <w:rsid w:val="00C30119"/>
    <w:rsid w:val="00C40EB6"/>
    <w:rsid w:val="00C6288E"/>
    <w:rsid w:val="00C85B50"/>
    <w:rsid w:val="00CA3C01"/>
    <w:rsid w:val="00CA6938"/>
    <w:rsid w:val="00CC4156"/>
    <w:rsid w:val="00CD4F53"/>
    <w:rsid w:val="00CE59A1"/>
    <w:rsid w:val="00CE6314"/>
    <w:rsid w:val="00CE7538"/>
    <w:rsid w:val="00CF657F"/>
    <w:rsid w:val="00D009B2"/>
    <w:rsid w:val="00D00B47"/>
    <w:rsid w:val="00D17175"/>
    <w:rsid w:val="00D23149"/>
    <w:rsid w:val="00D24FE2"/>
    <w:rsid w:val="00D36A43"/>
    <w:rsid w:val="00D44E6B"/>
    <w:rsid w:val="00D45354"/>
    <w:rsid w:val="00D729D0"/>
    <w:rsid w:val="00D84A28"/>
    <w:rsid w:val="00D9241E"/>
    <w:rsid w:val="00D9689D"/>
    <w:rsid w:val="00DA406E"/>
    <w:rsid w:val="00DA6CA8"/>
    <w:rsid w:val="00DB36B0"/>
    <w:rsid w:val="00DB3C13"/>
    <w:rsid w:val="00DD218E"/>
    <w:rsid w:val="00DD57CC"/>
    <w:rsid w:val="00DD6868"/>
    <w:rsid w:val="00DE09CC"/>
    <w:rsid w:val="00DE4F7A"/>
    <w:rsid w:val="00DF1F47"/>
    <w:rsid w:val="00DF5782"/>
    <w:rsid w:val="00DF68DE"/>
    <w:rsid w:val="00E01733"/>
    <w:rsid w:val="00E07F98"/>
    <w:rsid w:val="00E14386"/>
    <w:rsid w:val="00E22B1D"/>
    <w:rsid w:val="00E3192B"/>
    <w:rsid w:val="00E360C8"/>
    <w:rsid w:val="00E47FAF"/>
    <w:rsid w:val="00E571E4"/>
    <w:rsid w:val="00E71E20"/>
    <w:rsid w:val="00E72B6F"/>
    <w:rsid w:val="00E72BC8"/>
    <w:rsid w:val="00E821D2"/>
    <w:rsid w:val="00E84DD6"/>
    <w:rsid w:val="00E925F7"/>
    <w:rsid w:val="00E93B29"/>
    <w:rsid w:val="00E94051"/>
    <w:rsid w:val="00E94960"/>
    <w:rsid w:val="00E95372"/>
    <w:rsid w:val="00E972E0"/>
    <w:rsid w:val="00EA4B04"/>
    <w:rsid w:val="00EA7D3C"/>
    <w:rsid w:val="00EB7790"/>
    <w:rsid w:val="00EB7F31"/>
    <w:rsid w:val="00EC478C"/>
    <w:rsid w:val="00EE0AF0"/>
    <w:rsid w:val="00EE149F"/>
    <w:rsid w:val="00EE39FC"/>
    <w:rsid w:val="00EE4679"/>
    <w:rsid w:val="00F07A02"/>
    <w:rsid w:val="00F156CB"/>
    <w:rsid w:val="00F205FA"/>
    <w:rsid w:val="00F21E09"/>
    <w:rsid w:val="00F332FD"/>
    <w:rsid w:val="00F33355"/>
    <w:rsid w:val="00F42F36"/>
    <w:rsid w:val="00F47027"/>
    <w:rsid w:val="00F47084"/>
    <w:rsid w:val="00F547F3"/>
    <w:rsid w:val="00F5594B"/>
    <w:rsid w:val="00F55A3D"/>
    <w:rsid w:val="00F57C7E"/>
    <w:rsid w:val="00F62978"/>
    <w:rsid w:val="00F70C02"/>
    <w:rsid w:val="00F804A7"/>
    <w:rsid w:val="00F86904"/>
    <w:rsid w:val="00F94E5B"/>
    <w:rsid w:val="00FA11D6"/>
    <w:rsid w:val="00FA701C"/>
    <w:rsid w:val="00FB30A4"/>
    <w:rsid w:val="00FB4AF5"/>
    <w:rsid w:val="00FD0B9A"/>
    <w:rsid w:val="00FD75D4"/>
    <w:rsid w:val="00FE214A"/>
    <w:rsid w:val="00FE220C"/>
    <w:rsid w:val="00FE4682"/>
    <w:rsid w:val="00FE5A3A"/>
    <w:rsid w:val="00FF0F13"/>
    <w:rsid w:val="00FF0F9A"/>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1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354F3"/>
    <w:pPr>
      <w:spacing w:before="100" w:beforeAutospacing="1" w:after="100" w:afterAutospacing="1" w:line="240" w:lineRule="auto"/>
    </w:pPr>
    <w:rPr>
      <w:rFonts w:ascii="Times New Roman" w:eastAsia="Times New Roman" w:hAnsi="Times New Roman"/>
      <w:sz w:val="24"/>
      <w:szCs w:val="24"/>
      <w:lang w:eastAsia="fr-BE"/>
    </w:rPr>
  </w:style>
  <w:style w:type="character" w:styleId="Strong">
    <w:name w:val="Strong"/>
    <w:basedOn w:val="DefaultParagraphFont"/>
    <w:uiPriority w:val="99"/>
    <w:qFormat/>
    <w:rsid w:val="003354F3"/>
    <w:rPr>
      <w:rFonts w:cs="Times New Roman"/>
      <w:b/>
      <w:bCs/>
    </w:rPr>
  </w:style>
</w:styles>
</file>

<file path=word/webSettings.xml><?xml version="1.0" encoding="utf-8"?>
<w:webSettings xmlns:r="http://schemas.openxmlformats.org/officeDocument/2006/relationships" xmlns:w="http://schemas.openxmlformats.org/wordprocessingml/2006/main">
  <w:divs>
    <w:div w:id="1459181639">
      <w:marLeft w:val="120"/>
      <w:marRight w:val="120"/>
      <w:marTop w:val="120"/>
      <w:marBottom w:val="120"/>
      <w:divBdr>
        <w:top w:val="none" w:sz="0" w:space="0" w:color="auto"/>
        <w:left w:val="none" w:sz="0" w:space="0" w:color="auto"/>
        <w:bottom w:val="none" w:sz="0" w:space="0" w:color="auto"/>
        <w:right w:val="none" w:sz="0" w:space="0" w:color="auto"/>
      </w:divBdr>
    </w:div>
    <w:div w:id="1459181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397</Words>
  <Characters>2185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hernan</dc:creator>
  <cp:keywords/>
  <dc:description/>
  <cp:lastModifiedBy>endo</cp:lastModifiedBy>
  <cp:revision>2</cp:revision>
  <dcterms:created xsi:type="dcterms:W3CDTF">2011-10-26T08:27:00Z</dcterms:created>
  <dcterms:modified xsi:type="dcterms:W3CDTF">2011-10-26T08:27:00Z</dcterms:modified>
</cp:coreProperties>
</file>