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F7" w:rsidRDefault="00276FF7" w:rsidP="00276FF7">
      <w:pPr>
        <w:spacing w:after="8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</w:p>
    <w:p w:rsidR="00276FF7" w:rsidRDefault="00276FF7" w:rsidP="00276FF7">
      <w:pPr>
        <w:spacing w:after="8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</w:p>
    <w:p w:rsidR="00276FF7" w:rsidRDefault="00276FF7" w:rsidP="00276FF7">
      <w:pPr>
        <w:spacing w:after="8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</w:p>
    <w:p w:rsidR="00276FF7" w:rsidRDefault="00276FF7" w:rsidP="00276FF7">
      <w:pPr>
        <w:spacing w:after="8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>THE THYRO-GASTRIC SYNDROME:</w:t>
      </w:r>
    </w:p>
    <w:p w:rsidR="005B6E80" w:rsidRPr="00276FF7" w:rsidRDefault="00276FF7" w:rsidP="00276FF7">
      <w:pPr>
        <w:spacing w:after="8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gramStart"/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>FROM THYROID AUTOIMMUNITY TO NEUROENDOCRINE GASTRIC TUMORS.</w:t>
      </w:r>
      <w:proofErr w:type="gramEnd"/>
    </w:p>
    <w:p w:rsidR="005B6E80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</w:pPr>
    </w:p>
    <w:p w:rsidR="00276FF7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BE"/>
        </w:rPr>
        <w:t xml:space="preserve">Dr H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BE"/>
        </w:rPr>
        <w:t>Valdes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BE"/>
        </w:rPr>
        <w:t xml:space="preserve"> Socin. </w:t>
      </w:r>
    </w:p>
    <w:p w:rsidR="00276FF7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  <w:t xml:space="preserve">Chef de Clinique. </w:t>
      </w:r>
      <w:r w:rsidR="00276FF7" w:rsidRPr="00276FF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  <w:t>CHU Liège</w:t>
      </w:r>
    </w:p>
    <w:p w:rsidR="005B6E80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</w:pP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  <w:t>Clinicien-Chercheur.FNRS</w:t>
      </w:r>
      <w:proofErr w:type="spellEnd"/>
    </w:p>
    <w:p w:rsidR="00276FF7" w:rsidRPr="00276FF7" w:rsidRDefault="00276FF7" w:rsidP="005B6E80">
      <w:pPr>
        <w:spacing w:after="81" w:line="240" w:lineRule="auto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fr-BE"/>
        </w:rPr>
        <w:t>Hg.valdessocin@chu.ulg.ac.be</w:t>
      </w:r>
    </w:p>
    <w:p w:rsidR="005B6E80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BE"/>
        </w:rPr>
      </w:pPr>
    </w:p>
    <w:p w:rsidR="005B6E80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fr-BE"/>
        </w:rPr>
      </w:pPr>
    </w:p>
    <w:p w:rsidR="005B6E80" w:rsidRPr="00276FF7" w:rsidRDefault="005B6E80" w:rsidP="005B6E80">
      <w:pPr>
        <w:spacing w:after="81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fr-BE"/>
        </w:rPr>
      </w:pPr>
    </w:p>
    <w:p w:rsidR="00712375" w:rsidRPr="00276FF7" w:rsidRDefault="005B091A" w:rsidP="00A0399D">
      <w:pPr>
        <w:spacing w:after="8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In 1849, Prof Addison described a fatal case of anemia, or anemia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perniciosa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.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Dr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Biermer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expanded th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is original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description in 1872.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Nowadays</w:t>
      </w:r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, this pathological condition associating a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megaloglastic</w:t>
      </w:r>
      <w:proofErr w:type="spellEnd"/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anemia associated with </w:t>
      </w:r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a </w:t>
      </w:r>
      <w:r w:rsidR="00C32678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metabolic </w:t>
      </w:r>
      <w:proofErr w:type="spellStart"/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polyneuropathy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is recognized as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Biermer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disease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.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Biermer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anemia or anemia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perniciosa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and its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associated</w:t>
      </w:r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polyneuropathy</w:t>
      </w:r>
      <w:proofErr w:type="spellEnd"/>
      <w:r w:rsidR="0079561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="00C32678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are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the consequence of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vitamine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B12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malabsorption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, due to </w:t>
      </w:r>
      <w:r w:rsidR="00EF540A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autoimmune gastritis. Autoimmune gastritis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is caused by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lymphocitc</w:t>
      </w:r>
      <w:proofErr w:type="spell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infiltration and </w:t>
      </w:r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the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generation of parietal gastric antibodies and </w:t>
      </w:r>
      <w:r w:rsidR="009507C1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intrinsic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factor antibodies. Parietal gastric antibodies are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cytotoxic</w:t>
      </w:r>
      <w:proofErr w:type="spellEnd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: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they specifically recognize the gastric proton pump, causing mucosal gastric </w:t>
      </w:r>
      <w:proofErr w:type="spellStart"/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atrophia</w:t>
      </w:r>
      <w:proofErr w:type="spellEnd"/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and </w:t>
      </w:r>
      <w:proofErr w:type="spellStart"/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acloridia</w:t>
      </w:r>
      <w:proofErr w:type="spellEnd"/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. T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his pathological condition can </w:t>
      </w:r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later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degenerate in</w:t>
      </w:r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to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gastrin</w:t>
      </w:r>
      <w:proofErr w:type="spell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enterochromaffin</w:t>
      </w:r>
      <w:proofErr w:type="spell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cell </w:t>
      </w:r>
      <w:proofErr w:type="gram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hyperplasia</w:t>
      </w:r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,</w:t>
      </w:r>
      <w:proofErr w:type="gram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progressing to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gastrin</w:t>
      </w:r>
      <w:proofErr w:type="spell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neuroendocrine</w:t>
      </w:r>
      <w:proofErr w:type="spellEnd"/>
      <w:r w:rsidR="00654D7F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tumor</w:t>
      </w:r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s in nearly 10% of cases.</w:t>
      </w:r>
    </w:p>
    <w:p w:rsidR="005B6E80" w:rsidRPr="00276FF7" w:rsidRDefault="005B091A" w:rsidP="00A0399D">
      <w:pPr>
        <w:spacing w:after="8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In 1912 Dr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Hakaru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Hashimoto described the thyroid of four women affected by a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struma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lymphomatosa</w:t>
      </w:r>
      <w:proofErr w:type="spellEnd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. This disease was later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recognized as Hashimoto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, being one of the most frequent</w:t>
      </w:r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causes of autoimmune hypothyroidism.</w:t>
      </w:r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Thyroid </w:t>
      </w:r>
      <w:proofErr w:type="spellStart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peroxodase</w:t>
      </w:r>
      <w:proofErr w:type="spellEnd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(TPO) </w:t>
      </w:r>
      <w:proofErr w:type="spellStart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autoantibodies</w:t>
      </w:r>
      <w:proofErr w:type="spellEnd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and lymphocytic infiltration are responsible for autoimmune </w:t>
      </w:r>
      <w:proofErr w:type="spellStart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="00712375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and subsequent thyroid destruction.</w:t>
      </w:r>
    </w:p>
    <w:p w:rsidR="005B6E80" w:rsidRPr="00276FF7" w:rsidRDefault="00C403F2" w:rsidP="00A0399D">
      <w:pPr>
        <w:spacing w:after="8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The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thyrogastric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syndrome was described in the seventies, in patients which the serum </w:t>
      </w:r>
      <w:proofErr w:type="spellStart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crossreacted</w:t>
      </w:r>
      <w:proofErr w:type="spellEnd"/>
      <w:r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both with parietal gastric antigens and thyroid TPO antigens. </w:t>
      </w:r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Whereas autoimmune </w:t>
      </w:r>
      <w:proofErr w:type="spellStart"/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polyendocrinopathies</w:t>
      </w:r>
      <w:proofErr w:type="spellEnd"/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type 1 and 2 are rare, the real prevalence of the </w:t>
      </w:r>
      <w:proofErr w:type="spellStart"/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thyrogastric</w:t>
      </w:r>
      <w:proofErr w:type="spellEnd"/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autoimmune </w:t>
      </w:r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syndrome is unknown. We conducted a prospective </w:t>
      </w:r>
      <w:proofErr w:type="gramStart"/>
      <w:r w:rsidR="00EE1D37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study  </w:t>
      </w:r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to</w:t>
      </w:r>
      <w:proofErr w:type="gramEnd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determine the prevalence of </w:t>
      </w:r>
      <w:proofErr w:type="spellStart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vitamine</w:t>
      </w:r>
      <w:proofErr w:type="spellEnd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B12 </w:t>
      </w:r>
      <w:proofErr w:type="spellStart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malabsorption</w:t>
      </w:r>
      <w:proofErr w:type="spellEnd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and gastric autoimmunity in patients with Hashimoto </w:t>
      </w:r>
      <w:proofErr w:type="spellStart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seen in our clinical practice</w:t>
      </w:r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. A second end point of the study was to </w:t>
      </w:r>
      <w:proofErr w:type="spellStart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>analyse</w:t>
      </w:r>
      <w:proofErr w:type="spellEnd"/>
      <w:r w:rsidR="00A0399D" w:rsidRPr="00276F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fr-BE"/>
        </w:rPr>
        <w:t xml:space="preserve"> gastric histological characteristics in such patients.</w:t>
      </w:r>
    </w:p>
    <w:p w:rsidR="00A0399D" w:rsidRPr="00276FF7" w:rsidRDefault="00A0399D" w:rsidP="00A0399D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 total of 240</w:t>
      </w: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consecutive patients with Hashimoto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were studied in our clinic from 2008 to 2009. Patients underwent TSH, FT4, FT3, ATPO, ATG, parietal cell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autoantibodies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(PCA), intrinsic factor antibodies (IFA),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gastrine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, vitamin B12 determinations and thyroid ultrasound. Patients with PCA and/or IFA were invited to have a gastric endoscopy and biopsies for histology and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immunohistochemical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studies. </w:t>
      </w: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Patients with Hashimoto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and gastric autoimmunity </w:t>
      </w:r>
      <w:r w:rsid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had a mean age of 52±19 years (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28F/4M) at inclusion. Mean TSH was</w:t>
      </w: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21 ±28 µUI/ml (0.5-4) and 47% (15/32) of patients received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levothyroxine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treatment.</w:t>
      </w:r>
      <w:r w:rsidRPr="00276FF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fr-BE"/>
        </w:rPr>
        <w:t xml:space="preserve"> 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Mean thyroid volume was 9.2±7 ml.  Parietal cell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autoantibodies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were present in 13% (32/240). Intrinsic factor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autoantibodies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were found in 37.5% (6/16).In 3/6 patients with intrinsic factor antibodies we did not found PCA.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Hypergastrinemia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(&gt;120 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lastRenderedPageBreak/>
        <w:t xml:space="preserve">pg/ml) was present in 37 % (12/32) of patients with a mean of 323±507pg/ml. No patient had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megaloblastic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anemia, whereas only two patients </w:t>
      </w:r>
      <w:proofErr w:type="gram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had  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macrocytosis</w:t>
      </w:r>
      <w:proofErr w:type="spellEnd"/>
      <w:proofErr w:type="gram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.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Vitamine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B12 was </w:t>
      </w:r>
      <w:proofErr w:type="gram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less  than</w:t>
      </w:r>
      <w:proofErr w:type="gram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200 pg/ml in 18% (6/32) of patients. A total of 59% (19/32) with PCA underwent a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gastroscopy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, with mucosal abnormalities in 79% (15/19)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gastroscopies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. Gastric and duodenal biopsies shown in 68% (13/19) histological signs of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lymphocitosis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infiltration, 42% (8/19) had signs of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metaplasia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and ECC hyperplasia and 21% (4/19) had signs of mucosal atrophy. Interestingly, </w:t>
      </w:r>
      <w:r w:rsidRPr="00276FF7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n-US" w:eastAsia="fr-BE"/>
        </w:rPr>
        <w:t>H. pylori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infection was found in 16% (3/19) of patients. No gastric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carcinoid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was found in this prospective series.</w:t>
      </w:r>
    </w:p>
    <w:p w:rsidR="00A0399D" w:rsidRPr="00276FF7" w:rsidRDefault="00A0399D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In this oral presentation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,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we discuss 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the potential role of cross reacting </w:t>
      </w:r>
      <w:proofErr w:type="spellStart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epitopes</w:t>
      </w:r>
      <w:proofErr w:type="spellEnd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between gastric proton pump ATP </w:t>
      </w:r>
      <w:proofErr w:type="spellStart"/>
      <w:proofErr w:type="gramStart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ase</w:t>
      </w:r>
      <w:proofErr w:type="spellEnd"/>
      <w:proofErr w:type="gramEnd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, thyroid </w:t>
      </w:r>
      <w:proofErr w:type="spellStart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autoantibodies</w:t>
      </w:r>
      <w:proofErr w:type="spellEnd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and </w:t>
      </w:r>
      <w:r w:rsidR="00276FF7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fr-BE"/>
        </w:rPr>
        <w:t>H py</w:t>
      </w:r>
      <w:r w:rsidR="000C361F" w:rsidRPr="00276FF7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fr-BE"/>
        </w:rPr>
        <w:t>lori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suggesting some </w:t>
      </w:r>
      <w:proofErr w:type="spellStart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physiopathological</w:t>
      </w:r>
      <w:proofErr w:type="spellEnd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clues </w:t>
      </w:r>
      <w:r w:rsidR="00AC420B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to explain 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this syndrome. </w:t>
      </w:r>
      <w:r w:rsidR="00276FF7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Although the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prevalence of the </w:t>
      </w:r>
      <w:proofErr w:type="spellStart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thyrogastric</w:t>
      </w:r>
      <w:proofErr w:type="spellEnd"/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syndrome seems higher in our study, much of the previous studies were retrospective. </w:t>
      </w:r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Moreover, in these previous studies the </w:t>
      </w:r>
      <w:proofErr w:type="spellStart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physiopathological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role of </w:t>
      </w:r>
      <w:r w:rsidR="00B46094" w:rsidRPr="00276FF7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fr-BE"/>
        </w:rPr>
        <w:t>H pylori</w:t>
      </w:r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was not explored.</w:t>
      </w:r>
      <w:r w:rsidR="000C361F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</w:t>
      </w:r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Interestingly, in our experience, </w:t>
      </w:r>
      <w:r w:rsidRPr="00276FF7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n-US" w:eastAsia="fr-BE"/>
        </w:rPr>
        <w:t>H. pylori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</w:t>
      </w:r>
      <w:r w:rsid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can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mimick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gastric autoimmunity but this is reversible</w:t>
      </w:r>
      <w:r w:rsid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,</w:t>
      </w:r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after eradication. The high prevalence of autoimmune gastritis and vitamin B12 deficiency in this series provide a strong rationale for an early serologic screening and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gastroscopic</w:t>
      </w:r>
      <w:proofErr w:type="spellEnd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diagnosis in patients with Hashimoto's </w:t>
      </w:r>
      <w:proofErr w:type="spellStart"/>
      <w:r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thyroiditis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. The </w:t>
      </w:r>
      <w:proofErr w:type="spellStart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physiopathological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model of the </w:t>
      </w:r>
      <w:proofErr w:type="spellStart"/>
      <w:proofErr w:type="gramStart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thyrogastric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,</w:t>
      </w:r>
      <w:proofErr w:type="gram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or as already suggested gastro-</w:t>
      </w:r>
      <w:proofErr w:type="spellStart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thyroideal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syndrome</w:t>
      </w:r>
      <w:r w:rsid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,</w:t>
      </w:r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</w:t>
      </w:r>
      <w:proofErr w:type="spellStart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>shoud</w:t>
      </w:r>
      <w:proofErr w:type="spellEnd"/>
      <w:r w:rsidR="00B46094" w:rsidRPr="00276FF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  <w:t xml:space="preserve"> be revised in light of these new data.</w:t>
      </w:r>
    </w:p>
    <w:p w:rsidR="00B46094" w:rsidRPr="00276FF7" w:rsidRDefault="00B46094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</w:p>
    <w:p w:rsidR="00276FF7" w:rsidRPr="00276FF7" w:rsidRDefault="00276FF7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</w:p>
    <w:p w:rsidR="00276FF7" w:rsidRPr="00276FF7" w:rsidRDefault="00276FF7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</w:p>
    <w:p w:rsidR="00276FF7" w:rsidRPr="00276FF7" w:rsidRDefault="00276FF7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</w:p>
    <w:p w:rsidR="00B46094" w:rsidRPr="00276FF7" w:rsidRDefault="00B46094" w:rsidP="00B46094">
      <w:pPr>
        <w:spacing w:after="81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fr-BE"/>
        </w:rPr>
      </w:pPr>
      <w:r w:rsidRPr="00276FF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fr-BE"/>
        </w:rPr>
        <w:t>References</w:t>
      </w:r>
    </w:p>
    <w:p w:rsidR="00276FF7" w:rsidRPr="00276FF7" w:rsidRDefault="00276FF7" w:rsidP="00B46094">
      <w:pPr>
        <w:spacing w:after="8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fr-BE"/>
        </w:rPr>
      </w:pPr>
    </w:p>
    <w:p w:rsidR="00B46094" w:rsidRDefault="00B46094" w:rsidP="00B46094">
      <w:pPr>
        <w:tabs>
          <w:tab w:val="left" w:pos="709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H Valdes-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Socin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L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Lutteri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A</w:t>
      </w:r>
      <w:proofErr w:type="gram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Latta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L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Vroonen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D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Betea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P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Petrossians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V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Geenen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Beckers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r w:rsidRPr="00276FF7">
        <w:rPr>
          <w:rFonts w:ascii="Times New Roman" w:hAnsi="Times New Roman"/>
          <w:bCs/>
          <w:iCs/>
          <w:color w:val="000000" w:themeColor="text1"/>
          <w:sz w:val="24"/>
          <w:szCs w:val="24"/>
        </w:rPr>
        <w:t>Prévalence de gastrite auto-immune  et études histologiques dans une série prospective de 240 patients avec thyroïdite de Hashimoto</w:t>
      </w:r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76FF7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Abstract book.</w:t>
      </w:r>
      <w:proofErr w:type="gramEnd"/>
      <w:r w:rsidRPr="00276FF7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ENEA (</w:t>
      </w:r>
      <w:proofErr w:type="spellStart"/>
      <w:r w:rsidRPr="00276FF7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Liège</w:t>
      </w:r>
      <w:proofErr w:type="spellEnd"/>
      <w:r w:rsidRPr="00276FF7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) 2010.</w:t>
      </w:r>
    </w:p>
    <w:p w:rsidR="00276FF7" w:rsidRPr="00276FF7" w:rsidRDefault="00276FF7" w:rsidP="00B46094">
      <w:pPr>
        <w:tabs>
          <w:tab w:val="left" w:pos="709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</w:p>
    <w:p w:rsidR="00B46094" w:rsidRDefault="00B46094" w:rsidP="00B46094">
      <w:pPr>
        <w:tabs>
          <w:tab w:val="left" w:pos="709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H Valdes-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Socin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L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Lutteri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A</w:t>
      </w:r>
      <w:proofErr w:type="gram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Latta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L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Vroonen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D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Betea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P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Petrossians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V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Geenen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Beckers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r w:rsidRPr="00276FF7">
        <w:rPr>
          <w:rFonts w:ascii="Times New Roman" w:hAnsi="Times New Roman"/>
          <w:bCs/>
          <w:iCs/>
          <w:color w:val="000000" w:themeColor="text1"/>
          <w:sz w:val="24"/>
          <w:szCs w:val="24"/>
        </w:rPr>
        <w:t>Prévalence de gastrite auto-immune  et études histologiques dans une série prospective de 240 patients avec thyroïdite de Hashimoto</w:t>
      </w:r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In XXVII Congrès de la SFE</w:t>
      </w:r>
      <w:r w:rsidRPr="00276FF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Abstract book. Annales d’Endocrinologie (Paris) 2010.</w:t>
      </w:r>
    </w:p>
    <w:p w:rsidR="00276FF7" w:rsidRPr="00276FF7" w:rsidRDefault="00276FF7" w:rsidP="00B46094">
      <w:pPr>
        <w:tabs>
          <w:tab w:val="left" w:pos="709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46094" w:rsidRPr="00276FF7" w:rsidRDefault="00B46094" w:rsidP="00276FF7">
      <w:pPr>
        <w:tabs>
          <w:tab w:val="left" w:pos="1080"/>
          <w:tab w:val="left" w:pos="2520"/>
          <w:tab w:val="left" w:pos="540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H Valdes-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Socin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A</w:t>
      </w:r>
      <w:proofErr w:type="gram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>Beckers</w:t>
      </w:r>
      <w:proofErr w:type="spellEnd"/>
      <w:r w:rsidRPr="00276FF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r w:rsidRPr="00276FF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Conférence pour médecins généralistes: 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«Le syndrome </w:t>
      </w:r>
      <w:proofErr w:type="spellStart"/>
      <w:r w:rsidRPr="00276FF7">
        <w:rPr>
          <w:rFonts w:ascii="Times New Roman" w:hAnsi="Times New Roman"/>
          <w:color w:val="000000" w:themeColor="text1"/>
          <w:sz w:val="24"/>
          <w:szCs w:val="24"/>
        </w:rPr>
        <w:t>thyro</w:t>
      </w:r>
      <w:proofErr w:type="spellEnd"/>
      <w:r w:rsidRPr="00276FF7">
        <w:rPr>
          <w:rFonts w:ascii="Times New Roman" w:hAnsi="Times New Roman"/>
          <w:color w:val="000000" w:themeColor="text1"/>
          <w:sz w:val="24"/>
          <w:szCs w:val="24"/>
        </w:rPr>
        <w:t>-gastrique : de la carence en vitamine B12 aux tumeurs carcinoïdes de l’estomac»</w:t>
      </w:r>
      <w:r w:rsidR="00276FF7" w:rsidRPr="00276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18 mai 2011 à 20H00.</w:t>
      </w:r>
      <w:r w:rsidR="00276FF7"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>Lieu : « Centre d’Endocrinologie d’Oupeye</w:t>
      </w:r>
      <w:r w:rsidR="00276FF7"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 », </w:t>
      </w:r>
      <w:r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Rue du Roi Albert, 261 – 4680 Oupeye.</w:t>
      </w:r>
      <w:r w:rsidR="00276FF7" w:rsidRPr="00276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B46094" w:rsidRPr="00276FF7" w:rsidSect="0092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E80"/>
    <w:rsid w:val="0000230A"/>
    <w:rsid w:val="00013866"/>
    <w:rsid w:val="0002422E"/>
    <w:rsid w:val="00045703"/>
    <w:rsid w:val="00082707"/>
    <w:rsid w:val="000A5DA2"/>
    <w:rsid w:val="000A7C11"/>
    <w:rsid w:val="000B07E2"/>
    <w:rsid w:val="000B1C74"/>
    <w:rsid w:val="000B5623"/>
    <w:rsid w:val="000C361F"/>
    <w:rsid w:val="000C366C"/>
    <w:rsid w:val="000D064F"/>
    <w:rsid w:val="000E0214"/>
    <w:rsid w:val="000E4D3B"/>
    <w:rsid w:val="00105B12"/>
    <w:rsid w:val="00105BEC"/>
    <w:rsid w:val="00106168"/>
    <w:rsid w:val="00106A3F"/>
    <w:rsid w:val="00106CF5"/>
    <w:rsid w:val="00114929"/>
    <w:rsid w:val="0011657D"/>
    <w:rsid w:val="0011724C"/>
    <w:rsid w:val="0012255A"/>
    <w:rsid w:val="00141CBB"/>
    <w:rsid w:val="00166624"/>
    <w:rsid w:val="00171D9A"/>
    <w:rsid w:val="001833F6"/>
    <w:rsid w:val="00185662"/>
    <w:rsid w:val="00197DF1"/>
    <w:rsid w:val="001A0EFD"/>
    <w:rsid w:val="001A3E5D"/>
    <w:rsid w:val="001B1F68"/>
    <w:rsid w:val="001C272B"/>
    <w:rsid w:val="001C79A5"/>
    <w:rsid w:val="001D5ACF"/>
    <w:rsid w:val="001F6593"/>
    <w:rsid w:val="00203DC6"/>
    <w:rsid w:val="002055BB"/>
    <w:rsid w:val="0022526B"/>
    <w:rsid w:val="00225772"/>
    <w:rsid w:val="002418D4"/>
    <w:rsid w:val="0025009C"/>
    <w:rsid w:val="00253724"/>
    <w:rsid w:val="0025499D"/>
    <w:rsid w:val="00262CBD"/>
    <w:rsid w:val="00264D06"/>
    <w:rsid w:val="00276FF7"/>
    <w:rsid w:val="00284AF4"/>
    <w:rsid w:val="0028602B"/>
    <w:rsid w:val="002A10E5"/>
    <w:rsid w:val="002B400B"/>
    <w:rsid w:val="002B40E3"/>
    <w:rsid w:val="002C5A14"/>
    <w:rsid w:val="002D3366"/>
    <w:rsid w:val="002E6ABA"/>
    <w:rsid w:val="00317CB8"/>
    <w:rsid w:val="00321C25"/>
    <w:rsid w:val="00326687"/>
    <w:rsid w:val="00330FCC"/>
    <w:rsid w:val="003349C6"/>
    <w:rsid w:val="00337FCD"/>
    <w:rsid w:val="003479FC"/>
    <w:rsid w:val="0036355B"/>
    <w:rsid w:val="00381E58"/>
    <w:rsid w:val="00382044"/>
    <w:rsid w:val="00384EA3"/>
    <w:rsid w:val="00393196"/>
    <w:rsid w:val="003A63CB"/>
    <w:rsid w:val="003B7B3A"/>
    <w:rsid w:val="003C4F6F"/>
    <w:rsid w:val="003C753F"/>
    <w:rsid w:val="003D6C1F"/>
    <w:rsid w:val="003E287D"/>
    <w:rsid w:val="003F065D"/>
    <w:rsid w:val="003F5BF9"/>
    <w:rsid w:val="003F7472"/>
    <w:rsid w:val="0040150D"/>
    <w:rsid w:val="004019AB"/>
    <w:rsid w:val="004026B7"/>
    <w:rsid w:val="00403704"/>
    <w:rsid w:val="00405447"/>
    <w:rsid w:val="00423B1A"/>
    <w:rsid w:val="0042696C"/>
    <w:rsid w:val="00433753"/>
    <w:rsid w:val="00440AC6"/>
    <w:rsid w:val="004464EC"/>
    <w:rsid w:val="00451313"/>
    <w:rsid w:val="00472DA9"/>
    <w:rsid w:val="00476490"/>
    <w:rsid w:val="004861CF"/>
    <w:rsid w:val="004C22F4"/>
    <w:rsid w:val="004C6C91"/>
    <w:rsid w:val="004D12C3"/>
    <w:rsid w:val="004D564D"/>
    <w:rsid w:val="004E1EA7"/>
    <w:rsid w:val="004F28B6"/>
    <w:rsid w:val="004F3A04"/>
    <w:rsid w:val="004F4EE8"/>
    <w:rsid w:val="0050586A"/>
    <w:rsid w:val="00506E05"/>
    <w:rsid w:val="00525BB0"/>
    <w:rsid w:val="00527DA2"/>
    <w:rsid w:val="00532AE4"/>
    <w:rsid w:val="0053318A"/>
    <w:rsid w:val="005444BA"/>
    <w:rsid w:val="0055196E"/>
    <w:rsid w:val="00555EC7"/>
    <w:rsid w:val="00557865"/>
    <w:rsid w:val="005578DB"/>
    <w:rsid w:val="0057721B"/>
    <w:rsid w:val="005966EF"/>
    <w:rsid w:val="005B091A"/>
    <w:rsid w:val="005B6E80"/>
    <w:rsid w:val="005C0624"/>
    <w:rsid w:val="005C12F4"/>
    <w:rsid w:val="005C7F4D"/>
    <w:rsid w:val="005D7984"/>
    <w:rsid w:val="005E1FB9"/>
    <w:rsid w:val="005E61C5"/>
    <w:rsid w:val="005F1056"/>
    <w:rsid w:val="005F2A0D"/>
    <w:rsid w:val="005F33C4"/>
    <w:rsid w:val="006004A1"/>
    <w:rsid w:val="00605B2C"/>
    <w:rsid w:val="00607E95"/>
    <w:rsid w:val="00616DF4"/>
    <w:rsid w:val="00621259"/>
    <w:rsid w:val="0064135B"/>
    <w:rsid w:val="00654D7F"/>
    <w:rsid w:val="00666C30"/>
    <w:rsid w:val="00667A3D"/>
    <w:rsid w:val="00683C7D"/>
    <w:rsid w:val="006934DB"/>
    <w:rsid w:val="006A6831"/>
    <w:rsid w:val="006A70F5"/>
    <w:rsid w:val="006B6DD7"/>
    <w:rsid w:val="006C619D"/>
    <w:rsid w:val="006F1017"/>
    <w:rsid w:val="006F1CB1"/>
    <w:rsid w:val="006F5920"/>
    <w:rsid w:val="0070257B"/>
    <w:rsid w:val="00702592"/>
    <w:rsid w:val="00712375"/>
    <w:rsid w:val="00716085"/>
    <w:rsid w:val="0072509F"/>
    <w:rsid w:val="007339EE"/>
    <w:rsid w:val="00740CE9"/>
    <w:rsid w:val="0077137A"/>
    <w:rsid w:val="007730BD"/>
    <w:rsid w:val="00773E6A"/>
    <w:rsid w:val="00775876"/>
    <w:rsid w:val="00775BC2"/>
    <w:rsid w:val="00790FB8"/>
    <w:rsid w:val="0079323F"/>
    <w:rsid w:val="0079561F"/>
    <w:rsid w:val="007B1629"/>
    <w:rsid w:val="007B2AE0"/>
    <w:rsid w:val="007E6EAD"/>
    <w:rsid w:val="007F644A"/>
    <w:rsid w:val="0080231E"/>
    <w:rsid w:val="0080795E"/>
    <w:rsid w:val="00816FAD"/>
    <w:rsid w:val="00817845"/>
    <w:rsid w:val="008350D4"/>
    <w:rsid w:val="008618B3"/>
    <w:rsid w:val="00861F22"/>
    <w:rsid w:val="0086461B"/>
    <w:rsid w:val="00870FE9"/>
    <w:rsid w:val="00873257"/>
    <w:rsid w:val="008831F9"/>
    <w:rsid w:val="00886D8C"/>
    <w:rsid w:val="00890DCA"/>
    <w:rsid w:val="008C2569"/>
    <w:rsid w:val="008D4997"/>
    <w:rsid w:val="008E14EE"/>
    <w:rsid w:val="008E2A64"/>
    <w:rsid w:val="008E78A9"/>
    <w:rsid w:val="008F40DA"/>
    <w:rsid w:val="008F5172"/>
    <w:rsid w:val="0090492C"/>
    <w:rsid w:val="00907E43"/>
    <w:rsid w:val="009174E8"/>
    <w:rsid w:val="00923443"/>
    <w:rsid w:val="00923F19"/>
    <w:rsid w:val="009249D3"/>
    <w:rsid w:val="00933264"/>
    <w:rsid w:val="009441D3"/>
    <w:rsid w:val="009507C1"/>
    <w:rsid w:val="00952E35"/>
    <w:rsid w:val="00953E8F"/>
    <w:rsid w:val="009555C1"/>
    <w:rsid w:val="009619BF"/>
    <w:rsid w:val="00962CD1"/>
    <w:rsid w:val="00962FCF"/>
    <w:rsid w:val="0096619E"/>
    <w:rsid w:val="00975F29"/>
    <w:rsid w:val="009901CB"/>
    <w:rsid w:val="00993374"/>
    <w:rsid w:val="009A056F"/>
    <w:rsid w:val="009C08B3"/>
    <w:rsid w:val="009C5608"/>
    <w:rsid w:val="009C6DBC"/>
    <w:rsid w:val="009C7BA4"/>
    <w:rsid w:val="009D36C8"/>
    <w:rsid w:val="009D608E"/>
    <w:rsid w:val="009D62BF"/>
    <w:rsid w:val="009E11F4"/>
    <w:rsid w:val="009E6319"/>
    <w:rsid w:val="009F28BA"/>
    <w:rsid w:val="009F5BC1"/>
    <w:rsid w:val="009F777E"/>
    <w:rsid w:val="00A0399D"/>
    <w:rsid w:val="00A12ED6"/>
    <w:rsid w:val="00A13664"/>
    <w:rsid w:val="00A23CCD"/>
    <w:rsid w:val="00A24564"/>
    <w:rsid w:val="00A26737"/>
    <w:rsid w:val="00A340C8"/>
    <w:rsid w:val="00A36349"/>
    <w:rsid w:val="00A36D20"/>
    <w:rsid w:val="00A37308"/>
    <w:rsid w:val="00A454CF"/>
    <w:rsid w:val="00A558C5"/>
    <w:rsid w:val="00A5720F"/>
    <w:rsid w:val="00A67DF6"/>
    <w:rsid w:val="00A75DA6"/>
    <w:rsid w:val="00AA0359"/>
    <w:rsid w:val="00AA2402"/>
    <w:rsid w:val="00AA4E02"/>
    <w:rsid w:val="00AC420B"/>
    <w:rsid w:val="00AD702F"/>
    <w:rsid w:val="00AE1CA3"/>
    <w:rsid w:val="00AF2D0A"/>
    <w:rsid w:val="00AF2EC9"/>
    <w:rsid w:val="00B177B5"/>
    <w:rsid w:val="00B46094"/>
    <w:rsid w:val="00B638C8"/>
    <w:rsid w:val="00B64121"/>
    <w:rsid w:val="00B9273C"/>
    <w:rsid w:val="00B943AD"/>
    <w:rsid w:val="00BB5F05"/>
    <w:rsid w:val="00BB70BA"/>
    <w:rsid w:val="00BB7A41"/>
    <w:rsid w:val="00BD0C01"/>
    <w:rsid w:val="00BD33F8"/>
    <w:rsid w:val="00BD6E39"/>
    <w:rsid w:val="00BE2F6F"/>
    <w:rsid w:val="00BF57B3"/>
    <w:rsid w:val="00C00606"/>
    <w:rsid w:val="00C11466"/>
    <w:rsid w:val="00C1454E"/>
    <w:rsid w:val="00C15493"/>
    <w:rsid w:val="00C30119"/>
    <w:rsid w:val="00C32678"/>
    <w:rsid w:val="00C403F2"/>
    <w:rsid w:val="00C40EB6"/>
    <w:rsid w:val="00C6288E"/>
    <w:rsid w:val="00C85B50"/>
    <w:rsid w:val="00CA3C01"/>
    <w:rsid w:val="00CA6938"/>
    <w:rsid w:val="00CC4156"/>
    <w:rsid w:val="00CD4F53"/>
    <w:rsid w:val="00CE59A1"/>
    <w:rsid w:val="00CE7538"/>
    <w:rsid w:val="00CF657F"/>
    <w:rsid w:val="00D009B2"/>
    <w:rsid w:val="00D17175"/>
    <w:rsid w:val="00D23149"/>
    <w:rsid w:val="00D24FE2"/>
    <w:rsid w:val="00D36A43"/>
    <w:rsid w:val="00D45354"/>
    <w:rsid w:val="00D84A28"/>
    <w:rsid w:val="00D9689D"/>
    <w:rsid w:val="00DA406E"/>
    <w:rsid w:val="00DA6CA8"/>
    <w:rsid w:val="00DD218E"/>
    <w:rsid w:val="00DD57CC"/>
    <w:rsid w:val="00DD6868"/>
    <w:rsid w:val="00DE09CC"/>
    <w:rsid w:val="00DE4F7A"/>
    <w:rsid w:val="00DF5782"/>
    <w:rsid w:val="00DF68DE"/>
    <w:rsid w:val="00E01733"/>
    <w:rsid w:val="00E05A24"/>
    <w:rsid w:val="00E07F98"/>
    <w:rsid w:val="00E14386"/>
    <w:rsid w:val="00E22B1D"/>
    <w:rsid w:val="00E3192B"/>
    <w:rsid w:val="00E47FAF"/>
    <w:rsid w:val="00E571E4"/>
    <w:rsid w:val="00E71E20"/>
    <w:rsid w:val="00E72BC8"/>
    <w:rsid w:val="00E821D2"/>
    <w:rsid w:val="00E84DD6"/>
    <w:rsid w:val="00E925F7"/>
    <w:rsid w:val="00E93B29"/>
    <w:rsid w:val="00E94051"/>
    <w:rsid w:val="00E95372"/>
    <w:rsid w:val="00E972E0"/>
    <w:rsid w:val="00EA4B04"/>
    <w:rsid w:val="00EA7D3C"/>
    <w:rsid w:val="00EB7790"/>
    <w:rsid w:val="00EB7F31"/>
    <w:rsid w:val="00EC478C"/>
    <w:rsid w:val="00EE149F"/>
    <w:rsid w:val="00EE1D37"/>
    <w:rsid w:val="00EE39FC"/>
    <w:rsid w:val="00EE4679"/>
    <w:rsid w:val="00EF540A"/>
    <w:rsid w:val="00F07A02"/>
    <w:rsid w:val="00F156CB"/>
    <w:rsid w:val="00F205FA"/>
    <w:rsid w:val="00F21E09"/>
    <w:rsid w:val="00F33355"/>
    <w:rsid w:val="00F47027"/>
    <w:rsid w:val="00F47084"/>
    <w:rsid w:val="00F547F3"/>
    <w:rsid w:val="00F5594B"/>
    <w:rsid w:val="00F55A3D"/>
    <w:rsid w:val="00F57C7E"/>
    <w:rsid w:val="00F62978"/>
    <w:rsid w:val="00F70C02"/>
    <w:rsid w:val="00F804A7"/>
    <w:rsid w:val="00F86904"/>
    <w:rsid w:val="00F94E5B"/>
    <w:rsid w:val="00FA11D6"/>
    <w:rsid w:val="00FA701C"/>
    <w:rsid w:val="00FB30A4"/>
    <w:rsid w:val="00FD0B9A"/>
    <w:rsid w:val="00FD75D4"/>
    <w:rsid w:val="00FE214A"/>
    <w:rsid w:val="00FE4682"/>
    <w:rsid w:val="00FE5A3A"/>
    <w:rsid w:val="00FF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826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hernan</cp:lastModifiedBy>
  <cp:revision>6</cp:revision>
  <dcterms:created xsi:type="dcterms:W3CDTF">2011-07-13T15:53:00Z</dcterms:created>
  <dcterms:modified xsi:type="dcterms:W3CDTF">2011-07-18T10:22:00Z</dcterms:modified>
</cp:coreProperties>
</file>