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99" w:rsidRPr="00AE6E29" w:rsidRDefault="00545BC2">
      <w:pPr>
        <w:tabs>
          <w:tab w:val="left" w:pos="-1094"/>
          <w:tab w:val="left" w:pos="-720"/>
          <w:tab w:val="left" w:pos="0"/>
          <w:tab w:val="left" w:pos="328"/>
          <w:tab w:val="left" w:pos="900"/>
          <w:tab w:val="left" w:pos="1440"/>
          <w:tab w:val="left" w:pos="2160"/>
          <w:tab w:val="left" w:pos="2880"/>
          <w:tab w:val="left" w:pos="3600"/>
          <w:tab w:val="left" w:pos="4320"/>
          <w:tab w:val="left" w:pos="5040"/>
          <w:tab w:val="left" w:pos="5760"/>
          <w:tab w:val="left" w:pos="6480"/>
          <w:tab w:val="left" w:pos="7200"/>
          <w:tab w:val="left" w:pos="7920"/>
          <w:tab w:val="left" w:pos="8190"/>
        </w:tabs>
        <w:ind w:right="424"/>
        <w:jc w:val="center"/>
        <w:rPr>
          <w:b/>
          <w:sz w:val="28"/>
          <w:szCs w:val="28"/>
        </w:rPr>
      </w:pPr>
      <w:r>
        <w:rPr>
          <w:b/>
          <w:sz w:val="28"/>
          <w:szCs w:val="28"/>
        </w:rPr>
        <w:t>A Simplified Rotation</w:t>
      </w:r>
      <w:r w:rsidR="00CB61A7">
        <w:rPr>
          <w:b/>
          <w:sz w:val="28"/>
          <w:szCs w:val="28"/>
        </w:rPr>
        <w:t>al</w:t>
      </w:r>
      <w:r>
        <w:rPr>
          <w:b/>
          <w:sz w:val="28"/>
          <w:szCs w:val="28"/>
        </w:rPr>
        <w:t xml:space="preserve"> Spring Model for Mitral Valve Dynamics</w:t>
      </w:r>
    </w:p>
    <w:p w:rsidR="006C2499" w:rsidRDefault="006C2499" w:rsidP="006C2499">
      <w:pPr>
        <w:pStyle w:val="Style10ptBoldCenteredLeft15cmRight155cm"/>
      </w:pPr>
    </w:p>
    <w:p w:rsidR="006C2499" w:rsidRDefault="0025706D" w:rsidP="006C2499">
      <w:pPr>
        <w:pStyle w:val="Style10ptBoldCenteredLeft15cmRight155cm"/>
      </w:pPr>
      <w:r>
        <w:t>K</w:t>
      </w:r>
      <w:r w:rsidR="00021B85">
        <w:t>.</w:t>
      </w:r>
      <w:r>
        <w:t>T. Moorhead*,</w:t>
      </w:r>
      <w:r w:rsidRPr="00C532F9">
        <w:t xml:space="preserve"> </w:t>
      </w:r>
      <w:r w:rsidR="00545BC2" w:rsidRPr="00C532F9">
        <w:t>C</w:t>
      </w:r>
      <w:r w:rsidR="00021B85">
        <w:t>.</w:t>
      </w:r>
      <w:r w:rsidR="00545BC2" w:rsidRPr="00C532F9">
        <w:t>E. Hann</w:t>
      </w:r>
      <w:r w:rsidR="00A516D0">
        <w:t>*</w:t>
      </w:r>
      <w:r>
        <w:t>*</w:t>
      </w:r>
      <w:r w:rsidR="00A516D0">
        <w:t>, J.</w:t>
      </w:r>
      <w:r w:rsidR="00021B85">
        <w:t>G.</w:t>
      </w:r>
      <w:r w:rsidR="00A516D0">
        <w:t xml:space="preserve"> Chase</w:t>
      </w:r>
      <w:r w:rsidR="00545BC2">
        <w:t>**</w:t>
      </w:r>
      <w:r w:rsidR="00021B85">
        <w:t xml:space="preserve">, S. Paeme*, </w:t>
      </w:r>
      <w:r w:rsidR="007B029C">
        <w:t xml:space="preserve">P. Kolh*, </w:t>
      </w:r>
      <w:r w:rsidR="00021B85">
        <w:t>P.C. Dauby*, T. Desaive*</w:t>
      </w:r>
      <w:r w:rsidR="00545BC2">
        <w:t xml:space="preserve"> </w:t>
      </w:r>
    </w:p>
    <w:p w:rsidR="006C2499" w:rsidRDefault="006C2499">
      <w:pPr>
        <w:tabs>
          <w:tab w:val="left" w:pos="-1094"/>
          <w:tab w:val="left" w:pos="-720"/>
          <w:tab w:val="left" w:pos="0"/>
          <w:tab w:val="left" w:pos="328"/>
          <w:tab w:val="left" w:pos="900"/>
          <w:tab w:val="left" w:pos="1440"/>
          <w:tab w:val="left" w:pos="2160"/>
          <w:tab w:val="left" w:pos="2880"/>
          <w:tab w:val="left" w:pos="3600"/>
          <w:tab w:val="left" w:pos="4320"/>
          <w:tab w:val="left" w:pos="5040"/>
          <w:tab w:val="left" w:pos="5760"/>
          <w:tab w:val="left" w:pos="6480"/>
          <w:tab w:val="left" w:pos="7200"/>
          <w:tab w:val="left" w:pos="7920"/>
          <w:tab w:val="left" w:pos="8190"/>
        </w:tabs>
        <w:ind w:right="424"/>
        <w:jc w:val="center"/>
        <w:rPr>
          <w:rFonts w:ascii="Symbol" w:hAnsi="Symbol"/>
          <w:sz w:val="16"/>
        </w:rPr>
      </w:pPr>
    </w:p>
    <w:p w:rsidR="00E53261" w:rsidRPr="0025706D" w:rsidRDefault="006C2499" w:rsidP="006C2499">
      <w:pPr>
        <w:pStyle w:val="Authoraddress"/>
        <w:spacing w:before="80"/>
        <w:rPr>
          <w:lang w:val="en-US"/>
        </w:rPr>
      </w:pPr>
      <w:r w:rsidRPr="0025706D">
        <w:rPr>
          <w:lang w:val="en-US"/>
        </w:rPr>
        <w:t>*</w:t>
      </w:r>
      <w:r w:rsidR="00E53261" w:rsidRPr="0025706D">
        <w:rPr>
          <w:lang w:val="en-US"/>
        </w:rPr>
        <w:t xml:space="preserve"> </w:t>
      </w:r>
      <w:r w:rsidRPr="0025706D">
        <w:rPr>
          <w:lang w:val="en-US"/>
        </w:rPr>
        <w:t>C</w:t>
      </w:r>
      <w:r w:rsidR="00E53261" w:rsidRPr="0025706D">
        <w:rPr>
          <w:lang w:val="en-US"/>
        </w:rPr>
        <w:t>ardiovas</w:t>
      </w:r>
      <w:r w:rsidR="006E328D" w:rsidRPr="0025706D">
        <w:rPr>
          <w:lang w:val="en-US"/>
        </w:rPr>
        <w:t>cular Research Centre, U</w:t>
      </w:r>
      <w:r w:rsidR="00E53261" w:rsidRPr="0025706D">
        <w:rPr>
          <w:lang w:val="en-US"/>
        </w:rPr>
        <w:t>niversit</w:t>
      </w:r>
      <w:r w:rsidR="000D6C8C">
        <w:rPr>
          <w:lang w:val="en-US"/>
        </w:rPr>
        <w:t>y of Liege, Liege</w:t>
      </w:r>
      <w:r w:rsidR="00E53261" w:rsidRPr="0025706D">
        <w:rPr>
          <w:lang w:val="en-US"/>
        </w:rPr>
        <w:t>, Belgium</w:t>
      </w:r>
      <w:r w:rsidRPr="0025706D">
        <w:rPr>
          <w:lang w:val="en-US"/>
        </w:rPr>
        <w:t xml:space="preserve"> (</w:t>
      </w:r>
      <w:r w:rsidR="00021B85">
        <w:rPr>
          <w:lang w:val="en-US"/>
        </w:rPr>
        <w:t>E</w:t>
      </w:r>
      <w:r w:rsidR="000D6C8C">
        <w:rPr>
          <w:lang w:val="en-US"/>
        </w:rPr>
        <w:t>-mail</w:t>
      </w:r>
      <w:r w:rsidR="00DE1C0B">
        <w:rPr>
          <w:lang w:val="en-US"/>
        </w:rPr>
        <w:t xml:space="preserve">: </w:t>
      </w:r>
      <w:hyperlink r:id="rId7" w:history="1">
        <w:r w:rsidR="0025706D" w:rsidRPr="00742B78">
          <w:rPr>
            <w:rStyle w:val="Hyperlink"/>
            <w:lang w:val="en-US"/>
          </w:rPr>
          <w:t>kmoorhead@ulg.ac.be</w:t>
        </w:r>
      </w:hyperlink>
      <w:r w:rsidRPr="0025706D">
        <w:rPr>
          <w:lang w:val="en-US"/>
        </w:rPr>
        <w:t>)</w:t>
      </w:r>
      <w:r w:rsidRPr="0025706D">
        <w:rPr>
          <w:lang w:val="en-US"/>
        </w:rPr>
        <w:br/>
      </w:r>
      <w:r w:rsidR="0025706D">
        <w:rPr>
          <w:lang w:val="en-US"/>
        </w:rPr>
        <w:t>*</w:t>
      </w:r>
      <w:r w:rsidR="0025706D" w:rsidRPr="0025706D">
        <w:rPr>
          <w:lang w:val="en-US"/>
        </w:rPr>
        <w:t xml:space="preserve">* </w:t>
      </w:r>
      <w:r w:rsidR="0025706D">
        <w:t>Department of Mechanical Engineering, Centre for Bio-Engineering, University of Canterbury, Christchurch, New Zealand</w:t>
      </w:r>
    </w:p>
    <w:p w:rsidR="006C2499" w:rsidRPr="00E86A86" w:rsidRDefault="006C2499" w:rsidP="006C2499">
      <w:pPr>
        <w:pStyle w:val="StyleStyleAbstractLeft15cmFirstline0cmRight155"/>
        <w:rPr>
          <w:b w:val="0"/>
          <w:sz w:val="20"/>
        </w:rPr>
      </w:pPr>
      <w:r w:rsidRPr="00E86A86">
        <w:rPr>
          <w:rStyle w:val="StyleAbstract10ptChar"/>
          <w:sz w:val="20"/>
          <w:szCs w:val="20"/>
        </w:rPr>
        <w:t>Abstract:</w:t>
      </w:r>
      <w:r w:rsidRPr="00E86A86">
        <w:rPr>
          <w:rStyle w:val="StyleAbstract10ptChar"/>
          <w:b w:val="0"/>
          <w:sz w:val="20"/>
          <w:szCs w:val="20"/>
        </w:rPr>
        <w:t xml:space="preserve"> </w:t>
      </w:r>
      <w:r w:rsidR="00DF51C6" w:rsidRPr="00DF51C6">
        <w:rPr>
          <w:b w:val="0"/>
          <w:bCs w:val="0"/>
          <w:sz w:val="20"/>
        </w:rPr>
        <w:t xml:space="preserve">A simple </w:t>
      </w:r>
      <w:r w:rsidR="001B0D52">
        <w:rPr>
          <w:b w:val="0"/>
          <w:bCs w:val="0"/>
          <w:sz w:val="20"/>
        </w:rPr>
        <w:t xml:space="preserve">non-linear </w:t>
      </w:r>
      <w:r w:rsidR="00DF51C6" w:rsidRPr="00DF51C6">
        <w:rPr>
          <w:b w:val="0"/>
          <w:bCs w:val="0"/>
          <w:sz w:val="20"/>
        </w:rPr>
        <w:t xml:space="preserve">rotational spring model has been implemented to model the </w:t>
      </w:r>
      <w:r w:rsidR="00BE53BD">
        <w:rPr>
          <w:b w:val="0"/>
          <w:bCs w:val="0"/>
          <w:sz w:val="20"/>
        </w:rPr>
        <w:t xml:space="preserve">motion of </w:t>
      </w:r>
      <w:r w:rsidR="00DF51C6" w:rsidRPr="00DF51C6">
        <w:rPr>
          <w:b w:val="0"/>
          <w:bCs w:val="0"/>
          <w:sz w:val="20"/>
        </w:rPr>
        <w:t>mitral valve</w:t>
      </w:r>
      <w:r w:rsidR="00BE53BD">
        <w:rPr>
          <w:b w:val="0"/>
          <w:bCs w:val="0"/>
          <w:sz w:val="20"/>
        </w:rPr>
        <w:t>, located between the left atrium and ventricle</w:t>
      </w:r>
      <w:r w:rsidR="00DF51C6" w:rsidRPr="00DF51C6">
        <w:rPr>
          <w:b w:val="0"/>
          <w:bCs w:val="0"/>
          <w:sz w:val="20"/>
        </w:rPr>
        <w:t xml:space="preserve">. A measured pressure difference curve was used as the input into the model, which represents an applied torque to the valve </w:t>
      </w:r>
      <w:r w:rsidR="00C26C2C">
        <w:rPr>
          <w:b w:val="0"/>
          <w:bCs w:val="0"/>
          <w:sz w:val="20"/>
        </w:rPr>
        <w:t>chords</w:t>
      </w:r>
      <w:r w:rsidR="00DF51C6" w:rsidRPr="00DF51C6">
        <w:rPr>
          <w:b w:val="0"/>
          <w:bCs w:val="0"/>
          <w:sz w:val="20"/>
        </w:rPr>
        <w:t xml:space="preserve">. </w:t>
      </w:r>
      <w:r w:rsidR="008B5965">
        <w:rPr>
          <w:b w:val="0"/>
          <w:bCs w:val="0"/>
          <w:sz w:val="20"/>
        </w:rPr>
        <w:t xml:space="preserve">Various damping and hysteresis </w:t>
      </w:r>
      <w:r w:rsidR="004E58B7">
        <w:rPr>
          <w:b w:val="0"/>
          <w:bCs w:val="0"/>
          <w:sz w:val="20"/>
        </w:rPr>
        <w:t>states</w:t>
      </w:r>
      <w:r w:rsidR="008B5965">
        <w:rPr>
          <w:b w:val="0"/>
          <w:bCs w:val="0"/>
          <w:sz w:val="20"/>
        </w:rPr>
        <w:t xml:space="preserve"> </w:t>
      </w:r>
      <w:r w:rsidR="00F25C26">
        <w:rPr>
          <w:b w:val="0"/>
          <w:bCs w:val="0"/>
          <w:sz w:val="20"/>
        </w:rPr>
        <w:t>were</w:t>
      </w:r>
      <w:r w:rsidR="008B5965">
        <w:rPr>
          <w:b w:val="0"/>
          <w:bCs w:val="0"/>
          <w:sz w:val="20"/>
        </w:rPr>
        <w:t xml:space="preserve"> investigated to find a model that best matches </w:t>
      </w:r>
      <w:r w:rsidR="00C26C2C">
        <w:rPr>
          <w:b w:val="0"/>
          <w:bCs w:val="0"/>
          <w:sz w:val="20"/>
        </w:rPr>
        <w:t xml:space="preserve">reported </w:t>
      </w:r>
      <w:r w:rsidR="008B5965">
        <w:rPr>
          <w:b w:val="0"/>
          <w:bCs w:val="0"/>
          <w:sz w:val="20"/>
        </w:rPr>
        <w:t xml:space="preserve">animal data of chord movement during a </w:t>
      </w:r>
      <w:r w:rsidR="00C26C2C">
        <w:rPr>
          <w:b w:val="0"/>
          <w:bCs w:val="0"/>
          <w:sz w:val="20"/>
        </w:rPr>
        <w:t>heartbeat</w:t>
      </w:r>
      <w:r w:rsidR="008B5965">
        <w:rPr>
          <w:b w:val="0"/>
          <w:bCs w:val="0"/>
          <w:sz w:val="20"/>
        </w:rPr>
        <w:t>.</w:t>
      </w:r>
      <w:r w:rsidR="00EA6833">
        <w:rPr>
          <w:b w:val="0"/>
          <w:bCs w:val="0"/>
          <w:sz w:val="20"/>
        </w:rPr>
        <w:t xml:space="preserve"> </w:t>
      </w:r>
      <w:r w:rsidR="00C924C3">
        <w:rPr>
          <w:b w:val="0"/>
          <w:bCs w:val="0"/>
          <w:sz w:val="20"/>
        </w:rPr>
        <w:t xml:space="preserve">The study is limited by the use of one dataset from the literature, however </w:t>
      </w:r>
      <w:r w:rsidR="00F25C26">
        <w:rPr>
          <w:b w:val="0"/>
          <w:bCs w:val="0"/>
          <w:sz w:val="20"/>
        </w:rPr>
        <w:t>results</w:t>
      </w:r>
      <w:r w:rsidR="00C924C3">
        <w:rPr>
          <w:b w:val="0"/>
          <w:bCs w:val="0"/>
          <w:sz w:val="20"/>
        </w:rPr>
        <w:t xml:space="preserve"> clearly hi</w:t>
      </w:r>
      <w:r w:rsidR="00B64E1F">
        <w:rPr>
          <w:b w:val="0"/>
          <w:bCs w:val="0"/>
          <w:sz w:val="20"/>
        </w:rPr>
        <w:t>gh</w:t>
      </w:r>
      <w:r w:rsidR="00C924C3">
        <w:rPr>
          <w:b w:val="0"/>
          <w:bCs w:val="0"/>
          <w:sz w:val="20"/>
        </w:rPr>
        <w:t>light some physiological issues such as the damping and chord stiffness changing within one cardiac cycle.</w:t>
      </w:r>
      <w:r w:rsidR="00BE53BD">
        <w:rPr>
          <w:b w:val="0"/>
          <w:bCs w:val="0"/>
          <w:sz w:val="20"/>
        </w:rPr>
        <w:t xml:space="preserve"> Very good correlation was achieved between modeled and experimental valve angle, indicating good promise for future simulation of cardiac dysfunction, such as mitral regurgitation or stenosis.</w:t>
      </w:r>
    </w:p>
    <w:p w:rsidR="006C2499" w:rsidRPr="00E70F67" w:rsidRDefault="006C2499" w:rsidP="006C2499">
      <w:pPr>
        <w:pStyle w:val="StyleStyleAbstractLeft15cmFirstline0cmRight155"/>
        <w:rPr>
          <w:b w:val="0"/>
          <w:sz w:val="20"/>
        </w:rPr>
      </w:pPr>
      <w:r w:rsidRPr="00F526A7">
        <w:rPr>
          <w:rStyle w:val="StyleAbstract10ptChar"/>
          <w:b w:val="0"/>
          <w:i/>
          <w:sz w:val="20"/>
          <w:szCs w:val="20"/>
        </w:rPr>
        <w:t>Keywords</w:t>
      </w:r>
      <w:r w:rsidRPr="00F526A7">
        <w:rPr>
          <w:rStyle w:val="StyleAbstract10ptChar"/>
          <w:i/>
          <w:sz w:val="20"/>
          <w:szCs w:val="20"/>
        </w:rPr>
        <w:t>:</w:t>
      </w:r>
      <w:r w:rsidRPr="00E86A86">
        <w:rPr>
          <w:b w:val="0"/>
          <w:sz w:val="20"/>
        </w:rPr>
        <w:t xml:space="preserve"> </w:t>
      </w:r>
      <w:r w:rsidR="00D9033B">
        <w:rPr>
          <w:b w:val="0"/>
          <w:sz w:val="20"/>
        </w:rPr>
        <w:t>Cardiac cycle, m</w:t>
      </w:r>
      <w:r w:rsidR="0086103F">
        <w:rPr>
          <w:b w:val="0"/>
          <w:sz w:val="20"/>
        </w:rPr>
        <w:t>itral valve, non-linear rotational spring</w:t>
      </w:r>
      <w:r w:rsidR="00D9033B">
        <w:rPr>
          <w:b w:val="0"/>
          <w:sz w:val="20"/>
        </w:rPr>
        <w:t>, damping, hysteresis</w:t>
      </w:r>
    </w:p>
    <w:p w:rsidR="006C2499" w:rsidRDefault="006C2499">
      <w:pPr>
        <w:tabs>
          <w:tab w:val="left" w:pos="-1094"/>
          <w:tab w:val="left" w:pos="-720"/>
          <w:tab w:val="left" w:pos="0"/>
          <w:tab w:val="left" w:pos="328"/>
          <w:tab w:val="left" w:pos="900"/>
          <w:tab w:val="left" w:pos="1440"/>
          <w:tab w:val="left" w:pos="2160"/>
          <w:tab w:val="left" w:pos="2880"/>
          <w:tab w:val="left" w:pos="3600"/>
          <w:tab w:val="left" w:pos="4320"/>
          <w:tab w:val="left" w:pos="5040"/>
          <w:tab w:val="left" w:pos="5760"/>
          <w:tab w:val="left" w:pos="6480"/>
          <w:tab w:val="left" w:pos="7200"/>
          <w:tab w:val="left" w:pos="7920"/>
          <w:tab w:val="left" w:pos="8190"/>
        </w:tabs>
        <w:ind w:right="425"/>
        <w:jc w:val="center"/>
        <w:rPr>
          <w:rFonts w:ascii="Symbol" w:hAnsi="Symbol"/>
          <w:sz w:val="16"/>
        </w:rPr>
      </w:pPr>
    </w:p>
    <w:p w:rsidR="006C2499" w:rsidRDefault="006C2499">
      <w:pPr>
        <w:tabs>
          <w:tab w:val="left" w:pos="-1094"/>
          <w:tab w:val="left" w:pos="-720"/>
          <w:tab w:val="left" w:pos="0"/>
          <w:tab w:val="left" w:pos="328"/>
          <w:tab w:val="left" w:pos="900"/>
          <w:tab w:val="left" w:pos="1440"/>
          <w:tab w:val="left" w:pos="2160"/>
          <w:tab w:val="left" w:pos="2880"/>
          <w:tab w:val="left" w:pos="3600"/>
          <w:tab w:val="left" w:pos="4320"/>
          <w:tab w:val="left" w:pos="5040"/>
          <w:tab w:val="left" w:pos="5760"/>
          <w:tab w:val="left" w:pos="6480"/>
          <w:tab w:val="left" w:pos="7200"/>
          <w:tab w:val="left" w:pos="7920"/>
          <w:tab w:val="left" w:pos="8190"/>
        </w:tabs>
        <w:ind w:right="424"/>
        <w:jc w:val="center"/>
        <w:rPr>
          <w:rFonts w:ascii="Symbol" w:hAnsi="Symbol"/>
          <w:sz w:val="16"/>
        </w:rPr>
        <w:sectPr w:rsidR="006C2499" w:rsidSect="006C2499">
          <w:footerReference w:type="default" r:id="rId8"/>
          <w:type w:val="continuous"/>
          <w:pgSz w:w="11906" w:h="16838" w:code="9"/>
          <w:pgMar w:top="1985" w:right="851" w:bottom="1418" w:left="851" w:header="720" w:footer="720" w:gutter="0"/>
          <w:cols w:space="432"/>
        </w:sectPr>
      </w:pPr>
    </w:p>
    <w:p w:rsidR="006C2499" w:rsidRDefault="006C2499" w:rsidP="000B704B">
      <w:pPr>
        <w:pStyle w:val="SectionTitle"/>
      </w:pPr>
      <w:r>
        <w:lastRenderedPageBreak/>
        <w:t>1. INTRODUCTION</w:t>
      </w:r>
    </w:p>
    <w:p w:rsidR="008B7FB3" w:rsidRPr="000B704B" w:rsidRDefault="00FE17A5" w:rsidP="006E3B9B">
      <w:pPr>
        <w:pStyle w:val="Style10ptJustified"/>
        <w:spacing w:before="40"/>
      </w:pPr>
      <w:r w:rsidRPr="000B704B">
        <w:t xml:space="preserve">Valvular dysfunction is a relatively common and costly heart disease, typically requiring mechanical valve replacement. It has two primary forms, stenosis and regurgitation. Mitral stenosis is the abnormal narrowing of the mitral valve, which slows blood flow and is the only heart disease that is caused predominately by rheumatic fever.  Mitral stenosis accounts for 10% of single native valve diseases, </w:t>
      </w:r>
      <w:r w:rsidR="00161266" w:rsidRPr="000B704B">
        <w:t>(</w:t>
      </w:r>
      <w:r w:rsidRPr="000B704B">
        <w:rPr>
          <w:lang w:val="de-DE"/>
        </w:rPr>
        <w:t>Iung et al.</w:t>
      </w:r>
      <w:r w:rsidR="00161266" w:rsidRPr="000B704B">
        <w:rPr>
          <w:lang w:val="de-DE"/>
        </w:rPr>
        <w:t xml:space="preserve">, </w:t>
      </w:r>
      <w:r w:rsidRPr="000B704B">
        <w:rPr>
          <w:lang w:val="de-DE"/>
        </w:rPr>
        <w:t>2003)</w:t>
      </w:r>
      <w:r w:rsidRPr="000B704B">
        <w:t xml:space="preserve">. Mitral regurgitation is more common in the elderly and is the leaking of blood through the mitral valve from the left ventricle into the left atrium. Regurgitation occurs due to a dysfunction of the valve leaflets, papillary muscles or the chordae tendineae, and has an occurrence of 2%, </w:t>
      </w:r>
      <w:r w:rsidR="00161266" w:rsidRPr="000B704B">
        <w:t xml:space="preserve">(Jones et al., </w:t>
      </w:r>
      <w:r w:rsidRPr="000B704B">
        <w:t>2001).</w:t>
      </w:r>
    </w:p>
    <w:p w:rsidR="008B7FB3" w:rsidRPr="000B704B" w:rsidRDefault="008B7FB3" w:rsidP="006E3B9B">
      <w:pPr>
        <w:pStyle w:val="Style10ptJustified"/>
        <w:spacing w:before="40"/>
      </w:pPr>
      <w:r w:rsidRPr="000B704B">
        <w:t>The mitral valve separates the left atrium and ventricle</w:t>
      </w:r>
      <w:r w:rsidR="002C7277" w:rsidRPr="000B704B">
        <w:t xml:space="preserve">. When </w:t>
      </w:r>
      <w:r w:rsidRPr="000B704B">
        <w:t>functioning correctly,</w:t>
      </w:r>
      <w:r w:rsidR="002C7277" w:rsidRPr="000B704B">
        <w:t xml:space="preserve"> it</w:t>
      </w:r>
      <w:r w:rsidRPr="000B704B">
        <w:t xml:space="preserve"> allows blood to flow from the atrium to the ventricle during diastole, and prevents it flowing back during systole. For a normal mitral valve, about 70-80% of the blood flow occurs during the early filling phase</w:t>
      </w:r>
      <w:r w:rsidRPr="000B704B">
        <w:rPr>
          <w:i/>
          <w:iCs/>
        </w:rPr>
        <w:t xml:space="preserve"> </w:t>
      </w:r>
      <w:r w:rsidRPr="000B704B">
        <w:t>of the left ventricle. After this phase, the left atrial contraction contributes approximately 20% more to the volume in the left ventricle prior to mitral valve closure and ventricular systole.  Similar behaviour is seen in the right ventricle with the tricuspid valve. Abnormal dynamics in this filling phase in either ventricle may suggest valve dysfunction, but could also suggest a wider problem with the circulation, for example pulmonary embolism</w:t>
      </w:r>
      <w:r w:rsidR="00FB2F64" w:rsidRPr="000B704B">
        <w:t xml:space="preserve"> </w:t>
      </w:r>
      <w:r w:rsidR="00161266" w:rsidRPr="000B704B">
        <w:t>(</w:t>
      </w:r>
      <w:r w:rsidR="00FB2F64" w:rsidRPr="000B704B">
        <w:t>Ristow et al.</w:t>
      </w:r>
      <w:r w:rsidR="00161266" w:rsidRPr="000B704B">
        <w:t xml:space="preserve">, </w:t>
      </w:r>
      <w:r w:rsidR="00FB2F64" w:rsidRPr="000B704B">
        <w:t xml:space="preserve">2007). </w:t>
      </w:r>
      <w:r w:rsidRPr="000B704B">
        <w:t>Pulmonary embolism is often characterised by tricuspid regurgitation and causes the secondary effect of increased volume</w:t>
      </w:r>
      <w:r w:rsidR="00FB2F64" w:rsidRPr="000B704B">
        <w:t xml:space="preserve"> in the atrium and/or ventricle, </w:t>
      </w:r>
      <w:r w:rsidR="00161266" w:rsidRPr="000B704B">
        <w:t xml:space="preserve">(Ristow et al., </w:t>
      </w:r>
      <w:r w:rsidR="00FB2F64" w:rsidRPr="000B704B">
        <w:t>2007)</w:t>
      </w:r>
      <w:r w:rsidRPr="000B704B">
        <w:t>. Thus, significant research concentrates on the understanding of detailed flow dynamics and pressure around the valves and atria.</w:t>
      </w:r>
      <w:r w:rsidR="006E3B9B">
        <w:tab/>
      </w:r>
    </w:p>
    <w:p w:rsidR="006F196C" w:rsidRPr="00D1400E" w:rsidRDefault="006F196C" w:rsidP="00D1400E">
      <w:pPr>
        <w:pStyle w:val="HTMLPreformatted"/>
        <w:pBdr>
          <w:top w:val="single" w:sz="4" w:space="1" w:color="auto"/>
        </w:pBdr>
        <w:jc w:val="both"/>
        <w:rPr>
          <w:rFonts w:ascii="Times New Roman" w:hAnsi="Times New Roman" w:cs="Times New Roman"/>
          <w:sz w:val="18"/>
          <w:szCs w:val="18"/>
          <w:lang w:val="en-US"/>
        </w:rPr>
      </w:pPr>
      <w:r w:rsidRPr="00D1400E">
        <w:rPr>
          <w:rFonts w:ascii="Times New Roman" w:hAnsi="Times New Roman" w:cs="Times New Roman"/>
          <w:sz w:val="18"/>
          <w:szCs w:val="18"/>
          <w:lang w:val="en-US"/>
        </w:rPr>
        <w:t xml:space="preserve">This work was supported by </w:t>
      </w:r>
      <w:r w:rsidR="00325A97" w:rsidRPr="00D1400E">
        <w:rPr>
          <w:rFonts w:ascii="Times New Roman" w:hAnsi="Times New Roman" w:cs="Times New Roman"/>
          <w:sz w:val="18"/>
          <w:szCs w:val="18"/>
          <w:lang w:val="en-US"/>
        </w:rPr>
        <w:t>the University of Liege</w:t>
      </w:r>
      <w:r w:rsidRPr="00D1400E">
        <w:rPr>
          <w:rFonts w:ascii="Times New Roman" w:hAnsi="Times New Roman" w:cs="Times New Roman"/>
          <w:sz w:val="18"/>
          <w:szCs w:val="18"/>
          <w:lang w:val="en-US"/>
        </w:rPr>
        <w:t xml:space="preserve">, the University of Canterbury and the French Community of Belgium (Actions de Recherches </w:t>
      </w:r>
      <w:r w:rsidR="00B80782" w:rsidRPr="00D1400E">
        <w:rPr>
          <w:rFonts w:ascii="Times New Roman" w:hAnsi="Times New Roman" w:cs="Times New Roman"/>
          <w:sz w:val="18"/>
          <w:szCs w:val="18"/>
          <w:lang w:val="en-US"/>
        </w:rPr>
        <w:t>Concertées Académie</w:t>
      </w:r>
      <w:r w:rsidRPr="00D1400E">
        <w:rPr>
          <w:rFonts w:ascii="Times New Roman" w:hAnsi="Times New Roman" w:cs="Times New Roman"/>
          <w:sz w:val="18"/>
          <w:szCs w:val="18"/>
          <w:lang w:val="en-US"/>
        </w:rPr>
        <w:t xml:space="preserve"> Wallonie-Europe)</w:t>
      </w:r>
    </w:p>
    <w:p w:rsidR="008B7FB3" w:rsidRPr="000B704B" w:rsidRDefault="008B7FB3" w:rsidP="006E3B9B">
      <w:pPr>
        <w:pStyle w:val="Style10ptJustified"/>
        <w:spacing w:before="40"/>
      </w:pPr>
      <w:r w:rsidRPr="000B704B">
        <w:lastRenderedPageBreak/>
        <w:t>Methods for measuring flow include Doppler echocardiography</w:t>
      </w:r>
      <w:r w:rsidR="00B334F4" w:rsidRPr="000B704B">
        <w:t xml:space="preserve"> (Wilkins et al., 1986; Firstenberg et al., 2000), </w:t>
      </w:r>
      <w:r w:rsidRPr="000B704B">
        <w:t>Cineangiography</w:t>
      </w:r>
      <w:r w:rsidR="00B334F4" w:rsidRPr="000B704B">
        <w:t xml:space="preserve"> (Laniado et al., 1975), </w:t>
      </w:r>
      <w:r w:rsidRPr="000B704B">
        <w:t>and cinefluro-scopy with radiopaque marker implantation</w:t>
      </w:r>
      <w:r w:rsidR="00B334F4" w:rsidRPr="000B704B">
        <w:t xml:space="preserve"> (Pohost et al., 1975).</w:t>
      </w:r>
      <w:r w:rsidRPr="000B704B">
        <w:t xml:space="preserve"> All of these methods are either invasive or complex and time-consuming. Hence, none lend themselves to regular use for ongoing</w:t>
      </w:r>
      <w:r w:rsidR="002C7277" w:rsidRPr="000B704B">
        <w:t xml:space="preserve"> patient</w:t>
      </w:r>
      <w:r w:rsidRPr="000B704B">
        <w:t xml:space="preserve"> monitoring.</w:t>
      </w:r>
    </w:p>
    <w:p w:rsidR="008B7FB3" w:rsidRPr="000B704B" w:rsidRDefault="008B7FB3" w:rsidP="006E3B9B">
      <w:pPr>
        <w:pStyle w:val="Style10ptJustified"/>
        <w:spacing w:before="40"/>
      </w:pPr>
      <w:r w:rsidRPr="000B704B">
        <w:t>Another approach for characterising valvular dysfunc</w:t>
      </w:r>
      <w:r w:rsidR="00180F8A" w:rsidRPr="000B704B">
        <w:t xml:space="preserve">tion is through physical models, </w:t>
      </w:r>
      <w:r w:rsidR="00161266" w:rsidRPr="000B704B">
        <w:t>(</w:t>
      </w:r>
      <w:r w:rsidR="00B0322A" w:rsidRPr="000B704B">
        <w:rPr>
          <w:lang w:val="en-US"/>
        </w:rPr>
        <w:t>Wright et</w:t>
      </w:r>
      <w:r w:rsidR="00180F8A" w:rsidRPr="000B704B">
        <w:rPr>
          <w:lang w:val="en-US"/>
        </w:rPr>
        <w:t xml:space="preserve"> al.</w:t>
      </w:r>
      <w:r w:rsidR="00161266" w:rsidRPr="000B704B">
        <w:rPr>
          <w:lang w:val="en-US"/>
        </w:rPr>
        <w:t xml:space="preserve">, </w:t>
      </w:r>
      <w:r w:rsidR="00B0322A" w:rsidRPr="000B704B">
        <w:rPr>
          <w:lang w:val="en-US"/>
        </w:rPr>
        <w:t>1997</w:t>
      </w:r>
      <w:r w:rsidR="00180F8A" w:rsidRPr="000B704B">
        <w:rPr>
          <w:lang w:val="en-US"/>
        </w:rPr>
        <w:t xml:space="preserve">; </w:t>
      </w:r>
      <w:r w:rsidR="00EB1D78" w:rsidRPr="000B704B">
        <w:rPr>
          <w:lang w:val="en-US"/>
        </w:rPr>
        <w:t>Nordsletten et</w:t>
      </w:r>
      <w:r w:rsidR="00180F8A" w:rsidRPr="000B704B">
        <w:rPr>
          <w:lang w:val="en-US"/>
        </w:rPr>
        <w:t xml:space="preserve"> al.</w:t>
      </w:r>
      <w:r w:rsidR="00161266" w:rsidRPr="000B704B">
        <w:rPr>
          <w:lang w:val="en-US"/>
        </w:rPr>
        <w:t xml:space="preserve">, </w:t>
      </w:r>
      <w:r w:rsidR="00B0322A" w:rsidRPr="000B704B">
        <w:rPr>
          <w:lang w:val="en-US"/>
        </w:rPr>
        <w:t>2009</w:t>
      </w:r>
      <w:r w:rsidR="00180F8A" w:rsidRPr="000B704B">
        <w:rPr>
          <w:lang w:val="en-US"/>
        </w:rPr>
        <w:t>),</w:t>
      </w:r>
      <w:r w:rsidRPr="000B704B">
        <w:t xml:space="preserve"> or more commonly fluid flow modelling around the valves. Flow around the valves can be turbulent and represent a highly non-linear system that is challenging to model. Current models of this type are usually based on Navier-Stokes</w:t>
      </w:r>
      <w:r w:rsidR="00B22DC4" w:rsidRPr="000B704B">
        <w:t xml:space="preserve">, </w:t>
      </w:r>
      <w:r w:rsidR="00DF27FC" w:rsidRPr="000B704B">
        <w:t>(</w:t>
      </w:r>
      <w:r w:rsidR="00B22DC4" w:rsidRPr="000B704B">
        <w:rPr>
          <w:lang w:eastAsia="en-GB"/>
        </w:rPr>
        <w:t>Baccani et al.</w:t>
      </w:r>
      <w:r w:rsidR="00DF27FC" w:rsidRPr="000B704B">
        <w:rPr>
          <w:lang w:eastAsia="en-GB"/>
        </w:rPr>
        <w:t xml:space="preserve">, </w:t>
      </w:r>
      <w:r w:rsidR="00B22DC4" w:rsidRPr="000B704B">
        <w:rPr>
          <w:lang w:eastAsia="en-GB"/>
        </w:rPr>
        <w:t>2003),</w:t>
      </w:r>
      <w:r w:rsidRPr="000B704B">
        <w:t xml:space="preserve"> or more simplified models of Bernoulli flow</w:t>
      </w:r>
      <w:r w:rsidR="00B22DC4" w:rsidRPr="000B704B">
        <w:t xml:space="preserve">, </w:t>
      </w:r>
      <w:r w:rsidR="00DF27FC" w:rsidRPr="000B704B">
        <w:t>(</w:t>
      </w:r>
      <w:r w:rsidR="00B22DC4" w:rsidRPr="000B704B">
        <w:t>Clark</w:t>
      </w:r>
      <w:r w:rsidR="00DF27FC" w:rsidRPr="000B704B">
        <w:t xml:space="preserve">, </w:t>
      </w:r>
      <w:r w:rsidR="00B22DC4" w:rsidRPr="000B704B">
        <w:t>1975</w:t>
      </w:r>
      <w:r w:rsidR="00DF27FC" w:rsidRPr="000B704B">
        <w:t>;</w:t>
      </w:r>
      <w:r w:rsidR="00B22DC4" w:rsidRPr="000B704B">
        <w:t xml:space="preserve"> Bellhouse</w:t>
      </w:r>
      <w:r w:rsidR="00DF27FC" w:rsidRPr="000B704B">
        <w:t xml:space="preserve">, </w:t>
      </w:r>
      <w:r w:rsidR="00B22DC4" w:rsidRPr="000B704B">
        <w:t>1972)</w:t>
      </w:r>
      <w:r w:rsidRPr="000B704B">
        <w:t xml:space="preserve">. However, all of them require difficult to obtain detailed geometric information to construct, and are very difficult to validate. Thus, they </w:t>
      </w:r>
      <w:r w:rsidR="002C7277" w:rsidRPr="000B704B">
        <w:t xml:space="preserve">too </w:t>
      </w:r>
      <w:r w:rsidRPr="000B704B">
        <w:t>are not useful for patient-specific monitoring or diagnosis.</w:t>
      </w:r>
    </w:p>
    <w:p w:rsidR="00B565D5" w:rsidRDefault="008B7FB3" w:rsidP="006E3B9B">
      <w:pPr>
        <w:pStyle w:val="Style10ptJustified"/>
        <w:spacing w:before="40"/>
      </w:pPr>
      <w:r w:rsidRPr="000B704B">
        <w:t xml:space="preserve">This research uses simple dynamic models of the stiffness of the valve leaflets to characterise the fundamental effects on flow and pressure, rather than concentrating on highly detailed fluid flow models. The valve is treated as a non-linear rotational spring or a ‘hinge’ with the change in angle under pressure driven flow being related to the stiffness </w:t>
      </w:r>
      <w:r w:rsidR="00DF27FC" w:rsidRPr="000B704B">
        <w:t xml:space="preserve">and damping </w:t>
      </w:r>
      <w:r w:rsidRPr="000B704B">
        <w:t>of the valve. Thus, the essential flow and pressure dynamics can potentially be used to back calculate the strength of the different chord structures in the valve, giving a physiological measure of valve disease with respect to the overall non-linear stiffness defined. This model and the methods developed are tested and compared with clinical data from literature for initial proof-of-concept validation.</w:t>
      </w:r>
    </w:p>
    <w:p w:rsidR="006F196C" w:rsidRDefault="006F196C">
      <w:pPr>
        <w:rPr>
          <w:bCs/>
          <w:sz w:val="20"/>
        </w:rPr>
      </w:pPr>
      <w:r>
        <w:br w:type="page"/>
      </w:r>
    </w:p>
    <w:p w:rsidR="006C2499" w:rsidRDefault="006C2499" w:rsidP="00B53939">
      <w:pPr>
        <w:pStyle w:val="Style10ptJustified"/>
        <w:jc w:val="center"/>
      </w:pPr>
      <w:r>
        <w:lastRenderedPageBreak/>
        <w:t xml:space="preserve">2. </w:t>
      </w:r>
      <w:r w:rsidR="006128D5">
        <w:t>METHODOLOGY</w:t>
      </w:r>
    </w:p>
    <w:p w:rsidR="00AC391E" w:rsidRDefault="00F44462" w:rsidP="00AC391E">
      <w:pPr>
        <w:pStyle w:val="SubsectionTitle"/>
      </w:pPr>
      <w:r>
        <w:t>2.1 Generalised</w:t>
      </w:r>
      <w:r w:rsidR="00AC391E">
        <w:t xml:space="preserve"> Model</w:t>
      </w:r>
    </w:p>
    <w:p w:rsidR="006C2499" w:rsidRPr="000B704B" w:rsidRDefault="00E14CA4" w:rsidP="006E3B9B">
      <w:pPr>
        <w:pStyle w:val="Style10ptJustified"/>
        <w:spacing w:before="40"/>
      </w:pPr>
      <w:r w:rsidRPr="000B704B">
        <w:t>T</w:t>
      </w:r>
      <w:r w:rsidR="005B6833" w:rsidRPr="000B704B">
        <w:t xml:space="preserve">he model treats the valve’s fundamental response to pressure as a non-linear rotational spring or a hinge with </w:t>
      </w:r>
      <w:r w:rsidR="008B3B9A" w:rsidRPr="000B704B">
        <w:t xml:space="preserve">a </w:t>
      </w:r>
      <w:r w:rsidR="005B6833" w:rsidRPr="000B704B">
        <w:t xml:space="preserve">stiffness </w:t>
      </w:r>
      <w:r w:rsidR="008B3B9A" w:rsidRPr="000B704B">
        <w:t xml:space="preserve">force </w:t>
      </w:r>
      <w:r w:rsidR="005B6833" w:rsidRPr="000B704B">
        <w:t xml:space="preserve">dependent on the angle. </w:t>
      </w:r>
    </w:p>
    <w:p w:rsidR="005B6833" w:rsidRPr="005B6833" w:rsidRDefault="002E0646" w:rsidP="006E3B9B">
      <w:pPr>
        <w:pStyle w:val="Style10ptJustified"/>
      </w:pPr>
      <w:r>
        <w:rPr>
          <w:noProof/>
          <w:lang w:val="fr-BE" w:eastAsia="fr-BE"/>
        </w:rPr>
      </w:r>
      <w:r>
        <w:pict>
          <v:group id="_x0000_s1319" style="width:214.8pt;height:170.4pt;mso-position-horizontal-relative:char;mso-position-vertical-relative:line" coordorigin="1424,1485" coordsize="4296,3408">
            <v:shapetype id="_x0000_t32" coordsize="21600,21600" o:spt="32" o:oned="t" path="m,l21600,21600e" filled="f">
              <v:path arrowok="t" fillok="f" o:connecttype="none"/>
              <o:lock v:ext="edit" shapetype="t"/>
            </v:shapetype>
            <v:shape id="_x0000_s1320" type="#_x0000_t32" style="position:absolute;left:1956;top:1485;width:0;height:2877" o:connectortype="straight">
              <v:stroke startarrow="block"/>
            </v:shape>
            <v:shape id="_x0000_s1321" type="#_x0000_t32" style="position:absolute;left:1955;top:4367;width:3765;height:14" o:connectortype="straight">
              <v:stroke endarrow="block"/>
            </v:shape>
            <v:shape id="_x0000_s1322" type="#_x0000_t32" style="position:absolute;left:1956;top:3193;width:619;height:1174;flip:y" o:connectortype="straight"/>
            <v:shape id="_x0000_s1323" type="#_x0000_t32" style="position:absolute;left:2575;top:2830;width:1754;height:363;flip:y" o:connectortype="straight"/>
            <v:shape id="_x0000_s1324" type="#_x0000_t32" style="position:absolute;left:4329;top:1688;width:564;height:1142;flip:y" o:connectortype="straight"/>
            <v:shape id="_x0000_s1325" type="#_x0000_t32" style="position:absolute;left:2575;top:3193;width:0;height:1183" o:connectortype="straight">
              <v:stroke dashstyle="dash"/>
            </v:shape>
            <v:shape id="_x0000_s1326" type="#_x0000_t32" style="position:absolute;left:4329;top:2830;width:0;height:1546" o:connectortype="straight">
              <v:stroke dashstyle="dash"/>
            </v:shape>
            <v:shape id="_x0000_s1327" type="#_x0000_t32" style="position:absolute;left:4893;top:1693;width:0;height:2688" o:connectortype="straight">
              <v:stroke dashstyle="dash"/>
            </v:shape>
            <v:shape id="_x0000_s1328" type="#_x0000_t32" style="position:absolute;left:2846;top:3140;width:783;height:0" o:connectortype="straight"/>
            <v:shape id="_x0000_s1329" type="#_x0000_t32" style="position:absolute;left:4410;top:2669;width:196;height:0" o:connectortype="straight"/>
            <v:shape id="_x0000_s1330" type="#_x0000_t32" style="position:absolute;left:4611;top:2260;width:0;height:403;flip:y" o:connectortype="straight"/>
            <v:shape id="_x0000_s1331" type="#_x0000_t32" style="position:absolute;left:3629;top:2980;width:0;height:160;flip:y" o:connectortype="straight"/>
            <v:shape id="_x0000_s1332" type="#_x0000_t32" style="position:absolute;left:2063;top:4177;width:231;height:0" o:connectortype="straight"/>
            <v:shape id="_x0000_s1333" type="#_x0000_t32" style="position:absolute;left:2294;top:3729;width:1;height:448;flip:y" o:connectortype="straight"/>
            <v:shapetype id="_x0000_t202" coordsize="21600,21600" o:spt="202" path="m,l,21600r21600,l21600,xe">
              <v:stroke joinstyle="miter"/>
              <v:path gradientshapeok="t" o:connecttype="rect"/>
            </v:shapetype>
            <v:shape id="_x0000_s1334" type="#_x0000_t202" style="position:absolute;left:2194;top:3746;width:450;height:528" filled="f" stroked="f">
              <v:textbox style="mso-next-textbox:#_x0000_s1334">
                <w:txbxContent>
                  <w:p w:rsidR="002E0646" w:rsidRPr="007C2D97" w:rsidRDefault="002E0646" w:rsidP="002E0646">
                    <w:pPr>
                      <w:rPr>
                        <w:rFonts w:ascii="Arial" w:hAnsi="Arial" w:cs="Arial"/>
                        <w:sz w:val="14"/>
                        <w:szCs w:val="14"/>
                        <w:lang w:val="en-US"/>
                      </w:rPr>
                    </w:pPr>
                    <w:r w:rsidRPr="007C2D97">
                      <w:rPr>
                        <w:rFonts w:ascii="Arial" w:hAnsi="Arial" w:cs="Arial"/>
                        <w:sz w:val="14"/>
                        <w:szCs w:val="14"/>
                        <w:lang w:val="en-US"/>
                      </w:rPr>
                      <w:t>K</w:t>
                    </w:r>
                    <w:r w:rsidRPr="007C2D97">
                      <w:rPr>
                        <w:rFonts w:ascii="Arial" w:hAnsi="Arial" w:cs="Arial"/>
                        <w:sz w:val="14"/>
                        <w:szCs w:val="14"/>
                        <w:vertAlign w:val="subscript"/>
                        <w:lang w:val="en-US"/>
                      </w:rPr>
                      <w:t>1</w:t>
                    </w:r>
                  </w:p>
                </w:txbxContent>
              </v:textbox>
            </v:shape>
            <v:shape id="_x0000_s1335" type="#_x0000_t202" style="position:absolute;left:3530;top:2902;width:562;height:416" filled="f" stroked="f">
              <v:textbox style="mso-next-textbox:#_x0000_s1335">
                <w:txbxContent>
                  <w:p w:rsidR="002E0646" w:rsidRPr="007C2D97" w:rsidRDefault="002E0646" w:rsidP="002E0646">
                    <w:pPr>
                      <w:rPr>
                        <w:rFonts w:ascii="Arial" w:hAnsi="Arial" w:cs="Arial"/>
                        <w:sz w:val="14"/>
                        <w:szCs w:val="14"/>
                        <w:lang w:val="en-US"/>
                      </w:rPr>
                    </w:pPr>
                    <w:r w:rsidRPr="007C2D97">
                      <w:rPr>
                        <w:rFonts w:ascii="Arial" w:hAnsi="Arial" w:cs="Arial"/>
                        <w:sz w:val="14"/>
                        <w:szCs w:val="14"/>
                        <w:lang w:val="en-US"/>
                      </w:rPr>
                      <w:t>K</w:t>
                    </w:r>
                    <w:r w:rsidRPr="007C2D97">
                      <w:rPr>
                        <w:rFonts w:ascii="Arial" w:hAnsi="Arial" w:cs="Arial"/>
                        <w:sz w:val="14"/>
                        <w:szCs w:val="14"/>
                        <w:vertAlign w:val="subscript"/>
                        <w:lang w:val="en-US"/>
                      </w:rPr>
                      <w:t>2</w:t>
                    </w:r>
                  </w:p>
                </w:txbxContent>
              </v:textbox>
            </v:shape>
            <v:shape id="_x0000_s1336" type="#_x0000_t202" style="position:absolute;left:4516;top:2325;width:615;height:427" filled="f" stroked="f">
              <v:textbox style="mso-next-textbox:#_x0000_s1336">
                <w:txbxContent>
                  <w:p w:rsidR="002E0646" w:rsidRPr="007C2D97" w:rsidRDefault="002E0646" w:rsidP="002E0646">
                    <w:pPr>
                      <w:rPr>
                        <w:rFonts w:ascii="Arial" w:hAnsi="Arial" w:cs="Arial"/>
                        <w:sz w:val="14"/>
                        <w:szCs w:val="14"/>
                        <w:lang w:val="en-US"/>
                      </w:rPr>
                    </w:pPr>
                    <w:r w:rsidRPr="007C2D97">
                      <w:rPr>
                        <w:rFonts w:ascii="Arial" w:hAnsi="Arial" w:cs="Arial"/>
                        <w:sz w:val="14"/>
                        <w:szCs w:val="14"/>
                        <w:lang w:val="en-US"/>
                      </w:rPr>
                      <w:t>K</w:t>
                    </w:r>
                    <w:r w:rsidRPr="007C2D97">
                      <w:rPr>
                        <w:rFonts w:ascii="Arial" w:hAnsi="Arial" w:cs="Arial"/>
                        <w:sz w:val="14"/>
                        <w:szCs w:val="14"/>
                        <w:vertAlign w:val="subscript"/>
                        <w:lang w:val="en-US"/>
                      </w:rPr>
                      <w:t>3</w:t>
                    </w:r>
                  </w:p>
                </w:txbxContent>
              </v:textbox>
            </v:shape>
            <v:shape id="_x0000_s1337" type="#_x0000_t202" style="position:absolute;left:2364;top:4354;width:664;height:529" filled="f" stroked="f">
              <v:textbox style="mso-next-textbox:#_x0000_s1337">
                <w:txbxContent>
                  <w:p w:rsidR="002E0646" w:rsidRPr="007C2D97" w:rsidRDefault="002E0646" w:rsidP="002E0646">
                    <w:pPr>
                      <w:rPr>
                        <w:rFonts w:ascii="Arial" w:hAnsi="Arial" w:cs="Arial"/>
                        <w:sz w:val="14"/>
                        <w:szCs w:val="14"/>
                        <w:lang w:val="en-US"/>
                      </w:rPr>
                    </w:pPr>
                    <w:r w:rsidRPr="007C2D97">
                      <w:rPr>
                        <w:rFonts w:ascii="Arial" w:hAnsi="Arial" w:cs="Arial"/>
                        <w:sz w:val="14"/>
                        <w:szCs w:val="14"/>
                        <w:lang w:val="en-US"/>
                      </w:rPr>
                      <w:t>θ</w:t>
                    </w:r>
                    <w:r w:rsidRPr="007C2D97">
                      <w:rPr>
                        <w:rFonts w:ascii="Arial" w:hAnsi="Arial" w:cs="Arial"/>
                        <w:sz w:val="14"/>
                        <w:szCs w:val="14"/>
                        <w:vertAlign w:val="subscript"/>
                        <w:lang w:val="en-US"/>
                      </w:rPr>
                      <w:t>1</w:t>
                    </w:r>
                  </w:p>
                </w:txbxContent>
              </v:textbox>
            </v:shape>
            <v:shape id="_x0000_s1338" type="#_x0000_t202" style="position:absolute;left:4092;top:4365;width:665;height:528" filled="f" stroked="f">
              <v:textbox style="mso-next-textbox:#_x0000_s1338">
                <w:txbxContent>
                  <w:p w:rsidR="002E0646" w:rsidRPr="007C2D97" w:rsidRDefault="002E0646" w:rsidP="002E0646">
                    <w:pPr>
                      <w:rPr>
                        <w:rFonts w:ascii="Arial" w:hAnsi="Arial" w:cs="Arial"/>
                        <w:sz w:val="14"/>
                        <w:szCs w:val="14"/>
                        <w:lang w:val="en-US"/>
                      </w:rPr>
                    </w:pPr>
                    <w:r w:rsidRPr="007C2D97">
                      <w:rPr>
                        <w:rFonts w:ascii="Arial" w:hAnsi="Arial" w:cs="Arial"/>
                        <w:sz w:val="14"/>
                        <w:szCs w:val="14"/>
                        <w:lang w:val="en-US"/>
                      </w:rPr>
                      <w:t>θ</w:t>
                    </w:r>
                    <w:r w:rsidRPr="007C2D97">
                      <w:rPr>
                        <w:rFonts w:ascii="Arial" w:hAnsi="Arial" w:cs="Arial"/>
                        <w:sz w:val="14"/>
                        <w:szCs w:val="14"/>
                        <w:vertAlign w:val="subscript"/>
                        <w:lang w:val="en-US"/>
                      </w:rPr>
                      <w:t>2</w:t>
                    </w:r>
                  </w:p>
                </w:txbxContent>
              </v:textbox>
            </v:shape>
            <v:shape id="_x0000_s1339" type="#_x0000_t202" style="position:absolute;left:4632;top:4343;width:664;height:529" filled="f" stroked="f">
              <v:textbox style="mso-next-textbox:#_x0000_s1339">
                <w:txbxContent>
                  <w:p w:rsidR="002E0646" w:rsidRPr="007C2D97" w:rsidRDefault="002E0646" w:rsidP="002E0646">
                    <w:pPr>
                      <w:rPr>
                        <w:rFonts w:ascii="Arial" w:hAnsi="Arial" w:cs="Arial"/>
                        <w:sz w:val="14"/>
                        <w:szCs w:val="14"/>
                      </w:rPr>
                    </w:pPr>
                    <w:r w:rsidRPr="007C2D97">
                      <w:rPr>
                        <w:rFonts w:ascii="Arial" w:hAnsi="Arial" w:cs="Arial"/>
                        <w:sz w:val="14"/>
                        <w:szCs w:val="14"/>
                        <w:lang w:val="en-US"/>
                      </w:rPr>
                      <w:t>π/2</w:t>
                    </w:r>
                  </w:p>
                </w:txbxContent>
              </v:textbox>
            </v:shape>
            <v:shape id="_x0000_s1340" type="#_x0000_t202" style="position:absolute;left:3028;top:4494;width:892;height:399" filled="f" stroked="f">
              <v:textbox style="mso-next-textbox:#_x0000_s1340">
                <w:txbxContent>
                  <w:p w:rsidR="002E0646" w:rsidRPr="007C2D97" w:rsidRDefault="002E0646" w:rsidP="002E0646">
                    <w:pPr>
                      <w:rPr>
                        <w:rFonts w:ascii="Arial" w:hAnsi="Arial" w:cs="Arial"/>
                        <w:sz w:val="14"/>
                        <w:szCs w:val="14"/>
                      </w:rPr>
                    </w:pPr>
                    <w:r w:rsidRPr="007C2D97">
                      <w:rPr>
                        <w:rFonts w:ascii="Arial" w:hAnsi="Arial" w:cs="Arial"/>
                        <w:sz w:val="14"/>
                        <w:szCs w:val="14"/>
                        <w:lang w:val="en-US"/>
                      </w:rPr>
                      <w:t>Angle, θ</w:t>
                    </w:r>
                  </w:p>
                </w:txbxContent>
              </v:textbox>
            </v:shape>
            <v:shape id="_x0000_s1341" type="#_x0000_t202" style="position:absolute;left:1424;top:2103;width:586;height:1626" filled="f" stroked="f">
              <v:textbox style="layout-flow:vertical;mso-layout-flow-alt:bottom-to-top;mso-next-textbox:#_x0000_s1341">
                <w:txbxContent>
                  <w:p w:rsidR="002E0646" w:rsidRPr="007C2D97" w:rsidRDefault="002E0646" w:rsidP="002E0646">
                    <w:pPr>
                      <w:rPr>
                        <w:rFonts w:ascii="Arial" w:hAnsi="Arial" w:cs="Arial"/>
                        <w:sz w:val="14"/>
                        <w:szCs w:val="14"/>
                      </w:rPr>
                    </w:pPr>
                    <w:r w:rsidRPr="007C2D97">
                      <w:rPr>
                        <w:rFonts w:ascii="Arial" w:hAnsi="Arial" w:cs="Arial"/>
                        <w:sz w:val="14"/>
                        <w:szCs w:val="14"/>
                        <w:lang w:val="en-US"/>
                      </w:rPr>
                      <w:t>Stiffness Force, F</w:t>
                    </w:r>
                    <w:r w:rsidRPr="007C2D97">
                      <w:rPr>
                        <w:rFonts w:ascii="Arial" w:hAnsi="Arial" w:cs="Arial"/>
                        <w:sz w:val="14"/>
                        <w:szCs w:val="14"/>
                        <w:vertAlign w:val="subscript"/>
                        <w:lang w:val="en-US"/>
                      </w:rPr>
                      <w:t>K</w:t>
                    </w:r>
                    <w:r w:rsidRPr="007C2D97">
                      <w:rPr>
                        <w:rFonts w:ascii="Arial" w:hAnsi="Arial" w:cs="Arial"/>
                        <w:sz w:val="14"/>
                        <w:szCs w:val="14"/>
                        <w:lang w:val="en-US"/>
                      </w:rPr>
                      <w:t>(θ)</w:t>
                    </w:r>
                  </w:p>
                </w:txbxContent>
              </v:textbox>
            </v:shape>
            <w10:wrap type="none"/>
            <w10:anchorlock/>
          </v:group>
        </w:pict>
      </w:r>
    </w:p>
    <w:p w:rsidR="001E0E1F" w:rsidRPr="00C92518" w:rsidRDefault="001E0E1F" w:rsidP="000B704B">
      <w:pPr>
        <w:pStyle w:val="SubsectionTitle"/>
        <w:rPr>
          <w:i w:val="0"/>
          <w:noProof/>
          <w:szCs w:val="24"/>
        </w:rPr>
      </w:pPr>
      <w:r w:rsidRPr="00C92518">
        <w:rPr>
          <w:i w:val="0"/>
        </w:rPr>
        <w:t>Fig. 1. Force as a function of angle, representing three different stiffness profiles.</w:t>
      </w:r>
    </w:p>
    <w:p w:rsidR="007D6EB0" w:rsidRDefault="007D6EB0" w:rsidP="006E3B9B">
      <w:pPr>
        <w:pStyle w:val="Style10ptJustified"/>
        <w:spacing w:before="40"/>
      </w:pPr>
      <w:r w:rsidRPr="007D6EB0">
        <w:t>Fig</w:t>
      </w:r>
      <w:r>
        <w:t>.</w:t>
      </w:r>
      <w:r w:rsidRPr="007D6EB0">
        <w:t xml:space="preserve"> 1 shows a hypothetical case as a piecewise linear function. In the first section, </w:t>
      </w:r>
      <w:r w:rsidRPr="007D6EB0">
        <w:rPr>
          <w:i/>
          <w:iCs/>
        </w:rPr>
        <w:t>0&lt;θ&lt;θ</w:t>
      </w:r>
      <w:r w:rsidRPr="007D6EB0">
        <w:rPr>
          <w:i/>
          <w:iCs/>
          <w:vertAlign w:val="subscript"/>
        </w:rPr>
        <w:t>1</w:t>
      </w:r>
      <w:r w:rsidRPr="007D6EB0">
        <w:t xml:space="preserve">, the force changes rapidly with a shape </w:t>
      </w:r>
      <w:r w:rsidRPr="007D6EB0">
        <w:rPr>
          <w:i/>
          <w:iCs/>
        </w:rPr>
        <w:t>K</w:t>
      </w:r>
      <w:r w:rsidRPr="007D6EB0">
        <w:rPr>
          <w:i/>
          <w:iCs/>
          <w:vertAlign w:val="subscript"/>
        </w:rPr>
        <w:t>1</w:t>
      </w:r>
      <w:r w:rsidRPr="007D6EB0">
        <w:rPr>
          <w:i/>
          <w:iCs/>
        </w:rPr>
        <w:t>=F</w:t>
      </w:r>
      <w:r w:rsidR="008B3B9A" w:rsidRPr="008B3B9A">
        <w:rPr>
          <w:i/>
          <w:iCs/>
          <w:vertAlign w:val="subscript"/>
        </w:rPr>
        <w:t>K</w:t>
      </w:r>
      <w:r w:rsidRPr="007D6EB0">
        <w:rPr>
          <w:i/>
          <w:iCs/>
        </w:rPr>
        <w:t>(θ</w:t>
      </w:r>
      <w:r w:rsidRPr="007D6EB0">
        <w:rPr>
          <w:i/>
          <w:iCs/>
          <w:vertAlign w:val="subscript"/>
        </w:rPr>
        <w:t>1</w:t>
      </w:r>
      <w:r w:rsidRPr="007D6EB0">
        <w:rPr>
          <w:i/>
          <w:iCs/>
        </w:rPr>
        <w:t>)/ θ</w:t>
      </w:r>
      <w:r w:rsidRPr="007D6EB0">
        <w:rPr>
          <w:i/>
          <w:iCs/>
          <w:vertAlign w:val="subscript"/>
        </w:rPr>
        <w:t>1</w:t>
      </w:r>
      <w:r w:rsidRPr="007D6EB0">
        <w:rPr>
          <w:vertAlign w:val="subscript"/>
        </w:rPr>
        <w:t xml:space="preserve">, </w:t>
      </w:r>
      <w:r w:rsidRPr="007D6EB0">
        <w:t xml:space="preserve">which corresponds to the stiffness of the valve during this period. In the middle section, </w:t>
      </w:r>
      <w:r w:rsidRPr="007D6EB0">
        <w:rPr>
          <w:i/>
          <w:iCs/>
        </w:rPr>
        <w:t>θ</w:t>
      </w:r>
      <w:r w:rsidRPr="007D6EB0">
        <w:rPr>
          <w:i/>
          <w:iCs/>
          <w:vertAlign w:val="subscript"/>
        </w:rPr>
        <w:t>1</w:t>
      </w:r>
      <w:r w:rsidRPr="007D6EB0">
        <w:rPr>
          <w:i/>
          <w:iCs/>
        </w:rPr>
        <w:t>&lt;θ&lt;θ</w:t>
      </w:r>
      <w:r w:rsidRPr="007D6EB0">
        <w:rPr>
          <w:i/>
          <w:iCs/>
          <w:vertAlign w:val="subscript"/>
        </w:rPr>
        <w:t>2,</w:t>
      </w:r>
      <w:r w:rsidRPr="007D6EB0">
        <w:t xml:space="preserve"> the slope of the stiffness is much lower, and in the final section, </w:t>
      </w:r>
      <w:r w:rsidRPr="007D6EB0">
        <w:rPr>
          <w:i/>
          <w:iCs/>
        </w:rPr>
        <w:t>θ</w:t>
      </w:r>
      <w:r w:rsidRPr="007D6EB0">
        <w:rPr>
          <w:i/>
          <w:iCs/>
          <w:vertAlign w:val="subscript"/>
        </w:rPr>
        <w:t>2</w:t>
      </w:r>
      <w:r w:rsidRPr="007D6EB0">
        <w:rPr>
          <w:i/>
          <w:iCs/>
        </w:rPr>
        <w:t>&lt;θ&lt; π/2</w:t>
      </w:r>
      <w:r w:rsidRPr="007D6EB0">
        <w:t xml:space="preserve">, the stiffness is high again. The </w:t>
      </w:r>
      <w:r w:rsidRPr="007D6EB0">
        <w:rPr>
          <w:i/>
          <w:iCs/>
        </w:rPr>
        <w:t>F</w:t>
      </w:r>
      <w:r w:rsidR="008B3B9A" w:rsidRPr="008B3B9A">
        <w:rPr>
          <w:i/>
          <w:iCs/>
          <w:vertAlign w:val="subscript"/>
        </w:rPr>
        <w:t>K</w:t>
      </w:r>
      <w:r w:rsidRPr="007D6EB0">
        <w:rPr>
          <w:i/>
          <w:iCs/>
        </w:rPr>
        <w:t>(θ)</w:t>
      </w:r>
      <w:r w:rsidRPr="007D6EB0">
        <w:t xml:space="preserve"> curve in Fig</w:t>
      </w:r>
      <w:r w:rsidR="00B33B6E">
        <w:t>.</w:t>
      </w:r>
      <w:r w:rsidRPr="007D6EB0">
        <w:t xml:space="preserve"> 1 could also be represented by many more piecewise linear sections, which in the limit would define a continuous curve, with stiffness as a continuous function of </w:t>
      </w:r>
      <w:r w:rsidRPr="007D6EB0">
        <w:rPr>
          <w:i/>
          <w:iCs/>
        </w:rPr>
        <w:t>θ</w:t>
      </w:r>
      <w:r w:rsidRPr="007D6EB0">
        <w:t xml:space="preserve"> defined:</w:t>
      </w:r>
    </w:p>
    <w:p w:rsidR="00B33B6E" w:rsidRDefault="00B33B6E" w:rsidP="00424277">
      <w:pPr>
        <w:pStyle w:val="Equation"/>
        <w:tabs>
          <w:tab w:val="clear" w:pos="5040"/>
          <w:tab w:val="center" w:pos="2552"/>
          <w:tab w:val="right" w:pos="4962"/>
        </w:tabs>
        <w:spacing w:before="120"/>
        <w:jc w:val="center"/>
      </w:pPr>
      <w:r>
        <w:tab/>
      </w:r>
      <w:r w:rsidR="008B3B9A" w:rsidRPr="00B33B6E">
        <w:rPr>
          <w:position w:val="-24"/>
        </w:rPr>
        <w:object w:dxaOrig="157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26.3pt" o:ole="" fillcolor="window">
            <v:imagedata r:id="rId9" o:title=""/>
          </v:shape>
          <o:OLEObject Type="Embed" ProgID="Equation.3" ShapeID="_x0000_i1026" DrawAspect="Content" ObjectID="_1332919670" r:id="rId10"/>
        </w:object>
      </w:r>
      <w:r>
        <w:tab/>
        <w:t>(1)</w:t>
      </w:r>
    </w:p>
    <w:p w:rsidR="00D93F26" w:rsidRDefault="00D93F26" w:rsidP="00E65E9E">
      <w:pPr>
        <w:spacing w:before="40" w:after="120"/>
        <w:jc w:val="both"/>
        <w:rPr>
          <w:sz w:val="20"/>
        </w:rPr>
      </w:pPr>
      <w:r w:rsidRPr="00474057">
        <w:rPr>
          <w:position w:val="-24"/>
          <w:sz w:val="20"/>
        </w:rPr>
        <w:t xml:space="preserve">A continuous description of </w:t>
      </w:r>
      <w:r w:rsidRPr="00474057">
        <w:rPr>
          <w:i/>
          <w:iCs/>
          <w:position w:val="-24"/>
          <w:sz w:val="20"/>
        </w:rPr>
        <w:t>F</w:t>
      </w:r>
      <w:r w:rsidR="008B3B9A" w:rsidRPr="00474057">
        <w:rPr>
          <w:i/>
          <w:iCs/>
          <w:position w:val="-24"/>
          <w:sz w:val="20"/>
          <w:vertAlign w:val="subscript"/>
        </w:rPr>
        <w:t>K</w:t>
      </w:r>
      <w:r w:rsidRPr="00474057">
        <w:rPr>
          <w:i/>
          <w:iCs/>
          <w:position w:val="-24"/>
          <w:sz w:val="20"/>
        </w:rPr>
        <w:t>(θ)</w:t>
      </w:r>
      <w:r w:rsidRPr="00474057">
        <w:rPr>
          <w:position w:val="-24"/>
          <w:sz w:val="20"/>
        </w:rPr>
        <w:t xml:space="preserve"> in Fig. 1 is defined</w:t>
      </w:r>
      <w:r w:rsidR="00424277">
        <w:rPr>
          <w:position w:val="-24"/>
          <w:sz w:val="20"/>
        </w:rPr>
        <w:t>:</w:t>
      </w:r>
      <w:r w:rsidRPr="00D93F26">
        <w:rPr>
          <w:sz w:val="20"/>
        </w:rPr>
        <w:t xml:space="preserve"> </w:t>
      </w:r>
    </w:p>
    <w:p w:rsidR="00D93F26" w:rsidRPr="00D93F26" w:rsidRDefault="00025117" w:rsidP="00424277">
      <w:pPr>
        <w:tabs>
          <w:tab w:val="center" w:pos="2552"/>
          <w:tab w:val="right" w:pos="4960"/>
          <w:tab w:val="right" w:pos="9000"/>
        </w:tabs>
        <w:spacing w:before="120" w:after="120" w:line="252" w:lineRule="auto"/>
        <w:rPr>
          <w:sz w:val="20"/>
        </w:rPr>
      </w:pPr>
      <w:r>
        <w:tab/>
      </w:r>
      <w:r w:rsidR="002C7277" w:rsidRPr="008B3B9A">
        <w:rPr>
          <w:position w:val="-12"/>
          <w:sz w:val="20"/>
        </w:rPr>
        <w:object w:dxaOrig="3320" w:dyaOrig="380">
          <v:shape id="_x0000_i1028" type="#_x0000_t75" style="width:150.9pt;height:15.65pt" o:ole="" fillcolor="window">
            <v:imagedata r:id="rId11" o:title=""/>
          </v:shape>
          <o:OLEObject Type="Embed" ProgID="Equation.3" ShapeID="_x0000_i1028" DrawAspect="Content" ObjectID="_1332919671" r:id="rId12"/>
        </w:object>
      </w:r>
      <w:r w:rsidR="00D93F26">
        <w:tab/>
      </w:r>
      <w:r w:rsidR="00D93F26" w:rsidRPr="00D93F26">
        <w:rPr>
          <w:sz w:val="20"/>
        </w:rPr>
        <w:t>(</w:t>
      </w:r>
      <w:r w:rsidR="00D93F26">
        <w:rPr>
          <w:sz w:val="20"/>
        </w:rPr>
        <w:t>2</w:t>
      </w:r>
      <w:r w:rsidR="00D93F26" w:rsidRPr="00D93F26">
        <w:rPr>
          <w:sz w:val="20"/>
        </w:rPr>
        <w:t>)</w:t>
      </w:r>
    </w:p>
    <w:p w:rsidR="00D93F26" w:rsidRPr="00474057" w:rsidRDefault="00D93F26" w:rsidP="00E65E9E">
      <w:pPr>
        <w:tabs>
          <w:tab w:val="left" w:pos="2329"/>
        </w:tabs>
        <w:spacing w:before="40" w:after="120"/>
        <w:jc w:val="both"/>
        <w:rPr>
          <w:position w:val="-24"/>
          <w:sz w:val="20"/>
        </w:rPr>
      </w:pPr>
      <w:r w:rsidRPr="00474057">
        <w:rPr>
          <w:position w:val="-24"/>
          <w:sz w:val="20"/>
        </w:rPr>
        <w:t xml:space="preserve">yielding </w:t>
      </w:r>
      <w:r w:rsidRPr="00474057">
        <w:rPr>
          <w:i/>
          <w:position w:val="-24"/>
          <w:sz w:val="20"/>
        </w:rPr>
        <w:t>K(θ)</w:t>
      </w:r>
      <w:r w:rsidRPr="00474057">
        <w:rPr>
          <w:position w:val="-24"/>
          <w:sz w:val="20"/>
        </w:rPr>
        <w:t>:</w:t>
      </w:r>
    </w:p>
    <w:p w:rsidR="00D93F26" w:rsidRPr="00D93F26" w:rsidRDefault="00ED3E7F" w:rsidP="00424277">
      <w:pPr>
        <w:tabs>
          <w:tab w:val="left" w:pos="-2410"/>
          <w:tab w:val="center" w:pos="2552"/>
          <w:tab w:val="right" w:pos="4960"/>
        </w:tabs>
        <w:spacing w:before="120" w:after="120" w:line="252" w:lineRule="auto"/>
        <w:jc w:val="both"/>
        <w:rPr>
          <w:sz w:val="20"/>
        </w:rPr>
      </w:pPr>
      <w:r>
        <w:rPr>
          <w:sz w:val="20"/>
        </w:rPr>
        <w:tab/>
      </w:r>
      <w:r w:rsidR="002C7277" w:rsidRPr="00025117">
        <w:rPr>
          <w:position w:val="-24"/>
          <w:sz w:val="20"/>
        </w:rPr>
        <w:object w:dxaOrig="4020" w:dyaOrig="620">
          <v:shape id="_x0000_i1027" type="#_x0000_t75" style="width:182.8pt;height:25.65pt" o:ole="" fillcolor="window">
            <v:imagedata r:id="rId13" o:title=""/>
          </v:shape>
          <o:OLEObject Type="Embed" ProgID="Equation.3" ShapeID="_x0000_i1027" DrawAspect="Content" ObjectID="_1332919672" r:id="rId14"/>
        </w:object>
      </w:r>
      <w:r w:rsidR="00025117">
        <w:tab/>
      </w:r>
      <w:r w:rsidR="00025117" w:rsidRPr="00D93F26">
        <w:rPr>
          <w:sz w:val="20"/>
        </w:rPr>
        <w:t>(</w:t>
      </w:r>
      <w:r w:rsidR="00025117">
        <w:rPr>
          <w:sz w:val="20"/>
        </w:rPr>
        <w:t>3</w:t>
      </w:r>
      <w:r w:rsidR="00025117" w:rsidRPr="00D93F26">
        <w:rPr>
          <w:sz w:val="20"/>
        </w:rPr>
        <w:t>)</w:t>
      </w:r>
    </w:p>
    <w:p w:rsidR="00ED3E7F" w:rsidRDefault="008B3B9A" w:rsidP="006E3B9B">
      <w:pPr>
        <w:pStyle w:val="Style10ptJustified"/>
        <w:spacing w:before="40"/>
      </w:pPr>
      <w:r>
        <w:t>For example, s</w:t>
      </w:r>
      <w:r w:rsidR="00ED3E7F" w:rsidRPr="00ED3E7F">
        <w:t xml:space="preserve">ubstituting </w:t>
      </w:r>
      <w:r w:rsidR="00ED3E7F" w:rsidRPr="00ED3E7F">
        <w:rPr>
          <w:i/>
          <w:iCs/>
        </w:rPr>
        <w:t>a</w:t>
      </w:r>
      <w:r w:rsidR="00ED3E7F" w:rsidRPr="00ED3E7F">
        <w:rPr>
          <w:vertAlign w:val="subscript"/>
        </w:rPr>
        <w:t>1</w:t>
      </w:r>
      <w:r w:rsidR="00ED3E7F" w:rsidRPr="00ED3E7F">
        <w:t>=-</w:t>
      </w:r>
      <w:r w:rsidR="00ED3E7F" w:rsidRPr="00ED3E7F">
        <w:rPr>
          <w:i/>
        </w:rPr>
        <w:t>a</w:t>
      </w:r>
      <w:r w:rsidR="00ED3E7F" w:rsidRPr="00ED3E7F">
        <w:rPr>
          <w:i/>
          <w:vertAlign w:val="subscript"/>
        </w:rPr>
        <w:t>3</w:t>
      </w:r>
      <w:r w:rsidR="00ED3E7F" w:rsidRPr="00ED3E7F">
        <w:t>-</w:t>
      </w:r>
      <w:r w:rsidR="00ED3E7F" w:rsidRPr="00ED3E7F">
        <w:rPr>
          <w:i/>
        </w:rPr>
        <w:t>a</w:t>
      </w:r>
      <w:r w:rsidR="00ED3E7F" w:rsidRPr="00ED3E7F">
        <w:rPr>
          <w:i/>
          <w:vertAlign w:val="subscript"/>
        </w:rPr>
        <w:t>4</w:t>
      </w:r>
      <w:r w:rsidR="00ED3E7F" w:rsidRPr="00ED3E7F">
        <w:t xml:space="preserve">, </w:t>
      </w:r>
      <w:r w:rsidR="00ED3E7F" w:rsidRPr="00ED3E7F">
        <w:rPr>
          <w:i/>
          <w:iCs/>
        </w:rPr>
        <w:t>a</w:t>
      </w:r>
      <w:r w:rsidR="00ED3E7F" w:rsidRPr="00ED3E7F">
        <w:rPr>
          <w:vertAlign w:val="subscript"/>
        </w:rPr>
        <w:t>2</w:t>
      </w:r>
      <w:r w:rsidR="00ED3E7F" w:rsidRPr="00ED3E7F">
        <w:t xml:space="preserve">=0.04, </w:t>
      </w:r>
      <w:r w:rsidR="00ED3E7F" w:rsidRPr="00ED3E7F">
        <w:rPr>
          <w:i/>
          <w:iCs/>
        </w:rPr>
        <w:t>a</w:t>
      </w:r>
      <w:r w:rsidR="00ED3E7F" w:rsidRPr="00ED3E7F">
        <w:rPr>
          <w:vertAlign w:val="subscript"/>
        </w:rPr>
        <w:t>3</w:t>
      </w:r>
      <w:r w:rsidR="00ED3E7F" w:rsidRPr="00ED3E7F">
        <w:t xml:space="preserve">=0.002, </w:t>
      </w:r>
      <w:r w:rsidR="00ED3E7F" w:rsidRPr="00ED3E7F">
        <w:rPr>
          <w:i/>
          <w:iCs/>
        </w:rPr>
        <w:t>a</w:t>
      </w:r>
      <w:r w:rsidR="00ED3E7F" w:rsidRPr="00ED3E7F">
        <w:rPr>
          <w:vertAlign w:val="subscript"/>
        </w:rPr>
        <w:t>4</w:t>
      </w:r>
      <w:r w:rsidR="00ED3E7F" w:rsidRPr="00ED3E7F">
        <w:t xml:space="preserve">=-0.35, </w:t>
      </w:r>
      <w:r w:rsidR="00ED3E7F" w:rsidRPr="00ED3E7F">
        <w:rPr>
          <w:i/>
          <w:iCs/>
        </w:rPr>
        <w:t>b</w:t>
      </w:r>
      <w:r w:rsidR="00ED3E7F" w:rsidRPr="00ED3E7F">
        <w:rPr>
          <w:vertAlign w:val="subscript"/>
        </w:rPr>
        <w:t>1</w:t>
      </w:r>
      <w:r w:rsidR="00ED3E7F" w:rsidRPr="00ED3E7F">
        <w:t xml:space="preserve">=-3.7, </w:t>
      </w:r>
      <w:r w:rsidR="00ED3E7F" w:rsidRPr="00ED3E7F">
        <w:rPr>
          <w:i/>
          <w:iCs/>
        </w:rPr>
        <w:t>b</w:t>
      </w:r>
      <w:r w:rsidR="00ED3E7F" w:rsidRPr="00ED3E7F">
        <w:rPr>
          <w:vertAlign w:val="subscript"/>
        </w:rPr>
        <w:t>2</w:t>
      </w:r>
      <w:r w:rsidR="00ED3E7F" w:rsidRPr="00ED3E7F">
        <w:t>=11</w:t>
      </w:r>
      <w:r>
        <w:t xml:space="preserve"> into (2)</w:t>
      </w:r>
      <w:r w:rsidR="00ED3E7F" w:rsidRPr="00ED3E7F">
        <w:t xml:space="preserve">, yields the force versus </w:t>
      </w:r>
      <w:r w:rsidR="00ED3E7F" w:rsidRPr="00ED3E7F">
        <w:rPr>
          <w:i/>
          <w:iCs/>
        </w:rPr>
        <w:t xml:space="preserve">θ </w:t>
      </w:r>
      <w:r w:rsidR="00ED3E7F" w:rsidRPr="00ED3E7F">
        <w:t>curve in Fig</w:t>
      </w:r>
      <w:r w:rsidR="00ED3E7F">
        <w:t>.</w:t>
      </w:r>
      <w:r w:rsidR="00ED3E7F" w:rsidRPr="00ED3E7F">
        <w:t xml:space="preserve"> 2. Note that in this case, the force dramatically increases for </w:t>
      </w:r>
      <w:r w:rsidR="00ED3E7F" w:rsidRPr="00ED3E7F">
        <w:rPr>
          <w:i/>
          <w:iCs/>
        </w:rPr>
        <w:t>0&lt;θ&lt;0.2</w:t>
      </w:r>
      <w:r w:rsidR="00ED3E7F" w:rsidRPr="00ED3E7F">
        <w:t xml:space="preserve">, has a small slope for </w:t>
      </w:r>
      <w:r w:rsidR="00ED3E7F" w:rsidRPr="00ED3E7F">
        <w:rPr>
          <w:i/>
          <w:iCs/>
        </w:rPr>
        <w:t>0.2&lt;θ&lt;1</w:t>
      </w:r>
      <w:r w:rsidR="00ED3E7F" w:rsidRPr="00ED3E7F">
        <w:t xml:space="preserve">, and increases more rapidly again for </w:t>
      </w:r>
      <w:r w:rsidR="00ED3E7F" w:rsidRPr="00ED3E7F">
        <w:rPr>
          <w:i/>
          <w:iCs/>
        </w:rPr>
        <w:t>1&lt;θ&lt;π/2</w:t>
      </w:r>
      <w:r w:rsidR="00ED3E7F" w:rsidRPr="00ED3E7F">
        <w:fldChar w:fldCharType="begin"/>
      </w:r>
      <w:r w:rsidR="00ED3E7F" w:rsidRPr="00ED3E7F">
        <w:instrText xml:space="preserve"> QUOTE </w:instrText>
      </w:r>
      <w:r w:rsidR="000E3533">
        <w:rPr>
          <w:noProof/>
          <w:lang w:val="fr-BE" w:eastAsia="fr-BE"/>
        </w:rPr>
        <w:drawing>
          <wp:inline distT="0" distB="0" distL="0" distR="0">
            <wp:extent cx="101600" cy="2571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01600" cy="257175"/>
                    </a:xfrm>
                    <a:prstGeom prst="rect">
                      <a:avLst/>
                    </a:prstGeom>
                    <a:noFill/>
                    <a:ln w="9525">
                      <a:noFill/>
                      <a:miter lim="800000"/>
                      <a:headEnd/>
                      <a:tailEnd/>
                    </a:ln>
                  </pic:spPr>
                </pic:pic>
              </a:graphicData>
            </a:graphic>
          </wp:inline>
        </w:drawing>
      </w:r>
      <w:r w:rsidR="00ED3E7F" w:rsidRPr="00ED3E7F">
        <w:instrText xml:space="preserve"> </w:instrText>
      </w:r>
      <w:r w:rsidR="00ED3E7F" w:rsidRPr="00ED3E7F">
        <w:fldChar w:fldCharType="end"/>
      </w:r>
      <w:r w:rsidR="00583BCF">
        <w:rPr>
          <w:i/>
          <w:iCs/>
        </w:rPr>
        <w:t xml:space="preserve">. </w:t>
      </w:r>
      <w:r w:rsidR="00583BCF" w:rsidRPr="00583BCF">
        <w:rPr>
          <w:iCs/>
        </w:rPr>
        <w:t xml:space="preserve">It thus captures </w:t>
      </w:r>
      <w:r w:rsidR="00583BCF">
        <w:rPr>
          <w:iCs/>
        </w:rPr>
        <w:t xml:space="preserve">the </w:t>
      </w:r>
      <w:r w:rsidR="00583BCF" w:rsidRPr="00583BCF">
        <w:rPr>
          <w:iCs/>
        </w:rPr>
        <w:t xml:space="preserve">fundamental </w:t>
      </w:r>
      <w:r w:rsidR="00ED3E7F" w:rsidRPr="00583BCF">
        <w:t>behaviour of Fig.1. The</w:t>
      </w:r>
      <w:r w:rsidR="00ED3E7F" w:rsidRPr="00ED3E7F">
        <w:t xml:space="preserve"> corresponding stiffness, </w:t>
      </w:r>
      <w:r w:rsidR="00ED3E7F" w:rsidRPr="00ED3E7F">
        <w:rPr>
          <w:i/>
          <w:iCs/>
        </w:rPr>
        <w:t>K(θ)</w:t>
      </w:r>
      <w:r w:rsidR="00ED3E7F" w:rsidRPr="00ED3E7F">
        <w:t xml:space="preserve"> from (</w:t>
      </w:r>
      <w:r w:rsidR="00A502AF">
        <w:t>3</w:t>
      </w:r>
      <w:r w:rsidR="00ED3E7F" w:rsidRPr="00ED3E7F">
        <w:t xml:space="preserve">) is </w:t>
      </w:r>
      <w:r w:rsidR="00E14CA4">
        <w:t xml:space="preserve">also </w:t>
      </w:r>
      <w:r w:rsidR="00ED3E7F" w:rsidRPr="00ED3E7F">
        <w:t>shown in Fig</w:t>
      </w:r>
      <w:r>
        <w:t>.</w:t>
      </w:r>
      <w:r w:rsidR="00ED3E7F" w:rsidRPr="00ED3E7F">
        <w:t xml:space="preserve"> </w:t>
      </w:r>
      <w:r w:rsidR="00A502AF">
        <w:t>2</w:t>
      </w:r>
      <w:r w:rsidR="00ED3E7F" w:rsidRPr="00ED3E7F">
        <w:t>.</w:t>
      </w:r>
      <w:r>
        <w:t xml:space="preserve"> Note that in Figs. 1 and 2, the stiffness in the first and last sections are assumed higher than the middle section. This assumption was initially made from a thought experiment that the chords would stretch more at the beginning and end of the opening, similar to the elastic properties of blowing up a balloon. However this dynamic is shown not to be the case.</w:t>
      </w:r>
    </w:p>
    <w:p w:rsidR="00EA6833" w:rsidRPr="00ED3E7F" w:rsidRDefault="00AD688F" w:rsidP="004F297F">
      <w:pPr>
        <w:pStyle w:val="Style10ptJustified"/>
        <w:spacing w:before="120"/>
      </w:pPr>
      <w:r>
        <w:rPr>
          <w:noProof/>
          <w:lang w:val="fr-BE" w:eastAsia="fr-BE"/>
        </w:rPr>
        <w:lastRenderedPageBreak/>
        <w:drawing>
          <wp:inline distT="0" distB="0" distL="0" distR="0">
            <wp:extent cx="3149600" cy="2216150"/>
            <wp:effectExtent l="19050" t="0" r="0" b="0"/>
            <wp:docPr id="102" name="Picture 101" descr="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jpg"/>
                    <pic:cNvPicPr/>
                  </pic:nvPicPr>
                  <pic:blipFill>
                    <a:blip r:embed="rId16"/>
                    <a:stretch>
                      <a:fillRect/>
                    </a:stretch>
                  </pic:blipFill>
                  <pic:spPr>
                    <a:xfrm>
                      <a:off x="0" y="0"/>
                      <a:ext cx="3149600" cy="2216150"/>
                    </a:xfrm>
                    <a:prstGeom prst="rect">
                      <a:avLst/>
                    </a:prstGeom>
                  </pic:spPr>
                </pic:pic>
              </a:graphicData>
            </a:graphic>
          </wp:inline>
        </w:drawing>
      </w:r>
    </w:p>
    <w:p w:rsidR="00E959F4" w:rsidRPr="00C92518" w:rsidRDefault="00E959F4" w:rsidP="000B704B">
      <w:pPr>
        <w:pStyle w:val="SubsectionTitle"/>
        <w:rPr>
          <w:i w:val="0"/>
          <w:noProof/>
          <w:szCs w:val="24"/>
        </w:rPr>
      </w:pPr>
      <w:r w:rsidRPr="00C92518">
        <w:rPr>
          <w:i w:val="0"/>
        </w:rPr>
        <w:t>Fig. 2. Force as a function of angle (continuous curve) for a1=-a3-a4, a2=0.04, a3=0.002, a4=-0.35, b1=-3.7, b2=11</w:t>
      </w:r>
      <w:r w:rsidR="00214187" w:rsidRPr="00C92518">
        <w:rPr>
          <w:i w:val="0"/>
        </w:rPr>
        <w:t>, and corresponding stiffness profile.</w:t>
      </w:r>
    </w:p>
    <w:p w:rsidR="00583BCF" w:rsidRDefault="00C726B5" w:rsidP="006E3B9B">
      <w:pPr>
        <w:pStyle w:val="Style10ptJustified"/>
        <w:spacing w:before="40"/>
      </w:pPr>
      <w:r>
        <w:t>In general, the</w:t>
      </w:r>
      <w:r w:rsidR="00214187" w:rsidRPr="00214187">
        <w:t xml:space="preserve"> </w:t>
      </w:r>
      <w:r w:rsidR="00214187" w:rsidRPr="00214187">
        <w:rPr>
          <w:i/>
          <w:iCs/>
        </w:rPr>
        <w:t>F</w:t>
      </w:r>
      <w:r w:rsidRPr="00C726B5">
        <w:rPr>
          <w:i/>
          <w:iCs/>
          <w:vertAlign w:val="subscript"/>
        </w:rPr>
        <w:t>K</w:t>
      </w:r>
      <w:r w:rsidR="00214187" w:rsidRPr="00214187">
        <w:rPr>
          <w:i/>
          <w:iCs/>
        </w:rPr>
        <w:t>(θ)</w:t>
      </w:r>
      <w:r w:rsidR="00214187" w:rsidRPr="00214187">
        <w:t xml:space="preserve"> curve of (2) and stiffness of (1) and (3) </w:t>
      </w:r>
      <w:r>
        <w:t>could</w:t>
      </w:r>
      <w:r w:rsidR="00214187" w:rsidRPr="00214187">
        <w:t xml:space="preserve"> be used to describe the physiological and mechanical behaviour of the valve as a function of the angle. This behaviour can then be physiologically related to the </w:t>
      </w:r>
      <w:r w:rsidR="00583BCF">
        <w:t>anatomical chord structures</w:t>
      </w:r>
      <w:r w:rsidR="00214187" w:rsidRPr="00214187">
        <w:t xml:space="preserve"> and how they are utilised during a heartbeat. </w:t>
      </w:r>
    </w:p>
    <w:p w:rsidR="00583BCF" w:rsidRDefault="00214187" w:rsidP="006E3B9B">
      <w:pPr>
        <w:pStyle w:val="Style10ptJustified"/>
        <w:spacing w:before="40"/>
      </w:pPr>
      <w:r w:rsidRPr="00214187">
        <w:t xml:space="preserve">However, to have a complete model or simulate this behaviour, the input driving force that opens and closes the valve must be included. For the mitral valve, this input force arises from the difference in pressure </w:t>
      </w:r>
      <w:r w:rsidRPr="00214187">
        <w:rPr>
          <w:i/>
          <w:iCs/>
        </w:rPr>
        <w:t>ΔP(t)</w:t>
      </w:r>
      <w:r w:rsidRPr="00214187">
        <w:t xml:space="preserve"> between the left ventricle and the left atrium. </w:t>
      </w:r>
    </w:p>
    <w:p w:rsidR="00214187" w:rsidRDefault="00214187" w:rsidP="006E3B9B">
      <w:pPr>
        <w:pStyle w:val="Style10ptJustified"/>
        <w:spacing w:before="40"/>
      </w:pPr>
      <w:r w:rsidRPr="00214187">
        <w:t>A rotational spri</w:t>
      </w:r>
      <w:r w:rsidR="00C726B5">
        <w:t>ng mass damper model is defined:</w:t>
      </w:r>
    </w:p>
    <w:p w:rsidR="004F7AF3" w:rsidRDefault="004F7AF3" w:rsidP="000B704B">
      <w:pPr>
        <w:tabs>
          <w:tab w:val="center" w:pos="2552"/>
          <w:tab w:val="right" w:pos="4960"/>
          <w:tab w:val="right" w:pos="9000"/>
        </w:tabs>
        <w:spacing w:line="252" w:lineRule="auto"/>
        <w:jc w:val="both"/>
        <w:rPr>
          <w:sz w:val="20"/>
        </w:rPr>
      </w:pPr>
      <w:r>
        <w:tab/>
      </w:r>
      <w:r w:rsidR="00C726B5" w:rsidRPr="004F7AF3">
        <w:rPr>
          <w:position w:val="-10"/>
        </w:rPr>
        <w:object w:dxaOrig="2580" w:dyaOrig="360">
          <v:shape id="_x0000_i1029" type="#_x0000_t75" style="width:117.1pt;height:15.05pt" o:ole="" fillcolor="window">
            <v:imagedata r:id="rId17" o:title=""/>
          </v:shape>
          <o:OLEObject Type="Embed" ProgID="Equation.3" ShapeID="_x0000_i1029" DrawAspect="Content" ObjectID="_1332919673" r:id="rId18"/>
        </w:object>
      </w:r>
      <w:r>
        <w:tab/>
      </w:r>
      <w:r w:rsidRPr="004F7AF3">
        <w:rPr>
          <w:sz w:val="20"/>
        </w:rPr>
        <w:t>(4)</w:t>
      </w:r>
    </w:p>
    <w:p w:rsidR="00C726B5" w:rsidRDefault="00C726B5" w:rsidP="000B704B">
      <w:pPr>
        <w:tabs>
          <w:tab w:val="center" w:pos="2552"/>
          <w:tab w:val="right" w:pos="4960"/>
          <w:tab w:val="right" w:pos="9000"/>
        </w:tabs>
        <w:spacing w:line="252" w:lineRule="auto"/>
        <w:jc w:val="both"/>
        <w:rPr>
          <w:sz w:val="20"/>
        </w:rPr>
      </w:pPr>
      <w:r>
        <w:tab/>
      </w:r>
      <w:r w:rsidRPr="004F7AF3">
        <w:rPr>
          <w:position w:val="-10"/>
        </w:rPr>
        <w:object w:dxaOrig="2480" w:dyaOrig="320">
          <v:shape id="_x0000_i1030" type="#_x0000_t75" style="width:112.7pt;height:13.15pt" o:ole="" fillcolor="window">
            <v:imagedata r:id="rId19" o:title=""/>
          </v:shape>
          <o:OLEObject Type="Embed" ProgID="Equation.3" ShapeID="_x0000_i1030" DrawAspect="Content" ObjectID="_1332919674" r:id="rId20"/>
        </w:object>
      </w:r>
      <w:r>
        <w:tab/>
      </w:r>
      <w:r w:rsidRPr="004F7AF3">
        <w:rPr>
          <w:sz w:val="20"/>
        </w:rPr>
        <w:t>(</w:t>
      </w:r>
      <w:r>
        <w:rPr>
          <w:sz w:val="20"/>
        </w:rPr>
        <w:t>5</w:t>
      </w:r>
      <w:r w:rsidRPr="004F7AF3">
        <w:rPr>
          <w:sz w:val="20"/>
        </w:rPr>
        <w:t>)</w:t>
      </w:r>
    </w:p>
    <w:p w:rsidR="00C924C3" w:rsidRDefault="004F7AF3" w:rsidP="006E3B9B">
      <w:pPr>
        <w:pStyle w:val="Style10ptJustified"/>
        <w:spacing w:before="40"/>
      </w:pPr>
      <w:r w:rsidRPr="004F7AF3">
        <w:t xml:space="preserve">where </w:t>
      </w:r>
      <w:r w:rsidRPr="004F7AF3">
        <w:rPr>
          <w:i/>
          <w:iCs/>
        </w:rPr>
        <w:t>I</w:t>
      </w:r>
      <w:r w:rsidRPr="004F7AF3">
        <w:t xml:space="preserve"> </w:t>
      </w:r>
      <w:r w:rsidR="00E14CA4">
        <w:t xml:space="preserve"> </w:t>
      </w:r>
      <w:r w:rsidRPr="004F7AF3">
        <w:t xml:space="preserve">is inertia, </w:t>
      </w:r>
      <w:r w:rsidRPr="004F7AF3">
        <w:rPr>
          <w:i/>
          <w:iCs/>
        </w:rPr>
        <w:t>c</w:t>
      </w:r>
      <w:r w:rsidRPr="004F7AF3">
        <w:t xml:space="preserve"> is </w:t>
      </w:r>
      <w:r w:rsidR="00C726B5">
        <w:t xml:space="preserve">the </w:t>
      </w:r>
      <w:r w:rsidRPr="004F7AF3">
        <w:t>damping</w:t>
      </w:r>
      <w:r w:rsidR="00C726B5">
        <w:t xml:space="preserve"> coefficient</w:t>
      </w:r>
      <w:r w:rsidRPr="004F7AF3">
        <w:t>,</w:t>
      </w:r>
      <w:r w:rsidRPr="004F7AF3">
        <w:rPr>
          <w:i/>
          <w:iCs/>
        </w:rPr>
        <w:t xml:space="preserve"> </w:t>
      </w:r>
      <w:r w:rsidR="00C726B5">
        <w:rPr>
          <w:i/>
          <w:iCs/>
        </w:rPr>
        <w:t>F</w:t>
      </w:r>
      <w:r w:rsidRPr="00C726B5">
        <w:rPr>
          <w:i/>
          <w:iCs/>
          <w:vertAlign w:val="subscript"/>
        </w:rPr>
        <w:t>K</w:t>
      </w:r>
      <w:r w:rsidR="00C726B5">
        <w:rPr>
          <w:i/>
          <w:iCs/>
        </w:rPr>
        <w:t>(</w:t>
      </w:r>
      <w:r w:rsidR="00C726B5" w:rsidRPr="007D6EB0">
        <w:rPr>
          <w:i/>
          <w:iCs/>
        </w:rPr>
        <w:t>θ</w:t>
      </w:r>
      <w:r w:rsidR="00C726B5">
        <w:rPr>
          <w:i/>
          <w:iCs/>
        </w:rPr>
        <w:t>)</w:t>
      </w:r>
      <w:r w:rsidRPr="004F7AF3">
        <w:rPr>
          <w:i/>
          <w:iCs/>
        </w:rPr>
        <w:t xml:space="preserve"> </w:t>
      </w:r>
      <w:r w:rsidRPr="004F7AF3">
        <w:t xml:space="preserve">is the stiffness </w:t>
      </w:r>
      <w:r w:rsidR="00C726B5">
        <w:t xml:space="preserve">force, </w:t>
      </w:r>
      <w:r w:rsidR="00C726B5" w:rsidRPr="00C726B5">
        <w:rPr>
          <w:i/>
        </w:rPr>
        <w:t>LAP(t)</w:t>
      </w:r>
      <w:r w:rsidR="00C726B5">
        <w:t xml:space="preserve"> is the left atrial pressure, </w:t>
      </w:r>
      <w:r w:rsidR="00C726B5" w:rsidRPr="00C726B5">
        <w:rPr>
          <w:i/>
        </w:rPr>
        <w:t>LVP(t)</w:t>
      </w:r>
      <w:r w:rsidR="00C726B5">
        <w:t xml:space="preserve"> is the left ventricular pressure, </w:t>
      </w:r>
      <w:r w:rsidRPr="004F7AF3">
        <w:t xml:space="preserve">and α is a torque constant converting differential pressure into an input torque on the valve. </w:t>
      </w:r>
    </w:p>
    <w:p w:rsidR="004F7AF3" w:rsidRDefault="00C726B5" w:rsidP="006E3B9B">
      <w:pPr>
        <w:pStyle w:val="Style10ptJustified"/>
        <w:spacing w:before="40"/>
      </w:pPr>
      <w:r>
        <w:t xml:space="preserve">Applying </w:t>
      </w:r>
      <w:r w:rsidR="004F7AF3" w:rsidRPr="004F7AF3">
        <w:t>Hooke’s Law</w:t>
      </w:r>
      <w:r>
        <w:t xml:space="preserve"> to each section in Fig. 1 yields:</w:t>
      </w:r>
    </w:p>
    <w:p w:rsidR="00EC7224" w:rsidRDefault="00EC7224" w:rsidP="000B704B">
      <w:pPr>
        <w:tabs>
          <w:tab w:val="left" w:pos="154"/>
          <w:tab w:val="right" w:pos="4960"/>
          <w:tab w:val="right" w:pos="9072"/>
        </w:tabs>
        <w:spacing w:line="252" w:lineRule="auto"/>
        <w:jc w:val="both"/>
      </w:pPr>
      <w:r>
        <w:tab/>
      </w:r>
      <w:r w:rsidR="002A20CA" w:rsidRPr="00C26B4C">
        <w:rPr>
          <w:position w:val="-16"/>
        </w:rPr>
        <w:object w:dxaOrig="5319" w:dyaOrig="580">
          <v:shape id="_x0000_i1031" type="#_x0000_t75" style="width:212.25pt;height:23.15pt" o:ole="">
            <v:imagedata r:id="rId21" o:title=""/>
          </v:shape>
          <o:OLEObject Type="Embed" ProgID="Equation.3" ShapeID="_x0000_i1031" DrawAspect="Content" ObjectID="_1332919675" r:id="rId22"/>
        </w:object>
      </w:r>
      <w:r>
        <w:tab/>
      </w:r>
      <w:r w:rsidRPr="00EC7224">
        <w:rPr>
          <w:sz w:val="20"/>
        </w:rPr>
        <w:t>(</w:t>
      </w:r>
      <w:r w:rsidR="002A20CA">
        <w:rPr>
          <w:sz w:val="20"/>
        </w:rPr>
        <w:t>6</w:t>
      </w:r>
      <w:r w:rsidRPr="00EC7224">
        <w:rPr>
          <w:sz w:val="20"/>
        </w:rPr>
        <w:t>)</w:t>
      </w:r>
    </w:p>
    <w:p w:rsidR="00EC7224" w:rsidRDefault="00EC7224" w:rsidP="000B704B">
      <w:pPr>
        <w:tabs>
          <w:tab w:val="center" w:pos="-2268"/>
          <w:tab w:val="left" w:pos="672"/>
          <w:tab w:val="right" w:pos="4960"/>
          <w:tab w:val="right" w:pos="9072"/>
        </w:tabs>
        <w:spacing w:line="252" w:lineRule="auto"/>
        <w:jc w:val="both"/>
      </w:pPr>
      <w:r>
        <w:tab/>
      </w:r>
      <w:r w:rsidR="00C26B4C" w:rsidRPr="00504583">
        <w:rPr>
          <w:position w:val="-16"/>
        </w:rPr>
        <w:object w:dxaOrig="4700" w:dyaOrig="499">
          <v:shape id="_x0000_i1032" type="#_x0000_t75" style="width:190.35pt;height:20.65pt" o:ole="">
            <v:imagedata r:id="rId23" o:title=""/>
          </v:shape>
          <o:OLEObject Type="Embed" ProgID="Equation.3" ShapeID="_x0000_i1032" DrawAspect="Content" ObjectID="_1332919676" r:id="rId24"/>
        </w:object>
      </w:r>
      <w:r>
        <w:tab/>
      </w:r>
      <w:r w:rsidRPr="00EC7224">
        <w:rPr>
          <w:sz w:val="20"/>
        </w:rPr>
        <w:t>(</w:t>
      </w:r>
      <w:r w:rsidR="002A20CA">
        <w:rPr>
          <w:sz w:val="20"/>
        </w:rPr>
        <w:t>7</w:t>
      </w:r>
      <w:r w:rsidRPr="00EC7224">
        <w:rPr>
          <w:sz w:val="20"/>
        </w:rPr>
        <w:t>)</w:t>
      </w:r>
    </w:p>
    <w:p w:rsidR="004F7AF3" w:rsidRDefault="00C26B4C" w:rsidP="000B704B">
      <w:pPr>
        <w:tabs>
          <w:tab w:val="center" w:pos="2552"/>
          <w:tab w:val="right" w:pos="4960"/>
          <w:tab w:val="right" w:pos="9072"/>
        </w:tabs>
        <w:spacing w:line="252" w:lineRule="auto"/>
        <w:rPr>
          <w:sz w:val="20"/>
        </w:rPr>
      </w:pPr>
      <w:r w:rsidRPr="00504583">
        <w:rPr>
          <w:position w:val="-24"/>
        </w:rPr>
        <w:object w:dxaOrig="5580" w:dyaOrig="620">
          <v:shape id="_x0000_i1033" type="#_x0000_t75" style="width:224.75pt;height:25.05pt" o:ole="">
            <v:imagedata r:id="rId25" o:title=""/>
          </v:shape>
          <o:OLEObject Type="Embed" ProgID="Equation.3" ShapeID="_x0000_i1033" DrawAspect="Content" ObjectID="_1332919677" r:id="rId26"/>
        </w:object>
      </w:r>
      <w:r w:rsidR="00EC7224">
        <w:tab/>
      </w:r>
      <w:r w:rsidR="00EC7224" w:rsidRPr="00EC7224">
        <w:rPr>
          <w:sz w:val="20"/>
        </w:rPr>
        <w:t>(</w:t>
      </w:r>
      <w:r w:rsidR="002A20CA">
        <w:rPr>
          <w:sz w:val="20"/>
        </w:rPr>
        <w:t>8</w:t>
      </w:r>
      <w:r w:rsidR="00EC7224" w:rsidRPr="00EC7224">
        <w:rPr>
          <w:sz w:val="20"/>
        </w:rPr>
        <w:t>)</w:t>
      </w:r>
    </w:p>
    <w:p w:rsidR="00EC7224" w:rsidRDefault="00EC7224" w:rsidP="006E3B9B">
      <w:pPr>
        <w:pStyle w:val="Style10ptJustified"/>
        <w:spacing w:before="40"/>
      </w:pPr>
      <w:r w:rsidRPr="00EC7224">
        <w:t>In the limit, where (</w:t>
      </w:r>
      <w:r w:rsidR="002A20CA">
        <w:t>6</w:t>
      </w:r>
      <w:r w:rsidRPr="00EC7224">
        <w:t>)-(</w:t>
      </w:r>
      <w:r w:rsidR="002A20CA">
        <w:t>8</w:t>
      </w:r>
      <w:r w:rsidRPr="00EC7224">
        <w:t xml:space="preserve">) are replaced by an infinite number of piecewise approximations, </w:t>
      </w:r>
      <w:r w:rsidR="00C442B2">
        <w:t xml:space="preserve">and inertia is set to zero for simplicity, </w:t>
      </w:r>
      <w:r w:rsidR="00EE33EC">
        <w:t>(</w:t>
      </w:r>
      <w:r w:rsidR="00EE33EC" w:rsidRPr="00EE33EC">
        <w:rPr>
          <w:i/>
        </w:rPr>
        <w:t>I=0</w:t>
      </w:r>
      <w:r w:rsidR="00EE33EC">
        <w:t xml:space="preserve">), </w:t>
      </w:r>
      <w:r w:rsidRPr="00EC7224">
        <w:t>(4) becomes:</w:t>
      </w:r>
    </w:p>
    <w:p w:rsidR="00EC7224" w:rsidRDefault="00EC7224" w:rsidP="006E3B9B">
      <w:pPr>
        <w:pStyle w:val="Style10ptJustified"/>
        <w:tabs>
          <w:tab w:val="center" w:pos="2552"/>
        </w:tabs>
      </w:pPr>
      <w:r>
        <w:tab/>
      </w:r>
      <w:r w:rsidR="00B20F0A" w:rsidRPr="006251B7">
        <w:rPr>
          <w:position w:val="-18"/>
        </w:rPr>
        <w:object w:dxaOrig="2439" w:dyaOrig="520">
          <v:shape id="_x0000_i1034" type="#_x0000_t75" style="width:98.3pt;height:21.3pt" o:ole="">
            <v:imagedata r:id="rId27" o:title=""/>
          </v:shape>
          <o:OLEObject Type="Embed" ProgID="Equation.3" ShapeID="_x0000_i1034" DrawAspect="Content" ObjectID="_1332919678" r:id="rId28"/>
        </w:object>
      </w:r>
      <w:r>
        <w:tab/>
      </w:r>
      <w:r w:rsidRPr="002C7277">
        <w:t>(</w:t>
      </w:r>
      <w:r w:rsidR="002A20CA" w:rsidRPr="002C7277">
        <w:t>9</w:t>
      </w:r>
      <w:r w:rsidRPr="002C7277">
        <w:t>)</w:t>
      </w:r>
    </w:p>
    <w:p w:rsidR="00C924C3" w:rsidRDefault="00A92EC5" w:rsidP="006E3B9B">
      <w:pPr>
        <w:pStyle w:val="Style10ptJustified"/>
        <w:spacing w:before="40"/>
      </w:pPr>
      <w:r w:rsidRPr="00A92EC5">
        <w:t xml:space="preserve">Note that if </w:t>
      </w:r>
      <w:r w:rsidRPr="00A92EC5">
        <w:rPr>
          <w:i/>
        </w:rPr>
        <w:t>K</w:t>
      </w:r>
      <w:r w:rsidRPr="00A92EC5">
        <w:t xml:space="preserve"> were constant, </w:t>
      </w:r>
      <w:r w:rsidR="002A20CA">
        <w:t xml:space="preserve">the integral in </w:t>
      </w:r>
      <w:r w:rsidRPr="00A92EC5">
        <w:t>(</w:t>
      </w:r>
      <w:r w:rsidR="002A20CA">
        <w:t>9</w:t>
      </w:r>
      <w:r w:rsidRPr="00A92EC5">
        <w:t xml:space="preserve">) would reduce to </w:t>
      </w:r>
      <w:r w:rsidR="002A20CA">
        <w:t xml:space="preserve">the standard </w:t>
      </w:r>
      <w:r w:rsidR="002A20CA" w:rsidRPr="00A92EC5">
        <w:rPr>
          <w:i/>
          <w:iCs/>
        </w:rPr>
        <w:t>K(θ)</w:t>
      </w:r>
      <w:r w:rsidRPr="00A92EC5">
        <w:t>.</w:t>
      </w:r>
      <w:r w:rsidR="00B565D5">
        <w:t xml:space="preserve"> </w:t>
      </w:r>
      <w:r w:rsidR="002A20CA" w:rsidRPr="002A20CA">
        <w:t>The stiffness force</w:t>
      </w:r>
      <w:r w:rsidR="002A20CA">
        <w:t xml:space="preserve"> in (9)</w:t>
      </w:r>
      <w:r w:rsidR="006D71C3">
        <w:t xml:space="preserve"> </w:t>
      </w:r>
      <w:r w:rsidRPr="00A92EC5">
        <w:t xml:space="preserve">can be thought of as the rotational spring force or torque that opposes the input torque </w:t>
      </w:r>
      <w:r w:rsidRPr="00A92EC5">
        <w:rPr>
          <w:i/>
          <w:iCs/>
        </w:rPr>
        <w:t>αΔP(t)</w:t>
      </w:r>
      <w:r w:rsidRPr="00A92EC5">
        <w:t xml:space="preserve"> based on </w:t>
      </w:r>
      <w:r w:rsidR="002A20CA">
        <w:t>the varying</w:t>
      </w:r>
      <w:r w:rsidRPr="00A92EC5">
        <w:t xml:space="preserve"> stiffness </w:t>
      </w:r>
      <w:r w:rsidR="002A20CA">
        <w:t>of</w:t>
      </w:r>
      <w:r w:rsidRPr="00A92EC5">
        <w:t xml:space="preserve"> the chords of the mitral valve.  </w:t>
      </w:r>
    </w:p>
    <w:p w:rsidR="00C924C3" w:rsidRDefault="00EE33EC" w:rsidP="006E3B9B">
      <w:pPr>
        <w:pStyle w:val="Style10ptJustified"/>
        <w:spacing w:before="40"/>
      </w:pPr>
      <w:r>
        <w:lastRenderedPageBreak/>
        <w:t xml:space="preserve">The damping coefficient, </w:t>
      </w:r>
      <w:r w:rsidRPr="00543B67">
        <w:rPr>
          <w:i/>
        </w:rPr>
        <w:t>c</w:t>
      </w:r>
      <w:r>
        <w:t xml:space="preserve">, in (9) causes the delay between increased pressure difference between the left atrium and ventricle, and the mitral valve opening. </w:t>
      </w:r>
    </w:p>
    <w:p w:rsidR="00A92EC5" w:rsidRPr="00A92EC5" w:rsidRDefault="00A92EC5" w:rsidP="006E3B9B">
      <w:pPr>
        <w:pStyle w:val="Style10ptJustified"/>
        <w:spacing w:before="40"/>
      </w:pPr>
      <w:r w:rsidRPr="00A92EC5">
        <w:t xml:space="preserve">More importantly, damage to the valve can thus be modelled by altering </w:t>
      </w:r>
      <w:r w:rsidRPr="00A92EC5">
        <w:rPr>
          <w:i/>
          <w:iCs/>
        </w:rPr>
        <w:t>K(θ)</w:t>
      </w:r>
      <w:r w:rsidRPr="00A92EC5">
        <w:t xml:space="preserve"> in (</w:t>
      </w:r>
      <w:r w:rsidR="002A20CA">
        <w:t>9</w:t>
      </w:r>
      <w:r w:rsidRPr="00A92EC5">
        <w:t>)</w:t>
      </w:r>
      <w:r w:rsidR="002A20CA">
        <w:t>. This approach ill</w:t>
      </w:r>
      <w:r w:rsidRPr="00A92EC5">
        <w:t>ustra</w:t>
      </w:r>
      <w:r w:rsidR="002A20CA">
        <w:t>tes</w:t>
      </w:r>
      <w:r w:rsidRPr="00A92EC5">
        <w:t xml:space="preserve"> how </w:t>
      </w:r>
      <w:r w:rsidRPr="00A92EC5">
        <w:rPr>
          <w:i/>
          <w:iCs/>
        </w:rPr>
        <w:t>K(θ)</w:t>
      </w:r>
      <w:r w:rsidRPr="00A92EC5">
        <w:t xml:space="preserve"> can be used to quantify mechanical dysfunction with respect to the physiological damage or dysfunction of chords and resulting chord stiffness. </w:t>
      </w:r>
    </w:p>
    <w:p w:rsidR="00A92EC5" w:rsidRPr="00A92EC5" w:rsidRDefault="00A92EC5" w:rsidP="006E3B9B">
      <w:pPr>
        <w:pStyle w:val="Style10ptJustified"/>
        <w:spacing w:before="40"/>
      </w:pPr>
      <w:r w:rsidRPr="00A92EC5">
        <w:t xml:space="preserve">The </w:t>
      </w:r>
      <w:r w:rsidR="002513D1">
        <w:t xml:space="preserve">overall </w:t>
      </w:r>
      <w:r w:rsidRPr="00A92EC5">
        <w:t>goal of the model of (</w:t>
      </w:r>
      <w:r w:rsidR="002513D1">
        <w:t>9</w:t>
      </w:r>
      <w:r w:rsidRPr="00A92EC5">
        <w:t>) is to capture the measured motion of the valve in terms of an estimated angle</w:t>
      </w:r>
      <w:r>
        <w:t>,</w:t>
      </w:r>
      <w:r w:rsidRPr="00A92EC5">
        <w:t xml:space="preserve"> </w:t>
      </w:r>
      <w:r>
        <w:rPr>
          <w:i/>
          <w:iCs/>
        </w:rPr>
        <w:t xml:space="preserve">θ, </w:t>
      </w:r>
      <w:r w:rsidRPr="00A92EC5">
        <w:t xml:space="preserve">using a measured pressure profile </w:t>
      </w:r>
      <w:r w:rsidRPr="00A92EC5">
        <w:rPr>
          <w:i/>
          <w:iCs/>
        </w:rPr>
        <w:t>ΔP(t)</w:t>
      </w:r>
      <w:r w:rsidRPr="00A92EC5">
        <w:t xml:space="preserve">. </w:t>
      </w:r>
    </w:p>
    <w:p w:rsidR="006C2499" w:rsidRDefault="00A516D0" w:rsidP="006C2499">
      <w:pPr>
        <w:pStyle w:val="SubsectionTitle"/>
      </w:pPr>
      <w:r>
        <w:t>2.2 Modelling</w:t>
      </w:r>
      <w:r w:rsidR="00AC391E">
        <w:t xml:space="preserve"> Input Pressure Difference and Mitral Valve Response</w:t>
      </w:r>
    </w:p>
    <w:p w:rsidR="003512B1" w:rsidRPr="00B565D5" w:rsidRDefault="004C59CA" w:rsidP="006E3B9B">
      <w:pPr>
        <w:pStyle w:val="Style10ptJustified"/>
        <w:spacing w:before="40"/>
      </w:pPr>
      <w:r w:rsidRPr="00B565D5">
        <w:t>The input pressure difference profile</w:t>
      </w:r>
      <w:r w:rsidR="004A288A">
        <w:t>,</w:t>
      </w:r>
      <w:r w:rsidRPr="00B565D5">
        <w:t xml:space="preserve"> </w:t>
      </w:r>
      <w:r w:rsidRPr="00B565D5">
        <w:rPr>
          <w:i/>
        </w:rPr>
        <w:t>ΔP(t)</w:t>
      </w:r>
      <w:r w:rsidR="004A288A">
        <w:rPr>
          <w:i/>
        </w:rPr>
        <w:t>,</w:t>
      </w:r>
      <w:r w:rsidRPr="00B565D5">
        <w:t xml:space="preserve"> shown in Fig</w:t>
      </w:r>
      <w:r w:rsidR="007057BB" w:rsidRPr="00B565D5">
        <w:t>.</w:t>
      </w:r>
      <w:r w:rsidRPr="00B565D5">
        <w:t xml:space="preserve"> 3 was taken from measured </w:t>
      </w:r>
      <w:r w:rsidR="003512B1" w:rsidRPr="00B565D5">
        <w:t xml:space="preserve">animal </w:t>
      </w:r>
      <w:r w:rsidRPr="00B565D5">
        <w:t xml:space="preserve">data </w:t>
      </w:r>
      <w:r w:rsidR="001C5B94">
        <w:t>(</w:t>
      </w:r>
      <w:r w:rsidRPr="00B565D5">
        <w:t>Saito et al.</w:t>
      </w:r>
      <w:r w:rsidR="001C5B94">
        <w:t xml:space="preserve">, </w:t>
      </w:r>
      <w:r w:rsidRPr="00B565D5">
        <w:t xml:space="preserve">2006). This pressure difference was inferred from </w:t>
      </w:r>
      <w:r w:rsidR="001C5B94">
        <w:t>LAP</w:t>
      </w:r>
      <w:r w:rsidRPr="00B565D5">
        <w:t xml:space="preserve"> and LVP profiles, measured invasively with catheters</w:t>
      </w:r>
      <w:r w:rsidR="007057BB" w:rsidRPr="00B565D5">
        <w:t xml:space="preserve">. </w:t>
      </w:r>
      <w:r w:rsidR="003512B1" w:rsidRPr="00B565D5">
        <w:t xml:space="preserve">This animal data also consisted of distance measurements of the amount the chords moved during a heartbeat, as measured by camera in a catheter or endoscope. It was assumed the movement of the chords would reasonably correlate to the change in angle, </w:t>
      </w:r>
      <w:r w:rsidR="003512B1" w:rsidRPr="00A516D0">
        <w:rPr>
          <w:i/>
        </w:rPr>
        <w:t>θ(t)</w:t>
      </w:r>
      <w:r w:rsidR="003512B1" w:rsidRPr="00B565D5">
        <w:t>, of (</w:t>
      </w:r>
      <w:r w:rsidR="002513D1">
        <w:t>9</w:t>
      </w:r>
      <w:r w:rsidR="003512B1" w:rsidRPr="00B565D5">
        <w:t xml:space="preserve">). Thus, the chord distance graph </w:t>
      </w:r>
      <w:r w:rsidR="001C5B94">
        <w:t>(</w:t>
      </w:r>
      <w:r w:rsidR="003512B1" w:rsidRPr="00B565D5">
        <w:t>Saito et al.</w:t>
      </w:r>
      <w:r w:rsidR="001C5B94">
        <w:t xml:space="preserve">, </w:t>
      </w:r>
      <w:r w:rsidR="003512B1" w:rsidRPr="00B565D5">
        <w:t xml:space="preserve">2006) was scaled to a peak of π/2, as </w:t>
      </w:r>
      <w:r w:rsidR="00EE33EC">
        <w:t>shown</w:t>
      </w:r>
      <w:r w:rsidR="001C5B94">
        <w:t xml:space="preserve"> </w:t>
      </w:r>
      <w:r w:rsidR="003512B1" w:rsidRPr="00B565D5">
        <w:t>in Fig. 3.</w:t>
      </w:r>
    </w:p>
    <w:p w:rsidR="00DF78B9" w:rsidRDefault="00AD688F" w:rsidP="004F297F">
      <w:pPr>
        <w:spacing w:before="120" w:after="120"/>
        <w:jc w:val="center"/>
        <w:rPr>
          <w:sz w:val="20"/>
        </w:rPr>
      </w:pPr>
      <w:r>
        <w:rPr>
          <w:noProof/>
          <w:sz w:val="20"/>
          <w:lang w:val="fr-BE" w:eastAsia="fr-BE"/>
        </w:rPr>
        <w:drawing>
          <wp:inline distT="0" distB="0" distL="0" distR="0">
            <wp:extent cx="3149600" cy="2216150"/>
            <wp:effectExtent l="19050" t="0" r="0" b="0"/>
            <wp:docPr id="103" name="Picture 102" descr="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jpg"/>
                    <pic:cNvPicPr/>
                  </pic:nvPicPr>
                  <pic:blipFill>
                    <a:blip r:embed="rId29"/>
                    <a:stretch>
                      <a:fillRect/>
                    </a:stretch>
                  </pic:blipFill>
                  <pic:spPr>
                    <a:xfrm>
                      <a:off x="0" y="0"/>
                      <a:ext cx="3149600" cy="2216150"/>
                    </a:xfrm>
                    <a:prstGeom prst="rect">
                      <a:avLst/>
                    </a:prstGeom>
                  </pic:spPr>
                </pic:pic>
              </a:graphicData>
            </a:graphic>
          </wp:inline>
        </w:drawing>
      </w:r>
    </w:p>
    <w:p w:rsidR="003512B1" w:rsidRPr="00C92518" w:rsidRDefault="003512B1" w:rsidP="000B704B">
      <w:pPr>
        <w:pStyle w:val="SubsectionTitle"/>
        <w:rPr>
          <w:i w:val="0"/>
          <w:noProof/>
          <w:szCs w:val="24"/>
        </w:rPr>
      </w:pPr>
      <w:r w:rsidRPr="00C92518">
        <w:rPr>
          <w:i w:val="0"/>
        </w:rPr>
        <w:t xml:space="preserve">Fig. 3. Animal data </w:t>
      </w:r>
      <w:r w:rsidR="001C5B94" w:rsidRPr="00C92518">
        <w:rPr>
          <w:i w:val="0"/>
        </w:rPr>
        <w:t xml:space="preserve">(Saito et al., </w:t>
      </w:r>
      <w:r w:rsidRPr="00C92518">
        <w:rPr>
          <w:i w:val="0"/>
        </w:rPr>
        <w:t xml:space="preserve">2006) showing LAP, LVP and theta, </w:t>
      </w:r>
      <w:r w:rsidR="001E0E1F" w:rsidRPr="00C92518">
        <w:rPr>
          <w:i w:val="0"/>
        </w:rPr>
        <w:t xml:space="preserve">and the calculated </w:t>
      </w:r>
      <w:r w:rsidR="001E0E1F" w:rsidRPr="00C92518">
        <w:t>ΔP</w:t>
      </w:r>
      <w:r w:rsidRPr="00C92518">
        <w:rPr>
          <w:i w:val="0"/>
        </w:rPr>
        <w:t>.</w:t>
      </w:r>
    </w:p>
    <w:p w:rsidR="006C2499" w:rsidRDefault="004E1346" w:rsidP="006E3B9B">
      <w:pPr>
        <w:pStyle w:val="Style10ptJustified"/>
        <w:spacing w:before="40"/>
        <w:rPr>
          <w:lang w:val="en-US"/>
        </w:rPr>
      </w:pPr>
      <w:r w:rsidRPr="006D1F14">
        <w:rPr>
          <w:i/>
        </w:rPr>
        <w:t>ΔP</w:t>
      </w:r>
      <w:r w:rsidRPr="004E1346">
        <w:t xml:space="preserve"> in </w:t>
      </w:r>
      <w:r w:rsidR="004C59CA" w:rsidRPr="004E1346">
        <w:t>Fig</w:t>
      </w:r>
      <w:r w:rsidR="007057BB">
        <w:t>.</w:t>
      </w:r>
      <w:r w:rsidR="004C59CA" w:rsidRPr="004C59CA">
        <w:t xml:space="preserve"> </w:t>
      </w:r>
      <w:r w:rsidR="007057BB">
        <w:t>3</w:t>
      </w:r>
      <w:r w:rsidR="004C59CA" w:rsidRPr="004C59CA">
        <w:t xml:space="preserve"> contains two peaks, one during early diastole and one during atrial contraction</w:t>
      </w:r>
      <w:r w:rsidR="00F4027E">
        <w:t>.</w:t>
      </w:r>
      <w:r w:rsidR="004C59CA" w:rsidRPr="004C59CA">
        <w:t xml:space="preserve"> </w:t>
      </w:r>
      <w:r w:rsidR="006D1F14">
        <w:t>The first period of blood flow</w:t>
      </w:r>
      <w:r w:rsidR="006D1F14">
        <w:rPr>
          <w:lang w:val="en-US"/>
        </w:rPr>
        <w:t xml:space="preserve"> from the left atrium to the left ventricle </w:t>
      </w:r>
      <w:r w:rsidR="006D1F14" w:rsidRPr="006D1F14">
        <w:rPr>
          <w:lang w:val="en-US"/>
        </w:rPr>
        <w:t xml:space="preserve">is passive, </w:t>
      </w:r>
      <w:r w:rsidR="006D1F14">
        <w:rPr>
          <w:lang w:val="en-US"/>
        </w:rPr>
        <w:t xml:space="preserve">and is largely pressure driven. This is commonly referred to as the </w:t>
      </w:r>
      <w:r w:rsidR="006D1F14" w:rsidRPr="006D1F14">
        <w:rPr>
          <w:lang w:val="en-US"/>
        </w:rPr>
        <w:t>E wave</w:t>
      </w:r>
      <w:r w:rsidR="002513D1">
        <w:rPr>
          <w:lang w:val="en-US"/>
        </w:rPr>
        <w:t xml:space="preserve"> or the early filling phase</w:t>
      </w:r>
      <w:r w:rsidR="006D1F14">
        <w:rPr>
          <w:lang w:val="en-US"/>
        </w:rPr>
        <w:t xml:space="preserve">. </w:t>
      </w:r>
      <w:r w:rsidR="006D1F14" w:rsidRPr="006D1F14">
        <w:rPr>
          <w:lang w:val="en-US"/>
        </w:rPr>
        <w:t xml:space="preserve">The </w:t>
      </w:r>
      <w:r w:rsidR="006D1F14">
        <w:rPr>
          <w:lang w:val="en-US"/>
        </w:rPr>
        <w:t>second period of flow, called the A wave, occurs as the left atrium contracts causing a rise in LAP</w:t>
      </w:r>
      <w:r w:rsidR="00283F98">
        <w:rPr>
          <w:lang w:val="en-US"/>
        </w:rPr>
        <w:t xml:space="preserve"> </w:t>
      </w:r>
      <w:r w:rsidR="009225F5">
        <w:rPr>
          <w:lang w:val="en-US"/>
        </w:rPr>
        <w:t>(</w:t>
      </w:r>
      <w:r w:rsidR="00283F98">
        <w:rPr>
          <w:lang w:val="en-US"/>
        </w:rPr>
        <w:t xml:space="preserve">and thus </w:t>
      </w:r>
      <w:r w:rsidR="00283F98" w:rsidRPr="00283F98">
        <w:rPr>
          <w:i/>
          <w:lang w:val="en-US"/>
        </w:rPr>
        <w:t>ΔP</w:t>
      </w:r>
      <w:r w:rsidR="009225F5">
        <w:rPr>
          <w:i/>
          <w:lang w:val="en-US"/>
        </w:rPr>
        <w:t>)</w:t>
      </w:r>
      <w:r w:rsidR="002513D1">
        <w:rPr>
          <w:lang w:val="en-US"/>
        </w:rPr>
        <w:t xml:space="preserve">, </w:t>
      </w:r>
      <w:r w:rsidR="001C5B94">
        <w:rPr>
          <w:lang w:val="en-US"/>
        </w:rPr>
        <w:t>(</w:t>
      </w:r>
      <w:r w:rsidR="002513D1">
        <w:rPr>
          <w:lang w:val="en-US"/>
        </w:rPr>
        <w:t>Schmitz et al., 1998</w:t>
      </w:r>
      <w:r w:rsidR="001C5B94">
        <w:rPr>
          <w:lang w:val="en-US"/>
        </w:rPr>
        <w:t>)</w:t>
      </w:r>
      <w:r w:rsidR="002513D1">
        <w:rPr>
          <w:lang w:val="en-US"/>
        </w:rPr>
        <w:t>.</w:t>
      </w:r>
      <w:r w:rsidR="006D1F14">
        <w:rPr>
          <w:lang w:val="en-US"/>
        </w:rPr>
        <w:t xml:space="preserve"> The left ventricle contracts soon after, increasing the pressure in</w:t>
      </w:r>
      <w:r w:rsidR="00283F98">
        <w:rPr>
          <w:lang w:val="en-US"/>
        </w:rPr>
        <w:t xml:space="preserve"> </w:t>
      </w:r>
      <w:r w:rsidR="006D1F14">
        <w:rPr>
          <w:lang w:val="en-US"/>
        </w:rPr>
        <w:t>th</w:t>
      </w:r>
      <w:r w:rsidR="00283F98">
        <w:rPr>
          <w:lang w:val="en-US"/>
        </w:rPr>
        <w:t>e</w:t>
      </w:r>
      <w:r w:rsidR="006D1F14">
        <w:rPr>
          <w:lang w:val="en-US"/>
        </w:rPr>
        <w:t xml:space="preserve"> left ventricle</w:t>
      </w:r>
      <w:r w:rsidR="00EB594F">
        <w:rPr>
          <w:lang w:val="en-US"/>
        </w:rPr>
        <w:t xml:space="preserve">, and reducing </w:t>
      </w:r>
      <w:r w:rsidR="00EB594F" w:rsidRPr="00283F98">
        <w:rPr>
          <w:i/>
          <w:lang w:val="en-US"/>
        </w:rPr>
        <w:t>ΔP</w:t>
      </w:r>
      <w:r w:rsidR="00EB594F">
        <w:rPr>
          <w:i/>
          <w:lang w:val="en-US"/>
        </w:rPr>
        <w:t xml:space="preserve">. </w:t>
      </w:r>
      <w:r w:rsidR="006D1F14">
        <w:rPr>
          <w:lang w:val="en-US"/>
        </w:rPr>
        <w:t xml:space="preserve"> </w:t>
      </w:r>
      <w:r w:rsidR="00EB594F">
        <w:rPr>
          <w:lang w:val="en-US"/>
        </w:rPr>
        <w:t>The A wave is therefore largely driven</w:t>
      </w:r>
      <w:r w:rsidR="009225F5">
        <w:rPr>
          <w:lang w:val="en-US"/>
        </w:rPr>
        <w:t xml:space="preserve"> by the flow from the atrial contraction</w:t>
      </w:r>
      <w:r w:rsidR="00EB594F">
        <w:rPr>
          <w:lang w:val="en-US"/>
        </w:rPr>
        <w:t>.</w:t>
      </w:r>
      <w:r w:rsidR="00A257AD">
        <w:rPr>
          <w:lang w:val="en-US"/>
        </w:rPr>
        <w:t xml:space="preserve"> </w:t>
      </w:r>
      <w:r w:rsidR="00280010">
        <w:rPr>
          <w:lang w:val="en-US"/>
        </w:rPr>
        <w:t>Hence, e</w:t>
      </w:r>
      <w:r w:rsidR="00A257AD">
        <w:rPr>
          <w:lang w:val="en-US"/>
        </w:rPr>
        <w:t xml:space="preserve">ach period of mitral valve opening during one cardiac cycle is governed by different dynamics, </w:t>
      </w:r>
      <w:r w:rsidR="009225F5">
        <w:rPr>
          <w:lang w:val="en-US"/>
        </w:rPr>
        <w:t>and suggests that</w:t>
      </w:r>
      <w:r w:rsidR="00A257AD">
        <w:rPr>
          <w:lang w:val="en-US"/>
        </w:rPr>
        <w:t xml:space="preserve"> each peak </w:t>
      </w:r>
      <w:r w:rsidR="009225F5">
        <w:rPr>
          <w:lang w:val="en-US"/>
        </w:rPr>
        <w:t>should be</w:t>
      </w:r>
      <w:r w:rsidR="00A257AD">
        <w:rPr>
          <w:lang w:val="en-US"/>
        </w:rPr>
        <w:t xml:space="preserve"> considered separately.</w:t>
      </w:r>
    </w:p>
    <w:p w:rsidR="00316297" w:rsidRDefault="006E3B9B" w:rsidP="006E3B9B">
      <w:pPr>
        <w:pStyle w:val="Style10ptJustified"/>
        <w:spacing w:before="40"/>
        <w:rPr>
          <w:lang w:val="en-US"/>
        </w:rPr>
      </w:pPr>
      <w:r>
        <w:rPr>
          <w:lang w:val="en-US"/>
        </w:rPr>
        <w:br w:type="column"/>
      </w:r>
      <w:r w:rsidR="00316297">
        <w:rPr>
          <w:lang w:val="en-US"/>
        </w:rPr>
        <w:lastRenderedPageBreak/>
        <w:t xml:space="preserve">Fig. 3 shows that the pressure difference becomes negative as the mitral valve closes </w:t>
      </w:r>
      <w:r w:rsidR="007B1F17">
        <w:rPr>
          <w:lang w:val="en-US"/>
        </w:rPr>
        <w:t>after</w:t>
      </w:r>
      <w:r w:rsidR="00316297">
        <w:rPr>
          <w:lang w:val="en-US"/>
        </w:rPr>
        <w:t xml:space="preserve"> both peaks. </w:t>
      </w:r>
      <w:r w:rsidR="00316297" w:rsidRPr="00316297">
        <w:rPr>
          <w:lang w:val="en-US"/>
        </w:rPr>
        <w:t xml:space="preserve">The first valve opening is longer than the second opening and significantly lags the peak in </w:t>
      </w:r>
      <w:r w:rsidR="00316297" w:rsidRPr="00316297">
        <w:rPr>
          <w:i/>
          <w:lang w:val="en-US"/>
        </w:rPr>
        <w:t>ΔP</w:t>
      </w:r>
      <w:r w:rsidR="007B1F17">
        <w:rPr>
          <w:lang w:val="en-US"/>
        </w:rPr>
        <w:t>. In contrast, t</w:t>
      </w:r>
      <w:r w:rsidR="00316297" w:rsidRPr="00316297">
        <w:rPr>
          <w:lang w:val="en-US"/>
        </w:rPr>
        <w:t xml:space="preserve">he second </w:t>
      </w:r>
      <w:r w:rsidR="007B1F17">
        <w:rPr>
          <w:lang w:val="en-US"/>
        </w:rPr>
        <w:t xml:space="preserve">valve </w:t>
      </w:r>
      <w:r w:rsidR="00316297" w:rsidRPr="00316297">
        <w:rPr>
          <w:lang w:val="en-US"/>
        </w:rPr>
        <w:t xml:space="preserve">opening corresponds almost precisely with the second peak in </w:t>
      </w:r>
      <w:r w:rsidR="00316297" w:rsidRPr="00316297">
        <w:rPr>
          <w:i/>
          <w:lang w:val="en-US"/>
        </w:rPr>
        <w:t>ΔP</w:t>
      </w:r>
      <w:r w:rsidR="00316297" w:rsidRPr="00316297">
        <w:rPr>
          <w:lang w:val="en-US"/>
        </w:rPr>
        <w:t xml:space="preserve">. </w:t>
      </w:r>
    </w:p>
    <w:p w:rsidR="00922F54" w:rsidRDefault="00A516D0" w:rsidP="00922F54">
      <w:pPr>
        <w:pStyle w:val="SubsectionTitle"/>
      </w:pPr>
      <w:r>
        <w:t xml:space="preserve">2.2 </w:t>
      </w:r>
      <w:r w:rsidR="00BF6345">
        <w:t xml:space="preserve">Model </w:t>
      </w:r>
      <w:r>
        <w:t>Solution</w:t>
      </w:r>
      <w:r w:rsidR="00922F54">
        <w:t xml:space="preserve"> Process</w:t>
      </w:r>
    </w:p>
    <w:p w:rsidR="00EE72CF" w:rsidRDefault="00E96DAD" w:rsidP="006E3B9B">
      <w:pPr>
        <w:pStyle w:val="Style10ptJustified"/>
        <w:spacing w:before="40"/>
      </w:pPr>
      <w:r>
        <w:t xml:space="preserve">Due to the different dynamics governing each peak, each mitral valve opening (E </w:t>
      </w:r>
      <w:r w:rsidR="005140C1">
        <w:t>a</w:t>
      </w:r>
      <w:r>
        <w:t>nd A wave</w:t>
      </w:r>
      <w:r w:rsidR="005140C1">
        <w:t>s</w:t>
      </w:r>
      <w:r>
        <w:t xml:space="preserve">) </w:t>
      </w:r>
      <w:r w:rsidR="00E14CA4">
        <w:t>are</w:t>
      </w:r>
      <w:r>
        <w:t xml:space="preserve"> considered separately. Equation (</w:t>
      </w:r>
      <w:r w:rsidR="001C5B94">
        <w:t>9</w:t>
      </w:r>
      <w:r>
        <w:t xml:space="preserve">) </w:t>
      </w:r>
      <w:r w:rsidR="00BF6345">
        <w:t>is then</w:t>
      </w:r>
      <w:r>
        <w:t xml:space="preserve"> solved numerically using a standard </w:t>
      </w:r>
      <w:r w:rsidR="00A7238F">
        <w:t>ODE</w:t>
      </w:r>
      <w:r>
        <w:t xml:space="preserve"> solver in MATLAB, to find the optimal parameters of </w:t>
      </w:r>
      <w:r w:rsidR="00121325" w:rsidRPr="003C3604">
        <w:rPr>
          <w:i/>
        </w:rPr>
        <w:t>F</w:t>
      </w:r>
      <w:r w:rsidR="00121325" w:rsidRPr="003C3604">
        <w:rPr>
          <w:i/>
          <w:vertAlign w:val="subscript"/>
        </w:rPr>
        <w:t>K</w:t>
      </w:r>
      <w:r w:rsidR="00121325" w:rsidRPr="003C3604">
        <w:rPr>
          <w:i/>
        </w:rPr>
        <w:t>(θ)</w:t>
      </w:r>
      <w:r>
        <w:t xml:space="preserve">, </w:t>
      </w:r>
      <w:r w:rsidRPr="00E96DAD">
        <w:rPr>
          <w:i/>
        </w:rPr>
        <w:t>c</w:t>
      </w:r>
      <w:r>
        <w:t xml:space="preserve">, and </w:t>
      </w:r>
      <w:r w:rsidRPr="00E96DAD">
        <w:rPr>
          <w:i/>
        </w:rPr>
        <w:t>α</w:t>
      </w:r>
      <w:r>
        <w:t xml:space="preserve">, using linear least-squares. </w:t>
      </w:r>
      <w:r w:rsidR="00E9033F">
        <w:t>Firstly, the</w:t>
      </w:r>
      <w:r w:rsidR="00E9033F" w:rsidRPr="00D52012">
        <w:t xml:space="preserve"> measured pressure difference </w:t>
      </w:r>
      <w:r w:rsidR="00E9033F">
        <w:t xml:space="preserve">time profile </w:t>
      </w:r>
      <w:r w:rsidR="000A090A">
        <w:t>is</w:t>
      </w:r>
      <w:r w:rsidR="00E9033F">
        <w:t xml:space="preserve"> generated using (5)</w:t>
      </w:r>
      <w:r w:rsidR="00E9033F" w:rsidRPr="00D52012">
        <w:t xml:space="preserve"> </w:t>
      </w:r>
      <w:r w:rsidR="00E9033F">
        <w:t xml:space="preserve">from the experimental data (Saito et al., 2006) and used as the input to the model. Using combinations of </w:t>
      </w:r>
      <w:r w:rsidR="00E9033F" w:rsidRPr="003C3604">
        <w:rPr>
          <w:i/>
        </w:rPr>
        <w:t>F</w:t>
      </w:r>
      <w:r w:rsidR="00E9033F" w:rsidRPr="003C3604">
        <w:rPr>
          <w:i/>
          <w:vertAlign w:val="subscript"/>
        </w:rPr>
        <w:t>K</w:t>
      </w:r>
      <w:r w:rsidR="00E9033F" w:rsidRPr="003C3604">
        <w:rPr>
          <w:i/>
        </w:rPr>
        <w:t>(θ)</w:t>
      </w:r>
      <w:r w:rsidR="00E9033F">
        <w:t xml:space="preserve">, </w:t>
      </w:r>
      <w:r w:rsidR="00E9033F" w:rsidRPr="00E96DAD">
        <w:rPr>
          <w:i/>
        </w:rPr>
        <w:t>c</w:t>
      </w:r>
      <w:r w:rsidR="00E9033F">
        <w:t xml:space="preserve">, and </w:t>
      </w:r>
      <w:r w:rsidR="00E9033F" w:rsidRPr="00E96DAD">
        <w:rPr>
          <w:i/>
        </w:rPr>
        <w:t>α</w:t>
      </w:r>
      <w:r w:rsidR="00E9033F">
        <w:t xml:space="preserve"> determined using a grid search, </w:t>
      </w:r>
      <w:r w:rsidR="00E9033F" w:rsidRPr="003C3604">
        <w:rPr>
          <w:i/>
        </w:rPr>
        <w:t>θ</w:t>
      </w:r>
      <w:r w:rsidR="00E9033F">
        <w:rPr>
          <w:i/>
        </w:rPr>
        <w:t xml:space="preserve">(t) </w:t>
      </w:r>
      <w:r w:rsidR="000A090A">
        <w:t>is</w:t>
      </w:r>
      <w:r w:rsidR="00E9033F" w:rsidRPr="00E9033F">
        <w:t xml:space="preserve"> computed using (9).</w:t>
      </w:r>
      <w:r w:rsidR="00E9033F">
        <w:rPr>
          <w:i/>
        </w:rPr>
        <w:t xml:space="preserve"> </w:t>
      </w:r>
      <w:r w:rsidR="00E9033F">
        <w:t xml:space="preserve"> For each combination of </w:t>
      </w:r>
      <w:r w:rsidR="00E9033F" w:rsidRPr="003C3604">
        <w:rPr>
          <w:i/>
        </w:rPr>
        <w:t>F</w:t>
      </w:r>
      <w:r w:rsidR="00E9033F" w:rsidRPr="003C3604">
        <w:rPr>
          <w:i/>
          <w:vertAlign w:val="subscript"/>
        </w:rPr>
        <w:t>K</w:t>
      </w:r>
      <w:r w:rsidR="00E9033F" w:rsidRPr="003C3604">
        <w:rPr>
          <w:i/>
        </w:rPr>
        <w:t>(θ)</w:t>
      </w:r>
      <w:r w:rsidR="00E9033F">
        <w:t xml:space="preserve">, </w:t>
      </w:r>
      <w:r w:rsidR="00E9033F" w:rsidRPr="00E96DAD">
        <w:rPr>
          <w:i/>
        </w:rPr>
        <w:t>c</w:t>
      </w:r>
      <w:r w:rsidR="00E9033F">
        <w:t xml:space="preserve">, and </w:t>
      </w:r>
      <w:r w:rsidR="00E9033F" w:rsidRPr="00E96DAD">
        <w:rPr>
          <w:i/>
        </w:rPr>
        <w:t>α</w:t>
      </w:r>
      <w:r w:rsidR="00E9033F">
        <w:t xml:space="preserve">, the sum-squared error </w:t>
      </w:r>
      <w:r w:rsidR="000A090A">
        <w:t>is</w:t>
      </w:r>
      <w:r w:rsidR="00E9033F">
        <w:t xml:space="preserve"> calculated between the resulting </w:t>
      </w:r>
      <w:r w:rsidR="00E9033F" w:rsidRPr="003C3604">
        <w:rPr>
          <w:i/>
        </w:rPr>
        <w:t>θ</w:t>
      </w:r>
      <w:r w:rsidR="00E9033F">
        <w:rPr>
          <w:i/>
        </w:rPr>
        <w:t xml:space="preserve">(t) </w:t>
      </w:r>
      <w:r w:rsidR="00E9033F" w:rsidRPr="00E9033F">
        <w:t>and the experimental</w:t>
      </w:r>
      <w:r w:rsidR="00E9033F">
        <w:rPr>
          <w:i/>
        </w:rPr>
        <w:t xml:space="preserve"> </w:t>
      </w:r>
      <w:r w:rsidR="00E9033F" w:rsidRPr="003C3604">
        <w:rPr>
          <w:i/>
        </w:rPr>
        <w:t>θ</w:t>
      </w:r>
      <w:r w:rsidR="00E9033F">
        <w:rPr>
          <w:i/>
        </w:rPr>
        <w:t>(t)</w:t>
      </w:r>
      <w:r w:rsidR="004E041F">
        <w:rPr>
          <w:i/>
        </w:rPr>
        <w:t xml:space="preserve">, </w:t>
      </w:r>
      <w:r w:rsidR="004E041F" w:rsidRPr="004E041F">
        <w:t>to determine the optimal parameters.</w:t>
      </w:r>
      <w:r w:rsidR="004E041F">
        <w:t xml:space="preserve"> </w:t>
      </w:r>
      <w:r w:rsidR="000A090A">
        <w:t>Finally, the selected piecewise</w:t>
      </w:r>
      <w:r w:rsidR="000A090A" w:rsidRPr="000A090A">
        <w:rPr>
          <w:i/>
        </w:rPr>
        <w:t xml:space="preserve"> </w:t>
      </w:r>
      <w:r w:rsidR="000A090A" w:rsidRPr="003C3604">
        <w:rPr>
          <w:i/>
        </w:rPr>
        <w:t>F</w:t>
      </w:r>
      <w:r w:rsidR="000A090A" w:rsidRPr="003C3604">
        <w:rPr>
          <w:i/>
          <w:vertAlign w:val="subscript"/>
        </w:rPr>
        <w:t>K</w:t>
      </w:r>
      <w:r w:rsidR="000A090A" w:rsidRPr="003C3604">
        <w:rPr>
          <w:i/>
        </w:rPr>
        <w:t>(θ)</w:t>
      </w:r>
      <w:r w:rsidR="000A090A">
        <w:t xml:space="preserve"> is converted into a continuous function using (2), and the resulting </w:t>
      </w:r>
      <w:r w:rsidR="000A090A" w:rsidRPr="003C3604">
        <w:rPr>
          <w:i/>
        </w:rPr>
        <w:t>θ</w:t>
      </w:r>
      <w:r w:rsidR="000A090A">
        <w:rPr>
          <w:i/>
        </w:rPr>
        <w:t>(t)</w:t>
      </w:r>
      <w:r w:rsidR="000A090A">
        <w:t xml:space="preserve"> recalculated. </w:t>
      </w:r>
      <w:r w:rsidR="00A7238F">
        <w:t>This process is summarised in Fig. 4.</w:t>
      </w:r>
    </w:p>
    <w:p w:rsidR="00C70126" w:rsidRDefault="00F147CD" w:rsidP="006E3B9B">
      <w:pPr>
        <w:pStyle w:val="Style10ptJustified"/>
        <w:jc w:val="center"/>
      </w:pPr>
      <w:r w:rsidRPr="00F147CD">
        <w:drawing>
          <wp:inline distT="0" distB="0" distL="0" distR="0">
            <wp:extent cx="2883176" cy="4325510"/>
            <wp:effectExtent l="19050" t="0" r="0" b="0"/>
            <wp:docPr id="2855" name="Picture 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5"/>
                    <pic:cNvPicPr>
                      <a:picLocks noChangeAspect="1" noChangeArrowheads="1"/>
                    </pic:cNvPicPr>
                  </pic:nvPicPr>
                  <pic:blipFill>
                    <a:blip r:embed="rId30"/>
                    <a:srcRect r="47780" b="2334"/>
                    <a:stretch>
                      <a:fillRect/>
                    </a:stretch>
                  </pic:blipFill>
                  <pic:spPr bwMode="auto">
                    <a:xfrm>
                      <a:off x="0" y="0"/>
                      <a:ext cx="2883176" cy="4325510"/>
                    </a:xfrm>
                    <a:prstGeom prst="rect">
                      <a:avLst/>
                    </a:prstGeom>
                    <a:noFill/>
                    <a:ln w="9525">
                      <a:noFill/>
                      <a:miter lim="800000"/>
                      <a:headEnd/>
                      <a:tailEnd/>
                    </a:ln>
                  </pic:spPr>
                </pic:pic>
              </a:graphicData>
            </a:graphic>
          </wp:inline>
        </w:drawing>
      </w:r>
    </w:p>
    <w:p w:rsidR="00C70126" w:rsidRPr="00C92518" w:rsidRDefault="00C70126" w:rsidP="000B704B">
      <w:pPr>
        <w:pStyle w:val="SubsectionTitle"/>
        <w:rPr>
          <w:i w:val="0"/>
        </w:rPr>
      </w:pPr>
      <w:r w:rsidRPr="00C92518">
        <w:rPr>
          <w:i w:val="0"/>
        </w:rPr>
        <w:t xml:space="preserve">Fig. </w:t>
      </w:r>
      <w:r w:rsidR="00696573" w:rsidRPr="00C92518">
        <w:rPr>
          <w:i w:val="0"/>
        </w:rPr>
        <w:t>4</w:t>
      </w:r>
      <w:r w:rsidRPr="00C92518">
        <w:rPr>
          <w:i w:val="0"/>
        </w:rPr>
        <w:t xml:space="preserve">. </w:t>
      </w:r>
      <w:r w:rsidR="00696573" w:rsidRPr="00C92518">
        <w:rPr>
          <w:i w:val="0"/>
        </w:rPr>
        <w:t>Solution process</w:t>
      </w:r>
      <w:r w:rsidRPr="00C92518">
        <w:rPr>
          <w:i w:val="0"/>
        </w:rPr>
        <w:t>.</w:t>
      </w:r>
    </w:p>
    <w:p w:rsidR="006E3B9B" w:rsidRDefault="006E3B9B">
      <w:pPr>
        <w:rPr>
          <w:position w:val="-24"/>
          <w:sz w:val="20"/>
        </w:rPr>
      </w:pPr>
      <w:r>
        <w:br w:type="page"/>
      </w:r>
    </w:p>
    <w:p w:rsidR="006C2499" w:rsidRDefault="006C2499" w:rsidP="000B704B">
      <w:pPr>
        <w:pStyle w:val="SectionTitle"/>
      </w:pPr>
      <w:r>
        <w:lastRenderedPageBreak/>
        <w:t xml:space="preserve">3. </w:t>
      </w:r>
      <w:r w:rsidR="00B565D5">
        <w:t>RESULTS</w:t>
      </w:r>
      <w:r w:rsidR="00B82E5F">
        <w:t xml:space="preserve"> AND DISCUSSION</w:t>
      </w:r>
    </w:p>
    <w:p w:rsidR="00121325" w:rsidRDefault="00922F54" w:rsidP="006E3B9B">
      <w:pPr>
        <w:pStyle w:val="Style10ptJustified"/>
        <w:spacing w:before="40"/>
        <w:rPr>
          <w:noProof/>
          <w:lang w:eastAsia="fr-BE"/>
        </w:rPr>
      </w:pPr>
      <w:r>
        <w:t xml:space="preserve">When a </w:t>
      </w:r>
      <w:r w:rsidR="00BF6345">
        <w:t>single</w:t>
      </w:r>
      <w:r w:rsidR="006C2499">
        <w:t xml:space="preserve"> </w:t>
      </w:r>
      <w:r w:rsidR="00121325" w:rsidRPr="003C3604">
        <w:rPr>
          <w:i/>
        </w:rPr>
        <w:t>F</w:t>
      </w:r>
      <w:r w:rsidR="00121325" w:rsidRPr="003C3604">
        <w:rPr>
          <w:i/>
          <w:vertAlign w:val="subscript"/>
        </w:rPr>
        <w:t>K</w:t>
      </w:r>
      <w:r w:rsidR="00121325" w:rsidRPr="003C3604">
        <w:rPr>
          <w:i/>
        </w:rPr>
        <w:t>(θ)</w:t>
      </w:r>
      <w:r w:rsidR="00EE72CF">
        <w:t xml:space="preserve"> profile is assumed across both peaks</w:t>
      </w:r>
      <w:r w:rsidR="00FE37BC">
        <w:t>, with a</w:t>
      </w:r>
      <w:r w:rsidR="0050288C">
        <w:t>n</w:t>
      </w:r>
      <w:r w:rsidR="00FE37BC">
        <w:t xml:space="preserve"> </w:t>
      </w:r>
      <w:r w:rsidR="002668F0">
        <w:t>individual</w:t>
      </w:r>
      <w:r w:rsidR="00FE37BC">
        <w:t xml:space="preserve"> damping coefficient</w:t>
      </w:r>
      <w:r w:rsidR="00BF6345">
        <w:t xml:space="preserve">, </w:t>
      </w:r>
      <w:r w:rsidR="00BF6345" w:rsidRPr="00BF6345">
        <w:rPr>
          <w:i/>
        </w:rPr>
        <w:t>c</w:t>
      </w:r>
      <w:r w:rsidR="00BF6345">
        <w:t xml:space="preserve">, </w:t>
      </w:r>
      <w:r w:rsidR="00FE37BC">
        <w:t xml:space="preserve"> for each peak, Fig. </w:t>
      </w:r>
      <w:r w:rsidR="00A7238F">
        <w:t>5</w:t>
      </w:r>
      <w:r w:rsidR="00FE37BC">
        <w:t xml:space="preserve"> is obtained</w:t>
      </w:r>
      <w:r w:rsidR="00BF6345">
        <w:t xml:space="preserve"> for </w:t>
      </w:r>
      <w:r w:rsidR="00BF6345" w:rsidRPr="006C1FA5">
        <w:rPr>
          <w:i/>
        </w:rPr>
        <w:t>θ</w:t>
      </w:r>
      <w:r w:rsidR="00BF6345">
        <w:rPr>
          <w:i/>
        </w:rPr>
        <w:t>(t)</w:t>
      </w:r>
      <w:r w:rsidR="00FE37BC">
        <w:t>.</w:t>
      </w:r>
      <w:r w:rsidR="00136BC1" w:rsidRPr="00136BC1">
        <w:rPr>
          <w:noProof/>
          <w:lang w:eastAsia="fr-BE"/>
        </w:rPr>
        <w:t xml:space="preserve"> </w:t>
      </w:r>
    </w:p>
    <w:p w:rsidR="006E0BE4" w:rsidRDefault="00AD688F" w:rsidP="004F297F">
      <w:pPr>
        <w:pStyle w:val="Style10ptJustified"/>
        <w:spacing w:before="0"/>
        <w:rPr>
          <w:noProof/>
          <w:lang w:eastAsia="fr-BE"/>
        </w:rPr>
      </w:pPr>
      <w:r>
        <w:rPr>
          <w:noProof/>
          <w:lang w:val="fr-BE" w:eastAsia="fr-BE"/>
        </w:rPr>
        <w:drawing>
          <wp:inline distT="0" distB="0" distL="0" distR="0">
            <wp:extent cx="3153520" cy="2123649"/>
            <wp:effectExtent l="19050" t="0" r="8780" b="0"/>
            <wp:docPr id="104" name="Picture 103" descr="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5.jpg"/>
                    <pic:cNvPicPr/>
                  </pic:nvPicPr>
                  <pic:blipFill>
                    <a:blip r:embed="rId31"/>
                    <a:srcRect t="4188"/>
                    <a:stretch>
                      <a:fillRect/>
                    </a:stretch>
                  </pic:blipFill>
                  <pic:spPr>
                    <a:xfrm>
                      <a:off x="0" y="0"/>
                      <a:ext cx="3153520" cy="2123649"/>
                    </a:xfrm>
                    <a:prstGeom prst="rect">
                      <a:avLst/>
                    </a:prstGeom>
                  </pic:spPr>
                </pic:pic>
              </a:graphicData>
            </a:graphic>
          </wp:inline>
        </w:drawing>
      </w:r>
    </w:p>
    <w:p w:rsidR="00FE37BC" w:rsidRPr="00E768D7" w:rsidRDefault="00FE37BC" w:rsidP="000B704B">
      <w:pPr>
        <w:pStyle w:val="SubsectionTitle"/>
        <w:rPr>
          <w:i w:val="0"/>
        </w:rPr>
      </w:pPr>
      <w:r w:rsidRPr="00E768D7">
        <w:rPr>
          <w:i w:val="0"/>
        </w:rPr>
        <w:t xml:space="preserve">Fig. </w:t>
      </w:r>
      <w:r w:rsidR="00A7238F" w:rsidRPr="00E768D7">
        <w:rPr>
          <w:i w:val="0"/>
        </w:rPr>
        <w:t>5</w:t>
      </w:r>
      <w:r w:rsidRPr="00E768D7">
        <w:rPr>
          <w:i w:val="0"/>
        </w:rPr>
        <w:t xml:space="preserve">. Comparison of modelled theta with animal data, assuming a </w:t>
      </w:r>
      <w:r w:rsidR="006E1187" w:rsidRPr="00E768D7">
        <w:rPr>
          <w:i w:val="0"/>
        </w:rPr>
        <w:t>single</w:t>
      </w:r>
      <w:r w:rsidRPr="00E768D7">
        <w:rPr>
          <w:i w:val="0"/>
        </w:rPr>
        <w:t xml:space="preserve"> </w:t>
      </w:r>
      <w:r w:rsidRPr="00E768D7">
        <w:t>F</w:t>
      </w:r>
      <w:r w:rsidR="003C3604" w:rsidRPr="00E768D7">
        <w:rPr>
          <w:vertAlign w:val="subscript"/>
        </w:rPr>
        <w:t>K</w:t>
      </w:r>
      <w:r w:rsidRPr="00E768D7">
        <w:t>(θ)</w:t>
      </w:r>
      <w:r w:rsidRPr="00E768D7">
        <w:rPr>
          <w:i w:val="0"/>
        </w:rPr>
        <w:t xml:space="preserve"> across both peaks, and </w:t>
      </w:r>
      <w:r w:rsidR="00380753" w:rsidRPr="00E768D7">
        <w:rPr>
          <w:i w:val="0"/>
        </w:rPr>
        <w:t>a</w:t>
      </w:r>
      <w:r w:rsidRPr="00E768D7">
        <w:rPr>
          <w:i w:val="0"/>
        </w:rPr>
        <w:t xml:space="preserve"> separate damping coefficient</w:t>
      </w:r>
      <w:r w:rsidR="00380753" w:rsidRPr="00E768D7">
        <w:rPr>
          <w:i w:val="0"/>
        </w:rPr>
        <w:t xml:space="preserve">, </w:t>
      </w:r>
      <w:r w:rsidR="00380753" w:rsidRPr="00E768D7">
        <w:t>c</w:t>
      </w:r>
      <w:r w:rsidR="00380753" w:rsidRPr="00E768D7">
        <w:rPr>
          <w:i w:val="0"/>
        </w:rPr>
        <w:t>,</w:t>
      </w:r>
      <w:r w:rsidRPr="00E768D7">
        <w:rPr>
          <w:i w:val="0"/>
        </w:rPr>
        <w:t xml:space="preserve"> for each peak.</w:t>
      </w:r>
    </w:p>
    <w:p w:rsidR="00E14CA4" w:rsidRDefault="00B96FEF" w:rsidP="006E3B9B">
      <w:pPr>
        <w:pStyle w:val="Style10ptJustified"/>
        <w:spacing w:before="40"/>
      </w:pPr>
      <w:r>
        <w:t xml:space="preserve">The corresponding </w:t>
      </w:r>
      <w:r w:rsidR="003C3604" w:rsidRPr="003C3604">
        <w:rPr>
          <w:i/>
        </w:rPr>
        <w:t>F</w:t>
      </w:r>
      <w:r w:rsidR="003C3604" w:rsidRPr="003C3604">
        <w:rPr>
          <w:i/>
          <w:vertAlign w:val="subscript"/>
        </w:rPr>
        <w:t>K</w:t>
      </w:r>
      <w:r w:rsidR="003C3604" w:rsidRPr="003C3604">
        <w:rPr>
          <w:i/>
        </w:rPr>
        <w:t>(θ)</w:t>
      </w:r>
      <w:r>
        <w:t xml:space="preserve"> profile is shown in Fig. 6.</w:t>
      </w:r>
      <w:r w:rsidR="007B3530">
        <w:t xml:space="preserve"> </w:t>
      </w:r>
      <w:r w:rsidR="0077104A">
        <w:t>Simulations have revealed that</w:t>
      </w:r>
      <w:r w:rsidR="007B3530">
        <w:t xml:space="preserve"> changing the </w:t>
      </w:r>
      <w:r w:rsidR="003C3604" w:rsidRPr="003C3604">
        <w:rPr>
          <w:i/>
        </w:rPr>
        <w:t>F</w:t>
      </w:r>
      <w:r w:rsidR="003C3604" w:rsidRPr="003C3604">
        <w:rPr>
          <w:i/>
          <w:vertAlign w:val="subscript"/>
        </w:rPr>
        <w:t>K</w:t>
      </w:r>
      <w:r w:rsidR="003C3604" w:rsidRPr="003C3604">
        <w:rPr>
          <w:i/>
        </w:rPr>
        <w:t>(θ)</w:t>
      </w:r>
      <w:r w:rsidR="003C3604">
        <w:t xml:space="preserve"> </w:t>
      </w:r>
      <w:r w:rsidR="0077104A">
        <w:t xml:space="preserve">profile in Fig. 6 </w:t>
      </w:r>
      <w:r w:rsidR="007B3530">
        <w:t xml:space="preserve">has </w:t>
      </w:r>
      <w:r w:rsidR="009156CB">
        <w:t>a smaller</w:t>
      </w:r>
      <w:r w:rsidR="007B3530">
        <w:t xml:space="preserve"> effect on the first peak</w:t>
      </w:r>
      <w:r w:rsidR="009156CB">
        <w:t xml:space="preserve"> than the second</w:t>
      </w:r>
      <w:r w:rsidR="0077104A">
        <w:t>. For example, even a constant stiffness or equivalently a linear line in Fig. 6 gives a similar match to the first peak in Fig. 5 (results not shown).</w:t>
      </w:r>
      <w:r w:rsidR="007B3530">
        <w:t xml:space="preserve"> Thus</w:t>
      </w:r>
      <w:r w:rsidR="0077104A">
        <w:t>,</w:t>
      </w:r>
      <w:r w:rsidR="007B3530">
        <w:t xml:space="preserve"> </w:t>
      </w:r>
      <w:r w:rsidR="003C3604" w:rsidRPr="003C3604">
        <w:rPr>
          <w:i/>
        </w:rPr>
        <w:t>F</w:t>
      </w:r>
      <w:r w:rsidR="003C3604" w:rsidRPr="003C3604">
        <w:rPr>
          <w:i/>
          <w:vertAlign w:val="subscript"/>
        </w:rPr>
        <w:t>K</w:t>
      </w:r>
      <w:r w:rsidR="003C3604" w:rsidRPr="003C3604">
        <w:rPr>
          <w:i/>
        </w:rPr>
        <w:t>(θ)</w:t>
      </w:r>
      <w:r w:rsidR="007B3530">
        <w:t xml:space="preserve"> is largely governed by the second peak</w:t>
      </w:r>
      <w:r w:rsidR="007B3530" w:rsidRPr="006D6222">
        <w:t>.</w:t>
      </w:r>
      <w:r w:rsidR="007B3530">
        <w:t xml:space="preserve"> </w:t>
      </w:r>
    </w:p>
    <w:p w:rsidR="006E0BE4" w:rsidRDefault="00AD688F" w:rsidP="004F297F">
      <w:pPr>
        <w:pStyle w:val="Style10ptJustified"/>
        <w:spacing w:before="0"/>
      </w:pPr>
      <w:r>
        <w:rPr>
          <w:noProof/>
          <w:lang w:val="fr-BE" w:eastAsia="fr-BE"/>
        </w:rPr>
        <w:drawing>
          <wp:inline distT="0" distB="0" distL="0" distR="0">
            <wp:extent cx="3152581" cy="2124284"/>
            <wp:effectExtent l="19050" t="0" r="0" b="0"/>
            <wp:docPr id="105" name="Picture 104" descr="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6.jpg"/>
                    <pic:cNvPicPr/>
                  </pic:nvPicPr>
                  <pic:blipFill>
                    <a:blip r:embed="rId32"/>
                    <a:srcRect t="4188"/>
                    <a:stretch>
                      <a:fillRect/>
                    </a:stretch>
                  </pic:blipFill>
                  <pic:spPr>
                    <a:xfrm>
                      <a:off x="0" y="0"/>
                      <a:ext cx="3152581" cy="2124284"/>
                    </a:xfrm>
                    <a:prstGeom prst="rect">
                      <a:avLst/>
                    </a:prstGeom>
                  </pic:spPr>
                </pic:pic>
              </a:graphicData>
            </a:graphic>
          </wp:inline>
        </w:drawing>
      </w:r>
    </w:p>
    <w:p w:rsidR="00B96FEF" w:rsidRPr="00C92518" w:rsidRDefault="00B96FEF" w:rsidP="000B704B">
      <w:pPr>
        <w:pStyle w:val="SubsectionTitle"/>
        <w:rPr>
          <w:i w:val="0"/>
        </w:rPr>
      </w:pPr>
      <w:r w:rsidRPr="00C92518">
        <w:rPr>
          <w:i w:val="0"/>
        </w:rPr>
        <w:t xml:space="preserve">Fig. 6. </w:t>
      </w:r>
      <w:r w:rsidR="003C3604" w:rsidRPr="00C92518">
        <w:t>F</w:t>
      </w:r>
      <w:r w:rsidR="003C3604" w:rsidRPr="00C92518">
        <w:rPr>
          <w:vertAlign w:val="subscript"/>
        </w:rPr>
        <w:t>K</w:t>
      </w:r>
      <w:r w:rsidR="003C3604" w:rsidRPr="00C92518">
        <w:t>(θ)</w:t>
      </w:r>
      <w:r w:rsidRPr="00C92518">
        <w:rPr>
          <w:i w:val="0"/>
        </w:rPr>
        <w:t xml:space="preserve"> corresponding to Fig 5.</w:t>
      </w:r>
    </w:p>
    <w:p w:rsidR="00F64E27" w:rsidRDefault="006D6222" w:rsidP="006E3B9B">
      <w:pPr>
        <w:pStyle w:val="Style10ptJustified"/>
        <w:spacing w:before="40"/>
      </w:pPr>
      <w:r>
        <w:t xml:space="preserve">Fig. 5 also shows the damping coefficient, </w:t>
      </w:r>
      <w:r w:rsidRPr="006D6222">
        <w:rPr>
          <w:i/>
        </w:rPr>
        <w:t>c</w:t>
      </w:r>
      <w:r>
        <w:t xml:space="preserve">, scaled for clarity. It is observed that the damping </w:t>
      </w:r>
      <w:r w:rsidR="006E1187">
        <w:t xml:space="preserve">coefficient identified </w:t>
      </w:r>
      <w:r>
        <w:t xml:space="preserve">is much higher for the first peak, as expected based on the greater lag from the peak of </w:t>
      </w:r>
      <w:r w:rsidRPr="006D6222">
        <w:rPr>
          <w:i/>
        </w:rPr>
        <w:t>ΔP</w:t>
      </w:r>
      <w:r>
        <w:t xml:space="preserve"> seen in Fig. 3.</w:t>
      </w:r>
      <w:r w:rsidR="004F4013">
        <w:t xml:space="preserve"> </w:t>
      </w:r>
      <w:r w:rsidR="00B62FE8">
        <w:t xml:space="preserve">Physiologically, the first opening corresponds to a rapid filling and high Reynold’s number during the E wave. The second peak has a lower flow and Reynold’s number, </w:t>
      </w:r>
      <w:r w:rsidR="001C5B94">
        <w:t>(</w:t>
      </w:r>
      <w:r w:rsidR="00B62FE8">
        <w:t>Schmitz et al., 1998</w:t>
      </w:r>
      <w:r w:rsidR="001C5B94">
        <w:t>)</w:t>
      </w:r>
      <w:r w:rsidR="00B62FE8">
        <w:t xml:space="preserve">.  Thus it follows that the damping coefficient would decrease in the second opening. </w:t>
      </w:r>
      <w:r w:rsidR="000546E9">
        <w:t>The Saito et al. (2006) study did not report flow velocity data,</w:t>
      </w:r>
      <w:r w:rsidR="00CA3314">
        <w:t xml:space="preserve"> therefore it was not possible to model this effect. </w:t>
      </w:r>
      <w:r w:rsidR="000546E9">
        <w:t xml:space="preserve"> </w:t>
      </w:r>
      <w:r w:rsidR="00721A5B">
        <w:t xml:space="preserve"> </w:t>
      </w:r>
    </w:p>
    <w:p w:rsidR="00282DB9" w:rsidRDefault="009A5822" w:rsidP="006E3B9B">
      <w:pPr>
        <w:pStyle w:val="Style10ptJustified"/>
        <w:spacing w:before="40"/>
      </w:pPr>
      <w:r>
        <w:lastRenderedPageBreak/>
        <w:t xml:space="preserve">To improve the match on </w:t>
      </w:r>
      <w:r w:rsidR="00B42C77">
        <w:t>the</w:t>
      </w:r>
      <w:r>
        <w:t xml:space="preserve"> second peak, a</w:t>
      </w:r>
      <w:r w:rsidR="00D629BA">
        <w:t xml:space="preserve"> hysteresis effect </w:t>
      </w:r>
      <w:r w:rsidR="003C4399">
        <w:t>was</w:t>
      </w:r>
      <w:r w:rsidR="00D629BA">
        <w:t xml:space="preserve"> considered, whereby a</w:t>
      </w:r>
      <w:r w:rsidR="006C1FA5">
        <w:t xml:space="preserve"> different </w:t>
      </w:r>
      <w:r w:rsidR="003C3604" w:rsidRPr="003C3604">
        <w:rPr>
          <w:i/>
        </w:rPr>
        <w:t>F</w:t>
      </w:r>
      <w:r w:rsidR="003C3604" w:rsidRPr="003C3604">
        <w:rPr>
          <w:i/>
          <w:vertAlign w:val="subscript"/>
        </w:rPr>
        <w:t>K</w:t>
      </w:r>
      <w:r w:rsidR="003C3604" w:rsidRPr="003C3604">
        <w:rPr>
          <w:i/>
        </w:rPr>
        <w:t>(θ)</w:t>
      </w:r>
      <w:r w:rsidR="003C3604">
        <w:rPr>
          <w:i/>
        </w:rPr>
        <w:t xml:space="preserve"> </w:t>
      </w:r>
      <w:r w:rsidR="006C1FA5">
        <w:t>profile</w:t>
      </w:r>
      <w:r w:rsidR="00D629BA">
        <w:t xml:space="preserve"> </w:t>
      </w:r>
      <w:r w:rsidR="003C4399">
        <w:t>is</w:t>
      </w:r>
      <w:r w:rsidR="00D629BA">
        <w:t xml:space="preserve"> allowed</w:t>
      </w:r>
      <w:r w:rsidR="006C1FA5">
        <w:t xml:space="preserve"> when </w:t>
      </w:r>
      <w:r w:rsidR="006C1FA5" w:rsidRPr="006C1FA5">
        <w:rPr>
          <w:i/>
        </w:rPr>
        <w:t>θ</w:t>
      </w:r>
      <w:r w:rsidR="006C1FA5">
        <w:t xml:space="preserve"> is increasing </w:t>
      </w:r>
      <w:r w:rsidR="006E1187">
        <w:t>verses</w:t>
      </w:r>
      <w:r w:rsidR="006C1FA5">
        <w:t xml:space="preserve"> when </w:t>
      </w:r>
      <w:r w:rsidR="00E31716" w:rsidRPr="00E31716">
        <w:rPr>
          <w:i/>
        </w:rPr>
        <w:t>θ</w:t>
      </w:r>
      <w:r w:rsidR="00E31716">
        <w:t xml:space="preserve"> </w:t>
      </w:r>
      <w:r w:rsidR="006C1FA5">
        <w:t>is decreasing</w:t>
      </w:r>
      <w:r w:rsidR="00646450">
        <w:t xml:space="preserve">. </w:t>
      </w:r>
      <w:r w:rsidR="004142A3">
        <w:t xml:space="preserve">Hysteresis is </w:t>
      </w:r>
      <w:r w:rsidR="00CA3314">
        <w:t>considered</w:t>
      </w:r>
      <w:r w:rsidR="004142A3">
        <w:t xml:space="preserve"> relevant to the second opening due to the different governing dynamics. When the valve opens the second time, it is not opening from a completely closed position, and the opening is driven by flow rather than by pressure. </w:t>
      </w:r>
      <w:r w:rsidR="00CA3314">
        <w:t xml:space="preserve">It is possible there is a hysteresis effect in the first opening, however the insensitivity of </w:t>
      </w:r>
      <w:r w:rsidR="00CA3314" w:rsidRPr="00E31716">
        <w:rPr>
          <w:i/>
        </w:rPr>
        <w:t>θ</w:t>
      </w:r>
      <w:r w:rsidR="00CA3314">
        <w:t xml:space="preserve"> to changes in </w:t>
      </w:r>
      <w:r w:rsidR="00CA3314" w:rsidRPr="003C3604">
        <w:rPr>
          <w:i/>
        </w:rPr>
        <w:t>F</w:t>
      </w:r>
      <w:r w:rsidR="00CA3314" w:rsidRPr="003C3604">
        <w:rPr>
          <w:i/>
          <w:vertAlign w:val="subscript"/>
        </w:rPr>
        <w:t>K</w:t>
      </w:r>
      <w:r w:rsidR="00CA3314" w:rsidRPr="003C3604">
        <w:rPr>
          <w:i/>
        </w:rPr>
        <w:t>(θ)</w:t>
      </w:r>
      <w:r w:rsidR="00CA3314">
        <w:t xml:space="preserve"> means it is very difficult to prove with the given data. Thus to keep the model as simple as possible, it is assumed the valve closes the same way for both openings.</w:t>
      </w:r>
      <w:r w:rsidR="00891621">
        <w:t xml:space="preserve"> </w:t>
      </w:r>
    </w:p>
    <w:p w:rsidR="006E0BE4" w:rsidRDefault="00AD688F" w:rsidP="004F297F">
      <w:pPr>
        <w:pStyle w:val="Style10ptJustified"/>
        <w:spacing w:before="120"/>
      </w:pPr>
      <w:r>
        <w:rPr>
          <w:noProof/>
          <w:lang w:val="fr-BE" w:eastAsia="fr-BE"/>
        </w:rPr>
        <w:drawing>
          <wp:inline distT="0" distB="0" distL="0" distR="0">
            <wp:extent cx="3152582" cy="2123650"/>
            <wp:effectExtent l="19050" t="0" r="0" b="0"/>
            <wp:docPr id="106" name="Picture 105" descr="Fig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7.jpg"/>
                    <pic:cNvPicPr/>
                  </pic:nvPicPr>
                  <pic:blipFill>
                    <a:blip r:embed="rId33"/>
                    <a:srcRect t="4188"/>
                    <a:stretch>
                      <a:fillRect/>
                    </a:stretch>
                  </pic:blipFill>
                  <pic:spPr>
                    <a:xfrm>
                      <a:off x="0" y="0"/>
                      <a:ext cx="3152582" cy="2123650"/>
                    </a:xfrm>
                    <a:prstGeom prst="rect">
                      <a:avLst/>
                    </a:prstGeom>
                  </pic:spPr>
                </pic:pic>
              </a:graphicData>
            </a:graphic>
          </wp:inline>
        </w:drawing>
      </w:r>
    </w:p>
    <w:p w:rsidR="00B42C77" w:rsidRPr="00C92518" w:rsidRDefault="00B42C77" w:rsidP="000B704B">
      <w:pPr>
        <w:pStyle w:val="SubsectionTitle"/>
        <w:rPr>
          <w:i w:val="0"/>
        </w:rPr>
      </w:pPr>
      <w:r w:rsidRPr="00C92518">
        <w:rPr>
          <w:i w:val="0"/>
        </w:rPr>
        <w:t xml:space="preserve">Fig. 7. Comparison of modelled theta with animal data. Different </w:t>
      </w:r>
      <w:r w:rsidR="003C3604" w:rsidRPr="00C92518">
        <w:t>F</w:t>
      </w:r>
      <w:r w:rsidR="003C3604" w:rsidRPr="00C92518">
        <w:rPr>
          <w:vertAlign w:val="subscript"/>
        </w:rPr>
        <w:t>K</w:t>
      </w:r>
      <w:r w:rsidR="003C3604" w:rsidRPr="00C92518">
        <w:t>(θ)</w:t>
      </w:r>
      <w:r w:rsidR="003C3604" w:rsidRPr="00C92518">
        <w:rPr>
          <w:i w:val="0"/>
        </w:rPr>
        <w:t xml:space="preserve"> </w:t>
      </w:r>
      <w:r w:rsidRPr="00C92518">
        <w:rPr>
          <w:i w:val="0"/>
        </w:rPr>
        <w:t xml:space="preserve">for increasing </w:t>
      </w:r>
      <w:r w:rsidRPr="00C92518">
        <w:t>θ</w:t>
      </w:r>
      <w:r w:rsidRPr="00C92518">
        <w:rPr>
          <w:i w:val="0"/>
        </w:rPr>
        <w:t xml:space="preserve"> in the second peak.</w:t>
      </w:r>
    </w:p>
    <w:p w:rsidR="00282DB9" w:rsidRDefault="00282DB9" w:rsidP="006E3B9B">
      <w:pPr>
        <w:pStyle w:val="Style10ptJustified"/>
        <w:spacing w:before="40"/>
      </w:pPr>
      <w:r>
        <w:t xml:space="preserve">When considering a hysteresis effect, the </w:t>
      </w:r>
      <w:r w:rsidR="003C3604" w:rsidRPr="003C3604">
        <w:rPr>
          <w:i/>
        </w:rPr>
        <w:t>F</w:t>
      </w:r>
      <w:r w:rsidR="003C3604" w:rsidRPr="003C3604">
        <w:rPr>
          <w:i/>
          <w:vertAlign w:val="subscript"/>
        </w:rPr>
        <w:t>K</w:t>
      </w:r>
      <w:r w:rsidR="003C3604" w:rsidRPr="003C3604">
        <w:rPr>
          <w:i/>
        </w:rPr>
        <w:t>(θ)</w:t>
      </w:r>
      <w:r>
        <w:t xml:space="preserve"> profile of the decreasing first peak must intersect with the </w:t>
      </w:r>
      <w:r w:rsidR="00121325" w:rsidRPr="003C3604">
        <w:rPr>
          <w:i/>
        </w:rPr>
        <w:t>F</w:t>
      </w:r>
      <w:r w:rsidR="00121325" w:rsidRPr="003C3604">
        <w:rPr>
          <w:i/>
          <w:vertAlign w:val="subscript"/>
        </w:rPr>
        <w:t>K</w:t>
      </w:r>
      <w:r w:rsidR="00121325" w:rsidRPr="003C3604">
        <w:rPr>
          <w:i/>
        </w:rPr>
        <w:t>(θ)</w:t>
      </w:r>
      <w:r>
        <w:t xml:space="preserve"> profile of the increasing second peak at the </w:t>
      </w:r>
      <w:r w:rsidRPr="006C1FA5">
        <w:rPr>
          <w:i/>
        </w:rPr>
        <w:t>θ</w:t>
      </w:r>
      <w:r w:rsidR="00E65B62">
        <w:rPr>
          <w:i/>
        </w:rPr>
        <w:t xml:space="preserve"> v</w:t>
      </w:r>
      <w:r w:rsidR="00E65B62" w:rsidRPr="00E65B62">
        <w:t>al</w:t>
      </w:r>
      <w:r w:rsidRPr="00E65B62">
        <w:t>u</w:t>
      </w:r>
      <w:r w:rsidRPr="0017406F">
        <w:t>e at which</w:t>
      </w:r>
      <w:r>
        <w:rPr>
          <w:i/>
        </w:rPr>
        <w:t xml:space="preserve"> </w:t>
      </w:r>
      <w:r>
        <w:t xml:space="preserve">one profile ends and the next begins. If the valve closed completely between openings, this would simply mean that the two </w:t>
      </w:r>
      <w:r w:rsidR="003C3604" w:rsidRPr="003C3604">
        <w:rPr>
          <w:i/>
        </w:rPr>
        <w:t>F</w:t>
      </w:r>
      <w:r w:rsidR="003C3604" w:rsidRPr="003C3604">
        <w:rPr>
          <w:i/>
          <w:vertAlign w:val="subscript"/>
        </w:rPr>
        <w:t>K</w:t>
      </w:r>
      <w:r w:rsidR="003C3604" w:rsidRPr="003C3604">
        <w:rPr>
          <w:i/>
        </w:rPr>
        <w:t>(θ)</w:t>
      </w:r>
      <w:r>
        <w:t xml:space="preserve"> profiles must start at the coordinate [0,0]. However, it is observed that the valve does not close completely between each opening. Instead, the valve closes to an angle of approximately 0.245 radians, and therefore the two </w:t>
      </w:r>
      <w:r w:rsidR="003C3604" w:rsidRPr="003C3604">
        <w:rPr>
          <w:i/>
        </w:rPr>
        <w:t>F</w:t>
      </w:r>
      <w:r w:rsidR="003C3604" w:rsidRPr="003C3604">
        <w:rPr>
          <w:i/>
          <w:vertAlign w:val="subscript"/>
        </w:rPr>
        <w:t>K</w:t>
      </w:r>
      <w:r w:rsidR="003C3604" w:rsidRPr="003C3604">
        <w:rPr>
          <w:i/>
        </w:rPr>
        <w:t>(θ)</w:t>
      </w:r>
      <w:r>
        <w:t xml:space="preserve"> profiles must intersect at </w:t>
      </w:r>
      <w:r w:rsidRPr="006C1FA5">
        <w:rPr>
          <w:i/>
        </w:rPr>
        <w:t>θ</w:t>
      </w:r>
      <w:r>
        <w:t xml:space="preserve"> = 0.245, as seen in Fig. 8.</w:t>
      </w:r>
    </w:p>
    <w:p w:rsidR="006E0BE4" w:rsidRDefault="00AD688F" w:rsidP="004F297F">
      <w:pPr>
        <w:pStyle w:val="Style10ptJustified"/>
        <w:spacing w:before="120"/>
      </w:pPr>
      <w:r>
        <w:rPr>
          <w:noProof/>
          <w:lang w:val="fr-BE" w:eastAsia="fr-BE"/>
        </w:rPr>
        <w:drawing>
          <wp:inline distT="0" distB="0" distL="0" distR="0">
            <wp:extent cx="3152582" cy="2123650"/>
            <wp:effectExtent l="19050" t="0" r="0" b="0"/>
            <wp:docPr id="107" name="Picture 106" descr="Fig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8.jpg"/>
                    <pic:cNvPicPr/>
                  </pic:nvPicPr>
                  <pic:blipFill>
                    <a:blip r:embed="rId34"/>
                    <a:srcRect t="4188"/>
                    <a:stretch>
                      <a:fillRect/>
                    </a:stretch>
                  </pic:blipFill>
                  <pic:spPr>
                    <a:xfrm>
                      <a:off x="0" y="0"/>
                      <a:ext cx="3152582" cy="2123650"/>
                    </a:xfrm>
                    <a:prstGeom prst="rect">
                      <a:avLst/>
                    </a:prstGeom>
                  </pic:spPr>
                </pic:pic>
              </a:graphicData>
            </a:graphic>
          </wp:inline>
        </w:drawing>
      </w:r>
    </w:p>
    <w:p w:rsidR="00B42C77" w:rsidRPr="00C92518" w:rsidRDefault="00B42C77" w:rsidP="000B704B">
      <w:pPr>
        <w:pStyle w:val="SubsectionTitle"/>
        <w:rPr>
          <w:i w:val="0"/>
        </w:rPr>
      </w:pPr>
      <w:r w:rsidRPr="00C92518">
        <w:rPr>
          <w:i w:val="0"/>
        </w:rPr>
        <w:t xml:space="preserve">Fig. 8. </w:t>
      </w:r>
      <w:r w:rsidR="003C3604" w:rsidRPr="00C92518">
        <w:t>F</w:t>
      </w:r>
      <w:r w:rsidR="003C3604" w:rsidRPr="00C92518">
        <w:rPr>
          <w:vertAlign w:val="subscript"/>
        </w:rPr>
        <w:t>K</w:t>
      </w:r>
      <w:r w:rsidR="003C3604" w:rsidRPr="00C92518">
        <w:t>(θ)</w:t>
      </w:r>
      <w:r w:rsidRPr="00C92518">
        <w:rPr>
          <w:i w:val="0"/>
        </w:rPr>
        <w:t xml:space="preserve"> corresponding to Fig. 7.</w:t>
      </w:r>
    </w:p>
    <w:p w:rsidR="004F297F" w:rsidRDefault="004F297F">
      <w:pPr>
        <w:rPr>
          <w:bCs/>
          <w:sz w:val="20"/>
        </w:rPr>
      </w:pPr>
      <w:r>
        <w:br w:type="page"/>
      </w:r>
    </w:p>
    <w:p w:rsidR="00806C52" w:rsidRPr="00806C52" w:rsidRDefault="00D84117" w:rsidP="006E3B9B">
      <w:pPr>
        <w:pStyle w:val="Style10ptJustified"/>
        <w:spacing w:before="40"/>
      </w:pPr>
      <w:r>
        <w:lastRenderedPageBreak/>
        <w:t>T</w:t>
      </w:r>
      <w:r w:rsidR="00806C52" w:rsidRPr="00806C52">
        <w:t xml:space="preserve">he </w:t>
      </w:r>
      <w:r w:rsidR="003C3604" w:rsidRPr="003C3604">
        <w:rPr>
          <w:i/>
        </w:rPr>
        <w:t>F</w:t>
      </w:r>
      <w:r w:rsidR="003C3604" w:rsidRPr="003C3604">
        <w:rPr>
          <w:i/>
          <w:vertAlign w:val="subscript"/>
        </w:rPr>
        <w:t>K</w:t>
      </w:r>
      <w:r w:rsidR="003C3604" w:rsidRPr="003C3604">
        <w:rPr>
          <w:i/>
        </w:rPr>
        <w:t>(θ)</w:t>
      </w:r>
      <w:r w:rsidR="00806C52" w:rsidRPr="00806C52">
        <w:rPr>
          <w:i/>
        </w:rPr>
        <w:t xml:space="preserve"> </w:t>
      </w:r>
      <w:r w:rsidR="00806C52" w:rsidRPr="00806C52">
        <w:t>profile</w:t>
      </w:r>
      <w:r w:rsidR="00806C52">
        <w:t xml:space="preserve"> of Fig.</w:t>
      </w:r>
      <w:r w:rsidR="003C4399">
        <w:t xml:space="preserve"> </w:t>
      </w:r>
      <w:r w:rsidR="00806C52">
        <w:t>8 is very similar to Fig.6 with the exception that the valve is “easier</w:t>
      </w:r>
      <w:r>
        <w:t>”</w:t>
      </w:r>
      <w:r w:rsidR="00CD2097">
        <w:t xml:space="preserve"> </w:t>
      </w:r>
      <w:r w:rsidR="00806C52">
        <w:t>to open</w:t>
      </w:r>
      <w:r w:rsidR="004105AA">
        <w:t>, or specifically it has a lower stiffness,</w:t>
      </w:r>
      <w:r w:rsidR="00806C52">
        <w:t xml:space="preserve"> the second time. </w:t>
      </w:r>
      <w:r w:rsidR="00CD2097">
        <w:t>Th</w:t>
      </w:r>
      <w:r w:rsidR="004105AA">
        <w:t>is</w:t>
      </w:r>
      <w:r w:rsidR="00CD2097">
        <w:t xml:space="preserve"> result seems reasonable, since the valve is not opening from a </w:t>
      </w:r>
      <w:r>
        <w:t xml:space="preserve">completely </w:t>
      </w:r>
      <w:r w:rsidR="00CD2097">
        <w:t>closed position</w:t>
      </w:r>
      <w:r>
        <w:t>, and retains some “memory” of the previous opening</w:t>
      </w:r>
      <w:r w:rsidR="00CD2097">
        <w:t xml:space="preserve">. </w:t>
      </w:r>
      <w:r w:rsidR="006E1187">
        <w:t xml:space="preserve"> In addition, the impact of the chords in resisting flow may be different once a valve is even partly open.</w:t>
      </w:r>
    </w:p>
    <w:p w:rsidR="00F822D0" w:rsidRDefault="00002F30" w:rsidP="006E3B9B">
      <w:pPr>
        <w:pStyle w:val="Style10ptJustified"/>
        <w:spacing w:before="40"/>
      </w:pPr>
      <w:r>
        <w:t>It had originally been envisaged that</w:t>
      </w:r>
      <w:r w:rsidR="00D17AB8">
        <w:t xml:space="preserve"> the </w:t>
      </w:r>
      <w:r w:rsidR="003C3604" w:rsidRPr="003C3604">
        <w:rPr>
          <w:i/>
        </w:rPr>
        <w:t>F</w:t>
      </w:r>
      <w:r w:rsidR="003C3604" w:rsidRPr="003C3604">
        <w:rPr>
          <w:i/>
          <w:vertAlign w:val="subscript"/>
        </w:rPr>
        <w:t>K</w:t>
      </w:r>
      <w:r w:rsidR="003C3604" w:rsidRPr="003C3604">
        <w:rPr>
          <w:i/>
        </w:rPr>
        <w:t>(θ)</w:t>
      </w:r>
      <w:r w:rsidR="00D17AB8">
        <w:t xml:space="preserve"> profile would look similar to Fig. 1, with increased stiffness when the valve opens and closes</w:t>
      </w:r>
      <w:r w:rsidR="00583562">
        <w:t>,</w:t>
      </w:r>
      <w:r w:rsidR="00D17AB8">
        <w:t xml:space="preserve"> and decreased stiffness in between. </w:t>
      </w:r>
      <w:r w:rsidR="00C93976">
        <w:t xml:space="preserve">The resulting </w:t>
      </w:r>
      <w:r w:rsidR="00C93976" w:rsidRPr="006C1FA5">
        <w:rPr>
          <w:i/>
        </w:rPr>
        <w:t>θ</w:t>
      </w:r>
      <w:r w:rsidR="00D74C78">
        <w:rPr>
          <w:i/>
        </w:rPr>
        <w:t>(t)</w:t>
      </w:r>
      <w:r w:rsidR="00C93976" w:rsidRPr="00C93976">
        <w:t>and</w:t>
      </w:r>
      <w:r w:rsidR="00C93976">
        <w:rPr>
          <w:i/>
        </w:rPr>
        <w:t xml:space="preserve"> </w:t>
      </w:r>
      <w:r w:rsidR="003C3604" w:rsidRPr="003C3604">
        <w:rPr>
          <w:i/>
        </w:rPr>
        <w:t>F</w:t>
      </w:r>
      <w:r w:rsidR="003C3604" w:rsidRPr="003C3604">
        <w:rPr>
          <w:i/>
          <w:vertAlign w:val="subscript"/>
        </w:rPr>
        <w:t>K</w:t>
      </w:r>
      <w:r w:rsidR="003C3604" w:rsidRPr="003C3604">
        <w:rPr>
          <w:i/>
        </w:rPr>
        <w:t>(θ)</w:t>
      </w:r>
      <w:r w:rsidR="00C93976">
        <w:t xml:space="preserve"> profile</w:t>
      </w:r>
      <w:r w:rsidR="00F822D0">
        <w:t>s</w:t>
      </w:r>
      <w:r w:rsidR="00C93976">
        <w:t xml:space="preserve"> </w:t>
      </w:r>
      <w:r w:rsidR="00F822D0">
        <w:t>are shown in</w:t>
      </w:r>
      <w:r w:rsidR="00C93976">
        <w:t xml:space="preserve"> Figs. 9 and 10.</w:t>
      </w:r>
    </w:p>
    <w:p w:rsidR="0034276B" w:rsidRDefault="00AD688F" w:rsidP="004F297F">
      <w:pPr>
        <w:pStyle w:val="Style10ptJustified"/>
        <w:spacing w:before="120"/>
      </w:pPr>
      <w:r>
        <w:rPr>
          <w:noProof/>
          <w:lang w:val="fr-BE" w:eastAsia="fr-BE"/>
        </w:rPr>
        <w:drawing>
          <wp:inline distT="0" distB="0" distL="0" distR="0">
            <wp:extent cx="3149600" cy="2216150"/>
            <wp:effectExtent l="19050" t="0" r="0" b="0"/>
            <wp:docPr id="109" name="Picture 108" descr="Fig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9.jpg"/>
                    <pic:cNvPicPr/>
                  </pic:nvPicPr>
                  <pic:blipFill>
                    <a:blip r:embed="rId35"/>
                    <a:stretch>
                      <a:fillRect/>
                    </a:stretch>
                  </pic:blipFill>
                  <pic:spPr>
                    <a:xfrm>
                      <a:off x="0" y="0"/>
                      <a:ext cx="3149600" cy="2216150"/>
                    </a:xfrm>
                    <a:prstGeom prst="rect">
                      <a:avLst/>
                    </a:prstGeom>
                  </pic:spPr>
                </pic:pic>
              </a:graphicData>
            </a:graphic>
          </wp:inline>
        </w:drawing>
      </w:r>
    </w:p>
    <w:p w:rsidR="008B5A48" w:rsidRPr="00C93976" w:rsidRDefault="00C93976" w:rsidP="006E3B9B">
      <w:pPr>
        <w:pStyle w:val="Style10ptJustified"/>
      </w:pPr>
      <w:r w:rsidRPr="00C93976">
        <w:t xml:space="preserve">Fig. </w:t>
      </w:r>
      <w:r w:rsidR="000A7F6F">
        <w:t>9</w:t>
      </w:r>
      <w:r w:rsidRPr="00C93976">
        <w:t xml:space="preserve">. Comparison of modelled theta with animal data </w:t>
      </w:r>
      <w:r w:rsidR="000A7F6F">
        <w:t>using</w:t>
      </w:r>
      <w:r w:rsidRPr="00C93976">
        <w:t xml:space="preserve"> </w:t>
      </w:r>
      <w:r w:rsidR="003C3604" w:rsidRPr="003C3604">
        <w:rPr>
          <w:i/>
        </w:rPr>
        <w:t>F</w:t>
      </w:r>
      <w:r w:rsidR="003C3604" w:rsidRPr="003C3604">
        <w:rPr>
          <w:i/>
          <w:vertAlign w:val="subscript"/>
        </w:rPr>
        <w:t>K</w:t>
      </w:r>
      <w:r w:rsidR="003C3604" w:rsidRPr="003C3604">
        <w:rPr>
          <w:i/>
        </w:rPr>
        <w:t>(θ)</w:t>
      </w:r>
      <w:r w:rsidRPr="00C93976">
        <w:t xml:space="preserve"> </w:t>
      </w:r>
      <w:r w:rsidR="000A7F6F">
        <w:t>profile type of Fig. 1.</w:t>
      </w:r>
    </w:p>
    <w:p w:rsidR="008B5A48" w:rsidRDefault="00AD688F" w:rsidP="004F297F">
      <w:pPr>
        <w:pStyle w:val="Style10ptJustified"/>
        <w:spacing w:before="120"/>
      </w:pPr>
      <w:r>
        <w:rPr>
          <w:noProof/>
          <w:lang w:val="fr-BE" w:eastAsia="fr-BE"/>
        </w:rPr>
        <w:drawing>
          <wp:inline distT="0" distB="0" distL="0" distR="0">
            <wp:extent cx="3149600" cy="2216150"/>
            <wp:effectExtent l="19050" t="0" r="0" b="0"/>
            <wp:docPr id="110" name="Picture 109" descr="Fig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0.jpg"/>
                    <pic:cNvPicPr/>
                  </pic:nvPicPr>
                  <pic:blipFill>
                    <a:blip r:embed="rId36"/>
                    <a:stretch>
                      <a:fillRect/>
                    </a:stretch>
                  </pic:blipFill>
                  <pic:spPr>
                    <a:xfrm>
                      <a:off x="0" y="0"/>
                      <a:ext cx="3149600" cy="2216150"/>
                    </a:xfrm>
                    <a:prstGeom prst="rect">
                      <a:avLst/>
                    </a:prstGeom>
                  </pic:spPr>
                </pic:pic>
              </a:graphicData>
            </a:graphic>
          </wp:inline>
        </w:drawing>
      </w:r>
    </w:p>
    <w:p w:rsidR="000A7F6F" w:rsidRPr="00C92518" w:rsidRDefault="000A7F6F" w:rsidP="000B704B">
      <w:pPr>
        <w:pStyle w:val="SubsectionTitle"/>
        <w:rPr>
          <w:i w:val="0"/>
        </w:rPr>
      </w:pPr>
      <w:r w:rsidRPr="00C92518">
        <w:rPr>
          <w:i w:val="0"/>
        </w:rPr>
        <w:t xml:space="preserve">Fig. 10. </w:t>
      </w:r>
      <w:r w:rsidR="003C3604" w:rsidRPr="00C92518">
        <w:t>F</w:t>
      </w:r>
      <w:r w:rsidR="003C3604" w:rsidRPr="00C92518">
        <w:rPr>
          <w:vertAlign w:val="subscript"/>
        </w:rPr>
        <w:t>K</w:t>
      </w:r>
      <w:r w:rsidR="003C3604" w:rsidRPr="00C92518">
        <w:t>(θ)</w:t>
      </w:r>
      <w:r w:rsidRPr="00C92518">
        <w:rPr>
          <w:i w:val="0"/>
        </w:rPr>
        <w:t xml:space="preserve"> corresponding to Fig. 9.</w:t>
      </w:r>
    </w:p>
    <w:p w:rsidR="00B42C77" w:rsidRDefault="00407E6B" w:rsidP="004F297F">
      <w:pPr>
        <w:pStyle w:val="Style10ptJustified"/>
        <w:spacing w:before="40"/>
      </w:pPr>
      <w:r>
        <w:t xml:space="preserve">It is noted that </w:t>
      </w:r>
      <w:r w:rsidR="009448F7">
        <w:t xml:space="preserve">even though </w:t>
      </w:r>
      <w:r>
        <w:t xml:space="preserve">a profile of this type </w:t>
      </w:r>
      <w:r w:rsidR="009448F7">
        <w:t xml:space="preserve">has </w:t>
      </w:r>
      <w:r w:rsidR="004105AA">
        <w:t>a slightly</w:t>
      </w:r>
      <w:r w:rsidR="009448F7">
        <w:t xml:space="preserve"> improved match with first peak, it </w:t>
      </w:r>
      <w:r>
        <w:t xml:space="preserve">is not possible to match the </w:t>
      </w:r>
      <w:r w:rsidRPr="006C1FA5">
        <w:rPr>
          <w:i/>
        </w:rPr>
        <w:t>θ</w:t>
      </w:r>
      <w:r w:rsidR="009448F7">
        <w:rPr>
          <w:i/>
        </w:rPr>
        <w:t>(t)</w:t>
      </w:r>
      <w:r>
        <w:rPr>
          <w:i/>
        </w:rPr>
        <w:t xml:space="preserve"> </w:t>
      </w:r>
      <w:r>
        <w:t>profile of the second peak.</w:t>
      </w:r>
      <w:r w:rsidR="004E7844">
        <w:t xml:space="preserve"> The initial dip in the </w:t>
      </w:r>
      <w:r w:rsidR="004E7844" w:rsidRPr="006C1FA5">
        <w:rPr>
          <w:i/>
        </w:rPr>
        <w:t>θ</w:t>
      </w:r>
      <w:r w:rsidR="009448F7">
        <w:rPr>
          <w:i/>
        </w:rPr>
        <w:t>(t)</w:t>
      </w:r>
      <w:r w:rsidR="004E7844">
        <w:rPr>
          <w:i/>
        </w:rPr>
        <w:t xml:space="preserve"> </w:t>
      </w:r>
      <w:r w:rsidR="004E7844">
        <w:t>profile of the second peak cannot be avoided unless the initial slope of Fig. 10 is much lower</w:t>
      </w:r>
      <w:r w:rsidR="009433A3">
        <w:t xml:space="preserve">, further validating the results in Fig. 8. </w:t>
      </w:r>
      <w:r w:rsidR="003C4399">
        <w:t>In addition, t</w:t>
      </w:r>
      <w:r w:rsidR="004E7844">
        <w:t xml:space="preserve">o maintain the shape of Fig. 10, </w:t>
      </w:r>
      <w:r w:rsidR="009433A3">
        <w:t xml:space="preserve">the </w:t>
      </w:r>
      <w:r w:rsidR="00573110">
        <w:t xml:space="preserve">final slope </w:t>
      </w:r>
      <w:r w:rsidR="003C4399">
        <w:t xml:space="preserve">is required </w:t>
      </w:r>
      <w:r w:rsidR="00573110">
        <w:t xml:space="preserve">to be </w:t>
      </w:r>
      <w:r w:rsidR="009433A3">
        <w:t>so</w:t>
      </w:r>
      <w:r w:rsidR="00573110">
        <w:t xml:space="preserve"> great such that </w:t>
      </w:r>
      <w:r w:rsidR="00573110" w:rsidRPr="006C1FA5">
        <w:rPr>
          <w:i/>
        </w:rPr>
        <w:t>θ</w:t>
      </w:r>
      <w:r w:rsidR="00537E91">
        <w:rPr>
          <w:i/>
        </w:rPr>
        <w:t>(t)</w:t>
      </w:r>
      <w:r w:rsidR="00573110">
        <w:rPr>
          <w:i/>
        </w:rPr>
        <w:t xml:space="preserve"> </w:t>
      </w:r>
      <w:r w:rsidR="00573110">
        <w:t>becomes negative towards the end of the second peak.</w:t>
      </w:r>
    </w:p>
    <w:p w:rsidR="00F70A84" w:rsidRDefault="0088174F" w:rsidP="004F297F">
      <w:pPr>
        <w:pStyle w:val="Style10ptJustified"/>
        <w:spacing w:before="40"/>
      </w:pPr>
      <w:r w:rsidRPr="008855E9">
        <w:t>Finally</w:t>
      </w:r>
      <w:r w:rsidR="006066C5">
        <w:t>,</w:t>
      </w:r>
      <w:r w:rsidRPr="008855E9">
        <w:t xml:space="preserve"> it is noted that the best match can obtained by allowing </w:t>
      </w:r>
      <w:r w:rsidR="003C3604" w:rsidRPr="003C3604">
        <w:rPr>
          <w:i/>
        </w:rPr>
        <w:t>F</w:t>
      </w:r>
      <w:r w:rsidR="003C3604" w:rsidRPr="003C3604">
        <w:rPr>
          <w:i/>
          <w:vertAlign w:val="subscript"/>
        </w:rPr>
        <w:t>K</w:t>
      </w:r>
      <w:r w:rsidR="003C3604" w:rsidRPr="003C3604">
        <w:rPr>
          <w:i/>
        </w:rPr>
        <w:t>(θ)</w:t>
      </w:r>
      <w:r w:rsidRPr="008855E9">
        <w:t xml:space="preserve"> and </w:t>
      </w:r>
      <w:r w:rsidRPr="00E65B62">
        <w:rPr>
          <w:i/>
        </w:rPr>
        <w:t>c</w:t>
      </w:r>
      <w:r w:rsidRPr="008855E9">
        <w:t xml:space="preserve"> to vary, as seen in Fig</w:t>
      </w:r>
      <w:r w:rsidR="00583562" w:rsidRPr="008855E9">
        <w:t>s</w:t>
      </w:r>
      <w:r w:rsidRPr="008855E9">
        <w:t>. 11</w:t>
      </w:r>
      <w:r w:rsidR="00583562" w:rsidRPr="008855E9">
        <w:t xml:space="preserve"> and 12</w:t>
      </w:r>
      <w:r w:rsidR="0046697D" w:rsidRPr="008855E9">
        <w:t xml:space="preserve">. However, </w:t>
      </w:r>
      <w:r w:rsidRPr="008855E9">
        <w:t xml:space="preserve">it is difficult to justify such a situation </w:t>
      </w:r>
      <w:r w:rsidRPr="008855E9">
        <w:lastRenderedPageBreak/>
        <w:t>physiologically without more accurate d</w:t>
      </w:r>
      <w:r w:rsidR="00583562" w:rsidRPr="008855E9">
        <w:t>ata including velocity profiles, to better understand the effect of</w:t>
      </w:r>
      <w:r w:rsidR="00F32322" w:rsidRPr="008855E9">
        <w:t xml:space="preserve"> flow </w:t>
      </w:r>
      <w:r w:rsidR="00583562" w:rsidRPr="008855E9">
        <w:t xml:space="preserve">velocity </w:t>
      </w:r>
      <w:r w:rsidR="00F32322" w:rsidRPr="008855E9">
        <w:t>on damping.</w:t>
      </w:r>
      <w:r w:rsidR="0046697D" w:rsidRPr="008855E9">
        <w:t xml:space="preserve"> It is noted that the slope of the raw </w:t>
      </w:r>
      <w:r w:rsidR="0046697D" w:rsidRPr="008855E9">
        <w:rPr>
          <w:i/>
        </w:rPr>
        <w:t>θ(t)</w:t>
      </w:r>
      <w:r w:rsidR="0046697D" w:rsidRPr="008855E9">
        <w:t xml:space="preserve"> profile is greater for the increasing side of the first peak, and the decreasing side of the second peak, suggesting that </w:t>
      </w:r>
      <w:r w:rsidR="0046697D" w:rsidRPr="008855E9">
        <w:rPr>
          <w:i/>
        </w:rPr>
        <w:t>c</w:t>
      </w:r>
      <w:r w:rsidR="0046697D" w:rsidRPr="008855E9">
        <w:t xml:space="preserve"> could </w:t>
      </w:r>
      <w:r w:rsidR="009433A3">
        <w:t xml:space="preserve">also </w:t>
      </w:r>
      <w:r w:rsidR="0046697D" w:rsidRPr="008855E9">
        <w:t>be a function of</w:t>
      </w:r>
      <w:r w:rsidR="00DB4282" w:rsidRPr="008855E9">
        <w:t xml:space="preserve"> </w:t>
      </w:r>
      <w:r w:rsidR="003C3604" w:rsidRPr="00C92518">
        <w:rPr>
          <w:position w:val="-6"/>
          <w:lang w:val="en-US"/>
        </w:rPr>
        <w:object w:dxaOrig="200" w:dyaOrig="320">
          <v:shape id="_x0000_i1035" type="#_x0000_t75" style="width:8.15pt;height:13.15pt" o:ole="">
            <v:imagedata r:id="rId37" o:title=""/>
          </v:shape>
          <o:OLEObject Type="Embed" ProgID="Equation.3" ShapeID="_x0000_i1035" DrawAspect="Content" ObjectID="_1332919679" r:id="rId38"/>
        </w:object>
      </w:r>
      <w:r w:rsidR="00DB4282" w:rsidRPr="008855E9">
        <w:rPr>
          <w:lang w:val="en-US"/>
        </w:rPr>
        <w:t xml:space="preserve">, similar to the definition that </w:t>
      </w:r>
      <w:r w:rsidR="00DB4282" w:rsidRPr="008855E9">
        <w:rPr>
          <w:i/>
          <w:lang w:val="en-US"/>
        </w:rPr>
        <w:t>K</w:t>
      </w:r>
      <w:r w:rsidR="00DB4282" w:rsidRPr="008855E9">
        <w:rPr>
          <w:lang w:val="en-US"/>
        </w:rPr>
        <w:t xml:space="preserve"> is a function of </w:t>
      </w:r>
      <w:r w:rsidR="0046697D" w:rsidRPr="008855E9">
        <w:rPr>
          <w:i/>
        </w:rPr>
        <w:t>θ.</w:t>
      </w:r>
      <w:r w:rsidR="001C5B94">
        <w:rPr>
          <w:i/>
        </w:rPr>
        <w:t xml:space="preserve"> </w:t>
      </w:r>
      <w:r w:rsidR="006066C5">
        <w:t>The decreasing side of the first peak can be better matched with increased damping, however this causes the valve to remain open at an angle of 0.5 radians, rather than the 0.245 radians seen experimentally.</w:t>
      </w:r>
    </w:p>
    <w:p w:rsidR="007B2AB9" w:rsidRDefault="00AD688F" w:rsidP="004F297F">
      <w:pPr>
        <w:pStyle w:val="Style10ptJustified"/>
        <w:spacing w:before="120"/>
      </w:pPr>
      <w:r>
        <w:rPr>
          <w:noProof/>
          <w:lang w:val="fr-BE" w:eastAsia="fr-BE"/>
        </w:rPr>
        <w:drawing>
          <wp:inline distT="0" distB="0" distL="0" distR="0">
            <wp:extent cx="3149600" cy="2216150"/>
            <wp:effectExtent l="19050" t="0" r="0" b="0"/>
            <wp:docPr id="111" name="Picture 110" descr="Fig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1.jpg"/>
                    <pic:cNvPicPr/>
                  </pic:nvPicPr>
                  <pic:blipFill>
                    <a:blip r:embed="rId39"/>
                    <a:stretch>
                      <a:fillRect/>
                    </a:stretch>
                  </pic:blipFill>
                  <pic:spPr>
                    <a:xfrm>
                      <a:off x="0" y="0"/>
                      <a:ext cx="3149600" cy="2216150"/>
                    </a:xfrm>
                    <a:prstGeom prst="rect">
                      <a:avLst/>
                    </a:prstGeom>
                  </pic:spPr>
                </pic:pic>
              </a:graphicData>
            </a:graphic>
          </wp:inline>
        </w:drawing>
      </w:r>
    </w:p>
    <w:p w:rsidR="00527EA7" w:rsidRPr="00C92518" w:rsidRDefault="00527EA7" w:rsidP="000B704B">
      <w:pPr>
        <w:pStyle w:val="SubsectionTitle"/>
        <w:rPr>
          <w:i w:val="0"/>
        </w:rPr>
      </w:pPr>
      <w:r w:rsidRPr="00C92518">
        <w:rPr>
          <w:i w:val="0"/>
        </w:rPr>
        <w:t xml:space="preserve">Fig. </w:t>
      </w:r>
      <w:r w:rsidR="0046697D" w:rsidRPr="00C92518">
        <w:rPr>
          <w:i w:val="0"/>
        </w:rPr>
        <w:t>11</w:t>
      </w:r>
      <w:r w:rsidRPr="00C92518">
        <w:rPr>
          <w:i w:val="0"/>
        </w:rPr>
        <w:t xml:space="preserve">. Comparison of modelled theta with animal data. </w:t>
      </w:r>
      <w:r w:rsidR="00F822D0" w:rsidRPr="00C92518">
        <w:rPr>
          <w:i w:val="0"/>
        </w:rPr>
        <w:t>4 unique</w:t>
      </w:r>
      <w:r w:rsidRPr="00C92518">
        <w:rPr>
          <w:i w:val="0"/>
        </w:rPr>
        <w:t xml:space="preserve"> </w:t>
      </w:r>
      <w:r w:rsidR="00121325" w:rsidRPr="00C92518">
        <w:t>F</w:t>
      </w:r>
      <w:r w:rsidR="00121325" w:rsidRPr="00C92518">
        <w:rPr>
          <w:vertAlign w:val="subscript"/>
        </w:rPr>
        <w:t>K</w:t>
      </w:r>
      <w:r w:rsidR="00121325" w:rsidRPr="00C92518">
        <w:t>(θ)</w:t>
      </w:r>
      <w:r w:rsidRPr="00C92518">
        <w:t xml:space="preserve"> </w:t>
      </w:r>
      <w:r w:rsidRPr="00C92518">
        <w:rPr>
          <w:i w:val="0"/>
        </w:rPr>
        <w:t xml:space="preserve">and </w:t>
      </w:r>
      <w:r w:rsidRPr="00C92518">
        <w:t>c</w:t>
      </w:r>
      <w:r w:rsidRPr="00C92518">
        <w:rPr>
          <w:i w:val="0"/>
        </w:rPr>
        <w:t xml:space="preserve"> </w:t>
      </w:r>
      <w:r w:rsidR="00F822D0" w:rsidRPr="00C92518">
        <w:rPr>
          <w:i w:val="0"/>
        </w:rPr>
        <w:t>profiles</w:t>
      </w:r>
      <w:r w:rsidRPr="00C92518">
        <w:rPr>
          <w:i w:val="0"/>
        </w:rPr>
        <w:t>.</w:t>
      </w:r>
    </w:p>
    <w:p w:rsidR="00527EA7" w:rsidRDefault="00C1013B" w:rsidP="004F297F">
      <w:pPr>
        <w:pStyle w:val="Style10ptJustified"/>
        <w:spacing w:before="40"/>
      </w:pPr>
      <w:r>
        <w:t xml:space="preserve">It is observed in Fig. </w:t>
      </w:r>
      <w:r w:rsidR="006066C5">
        <w:t>11</w:t>
      </w:r>
      <w:r>
        <w:t xml:space="preserve"> that the model-fit is greatly improved, particularly for the second, flow-driven peak. </w:t>
      </w:r>
      <w:r w:rsidR="00B47C03" w:rsidRPr="00B47C03">
        <w:t xml:space="preserve">The corresponding </w:t>
      </w:r>
      <w:r w:rsidR="00121325" w:rsidRPr="003C3604">
        <w:rPr>
          <w:i/>
        </w:rPr>
        <w:t>F</w:t>
      </w:r>
      <w:r w:rsidR="00121325" w:rsidRPr="003C3604">
        <w:rPr>
          <w:i/>
          <w:vertAlign w:val="subscript"/>
        </w:rPr>
        <w:t>K</w:t>
      </w:r>
      <w:r w:rsidR="00121325" w:rsidRPr="003C3604">
        <w:rPr>
          <w:i/>
        </w:rPr>
        <w:t>(θ)</w:t>
      </w:r>
      <w:r w:rsidR="00B47C03" w:rsidRPr="00B47C03">
        <w:t xml:space="preserve"> profiles are shown in Fig</w:t>
      </w:r>
      <w:r w:rsidR="0080230F">
        <w:t xml:space="preserve">. </w:t>
      </w:r>
      <w:r w:rsidR="006066C5">
        <w:t>12</w:t>
      </w:r>
      <w:r w:rsidR="0080230F">
        <w:t>.</w:t>
      </w:r>
    </w:p>
    <w:p w:rsidR="00B47C03" w:rsidRDefault="00AD688F" w:rsidP="004F297F">
      <w:pPr>
        <w:pStyle w:val="Style10ptJustified"/>
        <w:spacing w:before="120"/>
      </w:pPr>
      <w:r>
        <w:rPr>
          <w:noProof/>
          <w:lang w:val="fr-BE" w:eastAsia="fr-BE"/>
        </w:rPr>
        <w:drawing>
          <wp:inline distT="0" distB="0" distL="0" distR="0">
            <wp:extent cx="3149600" cy="2216150"/>
            <wp:effectExtent l="19050" t="0" r="0" b="0"/>
            <wp:docPr id="112" name="Picture 111" descr="Fig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2.jpg"/>
                    <pic:cNvPicPr/>
                  </pic:nvPicPr>
                  <pic:blipFill>
                    <a:blip r:embed="rId40"/>
                    <a:stretch>
                      <a:fillRect/>
                    </a:stretch>
                  </pic:blipFill>
                  <pic:spPr>
                    <a:xfrm>
                      <a:off x="0" y="0"/>
                      <a:ext cx="3149600" cy="2216150"/>
                    </a:xfrm>
                    <a:prstGeom prst="rect">
                      <a:avLst/>
                    </a:prstGeom>
                  </pic:spPr>
                </pic:pic>
              </a:graphicData>
            </a:graphic>
          </wp:inline>
        </w:drawing>
      </w:r>
    </w:p>
    <w:p w:rsidR="0080230F" w:rsidRPr="00C92518" w:rsidRDefault="0080230F" w:rsidP="000B704B">
      <w:pPr>
        <w:pStyle w:val="SubsectionTitle"/>
        <w:rPr>
          <w:i w:val="0"/>
        </w:rPr>
      </w:pPr>
      <w:r w:rsidRPr="00C92518">
        <w:rPr>
          <w:i w:val="0"/>
        </w:rPr>
        <w:t xml:space="preserve">Fig. </w:t>
      </w:r>
      <w:r w:rsidR="0046697D" w:rsidRPr="00C92518">
        <w:rPr>
          <w:i w:val="0"/>
        </w:rPr>
        <w:t>12</w:t>
      </w:r>
      <w:r w:rsidRPr="00C92518">
        <w:rPr>
          <w:i w:val="0"/>
        </w:rPr>
        <w:t xml:space="preserve">. </w:t>
      </w:r>
      <w:r w:rsidR="00121325" w:rsidRPr="00C92518">
        <w:t>F</w:t>
      </w:r>
      <w:r w:rsidR="00121325" w:rsidRPr="00C92518">
        <w:rPr>
          <w:vertAlign w:val="subscript"/>
        </w:rPr>
        <w:t>K</w:t>
      </w:r>
      <w:r w:rsidR="00121325" w:rsidRPr="00C92518">
        <w:t>(θ)</w:t>
      </w:r>
      <w:r w:rsidRPr="00C92518">
        <w:rPr>
          <w:i w:val="0"/>
        </w:rPr>
        <w:t xml:space="preserve"> </w:t>
      </w:r>
      <w:r w:rsidR="0046697D" w:rsidRPr="00C92518">
        <w:rPr>
          <w:i w:val="0"/>
        </w:rPr>
        <w:t>corresponding to Fig. 11.</w:t>
      </w:r>
    </w:p>
    <w:p w:rsidR="002C7D81" w:rsidRPr="00EB3C96" w:rsidRDefault="002C7D81" w:rsidP="004F297F">
      <w:pPr>
        <w:pStyle w:val="Style10ptJustified"/>
        <w:spacing w:before="40"/>
      </w:pPr>
      <w:r>
        <w:t xml:space="preserve">Table 1 shows the sum-squared error results for various </w:t>
      </w:r>
      <w:r w:rsidR="00121325" w:rsidRPr="003C3604">
        <w:rPr>
          <w:i/>
        </w:rPr>
        <w:t>F</w:t>
      </w:r>
      <w:r w:rsidR="00121325" w:rsidRPr="003C3604">
        <w:rPr>
          <w:i/>
          <w:vertAlign w:val="subscript"/>
        </w:rPr>
        <w:t>K</w:t>
      </w:r>
      <w:r w:rsidR="00121325" w:rsidRPr="003C3604">
        <w:rPr>
          <w:i/>
        </w:rPr>
        <w:t>(θ)</w:t>
      </w:r>
      <w:r w:rsidRPr="00EB3C96">
        <w:rPr>
          <w:i/>
        </w:rPr>
        <w:t xml:space="preserve"> </w:t>
      </w:r>
      <w:r>
        <w:t xml:space="preserve">and </w:t>
      </w:r>
      <w:r w:rsidRPr="00EB3C96">
        <w:rPr>
          <w:i/>
        </w:rPr>
        <w:t>c</w:t>
      </w:r>
      <w:r>
        <w:t xml:space="preserve"> profiles. As expected, the sum-squared error reduces as model complexity increases, particularly in the second, flow-driven peak.</w:t>
      </w:r>
      <w:r w:rsidR="0021080F">
        <w:t xml:space="preserve"> Although the model of Fig. 9 achieves the best match</w:t>
      </w:r>
      <w:r w:rsidR="00E65B62">
        <w:t xml:space="preserve"> for the first peak</w:t>
      </w:r>
      <w:r w:rsidR="0021080F">
        <w:t xml:space="preserve"> using the originally conceived </w:t>
      </w:r>
      <w:r w:rsidR="00121325" w:rsidRPr="003C3604">
        <w:rPr>
          <w:i/>
        </w:rPr>
        <w:t>F</w:t>
      </w:r>
      <w:r w:rsidR="00121325" w:rsidRPr="003C3604">
        <w:rPr>
          <w:i/>
          <w:vertAlign w:val="subscript"/>
        </w:rPr>
        <w:t>K</w:t>
      </w:r>
      <w:r w:rsidR="00121325" w:rsidRPr="003C3604">
        <w:rPr>
          <w:i/>
        </w:rPr>
        <w:t>(θ)</w:t>
      </w:r>
      <w:r w:rsidR="0021080F" w:rsidRPr="00EB3C96">
        <w:rPr>
          <w:i/>
        </w:rPr>
        <w:t xml:space="preserve"> </w:t>
      </w:r>
      <w:r w:rsidR="0021080F">
        <w:t>profile</w:t>
      </w:r>
      <w:r w:rsidR="00E65B62">
        <w:t xml:space="preserve"> of Fig. 1</w:t>
      </w:r>
      <w:r w:rsidR="0021080F">
        <w:t xml:space="preserve">, </w:t>
      </w:r>
      <w:r w:rsidR="004105AA">
        <w:t xml:space="preserve">it cannot capture the effect of the valve not closing completely </w:t>
      </w:r>
      <w:r w:rsidR="0021080F">
        <w:t xml:space="preserve">between subsequent openings, </w:t>
      </w:r>
      <w:r w:rsidR="004105AA">
        <w:t xml:space="preserve">and thus </w:t>
      </w:r>
      <w:r w:rsidR="0021080F">
        <w:t xml:space="preserve">this </w:t>
      </w:r>
      <w:r w:rsidR="004105AA">
        <w:t xml:space="preserve">balloon-type </w:t>
      </w:r>
      <w:r w:rsidR="0021080F">
        <w:t>model cannot apply.</w:t>
      </w:r>
    </w:p>
    <w:p w:rsidR="002C7D81" w:rsidRPr="00BB2826" w:rsidRDefault="002C7D81" w:rsidP="000B704B">
      <w:pPr>
        <w:pStyle w:val="Caption"/>
        <w:keepNext/>
        <w:jc w:val="center"/>
        <w:rPr>
          <w:sz w:val="20"/>
        </w:rPr>
      </w:pPr>
      <w:r w:rsidRPr="00BB2826">
        <w:rPr>
          <w:sz w:val="20"/>
        </w:rPr>
        <w:lastRenderedPageBreak/>
        <w:t xml:space="preserve">Table </w:t>
      </w:r>
      <w:r w:rsidRPr="00BB2826">
        <w:rPr>
          <w:sz w:val="20"/>
        </w:rPr>
        <w:fldChar w:fldCharType="begin"/>
      </w:r>
      <w:r w:rsidRPr="00BB2826">
        <w:rPr>
          <w:sz w:val="20"/>
        </w:rPr>
        <w:instrText xml:space="preserve"> </w:instrText>
      </w:r>
      <w:r>
        <w:rPr>
          <w:sz w:val="20"/>
        </w:rPr>
        <w:instrText>SEQ</w:instrText>
      </w:r>
      <w:r w:rsidRPr="00BB2826">
        <w:rPr>
          <w:sz w:val="20"/>
        </w:rPr>
        <w:instrText xml:space="preserve"> Table \* ARABIC </w:instrText>
      </w:r>
      <w:r w:rsidRPr="00BB2826">
        <w:rPr>
          <w:sz w:val="20"/>
        </w:rPr>
        <w:fldChar w:fldCharType="separate"/>
      </w:r>
      <w:r w:rsidR="00DE1C0B">
        <w:rPr>
          <w:noProof/>
          <w:sz w:val="20"/>
        </w:rPr>
        <w:t>1</w:t>
      </w:r>
      <w:r w:rsidRPr="00BB2826">
        <w:rPr>
          <w:sz w:val="20"/>
        </w:rPr>
        <w:fldChar w:fldCharType="end"/>
      </w:r>
      <w:r w:rsidRPr="00BB2826">
        <w:rPr>
          <w:sz w:val="20"/>
        </w:rPr>
        <w:t xml:space="preserve">.  </w:t>
      </w:r>
      <w:r>
        <w:rPr>
          <w:sz w:val="20"/>
        </w:rPr>
        <w:t xml:space="preserve">Sum-squared error for </w:t>
      </w:r>
      <w:r w:rsidRPr="00EB3C96">
        <w:rPr>
          <w:i/>
          <w:sz w:val="20"/>
        </w:rPr>
        <w:t>F</w:t>
      </w:r>
      <w:r w:rsidR="00121325" w:rsidRPr="00121325">
        <w:rPr>
          <w:i/>
          <w:sz w:val="20"/>
          <w:vertAlign w:val="subscript"/>
        </w:rPr>
        <w:t>K</w:t>
      </w:r>
      <w:r w:rsidRPr="00EB3C96">
        <w:rPr>
          <w:i/>
          <w:sz w:val="20"/>
        </w:rPr>
        <w:t xml:space="preserve">(θ) </w:t>
      </w:r>
      <w:r>
        <w:rPr>
          <w:sz w:val="20"/>
        </w:rPr>
        <w:t xml:space="preserve">and </w:t>
      </w:r>
      <w:r w:rsidRPr="00EB3C96">
        <w:rPr>
          <w:i/>
          <w:sz w:val="20"/>
        </w:rPr>
        <w:t>c</w:t>
      </w:r>
      <w:r>
        <w:rPr>
          <w:sz w:val="20"/>
        </w:rPr>
        <w:t xml:space="preserve"> profiles</w:t>
      </w:r>
    </w:p>
    <w:tbl>
      <w:tblPr>
        <w:tblW w:w="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2"/>
        <w:gridCol w:w="700"/>
        <w:gridCol w:w="798"/>
        <w:gridCol w:w="700"/>
        <w:gridCol w:w="770"/>
        <w:gridCol w:w="704"/>
        <w:gridCol w:w="757"/>
      </w:tblGrid>
      <w:tr w:rsidR="002C7D81" w:rsidRPr="000B6430" w:rsidTr="00BC5867">
        <w:tc>
          <w:tcPr>
            <w:tcW w:w="752" w:type="dxa"/>
            <w:vMerge w:val="restart"/>
          </w:tcPr>
          <w:p w:rsidR="002C7D81" w:rsidRPr="0074168E" w:rsidRDefault="002C7D81" w:rsidP="00C53284">
            <w:pPr>
              <w:jc w:val="center"/>
              <w:rPr>
                <w:i/>
                <w:sz w:val="20"/>
              </w:rPr>
            </w:pPr>
            <w:r w:rsidRPr="0074168E">
              <w:rPr>
                <w:i/>
                <w:sz w:val="20"/>
              </w:rPr>
              <w:t>F</w:t>
            </w:r>
            <w:r w:rsidR="00121325" w:rsidRPr="0074168E">
              <w:rPr>
                <w:i/>
                <w:sz w:val="20"/>
                <w:vertAlign w:val="subscript"/>
              </w:rPr>
              <w:t>K</w:t>
            </w:r>
            <w:r w:rsidRPr="0074168E">
              <w:rPr>
                <w:i/>
                <w:sz w:val="20"/>
              </w:rPr>
              <w:t>(θ)</w:t>
            </w:r>
          </w:p>
        </w:tc>
        <w:tc>
          <w:tcPr>
            <w:tcW w:w="1498" w:type="dxa"/>
            <w:gridSpan w:val="2"/>
          </w:tcPr>
          <w:p w:rsidR="002C7D81" w:rsidRPr="000B6430" w:rsidRDefault="002C7D81" w:rsidP="00C53284">
            <w:pPr>
              <w:jc w:val="center"/>
              <w:rPr>
                <w:sz w:val="20"/>
              </w:rPr>
            </w:pPr>
            <w:r w:rsidRPr="001A1F0D">
              <w:rPr>
                <w:i/>
                <w:sz w:val="20"/>
              </w:rPr>
              <w:t>c</w:t>
            </w:r>
            <w:r>
              <w:rPr>
                <w:sz w:val="20"/>
              </w:rPr>
              <w:t xml:space="preserve"> (incr. </w:t>
            </w:r>
            <w:r w:rsidRPr="001A1F0D">
              <w:rPr>
                <w:i/>
                <w:sz w:val="20"/>
              </w:rPr>
              <w:t>θ</w:t>
            </w:r>
            <w:r>
              <w:rPr>
                <w:sz w:val="20"/>
              </w:rPr>
              <w:t>)</w:t>
            </w:r>
          </w:p>
        </w:tc>
        <w:tc>
          <w:tcPr>
            <w:tcW w:w="1470" w:type="dxa"/>
            <w:gridSpan w:val="2"/>
          </w:tcPr>
          <w:p w:rsidR="002C7D81" w:rsidRPr="000B6430" w:rsidRDefault="002C7D81" w:rsidP="00C53284">
            <w:pPr>
              <w:jc w:val="center"/>
              <w:rPr>
                <w:sz w:val="20"/>
              </w:rPr>
            </w:pPr>
            <w:r w:rsidRPr="001A1F0D">
              <w:rPr>
                <w:i/>
                <w:sz w:val="20"/>
              </w:rPr>
              <w:t>c</w:t>
            </w:r>
            <w:r>
              <w:rPr>
                <w:sz w:val="20"/>
              </w:rPr>
              <w:t xml:space="preserve"> (decr. </w:t>
            </w:r>
            <w:r w:rsidRPr="001A1F0D">
              <w:rPr>
                <w:i/>
                <w:sz w:val="20"/>
              </w:rPr>
              <w:t>θ</w:t>
            </w:r>
            <w:r>
              <w:rPr>
                <w:sz w:val="20"/>
              </w:rPr>
              <w:t>)</w:t>
            </w:r>
          </w:p>
        </w:tc>
        <w:tc>
          <w:tcPr>
            <w:tcW w:w="1461" w:type="dxa"/>
            <w:gridSpan w:val="2"/>
          </w:tcPr>
          <w:p w:rsidR="002C7D81" w:rsidRPr="000B6430" w:rsidRDefault="002C7D81" w:rsidP="00C53284">
            <w:pPr>
              <w:jc w:val="center"/>
              <w:rPr>
                <w:sz w:val="20"/>
              </w:rPr>
            </w:pPr>
            <w:r>
              <w:rPr>
                <w:sz w:val="20"/>
              </w:rPr>
              <w:t>Sum-squared error</w:t>
            </w:r>
          </w:p>
        </w:tc>
      </w:tr>
      <w:tr w:rsidR="002C7D81" w:rsidRPr="000B6430" w:rsidTr="00BC5867">
        <w:tc>
          <w:tcPr>
            <w:tcW w:w="752" w:type="dxa"/>
            <w:vMerge/>
          </w:tcPr>
          <w:p w:rsidR="002C7D81" w:rsidRPr="000B6430" w:rsidRDefault="002C7D81" w:rsidP="00C53284">
            <w:pPr>
              <w:jc w:val="center"/>
              <w:rPr>
                <w:sz w:val="20"/>
              </w:rPr>
            </w:pPr>
          </w:p>
        </w:tc>
        <w:tc>
          <w:tcPr>
            <w:tcW w:w="700" w:type="dxa"/>
          </w:tcPr>
          <w:p w:rsidR="002C7D81" w:rsidRPr="000B6430" w:rsidRDefault="002C7D81" w:rsidP="00C53284">
            <w:pPr>
              <w:jc w:val="center"/>
              <w:rPr>
                <w:sz w:val="20"/>
              </w:rPr>
            </w:pPr>
            <w:r>
              <w:rPr>
                <w:sz w:val="20"/>
              </w:rPr>
              <w:t>1st</w:t>
            </w:r>
          </w:p>
        </w:tc>
        <w:tc>
          <w:tcPr>
            <w:tcW w:w="798" w:type="dxa"/>
          </w:tcPr>
          <w:p w:rsidR="002C7D81" w:rsidRDefault="002C7D81" w:rsidP="00C53284">
            <w:pPr>
              <w:jc w:val="center"/>
              <w:rPr>
                <w:sz w:val="20"/>
              </w:rPr>
            </w:pPr>
            <w:r>
              <w:rPr>
                <w:sz w:val="20"/>
              </w:rPr>
              <w:t>2nd</w:t>
            </w:r>
          </w:p>
        </w:tc>
        <w:tc>
          <w:tcPr>
            <w:tcW w:w="700" w:type="dxa"/>
          </w:tcPr>
          <w:p w:rsidR="002C7D81" w:rsidRDefault="002C7D81" w:rsidP="00C53284">
            <w:pPr>
              <w:jc w:val="center"/>
              <w:rPr>
                <w:sz w:val="20"/>
              </w:rPr>
            </w:pPr>
            <w:r>
              <w:rPr>
                <w:sz w:val="20"/>
              </w:rPr>
              <w:t>1st</w:t>
            </w:r>
          </w:p>
        </w:tc>
        <w:tc>
          <w:tcPr>
            <w:tcW w:w="770" w:type="dxa"/>
          </w:tcPr>
          <w:p w:rsidR="002C7D81" w:rsidRDefault="002C7D81" w:rsidP="00C53284">
            <w:pPr>
              <w:jc w:val="center"/>
              <w:rPr>
                <w:sz w:val="20"/>
              </w:rPr>
            </w:pPr>
            <w:r>
              <w:rPr>
                <w:sz w:val="20"/>
              </w:rPr>
              <w:t>2nd</w:t>
            </w:r>
          </w:p>
        </w:tc>
        <w:tc>
          <w:tcPr>
            <w:tcW w:w="704" w:type="dxa"/>
          </w:tcPr>
          <w:p w:rsidR="002C7D81" w:rsidRPr="000B6430" w:rsidRDefault="002C7D81" w:rsidP="00C53284">
            <w:pPr>
              <w:jc w:val="center"/>
              <w:rPr>
                <w:sz w:val="20"/>
              </w:rPr>
            </w:pPr>
            <w:r>
              <w:rPr>
                <w:sz w:val="20"/>
              </w:rPr>
              <w:t>1st</w:t>
            </w:r>
          </w:p>
        </w:tc>
        <w:tc>
          <w:tcPr>
            <w:tcW w:w="757" w:type="dxa"/>
          </w:tcPr>
          <w:p w:rsidR="002C7D81" w:rsidRDefault="002C7D81" w:rsidP="00C53284">
            <w:pPr>
              <w:jc w:val="center"/>
              <w:rPr>
                <w:sz w:val="20"/>
              </w:rPr>
            </w:pPr>
            <w:r>
              <w:rPr>
                <w:sz w:val="20"/>
              </w:rPr>
              <w:t>2nd</w:t>
            </w:r>
          </w:p>
        </w:tc>
      </w:tr>
      <w:tr w:rsidR="002C7D81" w:rsidRPr="000B6430" w:rsidTr="00BC5867">
        <w:tc>
          <w:tcPr>
            <w:tcW w:w="752" w:type="dxa"/>
          </w:tcPr>
          <w:p w:rsidR="002C7D81" w:rsidRPr="00BC5867" w:rsidRDefault="0028321A" w:rsidP="00E46033">
            <w:pPr>
              <w:rPr>
                <w:sz w:val="20"/>
              </w:rPr>
            </w:pPr>
            <w:r w:rsidRPr="00BC5867">
              <w:rPr>
                <w:sz w:val="20"/>
              </w:rPr>
              <w:t>Fig 6</w:t>
            </w:r>
          </w:p>
        </w:tc>
        <w:tc>
          <w:tcPr>
            <w:tcW w:w="700" w:type="dxa"/>
          </w:tcPr>
          <w:p w:rsidR="002C7D81" w:rsidRPr="00BC5867" w:rsidRDefault="002C7D81" w:rsidP="00E46033">
            <w:pPr>
              <w:jc w:val="center"/>
              <w:rPr>
                <w:sz w:val="20"/>
              </w:rPr>
            </w:pPr>
            <w:r w:rsidRPr="00BC5867">
              <w:rPr>
                <w:sz w:val="20"/>
              </w:rPr>
              <w:t>0.0</w:t>
            </w:r>
            <w:r w:rsidR="00E46033" w:rsidRPr="00BC5867">
              <w:rPr>
                <w:sz w:val="20"/>
              </w:rPr>
              <w:t>85</w:t>
            </w:r>
          </w:p>
        </w:tc>
        <w:tc>
          <w:tcPr>
            <w:tcW w:w="798" w:type="dxa"/>
          </w:tcPr>
          <w:p w:rsidR="002C7D81" w:rsidRPr="00BC5867" w:rsidRDefault="002C7D81" w:rsidP="00C53284">
            <w:pPr>
              <w:jc w:val="center"/>
              <w:rPr>
                <w:sz w:val="20"/>
              </w:rPr>
            </w:pPr>
            <w:r w:rsidRPr="00BC5867">
              <w:rPr>
                <w:sz w:val="20"/>
              </w:rPr>
              <w:t>0.009</w:t>
            </w:r>
          </w:p>
        </w:tc>
        <w:tc>
          <w:tcPr>
            <w:tcW w:w="700" w:type="dxa"/>
          </w:tcPr>
          <w:p w:rsidR="002C7D81" w:rsidRPr="00BC5867" w:rsidRDefault="002C7D81" w:rsidP="00E46033">
            <w:pPr>
              <w:jc w:val="center"/>
              <w:rPr>
                <w:sz w:val="20"/>
              </w:rPr>
            </w:pPr>
            <w:r w:rsidRPr="00BC5867">
              <w:rPr>
                <w:sz w:val="20"/>
              </w:rPr>
              <w:t>0.0</w:t>
            </w:r>
            <w:r w:rsidR="00E46033" w:rsidRPr="00BC5867">
              <w:rPr>
                <w:sz w:val="20"/>
              </w:rPr>
              <w:t>85</w:t>
            </w:r>
          </w:p>
        </w:tc>
        <w:tc>
          <w:tcPr>
            <w:tcW w:w="770" w:type="dxa"/>
          </w:tcPr>
          <w:p w:rsidR="002C7D81" w:rsidRPr="00BC5867" w:rsidRDefault="002C7D81" w:rsidP="00C53284">
            <w:pPr>
              <w:jc w:val="center"/>
              <w:rPr>
                <w:sz w:val="20"/>
              </w:rPr>
            </w:pPr>
            <w:r w:rsidRPr="00BC5867">
              <w:rPr>
                <w:sz w:val="20"/>
              </w:rPr>
              <w:t>0.009</w:t>
            </w:r>
          </w:p>
        </w:tc>
        <w:tc>
          <w:tcPr>
            <w:tcW w:w="704" w:type="dxa"/>
          </w:tcPr>
          <w:p w:rsidR="002C7D81" w:rsidRPr="00BC5867" w:rsidRDefault="002C7D81" w:rsidP="000D0696">
            <w:pPr>
              <w:jc w:val="center"/>
              <w:rPr>
                <w:sz w:val="20"/>
              </w:rPr>
            </w:pPr>
            <w:r w:rsidRPr="00BC5867">
              <w:rPr>
                <w:sz w:val="20"/>
              </w:rPr>
              <w:t>1.</w:t>
            </w:r>
            <w:r w:rsidR="000D0696" w:rsidRPr="00BC5867">
              <w:rPr>
                <w:sz w:val="20"/>
              </w:rPr>
              <w:t>219</w:t>
            </w:r>
          </w:p>
        </w:tc>
        <w:tc>
          <w:tcPr>
            <w:tcW w:w="757" w:type="dxa"/>
          </w:tcPr>
          <w:p w:rsidR="002C7D81" w:rsidRPr="00BC5867" w:rsidRDefault="002C7D81" w:rsidP="004D7AC8">
            <w:pPr>
              <w:jc w:val="center"/>
              <w:rPr>
                <w:sz w:val="20"/>
              </w:rPr>
            </w:pPr>
            <w:r w:rsidRPr="00BC5867">
              <w:rPr>
                <w:sz w:val="20"/>
              </w:rPr>
              <w:t>1.73</w:t>
            </w:r>
            <w:r w:rsidR="004D7AC8" w:rsidRPr="00BC5867">
              <w:rPr>
                <w:sz w:val="20"/>
              </w:rPr>
              <w:t>9</w:t>
            </w:r>
          </w:p>
        </w:tc>
      </w:tr>
      <w:tr w:rsidR="002C7D81" w:rsidRPr="000B6430" w:rsidTr="00BC5867">
        <w:tc>
          <w:tcPr>
            <w:tcW w:w="752" w:type="dxa"/>
          </w:tcPr>
          <w:p w:rsidR="002C7D81" w:rsidRPr="00BC5867" w:rsidRDefault="0028321A" w:rsidP="00E46033">
            <w:pPr>
              <w:rPr>
                <w:sz w:val="20"/>
              </w:rPr>
            </w:pPr>
            <w:r w:rsidRPr="00BC5867">
              <w:rPr>
                <w:sz w:val="20"/>
              </w:rPr>
              <w:t>Fig 8</w:t>
            </w:r>
          </w:p>
        </w:tc>
        <w:tc>
          <w:tcPr>
            <w:tcW w:w="700" w:type="dxa"/>
          </w:tcPr>
          <w:p w:rsidR="002C7D81" w:rsidRPr="00BC5867" w:rsidRDefault="002C7D81" w:rsidP="00E46033">
            <w:pPr>
              <w:jc w:val="center"/>
              <w:rPr>
                <w:sz w:val="20"/>
              </w:rPr>
            </w:pPr>
            <w:r w:rsidRPr="00BC5867">
              <w:rPr>
                <w:sz w:val="20"/>
              </w:rPr>
              <w:t>0.0</w:t>
            </w:r>
            <w:r w:rsidR="00E46033" w:rsidRPr="00BC5867">
              <w:rPr>
                <w:sz w:val="20"/>
              </w:rPr>
              <w:t>83</w:t>
            </w:r>
          </w:p>
        </w:tc>
        <w:tc>
          <w:tcPr>
            <w:tcW w:w="798" w:type="dxa"/>
          </w:tcPr>
          <w:p w:rsidR="002C7D81" w:rsidRPr="00BC5867" w:rsidRDefault="002C7D81" w:rsidP="00E46033">
            <w:pPr>
              <w:jc w:val="center"/>
              <w:rPr>
                <w:sz w:val="20"/>
              </w:rPr>
            </w:pPr>
            <w:r w:rsidRPr="00BC5867">
              <w:rPr>
                <w:sz w:val="20"/>
              </w:rPr>
              <w:t>0.00</w:t>
            </w:r>
            <w:r w:rsidR="00E46033" w:rsidRPr="00BC5867">
              <w:rPr>
                <w:sz w:val="20"/>
              </w:rPr>
              <w:t>6</w:t>
            </w:r>
          </w:p>
        </w:tc>
        <w:tc>
          <w:tcPr>
            <w:tcW w:w="700" w:type="dxa"/>
          </w:tcPr>
          <w:p w:rsidR="002C7D81" w:rsidRPr="00BC5867" w:rsidRDefault="002C7D81" w:rsidP="00E46033">
            <w:pPr>
              <w:jc w:val="center"/>
              <w:rPr>
                <w:sz w:val="20"/>
              </w:rPr>
            </w:pPr>
            <w:r w:rsidRPr="00BC5867">
              <w:rPr>
                <w:sz w:val="20"/>
              </w:rPr>
              <w:t>0.0</w:t>
            </w:r>
            <w:r w:rsidR="00E46033" w:rsidRPr="00BC5867">
              <w:rPr>
                <w:sz w:val="20"/>
              </w:rPr>
              <w:t>83</w:t>
            </w:r>
          </w:p>
        </w:tc>
        <w:tc>
          <w:tcPr>
            <w:tcW w:w="770" w:type="dxa"/>
          </w:tcPr>
          <w:p w:rsidR="002C7D81" w:rsidRPr="00BC5867" w:rsidRDefault="002C7D81" w:rsidP="00E46033">
            <w:pPr>
              <w:jc w:val="center"/>
              <w:rPr>
                <w:sz w:val="20"/>
              </w:rPr>
            </w:pPr>
            <w:r w:rsidRPr="00BC5867">
              <w:rPr>
                <w:sz w:val="20"/>
              </w:rPr>
              <w:t>0.00</w:t>
            </w:r>
            <w:r w:rsidR="00E46033" w:rsidRPr="00BC5867">
              <w:rPr>
                <w:sz w:val="20"/>
              </w:rPr>
              <w:t>6</w:t>
            </w:r>
          </w:p>
        </w:tc>
        <w:tc>
          <w:tcPr>
            <w:tcW w:w="704" w:type="dxa"/>
          </w:tcPr>
          <w:p w:rsidR="002C7D81" w:rsidRPr="00BC5867" w:rsidRDefault="000D0696" w:rsidP="00C53284">
            <w:pPr>
              <w:jc w:val="center"/>
              <w:rPr>
                <w:sz w:val="20"/>
              </w:rPr>
            </w:pPr>
            <w:r w:rsidRPr="00BC5867">
              <w:rPr>
                <w:sz w:val="20"/>
              </w:rPr>
              <w:t>1.253</w:t>
            </w:r>
          </w:p>
        </w:tc>
        <w:tc>
          <w:tcPr>
            <w:tcW w:w="757" w:type="dxa"/>
          </w:tcPr>
          <w:p w:rsidR="002C7D81" w:rsidRPr="00BC5867" w:rsidRDefault="002C7D81" w:rsidP="00FD2BC6">
            <w:pPr>
              <w:jc w:val="center"/>
              <w:rPr>
                <w:sz w:val="20"/>
              </w:rPr>
            </w:pPr>
            <w:r w:rsidRPr="00BC5867">
              <w:rPr>
                <w:sz w:val="20"/>
              </w:rPr>
              <w:t>1.</w:t>
            </w:r>
            <w:r w:rsidR="00FD2BC6" w:rsidRPr="00BC5867">
              <w:rPr>
                <w:sz w:val="20"/>
              </w:rPr>
              <w:t>104</w:t>
            </w:r>
          </w:p>
        </w:tc>
      </w:tr>
      <w:tr w:rsidR="002C7D81" w:rsidRPr="000B6430" w:rsidTr="00BC5867">
        <w:tc>
          <w:tcPr>
            <w:tcW w:w="752" w:type="dxa"/>
          </w:tcPr>
          <w:p w:rsidR="002C7D81" w:rsidRPr="00BC5867" w:rsidRDefault="0028321A" w:rsidP="00E46033">
            <w:pPr>
              <w:rPr>
                <w:sz w:val="20"/>
              </w:rPr>
            </w:pPr>
            <w:r w:rsidRPr="00BC5867">
              <w:rPr>
                <w:sz w:val="20"/>
              </w:rPr>
              <w:t>Fig 10</w:t>
            </w:r>
          </w:p>
        </w:tc>
        <w:tc>
          <w:tcPr>
            <w:tcW w:w="700" w:type="dxa"/>
          </w:tcPr>
          <w:p w:rsidR="002C7D81" w:rsidRPr="00BC5867" w:rsidRDefault="002C7D81" w:rsidP="00E46033">
            <w:pPr>
              <w:jc w:val="center"/>
              <w:rPr>
                <w:sz w:val="20"/>
              </w:rPr>
            </w:pPr>
            <w:r w:rsidRPr="00BC5867">
              <w:rPr>
                <w:sz w:val="20"/>
              </w:rPr>
              <w:t>0.</w:t>
            </w:r>
            <w:r w:rsidR="00E46033" w:rsidRPr="00BC5867">
              <w:rPr>
                <w:sz w:val="20"/>
              </w:rPr>
              <w:t>110</w:t>
            </w:r>
          </w:p>
        </w:tc>
        <w:tc>
          <w:tcPr>
            <w:tcW w:w="798" w:type="dxa"/>
          </w:tcPr>
          <w:p w:rsidR="002C7D81" w:rsidRPr="00BC5867" w:rsidRDefault="002C7D81" w:rsidP="00E46033">
            <w:pPr>
              <w:jc w:val="center"/>
              <w:rPr>
                <w:sz w:val="20"/>
              </w:rPr>
            </w:pPr>
            <w:r w:rsidRPr="00BC5867">
              <w:rPr>
                <w:sz w:val="20"/>
              </w:rPr>
              <w:t>0.00</w:t>
            </w:r>
            <w:r w:rsidR="00E46033" w:rsidRPr="00BC5867">
              <w:rPr>
                <w:sz w:val="20"/>
              </w:rPr>
              <w:t>78</w:t>
            </w:r>
          </w:p>
        </w:tc>
        <w:tc>
          <w:tcPr>
            <w:tcW w:w="700" w:type="dxa"/>
          </w:tcPr>
          <w:p w:rsidR="002C7D81" w:rsidRPr="00BC5867" w:rsidRDefault="002C7D81" w:rsidP="00E46033">
            <w:pPr>
              <w:jc w:val="center"/>
              <w:rPr>
                <w:sz w:val="20"/>
              </w:rPr>
            </w:pPr>
            <w:r w:rsidRPr="00BC5867">
              <w:rPr>
                <w:sz w:val="20"/>
              </w:rPr>
              <w:t>0.</w:t>
            </w:r>
            <w:r w:rsidR="00E46033" w:rsidRPr="00BC5867">
              <w:rPr>
                <w:sz w:val="20"/>
              </w:rPr>
              <w:t>110</w:t>
            </w:r>
          </w:p>
        </w:tc>
        <w:tc>
          <w:tcPr>
            <w:tcW w:w="770" w:type="dxa"/>
          </w:tcPr>
          <w:p w:rsidR="002C7D81" w:rsidRPr="00BC5867" w:rsidRDefault="002C7D81" w:rsidP="00C53284">
            <w:pPr>
              <w:jc w:val="center"/>
              <w:rPr>
                <w:sz w:val="20"/>
              </w:rPr>
            </w:pPr>
            <w:r w:rsidRPr="00BC5867">
              <w:rPr>
                <w:sz w:val="20"/>
              </w:rPr>
              <w:t>0.00</w:t>
            </w:r>
            <w:r w:rsidR="00E46033" w:rsidRPr="00BC5867">
              <w:rPr>
                <w:sz w:val="20"/>
              </w:rPr>
              <w:t>7</w:t>
            </w:r>
            <w:r w:rsidRPr="00BC5867">
              <w:rPr>
                <w:sz w:val="20"/>
              </w:rPr>
              <w:t>8</w:t>
            </w:r>
          </w:p>
        </w:tc>
        <w:tc>
          <w:tcPr>
            <w:tcW w:w="704" w:type="dxa"/>
          </w:tcPr>
          <w:p w:rsidR="002C7D81" w:rsidRPr="00BC5867" w:rsidRDefault="002C7D81" w:rsidP="00E23868">
            <w:pPr>
              <w:jc w:val="center"/>
              <w:rPr>
                <w:sz w:val="20"/>
              </w:rPr>
            </w:pPr>
            <w:r w:rsidRPr="00BC5867">
              <w:rPr>
                <w:sz w:val="20"/>
              </w:rPr>
              <w:t>0.</w:t>
            </w:r>
            <w:r w:rsidR="00E23868" w:rsidRPr="00BC5867">
              <w:rPr>
                <w:sz w:val="20"/>
              </w:rPr>
              <w:t>699</w:t>
            </w:r>
          </w:p>
        </w:tc>
        <w:tc>
          <w:tcPr>
            <w:tcW w:w="757" w:type="dxa"/>
          </w:tcPr>
          <w:p w:rsidR="002C7D81" w:rsidRPr="00BC5867" w:rsidRDefault="004D7AC8" w:rsidP="00C53284">
            <w:pPr>
              <w:jc w:val="center"/>
              <w:rPr>
                <w:sz w:val="20"/>
              </w:rPr>
            </w:pPr>
            <w:r w:rsidRPr="00BC5867">
              <w:rPr>
                <w:sz w:val="20"/>
              </w:rPr>
              <w:t>3.180</w:t>
            </w:r>
          </w:p>
        </w:tc>
      </w:tr>
      <w:tr w:rsidR="002C7D81" w:rsidRPr="000B6430" w:rsidTr="00BC5867">
        <w:tc>
          <w:tcPr>
            <w:tcW w:w="752" w:type="dxa"/>
          </w:tcPr>
          <w:p w:rsidR="002C7D81" w:rsidRPr="00BC5867" w:rsidRDefault="0028321A" w:rsidP="00E46033">
            <w:pPr>
              <w:rPr>
                <w:sz w:val="20"/>
              </w:rPr>
            </w:pPr>
            <w:r w:rsidRPr="00BC5867">
              <w:rPr>
                <w:sz w:val="20"/>
              </w:rPr>
              <w:t>Fig 12</w:t>
            </w:r>
          </w:p>
        </w:tc>
        <w:tc>
          <w:tcPr>
            <w:tcW w:w="700" w:type="dxa"/>
          </w:tcPr>
          <w:p w:rsidR="002C7D81" w:rsidRPr="00BC5867" w:rsidRDefault="002C7D81" w:rsidP="00C53284">
            <w:pPr>
              <w:jc w:val="center"/>
              <w:rPr>
                <w:sz w:val="20"/>
              </w:rPr>
            </w:pPr>
            <w:r w:rsidRPr="00BC5867">
              <w:rPr>
                <w:sz w:val="20"/>
              </w:rPr>
              <w:t>0.100</w:t>
            </w:r>
          </w:p>
        </w:tc>
        <w:tc>
          <w:tcPr>
            <w:tcW w:w="798" w:type="dxa"/>
          </w:tcPr>
          <w:p w:rsidR="002C7D81" w:rsidRPr="00BC5867" w:rsidRDefault="00D02B37" w:rsidP="00C53284">
            <w:pPr>
              <w:jc w:val="center"/>
              <w:rPr>
                <w:sz w:val="20"/>
              </w:rPr>
            </w:pPr>
            <w:r w:rsidRPr="00BC5867">
              <w:rPr>
                <w:sz w:val="20"/>
              </w:rPr>
              <w:t>0</w:t>
            </w:r>
            <w:r w:rsidR="002C7D81" w:rsidRPr="00BC5867">
              <w:rPr>
                <w:sz w:val="20"/>
              </w:rPr>
              <w:t>.0028</w:t>
            </w:r>
          </w:p>
        </w:tc>
        <w:tc>
          <w:tcPr>
            <w:tcW w:w="700" w:type="dxa"/>
          </w:tcPr>
          <w:p w:rsidR="002C7D81" w:rsidRPr="00BC5867" w:rsidRDefault="002C7D81" w:rsidP="00E46033">
            <w:pPr>
              <w:jc w:val="center"/>
              <w:rPr>
                <w:sz w:val="20"/>
              </w:rPr>
            </w:pPr>
            <w:r w:rsidRPr="00BC5867">
              <w:rPr>
                <w:sz w:val="20"/>
              </w:rPr>
              <w:t>0.08</w:t>
            </w:r>
            <w:r w:rsidR="00E46033" w:rsidRPr="00BC5867">
              <w:rPr>
                <w:sz w:val="20"/>
              </w:rPr>
              <w:t>8</w:t>
            </w:r>
          </w:p>
        </w:tc>
        <w:tc>
          <w:tcPr>
            <w:tcW w:w="770" w:type="dxa"/>
          </w:tcPr>
          <w:p w:rsidR="002C7D81" w:rsidRPr="00BC5867" w:rsidRDefault="00D02B37" w:rsidP="00C53284">
            <w:pPr>
              <w:jc w:val="center"/>
              <w:rPr>
                <w:sz w:val="20"/>
              </w:rPr>
            </w:pPr>
            <w:r w:rsidRPr="00BC5867">
              <w:rPr>
                <w:sz w:val="20"/>
              </w:rPr>
              <w:t>0</w:t>
            </w:r>
            <w:r w:rsidR="002C7D81" w:rsidRPr="00BC5867">
              <w:rPr>
                <w:sz w:val="20"/>
              </w:rPr>
              <w:t>.0105</w:t>
            </w:r>
          </w:p>
        </w:tc>
        <w:tc>
          <w:tcPr>
            <w:tcW w:w="704" w:type="dxa"/>
          </w:tcPr>
          <w:p w:rsidR="002C7D81" w:rsidRPr="00BC5867" w:rsidRDefault="00955612" w:rsidP="00C53284">
            <w:pPr>
              <w:jc w:val="center"/>
              <w:rPr>
                <w:sz w:val="20"/>
              </w:rPr>
            </w:pPr>
            <w:r w:rsidRPr="00BC5867">
              <w:rPr>
                <w:sz w:val="20"/>
              </w:rPr>
              <w:t>1.129</w:t>
            </w:r>
          </w:p>
        </w:tc>
        <w:tc>
          <w:tcPr>
            <w:tcW w:w="757" w:type="dxa"/>
          </w:tcPr>
          <w:p w:rsidR="002C7D81" w:rsidRPr="00BC5867" w:rsidRDefault="002C7D81" w:rsidP="00955612">
            <w:pPr>
              <w:jc w:val="center"/>
              <w:rPr>
                <w:sz w:val="20"/>
              </w:rPr>
            </w:pPr>
            <w:r w:rsidRPr="00BC5867">
              <w:rPr>
                <w:sz w:val="20"/>
              </w:rPr>
              <w:t>0.34</w:t>
            </w:r>
            <w:r w:rsidR="00955612" w:rsidRPr="00BC5867">
              <w:rPr>
                <w:sz w:val="20"/>
              </w:rPr>
              <w:t>2</w:t>
            </w:r>
          </w:p>
        </w:tc>
      </w:tr>
    </w:tbl>
    <w:p w:rsidR="00EB1D78" w:rsidRDefault="00EB1D78" w:rsidP="00EB1D78">
      <w:pPr>
        <w:pStyle w:val="SectionTitle"/>
        <w:spacing w:before="40"/>
      </w:pPr>
    </w:p>
    <w:p w:rsidR="006C2499" w:rsidRDefault="0086103F" w:rsidP="000B704B">
      <w:pPr>
        <w:pStyle w:val="SectionTitle"/>
      </w:pPr>
      <w:r>
        <w:t>4</w:t>
      </w:r>
      <w:r w:rsidR="006C2499">
        <w:t>. CONCLUSIONS</w:t>
      </w:r>
    </w:p>
    <w:p w:rsidR="00D52012" w:rsidRPr="000B704B" w:rsidRDefault="00D52012" w:rsidP="004F297F">
      <w:pPr>
        <w:pStyle w:val="Style10ptJustified"/>
        <w:spacing w:before="40"/>
      </w:pPr>
      <w:r w:rsidRPr="000B704B">
        <w:t xml:space="preserve">A simple </w:t>
      </w:r>
      <w:r w:rsidR="004105AA" w:rsidRPr="000B704B">
        <w:t xml:space="preserve">non-linear </w:t>
      </w:r>
      <w:r w:rsidRPr="000B704B">
        <w:t xml:space="preserve">rotational spring model has been implemented to model the mitral valve. A measured pressure difference curve was used as the input into the model, which represents an applied torque to the valve leaflets. Several formulations were considered </w:t>
      </w:r>
      <w:r w:rsidR="004105AA" w:rsidRPr="000B704B">
        <w:t>and results compared to a r</w:t>
      </w:r>
      <w:r w:rsidRPr="000B704B">
        <w:t xml:space="preserve">ealistic </w:t>
      </w:r>
      <w:r w:rsidRPr="000B704B">
        <w:rPr>
          <w:i/>
          <w:iCs/>
        </w:rPr>
        <w:t xml:space="preserve">θ(t) </w:t>
      </w:r>
      <w:r w:rsidRPr="000B704B">
        <w:t>profile</w:t>
      </w:r>
      <w:r w:rsidR="002977FF" w:rsidRPr="000B704B">
        <w:t xml:space="preserve"> obtained from the literature</w:t>
      </w:r>
      <w:r w:rsidRPr="000B704B">
        <w:t xml:space="preserve">. </w:t>
      </w:r>
    </w:p>
    <w:p w:rsidR="00D52012" w:rsidRPr="000B704B" w:rsidRDefault="00D52012" w:rsidP="004F297F">
      <w:pPr>
        <w:pStyle w:val="Style10ptJustified"/>
        <w:spacing w:before="40"/>
      </w:pPr>
      <w:r w:rsidRPr="000B704B">
        <w:t>Th</w:t>
      </w:r>
      <w:r w:rsidR="00E0241B" w:rsidRPr="000B704B">
        <w:t xml:space="preserve">e </w:t>
      </w:r>
      <w:r w:rsidRPr="000B704B">
        <w:t xml:space="preserve">effect </w:t>
      </w:r>
      <w:r w:rsidR="00E0241B" w:rsidRPr="000B704B">
        <w:t xml:space="preserve">of inertia </w:t>
      </w:r>
      <w:r w:rsidRPr="000B704B">
        <w:t xml:space="preserve">has not been modelled and will be part of future improvements. </w:t>
      </w:r>
      <w:r w:rsidR="00E0241B" w:rsidRPr="000B704B">
        <w:t>In addition,</w:t>
      </w:r>
      <w:r w:rsidRPr="000B704B">
        <w:t xml:space="preserve"> data that is more accurate</w:t>
      </w:r>
      <w:r w:rsidR="00E0241B" w:rsidRPr="000B704B">
        <w:t xml:space="preserve"> and includes flow velocity profiles</w:t>
      </w:r>
      <w:r w:rsidRPr="000B704B">
        <w:t xml:space="preserve"> is needed to fully validate the model presented</w:t>
      </w:r>
      <w:r w:rsidR="00E0241B" w:rsidRPr="000B704B">
        <w:t>,</w:t>
      </w:r>
      <w:r w:rsidRPr="000B704B">
        <w:t xml:space="preserve"> and to adapt as required to capture the main dynamics in vascular dysfunction. </w:t>
      </w:r>
      <w:r w:rsidR="00CD205D">
        <w:t>F</w:t>
      </w:r>
      <w:r w:rsidR="00E0241B" w:rsidRPr="000B704B">
        <w:t xml:space="preserve">uture work </w:t>
      </w:r>
      <w:r w:rsidR="00CD205D">
        <w:t>will</w:t>
      </w:r>
      <w:r w:rsidR="00E0241B" w:rsidRPr="000B704B">
        <w:t xml:space="preserve"> include </w:t>
      </w:r>
      <w:r w:rsidR="008E13B9">
        <w:t xml:space="preserve">incorporating this model into a full cardiovascular system model to </w:t>
      </w:r>
      <w:r w:rsidR="00E0241B" w:rsidRPr="000B704B">
        <w:t>investigat</w:t>
      </w:r>
      <w:r w:rsidR="008E13B9">
        <w:t>e</w:t>
      </w:r>
      <w:r w:rsidR="00E0241B" w:rsidRPr="000B704B">
        <w:t xml:space="preserve"> the effect of conditions</w:t>
      </w:r>
      <w:r w:rsidR="009433A3" w:rsidRPr="000B704B">
        <w:t>,</w:t>
      </w:r>
      <w:r w:rsidR="00E0241B" w:rsidRPr="000B704B">
        <w:t xml:space="preserve"> such as mitral regurgitation </w:t>
      </w:r>
      <w:r w:rsidR="002977FF" w:rsidRPr="000B704B">
        <w:t>or stenosis</w:t>
      </w:r>
      <w:r w:rsidR="008E13B9">
        <w:t>,</w:t>
      </w:r>
      <w:r w:rsidR="002977FF" w:rsidRPr="000B704B">
        <w:t xml:space="preserve"> </w:t>
      </w:r>
      <w:r w:rsidR="00E0241B" w:rsidRPr="000B704B">
        <w:t xml:space="preserve">on damping and stiffness. </w:t>
      </w:r>
    </w:p>
    <w:p w:rsidR="006C2499" w:rsidRPr="005C7717" w:rsidRDefault="006C2499" w:rsidP="000B704B">
      <w:pPr>
        <w:pStyle w:val="SectionTitle"/>
      </w:pPr>
      <w:r w:rsidRPr="005C7717">
        <w:t>REFERENCES</w:t>
      </w:r>
    </w:p>
    <w:p w:rsidR="00895BCB" w:rsidRPr="000B704B" w:rsidRDefault="005A3817" w:rsidP="0034655C">
      <w:pPr>
        <w:pStyle w:val="EndnoteText"/>
        <w:ind w:left="336" w:hanging="336"/>
        <w:jc w:val="both"/>
        <w:rPr>
          <w:lang w:eastAsia="en-GB"/>
        </w:rPr>
      </w:pPr>
      <w:r w:rsidRPr="000B704B">
        <w:rPr>
          <w:lang w:val="en-US" w:eastAsia="en-GB"/>
        </w:rPr>
        <w:t>Baccani,</w:t>
      </w:r>
      <w:r w:rsidR="003F5A37">
        <w:rPr>
          <w:lang w:val="en-US" w:eastAsia="en-GB"/>
        </w:rPr>
        <w:t xml:space="preserve"> </w:t>
      </w:r>
      <w:r w:rsidRPr="000B704B">
        <w:rPr>
          <w:lang w:val="en-US" w:eastAsia="en-GB"/>
        </w:rPr>
        <w:t>B., Domenichini, F., and Pedrizzetti G.</w:t>
      </w:r>
      <w:r w:rsidRPr="000B704B">
        <w:rPr>
          <w:lang w:val="en-US"/>
        </w:rPr>
        <w:t xml:space="preserve"> (2003). </w:t>
      </w:r>
      <w:r w:rsidRPr="000B704B">
        <w:t xml:space="preserve">Model and influence of mitral valve opening during the left ventricular filling. </w:t>
      </w:r>
      <w:r w:rsidRPr="000B704B">
        <w:rPr>
          <w:i/>
        </w:rPr>
        <w:t>J</w:t>
      </w:r>
      <w:r w:rsidR="00070DD2">
        <w:rPr>
          <w:i/>
        </w:rPr>
        <w:t>.</w:t>
      </w:r>
      <w:r w:rsidRPr="000B704B">
        <w:rPr>
          <w:i/>
        </w:rPr>
        <w:t xml:space="preserve"> Biomech</w:t>
      </w:r>
      <w:r w:rsidR="00D1090D" w:rsidRPr="000B704B">
        <w:rPr>
          <w:i/>
        </w:rPr>
        <w:t>anics</w:t>
      </w:r>
      <w:r w:rsidRPr="000B704B">
        <w:rPr>
          <w:rStyle w:val="SubsectionTitleCharChar"/>
        </w:rPr>
        <w:t>,</w:t>
      </w:r>
      <w:r w:rsidRPr="000B704B">
        <w:t xml:space="preserve"> </w:t>
      </w:r>
      <w:r w:rsidRPr="000B704B">
        <w:rPr>
          <w:lang w:eastAsia="en-GB"/>
        </w:rPr>
        <w:t>36</w:t>
      </w:r>
      <w:r w:rsidR="00D1090D" w:rsidRPr="000B704B">
        <w:rPr>
          <w:lang w:eastAsia="en-GB"/>
        </w:rPr>
        <w:t>:</w:t>
      </w:r>
      <w:r w:rsidRPr="000B704B">
        <w:rPr>
          <w:lang w:eastAsia="en-GB"/>
        </w:rPr>
        <w:t>355-361.</w:t>
      </w:r>
    </w:p>
    <w:p w:rsidR="0040247D" w:rsidRPr="000B704B" w:rsidRDefault="0040247D" w:rsidP="0040247D">
      <w:pPr>
        <w:pStyle w:val="EndnoteText"/>
        <w:ind w:left="336" w:hanging="336"/>
        <w:jc w:val="both"/>
      </w:pPr>
      <w:r w:rsidRPr="000B704B">
        <w:t xml:space="preserve">Bellhouse, B.J. (1972). Fluid mechanics of a model mitral valve and left ventricle. </w:t>
      </w:r>
      <w:r w:rsidRPr="000B704B">
        <w:rPr>
          <w:i/>
        </w:rPr>
        <w:t>Cardiovasc Res,</w:t>
      </w:r>
      <w:r w:rsidRPr="000B704B">
        <w:t xml:space="preserve"> vol 6:199-210.</w:t>
      </w:r>
    </w:p>
    <w:p w:rsidR="00895BCB" w:rsidRPr="000B704B" w:rsidRDefault="00895BCB" w:rsidP="0034655C">
      <w:pPr>
        <w:pStyle w:val="EndnoteText"/>
        <w:ind w:left="336" w:hanging="336"/>
        <w:jc w:val="both"/>
      </w:pPr>
      <w:r w:rsidRPr="000B704B">
        <w:t>Clark</w:t>
      </w:r>
      <w:r w:rsidR="0034655C" w:rsidRPr="000B704B">
        <w:t>,</w:t>
      </w:r>
      <w:r w:rsidRPr="000B704B">
        <w:t xml:space="preserve"> C. </w:t>
      </w:r>
      <w:r w:rsidR="0034655C" w:rsidRPr="000B704B">
        <w:t xml:space="preserve">(1976). </w:t>
      </w:r>
      <w:r w:rsidRPr="000B704B">
        <w:t xml:space="preserve">The fluid mechanics of aortic stenosis I. Theory and steady flow experiments. </w:t>
      </w:r>
      <w:r w:rsidRPr="000B704B">
        <w:rPr>
          <w:i/>
        </w:rPr>
        <w:t>J. Biomechanics</w:t>
      </w:r>
      <w:r w:rsidR="0034655C" w:rsidRPr="000B704B">
        <w:t xml:space="preserve">, </w:t>
      </w:r>
      <w:r w:rsidRPr="000B704B">
        <w:t>9:521-8.</w:t>
      </w:r>
    </w:p>
    <w:p w:rsidR="0040247D" w:rsidRPr="000B704B" w:rsidRDefault="0040247D" w:rsidP="0040247D">
      <w:pPr>
        <w:pStyle w:val="EndnoteText"/>
        <w:ind w:left="336" w:hanging="322"/>
        <w:jc w:val="both"/>
      </w:pPr>
      <w:r w:rsidRPr="000B704B">
        <w:t xml:space="preserve">Firstenberg, M.S., Vabdervoort, P.M., Greenberg, N.L., Smedira, N.G., McCarthy, P.M., Garcia, M.J., and Thomas, J.D. (2000). Non-invasive estimation of transmitral pressure drop across the normal mitral valve in humans: Importance of convective and inertial forces during left ventricle filling. </w:t>
      </w:r>
      <w:r w:rsidRPr="000B704B">
        <w:rPr>
          <w:i/>
        </w:rPr>
        <w:t>Cardiac physiology,</w:t>
      </w:r>
      <w:r w:rsidRPr="000B704B">
        <w:t xml:space="preserve"> 36</w:t>
      </w:r>
      <w:r w:rsidR="006E0BE4" w:rsidRPr="000B704B">
        <w:t>:</w:t>
      </w:r>
      <w:r w:rsidRPr="000B704B">
        <w:t>6.</w:t>
      </w:r>
    </w:p>
    <w:p w:rsidR="0040247D" w:rsidRPr="000B704B" w:rsidRDefault="0040247D" w:rsidP="0040247D">
      <w:pPr>
        <w:pStyle w:val="EndnoteText"/>
        <w:ind w:left="364" w:hanging="364"/>
        <w:jc w:val="both"/>
      </w:pPr>
      <w:r w:rsidRPr="000B704B">
        <w:rPr>
          <w:lang w:val="de-DE"/>
        </w:rPr>
        <w:t xml:space="preserve">Iung E, Baron G, Butchart EG. (2003). </w:t>
      </w:r>
      <w:r w:rsidRPr="000B704B">
        <w:t xml:space="preserve">A prospective survey of patients with valvular heart disease in Europe: the Euro Heart Survey on valvular heart disease. </w:t>
      </w:r>
      <w:r w:rsidRPr="000B704B">
        <w:rPr>
          <w:i/>
        </w:rPr>
        <w:t>Eur Heart J</w:t>
      </w:r>
      <w:r w:rsidRPr="000B704B">
        <w:t xml:space="preserve">, </w:t>
      </w:r>
      <w:r w:rsidRPr="000B704B">
        <w:rPr>
          <w:rStyle w:val="Strong"/>
        </w:rPr>
        <w:t>24</w:t>
      </w:r>
      <w:r w:rsidRPr="000B704B">
        <w:t>, pp. 1231–1243.</w:t>
      </w:r>
    </w:p>
    <w:p w:rsidR="0040247D" w:rsidRPr="000B704B" w:rsidRDefault="0040247D" w:rsidP="0040247D">
      <w:pPr>
        <w:tabs>
          <w:tab w:val="left" w:pos="-1161"/>
          <w:tab w:val="left" w:pos="-720"/>
          <w:tab w:val="left" w:pos="0"/>
          <w:tab w:val="left" w:pos="360"/>
          <w:tab w:val="left" w:pos="1440"/>
          <w:tab w:val="left" w:pos="2160"/>
          <w:tab w:val="left" w:pos="2880"/>
          <w:tab w:val="left" w:pos="3600"/>
          <w:tab w:val="left" w:pos="4320"/>
          <w:tab w:val="left" w:pos="5040"/>
          <w:tab w:val="left" w:pos="5498"/>
        </w:tabs>
        <w:ind w:left="357" w:hanging="357"/>
        <w:jc w:val="both"/>
        <w:rPr>
          <w:sz w:val="20"/>
        </w:rPr>
      </w:pPr>
      <w:r w:rsidRPr="000B704B">
        <w:rPr>
          <w:sz w:val="20"/>
          <w:lang w:val="de-DE"/>
        </w:rPr>
        <w:t xml:space="preserve">Jones, E.C., Devereux, R.B., Roman, M.J., Liu, J.E., Fishman, D., Lee, E.T., Welty, T.K., Fabsitz, R.R., and Howard, B.V. </w:t>
      </w:r>
      <w:r w:rsidRPr="000B704B">
        <w:rPr>
          <w:sz w:val="20"/>
        </w:rPr>
        <w:t xml:space="preserve">(2001). </w:t>
      </w:r>
      <w:r w:rsidR="003407A5" w:rsidRPr="000B704B">
        <w:rPr>
          <w:sz w:val="20"/>
        </w:rPr>
        <w:t xml:space="preserve">Prevalence and correlates of mitral regurgitation in a population-based sample (the Strong Heart study). </w:t>
      </w:r>
      <w:r w:rsidR="003407A5" w:rsidRPr="000B704B">
        <w:rPr>
          <w:i/>
          <w:sz w:val="20"/>
        </w:rPr>
        <w:t>Am J Cardiol</w:t>
      </w:r>
      <w:r w:rsidR="003407A5" w:rsidRPr="000B704B">
        <w:rPr>
          <w:sz w:val="20"/>
        </w:rPr>
        <w:t>, 87:298-304.</w:t>
      </w:r>
    </w:p>
    <w:p w:rsidR="0040247D" w:rsidRPr="000B704B" w:rsidRDefault="0040247D" w:rsidP="0040247D">
      <w:pPr>
        <w:pStyle w:val="EndnoteText"/>
        <w:ind w:left="336" w:hanging="322"/>
        <w:jc w:val="both"/>
      </w:pPr>
      <w:r w:rsidRPr="000B704B">
        <w:t xml:space="preserve">Laniado, S., Yellin, E., Kotler, M., Levy, L., Stadler, J., and Terdiman, R. (1975). A study of the dynamic relations between the mitral valve echogram and phasic mitral flow. </w:t>
      </w:r>
      <w:r w:rsidRPr="000B704B">
        <w:rPr>
          <w:i/>
        </w:rPr>
        <w:t xml:space="preserve">Circulation, </w:t>
      </w:r>
      <w:r w:rsidRPr="000B704B">
        <w:t>51:104-13.</w:t>
      </w:r>
    </w:p>
    <w:p w:rsidR="0040247D" w:rsidRPr="000B704B" w:rsidRDefault="0040247D" w:rsidP="0034655C">
      <w:pPr>
        <w:pStyle w:val="EndnoteText"/>
        <w:ind w:left="336" w:hanging="336"/>
        <w:jc w:val="both"/>
        <w:rPr>
          <w:lang w:val="en-US"/>
        </w:rPr>
      </w:pPr>
      <w:r w:rsidRPr="000B704B">
        <w:rPr>
          <w:lang w:val="en-US"/>
        </w:rPr>
        <w:t xml:space="preserve">Nordsletten DA, Niederer SA, Nash MP, Hunter PJ, </w:t>
      </w:r>
      <w:r w:rsidR="00CF28A6" w:rsidRPr="000B704B">
        <w:rPr>
          <w:lang w:val="en-US"/>
        </w:rPr>
        <w:t xml:space="preserve">and </w:t>
      </w:r>
      <w:r w:rsidRPr="000B704B">
        <w:rPr>
          <w:lang w:val="en-US"/>
        </w:rPr>
        <w:t xml:space="preserve">Smith NP. </w:t>
      </w:r>
      <w:r w:rsidR="00CF28A6" w:rsidRPr="000B704B">
        <w:rPr>
          <w:lang w:val="en-US"/>
        </w:rPr>
        <w:t xml:space="preserve">(2009). </w:t>
      </w:r>
      <w:r w:rsidRPr="000B704B">
        <w:rPr>
          <w:lang w:val="en-US"/>
        </w:rPr>
        <w:t>Coupling multi-physics models to cardiac mechanics. Progress in Biophysics and Molecular Biology.</w:t>
      </w:r>
    </w:p>
    <w:p w:rsidR="0040247D" w:rsidRPr="000B704B" w:rsidRDefault="0040247D" w:rsidP="0040247D">
      <w:pPr>
        <w:pStyle w:val="EndnoteText"/>
        <w:ind w:left="336" w:hanging="322"/>
        <w:jc w:val="both"/>
      </w:pPr>
      <w:r w:rsidRPr="000B704B">
        <w:lastRenderedPageBreak/>
        <w:t>Pohost, G.M., Dinsmore, R.E., Rubenstein, J.J., O’Keefe, D.D., Grantham, R.N., Scully, H.E., Beirholm, E.A., Frederiksen, J.W., Weisfeldt, M.L., and Dagget, W.M. (1975).</w:t>
      </w:r>
      <w:r w:rsidR="00112489" w:rsidRPr="000B704B">
        <w:t xml:space="preserve"> </w:t>
      </w:r>
      <w:r w:rsidRPr="000B704B">
        <w:t>The echocardiogram of the anteri</w:t>
      </w:r>
      <w:r w:rsidR="002C7D81" w:rsidRPr="000B704B">
        <w:t xml:space="preserve">or leaflet of the mitral valve. </w:t>
      </w:r>
      <w:r w:rsidRPr="000B704B">
        <w:t xml:space="preserve">Correlation with hemodynamic and cineroentgenographic studies in dogs. </w:t>
      </w:r>
      <w:r w:rsidRPr="000B704B">
        <w:rPr>
          <w:i/>
        </w:rPr>
        <w:t>Circulation</w:t>
      </w:r>
      <w:r w:rsidRPr="000B704B">
        <w:t>, 51:88-97.</w:t>
      </w:r>
    </w:p>
    <w:p w:rsidR="0040247D" w:rsidRPr="000B704B" w:rsidRDefault="0040247D" w:rsidP="0040247D">
      <w:pPr>
        <w:pStyle w:val="EndnoteText"/>
        <w:ind w:left="336" w:hanging="322"/>
        <w:jc w:val="both"/>
      </w:pPr>
      <w:r w:rsidRPr="000B704B">
        <w:rPr>
          <w:lang w:val="en-US"/>
        </w:rPr>
        <w:t xml:space="preserve">Ristow, B., Ali, S., Ren, X., Whooley, M.A., and Schiller, N.B. (2007). Elevated pulmonary artery pressure by Doppler echocardiography predicts hospitalization for heart failure and mortality in ambulatory stable coronary artery disease. </w:t>
      </w:r>
      <w:r w:rsidR="00186C70" w:rsidRPr="000B704B">
        <w:rPr>
          <w:i/>
          <w:lang w:val="en-US"/>
        </w:rPr>
        <w:t>Am</w:t>
      </w:r>
      <w:r w:rsidR="0021080F" w:rsidRPr="000B704B">
        <w:rPr>
          <w:i/>
          <w:lang w:val="en-US"/>
        </w:rPr>
        <w:t>.</w:t>
      </w:r>
      <w:r w:rsidR="00186C70" w:rsidRPr="000B704B">
        <w:rPr>
          <w:i/>
          <w:lang w:val="en-US"/>
        </w:rPr>
        <w:t xml:space="preserve"> </w:t>
      </w:r>
      <w:r w:rsidRPr="000B704B">
        <w:rPr>
          <w:i/>
          <w:lang w:val="en-US"/>
        </w:rPr>
        <w:t>College of Cardiology</w:t>
      </w:r>
      <w:r w:rsidRPr="000B704B">
        <w:rPr>
          <w:lang w:val="en-US"/>
        </w:rPr>
        <w:t>, vol</w:t>
      </w:r>
      <w:r w:rsidR="0021080F" w:rsidRPr="000B704B">
        <w:rPr>
          <w:lang w:val="en-US"/>
        </w:rPr>
        <w:t>.</w:t>
      </w:r>
      <w:r w:rsidRPr="000B704B">
        <w:rPr>
          <w:lang w:val="en-US"/>
        </w:rPr>
        <w:t xml:space="preserve"> 49, No. 1.</w:t>
      </w:r>
    </w:p>
    <w:p w:rsidR="00895BCB" w:rsidRPr="000B704B" w:rsidRDefault="00895BCB" w:rsidP="0034655C">
      <w:pPr>
        <w:pStyle w:val="EndnoteText"/>
        <w:ind w:left="336" w:hanging="336"/>
        <w:jc w:val="both"/>
      </w:pPr>
      <w:r w:rsidRPr="000B704B">
        <w:t>Saito</w:t>
      </w:r>
      <w:r w:rsidR="0034655C" w:rsidRPr="000B704B">
        <w:t>,</w:t>
      </w:r>
      <w:r w:rsidRPr="000B704B">
        <w:t xml:space="preserve"> S</w:t>
      </w:r>
      <w:r w:rsidR="0034655C" w:rsidRPr="000B704B">
        <w:t>.</w:t>
      </w:r>
      <w:r w:rsidRPr="000B704B">
        <w:t>, Yoshimori</w:t>
      </w:r>
      <w:r w:rsidR="0034655C" w:rsidRPr="000B704B">
        <w:t>,</w:t>
      </w:r>
      <w:r w:rsidRPr="000B704B">
        <w:t xml:space="preserve"> A</w:t>
      </w:r>
      <w:r w:rsidR="0034655C" w:rsidRPr="000B704B">
        <w:t>.</w:t>
      </w:r>
      <w:r w:rsidRPr="000B704B">
        <w:t>, Usui</w:t>
      </w:r>
      <w:r w:rsidR="0034655C" w:rsidRPr="000B704B">
        <w:t>,</w:t>
      </w:r>
      <w:r w:rsidRPr="000B704B">
        <w:t xml:space="preserve"> A</w:t>
      </w:r>
      <w:r w:rsidR="0034655C" w:rsidRPr="000B704B">
        <w:t>.</w:t>
      </w:r>
      <w:r w:rsidRPr="000B704B">
        <w:t>, Akita</w:t>
      </w:r>
      <w:r w:rsidR="0034655C" w:rsidRPr="000B704B">
        <w:t>,</w:t>
      </w:r>
      <w:r w:rsidRPr="000B704B">
        <w:t xml:space="preserve"> T</w:t>
      </w:r>
      <w:r w:rsidR="0034655C" w:rsidRPr="000B704B">
        <w:t>.</w:t>
      </w:r>
      <w:r w:rsidRPr="000B704B">
        <w:t>, Oshima</w:t>
      </w:r>
      <w:r w:rsidR="0034655C" w:rsidRPr="000B704B">
        <w:t>,</w:t>
      </w:r>
      <w:r w:rsidRPr="000B704B">
        <w:t xml:space="preserve"> H</w:t>
      </w:r>
      <w:r w:rsidR="0034655C" w:rsidRPr="000B704B">
        <w:t>.</w:t>
      </w:r>
      <w:r w:rsidRPr="000B704B">
        <w:t>, Yokote</w:t>
      </w:r>
      <w:r w:rsidR="0034655C" w:rsidRPr="000B704B">
        <w:t>,</w:t>
      </w:r>
      <w:r w:rsidRPr="000B704B">
        <w:t xml:space="preserve"> J</w:t>
      </w:r>
      <w:r w:rsidR="0034655C" w:rsidRPr="000B704B">
        <w:t>.</w:t>
      </w:r>
      <w:r w:rsidRPr="000B704B">
        <w:t xml:space="preserve">, </w:t>
      </w:r>
      <w:r w:rsidR="0034655C" w:rsidRPr="000B704B">
        <w:t xml:space="preserve">and </w:t>
      </w:r>
      <w:r w:rsidRPr="000B704B">
        <w:t>Ueda</w:t>
      </w:r>
      <w:r w:rsidR="0034655C" w:rsidRPr="000B704B">
        <w:t>,</w:t>
      </w:r>
      <w:r w:rsidRPr="000B704B">
        <w:t xml:space="preserve"> Y. </w:t>
      </w:r>
      <w:r w:rsidR="0034655C" w:rsidRPr="000B704B">
        <w:t xml:space="preserve">(2006). </w:t>
      </w:r>
      <w:r w:rsidRPr="000B704B">
        <w:t xml:space="preserve">Mitral valve motion assessed by high-speed video camera in isolated swine heart. </w:t>
      </w:r>
      <w:r w:rsidRPr="000B704B">
        <w:rPr>
          <w:i/>
        </w:rPr>
        <w:t>Eur J</w:t>
      </w:r>
      <w:r w:rsidR="00D1090D" w:rsidRPr="000B704B">
        <w:rPr>
          <w:i/>
        </w:rPr>
        <w:t xml:space="preserve"> of Cardio-thorac Surg</w:t>
      </w:r>
      <w:r w:rsidR="0034655C" w:rsidRPr="000B704B">
        <w:t xml:space="preserve">, vol 30; </w:t>
      </w:r>
      <w:r w:rsidRPr="000B704B">
        <w:t>584-591.</w:t>
      </w:r>
    </w:p>
    <w:p w:rsidR="008561D1" w:rsidRPr="000B704B" w:rsidRDefault="008561D1" w:rsidP="0034655C">
      <w:pPr>
        <w:pStyle w:val="EndnoteText"/>
        <w:ind w:left="336" w:hanging="336"/>
        <w:jc w:val="both"/>
      </w:pPr>
      <w:r w:rsidRPr="000B704B">
        <w:t xml:space="preserve">Schmitz, L., Koch, H., Bein, G., Brockmeier, K. (1998). Left Ventricular Diastolic Function in Infants, Children, and Adolescents. Reference Values and Analysis of Morphologic and Physiologic Determinants of Echocardiographic Doppler Flow Signals During Growth and Maturation. </w:t>
      </w:r>
      <w:r w:rsidRPr="000B704B">
        <w:rPr>
          <w:i/>
        </w:rPr>
        <w:t>J. Am. Coll. Cardiol.</w:t>
      </w:r>
      <w:r w:rsidRPr="000B704B">
        <w:t xml:space="preserve"> vol 32; 1441-1448.</w:t>
      </w:r>
    </w:p>
    <w:p w:rsidR="0040247D" w:rsidRPr="000B704B" w:rsidRDefault="0040247D" w:rsidP="0040247D">
      <w:pPr>
        <w:pStyle w:val="EndnoteText"/>
        <w:ind w:left="336" w:hanging="322"/>
        <w:jc w:val="both"/>
      </w:pPr>
      <w:r w:rsidRPr="000B704B">
        <w:t xml:space="preserve">Wilkins, G.T., Gillam, L.D., Kritzer, G.L., Levine, R.A., Palacios, I.F., and Weyman, A.E. (1986). Validation of continuous-wave Doppler echocardio-graphic measurements of mitral and tricuspid prosthetic valve gradients: a simultaneous Doppler-catheter study. </w:t>
      </w:r>
      <w:r w:rsidRPr="000B704B">
        <w:rPr>
          <w:i/>
        </w:rPr>
        <w:t>Circulation</w:t>
      </w:r>
      <w:r w:rsidR="00112489" w:rsidRPr="000B704B">
        <w:rPr>
          <w:i/>
        </w:rPr>
        <w:t>,</w:t>
      </w:r>
      <w:r w:rsidR="00112489" w:rsidRPr="000B704B">
        <w:t xml:space="preserve"> 74:786</w:t>
      </w:r>
      <w:r w:rsidRPr="000B704B">
        <w:t>-95.</w:t>
      </w:r>
    </w:p>
    <w:p w:rsidR="00895BCB" w:rsidRPr="000B704B" w:rsidRDefault="0040247D" w:rsidP="002C7D81">
      <w:pPr>
        <w:tabs>
          <w:tab w:val="left" w:pos="-1161"/>
          <w:tab w:val="left" w:pos="-720"/>
          <w:tab w:val="left" w:pos="0"/>
          <w:tab w:val="left" w:pos="360"/>
          <w:tab w:val="left" w:pos="1440"/>
        </w:tabs>
        <w:ind w:left="357" w:hanging="357"/>
        <w:jc w:val="both"/>
        <w:rPr>
          <w:sz w:val="20"/>
        </w:rPr>
      </w:pPr>
      <w:r w:rsidRPr="000B704B">
        <w:rPr>
          <w:sz w:val="20"/>
          <w:lang w:val="en-US"/>
        </w:rPr>
        <w:t>Wright</w:t>
      </w:r>
      <w:r w:rsidRPr="000B704B">
        <w:rPr>
          <w:sz w:val="20"/>
        </w:rPr>
        <w:t>, G. (</w:t>
      </w:r>
      <w:r w:rsidR="00547376" w:rsidRPr="000B704B">
        <w:rPr>
          <w:sz w:val="20"/>
        </w:rPr>
        <w:t>1997</w:t>
      </w:r>
      <w:r w:rsidRPr="000B704B">
        <w:rPr>
          <w:sz w:val="20"/>
        </w:rPr>
        <w:t xml:space="preserve">). </w:t>
      </w:r>
      <w:r w:rsidRPr="000B704B">
        <w:rPr>
          <w:sz w:val="20"/>
          <w:lang w:val="en-US"/>
        </w:rPr>
        <w:t>Mechanical simulation of cardiac function by means of pulsatile blood pumps</w:t>
      </w:r>
      <w:r w:rsidR="00547376" w:rsidRPr="000B704B">
        <w:rPr>
          <w:sz w:val="20"/>
        </w:rPr>
        <w:t xml:space="preserve">. </w:t>
      </w:r>
      <w:r w:rsidR="00547376" w:rsidRPr="000B704B">
        <w:rPr>
          <w:i/>
          <w:sz w:val="20"/>
        </w:rPr>
        <w:t>J Cardiothorac Vasc Anesth</w:t>
      </w:r>
      <w:r w:rsidR="00547376" w:rsidRPr="000B704B">
        <w:rPr>
          <w:sz w:val="20"/>
        </w:rPr>
        <w:t>, May;</w:t>
      </w:r>
      <w:r w:rsidR="00112489" w:rsidRPr="000B704B">
        <w:rPr>
          <w:sz w:val="20"/>
        </w:rPr>
        <w:t xml:space="preserve"> </w:t>
      </w:r>
      <w:r w:rsidR="00547376" w:rsidRPr="000B704B">
        <w:rPr>
          <w:sz w:val="20"/>
        </w:rPr>
        <w:t>11(3):299-309.</w:t>
      </w:r>
    </w:p>
    <w:sectPr w:rsidR="00895BCB" w:rsidRPr="000B704B" w:rsidSect="006C2499">
      <w:headerReference w:type="default" r:id="rId41"/>
      <w:type w:val="continuous"/>
      <w:pgSz w:w="11906" w:h="16838" w:code="9"/>
      <w:pgMar w:top="1418" w:right="851" w:bottom="1418" w:left="851" w:header="720" w:footer="720" w:gutter="0"/>
      <w:cols w:num="2" w:space="2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AF8" w:rsidRDefault="00AB6AF8">
      <w:r>
        <w:separator/>
      </w:r>
    </w:p>
  </w:endnote>
  <w:endnote w:type="continuationSeparator" w:id="0">
    <w:p w:rsidR="00AB6AF8" w:rsidRDefault="00AB6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26" w:rsidRDefault="00C70126">
    <w:pPr>
      <w:pStyle w:val="Footer"/>
    </w:pPr>
    <w: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AF8" w:rsidRDefault="00AB6AF8">
      <w:r>
        <w:separator/>
      </w:r>
    </w:p>
  </w:footnote>
  <w:footnote w:type="continuationSeparator" w:id="0">
    <w:p w:rsidR="00AB6AF8" w:rsidRDefault="00AB6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26" w:rsidRDefault="00C70126">
    <w:pPr>
      <w:framePr w:wrap="auto" w:vAnchor="text" w:hAnchor="margin" w:xAlign="right" w:y="1"/>
    </w:pPr>
  </w:p>
  <w:p w:rsidR="00C70126" w:rsidRDefault="00C70126">
    <w:pPr>
      <w:ind w:right="360"/>
    </w:pPr>
  </w:p>
  <w:p w:rsidR="00C70126" w:rsidRDefault="00C70126">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F2C706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2B6664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D86FC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3C70E36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EEEB6A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EC2688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D223E5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EEA176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A706098"/>
    <w:lvl w:ilvl="0">
      <w:start w:val="1"/>
      <w:numFmt w:val="decimal"/>
      <w:pStyle w:val="ListNumber"/>
      <w:lvlText w:val="%1."/>
      <w:lvlJc w:val="left"/>
      <w:pPr>
        <w:tabs>
          <w:tab w:val="num" w:pos="360"/>
        </w:tabs>
        <w:ind w:left="360" w:hanging="360"/>
      </w:pPr>
    </w:lvl>
  </w:abstractNum>
  <w:abstractNum w:abstractNumId="9">
    <w:nsid w:val="FFFFFF89"/>
    <w:multiLevelType w:val="singleLevel"/>
    <w:tmpl w:val="A23E98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B008B8"/>
    <w:multiLevelType w:val="multilevel"/>
    <w:tmpl w:val="52EC8F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0DB2C6F"/>
    <w:multiLevelType w:val="hybridMultilevel"/>
    <w:tmpl w:val="C406CB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671147A3"/>
    <w:multiLevelType w:val="hybridMultilevel"/>
    <w:tmpl w:val="E57C4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F7205"/>
    <w:rsid w:val="00002F30"/>
    <w:rsid w:val="00021B85"/>
    <w:rsid w:val="00025117"/>
    <w:rsid w:val="00042DB0"/>
    <w:rsid w:val="00046B74"/>
    <w:rsid w:val="00050BE3"/>
    <w:rsid w:val="00051CCE"/>
    <w:rsid w:val="000546E9"/>
    <w:rsid w:val="00055F31"/>
    <w:rsid w:val="00056147"/>
    <w:rsid w:val="00070DD2"/>
    <w:rsid w:val="00073EDB"/>
    <w:rsid w:val="00081DC6"/>
    <w:rsid w:val="00085987"/>
    <w:rsid w:val="000A090A"/>
    <w:rsid w:val="000A489E"/>
    <w:rsid w:val="000A7F6F"/>
    <w:rsid w:val="000B704B"/>
    <w:rsid w:val="000D0696"/>
    <w:rsid w:val="000D6C8C"/>
    <w:rsid w:val="000E3533"/>
    <w:rsid w:val="000F1FE4"/>
    <w:rsid w:val="00112489"/>
    <w:rsid w:val="00121325"/>
    <w:rsid w:val="00130D4B"/>
    <w:rsid w:val="0013588F"/>
    <w:rsid w:val="00136BC1"/>
    <w:rsid w:val="00161266"/>
    <w:rsid w:val="0017406F"/>
    <w:rsid w:val="001749A4"/>
    <w:rsid w:val="00180F8A"/>
    <w:rsid w:val="0018627B"/>
    <w:rsid w:val="00186C70"/>
    <w:rsid w:val="001A0868"/>
    <w:rsid w:val="001A1F0D"/>
    <w:rsid w:val="001A58F9"/>
    <w:rsid w:val="001B0D52"/>
    <w:rsid w:val="001C5B94"/>
    <w:rsid w:val="001E0E1F"/>
    <w:rsid w:val="001F1DF2"/>
    <w:rsid w:val="001F5D22"/>
    <w:rsid w:val="00206402"/>
    <w:rsid w:val="0021080F"/>
    <w:rsid w:val="00214187"/>
    <w:rsid w:val="0021466A"/>
    <w:rsid w:val="00216AE9"/>
    <w:rsid w:val="00245CEA"/>
    <w:rsid w:val="002513D1"/>
    <w:rsid w:val="00253E26"/>
    <w:rsid w:val="00254814"/>
    <w:rsid w:val="0025706D"/>
    <w:rsid w:val="002668F0"/>
    <w:rsid w:val="00280010"/>
    <w:rsid w:val="00282DB9"/>
    <w:rsid w:val="0028321A"/>
    <w:rsid w:val="00283F98"/>
    <w:rsid w:val="002955E9"/>
    <w:rsid w:val="002977FF"/>
    <w:rsid w:val="002A20CA"/>
    <w:rsid w:val="002B16CB"/>
    <w:rsid w:val="002B7D19"/>
    <w:rsid w:val="002C11E0"/>
    <w:rsid w:val="002C32E6"/>
    <w:rsid w:val="002C7277"/>
    <w:rsid w:val="002C7D81"/>
    <w:rsid w:val="002E0646"/>
    <w:rsid w:val="00316297"/>
    <w:rsid w:val="00325A97"/>
    <w:rsid w:val="00334C01"/>
    <w:rsid w:val="00337362"/>
    <w:rsid w:val="003407A5"/>
    <w:rsid w:val="0034276B"/>
    <w:rsid w:val="0034655C"/>
    <w:rsid w:val="003512B1"/>
    <w:rsid w:val="0036616F"/>
    <w:rsid w:val="00370AA4"/>
    <w:rsid w:val="00380753"/>
    <w:rsid w:val="00381E9E"/>
    <w:rsid w:val="00396BE2"/>
    <w:rsid w:val="003A45C9"/>
    <w:rsid w:val="003C3604"/>
    <w:rsid w:val="003C4399"/>
    <w:rsid w:val="003C4DC3"/>
    <w:rsid w:val="003C6E08"/>
    <w:rsid w:val="003D0EDD"/>
    <w:rsid w:val="003D58C3"/>
    <w:rsid w:val="003D74ED"/>
    <w:rsid w:val="003E140E"/>
    <w:rsid w:val="003E14FF"/>
    <w:rsid w:val="003F5A37"/>
    <w:rsid w:val="0040247D"/>
    <w:rsid w:val="00407E6B"/>
    <w:rsid w:val="004105AA"/>
    <w:rsid w:val="004142A3"/>
    <w:rsid w:val="00424277"/>
    <w:rsid w:val="004318D9"/>
    <w:rsid w:val="00451ECB"/>
    <w:rsid w:val="00452592"/>
    <w:rsid w:val="0046697D"/>
    <w:rsid w:val="004701D2"/>
    <w:rsid w:val="00474057"/>
    <w:rsid w:val="00477A0C"/>
    <w:rsid w:val="004A288A"/>
    <w:rsid w:val="004A4035"/>
    <w:rsid w:val="004C59CA"/>
    <w:rsid w:val="004D0D75"/>
    <w:rsid w:val="004D7AC8"/>
    <w:rsid w:val="004E041F"/>
    <w:rsid w:val="004E1346"/>
    <w:rsid w:val="004E1619"/>
    <w:rsid w:val="004E2F04"/>
    <w:rsid w:val="004E58B7"/>
    <w:rsid w:val="004E7844"/>
    <w:rsid w:val="004F297F"/>
    <w:rsid w:val="004F4013"/>
    <w:rsid w:val="004F6089"/>
    <w:rsid w:val="004F7AF3"/>
    <w:rsid w:val="0050288C"/>
    <w:rsid w:val="00506E3F"/>
    <w:rsid w:val="005140C1"/>
    <w:rsid w:val="00527EA7"/>
    <w:rsid w:val="0053299D"/>
    <w:rsid w:val="00537E91"/>
    <w:rsid w:val="00543B67"/>
    <w:rsid w:val="00545BC2"/>
    <w:rsid w:val="00547376"/>
    <w:rsid w:val="00573110"/>
    <w:rsid w:val="00580C7B"/>
    <w:rsid w:val="00583562"/>
    <w:rsid w:val="00583BCF"/>
    <w:rsid w:val="00587237"/>
    <w:rsid w:val="00595FAA"/>
    <w:rsid w:val="005A157E"/>
    <w:rsid w:val="005A3817"/>
    <w:rsid w:val="005B4AE0"/>
    <w:rsid w:val="005B6833"/>
    <w:rsid w:val="005B6F06"/>
    <w:rsid w:val="005C16E9"/>
    <w:rsid w:val="005C3322"/>
    <w:rsid w:val="005C7717"/>
    <w:rsid w:val="005C7913"/>
    <w:rsid w:val="006066C5"/>
    <w:rsid w:val="00607B77"/>
    <w:rsid w:val="006128D5"/>
    <w:rsid w:val="00622312"/>
    <w:rsid w:val="006251B7"/>
    <w:rsid w:val="006313EC"/>
    <w:rsid w:val="00646450"/>
    <w:rsid w:val="006616A3"/>
    <w:rsid w:val="006708D8"/>
    <w:rsid w:val="00680EDC"/>
    <w:rsid w:val="0068671E"/>
    <w:rsid w:val="00696573"/>
    <w:rsid w:val="006C1FA5"/>
    <w:rsid w:val="006C2499"/>
    <w:rsid w:val="006D1F14"/>
    <w:rsid w:val="006D6222"/>
    <w:rsid w:val="006D71C3"/>
    <w:rsid w:val="006E0BE4"/>
    <w:rsid w:val="006E1187"/>
    <w:rsid w:val="006E328D"/>
    <w:rsid w:val="006E3B9B"/>
    <w:rsid w:val="006E4FC6"/>
    <w:rsid w:val="006E525D"/>
    <w:rsid w:val="006F196C"/>
    <w:rsid w:val="006F68FD"/>
    <w:rsid w:val="007013A9"/>
    <w:rsid w:val="00701C9E"/>
    <w:rsid w:val="007057BB"/>
    <w:rsid w:val="007122E7"/>
    <w:rsid w:val="00721A5B"/>
    <w:rsid w:val="0074168E"/>
    <w:rsid w:val="00763F51"/>
    <w:rsid w:val="0077104A"/>
    <w:rsid w:val="0077795B"/>
    <w:rsid w:val="007B029C"/>
    <w:rsid w:val="007B1F17"/>
    <w:rsid w:val="007B2AB9"/>
    <w:rsid w:val="007B3530"/>
    <w:rsid w:val="007B7481"/>
    <w:rsid w:val="007C777F"/>
    <w:rsid w:val="007D6EB0"/>
    <w:rsid w:val="007F00B1"/>
    <w:rsid w:val="007F227F"/>
    <w:rsid w:val="00800401"/>
    <w:rsid w:val="0080230F"/>
    <w:rsid w:val="00805E07"/>
    <w:rsid w:val="00806C52"/>
    <w:rsid w:val="00810A53"/>
    <w:rsid w:val="00827440"/>
    <w:rsid w:val="00840CCC"/>
    <w:rsid w:val="00851A6B"/>
    <w:rsid w:val="008561D1"/>
    <w:rsid w:val="0086103F"/>
    <w:rsid w:val="0088174F"/>
    <w:rsid w:val="008855E9"/>
    <w:rsid w:val="00885637"/>
    <w:rsid w:val="00891621"/>
    <w:rsid w:val="00895BCB"/>
    <w:rsid w:val="008A3123"/>
    <w:rsid w:val="008A50A3"/>
    <w:rsid w:val="008B3B9A"/>
    <w:rsid w:val="008B5965"/>
    <w:rsid w:val="008B5A48"/>
    <w:rsid w:val="008B7FB3"/>
    <w:rsid w:val="008E13B9"/>
    <w:rsid w:val="008F6B58"/>
    <w:rsid w:val="00904EC4"/>
    <w:rsid w:val="009156CB"/>
    <w:rsid w:val="00917455"/>
    <w:rsid w:val="009225F5"/>
    <w:rsid w:val="00922F54"/>
    <w:rsid w:val="0093633E"/>
    <w:rsid w:val="00936B7A"/>
    <w:rsid w:val="00941595"/>
    <w:rsid w:val="009433A3"/>
    <w:rsid w:val="009448F7"/>
    <w:rsid w:val="0095171B"/>
    <w:rsid w:val="0095266F"/>
    <w:rsid w:val="00955612"/>
    <w:rsid w:val="00964433"/>
    <w:rsid w:val="00966EC9"/>
    <w:rsid w:val="00984D48"/>
    <w:rsid w:val="00985621"/>
    <w:rsid w:val="00993184"/>
    <w:rsid w:val="009933AC"/>
    <w:rsid w:val="009A3F9A"/>
    <w:rsid w:val="009A5822"/>
    <w:rsid w:val="009B38CB"/>
    <w:rsid w:val="009B7E0B"/>
    <w:rsid w:val="009C5C11"/>
    <w:rsid w:val="009D6074"/>
    <w:rsid w:val="009D6687"/>
    <w:rsid w:val="009F10B2"/>
    <w:rsid w:val="00A01709"/>
    <w:rsid w:val="00A257AD"/>
    <w:rsid w:val="00A41F44"/>
    <w:rsid w:val="00A502AF"/>
    <w:rsid w:val="00A516D0"/>
    <w:rsid w:val="00A51FEA"/>
    <w:rsid w:val="00A54593"/>
    <w:rsid w:val="00A5676F"/>
    <w:rsid w:val="00A7238F"/>
    <w:rsid w:val="00A82893"/>
    <w:rsid w:val="00A92EC5"/>
    <w:rsid w:val="00AB6AF8"/>
    <w:rsid w:val="00AC391E"/>
    <w:rsid w:val="00AC4294"/>
    <w:rsid w:val="00AD688F"/>
    <w:rsid w:val="00B0322A"/>
    <w:rsid w:val="00B1688B"/>
    <w:rsid w:val="00B20F0A"/>
    <w:rsid w:val="00B22DC4"/>
    <w:rsid w:val="00B334F4"/>
    <w:rsid w:val="00B33B6E"/>
    <w:rsid w:val="00B42C77"/>
    <w:rsid w:val="00B47C03"/>
    <w:rsid w:val="00B5120C"/>
    <w:rsid w:val="00B53939"/>
    <w:rsid w:val="00B565D5"/>
    <w:rsid w:val="00B57E29"/>
    <w:rsid w:val="00B62FE8"/>
    <w:rsid w:val="00B64300"/>
    <w:rsid w:val="00B64E1F"/>
    <w:rsid w:val="00B729EA"/>
    <w:rsid w:val="00B775AF"/>
    <w:rsid w:val="00B80782"/>
    <w:rsid w:val="00B8233E"/>
    <w:rsid w:val="00B82E5F"/>
    <w:rsid w:val="00B84182"/>
    <w:rsid w:val="00B92350"/>
    <w:rsid w:val="00B96FEF"/>
    <w:rsid w:val="00BC5867"/>
    <w:rsid w:val="00BE4228"/>
    <w:rsid w:val="00BE53BD"/>
    <w:rsid w:val="00BF6345"/>
    <w:rsid w:val="00C1013B"/>
    <w:rsid w:val="00C12002"/>
    <w:rsid w:val="00C16EB9"/>
    <w:rsid w:val="00C26B4C"/>
    <w:rsid w:val="00C26C2C"/>
    <w:rsid w:val="00C2746E"/>
    <w:rsid w:val="00C442B2"/>
    <w:rsid w:val="00C53284"/>
    <w:rsid w:val="00C70126"/>
    <w:rsid w:val="00C726B5"/>
    <w:rsid w:val="00C82BD3"/>
    <w:rsid w:val="00C924C3"/>
    <w:rsid w:val="00C92518"/>
    <w:rsid w:val="00C93976"/>
    <w:rsid w:val="00CA3314"/>
    <w:rsid w:val="00CA484C"/>
    <w:rsid w:val="00CB61A7"/>
    <w:rsid w:val="00CD11E1"/>
    <w:rsid w:val="00CD205D"/>
    <w:rsid w:val="00CD2097"/>
    <w:rsid w:val="00CE36F0"/>
    <w:rsid w:val="00CF28A6"/>
    <w:rsid w:val="00D02B37"/>
    <w:rsid w:val="00D03050"/>
    <w:rsid w:val="00D064E7"/>
    <w:rsid w:val="00D1090D"/>
    <w:rsid w:val="00D1400E"/>
    <w:rsid w:val="00D17AB8"/>
    <w:rsid w:val="00D52012"/>
    <w:rsid w:val="00D629BA"/>
    <w:rsid w:val="00D740CE"/>
    <w:rsid w:val="00D74C78"/>
    <w:rsid w:val="00D84117"/>
    <w:rsid w:val="00D87FF6"/>
    <w:rsid w:val="00D9033B"/>
    <w:rsid w:val="00D93F26"/>
    <w:rsid w:val="00DA0A7B"/>
    <w:rsid w:val="00DB2C11"/>
    <w:rsid w:val="00DB4282"/>
    <w:rsid w:val="00DC6760"/>
    <w:rsid w:val="00DD3501"/>
    <w:rsid w:val="00DE1C0B"/>
    <w:rsid w:val="00DF27FC"/>
    <w:rsid w:val="00DF51C6"/>
    <w:rsid w:val="00DF75DC"/>
    <w:rsid w:val="00DF78B9"/>
    <w:rsid w:val="00E0241B"/>
    <w:rsid w:val="00E14CA4"/>
    <w:rsid w:val="00E23868"/>
    <w:rsid w:val="00E31716"/>
    <w:rsid w:val="00E46033"/>
    <w:rsid w:val="00E53261"/>
    <w:rsid w:val="00E56EC9"/>
    <w:rsid w:val="00E646DD"/>
    <w:rsid w:val="00E64DC7"/>
    <w:rsid w:val="00E65B62"/>
    <w:rsid w:val="00E65E9E"/>
    <w:rsid w:val="00E724CA"/>
    <w:rsid w:val="00E768D7"/>
    <w:rsid w:val="00E9033F"/>
    <w:rsid w:val="00E9585D"/>
    <w:rsid w:val="00E959F4"/>
    <w:rsid w:val="00E96DAD"/>
    <w:rsid w:val="00E96ECC"/>
    <w:rsid w:val="00EA6833"/>
    <w:rsid w:val="00EB1D78"/>
    <w:rsid w:val="00EB3C96"/>
    <w:rsid w:val="00EB594F"/>
    <w:rsid w:val="00EC7224"/>
    <w:rsid w:val="00ED3E7F"/>
    <w:rsid w:val="00EE33EC"/>
    <w:rsid w:val="00EE4818"/>
    <w:rsid w:val="00EE72CF"/>
    <w:rsid w:val="00EE7692"/>
    <w:rsid w:val="00F147CD"/>
    <w:rsid w:val="00F25C26"/>
    <w:rsid w:val="00F32322"/>
    <w:rsid w:val="00F4027E"/>
    <w:rsid w:val="00F44462"/>
    <w:rsid w:val="00F64E27"/>
    <w:rsid w:val="00F66658"/>
    <w:rsid w:val="00F70A84"/>
    <w:rsid w:val="00F725A1"/>
    <w:rsid w:val="00F822D0"/>
    <w:rsid w:val="00F83711"/>
    <w:rsid w:val="00FB2F64"/>
    <w:rsid w:val="00FC44C8"/>
    <w:rsid w:val="00FD2BC6"/>
    <w:rsid w:val="00FD330D"/>
    <w:rsid w:val="00FE17A5"/>
    <w:rsid w:val="00FE256D"/>
    <w:rsid w:val="00FE37BC"/>
  </w:rsids>
  <m:mathPr>
    <m:mathFont m:val="Cambria Math"/>
    <m:brkBin m:val="before"/>
    <m:brkBinSub m:val="--"/>
    <m:smallFrac m:val="off"/>
    <m:dispDef m:val="off"/>
    <m:lMargin m:val="0"/>
    <m:rMargin m:val="0"/>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16" type="connector" idref="#_x0000_s1320"/>
        <o:r id="V:Rule117" type="connector" idref="#_x0000_s1321"/>
        <o:r id="V:Rule118" type="connector" idref="#_x0000_s1322"/>
        <o:r id="V:Rule119" type="connector" idref="#_x0000_s1323"/>
        <o:r id="V:Rule120" type="connector" idref="#_x0000_s1324"/>
        <o:r id="V:Rule121" type="connector" idref="#_x0000_s1325"/>
        <o:r id="V:Rule122" type="connector" idref="#_x0000_s1326"/>
        <o:r id="V:Rule123" type="connector" idref="#_x0000_s1327"/>
        <o:r id="V:Rule124" type="connector" idref="#_x0000_s1328"/>
        <o:r id="V:Rule125" type="connector" idref="#_x0000_s1329"/>
        <o:r id="V:Rule126" type="connector" idref="#_x0000_s1330"/>
        <o:r id="V:Rule127" type="connector" idref="#_x0000_s1331"/>
        <o:r id="V:Rule128" type="connector" idref="#_x0000_s1332"/>
        <o:r id="V:Rule129" type="connector" idref="#_x0000_s133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lang w:val="en-GB" w:eastAsia="en-US"/>
    </w:rPr>
  </w:style>
  <w:style w:type="paragraph" w:styleId="Heading1">
    <w:name w:val="heading 1"/>
    <w:basedOn w:val="Normal"/>
    <w:next w:val="Normal"/>
    <w:qFormat/>
    <w:pPr>
      <w:keepNext/>
      <w:widowControl w:val="0"/>
      <w:outlineLvl w:val="0"/>
    </w:pPr>
    <w:rPr>
      <w:snapToGrid w:val="0"/>
      <w:sz w:val="40"/>
    </w:rPr>
  </w:style>
  <w:style w:type="paragraph" w:styleId="Heading2">
    <w:name w:val="heading 2"/>
    <w:basedOn w:val="Normal"/>
    <w:next w:val="Normal"/>
    <w:qFormat/>
    <w:pPr>
      <w:keepNext/>
      <w:pBdr>
        <w:top w:val="double" w:sz="7" w:space="0" w:color="000000"/>
        <w:left w:val="double" w:sz="7" w:space="0" w:color="000000"/>
        <w:bottom w:val="double" w:sz="7" w:space="0" w:color="000000"/>
        <w:right w:val="double" w:sz="7" w:space="0" w:color="000000"/>
      </w:pBdr>
      <w:jc w:val="center"/>
      <w:outlineLvl w:val="1"/>
    </w:pPr>
    <w:rPr>
      <w:b/>
      <w:sz w:val="48"/>
    </w:rPr>
  </w:style>
  <w:style w:type="paragraph" w:styleId="Heading3">
    <w:name w:val="heading 3"/>
    <w:basedOn w:val="Normal"/>
    <w:next w:val="Normal"/>
    <w:qFormat/>
    <w:pPr>
      <w:keepNext/>
      <w:jc w:val="center"/>
      <w:outlineLvl w:val="2"/>
    </w:pPr>
    <w:rPr>
      <w:sz w:val="36"/>
    </w:rPr>
  </w:style>
  <w:style w:type="paragraph" w:styleId="Heading4">
    <w:name w:val="heading 4"/>
    <w:basedOn w:val="Normal"/>
    <w:next w:val="Normal"/>
    <w:qFormat/>
    <w:pPr>
      <w:keepNext/>
      <w:tabs>
        <w:tab w:val="right" w:leader="dot" w:pos="9086"/>
      </w:tabs>
      <w:jc w:val="center"/>
      <w:outlineLvl w:val="3"/>
    </w:pPr>
    <w:rPr>
      <w:b/>
    </w:rPr>
  </w:style>
  <w:style w:type="paragraph" w:styleId="Heading5">
    <w:name w:val="heading 5"/>
    <w:basedOn w:val="Normal"/>
    <w:next w:val="Normal"/>
    <w:qFormat/>
    <w:pPr>
      <w:keepNext/>
      <w:pBdr>
        <w:top w:val="single" w:sz="7" w:space="0" w:color="000000"/>
        <w:left w:val="single" w:sz="7" w:space="0" w:color="000000"/>
        <w:bottom w:val="single" w:sz="7" w:space="0" w:color="000000"/>
        <w:right w:val="single" w:sz="7" w:space="0" w:color="000000"/>
      </w:pBdr>
      <w:jc w:val="center"/>
      <w:outlineLvl w:val="4"/>
    </w:pPr>
    <w:rPr>
      <w:b/>
    </w:rPr>
  </w:style>
  <w:style w:type="paragraph" w:styleId="Heading6">
    <w:name w:val="heading 6"/>
    <w:basedOn w:val="Normal"/>
    <w:next w:val="Normal"/>
    <w:qFormat/>
    <w:pPr>
      <w:keepNext/>
      <w:tabs>
        <w:tab w:val="left" w:pos="-1161"/>
        <w:tab w:val="left" w:pos="-720"/>
        <w:tab w:val="left" w:pos="0"/>
        <w:tab w:val="left" w:pos="360"/>
        <w:tab w:val="left" w:pos="882"/>
        <w:tab w:val="left" w:pos="1422"/>
        <w:tab w:val="left" w:pos="2160"/>
      </w:tabs>
      <w:outlineLvl w:val="5"/>
    </w:pPr>
    <w:rPr>
      <w:b/>
      <w:sz w:val="20"/>
    </w:rPr>
  </w:style>
  <w:style w:type="paragraph" w:styleId="Heading7">
    <w:name w:val="heading 7"/>
    <w:basedOn w:val="Normal"/>
    <w:next w:val="Normal"/>
    <w:qFormat/>
    <w:pPr>
      <w:keepNext/>
      <w:tabs>
        <w:tab w:val="left" w:pos="-1161"/>
        <w:tab w:val="left" w:pos="-720"/>
        <w:tab w:val="left" w:pos="0"/>
        <w:tab w:val="left" w:pos="360"/>
        <w:tab w:val="left" w:pos="900"/>
      </w:tabs>
      <w:spacing w:before="120" w:after="120"/>
      <w:jc w:val="center"/>
      <w:outlineLvl w:val="6"/>
    </w:pPr>
    <w:rPr>
      <w:b/>
      <w:sz w:val="20"/>
    </w:rPr>
  </w:style>
  <w:style w:type="paragraph" w:styleId="Heading8">
    <w:name w:val="heading 8"/>
    <w:basedOn w:val="Normal"/>
    <w:next w:val="Normal"/>
    <w:qFormat/>
    <w:pPr>
      <w:keepNext/>
      <w:tabs>
        <w:tab w:val="left" w:pos="-1161"/>
        <w:tab w:val="left" w:pos="-720"/>
        <w:tab w:val="left" w:pos="0"/>
        <w:tab w:val="left" w:pos="360"/>
        <w:tab w:val="left" w:pos="882"/>
        <w:tab w:val="left" w:pos="1422"/>
        <w:tab w:val="left" w:pos="2160"/>
      </w:tabs>
      <w:jc w:val="center"/>
      <w:outlineLvl w:val="7"/>
    </w:pPr>
    <w:rPr>
      <w:rFonts w:ascii="Arial Narrow" w:hAnsi="Arial Narrow"/>
      <w:b/>
      <w:sz w:val="52"/>
    </w:rPr>
  </w:style>
  <w:style w:type="paragraph" w:styleId="Heading9">
    <w:name w:val="heading 9"/>
    <w:basedOn w:val="Normal"/>
    <w:next w:val="Normal"/>
    <w:qFormat/>
    <w:pPr>
      <w:keepNext/>
      <w:tabs>
        <w:tab w:val="left" w:pos="142"/>
        <w:tab w:val="left" w:pos="426"/>
        <w:tab w:val="left" w:pos="2679"/>
        <w:tab w:val="left" w:pos="3831"/>
        <w:tab w:val="left" w:pos="4983"/>
        <w:tab w:val="left" w:pos="6135"/>
        <w:tab w:val="left" w:pos="7287"/>
        <w:tab w:val="left" w:pos="8439"/>
        <w:tab w:val="left" w:pos="9591"/>
      </w:tabs>
      <w:outlineLvl w:val="8"/>
    </w:pPr>
    <w:rPr>
      <w:b/>
      <w:sz w:val="32"/>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 w:val="left" w:pos="1440"/>
      </w:tabs>
      <w:jc w:val="both"/>
    </w:pPr>
  </w:style>
  <w:style w:type="paragraph" w:styleId="BodyText2">
    <w:name w:val="Body Text 2"/>
    <w:basedOn w:val="Normal"/>
    <w:pPr>
      <w:tabs>
        <w:tab w:val="left" w:pos="-1440"/>
        <w:tab w:val="left" w:pos="-720"/>
        <w:tab w:val="left" w:pos="0"/>
        <w:tab w:val="left" w:pos="328"/>
        <w:tab w:val="left" w:pos="1440"/>
      </w:tabs>
      <w:jc w:val="both"/>
    </w:pPr>
    <w:rPr>
      <w:b/>
      <w:color w:val="FF0000"/>
      <w:u w:val="single"/>
    </w:rPr>
  </w:style>
  <w:style w:type="paragraph" w:styleId="BodyText3">
    <w:name w:val="Body Text 3"/>
    <w:basedOn w:val="Normal"/>
    <w:pPr>
      <w:tabs>
        <w:tab w:val="left" w:pos="720"/>
        <w:tab w:val="left" w:pos="1440"/>
      </w:tabs>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a">
    <w:name w:val="_"/>
    <w:basedOn w:val="Normal"/>
    <w:pPr>
      <w:widowControl w:val="0"/>
      <w:ind w:left="882" w:hanging="522"/>
    </w:pPr>
    <w:rPr>
      <w:snapToGrid w:val="0"/>
      <w:lang w:val="en-US"/>
    </w:rPr>
  </w:style>
  <w:style w:type="paragraph" w:styleId="BodyTextIndent">
    <w:name w:val="Body Text Indent"/>
    <w:basedOn w:val="Normal"/>
    <w:pPr>
      <w:tabs>
        <w:tab w:val="left" w:pos="142"/>
        <w:tab w:val="left" w:pos="426"/>
        <w:tab w:val="left" w:pos="2679"/>
        <w:tab w:val="left" w:pos="3831"/>
        <w:tab w:val="left" w:pos="4983"/>
        <w:tab w:val="left" w:pos="6135"/>
        <w:tab w:val="left" w:pos="7287"/>
        <w:tab w:val="left" w:pos="8439"/>
        <w:tab w:val="left" w:pos="9591"/>
      </w:tabs>
      <w:ind w:left="284" w:hanging="142"/>
    </w:pPr>
    <w:rPr>
      <w:i/>
      <w:sz w:val="14"/>
    </w:rPr>
  </w:style>
  <w:style w:type="paragraph" w:styleId="BodyTextIndent2">
    <w:name w:val="Body Text Indent 2"/>
    <w:basedOn w:val="Normal"/>
    <w:pPr>
      <w:tabs>
        <w:tab w:val="left" w:pos="142"/>
        <w:tab w:val="left" w:pos="426"/>
        <w:tab w:val="left" w:pos="2679"/>
        <w:tab w:val="left" w:pos="3831"/>
        <w:tab w:val="left" w:pos="4983"/>
        <w:tab w:val="left" w:pos="6135"/>
        <w:tab w:val="left" w:pos="7287"/>
        <w:tab w:val="left" w:pos="8439"/>
        <w:tab w:val="left" w:pos="9591"/>
      </w:tabs>
      <w:ind w:left="142"/>
    </w:pPr>
    <w:rPr>
      <w:i/>
      <w:sz w:val="14"/>
    </w:rPr>
  </w:style>
  <w:style w:type="paragraph" w:styleId="BodyTextIndent3">
    <w:name w:val="Body Text Indent 3"/>
    <w:basedOn w:val="Normal"/>
    <w:pPr>
      <w:tabs>
        <w:tab w:val="left" w:pos="142"/>
        <w:tab w:val="left" w:pos="426"/>
        <w:tab w:val="left" w:pos="2679"/>
        <w:tab w:val="left" w:pos="3831"/>
        <w:tab w:val="left" w:pos="4983"/>
        <w:tab w:val="left" w:pos="6135"/>
        <w:tab w:val="left" w:pos="7287"/>
        <w:tab w:val="left" w:pos="8439"/>
        <w:tab w:val="left" w:pos="9591"/>
      </w:tabs>
      <w:ind w:left="142" w:hanging="142"/>
    </w:pPr>
    <w:rPr>
      <w:sz w:val="14"/>
    </w:rPr>
  </w:style>
  <w:style w:type="character" w:styleId="Hyperlink">
    <w:name w:val="Hyperlink"/>
    <w:basedOn w:val="DefaultParagraphFont"/>
    <w:rPr>
      <w:color w:val="0000FF"/>
      <w:u w:val="single"/>
    </w:r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720"/>
        <w:tab w:val="clear" w:pos="1440"/>
      </w:tabs>
      <w:spacing w:after="120"/>
      <w:ind w:firstLine="210"/>
      <w:jc w:val="left"/>
    </w:pPr>
  </w:style>
  <w:style w:type="paragraph" w:styleId="BodyTextFirstIndent2">
    <w:name w:val="Body Text First Indent 2"/>
    <w:basedOn w:val="BodyTextIndent"/>
    <w:pPr>
      <w:tabs>
        <w:tab w:val="clear" w:pos="142"/>
        <w:tab w:val="clear" w:pos="426"/>
        <w:tab w:val="clear" w:pos="2679"/>
        <w:tab w:val="clear" w:pos="3831"/>
        <w:tab w:val="clear" w:pos="4983"/>
        <w:tab w:val="clear" w:pos="6135"/>
        <w:tab w:val="clear" w:pos="7287"/>
        <w:tab w:val="clear" w:pos="8439"/>
        <w:tab w:val="clear" w:pos="9591"/>
      </w:tabs>
      <w:spacing w:after="120"/>
      <w:ind w:left="283" w:firstLine="210"/>
    </w:pPr>
    <w:rPr>
      <w:i w:val="0"/>
      <w:sz w:val="24"/>
    </w:rPr>
  </w:style>
  <w:style w:type="paragraph" w:styleId="Caption">
    <w:name w:val="caption"/>
    <w:basedOn w:val="Normal"/>
    <w:next w:val="Normal"/>
    <w:uiPriority w:val="99"/>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ndnoteText">
    <w:name w:val="endnote text"/>
    <w:basedOn w:val="Normal"/>
    <w:link w:val="EndnoteTextChar"/>
    <w:uiPriority w:val="99"/>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rPr>
      <w:sz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pPr>
      <w:spacing w:before="120"/>
    </w:pPr>
    <w:rPr>
      <w:rFonts w:ascii="Arial" w:hAnsi="Arial"/>
      <w:b/>
    </w:rPr>
  </w:style>
  <w:style w:type="paragraph" w:styleId="TOC1">
    <w:name w:val="toc 1"/>
    <w:basedOn w:val="Normal"/>
    <w:next w:val="Normal"/>
    <w:autoRedefine/>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Section">
    <w:name w:val="Section"/>
    <w:basedOn w:val="Normal"/>
    <w:rsid w:val="00995709"/>
    <w:pPr>
      <w:spacing w:before="120" w:after="120"/>
      <w:jc w:val="center"/>
    </w:pPr>
    <w:rPr>
      <w:sz w:val="20"/>
    </w:rPr>
  </w:style>
  <w:style w:type="paragraph" w:customStyle="1" w:styleId="SectionTitle">
    <w:name w:val="Section Title"/>
    <w:basedOn w:val="Normal"/>
    <w:autoRedefine/>
    <w:rsid w:val="000B704B"/>
    <w:pPr>
      <w:snapToGrid w:val="0"/>
      <w:spacing w:before="120" w:after="120"/>
      <w:jc w:val="center"/>
    </w:pPr>
    <w:rPr>
      <w:position w:val="-24"/>
      <w:sz w:val="20"/>
    </w:rPr>
  </w:style>
  <w:style w:type="paragraph" w:customStyle="1" w:styleId="SubsectionTitle">
    <w:name w:val="Subsection Title"/>
    <w:basedOn w:val="Normal"/>
    <w:link w:val="SubsectionTitleCharChar"/>
    <w:autoRedefine/>
    <w:rsid w:val="004750F5"/>
    <w:pPr>
      <w:tabs>
        <w:tab w:val="left" w:pos="-1161"/>
        <w:tab w:val="left" w:pos="-720"/>
        <w:tab w:val="left" w:pos="0"/>
        <w:tab w:val="left" w:pos="360"/>
        <w:tab w:val="left" w:pos="1440"/>
      </w:tabs>
      <w:spacing w:before="200" w:after="200"/>
      <w:ind w:left="357" w:hanging="357"/>
    </w:pPr>
    <w:rPr>
      <w:i/>
      <w:sz w:val="20"/>
    </w:rPr>
  </w:style>
  <w:style w:type="character" w:customStyle="1" w:styleId="SubsectionTitleCharChar">
    <w:name w:val="Subsection Title Char Char"/>
    <w:basedOn w:val="DefaultParagraphFont"/>
    <w:link w:val="SubsectionTitle"/>
    <w:rsid w:val="004750F5"/>
    <w:rPr>
      <w:i/>
      <w:lang w:val="en-GB" w:eastAsia="en-US" w:bidi="ar-SA"/>
    </w:rPr>
  </w:style>
  <w:style w:type="paragraph" w:customStyle="1" w:styleId="StyleJustifiedLeft0cmHanging063cm">
    <w:name w:val="Style Justified Left:  0 cm Hanging:  0.63 cm"/>
    <w:basedOn w:val="Normal"/>
    <w:link w:val="StyleJustifiedLeft0cmHanging063cmChar"/>
    <w:autoRedefine/>
    <w:rsid w:val="00DC753E"/>
    <w:pPr>
      <w:snapToGrid w:val="0"/>
      <w:spacing w:before="80" w:after="80"/>
      <w:ind w:left="357" w:hanging="357"/>
      <w:jc w:val="both"/>
    </w:pPr>
    <w:rPr>
      <w:sz w:val="20"/>
    </w:rPr>
  </w:style>
  <w:style w:type="paragraph" w:customStyle="1" w:styleId="StyleStyle10ptItalic">
    <w:name w:val="Style Style 10 pt Italic +"/>
    <w:basedOn w:val="SubsectionTitle"/>
    <w:autoRedefine/>
    <w:rsid w:val="00D92F05"/>
    <w:pPr>
      <w:snapToGrid w:val="0"/>
      <w:ind w:left="0" w:firstLine="0"/>
    </w:pPr>
    <w:rPr>
      <w:iCs/>
    </w:rPr>
  </w:style>
  <w:style w:type="paragraph" w:customStyle="1" w:styleId="Style10ptJustified">
    <w:name w:val="Style 10 pt Justified"/>
    <w:basedOn w:val="Normal"/>
    <w:link w:val="Style10ptJustifiedChar"/>
    <w:autoRedefine/>
    <w:rsid w:val="006E3B9B"/>
    <w:pPr>
      <w:tabs>
        <w:tab w:val="left" w:pos="0"/>
        <w:tab w:val="right" w:pos="4960"/>
      </w:tabs>
      <w:snapToGrid w:val="0"/>
      <w:spacing w:before="200" w:after="120"/>
      <w:jc w:val="both"/>
    </w:pPr>
    <w:rPr>
      <w:bCs/>
      <w:sz w:val="20"/>
    </w:rPr>
  </w:style>
  <w:style w:type="paragraph" w:customStyle="1" w:styleId="Authoraddress">
    <w:name w:val="Author address"/>
    <w:basedOn w:val="StyleStyle10ptItalic"/>
    <w:autoRedefine/>
    <w:rsid w:val="00D92F05"/>
    <w:pPr>
      <w:spacing w:after="240"/>
      <w:jc w:val="center"/>
    </w:pPr>
  </w:style>
  <w:style w:type="paragraph" w:customStyle="1" w:styleId="PaperTitle">
    <w:name w:val="Paper Title"/>
    <w:basedOn w:val="Normal"/>
    <w:autoRedefine/>
    <w:rsid w:val="00D92F05"/>
    <w:pPr>
      <w:framePr w:wrap="around" w:vAnchor="page" w:hAnchor="text" w:xAlign="center" w:yAlign="top"/>
      <w:snapToGrid w:val="0"/>
      <w:spacing w:after="240"/>
      <w:ind w:right="425"/>
      <w:jc w:val="center"/>
    </w:pPr>
    <w:rPr>
      <w:b/>
      <w:sz w:val="28"/>
      <w:szCs w:val="28"/>
    </w:rPr>
  </w:style>
  <w:style w:type="paragraph" w:customStyle="1" w:styleId="Style10ptBoldCenteredLeft15cmRight155cm">
    <w:name w:val="Style 10 pt Bold Centered Left:  1.5 cm Right:  1.55 cm"/>
    <w:basedOn w:val="Normal"/>
    <w:autoRedefine/>
    <w:rsid w:val="00025D07"/>
    <w:pPr>
      <w:jc w:val="center"/>
    </w:pPr>
    <w:rPr>
      <w:b/>
      <w:bCs/>
      <w:sz w:val="20"/>
    </w:rPr>
  </w:style>
  <w:style w:type="paragraph" w:customStyle="1" w:styleId="TableCaption">
    <w:name w:val="Table Caption"/>
    <w:basedOn w:val="Normal"/>
    <w:autoRedefine/>
    <w:rsid w:val="00DC753E"/>
    <w:pPr>
      <w:jc w:val="center"/>
    </w:pPr>
    <w:rPr>
      <w:sz w:val="18"/>
    </w:rPr>
  </w:style>
  <w:style w:type="paragraph" w:customStyle="1" w:styleId="Figurecaption">
    <w:name w:val="Figure caption"/>
    <w:basedOn w:val="Normal"/>
    <w:rsid w:val="00DC753E"/>
    <w:pPr>
      <w:ind w:left="284" w:hanging="284"/>
      <w:jc w:val="both"/>
    </w:pPr>
    <w:rPr>
      <w:sz w:val="20"/>
    </w:rPr>
  </w:style>
  <w:style w:type="character" w:customStyle="1" w:styleId="Style10ptJustifiedChar">
    <w:name w:val="Style 10 pt Justified Char"/>
    <w:basedOn w:val="DefaultParagraphFont"/>
    <w:link w:val="Style10ptJustified"/>
    <w:rsid w:val="006E3B9B"/>
    <w:rPr>
      <w:bCs/>
      <w:lang w:val="en-GB" w:eastAsia="en-US"/>
    </w:rPr>
  </w:style>
  <w:style w:type="character" w:customStyle="1" w:styleId="StyleJustifiedLeft0cmHanging063cmChar">
    <w:name w:val="Style Justified Left:  0 cm Hanging:  0.63 cm Char"/>
    <w:basedOn w:val="DefaultParagraphFont"/>
    <w:link w:val="StyleJustifiedLeft0cmHanging063cm"/>
    <w:rsid w:val="00DC753E"/>
    <w:rPr>
      <w:lang w:val="en-GB" w:eastAsia="en-US" w:bidi="ar-SA"/>
    </w:rPr>
  </w:style>
  <w:style w:type="paragraph" w:customStyle="1" w:styleId="Abstract">
    <w:name w:val="Abstract"/>
    <w:basedOn w:val="Normal"/>
    <w:next w:val="Normal"/>
    <w:link w:val="AbstractChar"/>
    <w:rsid w:val="00AE6E29"/>
    <w:pPr>
      <w:autoSpaceDE w:val="0"/>
      <w:autoSpaceDN w:val="0"/>
      <w:spacing w:before="20"/>
      <w:ind w:firstLine="202"/>
      <w:jc w:val="both"/>
    </w:pPr>
    <w:rPr>
      <w:b/>
      <w:bCs/>
      <w:sz w:val="18"/>
      <w:szCs w:val="18"/>
      <w:lang w:val="en-US"/>
    </w:rPr>
  </w:style>
  <w:style w:type="paragraph" w:customStyle="1" w:styleId="Text">
    <w:name w:val="Text"/>
    <w:basedOn w:val="Style10ptJustified"/>
    <w:rsid w:val="00BB2826"/>
  </w:style>
  <w:style w:type="character" w:styleId="FootnoteReference">
    <w:name w:val="footnote reference"/>
    <w:basedOn w:val="DefaultParagraphFont"/>
    <w:semiHidden/>
    <w:rsid w:val="000A6944"/>
    <w:rPr>
      <w:vertAlign w:val="superscript"/>
    </w:rPr>
  </w:style>
  <w:style w:type="table" w:styleId="TableGrid">
    <w:name w:val="Table Grid"/>
    <w:basedOn w:val="TableNormal"/>
    <w:rsid w:val="0069156D"/>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
    <w:name w:val="Equation"/>
    <w:basedOn w:val="Normal"/>
    <w:next w:val="Normal"/>
    <w:rsid w:val="0069156D"/>
    <w:pPr>
      <w:widowControl w:val="0"/>
      <w:tabs>
        <w:tab w:val="right" w:pos="5040"/>
      </w:tabs>
      <w:autoSpaceDE w:val="0"/>
      <w:autoSpaceDN w:val="0"/>
      <w:spacing w:line="252" w:lineRule="auto"/>
      <w:jc w:val="both"/>
    </w:pPr>
    <w:rPr>
      <w:sz w:val="20"/>
      <w:lang w:val="en-US"/>
    </w:rPr>
  </w:style>
  <w:style w:type="paragraph" w:customStyle="1" w:styleId="StyleAbstract10pt">
    <w:name w:val="Style Abstract + 10 pt"/>
    <w:basedOn w:val="Abstract"/>
    <w:link w:val="StyleAbstract10ptChar"/>
    <w:rsid w:val="00E86A86"/>
    <w:pPr>
      <w:spacing w:before="80" w:after="80"/>
      <w:ind w:firstLine="204"/>
    </w:pPr>
    <w:rPr>
      <w:sz w:val="20"/>
    </w:rPr>
  </w:style>
  <w:style w:type="character" w:customStyle="1" w:styleId="AbstractChar">
    <w:name w:val="Abstract Char"/>
    <w:basedOn w:val="DefaultParagraphFont"/>
    <w:link w:val="Abstract"/>
    <w:rsid w:val="00E86A86"/>
    <w:rPr>
      <w:b/>
      <w:bCs/>
      <w:sz w:val="18"/>
      <w:szCs w:val="18"/>
      <w:lang w:val="en-US" w:eastAsia="en-US" w:bidi="ar-SA"/>
    </w:rPr>
  </w:style>
  <w:style w:type="character" w:customStyle="1" w:styleId="StyleAbstract10ptChar">
    <w:name w:val="Style Abstract + 10 pt Char"/>
    <w:basedOn w:val="AbstractChar"/>
    <w:link w:val="StyleAbstract10pt"/>
    <w:rsid w:val="00E86A86"/>
  </w:style>
  <w:style w:type="paragraph" w:customStyle="1" w:styleId="StyleAbstractLeft15cmFirstline0cmRight155cm">
    <w:name w:val="Style Abstract + Left:  1.5 cm First line:  0 cm Right:  1.55 cm..."/>
    <w:basedOn w:val="Abstract"/>
    <w:rsid w:val="00E86A86"/>
    <w:pPr>
      <w:pBdr>
        <w:top w:val="single" w:sz="4" w:space="1" w:color="auto"/>
        <w:bottom w:val="single" w:sz="4" w:space="1" w:color="auto"/>
      </w:pBdr>
      <w:snapToGrid w:val="0"/>
      <w:spacing w:before="80" w:after="80"/>
      <w:ind w:left="851" w:right="879" w:firstLine="0"/>
    </w:pPr>
    <w:rPr>
      <w:szCs w:val="20"/>
    </w:rPr>
  </w:style>
  <w:style w:type="paragraph" w:customStyle="1" w:styleId="StyleStyleAbstractLeft15cmFirstline0cmRight155">
    <w:name w:val="Style Style Abstract + Left:  1.5 cm First line:  0 cm Right:  1.55..."/>
    <w:basedOn w:val="StyleAbstractLeft15cmFirstline0cmRight155cm"/>
    <w:rsid w:val="00E86A86"/>
    <w:pPr>
      <w:pBdr>
        <w:top w:val="single" w:sz="4" w:space="4" w:color="auto"/>
        <w:bottom w:val="single" w:sz="4" w:space="4" w:color="auto"/>
      </w:pBdr>
    </w:pPr>
  </w:style>
  <w:style w:type="character" w:customStyle="1" w:styleId="EndnoteTextChar">
    <w:name w:val="Endnote Text Char"/>
    <w:basedOn w:val="DefaultParagraphFont"/>
    <w:link w:val="EndnoteText"/>
    <w:uiPriority w:val="99"/>
    <w:locked/>
    <w:rsid w:val="00FE17A5"/>
    <w:rPr>
      <w:lang w:val="en-GB" w:eastAsia="en-US"/>
    </w:rPr>
  </w:style>
  <w:style w:type="character" w:styleId="EndnoteReference">
    <w:name w:val="endnote reference"/>
    <w:basedOn w:val="DefaultParagraphFont"/>
    <w:uiPriority w:val="99"/>
    <w:semiHidden/>
    <w:rsid w:val="00FE17A5"/>
    <w:rPr>
      <w:rFonts w:cs="Times New Roman"/>
      <w:vertAlign w:val="superscript"/>
    </w:rPr>
  </w:style>
  <w:style w:type="character" w:styleId="Strong">
    <w:name w:val="Strong"/>
    <w:basedOn w:val="DefaultParagraphFont"/>
    <w:uiPriority w:val="99"/>
    <w:qFormat/>
    <w:rsid w:val="00FE17A5"/>
    <w:rPr>
      <w:rFonts w:cs="Times New Roman"/>
      <w:b/>
      <w:bCs/>
    </w:rPr>
  </w:style>
  <w:style w:type="paragraph" w:styleId="BalloonText">
    <w:name w:val="Balloon Text"/>
    <w:basedOn w:val="Normal"/>
    <w:link w:val="BalloonTextChar"/>
    <w:uiPriority w:val="99"/>
    <w:semiHidden/>
    <w:unhideWhenUsed/>
    <w:rsid w:val="003E140E"/>
    <w:rPr>
      <w:rFonts w:ascii="Tahoma" w:hAnsi="Tahoma" w:cs="Tahoma"/>
      <w:sz w:val="16"/>
      <w:szCs w:val="16"/>
    </w:rPr>
  </w:style>
  <w:style w:type="character" w:customStyle="1" w:styleId="BalloonTextChar">
    <w:name w:val="Balloon Text Char"/>
    <w:basedOn w:val="DefaultParagraphFont"/>
    <w:link w:val="BalloonText"/>
    <w:uiPriority w:val="99"/>
    <w:semiHidden/>
    <w:rsid w:val="003E140E"/>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A54593"/>
    <w:rPr>
      <w:sz w:val="16"/>
      <w:szCs w:val="16"/>
    </w:rPr>
  </w:style>
  <w:style w:type="paragraph" w:styleId="CommentSubject">
    <w:name w:val="annotation subject"/>
    <w:basedOn w:val="CommentText"/>
    <w:next w:val="CommentText"/>
    <w:uiPriority w:val="99"/>
    <w:semiHidden/>
    <w:unhideWhenUsed/>
    <w:rsid w:val="00A54593"/>
    <w:rPr>
      <w:b/>
      <w:bCs/>
    </w:rPr>
  </w:style>
  <w:style w:type="character" w:customStyle="1" w:styleId="CommentTextChar">
    <w:name w:val="Comment Text Char"/>
    <w:basedOn w:val="DefaultParagraphFont"/>
    <w:link w:val="CommentText"/>
    <w:rsid w:val="00A54593"/>
    <w:rPr>
      <w:lang w:val="en-GB" w:eastAsia="en-US"/>
    </w:rPr>
  </w:style>
  <w:style w:type="character" w:customStyle="1" w:styleId="CommentSubjectChar">
    <w:name w:val="Comment Subject Char"/>
    <w:basedOn w:val="CommentTextChar"/>
    <w:link w:val="CommentSubject"/>
    <w:rsid w:val="00A54593"/>
  </w:style>
  <w:style w:type="paragraph" w:styleId="Revision">
    <w:name w:val="Revision"/>
    <w:hidden/>
    <w:uiPriority w:val="71"/>
    <w:rsid w:val="00A54593"/>
    <w:rPr>
      <w:sz w:val="24"/>
      <w:lang w:val="en-GB" w:eastAsia="en-US"/>
    </w:rPr>
  </w:style>
  <w:style w:type="paragraph" w:styleId="HTMLPreformatted">
    <w:name w:val="HTML Preformatted"/>
    <w:basedOn w:val="Normal"/>
    <w:link w:val="HTMLPreformattedChar"/>
    <w:uiPriority w:val="99"/>
    <w:unhideWhenUsed/>
    <w:rsid w:val="006F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rsid w:val="006F196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7.jpeg"/><Relationship Id="rId42" Type="http://schemas.openxmlformats.org/officeDocument/2006/relationships/fontTable" Target="fontTable.xml"/><Relationship Id="rId7" Type="http://schemas.openxmlformats.org/officeDocument/2006/relationships/hyperlink" Target="mailto:kmoorhead@ulg.ac.be" TargetMode="Externa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6.jpeg"/><Relationship Id="rId38"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oleObject" Target="embeddings/oleObject5.bin"/><Relationship Id="rId29" Type="http://schemas.openxmlformats.org/officeDocument/2006/relationships/image" Target="media/image12.jpe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image" Target="media/image15.jpeg"/><Relationship Id="rId37" Type="http://schemas.openxmlformats.org/officeDocument/2006/relationships/image" Target="media/image20.wmf"/><Relationship Id="rId40" Type="http://schemas.openxmlformats.org/officeDocument/2006/relationships/image" Target="media/image22.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image" Target="media/image19.jpeg"/><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image" Target="media/image13.emf"/><Relationship Id="rId35" Type="http://schemas.openxmlformats.org/officeDocument/2006/relationships/image" Target="media/image18.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6</Pages>
  <Words>3374</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INSTRUCTIONS TO AUTHORS FOR THE PREPARATION OF MANUSCRIPTS</vt:lpstr>
    </vt:vector>
  </TitlesOfParts>
  <Company/>
  <LinksUpToDate>false</LinksUpToDate>
  <CharactersWithSpaces>21893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AUTHORS FOR THE PREPARATION OF MANUSCRIPTS</dc:title>
  <dc:creator>Martin Ruck</dc:creator>
  <cp:lastModifiedBy>tdesaive</cp:lastModifiedBy>
  <cp:revision>23</cp:revision>
  <cp:lastPrinted>2010-04-16T08:35:00Z</cp:lastPrinted>
  <dcterms:created xsi:type="dcterms:W3CDTF">2010-04-15T14:14:00Z</dcterms:created>
  <dcterms:modified xsi:type="dcterms:W3CDTF">2010-04-16T08:35:00Z</dcterms:modified>
</cp:coreProperties>
</file>