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50C8A" w14:textId="77777777" w:rsidR="00F25E3E" w:rsidRDefault="00000000">
      <w:pPr>
        <w:spacing w:after="240" w:line="259" w:lineRule="auto"/>
        <w:ind w:firstLine="0"/>
        <w:jc w:val="left"/>
      </w:pPr>
      <w:r>
        <w:rPr>
          <w:rFonts w:ascii="Calibri" w:eastAsia="Calibri" w:hAnsi="Calibri" w:cs="Calibri"/>
          <w:noProof/>
          <w:sz w:val="22"/>
        </w:rPr>
        <mc:AlternateContent>
          <mc:Choice Requires="wpg">
            <w:drawing>
              <wp:inline distT="0" distB="0" distL="0" distR="0" wp14:anchorId="67E7FA22" wp14:editId="4973DBCB">
                <wp:extent cx="6624003" cy="2222702"/>
                <wp:effectExtent l="0" t="0" r="0" b="0"/>
                <wp:docPr id="19731" name="Group 19731"/>
                <wp:cNvGraphicFramePr/>
                <a:graphic xmlns:a="http://schemas.openxmlformats.org/drawingml/2006/main">
                  <a:graphicData uri="http://schemas.microsoft.com/office/word/2010/wordprocessingGroup">
                    <wpg:wgp>
                      <wpg:cNvGrpSpPr/>
                      <wpg:grpSpPr>
                        <a:xfrm>
                          <a:off x="0" y="0"/>
                          <a:ext cx="6624003" cy="2222702"/>
                          <a:chOff x="0" y="0"/>
                          <a:chExt cx="6624003" cy="2222702"/>
                        </a:xfrm>
                      </wpg:grpSpPr>
                      <wps:wsp>
                        <wps:cNvPr id="23599" name="Shape 23599"/>
                        <wps:cNvSpPr/>
                        <wps:spPr>
                          <a:xfrm>
                            <a:off x="0" y="1225420"/>
                            <a:ext cx="6624003" cy="37958"/>
                          </a:xfrm>
                          <a:custGeom>
                            <a:avLst/>
                            <a:gdLst/>
                            <a:ahLst/>
                            <a:cxnLst/>
                            <a:rect l="0" t="0" r="0" b="0"/>
                            <a:pathLst>
                              <a:path w="6624003" h="37958">
                                <a:moveTo>
                                  <a:pt x="0" y="0"/>
                                </a:moveTo>
                                <a:lnTo>
                                  <a:pt x="6624003" y="0"/>
                                </a:lnTo>
                                <a:lnTo>
                                  <a:pt x="6624003" y="37958"/>
                                </a:lnTo>
                                <a:lnTo>
                                  <a:pt x="0" y="379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00" name="Shape 23600"/>
                        <wps:cNvSpPr/>
                        <wps:spPr>
                          <a:xfrm>
                            <a:off x="0" y="245483"/>
                            <a:ext cx="5725668" cy="9144"/>
                          </a:xfrm>
                          <a:custGeom>
                            <a:avLst/>
                            <a:gdLst/>
                            <a:ahLst/>
                            <a:cxnLst/>
                            <a:rect l="0" t="0" r="0" b="0"/>
                            <a:pathLst>
                              <a:path w="5725668" h="9144">
                                <a:moveTo>
                                  <a:pt x="0" y="0"/>
                                </a:moveTo>
                                <a:lnTo>
                                  <a:pt x="5725668" y="0"/>
                                </a:lnTo>
                                <a:lnTo>
                                  <a:pt x="5725668"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09" name="Rectangle 209"/>
                        <wps:cNvSpPr/>
                        <wps:spPr>
                          <a:xfrm>
                            <a:off x="4110900" y="0"/>
                            <a:ext cx="62945" cy="103927"/>
                          </a:xfrm>
                          <a:prstGeom prst="rect">
                            <a:avLst/>
                          </a:prstGeom>
                          <a:ln>
                            <a:noFill/>
                          </a:ln>
                        </wps:spPr>
                        <wps:txbx>
                          <w:txbxContent>
                            <w:p w14:paraId="3F6098F6" w14:textId="77777777" w:rsidR="00F25E3E" w:rsidRDefault="00000000">
                              <w:pPr>
                                <w:spacing w:after="160" w:line="259" w:lineRule="auto"/>
                                <w:ind w:firstLine="0"/>
                                <w:jc w:val="left"/>
                              </w:pPr>
                              <w:hyperlink r:id="rId7">
                                <w:r>
                                  <w:rPr>
                                    <w:color w:val="005F89"/>
                                    <w:w w:val="121"/>
                                    <w:sz w:val="13"/>
                                  </w:rPr>
                                  <w:t>1</w:t>
                                </w:r>
                              </w:hyperlink>
                            </w:p>
                          </w:txbxContent>
                        </wps:txbx>
                        <wps:bodyPr horzOverflow="overflow" vert="horz" lIns="0" tIns="0" rIns="0" bIns="0" rtlCol="0">
                          <a:noAutofit/>
                        </wps:bodyPr>
                      </wps:wsp>
                      <wps:wsp>
                        <wps:cNvPr id="208" name="Rectangle 208"/>
                        <wps:cNvSpPr/>
                        <wps:spPr>
                          <a:xfrm>
                            <a:off x="2523605" y="0"/>
                            <a:ext cx="2111104" cy="103927"/>
                          </a:xfrm>
                          <a:prstGeom prst="rect">
                            <a:avLst/>
                          </a:prstGeom>
                          <a:ln>
                            <a:noFill/>
                          </a:ln>
                        </wps:spPr>
                        <wps:txbx>
                          <w:txbxContent>
                            <w:p w14:paraId="599407F5" w14:textId="77777777" w:rsidR="00F25E3E" w:rsidRDefault="00000000">
                              <w:pPr>
                                <w:spacing w:after="160" w:line="259" w:lineRule="auto"/>
                                <w:ind w:firstLine="0"/>
                                <w:jc w:val="left"/>
                              </w:pPr>
                              <w:r>
                                <w:rPr>
                                  <w:color w:val="005F89"/>
                                  <w:w w:val="118"/>
                                  <w:sz w:val="13"/>
                                </w:rPr>
                                <w:t>Annals</w:t>
                              </w:r>
                              <w:r>
                                <w:rPr>
                                  <w:color w:val="005F89"/>
                                  <w:spacing w:val="13"/>
                                  <w:w w:val="118"/>
                                  <w:sz w:val="13"/>
                                </w:rPr>
                                <w:t xml:space="preserve"> </w:t>
                              </w:r>
                              <w:r>
                                <w:rPr>
                                  <w:color w:val="005F89"/>
                                  <w:w w:val="118"/>
                                  <w:sz w:val="13"/>
                                </w:rPr>
                                <w:t>of</w:t>
                              </w:r>
                              <w:r>
                                <w:rPr>
                                  <w:color w:val="005F89"/>
                                  <w:spacing w:val="13"/>
                                  <w:w w:val="118"/>
                                  <w:sz w:val="13"/>
                                </w:rPr>
                                <w:t xml:space="preserve"> </w:t>
                              </w:r>
                              <w:r>
                                <w:rPr>
                                  <w:color w:val="005F89"/>
                                  <w:w w:val="118"/>
                                  <w:sz w:val="13"/>
                                </w:rPr>
                                <w:t>Intensive</w:t>
                              </w:r>
                              <w:r>
                                <w:rPr>
                                  <w:color w:val="005F89"/>
                                  <w:spacing w:val="14"/>
                                  <w:w w:val="118"/>
                                  <w:sz w:val="13"/>
                                </w:rPr>
                                <w:t xml:space="preserve"> </w:t>
                              </w:r>
                              <w:r>
                                <w:rPr>
                                  <w:color w:val="005F89"/>
                                  <w:w w:val="118"/>
                                  <w:sz w:val="13"/>
                                </w:rPr>
                                <w:t>Care</w:t>
                              </w:r>
                              <w:r>
                                <w:rPr>
                                  <w:color w:val="005F89"/>
                                  <w:spacing w:val="12"/>
                                  <w:w w:val="118"/>
                                  <w:sz w:val="13"/>
                                </w:rPr>
                                <w:t xml:space="preserve"> </w:t>
                              </w:r>
                              <w:r>
                                <w:rPr>
                                  <w:color w:val="005F89"/>
                                  <w:w w:val="118"/>
                                  <w:sz w:val="13"/>
                                </w:rPr>
                                <w:t>16</w:t>
                              </w:r>
                              <w:r>
                                <w:rPr>
                                  <w:color w:val="005F89"/>
                                  <w:spacing w:val="13"/>
                                  <w:w w:val="118"/>
                                  <w:sz w:val="13"/>
                                </w:rPr>
                                <w:t xml:space="preserve"> </w:t>
                              </w:r>
                              <w:r>
                                <w:rPr>
                                  <w:color w:val="005F89"/>
                                  <w:w w:val="118"/>
                                  <w:sz w:val="13"/>
                                </w:rPr>
                                <w:t>(2026)</w:t>
                              </w:r>
                              <w:r>
                                <w:rPr>
                                  <w:color w:val="005F89"/>
                                  <w:spacing w:val="13"/>
                                  <w:w w:val="118"/>
                                  <w:sz w:val="13"/>
                                </w:rPr>
                                <w:t xml:space="preserve"> </w:t>
                              </w:r>
                              <w:r>
                                <w:rPr>
                                  <w:color w:val="005F89"/>
                                  <w:w w:val="118"/>
                                  <w:sz w:val="13"/>
                                </w:rPr>
                                <w:t>10014</w:t>
                              </w:r>
                            </w:p>
                          </w:txbxContent>
                        </wps:txbx>
                        <wps:bodyPr horzOverflow="overflow" vert="horz" lIns="0" tIns="0" rIns="0" bIns="0" rtlCol="0">
                          <a:noAutofit/>
                        </wps:bodyPr>
                      </wps:wsp>
                      <pic:pic xmlns:pic="http://schemas.openxmlformats.org/drawingml/2006/picture">
                        <pic:nvPicPr>
                          <pic:cNvPr id="11" name="Picture 11"/>
                          <pic:cNvPicPr/>
                        </pic:nvPicPr>
                        <pic:blipFill>
                          <a:blip r:embed="rId8"/>
                          <a:stretch>
                            <a:fillRect/>
                          </a:stretch>
                        </pic:blipFill>
                        <pic:spPr>
                          <a:xfrm>
                            <a:off x="0" y="319514"/>
                            <a:ext cx="755891" cy="828002"/>
                          </a:xfrm>
                          <a:prstGeom prst="rect">
                            <a:avLst/>
                          </a:prstGeom>
                        </pic:spPr>
                      </pic:pic>
                      <wps:wsp>
                        <wps:cNvPr id="23615" name="Shape 23615"/>
                        <wps:cNvSpPr/>
                        <wps:spPr>
                          <a:xfrm>
                            <a:off x="936003" y="322269"/>
                            <a:ext cx="4788002" cy="828002"/>
                          </a:xfrm>
                          <a:custGeom>
                            <a:avLst/>
                            <a:gdLst/>
                            <a:ahLst/>
                            <a:cxnLst/>
                            <a:rect l="0" t="0" r="0" b="0"/>
                            <a:pathLst>
                              <a:path w="4788002" h="828002">
                                <a:moveTo>
                                  <a:pt x="0" y="0"/>
                                </a:moveTo>
                                <a:lnTo>
                                  <a:pt x="4788002" y="0"/>
                                </a:lnTo>
                                <a:lnTo>
                                  <a:pt x="4788002" y="828002"/>
                                </a:lnTo>
                                <a:lnTo>
                                  <a:pt x="0" y="828002"/>
                                </a:lnTo>
                                <a:lnTo>
                                  <a:pt x="0" y="0"/>
                                </a:lnTo>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3" name="Rectangle 13"/>
                        <wps:cNvSpPr/>
                        <wps:spPr>
                          <a:xfrm>
                            <a:off x="2385365" y="334778"/>
                            <a:ext cx="1610165" cy="163704"/>
                          </a:xfrm>
                          <a:prstGeom prst="rect">
                            <a:avLst/>
                          </a:prstGeom>
                          <a:ln>
                            <a:noFill/>
                          </a:ln>
                        </wps:spPr>
                        <wps:txbx>
                          <w:txbxContent>
                            <w:p w14:paraId="312C2589" w14:textId="77777777" w:rsidR="00F25E3E" w:rsidRDefault="00000000">
                              <w:pPr>
                                <w:spacing w:after="160" w:line="259" w:lineRule="auto"/>
                                <w:ind w:firstLine="0"/>
                                <w:jc w:val="left"/>
                              </w:pPr>
                              <w:r>
                                <w:rPr>
                                  <w:rFonts w:ascii="Calibri" w:eastAsia="Calibri" w:hAnsi="Calibri" w:cs="Calibri"/>
                                  <w:w w:val="115"/>
                                </w:rPr>
                                <w:t>Contents</w:t>
                              </w:r>
                              <w:r>
                                <w:rPr>
                                  <w:rFonts w:ascii="Calibri" w:eastAsia="Calibri" w:hAnsi="Calibri" w:cs="Calibri"/>
                                  <w:spacing w:val="18"/>
                                  <w:w w:val="115"/>
                                </w:rPr>
                                <w:t xml:space="preserve"> </w:t>
                              </w:r>
                              <w:r>
                                <w:rPr>
                                  <w:rFonts w:ascii="Calibri" w:eastAsia="Calibri" w:hAnsi="Calibri" w:cs="Calibri"/>
                                  <w:w w:val="115"/>
                                </w:rPr>
                                <w:t>lists</w:t>
                              </w:r>
                              <w:r>
                                <w:rPr>
                                  <w:rFonts w:ascii="Calibri" w:eastAsia="Calibri" w:hAnsi="Calibri" w:cs="Calibri"/>
                                  <w:spacing w:val="17"/>
                                  <w:w w:val="115"/>
                                </w:rPr>
                                <w:t xml:space="preserve"> </w:t>
                              </w:r>
                              <w:r>
                                <w:rPr>
                                  <w:rFonts w:ascii="Calibri" w:eastAsia="Calibri" w:hAnsi="Calibri" w:cs="Calibri"/>
                                  <w:w w:val="115"/>
                                </w:rPr>
                                <w:t>available</w:t>
                              </w:r>
                              <w:r>
                                <w:rPr>
                                  <w:rFonts w:ascii="Calibri" w:eastAsia="Calibri" w:hAnsi="Calibri" w:cs="Calibri"/>
                                  <w:spacing w:val="17"/>
                                  <w:w w:val="115"/>
                                </w:rPr>
                                <w:t xml:space="preserve"> </w:t>
                              </w:r>
                              <w:r>
                                <w:rPr>
                                  <w:rFonts w:ascii="Calibri" w:eastAsia="Calibri" w:hAnsi="Calibri" w:cs="Calibri"/>
                                  <w:w w:val="115"/>
                                </w:rPr>
                                <w:t>at</w:t>
                              </w:r>
                            </w:p>
                          </w:txbxContent>
                        </wps:txbx>
                        <wps:bodyPr horzOverflow="overflow" vert="horz" lIns="0" tIns="0" rIns="0" bIns="0" rtlCol="0">
                          <a:noAutofit/>
                        </wps:bodyPr>
                      </wps:wsp>
                      <wps:wsp>
                        <wps:cNvPr id="14" name="Rectangle 14"/>
                        <wps:cNvSpPr/>
                        <wps:spPr>
                          <a:xfrm>
                            <a:off x="3630248" y="334778"/>
                            <a:ext cx="857155" cy="163704"/>
                          </a:xfrm>
                          <a:prstGeom prst="rect">
                            <a:avLst/>
                          </a:prstGeom>
                          <a:ln>
                            <a:noFill/>
                          </a:ln>
                        </wps:spPr>
                        <wps:txbx>
                          <w:txbxContent>
                            <w:p w14:paraId="37068EF8" w14:textId="77777777" w:rsidR="00F25E3E" w:rsidRDefault="00000000">
                              <w:pPr>
                                <w:spacing w:after="160" w:line="259" w:lineRule="auto"/>
                                <w:ind w:firstLine="0"/>
                                <w:jc w:val="left"/>
                              </w:pPr>
                              <w:r>
                                <w:rPr>
                                  <w:rFonts w:ascii="Calibri" w:eastAsia="Calibri" w:hAnsi="Calibri" w:cs="Calibri"/>
                                  <w:color w:val="005F89"/>
                                  <w:w w:val="116"/>
                                </w:rPr>
                                <w:t>ScienceDirect</w:t>
                              </w:r>
                            </w:p>
                          </w:txbxContent>
                        </wps:txbx>
                        <wps:bodyPr horzOverflow="overflow" vert="horz" lIns="0" tIns="0" rIns="0" bIns="0" rtlCol="0">
                          <a:noAutofit/>
                        </wps:bodyPr>
                      </wps:wsp>
                      <wps:wsp>
                        <wps:cNvPr id="15" name="Rectangle 15"/>
                        <wps:cNvSpPr/>
                        <wps:spPr>
                          <a:xfrm>
                            <a:off x="2363765" y="668667"/>
                            <a:ext cx="2569992" cy="227344"/>
                          </a:xfrm>
                          <a:prstGeom prst="rect">
                            <a:avLst/>
                          </a:prstGeom>
                          <a:ln>
                            <a:noFill/>
                          </a:ln>
                        </wps:spPr>
                        <wps:txbx>
                          <w:txbxContent>
                            <w:p w14:paraId="62AA1B72" w14:textId="77777777" w:rsidR="00F25E3E" w:rsidRDefault="00000000">
                              <w:pPr>
                                <w:spacing w:after="160" w:line="259" w:lineRule="auto"/>
                                <w:ind w:firstLine="0"/>
                                <w:jc w:val="left"/>
                              </w:pPr>
                              <w:r>
                                <w:rPr>
                                  <w:w w:val="107"/>
                                  <w:sz w:val="28"/>
                                </w:rPr>
                                <w:t>Annals</w:t>
                              </w:r>
                              <w:r>
                                <w:rPr>
                                  <w:spacing w:val="24"/>
                                  <w:w w:val="107"/>
                                  <w:sz w:val="28"/>
                                </w:rPr>
                                <w:t xml:space="preserve"> </w:t>
                              </w:r>
                              <w:r>
                                <w:rPr>
                                  <w:w w:val="107"/>
                                  <w:sz w:val="28"/>
                                </w:rPr>
                                <w:t>of</w:t>
                              </w:r>
                              <w:r>
                                <w:rPr>
                                  <w:spacing w:val="25"/>
                                  <w:w w:val="107"/>
                                  <w:sz w:val="28"/>
                                </w:rPr>
                                <w:t xml:space="preserve"> </w:t>
                              </w:r>
                              <w:r>
                                <w:rPr>
                                  <w:w w:val="107"/>
                                  <w:sz w:val="28"/>
                                </w:rPr>
                                <w:t>Intensive</w:t>
                              </w:r>
                              <w:r>
                                <w:rPr>
                                  <w:spacing w:val="24"/>
                                  <w:w w:val="107"/>
                                  <w:sz w:val="28"/>
                                </w:rPr>
                                <w:t xml:space="preserve"> </w:t>
                              </w:r>
                              <w:r>
                                <w:rPr>
                                  <w:w w:val="107"/>
                                  <w:sz w:val="28"/>
                                </w:rPr>
                                <w:t>Care</w:t>
                              </w:r>
                            </w:p>
                          </w:txbxContent>
                        </wps:txbx>
                        <wps:bodyPr horzOverflow="overflow" vert="horz" lIns="0" tIns="0" rIns="0" bIns="0" rtlCol="0">
                          <a:noAutofit/>
                        </wps:bodyPr>
                      </wps:wsp>
                      <wps:wsp>
                        <wps:cNvPr id="16" name="Rectangle 16"/>
                        <wps:cNvSpPr/>
                        <wps:spPr>
                          <a:xfrm>
                            <a:off x="1987205" y="1002217"/>
                            <a:ext cx="1301269" cy="163704"/>
                          </a:xfrm>
                          <a:prstGeom prst="rect">
                            <a:avLst/>
                          </a:prstGeom>
                          <a:ln>
                            <a:noFill/>
                          </a:ln>
                        </wps:spPr>
                        <wps:txbx>
                          <w:txbxContent>
                            <w:p w14:paraId="1DD3DCE7" w14:textId="77777777" w:rsidR="00F25E3E" w:rsidRDefault="00000000">
                              <w:pPr>
                                <w:spacing w:after="160" w:line="259" w:lineRule="auto"/>
                                <w:ind w:firstLine="0"/>
                                <w:jc w:val="left"/>
                              </w:pPr>
                              <w:r>
                                <w:rPr>
                                  <w:rFonts w:ascii="Calibri" w:eastAsia="Calibri" w:hAnsi="Calibri" w:cs="Calibri"/>
                                  <w:spacing w:val="12"/>
                                  <w:w w:val="111"/>
                                </w:rPr>
                                <w:t>journal</w:t>
                              </w:r>
                              <w:r>
                                <w:rPr>
                                  <w:rFonts w:ascii="Calibri" w:eastAsia="Calibri" w:hAnsi="Calibri" w:cs="Calibri"/>
                                  <w:spacing w:val="17"/>
                                  <w:w w:val="111"/>
                                </w:rPr>
                                <w:t xml:space="preserve"> </w:t>
                              </w:r>
                              <w:r>
                                <w:rPr>
                                  <w:rFonts w:ascii="Calibri" w:eastAsia="Calibri" w:hAnsi="Calibri" w:cs="Calibri"/>
                                  <w:spacing w:val="12"/>
                                  <w:w w:val="111"/>
                                </w:rPr>
                                <w:t>homepage:</w:t>
                              </w:r>
                            </w:p>
                          </w:txbxContent>
                        </wps:txbx>
                        <wps:bodyPr horzOverflow="overflow" vert="horz" lIns="0" tIns="0" rIns="0" bIns="0" rtlCol="0">
                          <a:noAutofit/>
                        </wps:bodyPr>
                      </wps:wsp>
                      <wps:wsp>
                        <wps:cNvPr id="211" name="Rectangle 211"/>
                        <wps:cNvSpPr/>
                        <wps:spPr>
                          <a:xfrm>
                            <a:off x="4647884" y="1002217"/>
                            <a:ext cx="32310" cy="163704"/>
                          </a:xfrm>
                          <a:prstGeom prst="rect">
                            <a:avLst/>
                          </a:prstGeom>
                          <a:ln>
                            <a:noFill/>
                          </a:ln>
                        </wps:spPr>
                        <wps:txbx>
                          <w:txbxContent>
                            <w:p w14:paraId="7AF65346" w14:textId="77777777" w:rsidR="00F25E3E" w:rsidRDefault="00000000">
                              <w:pPr>
                                <w:spacing w:after="160" w:line="259" w:lineRule="auto"/>
                                <w:ind w:firstLine="0"/>
                                <w:jc w:val="left"/>
                              </w:pPr>
                              <w:hyperlink r:id="rId9">
                                <w:r>
                                  <w:rPr>
                                    <w:rFonts w:ascii="Calibri" w:eastAsia="Calibri" w:hAnsi="Calibri" w:cs="Calibri"/>
                                    <w:color w:val="005F89"/>
                                    <w:w w:val="104"/>
                                  </w:rPr>
                                  <w:t>j</w:t>
                                </w:r>
                              </w:hyperlink>
                            </w:p>
                          </w:txbxContent>
                        </wps:txbx>
                        <wps:bodyPr horzOverflow="overflow" vert="horz" lIns="0" tIns="0" rIns="0" bIns="0" rtlCol="0">
                          <a:noAutofit/>
                        </wps:bodyPr>
                      </wps:wsp>
                      <wps:wsp>
                        <wps:cNvPr id="210" name="Rectangle 210"/>
                        <wps:cNvSpPr/>
                        <wps:spPr>
                          <a:xfrm>
                            <a:off x="3006728" y="1002217"/>
                            <a:ext cx="2172626" cy="163704"/>
                          </a:xfrm>
                          <a:prstGeom prst="rect">
                            <a:avLst/>
                          </a:prstGeom>
                          <a:ln>
                            <a:noFill/>
                          </a:ln>
                        </wps:spPr>
                        <wps:txbx>
                          <w:txbxContent>
                            <w:p w14:paraId="40AAC677" w14:textId="77777777" w:rsidR="00F25E3E" w:rsidRDefault="00000000">
                              <w:pPr>
                                <w:spacing w:after="160" w:line="259" w:lineRule="auto"/>
                                <w:ind w:firstLine="0"/>
                                <w:jc w:val="left"/>
                              </w:pPr>
                              <w:r>
                                <w:rPr>
                                  <w:rFonts w:ascii="Calibri" w:eastAsia="Calibri" w:hAnsi="Calibri" w:cs="Calibri"/>
                                  <w:color w:val="005F89"/>
                                  <w:spacing w:val="12"/>
                                  <w:w w:val="115"/>
                                </w:rPr>
                                <w:t>www.elsevier.com/locate/aico</w:t>
                              </w:r>
                            </w:p>
                          </w:txbxContent>
                        </wps:txbx>
                        <wps:bodyPr horzOverflow="overflow" vert="horz" lIns="0" tIns="0" rIns="0" bIns="0" rtlCol="0">
                          <a:noAutofit/>
                        </wps:bodyPr>
                      </wps:wsp>
                      <pic:pic xmlns:pic="http://schemas.openxmlformats.org/drawingml/2006/picture">
                        <pic:nvPicPr>
                          <pic:cNvPr id="19" name="Picture 19"/>
                          <pic:cNvPicPr/>
                        </pic:nvPicPr>
                        <pic:blipFill>
                          <a:blip r:embed="rId10"/>
                          <a:stretch>
                            <a:fillRect/>
                          </a:stretch>
                        </pic:blipFill>
                        <pic:spPr>
                          <a:xfrm>
                            <a:off x="5904002" y="243923"/>
                            <a:ext cx="719176" cy="908634"/>
                          </a:xfrm>
                          <a:prstGeom prst="rect">
                            <a:avLst/>
                          </a:prstGeom>
                        </pic:spPr>
                      </pic:pic>
                      <wps:wsp>
                        <wps:cNvPr id="23" name="Rectangle 23"/>
                        <wps:cNvSpPr/>
                        <wps:spPr>
                          <a:xfrm>
                            <a:off x="5" y="1376359"/>
                            <a:ext cx="665809" cy="155893"/>
                          </a:xfrm>
                          <a:prstGeom prst="rect">
                            <a:avLst/>
                          </a:prstGeom>
                          <a:ln>
                            <a:noFill/>
                          </a:ln>
                        </wps:spPr>
                        <wps:txbx>
                          <w:txbxContent>
                            <w:p w14:paraId="1575C41B" w14:textId="77777777" w:rsidR="00F25E3E" w:rsidRDefault="00000000">
                              <w:pPr>
                                <w:spacing w:after="160" w:line="259" w:lineRule="auto"/>
                                <w:ind w:firstLine="0"/>
                                <w:jc w:val="left"/>
                              </w:pPr>
                              <w:r>
                                <w:rPr>
                                  <w:w w:val="116"/>
                                  <w:sz w:val="19"/>
                                </w:rPr>
                                <w:t>Research</w:t>
                              </w:r>
                            </w:p>
                          </w:txbxContent>
                        </wps:txbx>
                        <wps:bodyPr horzOverflow="overflow" vert="horz" lIns="0" tIns="0" rIns="0" bIns="0" rtlCol="0">
                          <a:noAutofit/>
                        </wps:bodyPr>
                      </wps:wsp>
                      <pic:pic xmlns:pic="http://schemas.openxmlformats.org/drawingml/2006/picture">
                        <pic:nvPicPr>
                          <pic:cNvPr id="22954" name="Picture 22954"/>
                          <pic:cNvPicPr/>
                        </pic:nvPicPr>
                        <pic:blipFill>
                          <a:blip r:embed="rId11"/>
                          <a:stretch>
                            <a:fillRect/>
                          </a:stretch>
                        </pic:blipFill>
                        <pic:spPr>
                          <a:xfrm>
                            <a:off x="5900293" y="1606634"/>
                            <a:ext cx="359664" cy="359664"/>
                          </a:xfrm>
                          <a:prstGeom prst="rect">
                            <a:avLst/>
                          </a:prstGeom>
                        </pic:spPr>
                      </pic:pic>
                      <wps:wsp>
                        <wps:cNvPr id="26" name="Shape 26"/>
                        <wps:cNvSpPr/>
                        <wps:spPr>
                          <a:xfrm>
                            <a:off x="5901893" y="1610533"/>
                            <a:ext cx="357022" cy="357022"/>
                          </a:xfrm>
                          <a:custGeom>
                            <a:avLst/>
                            <a:gdLst/>
                            <a:ahLst/>
                            <a:cxnLst/>
                            <a:rect l="0" t="0" r="0" b="0"/>
                            <a:pathLst>
                              <a:path w="357022" h="357022">
                                <a:moveTo>
                                  <a:pt x="7938" y="0"/>
                                </a:moveTo>
                                <a:lnTo>
                                  <a:pt x="349098" y="0"/>
                                </a:lnTo>
                                <a:cubicBezTo>
                                  <a:pt x="353466" y="0"/>
                                  <a:pt x="357022" y="3556"/>
                                  <a:pt x="357022" y="7938"/>
                                </a:cubicBezTo>
                                <a:lnTo>
                                  <a:pt x="357022" y="349098"/>
                                </a:lnTo>
                                <a:cubicBezTo>
                                  <a:pt x="357022" y="353466"/>
                                  <a:pt x="353466" y="357022"/>
                                  <a:pt x="349098" y="357022"/>
                                </a:cubicBezTo>
                                <a:lnTo>
                                  <a:pt x="7938" y="357022"/>
                                </a:lnTo>
                                <a:cubicBezTo>
                                  <a:pt x="3556" y="357022"/>
                                  <a:pt x="0" y="353466"/>
                                  <a:pt x="0" y="349098"/>
                                </a:cubicBezTo>
                                <a:lnTo>
                                  <a:pt x="0" y="7938"/>
                                </a:lnTo>
                                <a:cubicBezTo>
                                  <a:pt x="0" y="3556"/>
                                  <a:pt x="3556" y="0"/>
                                  <a:pt x="7938" y="0"/>
                                </a:cubicBezTo>
                                <a:close/>
                              </a:path>
                            </a:pathLst>
                          </a:custGeom>
                          <a:ln w="2972" cap="flat">
                            <a:miter lim="127000"/>
                          </a:ln>
                        </wps:spPr>
                        <wps:style>
                          <a:lnRef idx="1">
                            <a:srgbClr val="8C837D"/>
                          </a:lnRef>
                          <a:fillRef idx="0">
                            <a:srgbClr val="000000">
                              <a:alpha val="0"/>
                            </a:srgbClr>
                          </a:fillRef>
                          <a:effectRef idx="0">
                            <a:scrgbClr r="0" g="0" b="0"/>
                          </a:effectRef>
                          <a:fontRef idx="none"/>
                        </wps:style>
                        <wps:bodyPr/>
                      </wps:wsp>
                      <wps:wsp>
                        <wps:cNvPr id="27" name="Shape 27"/>
                        <wps:cNvSpPr/>
                        <wps:spPr>
                          <a:xfrm>
                            <a:off x="5956275" y="1837037"/>
                            <a:ext cx="36182" cy="41465"/>
                          </a:xfrm>
                          <a:custGeom>
                            <a:avLst/>
                            <a:gdLst/>
                            <a:ahLst/>
                            <a:cxnLst/>
                            <a:rect l="0" t="0" r="0" b="0"/>
                            <a:pathLst>
                              <a:path w="36182" h="41465">
                                <a:moveTo>
                                  <a:pt x="19317" y="38"/>
                                </a:moveTo>
                                <a:cubicBezTo>
                                  <a:pt x="21437" y="25"/>
                                  <a:pt x="23558" y="343"/>
                                  <a:pt x="25590" y="952"/>
                                </a:cubicBezTo>
                                <a:cubicBezTo>
                                  <a:pt x="27457" y="1524"/>
                                  <a:pt x="29223" y="2426"/>
                                  <a:pt x="30785" y="3607"/>
                                </a:cubicBezTo>
                                <a:cubicBezTo>
                                  <a:pt x="32258" y="4661"/>
                                  <a:pt x="33515" y="6007"/>
                                  <a:pt x="34480" y="7544"/>
                                </a:cubicBezTo>
                                <a:cubicBezTo>
                                  <a:pt x="35420" y="9309"/>
                                  <a:pt x="36004" y="11252"/>
                                  <a:pt x="36182" y="13246"/>
                                </a:cubicBezTo>
                                <a:lnTo>
                                  <a:pt x="29273" y="13246"/>
                                </a:lnTo>
                                <a:lnTo>
                                  <a:pt x="29273" y="13335"/>
                                </a:lnTo>
                                <a:cubicBezTo>
                                  <a:pt x="29007" y="12230"/>
                                  <a:pt x="28588" y="11163"/>
                                  <a:pt x="28042" y="10160"/>
                                </a:cubicBezTo>
                                <a:cubicBezTo>
                                  <a:pt x="27546" y="9220"/>
                                  <a:pt x="26873" y="8357"/>
                                  <a:pt x="26060" y="7658"/>
                                </a:cubicBezTo>
                                <a:cubicBezTo>
                                  <a:pt x="25222" y="6947"/>
                                  <a:pt x="24244" y="6401"/>
                                  <a:pt x="23203" y="6033"/>
                                </a:cubicBezTo>
                                <a:cubicBezTo>
                                  <a:pt x="21933" y="5613"/>
                                  <a:pt x="20587" y="5410"/>
                                  <a:pt x="19240" y="5436"/>
                                </a:cubicBezTo>
                                <a:cubicBezTo>
                                  <a:pt x="17335" y="5385"/>
                                  <a:pt x="15456" y="5817"/>
                                  <a:pt x="13767" y="6718"/>
                                </a:cubicBezTo>
                                <a:cubicBezTo>
                                  <a:pt x="12255" y="7531"/>
                                  <a:pt x="10960" y="8699"/>
                                  <a:pt x="9995" y="10122"/>
                                </a:cubicBezTo>
                                <a:cubicBezTo>
                                  <a:pt x="9004" y="11608"/>
                                  <a:pt x="8280" y="13259"/>
                                  <a:pt x="7848" y="14999"/>
                                </a:cubicBezTo>
                                <a:cubicBezTo>
                                  <a:pt x="6934" y="18644"/>
                                  <a:pt x="6934" y="22466"/>
                                  <a:pt x="7848" y="26111"/>
                                </a:cubicBezTo>
                                <a:cubicBezTo>
                                  <a:pt x="8280" y="27851"/>
                                  <a:pt x="9004" y="29489"/>
                                  <a:pt x="9995" y="30988"/>
                                </a:cubicBezTo>
                                <a:cubicBezTo>
                                  <a:pt x="10960" y="32410"/>
                                  <a:pt x="12255" y="33592"/>
                                  <a:pt x="13767" y="34392"/>
                                </a:cubicBezTo>
                                <a:cubicBezTo>
                                  <a:pt x="15456" y="35293"/>
                                  <a:pt x="17335" y="35725"/>
                                  <a:pt x="19240" y="35674"/>
                                </a:cubicBezTo>
                                <a:cubicBezTo>
                                  <a:pt x="20599" y="35687"/>
                                  <a:pt x="21958" y="35408"/>
                                  <a:pt x="23203" y="34874"/>
                                </a:cubicBezTo>
                                <a:cubicBezTo>
                                  <a:pt x="24371" y="34354"/>
                                  <a:pt x="25413" y="33604"/>
                                  <a:pt x="26264" y="32652"/>
                                </a:cubicBezTo>
                                <a:cubicBezTo>
                                  <a:pt x="27127" y="31687"/>
                                  <a:pt x="27800" y="30569"/>
                                  <a:pt x="28245" y="29362"/>
                                </a:cubicBezTo>
                                <a:cubicBezTo>
                                  <a:pt x="28740" y="28080"/>
                                  <a:pt x="29045" y="26759"/>
                                  <a:pt x="29197" y="25387"/>
                                </a:cubicBezTo>
                                <a:lnTo>
                                  <a:pt x="35979" y="25387"/>
                                </a:lnTo>
                                <a:cubicBezTo>
                                  <a:pt x="35877" y="27635"/>
                                  <a:pt x="35357" y="29845"/>
                                  <a:pt x="34480" y="31903"/>
                                </a:cubicBezTo>
                                <a:cubicBezTo>
                                  <a:pt x="33642" y="33807"/>
                                  <a:pt x="32448" y="35535"/>
                                  <a:pt x="30937" y="36970"/>
                                </a:cubicBezTo>
                                <a:cubicBezTo>
                                  <a:pt x="29439" y="38418"/>
                                  <a:pt x="27660" y="39522"/>
                                  <a:pt x="25705" y="40272"/>
                                </a:cubicBezTo>
                                <a:cubicBezTo>
                                  <a:pt x="23584" y="41072"/>
                                  <a:pt x="21336" y="41453"/>
                                  <a:pt x="19088" y="41428"/>
                                </a:cubicBezTo>
                                <a:cubicBezTo>
                                  <a:pt x="16345" y="41465"/>
                                  <a:pt x="13640" y="40907"/>
                                  <a:pt x="11150" y="39789"/>
                                </a:cubicBezTo>
                                <a:cubicBezTo>
                                  <a:pt x="8953" y="38710"/>
                                  <a:pt x="7010" y="37186"/>
                                  <a:pt x="5435" y="35306"/>
                                </a:cubicBezTo>
                                <a:cubicBezTo>
                                  <a:pt x="3785" y="33363"/>
                                  <a:pt x="2515" y="31102"/>
                                  <a:pt x="1714" y="28689"/>
                                </a:cubicBezTo>
                                <a:cubicBezTo>
                                  <a:pt x="0" y="23533"/>
                                  <a:pt x="0" y="17971"/>
                                  <a:pt x="1714" y="12814"/>
                                </a:cubicBezTo>
                                <a:cubicBezTo>
                                  <a:pt x="2515" y="10401"/>
                                  <a:pt x="3785" y="8141"/>
                                  <a:pt x="5435" y="6185"/>
                                </a:cubicBezTo>
                                <a:cubicBezTo>
                                  <a:pt x="7086" y="4293"/>
                                  <a:pt x="9106" y="2769"/>
                                  <a:pt x="11392" y="1715"/>
                                </a:cubicBezTo>
                                <a:cubicBezTo>
                                  <a:pt x="13881" y="571"/>
                                  <a:pt x="16586" y="0"/>
                                  <a:pt x="19317" y="38"/>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28" name="Shape 28"/>
                        <wps:cNvSpPr/>
                        <wps:spPr>
                          <a:xfrm>
                            <a:off x="5997969" y="1837761"/>
                            <a:ext cx="25400" cy="39827"/>
                          </a:xfrm>
                          <a:custGeom>
                            <a:avLst/>
                            <a:gdLst/>
                            <a:ahLst/>
                            <a:cxnLst/>
                            <a:rect l="0" t="0" r="0" b="0"/>
                            <a:pathLst>
                              <a:path w="25400" h="39827">
                                <a:moveTo>
                                  <a:pt x="0" y="0"/>
                                </a:moveTo>
                                <a:lnTo>
                                  <a:pt x="6350" y="0"/>
                                </a:lnTo>
                                <a:lnTo>
                                  <a:pt x="6350" y="14757"/>
                                </a:lnTo>
                                <a:cubicBezTo>
                                  <a:pt x="7201" y="13386"/>
                                  <a:pt x="8407" y="12255"/>
                                  <a:pt x="9830" y="11493"/>
                                </a:cubicBezTo>
                                <a:cubicBezTo>
                                  <a:pt x="11405" y="10617"/>
                                  <a:pt x="13195" y="10173"/>
                                  <a:pt x="14999" y="10198"/>
                                </a:cubicBezTo>
                                <a:cubicBezTo>
                                  <a:pt x="17704" y="10033"/>
                                  <a:pt x="20371" y="10909"/>
                                  <a:pt x="22454" y="12649"/>
                                </a:cubicBezTo>
                                <a:cubicBezTo>
                                  <a:pt x="24384" y="14580"/>
                                  <a:pt x="25400" y="17259"/>
                                  <a:pt x="25184" y="19990"/>
                                </a:cubicBezTo>
                                <a:lnTo>
                                  <a:pt x="25184" y="39827"/>
                                </a:lnTo>
                                <a:lnTo>
                                  <a:pt x="18961" y="39827"/>
                                </a:lnTo>
                                <a:lnTo>
                                  <a:pt x="18961" y="21615"/>
                                </a:lnTo>
                                <a:cubicBezTo>
                                  <a:pt x="19050" y="19863"/>
                                  <a:pt x="18542" y="18136"/>
                                  <a:pt x="17526" y="16688"/>
                                </a:cubicBezTo>
                                <a:cubicBezTo>
                                  <a:pt x="16434" y="15608"/>
                                  <a:pt x="14910" y="15062"/>
                                  <a:pt x="13373" y="15189"/>
                                </a:cubicBezTo>
                                <a:cubicBezTo>
                                  <a:pt x="12370" y="15164"/>
                                  <a:pt x="11379" y="15380"/>
                                  <a:pt x="10478" y="15786"/>
                                </a:cubicBezTo>
                                <a:cubicBezTo>
                                  <a:pt x="9627" y="16154"/>
                                  <a:pt x="8890" y="16713"/>
                                  <a:pt x="8293" y="17412"/>
                                </a:cubicBezTo>
                                <a:cubicBezTo>
                                  <a:pt x="7684" y="18123"/>
                                  <a:pt x="7214" y="18948"/>
                                  <a:pt x="6896" y="19837"/>
                                </a:cubicBezTo>
                                <a:cubicBezTo>
                                  <a:pt x="6566" y="20777"/>
                                  <a:pt x="6388" y="21768"/>
                                  <a:pt x="6388" y="22771"/>
                                </a:cubicBezTo>
                                <a:lnTo>
                                  <a:pt x="6388" y="39713"/>
                                </a:lnTo>
                                <a:lnTo>
                                  <a:pt x="38" y="39713"/>
                                </a:lnTo>
                                <a:lnTo>
                                  <a:pt x="38" y="38"/>
                                </a:lnTo>
                                <a:lnTo>
                                  <a:pt x="0"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29" name="Shape 29"/>
                        <wps:cNvSpPr/>
                        <wps:spPr>
                          <a:xfrm>
                            <a:off x="6028373" y="1848056"/>
                            <a:ext cx="13868" cy="30167"/>
                          </a:xfrm>
                          <a:custGeom>
                            <a:avLst/>
                            <a:gdLst/>
                            <a:ahLst/>
                            <a:cxnLst/>
                            <a:rect l="0" t="0" r="0" b="0"/>
                            <a:pathLst>
                              <a:path w="13868" h="30167">
                                <a:moveTo>
                                  <a:pt x="13868" y="0"/>
                                </a:moveTo>
                                <a:lnTo>
                                  <a:pt x="13868" y="5091"/>
                                </a:lnTo>
                                <a:lnTo>
                                  <a:pt x="11011" y="5655"/>
                                </a:lnTo>
                                <a:cubicBezTo>
                                  <a:pt x="10134" y="6024"/>
                                  <a:pt x="9334" y="6570"/>
                                  <a:pt x="8674" y="7281"/>
                                </a:cubicBezTo>
                                <a:cubicBezTo>
                                  <a:pt x="8013" y="7979"/>
                                  <a:pt x="7493" y="8805"/>
                                  <a:pt x="7124" y="9694"/>
                                </a:cubicBezTo>
                                <a:cubicBezTo>
                                  <a:pt x="6731" y="10646"/>
                                  <a:pt x="6515" y="11662"/>
                                  <a:pt x="6490" y="12704"/>
                                </a:cubicBezTo>
                                <a:lnTo>
                                  <a:pt x="13868" y="12704"/>
                                </a:lnTo>
                                <a:lnTo>
                                  <a:pt x="13868" y="16755"/>
                                </a:lnTo>
                                <a:lnTo>
                                  <a:pt x="6469" y="16755"/>
                                </a:lnTo>
                                <a:lnTo>
                                  <a:pt x="6921" y="19854"/>
                                </a:lnTo>
                                <a:cubicBezTo>
                                  <a:pt x="7226" y="20844"/>
                                  <a:pt x="7709" y="21772"/>
                                  <a:pt x="8357" y="22597"/>
                                </a:cubicBezTo>
                                <a:cubicBezTo>
                                  <a:pt x="9004" y="23372"/>
                                  <a:pt x="9817" y="24007"/>
                                  <a:pt x="10731" y="24451"/>
                                </a:cubicBezTo>
                                <a:lnTo>
                                  <a:pt x="13868" y="25097"/>
                                </a:lnTo>
                                <a:lnTo>
                                  <a:pt x="13868" y="30167"/>
                                </a:lnTo>
                                <a:lnTo>
                                  <a:pt x="8077" y="29087"/>
                                </a:lnTo>
                                <a:cubicBezTo>
                                  <a:pt x="6400" y="28401"/>
                                  <a:pt x="4890" y="27334"/>
                                  <a:pt x="3670" y="25988"/>
                                </a:cubicBezTo>
                                <a:cubicBezTo>
                                  <a:pt x="2438" y="24629"/>
                                  <a:pt x="1498" y="23004"/>
                                  <a:pt x="940" y="21238"/>
                                </a:cubicBezTo>
                                <a:cubicBezTo>
                                  <a:pt x="305" y="19270"/>
                                  <a:pt x="0" y="17200"/>
                                  <a:pt x="25" y="15130"/>
                                </a:cubicBezTo>
                                <a:cubicBezTo>
                                  <a:pt x="25" y="13161"/>
                                  <a:pt x="355" y="11193"/>
                                  <a:pt x="1016" y="9338"/>
                                </a:cubicBezTo>
                                <a:cubicBezTo>
                                  <a:pt x="1625" y="7560"/>
                                  <a:pt x="2565" y="5922"/>
                                  <a:pt x="3797" y="4500"/>
                                </a:cubicBezTo>
                                <a:lnTo>
                                  <a:pt x="13868"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0" name="Shape 30"/>
                        <wps:cNvSpPr/>
                        <wps:spPr>
                          <a:xfrm>
                            <a:off x="6042241" y="1868456"/>
                            <a:ext cx="13335" cy="9804"/>
                          </a:xfrm>
                          <a:custGeom>
                            <a:avLst/>
                            <a:gdLst/>
                            <a:ahLst/>
                            <a:cxnLst/>
                            <a:rect l="0" t="0" r="0" b="0"/>
                            <a:pathLst>
                              <a:path w="13335" h="9804">
                                <a:moveTo>
                                  <a:pt x="7341" y="0"/>
                                </a:moveTo>
                                <a:lnTo>
                                  <a:pt x="13335" y="0"/>
                                </a:lnTo>
                                <a:cubicBezTo>
                                  <a:pt x="12726" y="2921"/>
                                  <a:pt x="11062" y="5512"/>
                                  <a:pt x="8649" y="7264"/>
                                </a:cubicBezTo>
                                <a:cubicBezTo>
                                  <a:pt x="7442" y="8128"/>
                                  <a:pt x="6097" y="8763"/>
                                  <a:pt x="4687" y="9169"/>
                                </a:cubicBezTo>
                                <a:cubicBezTo>
                                  <a:pt x="3226" y="9601"/>
                                  <a:pt x="1715" y="9804"/>
                                  <a:pt x="203" y="9804"/>
                                </a:cubicBezTo>
                                <a:lnTo>
                                  <a:pt x="0" y="9766"/>
                                </a:lnTo>
                                <a:lnTo>
                                  <a:pt x="0" y="4697"/>
                                </a:lnTo>
                                <a:lnTo>
                                  <a:pt x="318" y="4763"/>
                                </a:lnTo>
                                <a:cubicBezTo>
                                  <a:pt x="1892" y="4851"/>
                                  <a:pt x="3467" y="4432"/>
                                  <a:pt x="4800" y="3569"/>
                                </a:cubicBezTo>
                                <a:cubicBezTo>
                                  <a:pt x="6007" y="2692"/>
                                  <a:pt x="6896" y="1435"/>
                                  <a:pt x="7341" y="0"/>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1" name="Shape 31"/>
                        <wps:cNvSpPr/>
                        <wps:spPr>
                          <a:xfrm>
                            <a:off x="6042241" y="1848009"/>
                            <a:ext cx="13894" cy="16802"/>
                          </a:xfrm>
                          <a:custGeom>
                            <a:avLst/>
                            <a:gdLst/>
                            <a:ahLst/>
                            <a:cxnLst/>
                            <a:rect l="0" t="0" r="0" b="0"/>
                            <a:pathLst>
                              <a:path w="13894" h="16802">
                                <a:moveTo>
                                  <a:pt x="77" y="13"/>
                                </a:moveTo>
                                <a:cubicBezTo>
                                  <a:pt x="2184" y="0"/>
                                  <a:pt x="4267" y="483"/>
                                  <a:pt x="6147" y="1460"/>
                                </a:cubicBezTo>
                                <a:cubicBezTo>
                                  <a:pt x="7900" y="2362"/>
                                  <a:pt x="9437" y="3645"/>
                                  <a:pt x="10630" y="5220"/>
                                </a:cubicBezTo>
                                <a:cubicBezTo>
                                  <a:pt x="11836" y="6820"/>
                                  <a:pt x="12713" y="8636"/>
                                  <a:pt x="13208" y="10579"/>
                                </a:cubicBezTo>
                                <a:cubicBezTo>
                                  <a:pt x="13754" y="12598"/>
                                  <a:pt x="13894" y="14719"/>
                                  <a:pt x="13640" y="16802"/>
                                </a:cubicBezTo>
                                <a:lnTo>
                                  <a:pt x="0" y="16802"/>
                                </a:lnTo>
                                <a:lnTo>
                                  <a:pt x="0" y="12751"/>
                                </a:lnTo>
                                <a:lnTo>
                                  <a:pt x="7379" y="12751"/>
                                </a:lnTo>
                                <a:lnTo>
                                  <a:pt x="7341" y="12713"/>
                                </a:lnTo>
                                <a:cubicBezTo>
                                  <a:pt x="7265" y="11722"/>
                                  <a:pt x="7062" y="10744"/>
                                  <a:pt x="6706" y="9817"/>
                                </a:cubicBezTo>
                                <a:cubicBezTo>
                                  <a:pt x="6376" y="8941"/>
                                  <a:pt x="5893" y="8103"/>
                                  <a:pt x="5283" y="7404"/>
                                </a:cubicBezTo>
                                <a:cubicBezTo>
                                  <a:pt x="4649" y="6706"/>
                                  <a:pt x="3899" y="6147"/>
                                  <a:pt x="3048" y="5740"/>
                                </a:cubicBezTo>
                                <a:cubicBezTo>
                                  <a:pt x="2146" y="5309"/>
                                  <a:pt x="1156" y="5093"/>
                                  <a:pt x="165" y="5105"/>
                                </a:cubicBezTo>
                                <a:lnTo>
                                  <a:pt x="0" y="5138"/>
                                </a:lnTo>
                                <a:lnTo>
                                  <a:pt x="0" y="47"/>
                                </a:lnTo>
                                <a:lnTo>
                                  <a:pt x="77" y="13"/>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2" name="Shape 32"/>
                        <wps:cNvSpPr/>
                        <wps:spPr>
                          <a:xfrm>
                            <a:off x="6059398" y="1847984"/>
                            <a:ext cx="27115" cy="30480"/>
                          </a:xfrm>
                          <a:custGeom>
                            <a:avLst/>
                            <a:gdLst/>
                            <a:ahLst/>
                            <a:cxnLst/>
                            <a:rect l="0" t="0" r="0" b="0"/>
                            <a:pathLst>
                              <a:path w="27115" h="30480">
                                <a:moveTo>
                                  <a:pt x="14110" y="38"/>
                                </a:moveTo>
                                <a:cubicBezTo>
                                  <a:pt x="15710" y="38"/>
                                  <a:pt x="17311" y="241"/>
                                  <a:pt x="18872" y="673"/>
                                </a:cubicBezTo>
                                <a:cubicBezTo>
                                  <a:pt x="20282" y="1080"/>
                                  <a:pt x="21628" y="1715"/>
                                  <a:pt x="22835" y="2591"/>
                                </a:cubicBezTo>
                                <a:cubicBezTo>
                                  <a:pt x="24003" y="3442"/>
                                  <a:pt x="24968" y="4534"/>
                                  <a:pt x="25692" y="5804"/>
                                </a:cubicBezTo>
                                <a:cubicBezTo>
                                  <a:pt x="26467" y="7214"/>
                                  <a:pt x="26924" y="8788"/>
                                  <a:pt x="27039" y="10401"/>
                                </a:cubicBezTo>
                                <a:lnTo>
                                  <a:pt x="20689" y="10401"/>
                                </a:lnTo>
                                <a:lnTo>
                                  <a:pt x="20727" y="10325"/>
                                </a:lnTo>
                                <a:cubicBezTo>
                                  <a:pt x="20562" y="8763"/>
                                  <a:pt x="19800" y="7341"/>
                                  <a:pt x="18593" y="6350"/>
                                </a:cubicBezTo>
                                <a:cubicBezTo>
                                  <a:pt x="17311" y="5423"/>
                                  <a:pt x="15761" y="4940"/>
                                  <a:pt x="14186" y="5004"/>
                                </a:cubicBezTo>
                                <a:cubicBezTo>
                                  <a:pt x="13297" y="5004"/>
                                  <a:pt x="12408" y="5143"/>
                                  <a:pt x="11570" y="5398"/>
                                </a:cubicBezTo>
                                <a:cubicBezTo>
                                  <a:pt x="10605" y="5702"/>
                                  <a:pt x="9728" y="6236"/>
                                  <a:pt x="9030" y="6947"/>
                                </a:cubicBezTo>
                                <a:cubicBezTo>
                                  <a:pt x="8154" y="7861"/>
                                  <a:pt x="7493" y="8941"/>
                                  <a:pt x="7087" y="10122"/>
                                </a:cubicBezTo>
                                <a:cubicBezTo>
                                  <a:pt x="6503" y="11824"/>
                                  <a:pt x="6223" y="13640"/>
                                  <a:pt x="6286" y="15430"/>
                                </a:cubicBezTo>
                                <a:cubicBezTo>
                                  <a:pt x="6300" y="16637"/>
                                  <a:pt x="6439" y="17843"/>
                                  <a:pt x="6718" y="19012"/>
                                </a:cubicBezTo>
                                <a:cubicBezTo>
                                  <a:pt x="6972" y="20142"/>
                                  <a:pt x="7442" y="21209"/>
                                  <a:pt x="8078" y="22187"/>
                                </a:cubicBezTo>
                                <a:cubicBezTo>
                                  <a:pt x="8675" y="23101"/>
                                  <a:pt x="9475" y="23876"/>
                                  <a:pt x="10414" y="24435"/>
                                </a:cubicBezTo>
                                <a:cubicBezTo>
                                  <a:pt x="11468" y="25044"/>
                                  <a:pt x="12688" y="25349"/>
                                  <a:pt x="13907" y="25324"/>
                                </a:cubicBezTo>
                                <a:cubicBezTo>
                                  <a:pt x="15608" y="25387"/>
                                  <a:pt x="17273" y="24778"/>
                                  <a:pt x="18504" y="23609"/>
                                </a:cubicBezTo>
                                <a:cubicBezTo>
                                  <a:pt x="19800" y="22301"/>
                                  <a:pt x="20600" y="20600"/>
                                  <a:pt x="20765" y="18771"/>
                                </a:cubicBezTo>
                                <a:lnTo>
                                  <a:pt x="27115" y="18771"/>
                                </a:lnTo>
                                <a:cubicBezTo>
                                  <a:pt x="26759" y="22047"/>
                                  <a:pt x="25248" y="25070"/>
                                  <a:pt x="22873" y="27343"/>
                                </a:cubicBezTo>
                                <a:cubicBezTo>
                                  <a:pt x="20371" y="29413"/>
                                  <a:pt x="17183" y="30480"/>
                                  <a:pt x="13945" y="30315"/>
                                </a:cubicBezTo>
                                <a:cubicBezTo>
                                  <a:pt x="11900" y="30353"/>
                                  <a:pt x="9881" y="29959"/>
                                  <a:pt x="8001" y="29159"/>
                                </a:cubicBezTo>
                                <a:cubicBezTo>
                                  <a:pt x="6338" y="28461"/>
                                  <a:pt x="4852" y="27407"/>
                                  <a:pt x="3632" y="26060"/>
                                </a:cubicBezTo>
                                <a:cubicBezTo>
                                  <a:pt x="2426" y="24714"/>
                                  <a:pt x="1499" y="23114"/>
                                  <a:pt x="927" y="21387"/>
                                </a:cubicBezTo>
                                <a:cubicBezTo>
                                  <a:pt x="318" y="19495"/>
                                  <a:pt x="0" y="17501"/>
                                  <a:pt x="26" y="15519"/>
                                </a:cubicBezTo>
                                <a:cubicBezTo>
                                  <a:pt x="0" y="13462"/>
                                  <a:pt x="292" y="11417"/>
                                  <a:pt x="889" y="9449"/>
                                </a:cubicBezTo>
                                <a:cubicBezTo>
                                  <a:pt x="1422" y="7645"/>
                                  <a:pt x="2311" y="5969"/>
                                  <a:pt x="3518" y="4534"/>
                                </a:cubicBezTo>
                                <a:cubicBezTo>
                                  <a:pt x="4712" y="3124"/>
                                  <a:pt x="6223" y="1994"/>
                                  <a:pt x="7913" y="1232"/>
                                </a:cubicBezTo>
                                <a:cubicBezTo>
                                  <a:pt x="9868" y="406"/>
                                  <a:pt x="11976" y="0"/>
                                  <a:pt x="14110" y="38"/>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3" name="Shape 33"/>
                        <wps:cNvSpPr/>
                        <wps:spPr>
                          <a:xfrm>
                            <a:off x="6091581" y="1837761"/>
                            <a:ext cx="26657" cy="39662"/>
                          </a:xfrm>
                          <a:custGeom>
                            <a:avLst/>
                            <a:gdLst/>
                            <a:ahLst/>
                            <a:cxnLst/>
                            <a:rect l="0" t="0" r="0" b="0"/>
                            <a:pathLst>
                              <a:path w="26657" h="39662">
                                <a:moveTo>
                                  <a:pt x="0" y="0"/>
                                </a:moveTo>
                                <a:lnTo>
                                  <a:pt x="203" y="0"/>
                                </a:lnTo>
                                <a:lnTo>
                                  <a:pt x="6553" y="0"/>
                                </a:lnTo>
                                <a:lnTo>
                                  <a:pt x="6553" y="22682"/>
                                </a:lnTo>
                                <a:lnTo>
                                  <a:pt x="17970" y="10795"/>
                                </a:lnTo>
                                <a:lnTo>
                                  <a:pt x="25908" y="10795"/>
                                </a:lnTo>
                                <a:lnTo>
                                  <a:pt x="14770" y="21501"/>
                                </a:lnTo>
                                <a:lnTo>
                                  <a:pt x="26657" y="39662"/>
                                </a:lnTo>
                                <a:lnTo>
                                  <a:pt x="19076" y="39662"/>
                                </a:lnTo>
                                <a:lnTo>
                                  <a:pt x="10325" y="25743"/>
                                </a:lnTo>
                                <a:lnTo>
                                  <a:pt x="6350" y="29388"/>
                                </a:lnTo>
                                <a:lnTo>
                                  <a:pt x="6350" y="39662"/>
                                </a:lnTo>
                                <a:lnTo>
                                  <a:pt x="0" y="39662"/>
                                </a:lnTo>
                                <a:lnTo>
                                  <a:pt x="0"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4" name="Shape 34"/>
                        <wps:cNvSpPr/>
                        <wps:spPr>
                          <a:xfrm>
                            <a:off x="6134036" y="1837697"/>
                            <a:ext cx="17259" cy="39357"/>
                          </a:xfrm>
                          <a:custGeom>
                            <a:avLst/>
                            <a:gdLst/>
                            <a:ahLst/>
                            <a:cxnLst/>
                            <a:rect l="0" t="0" r="0" b="0"/>
                            <a:pathLst>
                              <a:path w="17259" h="39357">
                                <a:moveTo>
                                  <a:pt x="12827" y="51"/>
                                </a:moveTo>
                                <a:cubicBezTo>
                                  <a:pt x="14313" y="0"/>
                                  <a:pt x="15799" y="127"/>
                                  <a:pt x="17259" y="457"/>
                                </a:cubicBezTo>
                                <a:lnTo>
                                  <a:pt x="17259" y="5410"/>
                                </a:lnTo>
                                <a:lnTo>
                                  <a:pt x="15951" y="5182"/>
                                </a:lnTo>
                                <a:lnTo>
                                  <a:pt x="14325" y="5182"/>
                                </a:lnTo>
                                <a:cubicBezTo>
                                  <a:pt x="13551" y="5156"/>
                                  <a:pt x="12802" y="5359"/>
                                  <a:pt x="12141" y="5766"/>
                                </a:cubicBezTo>
                                <a:cubicBezTo>
                                  <a:pt x="11455" y="6350"/>
                                  <a:pt x="11113" y="7252"/>
                                  <a:pt x="11240" y="8141"/>
                                </a:cubicBezTo>
                                <a:lnTo>
                                  <a:pt x="11240" y="10846"/>
                                </a:lnTo>
                                <a:lnTo>
                                  <a:pt x="16637" y="10846"/>
                                </a:lnTo>
                                <a:lnTo>
                                  <a:pt x="16637" y="15558"/>
                                </a:lnTo>
                                <a:lnTo>
                                  <a:pt x="11075" y="15558"/>
                                </a:lnTo>
                                <a:lnTo>
                                  <a:pt x="11075" y="39357"/>
                                </a:lnTo>
                                <a:lnTo>
                                  <a:pt x="4725" y="39357"/>
                                </a:lnTo>
                                <a:lnTo>
                                  <a:pt x="4725" y="15558"/>
                                </a:lnTo>
                                <a:lnTo>
                                  <a:pt x="0" y="15558"/>
                                </a:lnTo>
                                <a:lnTo>
                                  <a:pt x="0" y="10846"/>
                                </a:lnTo>
                                <a:lnTo>
                                  <a:pt x="4725" y="10846"/>
                                </a:lnTo>
                                <a:lnTo>
                                  <a:pt x="4725" y="8458"/>
                                </a:lnTo>
                                <a:cubicBezTo>
                                  <a:pt x="4673" y="6960"/>
                                  <a:pt x="4915" y="5474"/>
                                  <a:pt x="5397" y="4064"/>
                                </a:cubicBezTo>
                                <a:cubicBezTo>
                                  <a:pt x="5753" y="3048"/>
                                  <a:pt x="6376" y="2146"/>
                                  <a:pt x="7176" y="1448"/>
                                </a:cubicBezTo>
                                <a:cubicBezTo>
                                  <a:pt x="7963" y="876"/>
                                  <a:pt x="8877" y="508"/>
                                  <a:pt x="9843" y="368"/>
                                </a:cubicBezTo>
                                <a:cubicBezTo>
                                  <a:pt x="10820" y="153"/>
                                  <a:pt x="11824" y="51"/>
                                  <a:pt x="12827" y="51"/>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5" name="Shape 35"/>
                        <wps:cNvSpPr/>
                        <wps:spPr>
                          <a:xfrm>
                            <a:off x="6153151" y="1849051"/>
                            <a:ext cx="14395" cy="29134"/>
                          </a:xfrm>
                          <a:custGeom>
                            <a:avLst/>
                            <a:gdLst/>
                            <a:ahLst/>
                            <a:cxnLst/>
                            <a:rect l="0" t="0" r="0" b="0"/>
                            <a:pathLst>
                              <a:path w="14395" h="29134">
                                <a:moveTo>
                                  <a:pt x="8382" y="0"/>
                                </a:moveTo>
                                <a:lnTo>
                                  <a:pt x="14395" y="0"/>
                                </a:lnTo>
                                <a:lnTo>
                                  <a:pt x="14395" y="4763"/>
                                </a:lnTo>
                                <a:lnTo>
                                  <a:pt x="10719" y="4763"/>
                                </a:lnTo>
                                <a:cubicBezTo>
                                  <a:pt x="9715" y="5334"/>
                                  <a:pt x="8851" y="6122"/>
                                  <a:pt x="8179" y="7074"/>
                                </a:cubicBezTo>
                                <a:cubicBezTo>
                                  <a:pt x="7493" y="8052"/>
                                  <a:pt x="6997" y="9157"/>
                                  <a:pt x="6718" y="10325"/>
                                </a:cubicBezTo>
                                <a:cubicBezTo>
                                  <a:pt x="6083" y="12738"/>
                                  <a:pt x="6083" y="15278"/>
                                  <a:pt x="6718" y="17704"/>
                                </a:cubicBezTo>
                                <a:cubicBezTo>
                                  <a:pt x="6997" y="18860"/>
                                  <a:pt x="7493" y="19952"/>
                                  <a:pt x="8179" y="20942"/>
                                </a:cubicBezTo>
                                <a:cubicBezTo>
                                  <a:pt x="8788" y="21895"/>
                                  <a:pt x="9601" y="22695"/>
                                  <a:pt x="10566" y="23292"/>
                                </a:cubicBezTo>
                                <a:lnTo>
                                  <a:pt x="14395" y="24126"/>
                                </a:lnTo>
                                <a:lnTo>
                                  <a:pt x="14395" y="29134"/>
                                </a:lnTo>
                                <a:lnTo>
                                  <a:pt x="8382" y="28004"/>
                                </a:lnTo>
                                <a:cubicBezTo>
                                  <a:pt x="6655" y="27305"/>
                                  <a:pt x="5105" y="26238"/>
                                  <a:pt x="3810" y="24879"/>
                                </a:cubicBezTo>
                                <a:cubicBezTo>
                                  <a:pt x="2565" y="23508"/>
                                  <a:pt x="1600" y="21882"/>
                                  <a:pt x="1003" y="20117"/>
                                </a:cubicBezTo>
                                <a:cubicBezTo>
                                  <a:pt x="330" y="18161"/>
                                  <a:pt x="0" y="16091"/>
                                  <a:pt x="12" y="14021"/>
                                </a:cubicBezTo>
                                <a:cubicBezTo>
                                  <a:pt x="0" y="11951"/>
                                  <a:pt x="330" y="9881"/>
                                  <a:pt x="1003" y="7938"/>
                                </a:cubicBezTo>
                                <a:cubicBezTo>
                                  <a:pt x="1600" y="6160"/>
                                  <a:pt x="2553" y="4534"/>
                                  <a:pt x="3810" y="3137"/>
                                </a:cubicBezTo>
                                <a:cubicBezTo>
                                  <a:pt x="5105" y="1791"/>
                                  <a:pt x="6655" y="724"/>
                                  <a:pt x="8382" y="0"/>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6" name="Shape 36"/>
                        <wps:cNvSpPr/>
                        <wps:spPr>
                          <a:xfrm>
                            <a:off x="6167546" y="1849051"/>
                            <a:ext cx="14598" cy="29197"/>
                          </a:xfrm>
                          <a:custGeom>
                            <a:avLst/>
                            <a:gdLst/>
                            <a:ahLst/>
                            <a:cxnLst/>
                            <a:rect l="0" t="0" r="0" b="0"/>
                            <a:pathLst>
                              <a:path w="14598" h="29197">
                                <a:moveTo>
                                  <a:pt x="0" y="0"/>
                                </a:moveTo>
                                <a:lnTo>
                                  <a:pt x="6242" y="0"/>
                                </a:lnTo>
                                <a:cubicBezTo>
                                  <a:pt x="7969" y="724"/>
                                  <a:pt x="9519" y="1791"/>
                                  <a:pt x="10802" y="3137"/>
                                </a:cubicBezTo>
                                <a:cubicBezTo>
                                  <a:pt x="12071" y="4534"/>
                                  <a:pt x="13024" y="6160"/>
                                  <a:pt x="13608" y="7938"/>
                                </a:cubicBezTo>
                                <a:cubicBezTo>
                                  <a:pt x="14281" y="9893"/>
                                  <a:pt x="14598" y="11951"/>
                                  <a:pt x="14574" y="14021"/>
                                </a:cubicBezTo>
                                <a:cubicBezTo>
                                  <a:pt x="14598" y="16091"/>
                                  <a:pt x="14281" y="18148"/>
                                  <a:pt x="13608" y="20117"/>
                                </a:cubicBezTo>
                                <a:cubicBezTo>
                                  <a:pt x="13024" y="21882"/>
                                  <a:pt x="12071" y="23508"/>
                                  <a:pt x="10802" y="24879"/>
                                </a:cubicBezTo>
                                <a:cubicBezTo>
                                  <a:pt x="9519" y="26238"/>
                                  <a:pt x="7969" y="27305"/>
                                  <a:pt x="6242" y="28004"/>
                                </a:cubicBezTo>
                                <a:cubicBezTo>
                                  <a:pt x="4299" y="28804"/>
                                  <a:pt x="2216" y="29197"/>
                                  <a:pt x="133" y="29159"/>
                                </a:cubicBezTo>
                                <a:lnTo>
                                  <a:pt x="0" y="29134"/>
                                </a:lnTo>
                                <a:lnTo>
                                  <a:pt x="0" y="24126"/>
                                </a:lnTo>
                                <a:lnTo>
                                  <a:pt x="133" y="24156"/>
                                </a:lnTo>
                                <a:cubicBezTo>
                                  <a:pt x="1365" y="24168"/>
                                  <a:pt x="2572" y="23876"/>
                                  <a:pt x="3651" y="23292"/>
                                </a:cubicBezTo>
                                <a:cubicBezTo>
                                  <a:pt x="4667" y="22708"/>
                                  <a:pt x="5544" y="21908"/>
                                  <a:pt x="6191" y="20942"/>
                                </a:cubicBezTo>
                                <a:cubicBezTo>
                                  <a:pt x="6877" y="19952"/>
                                  <a:pt x="7372" y="18860"/>
                                  <a:pt x="7677" y="17704"/>
                                </a:cubicBezTo>
                                <a:cubicBezTo>
                                  <a:pt x="8312" y="15278"/>
                                  <a:pt x="8312" y="12738"/>
                                  <a:pt x="7677" y="10325"/>
                                </a:cubicBezTo>
                                <a:cubicBezTo>
                                  <a:pt x="7385" y="9157"/>
                                  <a:pt x="6877" y="8052"/>
                                  <a:pt x="6191" y="7074"/>
                                </a:cubicBezTo>
                                <a:cubicBezTo>
                                  <a:pt x="5531" y="6122"/>
                                  <a:pt x="4667" y="5334"/>
                                  <a:pt x="3651" y="4763"/>
                                </a:cubicBezTo>
                                <a:lnTo>
                                  <a:pt x="0" y="4763"/>
                                </a:lnTo>
                                <a:lnTo>
                                  <a:pt x="0"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7" name="Shape 37"/>
                        <wps:cNvSpPr/>
                        <wps:spPr>
                          <a:xfrm>
                            <a:off x="6187313" y="1848543"/>
                            <a:ext cx="165" cy="0"/>
                          </a:xfrm>
                          <a:custGeom>
                            <a:avLst/>
                            <a:gdLst/>
                            <a:ahLst/>
                            <a:cxnLst/>
                            <a:rect l="0" t="0" r="0" b="0"/>
                            <a:pathLst>
                              <a:path w="165">
                                <a:moveTo>
                                  <a:pt x="165" y="0"/>
                                </a:moveTo>
                                <a:lnTo>
                                  <a:pt x="0"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8" name="Shape 38"/>
                        <wps:cNvSpPr/>
                        <wps:spPr>
                          <a:xfrm>
                            <a:off x="6187478" y="1847984"/>
                            <a:ext cx="16776" cy="29591"/>
                          </a:xfrm>
                          <a:custGeom>
                            <a:avLst/>
                            <a:gdLst/>
                            <a:ahLst/>
                            <a:cxnLst/>
                            <a:rect l="0" t="0" r="0" b="0"/>
                            <a:pathLst>
                              <a:path w="16776" h="29591">
                                <a:moveTo>
                                  <a:pt x="14275" y="0"/>
                                </a:moveTo>
                                <a:lnTo>
                                  <a:pt x="16776" y="0"/>
                                </a:lnTo>
                                <a:lnTo>
                                  <a:pt x="16776" y="6109"/>
                                </a:lnTo>
                                <a:lnTo>
                                  <a:pt x="14071" y="6109"/>
                                </a:lnTo>
                                <a:cubicBezTo>
                                  <a:pt x="13043" y="6109"/>
                                  <a:pt x="12014" y="6325"/>
                                  <a:pt x="11061" y="6744"/>
                                </a:cubicBezTo>
                                <a:cubicBezTo>
                                  <a:pt x="10109" y="7176"/>
                                  <a:pt x="9271" y="7836"/>
                                  <a:pt x="8598" y="8649"/>
                                </a:cubicBezTo>
                                <a:cubicBezTo>
                                  <a:pt x="7862" y="9563"/>
                                  <a:pt x="7289" y="10617"/>
                                  <a:pt x="6947" y="11748"/>
                                </a:cubicBezTo>
                                <a:cubicBezTo>
                                  <a:pt x="6515" y="13107"/>
                                  <a:pt x="6312" y="14529"/>
                                  <a:pt x="6350" y="15951"/>
                                </a:cubicBezTo>
                                <a:lnTo>
                                  <a:pt x="6350" y="29591"/>
                                </a:lnTo>
                                <a:lnTo>
                                  <a:pt x="0" y="29591"/>
                                </a:lnTo>
                                <a:lnTo>
                                  <a:pt x="0" y="559"/>
                                </a:lnTo>
                                <a:lnTo>
                                  <a:pt x="5791" y="559"/>
                                </a:lnTo>
                                <a:lnTo>
                                  <a:pt x="5791" y="6109"/>
                                </a:lnTo>
                                <a:cubicBezTo>
                                  <a:pt x="5982" y="5296"/>
                                  <a:pt x="6362" y="4521"/>
                                  <a:pt x="6858" y="3848"/>
                                </a:cubicBezTo>
                                <a:cubicBezTo>
                                  <a:pt x="7417" y="3086"/>
                                  <a:pt x="8065" y="2413"/>
                                  <a:pt x="8801" y="1829"/>
                                </a:cubicBezTo>
                                <a:cubicBezTo>
                                  <a:pt x="9627" y="1270"/>
                                  <a:pt x="10516" y="838"/>
                                  <a:pt x="11455" y="559"/>
                                </a:cubicBezTo>
                                <a:cubicBezTo>
                                  <a:pt x="12344" y="190"/>
                                  <a:pt x="13309" y="0"/>
                                  <a:pt x="14275" y="0"/>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39" name="Shape 39"/>
                        <wps:cNvSpPr/>
                        <wps:spPr>
                          <a:xfrm>
                            <a:off x="5977992" y="1900118"/>
                            <a:ext cx="25209" cy="29985"/>
                          </a:xfrm>
                          <a:custGeom>
                            <a:avLst/>
                            <a:gdLst/>
                            <a:ahLst/>
                            <a:cxnLst/>
                            <a:rect l="0" t="0" r="0" b="0"/>
                            <a:pathLst>
                              <a:path w="25209" h="29985">
                                <a:moveTo>
                                  <a:pt x="216" y="0"/>
                                </a:moveTo>
                                <a:lnTo>
                                  <a:pt x="6566" y="0"/>
                                </a:lnTo>
                                <a:lnTo>
                                  <a:pt x="6566" y="17602"/>
                                </a:lnTo>
                                <a:cubicBezTo>
                                  <a:pt x="6388" y="19494"/>
                                  <a:pt x="6896" y="21374"/>
                                  <a:pt x="7988" y="22911"/>
                                </a:cubicBezTo>
                                <a:cubicBezTo>
                                  <a:pt x="9042" y="23965"/>
                                  <a:pt x="10477" y="24524"/>
                                  <a:pt x="11963" y="24460"/>
                                </a:cubicBezTo>
                                <a:cubicBezTo>
                                  <a:pt x="13030" y="24536"/>
                                  <a:pt x="14110" y="24384"/>
                                  <a:pt x="15138" y="24028"/>
                                </a:cubicBezTo>
                                <a:cubicBezTo>
                                  <a:pt x="15977" y="23673"/>
                                  <a:pt x="16726" y="23114"/>
                                  <a:pt x="17310" y="22403"/>
                                </a:cubicBezTo>
                                <a:cubicBezTo>
                                  <a:pt x="17894" y="21692"/>
                                  <a:pt x="18288" y="20841"/>
                                  <a:pt x="18504" y="19952"/>
                                </a:cubicBezTo>
                                <a:cubicBezTo>
                                  <a:pt x="18758" y="18936"/>
                                  <a:pt x="18872" y="17894"/>
                                  <a:pt x="18859" y="16853"/>
                                </a:cubicBezTo>
                                <a:lnTo>
                                  <a:pt x="18859" y="0"/>
                                </a:lnTo>
                                <a:lnTo>
                                  <a:pt x="25209" y="0"/>
                                </a:lnTo>
                                <a:lnTo>
                                  <a:pt x="25209" y="28715"/>
                                </a:lnTo>
                                <a:lnTo>
                                  <a:pt x="25171" y="28867"/>
                                </a:lnTo>
                                <a:lnTo>
                                  <a:pt x="19101" y="28867"/>
                                </a:lnTo>
                                <a:lnTo>
                                  <a:pt x="19101" y="24892"/>
                                </a:lnTo>
                                <a:cubicBezTo>
                                  <a:pt x="18313" y="26378"/>
                                  <a:pt x="17107" y="27584"/>
                                  <a:pt x="15659" y="28397"/>
                                </a:cubicBezTo>
                                <a:cubicBezTo>
                                  <a:pt x="14237" y="29235"/>
                                  <a:pt x="12611" y="29680"/>
                                  <a:pt x="10973" y="29705"/>
                                </a:cubicBezTo>
                                <a:cubicBezTo>
                                  <a:pt x="7950" y="29985"/>
                                  <a:pt x="4966" y="28969"/>
                                  <a:pt x="2756" y="26886"/>
                                </a:cubicBezTo>
                                <a:cubicBezTo>
                                  <a:pt x="901" y="24486"/>
                                  <a:pt x="0" y="21476"/>
                                  <a:pt x="216" y="18440"/>
                                </a:cubicBezTo>
                                <a:lnTo>
                                  <a:pt x="216"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0" name="Shape 40"/>
                        <wps:cNvSpPr/>
                        <wps:spPr>
                          <a:xfrm>
                            <a:off x="6009907" y="1899609"/>
                            <a:ext cx="14191" cy="40170"/>
                          </a:xfrm>
                          <a:custGeom>
                            <a:avLst/>
                            <a:gdLst/>
                            <a:ahLst/>
                            <a:cxnLst/>
                            <a:rect l="0" t="0" r="0" b="0"/>
                            <a:pathLst>
                              <a:path w="14191" h="40170">
                                <a:moveTo>
                                  <a:pt x="14191" y="0"/>
                                </a:moveTo>
                                <a:lnTo>
                                  <a:pt x="14191" y="4568"/>
                                </a:lnTo>
                                <a:lnTo>
                                  <a:pt x="8204" y="7328"/>
                                </a:lnTo>
                                <a:cubicBezTo>
                                  <a:pt x="6769" y="9513"/>
                                  <a:pt x="6058" y="12091"/>
                                  <a:pt x="6185" y="14707"/>
                                </a:cubicBezTo>
                                <a:cubicBezTo>
                                  <a:pt x="6185" y="16053"/>
                                  <a:pt x="6350" y="17387"/>
                                  <a:pt x="6706" y="18682"/>
                                </a:cubicBezTo>
                                <a:cubicBezTo>
                                  <a:pt x="7010" y="19825"/>
                                  <a:pt x="7557" y="20917"/>
                                  <a:pt x="8293" y="21857"/>
                                </a:cubicBezTo>
                                <a:cubicBezTo>
                                  <a:pt x="8992" y="22873"/>
                                  <a:pt x="9906" y="23711"/>
                                  <a:pt x="10985" y="24308"/>
                                </a:cubicBezTo>
                                <a:lnTo>
                                  <a:pt x="14191" y="25059"/>
                                </a:lnTo>
                                <a:lnTo>
                                  <a:pt x="14191" y="29993"/>
                                </a:lnTo>
                                <a:lnTo>
                                  <a:pt x="13170" y="29909"/>
                                </a:lnTo>
                                <a:cubicBezTo>
                                  <a:pt x="12255" y="29744"/>
                                  <a:pt x="11366" y="29464"/>
                                  <a:pt x="10516" y="29109"/>
                                </a:cubicBezTo>
                                <a:cubicBezTo>
                                  <a:pt x="9665" y="28740"/>
                                  <a:pt x="8877" y="28258"/>
                                  <a:pt x="8166" y="27686"/>
                                </a:cubicBezTo>
                                <a:cubicBezTo>
                                  <a:pt x="7455" y="27127"/>
                                  <a:pt x="6833" y="26429"/>
                                  <a:pt x="6350" y="25667"/>
                                </a:cubicBezTo>
                                <a:lnTo>
                                  <a:pt x="6350" y="40170"/>
                                </a:lnTo>
                                <a:lnTo>
                                  <a:pt x="0" y="40170"/>
                                </a:lnTo>
                                <a:lnTo>
                                  <a:pt x="0" y="508"/>
                                </a:lnTo>
                                <a:lnTo>
                                  <a:pt x="114" y="508"/>
                                </a:lnTo>
                                <a:lnTo>
                                  <a:pt x="6109" y="508"/>
                                </a:lnTo>
                                <a:lnTo>
                                  <a:pt x="6109" y="4471"/>
                                </a:lnTo>
                                <a:cubicBezTo>
                                  <a:pt x="6922" y="2909"/>
                                  <a:pt x="8230" y="1651"/>
                                  <a:pt x="9842" y="902"/>
                                </a:cubicBezTo>
                                <a:lnTo>
                                  <a:pt x="14191"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1" name="Shape 41"/>
                        <wps:cNvSpPr/>
                        <wps:spPr>
                          <a:xfrm>
                            <a:off x="6024098" y="1899393"/>
                            <a:ext cx="14270" cy="30404"/>
                          </a:xfrm>
                          <a:custGeom>
                            <a:avLst/>
                            <a:gdLst/>
                            <a:ahLst/>
                            <a:cxnLst/>
                            <a:rect l="0" t="0" r="0" b="0"/>
                            <a:pathLst>
                              <a:path w="14270" h="30404">
                                <a:moveTo>
                                  <a:pt x="795" y="51"/>
                                </a:moveTo>
                                <a:cubicBezTo>
                                  <a:pt x="2839" y="0"/>
                                  <a:pt x="4859" y="419"/>
                                  <a:pt x="6713" y="1232"/>
                                </a:cubicBezTo>
                                <a:cubicBezTo>
                                  <a:pt x="8351" y="2007"/>
                                  <a:pt x="9786" y="3137"/>
                                  <a:pt x="10916" y="4534"/>
                                </a:cubicBezTo>
                                <a:cubicBezTo>
                                  <a:pt x="12060" y="5982"/>
                                  <a:pt x="12910" y="7645"/>
                                  <a:pt x="13419" y="9411"/>
                                </a:cubicBezTo>
                                <a:cubicBezTo>
                                  <a:pt x="13990" y="11341"/>
                                  <a:pt x="14270" y="13348"/>
                                  <a:pt x="14244" y="15354"/>
                                </a:cubicBezTo>
                                <a:cubicBezTo>
                                  <a:pt x="14244" y="17247"/>
                                  <a:pt x="13990" y="19126"/>
                                  <a:pt x="13495" y="20955"/>
                                </a:cubicBezTo>
                                <a:cubicBezTo>
                                  <a:pt x="13037" y="22682"/>
                                  <a:pt x="12275" y="24308"/>
                                  <a:pt x="11234" y="25756"/>
                                </a:cubicBezTo>
                                <a:cubicBezTo>
                                  <a:pt x="10193" y="27153"/>
                                  <a:pt x="8834" y="28296"/>
                                  <a:pt x="7272" y="29083"/>
                                </a:cubicBezTo>
                                <a:cubicBezTo>
                                  <a:pt x="5557" y="29972"/>
                                  <a:pt x="3665" y="30404"/>
                                  <a:pt x="1760" y="30353"/>
                                </a:cubicBezTo>
                                <a:lnTo>
                                  <a:pt x="0" y="30208"/>
                                </a:lnTo>
                                <a:lnTo>
                                  <a:pt x="0" y="25275"/>
                                </a:lnTo>
                                <a:lnTo>
                                  <a:pt x="210" y="25324"/>
                                </a:lnTo>
                                <a:cubicBezTo>
                                  <a:pt x="1430" y="25362"/>
                                  <a:pt x="2649" y="25095"/>
                                  <a:pt x="3741" y="24524"/>
                                </a:cubicBezTo>
                                <a:cubicBezTo>
                                  <a:pt x="4719" y="23952"/>
                                  <a:pt x="5557" y="23165"/>
                                  <a:pt x="6205" y="22225"/>
                                </a:cubicBezTo>
                                <a:cubicBezTo>
                                  <a:pt x="6853" y="21247"/>
                                  <a:pt x="7335" y="20155"/>
                                  <a:pt x="7589" y="19012"/>
                                </a:cubicBezTo>
                                <a:cubicBezTo>
                                  <a:pt x="7881" y="17793"/>
                                  <a:pt x="8021" y="16535"/>
                                  <a:pt x="8021" y="15278"/>
                                </a:cubicBezTo>
                                <a:lnTo>
                                  <a:pt x="8021" y="15126"/>
                                </a:lnTo>
                                <a:cubicBezTo>
                                  <a:pt x="8034" y="13780"/>
                                  <a:pt x="7869" y="12446"/>
                                  <a:pt x="7513" y="11151"/>
                                </a:cubicBezTo>
                                <a:cubicBezTo>
                                  <a:pt x="7195" y="9982"/>
                                  <a:pt x="6688" y="8890"/>
                                  <a:pt x="6002" y="7900"/>
                                </a:cubicBezTo>
                                <a:cubicBezTo>
                                  <a:pt x="5341" y="6972"/>
                                  <a:pt x="4478" y="6210"/>
                                  <a:pt x="3500" y="5652"/>
                                </a:cubicBezTo>
                                <a:cubicBezTo>
                                  <a:pt x="2446" y="5055"/>
                                  <a:pt x="1265" y="4750"/>
                                  <a:pt x="45" y="4763"/>
                                </a:cubicBezTo>
                                <a:lnTo>
                                  <a:pt x="0" y="4783"/>
                                </a:lnTo>
                                <a:lnTo>
                                  <a:pt x="0" y="216"/>
                                </a:lnTo>
                                <a:lnTo>
                                  <a:pt x="795" y="51"/>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2" name="Shape 42"/>
                        <wps:cNvSpPr/>
                        <wps:spPr>
                          <a:xfrm>
                            <a:off x="6042444" y="1899356"/>
                            <a:ext cx="14161" cy="30366"/>
                          </a:xfrm>
                          <a:custGeom>
                            <a:avLst/>
                            <a:gdLst/>
                            <a:ahLst/>
                            <a:cxnLst/>
                            <a:rect l="0" t="0" r="0" b="0"/>
                            <a:pathLst>
                              <a:path w="14161" h="30366">
                                <a:moveTo>
                                  <a:pt x="12497" y="0"/>
                                </a:moveTo>
                                <a:lnTo>
                                  <a:pt x="14161" y="147"/>
                                </a:lnTo>
                                <a:lnTo>
                                  <a:pt x="14161" y="5156"/>
                                </a:lnTo>
                                <a:cubicBezTo>
                                  <a:pt x="12840" y="5105"/>
                                  <a:pt x="11532" y="5436"/>
                                  <a:pt x="10389" y="6071"/>
                                </a:cubicBezTo>
                                <a:cubicBezTo>
                                  <a:pt x="9385" y="6655"/>
                                  <a:pt x="8534" y="7480"/>
                                  <a:pt x="7887" y="8445"/>
                                </a:cubicBezTo>
                                <a:cubicBezTo>
                                  <a:pt x="7227" y="9461"/>
                                  <a:pt x="6757" y="10592"/>
                                  <a:pt x="6503" y="11786"/>
                                </a:cubicBezTo>
                                <a:cubicBezTo>
                                  <a:pt x="6274" y="13030"/>
                                  <a:pt x="6172" y="14313"/>
                                  <a:pt x="6224" y="15596"/>
                                </a:cubicBezTo>
                                <a:cubicBezTo>
                                  <a:pt x="6224" y="16802"/>
                                  <a:pt x="6389" y="18021"/>
                                  <a:pt x="6706" y="19202"/>
                                </a:cubicBezTo>
                                <a:cubicBezTo>
                                  <a:pt x="6986" y="20333"/>
                                  <a:pt x="7468" y="21412"/>
                                  <a:pt x="8128" y="22377"/>
                                </a:cubicBezTo>
                                <a:cubicBezTo>
                                  <a:pt x="8763" y="23292"/>
                                  <a:pt x="9614" y="24041"/>
                                  <a:pt x="10592" y="24600"/>
                                </a:cubicBezTo>
                                <a:lnTo>
                                  <a:pt x="14161" y="24600"/>
                                </a:lnTo>
                                <a:lnTo>
                                  <a:pt x="14161" y="30174"/>
                                </a:lnTo>
                                <a:lnTo>
                                  <a:pt x="13488" y="30315"/>
                                </a:lnTo>
                                <a:cubicBezTo>
                                  <a:pt x="11443" y="30366"/>
                                  <a:pt x="9423" y="29946"/>
                                  <a:pt x="7569" y="29121"/>
                                </a:cubicBezTo>
                                <a:cubicBezTo>
                                  <a:pt x="5944" y="28359"/>
                                  <a:pt x="4509" y="27241"/>
                                  <a:pt x="3366" y="25870"/>
                                </a:cubicBezTo>
                                <a:cubicBezTo>
                                  <a:pt x="2210" y="24422"/>
                                  <a:pt x="1372" y="22758"/>
                                  <a:pt x="877" y="20980"/>
                                </a:cubicBezTo>
                                <a:cubicBezTo>
                                  <a:pt x="305" y="19024"/>
                                  <a:pt x="26" y="16993"/>
                                  <a:pt x="39" y="14961"/>
                                </a:cubicBezTo>
                                <a:cubicBezTo>
                                  <a:pt x="0" y="12674"/>
                                  <a:pt x="356" y="10401"/>
                                  <a:pt x="1105" y="8255"/>
                                </a:cubicBezTo>
                                <a:cubicBezTo>
                                  <a:pt x="1715" y="6528"/>
                                  <a:pt x="2680" y="4927"/>
                                  <a:pt x="3925" y="3569"/>
                                </a:cubicBezTo>
                                <a:cubicBezTo>
                                  <a:pt x="5029" y="2375"/>
                                  <a:pt x="6389" y="1460"/>
                                  <a:pt x="7887" y="864"/>
                                </a:cubicBezTo>
                                <a:cubicBezTo>
                                  <a:pt x="9347" y="292"/>
                                  <a:pt x="10909" y="0"/>
                                  <a:pt x="12497" y="0"/>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3" name="Shape 43"/>
                        <wps:cNvSpPr/>
                        <wps:spPr>
                          <a:xfrm>
                            <a:off x="6056605" y="1889399"/>
                            <a:ext cx="14274" cy="40131"/>
                          </a:xfrm>
                          <a:custGeom>
                            <a:avLst/>
                            <a:gdLst/>
                            <a:ahLst/>
                            <a:cxnLst/>
                            <a:rect l="0" t="0" r="0" b="0"/>
                            <a:pathLst>
                              <a:path w="14274" h="40131">
                                <a:moveTo>
                                  <a:pt x="7924" y="0"/>
                                </a:moveTo>
                                <a:lnTo>
                                  <a:pt x="14274" y="0"/>
                                </a:lnTo>
                                <a:lnTo>
                                  <a:pt x="14274" y="39675"/>
                                </a:lnTo>
                                <a:lnTo>
                                  <a:pt x="14236" y="39586"/>
                                </a:lnTo>
                                <a:lnTo>
                                  <a:pt x="8204" y="39586"/>
                                </a:lnTo>
                                <a:lnTo>
                                  <a:pt x="8204" y="35611"/>
                                </a:lnTo>
                                <a:cubicBezTo>
                                  <a:pt x="7429" y="37211"/>
                                  <a:pt x="6108" y="38481"/>
                                  <a:pt x="4483" y="39192"/>
                                </a:cubicBezTo>
                                <a:lnTo>
                                  <a:pt x="0" y="40131"/>
                                </a:lnTo>
                                <a:lnTo>
                                  <a:pt x="0" y="34557"/>
                                </a:lnTo>
                                <a:lnTo>
                                  <a:pt x="3607" y="34557"/>
                                </a:lnTo>
                                <a:cubicBezTo>
                                  <a:pt x="4610" y="33985"/>
                                  <a:pt x="5473" y="33172"/>
                                  <a:pt x="6108" y="32220"/>
                                </a:cubicBezTo>
                                <a:cubicBezTo>
                                  <a:pt x="6769" y="31217"/>
                                  <a:pt x="7251" y="30125"/>
                                  <a:pt x="7531" y="28956"/>
                                </a:cubicBezTo>
                                <a:cubicBezTo>
                                  <a:pt x="7835" y="27724"/>
                                  <a:pt x="7962" y="26467"/>
                                  <a:pt x="7924" y="25197"/>
                                </a:cubicBezTo>
                                <a:cubicBezTo>
                                  <a:pt x="8103" y="22530"/>
                                  <a:pt x="7340" y="19901"/>
                                  <a:pt x="5791" y="17729"/>
                                </a:cubicBezTo>
                                <a:cubicBezTo>
                                  <a:pt x="4394" y="15989"/>
                                  <a:pt x="2235" y="15011"/>
                                  <a:pt x="0" y="15113"/>
                                </a:cubicBezTo>
                                <a:lnTo>
                                  <a:pt x="0" y="10104"/>
                                </a:lnTo>
                                <a:lnTo>
                                  <a:pt x="1067" y="10198"/>
                                </a:lnTo>
                                <a:cubicBezTo>
                                  <a:pt x="1980" y="10351"/>
                                  <a:pt x="2870" y="10630"/>
                                  <a:pt x="3721" y="10986"/>
                                </a:cubicBezTo>
                                <a:cubicBezTo>
                                  <a:pt x="4559" y="11354"/>
                                  <a:pt x="5346" y="11836"/>
                                  <a:pt x="6058" y="12408"/>
                                </a:cubicBezTo>
                                <a:cubicBezTo>
                                  <a:pt x="6820" y="13056"/>
                                  <a:pt x="7455" y="13818"/>
                                  <a:pt x="7924" y="14681"/>
                                </a:cubicBezTo>
                                <a:lnTo>
                                  <a:pt x="7924"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4" name="Shape 44"/>
                        <wps:cNvSpPr/>
                        <wps:spPr>
                          <a:xfrm>
                            <a:off x="6076099" y="1912327"/>
                            <a:ext cx="12802" cy="17306"/>
                          </a:xfrm>
                          <a:custGeom>
                            <a:avLst/>
                            <a:gdLst/>
                            <a:ahLst/>
                            <a:cxnLst/>
                            <a:rect l="0" t="0" r="0" b="0"/>
                            <a:pathLst>
                              <a:path w="12802" h="17306">
                                <a:moveTo>
                                  <a:pt x="12802" y="0"/>
                                </a:moveTo>
                                <a:lnTo>
                                  <a:pt x="12802" y="3909"/>
                                </a:lnTo>
                                <a:lnTo>
                                  <a:pt x="11532" y="4085"/>
                                </a:lnTo>
                                <a:cubicBezTo>
                                  <a:pt x="10871" y="4212"/>
                                  <a:pt x="10223" y="4352"/>
                                  <a:pt x="9589" y="4568"/>
                                </a:cubicBezTo>
                                <a:cubicBezTo>
                                  <a:pt x="8992" y="4746"/>
                                  <a:pt x="8433" y="5038"/>
                                  <a:pt x="7913" y="5393"/>
                                </a:cubicBezTo>
                                <a:cubicBezTo>
                                  <a:pt x="7417" y="5762"/>
                                  <a:pt x="7036" y="6232"/>
                                  <a:pt x="6769" y="6790"/>
                                </a:cubicBezTo>
                                <a:cubicBezTo>
                                  <a:pt x="6465" y="7438"/>
                                  <a:pt x="6312" y="8162"/>
                                  <a:pt x="6338" y="8898"/>
                                </a:cubicBezTo>
                                <a:cubicBezTo>
                                  <a:pt x="6300" y="9534"/>
                                  <a:pt x="6515" y="10169"/>
                                  <a:pt x="6922" y="10664"/>
                                </a:cubicBezTo>
                                <a:cubicBezTo>
                                  <a:pt x="7328" y="11146"/>
                                  <a:pt x="7836" y="11553"/>
                                  <a:pt x="8395" y="11819"/>
                                </a:cubicBezTo>
                                <a:cubicBezTo>
                                  <a:pt x="8992" y="12124"/>
                                  <a:pt x="9640" y="12315"/>
                                  <a:pt x="10300" y="12416"/>
                                </a:cubicBezTo>
                                <a:cubicBezTo>
                                  <a:pt x="10923" y="12467"/>
                                  <a:pt x="11544" y="12467"/>
                                  <a:pt x="12167" y="12416"/>
                                </a:cubicBezTo>
                                <a:lnTo>
                                  <a:pt x="12802" y="12341"/>
                                </a:lnTo>
                                <a:lnTo>
                                  <a:pt x="12802" y="16843"/>
                                </a:lnTo>
                                <a:lnTo>
                                  <a:pt x="9906" y="17293"/>
                                </a:lnTo>
                                <a:cubicBezTo>
                                  <a:pt x="8636" y="17306"/>
                                  <a:pt x="7379" y="17128"/>
                                  <a:pt x="6172" y="16785"/>
                                </a:cubicBezTo>
                                <a:cubicBezTo>
                                  <a:pt x="5068" y="16557"/>
                                  <a:pt x="4001" y="16138"/>
                                  <a:pt x="3035" y="15553"/>
                                </a:cubicBezTo>
                                <a:cubicBezTo>
                                  <a:pt x="2121" y="14855"/>
                                  <a:pt x="1372" y="13966"/>
                                  <a:pt x="851" y="12937"/>
                                </a:cubicBezTo>
                                <a:cubicBezTo>
                                  <a:pt x="292" y="11781"/>
                                  <a:pt x="26" y="10524"/>
                                  <a:pt x="64" y="9241"/>
                                </a:cubicBezTo>
                                <a:cubicBezTo>
                                  <a:pt x="0" y="7743"/>
                                  <a:pt x="343" y="6257"/>
                                  <a:pt x="1054" y="4923"/>
                                </a:cubicBezTo>
                                <a:cubicBezTo>
                                  <a:pt x="1664" y="3844"/>
                                  <a:pt x="2540" y="2942"/>
                                  <a:pt x="3594" y="2307"/>
                                </a:cubicBezTo>
                                <a:cubicBezTo>
                                  <a:pt x="4699" y="1647"/>
                                  <a:pt x="5906" y="1202"/>
                                  <a:pt x="7163" y="961"/>
                                </a:cubicBezTo>
                                <a:cubicBezTo>
                                  <a:pt x="8484" y="656"/>
                                  <a:pt x="9805" y="453"/>
                                  <a:pt x="11126" y="326"/>
                                </a:cubicBezTo>
                                <a:lnTo>
                                  <a:pt x="12802"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5" name="Shape 45"/>
                        <wps:cNvSpPr/>
                        <wps:spPr>
                          <a:xfrm>
                            <a:off x="6077229" y="1899832"/>
                            <a:ext cx="11671" cy="9404"/>
                          </a:xfrm>
                          <a:custGeom>
                            <a:avLst/>
                            <a:gdLst/>
                            <a:ahLst/>
                            <a:cxnLst/>
                            <a:rect l="0" t="0" r="0" b="0"/>
                            <a:pathLst>
                              <a:path w="11671" h="9404">
                                <a:moveTo>
                                  <a:pt x="11671" y="0"/>
                                </a:moveTo>
                                <a:lnTo>
                                  <a:pt x="11671" y="5103"/>
                                </a:lnTo>
                                <a:lnTo>
                                  <a:pt x="8293" y="5950"/>
                                </a:lnTo>
                                <a:cubicBezTo>
                                  <a:pt x="7125" y="6712"/>
                                  <a:pt x="6401" y="8007"/>
                                  <a:pt x="6350" y="9404"/>
                                </a:cubicBezTo>
                                <a:lnTo>
                                  <a:pt x="0" y="9404"/>
                                </a:lnTo>
                                <a:cubicBezTo>
                                  <a:pt x="51" y="7779"/>
                                  <a:pt x="521" y="6191"/>
                                  <a:pt x="1360" y="4807"/>
                                </a:cubicBezTo>
                                <a:cubicBezTo>
                                  <a:pt x="2108" y="3613"/>
                                  <a:pt x="3125" y="2597"/>
                                  <a:pt x="4331" y="1861"/>
                                </a:cubicBezTo>
                                <a:cubicBezTo>
                                  <a:pt x="5550" y="1124"/>
                                  <a:pt x="6896" y="603"/>
                                  <a:pt x="8293" y="311"/>
                                </a:cubicBezTo>
                                <a:lnTo>
                                  <a:pt x="11671"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6" name="Shape 46"/>
                        <wps:cNvSpPr/>
                        <wps:spPr>
                          <a:xfrm>
                            <a:off x="6088900" y="1899711"/>
                            <a:ext cx="15901" cy="29997"/>
                          </a:xfrm>
                          <a:custGeom>
                            <a:avLst/>
                            <a:gdLst/>
                            <a:ahLst/>
                            <a:cxnLst/>
                            <a:rect l="0" t="0" r="0" b="0"/>
                            <a:pathLst>
                              <a:path w="15901" h="29997">
                                <a:moveTo>
                                  <a:pt x="1308" y="0"/>
                                </a:moveTo>
                                <a:cubicBezTo>
                                  <a:pt x="2642" y="13"/>
                                  <a:pt x="3976" y="165"/>
                                  <a:pt x="5271" y="432"/>
                                </a:cubicBezTo>
                                <a:cubicBezTo>
                                  <a:pt x="6579" y="711"/>
                                  <a:pt x="7824" y="1194"/>
                                  <a:pt x="8966" y="1867"/>
                                </a:cubicBezTo>
                                <a:cubicBezTo>
                                  <a:pt x="10046" y="2515"/>
                                  <a:pt x="10947" y="3391"/>
                                  <a:pt x="11621" y="4445"/>
                                </a:cubicBezTo>
                                <a:cubicBezTo>
                                  <a:pt x="12332" y="5652"/>
                                  <a:pt x="12675" y="7023"/>
                                  <a:pt x="12612" y="8407"/>
                                </a:cubicBezTo>
                                <a:lnTo>
                                  <a:pt x="12612" y="23177"/>
                                </a:lnTo>
                                <a:lnTo>
                                  <a:pt x="12853" y="22885"/>
                                </a:lnTo>
                                <a:cubicBezTo>
                                  <a:pt x="12815" y="23470"/>
                                  <a:pt x="12929" y="24041"/>
                                  <a:pt x="13157" y="24562"/>
                                </a:cubicBezTo>
                                <a:cubicBezTo>
                                  <a:pt x="13450" y="24930"/>
                                  <a:pt x="13894" y="25121"/>
                                  <a:pt x="14351" y="25070"/>
                                </a:cubicBezTo>
                                <a:lnTo>
                                  <a:pt x="15901" y="25070"/>
                                </a:lnTo>
                                <a:lnTo>
                                  <a:pt x="15901" y="29477"/>
                                </a:lnTo>
                                <a:lnTo>
                                  <a:pt x="15037" y="29718"/>
                                </a:lnTo>
                                <a:lnTo>
                                  <a:pt x="13957" y="29959"/>
                                </a:lnTo>
                                <a:lnTo>
                                  <a:pt x="11938" y="29959"/>
                                </a:lnTo>
                                <a:cubicBezTo>
                                  <a:pt x="10821" y="29997"/>
                                  <a:pt x="9703" y="29705"/>
                                  <a:pt x="8725" y="29159"/>
                                </a:cubicBezTo>
                                <a:cubicBezTo>
                                  <a:pt x="7811" y="28524"/>
                                  <a:pt x="7201" y="27521"/>
                                  <a:pt x="7062" y="26416"/>
                                </a:cubicBezTo>
                                <a:cubicBezTo>
                                  <a:pt x="5753" y="27673"/>
                                  <a:pt x="4153" y="28588"/>
                                  <a:pt x="2413" y="29083"/>
                                </a:cubicBezTo>
                                <a:lnTo>
                                  <a:pt x="0" y="29458"/>
                                </a:lnTo>
                                <a:lnTo>
                                  <a:pt x="0" y="24957"/>
                                </a:lnTo>
                                <a:lnTo>
                                  <a:pt x="1626" y="24765"/>
                                </a:lnTo>
                                <a:cubicBezTo>
                                  <a:pt x="2439" y="24562"/>
                                  <a:pt x="3214" y="24244"/>
                                  <a:pt x="3925" y="23800"/>
                                </a:cubicBezTo>
                                <a:cubicBezTo>
                                  <a:pt x="4636" y="23368"/>
                                  <a:pt x="5271" y="22784"/>
                                  <a:pt x="5741" y="22085"/>
                                </a:cubicBezTo>
                                <a:cubicBezTo>
                                  <a:pt x="6248" y="21349"/>
                                  <a:pt x="6503" y="20460"/>
                                  <a:pt x="6465" y="19558"/>
                                </a:cubicBezTo>
                                <a:lnTo>
                                  <a:pt x="6465" y="14973"/>
                                </a:lnTo>
                                <a:lnTo>
                                  <a:pt x="2934" y="16116"/>
                                </a:lnTo>
                                <a:lnTo>
                                  <a:pt x="0" y="16524"/>
                                </a:lnTo>
                                <a:lnTo>
                                  <a:pt x="0" y="12615"/>
                                </a:lnTo>
                                <a:lnTo>
                                  <a:pt x="1588" y="12306"/>
                                </a:lnTo>
                                <a:cubicBezTo>
                                  <a:pt x="2515" y="12230"/>
                                  <a:pt x="3429" y="12065"/>
                                  <a:pt x="4331" y="11824"/>
                                </a:cubicBezTo>
                                <a:cubicBezTo>
                                  <a:pt x="5042" y="11646"/>
                                  <a:pt x="5690" y="11303"/>
                                  <a:pt x="6224" y="10795"/>
                                </a:cubicBezTo>
                                <a:cubicBezTo>
                                  <a:pt x="6744" y="10224"/>
                                  <a:pt x="6998" y="9449"/>
                                  <a:pt x="6934" y="8687"/>
                                </a:cubicBezTo>
                                <a:cubicBezTo>
                                  <a:pt x="6972" y="7976"/>
                                  <a:pt x="6757" y="7277"/>
                                  <a:pt x="6350" y="6706"/>
                                </a:cubicBezTo>
                                <a:cubicBezTo>
                                  <a:pt x="5969" y="6210"/>
                                  <a:pt x="5474" y="5791"/>
                                  <a:pt x="4915" y="5524"/>
                                </a:cubicBezTo>
                                <a:cubicBezTo>
                                  <a:pt x="4318" y="5220"/>
                                  <a:pt x="3670" y="5042"/>
                                  <a:pt x="3010" y="4966"/>
                                </a:cubicBezTo>
                                <a:cubicBezTo>
                                  <a:pt x="2349" y="4915"/>
                                  <a:pt x="1689" y="4915"/>
                                  <a:pt x="1029" y="4966"/>
                                </a:cubicBezTo>
                                <a:lnTo>
                                  <a:pt x="0" y="5224"/>
                                </a:lnTo>
                                <a:lnTo>
                                  <a:pt x="0" y="121"/>
                                </a:lnTo>
                                <a:lnTo>
                                  <a:pt x="1308"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7" name="Shape 47"/>
                        <wps:cNvSpPr/>
                        <wps:spPr>
                          <a:xfrm>
                            <a:off x="6105716" y="1900117"/>
                            <a:ext cx="38" cy="0"/>
                          </a:xfrm>
                          <a:custGeom>
                            <a:avLst/>
                            <a:gdLst/>
                            <a:ahLst/>
                            <a:cxnLst/>
                            <a:rect l="0" t="0" r="0" b="0"/>
                            <a:pathLst>
                              <a:path w="38">
                                <a:moveTo>
                                  <a:pt x="38" y="0"/>
                                </a:moveTo>
                                <a:lnTo>
                                  <a:pt x="0"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8" name="Shape 48"/>
                        <wps:cNvSpPr/>
                        <wps:spPr>
                          <a:xfrm>
                            <a:off x="6105754" y="1891672"/>
                            <a:ext cx="16776" cy="37757"/>
                          </a:xfrm>
                          <a:custGeom>
                            <a:avLst/>
                            <a:gdLst/>
                            <a:ahLst/>
                            <a:cxnLst/>
                            <a:rect l="0" t="0" r="0" b="0"/>
                            <a:pathLst>
                              <a:path w="16776" h="37757">
                                <a:moveTo>
                                  <a:pt x="4725" y="0"/>
                                </a:moveTo>
                                <a:lnTo>
                                  <a:pt x="11062" y="0"/>
                                </a:lnTo>
                                <a:lnTo>
                                  <a:pt x="11062" y="8445"/>
                                </a:lnTo>
                                <a:lnTo>
                                  <a:pt x="16776" y="8445"/>
                                </a:lnTo>
                                <a:lnTo>
                                  <a:pt x="16776" y="13157"/>
                                </a:lnTo>
                                <a:lnTo>
                                  <a:pt x="11062" y="13157"/>
                                </a:lnTo>
                                <a:lnTo>
                                  <a:pt x="11062" y="28677"/>
                                </a:lnTo>
                                <a:cubicBezTo>
                                  <a:pt x="11037" y="29248"/>
                                  <a:pt x="11037" y="29819"/>
                                  <a:pt x="11062" y="30378"/>
                                </a:cubicBezTo>
                                <a:cubicBezTo>
                                  <a:pt x="11113" y="30823"/>
                                  <a:pt x="11252" y="31242"/>
                                  <a:pt x="11456" y="31610"/>
                                </a:cubicBezTo>
                                <a:cubicBezTo>
                                  <a:pt x="11684" y="31966"/>
                                  <a:pt x="11989" y="32220"/>
                                  <a:pt x="12370" y="32359"/>
                                </a:cubicBezTo>
                                <a:cubicBezTo>
                                  <a:pt x="12903" y="32550"/>
                                  <a:pt x="13462" y="32626"/>
                                  <a:pt x="14033" y="32601"/>
                                </a:cubicBezTo>
                                <a:lnTo>
                                  <a:pt x="15393" y="32601"/>
                                </a:lnTo>
                                <a:cubicBezTo>
                                  <a:pt x="15837" y="32652"/>
                                  <a:pt x="16294" y="32652"/>
                                  <a:pt x="16739" y="32601"/>
                                </a:cubicBezTo>
                                <a:lnTo>
                                  <a:pt x="16739" y="37478"/>
                                </a:lnTo>
                                <a:lnTo>
                                  <a:pt x="14669" y="37719"/>
                                </a:lnTo>
                                <a:lnTo>
                                  <a:pt x="12611" y="37719"/>
                                </a:lnTo>
                                <a:cubicBezTo>
                                  <a:pt x="11278" y="37757"/>
                                  <a:pt x="9931" y="37592"/>
                                  <a:pt x="8649" y="37249"/>
                                </a:cubicBezTo>
                                <a:cubicBezTo>
                                  <a:pt x="7734" y="36995"/>
                                  <a:pt x="6921" y="36525"/>
                                  <a:pt x="6261" y="35852"/>
                                </a:cubicBezTo>
                                <a:cubicBezTo>
                                  <a:pt x="5677" y="35204"/>
                                  <a:pt x="5283" y="34417"/>
                                  <a:pt x="5106" y="33566"/>
                                </a:cubicBezTo>
                                <a:cubicBezTo>
                                  <a:pt x="4902" y="32512"/>
                                  <a:pt x="4776" y="31458"/>
                                  <a:pt x="4763" y="30378"/>
                                </a:cubicBezTo>
                                <a:lnTo>
                                  <a:pt x="4763" y="13335"/>
                                </a:lnTo>
                                <a:lnTo>
                                  <a:pt x="0" y="13335"/>
                                </a:lnTo>
                                <a:lnTo>
                                  <a:pt x="0" y="8445"/>
                                </a:lnTo>
                                <a:lnTo>
                                  <a:pt x="4725" y="8445"/>
                                </a:lnTo>
                                <a:lnTo>
                                  <a:pt x="4725"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49" name="Shape 49"/>
                        <wps:cNvSpPr/>
                        <wps:spPr>
                          <a:xfrm>
                            <a:off x="6125515" y="1899667"/>
                            <a:ext cx="13801" cy="30107"/>
                          </a:xfrm>
                          <a:custGeom>
                            <a:avLst/>
                            <a:gdLst/>
                            <a:ahLst/>
                            <a:cxnLst/>
                            <a:rect l="0" t="0" r="0" b="0"/>
                            <a:pathLst>
                              <a:path w="13801" h="30107">
                                <a:moveTo>
                                  <a:pt x="13801" y="0"/>
                                </a:moveTo>
                                <a:lnTo>
                                  <a:pt x="13801" y="5056"/>
                                </a:lnTo>
                                <a:lnTo>
                                  <a:pt x="11011" y="5607"/>
                                </a:lnTo>
                                <a:cubicBezTo>
                                  <a:pt x="10134" y="5976"/>
                                  <a:pt x="9322" y="6522"/>
                                  <a:pt x="8674" y="7233"/>
                                </a:cubicBezTo>
                                <a:cubicBezTo>
                                  <a:pt x="8013" y="7931"/>
                                  <a:pt x="7493" y="8757"/>
                                  <a:pt x="7124" y="9646"/>
                                </a:cubicBezTo>
                                <a:cubicBezTo>
                                  <a:pt x="6744" y="10510"/>
                                  <a:pt x="6528" y="11424"/>
                                  <a:pt x="6452" y="12351"/>
                                </a:cubicBezTo>
                                <a:lnTo>
                                  <a:pt x="13801" y="12351"/>
                                </a:lnTo>
                                <a:lnTo>
                                  <a:pt x="13801" y="16707"/>
                                </a:lnTo>
                                <a:lnTo>
                                  <a:pt x="6469" y="16707"/>
                                </a:lnTo>
                                <a:lnTo>
                                  <a:pt x="6934" y="19806"/>
                                </a:lnTo>
                                <a:cubicBezTo>
                                  <a:pt x="7214" y="20797"/>
                                  <a:pt x="7709" y="21724"/>
                                  <a:pt x="8357" y="22549"/>
                                </a:cubicBezTo>
                                <a:cubicBezTo>
                                  <a:pt x="9004" y="23324"/>
                                  <a:pt x="9817" y="23972"/>
                                  <a:pt x="10744" y="24404"/>
                                </a:cubicBezTo>
                                <a:lnTo>
                                  <a:pt x="13801" y="25035"/>
                                </a:lnTo>
                                <a:lnTo>
                                  <a:pt x="13801" y="30107"/>
                                </a:lnTo>
                                <a:lnTo>
                                  <a:pt x="8077" y="29052"/>
                                </a:lnTo>
                                <a:cubicBezTo>
                                  <a:pt x="6400" y="28353"/>
                                  <a:pt x="4902" y="27299"/>
                                  <a:pt x="3670" y="25940"/>
                                </a:cubicBezTo>
                                <a:cubicBezTo>
                                  <a:pt x="2439" y="24581"/>
                                  <a:pt x="1498" y="22956"/>
                                  <a:pt x="939" y="21190"/>
                                </a:cubicBezTo>
                                <a:cubicBezTo>
                                  <a:pt x="318" y="19222"/>
                                  <a:pt x="0" y="17152"/>
                                  <a:pt x="26" y="15082"/>
                                </a:cubicBezTo>
                                <a:cubicBezTo>
                                  <a:pt x="26" y="13113"/>
                                  <a:pt x="368" y="11145"/>
                                  <a:pt x="1016" y="9291"/>
                                </a:cubicBezTo>
                                <a:cubicBezTo>
                                  <a:pt x="1625" y="7513"/>
                                  <a:pt x="2565" y="5874"/>
                                  <a:pt x="3797" y="4452"/>
                                </a:cubicBezTo>
                                <a:lnTo>
                                  <a:pt x="13801" y="0"/>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50" name="Shape 50"/>
                        <wps:cNvSpPr/>
                        <wps:spPr>
                          <a:xfrm>
                            <a:off x="6139317" y="1920019"/>
                            <a:ext cx="13402" cy="9804"/>
                          </a:xfrm>
                          <a:custGeom>
                            <a:avLst/>
                            <a:gdLst/>
                            <a:ahLst/>
                            <a:cxnLst/>
                            <a:rect l="0" t="0" r="0" b="0"/>
                            <a:pathLst>
                              <a:path w="13402" h="9804">
                                <a:moveTo>
                                  <a:pt x="7407" y="0"/>
                                </a:moveTo>
                                <a:lnTo>
                                  <a:pt x="13402" y="0"/>
                                </a:lnTo>
                                <a:cubicBezTo>
                                  <a:pt x="12805" y="2921"/>
                                  <a:pt x="11129" y="5524"/>
                                  <a:pt x="8716" y="7264"/>
                                </a:cubicBezTo>
                                <a:cubicBezTo>
                                  <a:pt x="7522" y="8128"/>
                                  <a:pt x="6163" y="8763"/>
                                  <a:pt x="4753" y="9169"/>
                                </a:cubicBezTo>
                                <a:cubicBezTo>
                                  <a:pt x="3293" y="9601"/>
                                  <a:pt x="1794" y="9804"/>
                                  <a:pt x="270" y="9804"/>
                                </a:cubicBezTo>
                                <a:lnTo>
                                  <a:pt x="0" y="9754"/>
                                </a:lnTo>
                                <a:lnTo>
                                  <a:pt x="0" y="4683"/>
                                </a:lnTo>
                                <a:lnTo>
                                  <a:pt x="384" y="4763"/>
                                </a:lnTo>
                                <a:cubicBezTo>
                                  <a:pt x="1959" y="4851"/>
                                  <a:pt x="3534" y="4432"/>
                                  <a:pt x="4867" y="3569"/>
                                </a:cubicBezTo>
                                <a:cubicBezTo>
                                  <a:pt x="6074" y="2692"/>
                                  <a:pt x="6963" y="1435"/>
                                  <a:pt x="7407" y="0"/>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51" name="Shape 51"/>
                        <wps:cNvSpPr/>
                        <wps:spPr>
                          <a:xfrm>
                            <a:off x="6139317" y="1899572"/>
                            <a:ext cx="13974" cy="16802"/>
                          </a:xfrm>
                          <a:custGeom>
                            <a:avLst/>
                            <a:gdLst/>
                            <a:ahLst/>
                            <a:cxnLst/>
                            <a:rect l="0" t="0" r="0" b="0"/>
                            <a:pathLst>
                              <a:path w="13974" h="16802">
                                <a:moveTo>
                                  <a:pt x="156" y="25"/>
                                </a:moveTo>
                                <a:cubicBezTo>
                                  <a:pt x="2264" y="0"/>
                                  <a:pt x="4347" y="495"/>
                                  <a:pt x="6214" y="1460"/>
                                </a:cubicBezTo>
                                <a:cubicBezTo>
                                  <a:pt x="7966" y="2362"/>
                                  <a:pt x="9503" y="3645"/>
                                  <a:pt x="10697" y="5220"/>
                                </a:cubicBezTo>
                                <a:cubicBezTo>
                                  <a:pt x="11916" y="6820"/>
                                  <a:pt x="12780" y="8636"/>
                                  <a:pt x="13275" y="10579"/>
                                </a:cubicBezTo>
                                <a:cubicBezTo>
                                  <a:pt x="13821" y="12611"/>
                                  <a:pt x="13974" y="14719"/>
                                  <a:pt x="13707" y="16802"/>
                                </a:cubicBezTo>
                                <a:lnTo>
                                  <a:pt x="0" y="16802"/>
                                </a:lnTo>
                                <a:lnTo>
                                  <a:pt x="0" y="12446"/>
                                </a:lnTo>
                                <a:lnTo>
                                  <a:pt x="7349" y="12446"/>
                                </a:lnTo>
                                <a:lnTo>
                                  <a:pt x="6772" y="9817"/>
                                </a:lnTo>
                                <a:cubicBezTo>
                                  <a:pt x="6455" y="8941"/>
                                  <a:pt x="5973" y="8115"/>
                                  <a:pt x="5350" y="7404"/>
                                </a:cubicBezTo>
                                <a:cubicBezTo>
                                  <a:pt x="4715" y="6706"/>
                                  <a:pt x="3966" y="6147"/>
                                  <a:pt x="3115" y="5740"/>
                                </a:cubicBezTo>
                                <a:cubicBezTo>
                                  <a:pt x="2226" y="5309"/>
                                  <a:pt x="1236" y="5093"/>
                                  <a:pt x="232" y="5105"/>
                                </a:cubicBezTo>
                                <a:lnTo>
                                  <a:pt x="0" y="5151"/>
                                </a:lnTo>
                                <a:lnTo>
                                  <a:pt x="0" y="95"/>
                                </a:lnTo>
                                <a:lnTo>
                                  <a:pt x="156" y="25"/>
                                </a:ln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52" name="Shape 52"/>
                        <wps:cNvSpPr/>
                        <wps:spPr>
                          <a:xfrm>
                            <a:off x="6156402" y="1899445"/>
                            <a:ext cx="25565" cy="30353"/>
                          </a:xfrm>
                          <a:custGeom>
                            <a:avLst/>
                            <a:gdLst/>
                            <a:ahLst/>
                            <a:cxnLst/>
                            <a:rect l="0" t="0" r="0" b="0"/>
                            <a:pathLst>
                              <a:path w="25565" h="30353">
                                <a:moveTo>
                                  <a:pt x="12421" y="0"/>
                                </a:moveTo>
                                <a:cubicBezTo>
                                  <a:pt x="13856" y="0"/>
                                  <a:pt x="15266" y="140"/>
                                  <a:pt x="16675" y="470"/>
                                </a:cubicBezTo>
                                <a:cubicBezTo>
                                  <a:pt x="17958" y="762"/>
                                  <a:pt x="19190" y="1270"/>
                                  <a:pt x="20320" y="1981"/>
                                </a:cubicBezTo>
                                <a:cubicBezTo>
                                  <a:pt x="21463" y="2642"/>
                                  <a:pt x="22428" y="3543"/>
                                  <a:pt x="23164" y="4636"/>
                                </a:cubicBezTo>
                                <a:cubicBezTo>
                                  <a:pt x="23914" y="5842"/>
                                  <a:pt x="24371" y="7188"/>
                                  <a:pt x="24524" y="8598"/>
                                </a:cubicBezTo>
                                <a:lnTo>
                                  <a:pt x="18021" y="8598"/>
                                </a:lnTo>
                                <a:cubicBezTo>
                                  <a:pt x="17856" y="7302"/>
                                  <a:pt x="17081" y="6147"/>
                                  <a:pt x="15913" y="5550"/>
                                </a:cubicBezTo>
                                <a:cubicBezTo>
                                  <a:pt x="14732" y="4991"/>
                                  <a:pt x="13450" y="4737"/>
                                  <a:pt x="12141" y="4750"/>
                                </a:cubicBezTo>
                                <a:lnTo>
                                  <a:pt x="10554" y="4750"/>
                                </a:lnTo>
                                <a:cubicBezTo>
                                  <a:pt x="9969" y="4813"/>
                                  <a:pt x="9398" y="4940"/>
                                  <a:pt x="8852" y="5143"/>
                                </a:cubicBezTo>
                                <a:cubicBezTo>
                                  <a:pt x="8344" y="5347"/>
                                  <a:pt x="7874" y="5626"/>
                                  <a:pt x="7506" y="6020"/>
                                </a:cubicBezTo>
                                <a:cubicBezTo>
                                  <a:pt x="7124" y="6439"/>
                                  <a:pt x="6921" y="6972"/>
                                  <a:pt x="6947" y="7531"/>
                                </a:cubicBezTo>
                                <a:cubicBezTo>
                                  <a:pt x="6909" y="8255"/>
                                  <a:pt x="7201" y="8954"/>
                                  <a:pt x="7734" y="9436"/>
                                </a:cubicBezTo>
                                <a:cubicBezTo>
                                  <a:pt x="8357" y="9957"/>
                                  <a:pt x="9068" y="10363"/>
                                  <a:pt x="9843" y="10630"/>
                                </a:cubicBezTo>
                                <a:cubicBezTo>
                                  <a:pt x="10820" y="10960"/>
                                  <a:pt x="11811" y="11227"/>
                                  <a:pt x="12814" y="11417"/>
                                </a:cubicBezTo>
                                <a:lnTo>
                                  <a:pt x="16269" y="12573"/>
                                </a:lnTo>
                                <a:cubicBezTo>
                                  <a:pt x="17411" y="12827"/>
                                  <a:pt x="18529" y="13145"/>
                                  <a:pt x="19647" y="13513"/>
                                </a:cubicBezTo>
                                <a:cubicBezTo>
                                  <a:pt x="20701" y="13868"/>
                                  <a:pt x="21704" y="14376"/>
                                  <a:pt x="22619" y="15024"/>
                                </a:cubicBezTo>
                                <a:cubicBezTo>
                                  <a:pt x="23495" y="15646"/>
                                  <a:pt x="24194" y="16472"/>
                                  <a:pt x="24714" y="17412"/>
                                </a:cubicBezTo>
                                <a:cubicBezTo>
                                  <a:pt x="25286" y="18517"/>
                                  <a:pt x="25565" y="19736"/>
                                  <a:pt x="25514" y="20980"/>
                                </a:cubicBezTo>
                                <a:cubicBezTo>
                                  <a:pt x="25553" y="22492"/>
                                  <a:pt x="25146" y="23990"/>
                                  <a:pt x="24359" y="25298"/>
                                </a:cubicBezTo>
                                <a:cubicBezTo>
                                  <a:pt x="23584" y="26492"/>
                                  <a:pt x="22555" y="27470"/>
                                  <a:pt x="21349" y="28194"/>
                                </a:cubicBezTo>
                                <a:cubicBezTo>
                                  <a:pt x="20117" y="28943"/>
                                  <a:pt x="18771" y="29489"/>
                                  <a:pt x="17373" y="29819"/>
                                </a:cubicBezTo>
                                <a:cubicBezTo>
                                  <a:pt x="15913" y="30163"/>
                                  <a:pt x="14415" y="30328"/>
                                  <a:pt x="12903" y="30340"/>
                                </a:cubicBezTo>
                                <a:cubicBezTo>
                                  <a:pt x="11202" y="30353"/>
                                  <a:pt x="9499" y="30163"/>
                                  <a:pt x="7862" y="29743"/>
                                </a:cubicBezTo>
                                <a:cubicBezTo>
                                  <a:pt x="6439" y="29362"/>
                                  <a:pt x="5080" y="28740"/>
                                  <a:pt x="3899" y="27876"/>
                                </a:cubicBezTo>
                                <a:cubicBezTo>
                                  <a:pt x="2781" y="27064"/>
                                  <a:pt x="1880" y="26010"/>
                                  <a:pt x="1232" y="24790"/>
                                </a:cubicBezTo>
                                <a:cubicBezTo>
                                  <a:pt x="508" y="23457"/>
                                  <a:pt x="89" y="21996"/>
                                  <a:pt x="0" y="20498"/>
                                </a:cubicBezTo>
                                <a:lnTo>
                                  <a:pt x="6350" y="20498"/>
                                </a:lnTo>
                                <a:cubicBezTo>
                                  <a:pt x="6350" y="22085"/>
                                  <a:pt x="7124" y="23571"/>
                                  <a:pt x="8458" y="24460"/>
                                </a:cubicBezTo>
                                <a:cubicBezTo>
                                  <a:pt x="9792" y="25247"/>
                                  <a:pt x="11316" y="25616"/>
                                  <a:pt x="12865" y="25565"/>
                                </a:cubicBezTo>
                                <a:cubicBezTo>
                                  <a:pt x="13526" y="25616"/>
                                  <a:pt x="14212" y="25616"/>
                                  <a:pt x="14884" y="25565"/>
                                </a:cubicBezTo>
                                <a:cubicBezTo>
                                  <a:pt x="15621" y="25311"/>
                                  <a:pt x="16332" y="24930"/>
                                  <a:pt x="16993" y="24460"/>
                                </a:cubicBezTo>
                                <a:cubicBezTo>
                                  <a:pt x="17615" y="24232"/>
                                  <a:pt x="18174" y="23838"/>
                                  <a:pt x="18606" y="23317"/>
                                </a:cubicBezTo>
                                <a:cubicBezTo>
                                  <a:pt x="19062" y="22758"/>
                                  <a:pt x="19279" y="22047"/>
                                  <a:pt x="19203" y="21323"/>
                                </a:cubicBezTo>
                                <a:cubicBezTo>
                                  <a:pt x="19190" y="20587"/>
                                  <a:pt x="18872" y="19863"/>
                                  <a:pt x="18326" y="19342"/>
                                </a:cubicBezTo>
                                <a:cubicBezTo>
                                  <a:pt x="17704" y="18796"/>
                                  <a:pt x="16980" y="18390"/>
                                  <a:pt x="16193" y="18110"/>
                                </a:cubicBezTo>
                                <a:cubicBezTo>
                                  <a:pt x="15215" y="17780"/>
                                  <a:pt x="14224" y="17526"/>
                                  <a:pt x="13221" y="17323"/>
                                </a:cubicBezTo>
                                <a:lnTo>
                                  <a:pt x="9843" y="16612"/>
                                </a:lnTo>
                                <a:cubicBezTo>
                                  <a:pt x="8687" y="16370"/>
                                  <a:pt x="7556" y="16040"/>
                                  <a:pt x="6439" y="15659"/>
                                </a:cubicBezTo>
                                <a:cubicBezTo>
                                  <a:pt x="5334" y="15380"/>
                                  <a:pt x="4293" y="14923"/>
                                  <a:pt x="3340" y="14313"/>
                                </a:cubicBezTo>
                                <a:cubicBezTo>
                                  <a:pt x="2451" y="13678"/>
                                  <a:pt x="1740" y="12852"/>
                                  <a:pt x="1232" y="11887"/>
                                </a:cubicBezTo>
                                <a:cubicBezTo>
                                  <a:pt x="686" y="10744"/>
                                  <a:pt x="406" y="9512"/>
                                  <a:pt x="432" y="8242"/>
                                </a:cubicBezTo>
                                <a:cubicBezTo>
                                  <a:pt x="381" y="6833"/>
                                  <a:pt x="800" y="5436"/>
                                  <a:pt x="1588" y="4280"/>
                                </a:cubicBezTo>
                                <a:cubicBezTo>
                                  <a:pt x="2362" y="3226"/>
                                  <a:pt x="3353" y="2349"/>
                                  <a:pt x="4496" y="1727"/>
                                </a:cubicBezTo>
                                <a:cubicBezTo>
                                  <a:pt x="5728" y="1067"/>
                                  <a:pt x="7074" y="622"/>
                                  <a:pt x="8458" y="381"/>
                                </a:cubicBezTo>
                                <a:cubicBezTo>
                                  <a:pt x="9766" y="127"/>
                                  <a:pt x="11087" y="13"/>
                                  <a:pt x="12421" y="0"/>
                                </a:cubicBezTo>
                                <a:close/>
                              </a:path>
                            </a:pathLst>
                          </a:custGeom>
                          <a:ln w="0" cap="flat">
                            <a:miter lim="127000"/>
                          </a:ln>
                        </wps:spPr>
                        <wps:style>
                          <a:lnRef idx="0">
                            <a:srgbClr val="000000">
                              <a:alpha val="0"/>
                            </a:srgbClr>
                          </a:lnRef>
                          <a:fillRef idx="1">
                            <a:srgbClr val="534E4A"/>
                          </a:fillRef>
                          <a:effectRef idx="0">
                            <a:scrgbClr r="0" g="0" b="0"/>
                          </a:effectRef>
                          <a:fontRef idx="none"/>
                        </wps:style>
                        <wps:bodyPr/>
                      </wps:wsp>
                      <wps:wsp>
                        <wps:cNvPr id="53" name="Shape 53"/>
                        <wps:cNvSpPr/>
                        <wps:spPr>
                          <a:xfrm>
                            <a:off x="6038151" y="1643133"/>
                            <a:ext cx="84506" cy="123889"/>
                          </a:xfrm>
                          <a:custGeom>
                            <a:avLst/>
                            <a:gdLst/>
                            <a:ahLst/>
                            <a:cxnLst/>
                            <a:rect l="0" t="0" r="0" b="0"/>
                            <a:pathLst>
                              <a:path w="84506" h="123889">
                                <a:moveTo>
                                  <a:pt x="0" y="0"/>
                                </a:moveTo>
                                <a:lnTo>
                                  <a:pt x="84506" y="0"/>
                                </a:lnTo>
                                <a:lnTo>
                                  <a:pt x="84506" y="67564"/>
                                </a:lnTo>
                                <a:lnTo>
                                  <a:pt x="0" y="123889"/>
                                </a:lnTo>
                                <a:lnTo>
                                  <a:pt x="0" y="0"/>
                                </a:lnTo>
                                <a:close/>
                              </a:path>
                            </a:pathLst>
                          </a:custGeom>
                          <a:ln w="0" cap="flat">
                            <a:miter lim="127000"/>
                          </a:ln>
                        </wps:spPr>
                        <wps:style>
                          <a:lnRef idx="0">
                            <a:srgbClr val="000000">
                              <a:alpha val="0"/>
                            </a:srgbClr>
                          </a:lnRef>
                          <a:fillRef idx="1">
                            <a:srgbClr val="BE3B2D"/>
                          </a:fillRef>
                          <a:effectRef idx="0">
                            <a:scrgbClr r="0" g="0" b="0"/>
                          </a:effectRef>
                          <a:fontRef idx="none"/>
                        </wps:style>
                        <wps:bodyPr/>
                      </wps:wsp>
                      <wps:wsp>
                        <wps:cNvPr id="54" name="Shape 54"/>
                        <wps:cNvSpPr/>
                        <wps:spPr>
                          <a:xfrm>
                            <a:off x="6038151" y="1643133"/>
                            <a:ext cx="84506" cy="123889"/>
                          </a:xfrm>
                          <a:custGeom>
                            <a:avLst/>
                            <a:gdLst/>
                            <a:ahLst/>
                            <a:cxnLst/>
                            <a:rect l="0" t="0" r="0" b="0"/>
                            <a:pathLst>
                              <a:path w="84506" h="123889">
                                <a:moveTo>
                                  <a:pt x="0" y="0"/>
                                </a:moveTo>
                                <a:lnTo>
                                  <a:pt x="84506" y="0"/>
                                </a:lnTo>
                                <a:lnTo>
                                  <a:pt x="84506" y="123889"/>
                                </a:lnTo>
                                <a:lnTo>
                                  <a:pt x="0" y="67564"/>
                                </a:lnTo>
                                <a:lnTo>
                                  <a:pt x="0" y="0"/>
                                </a:lnTo>
                                <a:close/>
                              </a:path>
                            </a:pathLst>
                          </a:custGeom>
                          <a:ln w="0" cap="flat">
                            <a:miter lim="127000"/>
                          </a:ln>
                        </wps:spPr>
                        <wps:style>
                          <a:lnRef idx="0">
                            <a:srgbClr val="000000">
                              <a:alpha val="0"/>
                            </a:srgbClr>
                          </a:lnRef>
                          <a:fillRef idx="1">
                            <a:srgbClr val="E7464B"/>
                          </a:fillRef>
                          <a:effectRef idx="0">
                            <a:scrgbClr r="0" g="0" b="0"/>
                          </a:effectRef>
                          <a:fontRef idx="none"/>
                        </wps:style>
                        <wps:bodyPr/>
                      </wps:wsp>
                      <wps:wsp>
                        <wps:cNvPr id="55" name="Shape 55"/>
                        <wps:cNvSpPr/>
                        <wps:spPr>
                          <a:xfrm>
                            <a:off x="5987187" y="1628376"/>
                            <a:ext cx="93218" cy="186449"/>
                          </a:xfrm>
                          <a:custGeom>
                            <a:avLst/>
                            <a:gdLst/>
                            <a:ahLst/>
                            <a:cxnLst/>
                            <a:rect l="0" t="0" r="0" b="0"/>
                            <a:pathLst>
                              <a:path w="93218" h="186449">
                                <a:moveTo>
                                  <a:pt x="93218" y="0"/>
                                </a:moveTo>
                                <a:lnTo>
                                  <a:pt x="93218" y="22809"/>
                                </a:lnTo>
                                <a:cubicBezTo>
                                  <a:pt x="54330" y="22809"/>
                                  <a:pt x="22809" y="54331"/>
                                  <a:pt x="22809" y="93218"/>
                                </a:cubicBezTo>
                                <a:cubicBezTo>
                                  <a:pt x="22809" y="132106"/>
                                  <a:pt x="54330" y="163639"/>
                                  <a:pt x="93218" y="163639"/>
                                </a:cubicBezTo>
                                <a:lnTo>
                                  <a:pt x="93218" y="186449"/>
                                </a:lnTo>
                                <a:cubicBezTo>
                                  <a:pt x="41732" y="186449"/>
                                  <a:pt x="0" y="144704"/>
                                  <a:pt x="0" y="93218"/>
                                </a:cubicBezTo>
                                <a:cubicBezTo>
                                  <a:pt x="0" y="41732"/>
                                  <a:pt x="41732" y="0"/>
                                  <a:pt x="93218" y="0"/>
                                </a:cubicBezTo>
                                <a:close/>
                              </a:path>
                            </a:pathLst>
                          </a:custGeom>
                          <a:ln w="0" cap="flat">
                            <a:miter lim="127000"/>
                          </a:ln>
                        </wps:spPr>
                        <wps:style>
                          <a:lnRef idx="0">
                            <a:srgbClr val="000000">
                              <a:alpha val="0"/>
                            </a:srgbClr>
                          </a:lnRef>
                          <a:fillRef idx="1">
                            <a:srgbClr val="59ADB6"/>
                          </a:fillRef>
                          <a:effectRef idx="0">
                            <a:scrgbClr r="0" g="0" b="0"/>
                          </a:effectRef>
                          <a:fontRef idx="none"/>
                        </wps:style>
                        <wps:bodyPr/>
                      </wps:wsp>
                      <wps:wsp>
                        <wps:cNvPr id="56" name="Shape 56"/>
                        <wps:cNvSpPr/>
                        <wps:spPr>
                          <a:xfrm>
                            <a:off x="6080405" y="1628376"/>
                            <a:ext cx="93231" cy="186449"/>
                          </a:xfrm>
                          <a:custGeom>
                            <a:avLst/>
                            <a:gdLst/>
                            <a:ahLst/>
                            <a:cxnLst/>
                            <a:rect l="0" t="0" r="0" b="0"/>
                            <a:pathLst>
                              <a:path w="93231" h="186449">
                                <a:moveTo>
                                  <a:pt x="0" y="0"/>
                                </a:moveTo>
                                <a:cubicBezTo>
                                  <a:pt x="51486" y="0"/>
                                  <a:pt x="93231" y="41732"/>
                                  <a:pt x="93231" y="93218"/>
                                </a:cubicBezTo>
                                <a:cubicBezTo>
                                  <a:pt x="93231" y="144704"/>
                                  <a:pt x="51486" y="186449"/>
                                  <a:pt x="0" y="186449"/>
                                </a:cubicBezTo>
                                <a:lnTo>
                                  <a:pt x="0" y="163639"/>
                                </a:lnTo>
                                <a:cubicBezTo>
                                  <a:pt x="38888" y="163639"/>
                                  <a:pt x="70409" y="132106"/>
                                  <a:pt x="70409" y="93218"/>
                                </a:cubicBezTo>
                                <a:cubicBezTo>
                                  <a:pt x="70409" y="54331"/>
                                  <a:pt x="38888" y="22809"/>
                                  <a:pt x="0" y="22809"/>
                                </a:cubicBezTo>
                                <a:lnTo>
                                  <a:pt x="0" y="0"/>
                                </a:lnTo>
                                <a:close/>
                              </a:path>
                            </a:pathLst>
                          </a:custGeom>
                          <a:ln w="0" cap="flat">
                            <a:miter lim="127000"/>
                          </a:ln>
                        </wps:spPr>
                        <wps:style>
                          <a:lnRef idx="0">
                            <a:srgbClr val="000000">
                              <a:alpha val="0"/>
                            </a:srgbClr>
                          </a:lnRef>
                          <a:fillRef idx="1">
                            <a:srgbClr val="59ADB6"/>
                          </a:fillRef>
                          <a:effectRef idx="0">
                            <a:scrgbClr r="0" g="0" b="0"/>
                          </a:effectRef>
                          <a:fontRef idx="none"/>
                        </wps:style>
                        <wps:bodyPr/>
                      </wps:wsp>
                      <wps:wsp>
                        <wps:cNvPr id="57" name="Shape 57"/>
                        <wps:cNvSpPr/>
                        <wps:spPr>
                          <a:xfrm>
                            <a:off x="5973991" y="1683075"/>
                            <a:ext cx="177800" cy="141376"/>
                          </a:xfrm>
                          <a:custGeom>
                            <a:avLst/>
                            <a:gdLst/>
                            <a:ahLst/>
                            <a:cxnLst/>
                            <a:rect l="0" t="0" r="0" b="0"/>
                            <a:pathLst>
                              <a:path w="177800" h="141376">
                                <a:moveTo>
                                  <a:pt x="21590" y="0"/>
                                </a:moveTo>
                                <a:lnTo>
                                  <a:pt x="41110" y="12344"/>
                                </a:lnTo>
                                <a:cubicBezTo>
                                  <a:pt x="30493" y="39243"/>
                                  <a:pt x="37414" y="69888"/>
                                  <a:pt x="58572" y="89611"/>
                                </a:cubicBezTo>
                                <a:cubicBezTo>
                                  <a:pt x="86982" y="116091"/>
                                  <a:pt x="131483" y="114541"/>
                                  <a:pt x="157975" y="86131"/>
                                </a:cubicBezTo>
                                <a:lnTo>
                                  <a:pt x="177800" y="98590"/>
                                </a:lnTo>
                                <a:cubicBezTo>
                                  <a:pt x="150838" y="131089"/>
                                  <a:pt x="105371" y="141376"/>
                                  <a:pt x="67044" y="123647"/>
                                </a:cubicBezTo>
                                <a:cubicBezTo>
                                  <a:pt x="20358" y="102045"/>
                                  <a:pt x="0" y="46698"/>
                                  <a:pt x="21590" y="0"/>
                                </a:cubicBezTo>
                                <a:close/>
                              </a:path>
                            </a:pathLst>
                          </a:custGeom>
                          <a:ln w="0" cap="flat">
                            <a:miter lim="127000"/>
                          </a:ln>
                        </wps:spPr>
                        <wps:style>
                          <a:lnRef idx="0">
                            <a:srgbClr val="000000">
                              <a:alpha val="0"/>
                            </a:srgbClr>
                          </a:lnRef>
                          <a:fillRef idx="1">
                            <a:srgbClr val="FABD42"/>
                          </a:fillRef>
                          <a:effectRef idx="0">
                            <a:scrgbClr r="0" g="0" b="0"/>
                          </a:effectRef>
                          <a:fontRef idx="none"/>
                        </wps:style>
                        <wps:bodyPr/>
                      </wps:wsp>
                      <wps:wsp>
                        <wps:cNvPr id="58" name="Rectangle 58"/>
                        <wps:cNvSpPr/>
                        <wps:spPr>
                          <a:xfrm>
                            <a:off x="5" y="1620124"/>
                            <a:ext cx="7348332" cy="219224"/>
                          </a:xfrm>
                          <a:prstGeom prst="rect">
                            <a:avLst/>
                          </a:prstGeom>
                          <a:ln>
                            <a:noFill/>
                          </a:ln>
                        </wps:spPr>
                        <wps:txbx>
                          <w:txbxContent>
                            <w:p w14:paraId="73B7C8EE" w14:textId="77777777" w:rsidR="00F25E3E" w:rsidRDefault="00000000">
                              <w:pPr>
                                <w:spacing w:after="160" w:line="259" w:lineRule="auto"/>
                                <w:ind w:firstLine="0"/>
                                <w:jc w:val="left"/>
                              </w:pPr>
                              <w:r>
                                <w:rPr>
                                  <w:w w:val="117"/>
                                  <w:sz w:val="27"/>
                                </w:rPr>
                                <w:t>Access</w:t>
                              </w:r>
                              <w:r>
                                <w:rPr>
                                  <w:spacing w:val="28"/>
                                  <w:w w:val="117"/>
                                  <w:sz w:val="27"/>
                                </w:rPr>
                                <w:t xml:space="preserve"> </w:t>
                              </w:r>
                              <w:r>
                                <w:rPr>
                                  <w:w w:val="117"/>
                                  <w:sz w:val="27"/>
                                </w:rPr>
                                <w:t>to</w:t>
                              </w:r>
                              <w:r>
                                <w:rPr>
                                  <w:spacing w:val="26"/>
                                  <w:w w:val="117"/>
                                  <w:sz w:val="27"/>
                                </w:rPr>
                                <w:t xml:space="preserve"> </w:t>
                              </w:r>
                              <w:r>
                                <w:rPr>
                                  <w:w w:val="117"/>
                                  <w:sz w:val="27"/>
                                </w:rPr>
                                <w:t>and</w:t>
                              </w:r>
                              <w:r>
                                <w:rPr>
                                  <w:spacing w:val="27"/>
                                  <w:w w:val="117"/>
                                  <w:sz w:val="27"/>
                                </w:rPr>
                                <w:t xml:space="preserve"> </w:t>
                              </w:r>
                              <w:r>
                                <w:rPr>
                                  <w:w w:val="117"/>
                                  <w:sz w:val="27"/>
                                </w:rPr>
                                <w:t>perceived</w:t>
                              </w:r>
                              <w:r>
                                <w:rPr>
                                  <w:spacing w:val="27"/>
                                  <w:w w:val="117"/>
                                  <w:sz w:val="27"/>
                                </w:rPr>
                                <w:t xml:space="preserve"> </w:t>
                              </w:r>
                              <w:r>
                                <w:rPr>
                                  <w:w w:val="117"/>
                                  <w:sz w:val="27"/>
                                </w:rPr>
                                <w:t>value</w:t>
                              </w:r>
                              <w:r>
                                <w:rPr>
                                  <w:spacing w:val="26"/>
                                  <w:w w:val="117"/>
                                  <w:sz w:val="27"/>
                                </w:rPr>
                                <w:t xml:space="preserve"> </w:t>
                              </w:r>
                              <w:r>
                                <w:rPr>
                                  <w:w w:val="117"/>
                                  <w:sz w:val="27"/>
                                </w:rPr>
                                <w:t>of</w:t>
                              </w:r>
                              <w:r>
                                <w:rPr>
                                  <w:spacing w:val="26"/>
                                  <w:w w:val="117"/>
                                  <w:sz w:val="27"/>
                                </w:rPr>
                                <w:t xml:space="preserve"> </w:t>
                              </w:r>
                              <w:r>
                                <w:rPr>
                                  <w:w w:val="117"/>
                                  <w:sz w:val="27"/>
                                </w:rPr>
                                <w:t>post-ICU</w:t>
                              </w:r>
                              <w:r>
                                <w:rPr>
                                  <w:spacing w:val="27"/>
                                  <w:w w:val="117"/>
                                  <w:sz w:val="27"/>
                                </w:rPr>
                                <w:t xml:space="preserve"> </w:t>
                              </w:r>
                              <w:r>
                                <w:rPr>
                                  <w:w w:val="117"/>
                                  <w:sz w:val="27"/>
                                </w:rPr>
                                <w:t>follow-up:</w:t>
                              </w:r>
                              <w:r>
                                <w:rPr>
                                  <w:spacing w:val="28"/>
                                  <w:w w:val="117"/>
                                  <w:sz w:val="27"/>
                                </w:rPr>
                                <w:t xml:space="preserve"> </w:t>
                              </w:r>
                              <w:r>
                                <w:rPr>
                                  <w:w w:val="117"/>
                                  <w:sz w:val="27"/>
                                </w:rPr>
                                <w:t>an</w:t>
                              </w:r>
                              <w:r>
                                <w:rPr>
                                  <w:spacing w:val="27"/>
                                  <w:w w:val="117"/>
                                  <w:sz w:val="27"/>
                                </w:rPr>
                                <w:t xml:space="preserve"> </w:t>
                              </w:r>
                              <w:r>
                                <w:rPr>
                                  <w:w w:val="117"/>
                                  <w:sz w:val="27"/>
                                </w:rPr>
                                <w:t>international</w:t>
                              </w:r>
                            </w:p>
                          </w:txbxContent>
                        </wps:txbx>
                        <wps:bodyPr horzOverflow="overflow" vert="horz" lIns="0" tIns="0" rIns="0" bIns="0" rtlCol="0">
                          <a:noAutofit/>
                        </wps:bodyPr>
                      </wps:wsp>
                      <wps:wsp>
                        <wps:cNvPr id="59" name="Rectangle 59"/>
                        <wps:cNvSpPr/>
                        <wps:spPr>
                          <a:xfrm>
                            <a:off x="5" y="1838998"/>
                            <a:ext cx="7088375" cy="219224"/>
                          </a:xfrm>
                          <a:prstGeom prst="rect">
                            <a:avLst/>
                          </a:prstGeom>
                          <a:ln>
                            <a:noFill/>
                          </a:ln>
                        </wps:spPr>
                        <wps:txbx>
                          <w:txbxContent>
                            <w:p w14:paraId="75B6A481" w14:textId="77777777" w:rsidR="00F25E3E" w:rsidRDefault="00000000">
                              <w:pPr>
                                <w:spacing w:after="160" w:line="259" w:lineRule="auto"/>
                                <w:ind w:firstLine="0"/>
                                <w:jc w:val="left"/>
                              </w:pPr>
                              <w:r>
                                <w:rPr>
                                  <w:w w:val="117"/>
                                  <w:sz w:val="27"/>
                                </w:rPr>
                                <w:t>cross-sectional</w:t>
                              </w:r>
                              <w:r>
                                <w:rPr>
                                  <w:spacing w:val="29"/>
                                  <w:w w:val="117"/>
                                  <w:sz w:val="27"/>
                                </w:rPr>
                                <w:t xml:space="preserve"> </w:t>
                              </w:r>
                              <w:r>
                                <w:rPr>
                                  <w:w w:val="117"/>
                                  <w:sz w:val="27"/>
                                </w:rPr>
                                <w:t>survey</w:t>
                              </w:r>
                              <w:r>
                                <w:rPr>
                                  <w:spacing w:val="27"/>
                                  <w:w w:val="117"/>
                                  <w:sz w:val="27"/>
                                </w:rPr>
                                <w:t xml:space="preserve"> </w:t>
                              </w:r>
                              <w:r>
                                <w:rPr>
                                  <w:w w:val="117"/>
                                  <w:sz w:val="27"/>
                                </w:rPr>
                                <w:t>of</w:t>
                              </w:r>
                              <w:r>
                                <w:rPr>
                                  <w:spacing w:val="26"/>
                                  <w:w w:val="117"/>
                                  <w:sz w:val="27"/>
                                </w:rPr>
                                <w:t xml:space="preserve"> </w:t>
                              </w:r>
                              <w:r>
                                <w:rPr>
                                  <w:w w:val="117"/>
                                  <w:sz w:val="27"/>
                                </w:rPr>
                                <w:t>ICU</w:t>
                              </w:r>
                              <w:r>
                                <w:rPr>
                                  <w:spacing w:val="27"/>
                                  <w:w w:val="117"/>
                                  <w:sz w:val="27"/>
                                </w:rPr>
                                <w:t xml:space="preserve"> </w:t>
                              </w:r>
                              <w:r>
                                <w:rPr>
                                  <w:w w:val="117"/>
                                  <w:sz w:val="27"/>
                                </w:rPr>
                                <w:t>professionals</w:t>
                              </w:r>
                              <w:r>
                                <w:rPr>
                                  <w:spacing w:val="28"/>
                                  <w:w w:val="117"/>
                                  <w:sz w:val="27"/>
                                </w:rPr>
                                <w:t xml:space="preserve"> </w:t>
                              </w:r>
                              <w:r>
                                <w:rPr>
                                  <w:w w:val="117"/>
                                  <w:sz w:val="27"/>
                                </w:rPr>
                                <w:t>and</w:t>
                              </w:r>
                              <w:r>
                                <w:rPr>
                                  <w:spacing w:val="27"/>
                                  <w:w w:val="117"/>
                                  <w:sz w:val="27"/>
                                </w:rPr>
                                <w:t xml:space="preserve"> </w:t>
                              </w:r>
                              <w:r>
                                <w:rPr>
                                  <w:w w:val="117"/>
                                  <w:sz w:val="27"/>
                                </w:rPr>
                                <w:t>adult</w:t>
                              </w:r>
                              <w:r>
                                <w:rPr>
                                  <w:spacing w:val="28"/>
                                  <w:w w:val="117"/>
                                  <w:sz w:val="27"/>
                                </w:rPr>
                                <w:t xml:space="preserve"> </w:t>
                              </w:r>
                              <w:r>
                                <w:rPr>
                                  <w:w w:val="117"/>
                                  <w:sz w:val="27"/>
                                </w:rPr>
                                <w:t>critical</w:t>
                              </w:r>
                              <w:r>
                                <w:rPr>
                                  <w:spacing w:val="26"/>
                                  <w:w w:val="117"/>
                                  <w:sz w:val="27"/>
                                </w:rPr>
                                <w:t xml:space="preserve"> </w:t>
                              </w:r>
                              <w:r>
                                <w:rPr>
                                  <w:w w:val="117"/>
                                  <w:sz w:val="27"/>
                                </w:rPr>
                                <w:t>illness</w:t>
                              </w:r>
                            </w:p>
                          </w:txbxContent>
                        </wps:txbx>
                        <wps:bodyPr horzOverflow="overflow" vert="horz" lIns="0" tIns="0" rIns="0" bIns="0" rtlCol="0">
                          <a:noAutofit/>
                        </wps:bodyPr>
                      </wps:wsp>
                      <wps:wsp>
                        <wps:cNvPr id="60" name="Rectangle 60"/>
                        <wps:cNvSpPr/>
                        <wps:spPr>
                          <a:xfrm>
                            <a:off x="5" y="2057872"/>
                            <a:ext cx="955906" cy="219224"/>
                          </a:xfrm>
                          <a:prstGeom prst="rect">
                            <a:avLst/>
                          </a:prstGeom>
                          <a:ln>
                            <a:noFill/>
                          </a:ln>
                        </wps:spPr>
                        <wps:txbx>
                          <w:txbxContent>
                            <w:p w14:paraId="5FCA9B3C" w14:textId="77777777" w:rsidR="00F25E3E" w:rsidRDefault="00000000">
                              <w:pPr>
                                <w:spacing w:after="160" w:line="259" w:lineRule="auto"/>
                                <w:ind w:firstLine="0"/>
                                <w:jc w:val="left"/>
                              </w:pPr>
                              <w:r>
                                <w:rPr>
                                  <w:w w:val="117"/>
                                  <w:sz w:val="27"/>
                                </w:rPr>
                                <w:t>survivors</w:t>
                              </w:r>
                            </w:p>
                          </w:txbxContent>
                        </wps:txbx>
                        <wps:bodyPr horzOverflow="overflow" vert="horz" lIns="0" tIns="0" rIns="0" bIns="0" rtlCol="0">
                          <a:noAutofit/>
                        </wps:bodyPr>
                      </wps:wsp>
                    </wpg:wgp>
                  </a:graphicData>
                </a:graphic>
              </wp:inline>
            </w:drawing>
          </mc:Choice>
          <mc:Fallback xmlns:a="http://schemas.openxmlformats.org/drawingml/2006/main">
            <w:pict>
              <v:group id="Group 19731" style="width:521.575pt;height:175.016pt;mso-position-horizontal-relative:char;mso-position-vertical-relative:line" coordsize="66240,22227">
                <v:shape id="Shape 23682" style="position:absolute;width:66240;height:379;left:0;top:12254;" coordsize="6624003,37958" path="m0,0l6624003,0l6624003,37958l0,37958l0,0">
                  <v:stroke weight="0pt" endcap="flat" joinstyle="miter" miterlimit="10" on="false" color="#000000" opacity="0"/>
                  <v:fill on="true" color="#000000"/>
                </v:shape>
                <v:shape id="Shape 23683" style="position:absolute;width:57256;height:91;left:0;top:2454;" coordsize="5725668,9144" path="m0,0l5725668,0l5725668,9144l0,9144l0,0">
                  <v:stroke weight="0pt" endcap="flat" joinstyle="miter" miterlimit="10" on="false" color="#000000" opacity="0"/>
                  <v:fill on="true" color="#181717"/>
                </v:shape>
                <v:rect id="Rectangle 209" style="position:absolute;width:629;height:1039;left:41109;top:0;" filled="f" stroked="f">
                  <v:textbox inset="0,0,0,0">
                    <w:txbxContent>
                      <w:p>
                        <w:pPr>
                          <w:spacing w:before="0" w:after="160" w:line="259" w:lineRule="auto"/>
                          <w:ind w:left="0" w:right="0" w:firstLine="0"/>
                          <w:jc w:val="left"/>
                        </w:pPr>
                        <w:hyperlink r:id="hyperlink189">
                          <w:r>
                            <w:rPr>
                              <w:color w:val="005f89"/>
                              <w:w w:val="121"/>
                              <w:sz w:val="13"/>
                            </w:rPr>
                            <w:t xml:space="preserve">1</w:t>
                          </w:r>
                        </w:hyperlink>
                      </w:p>
                    </w:txbxContent>
                  </v:textbox>
                </v:rect>
                <v:rect id="Rectangle 208" style="position:absolute;width:21111;height:1039;left:25236;top:0;" filled="f" stroked="f">
                  <v:textbox inset="0,0,0,0">
                    <w:txbxContent>
                      <w:p>
                        <w:pPr>
                          <w:spacing w:before="0" w:after="160" w:line="259" w:lineRule="auto"/>
                          <w:ind w:left="0" w:right="0" w:firstLine="0"/>
                          <w:jc w:val="left"/>
                        </w:pPr>
                        <w:r>
                          <w:rPr>
                            <w:color w:val="005f89"/>
                            <w:w w:val="118"/>
                            <w:sz w:val="13"/>
                          </w:rPr>
                          <w:t xml:space="preserve">Annals</w:t>
                        </w:r>
                        <w:r>
                          <w:rPr>
                            <w:color w:val="005f89"/>
                            <w:spacing w:val="13"/>
                            <w:w w:val="118"/>
                            <w:sz w:val="13"/>
                          </w:rPr>
                          <w:t xml:space="preserve"> </w:t>
                        </w:r>
                        <w:r>
                          <w:rPr>
                            <w:color w:val="005f89"/>
                            <w:w w:val="118"/>
                            <w:sz w:val="13"/>
                          </w:rPr>
                          <w:t xml:space="preserve">of</w:t>
                        </w:r>
                        <w:r>
                          <w:rPr>
                            <w:color w:val="005f89"/>
                            <w:spacing w:val="13"/>
                            <w:w w:val="118"/>
                            <w:sz w:val="13"/>
                          </w:rPr>
                          <w:t xml:space="preserve"> </w:t>
                        </w:r>
                        <w:r>
                          <w:rPr>
                            <w:color w:val="005f89"/>
                            <w:w w:val="118"/>
                            <w:sz w:val="13"/>
                          </w:rPr>
                          <w:t xml:space="preserve">Intensive</w:t>
                        </w:r>
                        <w:r>
                          <w:rPr>
                            <w:color w:val="005f89"/>
                            <w:spacing w:val="14"/>
                            <w:w w:val="118"/>
                            <w:sz w:val="13"/>
                          </w:rPr>
                          <w:t xml:space="preserve"> </w:t>
                        </w:r>
                        <w:r>
                          <w:rPr>
                            <w:color w:val="005f89"/>
                            <w:w w:val="118"/>
                            <w:sz w:val="13"/>
                          </w:rPr>
                          <w:t xml:space="preserve">Care</w:t>
                        </w:r>
                        <w:r>
                          <w:rPr>
                            <w:color w:val="005f89"/>
                            <w:spacing w:val="12"/>
                            <w:w w:val="118"/>
                            <w:sz w:val="13"/>
                          </w:rPr>
                          <w:t xml:space="preserve"> </w:t>
                        </w:r>
                        <w:r>
                          <w:rPr>
                            <w:color w:val="005f89"/>
                            <w:w w:val="118"/>
                            <w:sz w:val="13"/>
                          </w:rPr>
                          <w:t xml:space="preserve">16</w:t>
                        </w:r>
                        <w:r>
                          <w:rPr>
                            <w:color w:val="005f89"/>
                            <w:spacing w:val="13"/>
                            <w:w w:val="118"/>
                            <w:sz w:val="13"/>
                          </w:rPr>
                          <w:t xml:space="preserve"> </w:t>
                        </w:r>
                        <w:r>
                          <w:rPr>
                            <w:color w:val="005f89"/>
                            <w:w w:val="118"/>
                            <w:sz w:val="13"/>
                          </w:rPr>
                          <w:t xml:space="preserve">(2026)</w:t>
                        </w:r>
                        <w:r>
                          <w:rPr>
                            <w:color w:val="005f89"/>
                            <w:spacing w:val="13"/>
                            <w:w w:val="118"/>
                            <w:sz w:val="13"/>
                          </w:rPr>
                          <w:t xml:space="preserve"> </w:t>
                        </w:r>
                        <w:r>
                          <w:rPr>
                            <w:color w:val="005f89"/>
                            <w:w w:val="118"/>
                            <w:sz w:val="13"/>
                          </w:rPr>
                          <w:t xml:space="preserve">10014</w:t>
                        </w:r>
                      </w:p>
                    </w:txbxContent>
                  </v:textbox>
                </v:rect>
                <v:shape id="Picture 11" style="position:absolute;width:7558;height:8280;left:0;top:3195;" filled="f">
                  <v:imagedata r:id="rId12"/>
                </v:shape>
                <v:shape id="Shape 23698" style="position:absolute;width:47880;height:8280;left:9360;top:3222;" coordsize="4788002,828002" path="m0,0l4788002,0l4788002,828002l0,828002l0,0">
                  <v:stroke weight="0pt" endcap="flat" joinstyle="miter" miterlimit="10" on="false" color="#000000" opacity="0"/>
                  <v:fill on="true" color="#e9e8e7"/>
                </v:shape>
                <v:rect id="Rectangle 13" style="position:absolute;width:16101;height:1637;left:23853;top:3347;" filled="f" stroked="f">
                  <v:textbox inset="0,0,0,0">
                    <w:txbxContent>
                      <w:p>
                        <w:pPr>
                          <w:spacing w:before="0" w:after="160" w:line="259" w:lineRule="auto"/>
                          <w:ind w:left="0" w:right="0" w:firstLine="0"/>
                          <w:jc w:val="left"/>
                        </w:pPr>
                        <w:r>
                          <w:rPr>
                            <w:rFonts w:cs="Calibri" w:hAnsi="Calibri" w:eastAsia="Calibri" w:ascii="Calibri"/>
                            <w:w w:val="115"/>
                          </w:rPr>
                          <w:t xml:space="preserve">Contents</w:t>
                        </w:r>
                        <w:r>
                          <w:rPr>
                            <w:rFonts w:cs="Calibri" w:hAnsi="Calibri" w:eastAsia="Calibri" w:ascii="Calibri"/>
                            <w:spacing w:val="18"/>
                            <w:w w:val="115"/>
                          </w:rPr>
                          <w:t xml:space="preserve"> </w:t>
                        </w:r>
                        <w:r>
                          <w:rPr>
                            <w:rFonts w:cs="Calibri" w:hAnsi="Calibri" w:eastAsia="Calibri" w:ascii="Calibri"/>
                            <w:w w:val="115"/>
                          </w:rPr>
                          <w:t xml:space="preserve">lists</w:t>
                        </w:r>
                        <w:r>
                          <w:rPr>
                            <w:rFonts w:cs="Calibri" w:hAnsi="Calibri" w:eastAsia="Calibri" w:ascii="Calibri"/>
                            <w:spacing w:val="17"/>
                            <w:w w:val="115"/>
                          </w:rPr>
                          <w:t xml:space="preserve"> </w:t>
                        </w:r>
                        <w:r>
                          <w:rPr>
                            <w:rFonts w:cs="Calibri" w:hAnsi="Calibri" w:eastAsia="Calibri" w:ascii="Calibri"/>
                            <w:w w:val="115"/>
                          </w:rPr>
                          <w:t xml:space="preserve">available</w:t>
                        </w:r>
                        <w:r>
                          <w:rPr>
                            <w:rFonts w:cs="Calibri" w:hAnsi="Calibri" w:eastAsia="Calibri" w:ascii="Calibri"/>
                            <w:spacing w:val="17"/>
                            <w:w w:val="115"/>
                          </w:rPr>
                          <w:t xml:space="preserve"> </w:t>
                        </w:r>
                        <w:r>
                          <w:rPr>
                            <w:rFonts w:cs="Calibri" w:hAnsi="Calibri" w:eastAsia="Calibri" w:ascii="Calibri"/>
                            <w:w w:val="115"/>
                          </w:rPr>
                          <w:t xml:space="preserve">at</w:t>
                        </w:r>
                      </w:p>
                    </w:txbxContent>
                  </v:textbox>
                </v:rect>
                <v:rect id="Rectangle 14" style="position:absolute;width:8571;height:1637;left:36302;top:3347;" filled="f" stroked="f">
                  <v:textbox inset="0,0,0,0">
                    <w:txbxContent>
                      <w:p>
                        <w:pPr>
                          <w:spacing w:before="0" w:after="160" w:line="259" w:lineRule="auto"/>
                          <w:ind w:left="0" w:right="0" w:firstLine="0"/>
                          <w:jc w:val="left"/>
                        </w:pPr>
                        <w:r>
                          <w:rPr>
                            <w:rFonts w:cs="Calibri" w:hAnsi="Calibri" w:eastAsia="Calibri" w:ascii="Calibri"/>
                            <w:color w:val="005f89"/>
                            <w:w w:val="116"/>
                          </w:rPr>
                          <w:t xml:space="preserve">ScienceDirect</w:t>
                        </w:r>
                      </w:p>
                    </w:txbxContent>
                  </v:textbox>
                </v:rect>
                <v:rect id="Rectangle 15" style="position:absolute;width:25699;height:2273;left:23637;top:6686;" filled="f" stroked="f">
                  <v:textbox inset="0,0,0,0">
                    <w:txbxContent>
                      <w:p>
                        <w:pPr>
                          <w:spacing w:before="0" w:after="160" w:line="259" w:lineRule="auto"/>
                          <w:ind w:left="0" w:right="0" w:firstLine="0"/>
                          <w:jc w:val="left"/>
                        </w:pPr>
                        <w:r>
                          <w:rPr>
                            <w:w w:val="107"/>
                            <w:sz w:val="28"/>
                          </w:rPr>
                          <w:t xml:space="preserve">Annals</w:t>
                        </w:r>
                        <w:r>
                          <w:rPr>
                            <w:spacing w:val="24"/>
                            <w:w w:val="107"/>
                            <w:sz w:val="28"/>
                          </w:rPr>
                          <w:t xml:space="preserve"> </w:t>
                        </w:r>
                        <w:r>
                          <w:rPr>
                            <w:w w:val="107"/>
                            <w:sz w:val="28"/>
                          </w:rPr>
                          <w:t xml:space="preserve">of</w:t>
                        </w:r>
                        <w:r>
                          <w:rPr>
                            <w:spacing w:val="25"/>
                            <w:w w:val="107"/>
                            <w:sz w:val="28"/>
                          </w:rPr>
                          <w:t xml:space="preserve"> </w:t>
                        </w:r>
                        <w:r>
                          <w:rPr>
                            <w:w w:val="107"/>
                            <w:sz w:val="28"/>
                          </w:rPr>
                          <w:t xml:space="preserve">Intensive</w:t>
                        </w:r>
                        <w:r>
                          <w:rPr>
                            <w:spacing w:val="24"/>
                            <w:w w:val="107"/>
                            <w:sz w:val="28"/>
                          </w:rPr>
                          <w:t xml:space="preserve"> </w:t>
                        </w:r>
                        <w:r>
                          <w:rPr>
                            <w:w w:val="107"/>
                            <w:sz w:val="28"/>
                          </w:rPr>
                          <w:t xml:space="preserve">Care</w:t>
                        </w:r>
                      </w:p>
                    </w:txbxContent>
                  </v:textbox>
                </v:rect>
                <v:rect id="Rectangle 16" style="position:absolute;width:13012;height:1637;left:19872;top:10022;" filled="f" stroked="f">
                  <v:textbox inset="0,0,0,0">
                    <w:txbxContent>
                      <w:p>
                        <w:pPr>
                          <w:spacing w:before="0" w:after="160" w:line="259" w:lineRule="auto"/>
                          <w:ind w:left="0" w:right="0" w:firstLine="0"/>
                          <w:jc w:val="left"/>
                        </w:pPr>
                        <w:r>
                          <w:rPr>
                            <w:rFonts w:cs="Calibri" w:hAnsi="Calibri" w:eastAsia="Calibri" w:ascii="Calibri"/>
                            <w:spacing w:val="12"/>
                            <w:w w:val="111"/>
                          </w:rPr>
                          <w:t xml:space="preserve">journal</w:t>
                        </w:r>
                        <w:r>
                          <w:rPr>
                            <w:rFonts w:cs="Calibri" w:hAnsi="Calibri" w:eastAsia="Calibri" w:ascii="Calibri"/>
                            <w:spacing w:val="17"/>
                            <w:w w:val="111"/>
                          </w:rPr>
                          <w:t xml:space="preserve"> </w:t>
                        </w:r>
                        <w:r>
                          <w:rPr>
                            <w:rFonts w:cs="Calibri" w:hAnsi="Calibri" w:eastAsia="Calibri" w:ascii="Calibri"/>
                            <w:spacing w:val="12"/>
                            <w:w w:val="111"/>
                          </w:rPr>
                          <w:t xml:space="preserve">homepage:</w:t>
                        </w:r>
                      </w:p>
                    </w:txbxContent>
                  </v:textbox>
                </v:rect>
                <v:rect id="Rectangle 211" style="position:absolute;width:323;height:1637;left:46478;top:10022;" filled="f" stroked="f">
                  <v:textbox inset="0,0,0,0">
                    <w:txbxContent>
                      <w:p>
                        <w:pPr>
                          <w:spacing w:before="0" w:after="160" w:line="259" w:lineRule="auto"/>
                          <w:ind w:left="0" w:right="0" w:firstLine="0"/>
                          <w:jc w:val="left"/>
                        </w:pPr>
                        <w:hyperlink r:id="hyperlink190">
                          <w:r>
                            <w:rPr>
                              <w:rFonts w:cs="Calibri" w:hAnsi="Calibri" w:eastAsia="Calibri" w:ascii="Calibri"/>
                              <w:color w:val="005f89"/>
                              <w:w w:val="104"/>
                            </w:rPr>
                            <w:t xml:space="preserve">j</w:t>
                          </w:r>
                        </w:hyperlink>
                      </w:p>
                    </w:txbxContent>
                  </v:textbox>
                </v:rect>
                <v:rect id="Rectangle 210" style="position:absolute;width:21726;height:1637;left:30067;top:10022;" filled="f" stroked="f">
                  <v:textbox inset="0,0,0,0">
                    <w:txbxContent>
                      <w:p>
                        <w:pPr>
                          <w:spacing w:before="0" w:after="160" w:line="259" w:lineRule="auto"/>
                          <w:ind w:left="0" w:right="0" w:firstLine="0"/>
                          <w:jc w:val="left"/>
                        </w:pPr>
                        <w:r>
                          <w:rPr>
                            <w:rFonts w:cs="Calibri" w:hAnsi="Calibri" w:eastAsia="Calibri" w:ascii="Calibri"/>
                            <w:color w:val="005f89"/>
                            <w:spacing w:val="12"/>
                            <w:w w:val="115"/>
                          </w:rPr>
                          <w:t xml:space="preserve">www.elsevier.com/locate/aico</w:t>
                        </w:r>
                      </w:p>
                    </w:txbxContent>
                  </v:textbox>
                </v:rect>
                <v:shape id="Picture 19" style="position:absolute;width:7191;height:9086;left:59040;top:2439;" filled="f">
                  <v:imagedata r:id="rId13"/>
                </v:shape>
                <v:rect id="Rectangle 23" style="position:absolute;width:6658;height:1558;left:0;top:13763;" filled="f" stroked="f">
                  <v:textbox inset="0,0,0,0">
                    <w:txbxContent>
                      <w:p>
                        <w:pPr>
                          <w:spacing w:before="0" w:after="160" w:line="259" w:lineRule="auto"/>
                          <w:ind w:left="0" w:right="0" w:firstLine="0"/>
                          <w:jc w:val="left"/>
                        </w:pPr>
                        <w:r>
                          <w:rPr>
                            <w:w w:val="116"/>
                            <w:sz w:val="19"/>
                          </w:rPr>
                          <w:t xml:space="preserve">Research</w:t>
                        </w:r>
                      </w:p>
                    </w:txbxContent>
                  </v:textbox>
                </v:rect>
                <v:shape id="Picture 22954" style="position:absolute;width:3596;height:3596;left:59002;top:16066;" filled="f">
                  <v:imagedata r:id="rId14"/>
                </v:shape>
                <v:shape id="Shape 26" style="position:absolute;width:3570;height:3570;left:59018;top:16105;" coordsize="357022,357022" path="m7938,0l349098,0c353466,0,357022,3556,357022,7938l357022,349098c357022,353466,353466,357022,349098,357022l7938,357022c3556,357022,0,353466,0,349098l0,7938c0,3556,3556,0,7938,0x">
                  <v:stroke weight="0.234pt" endcap="flat" joinstyle="miter" miterlimit="10" on="true" color="#8c837d"/>
                  <v:fill on="false" color="#000000" opacity="0"/>
                </v:shape>
                <v:shape id="Shape 27" style="position:absolute;width:361;height:414;left:59562;top:18370;" coordsize="36182,41465" path="m19317,38c21437,25,23558,343,25590,952c27457,1524,29223,2426,30785,3607c32258,4661,33515,6007,34480,7544c35420,9309,36004,11252,36182,13246l29273,13246l29273,13335c29007,12230,28588,11163,28042,10160c27546,9220,26873,8357,26060,7658c25222,6947,24244,6401,23203,6033c21933,5613,20587,5410,19240,5436c17335,5385,15456,5817,13767,6718c12255,7531,10960,8699,9995,10122c9004,11608,8280,13259,7848,14999c6934,18644,6934,22466,7848,26111c8280,27851,9004,29489,9995,30988c10960,32410,12255,33592,13767,34392c15456,35293,17335,35725,19240,35674c20599,35687,21958,35408,23203,34874c24371,34354,25413,33604,26264,32652c27127,31687,27800,30569,28245,29362c28740,28080,29045,26759,29197,25387l35979,25387c35877,27635,35357,29845,34480,31903c33642,33807,32448,35535,30937,36970c29439,38418,27660,39522,25705,40272c23584,41072,21336,41453,19088,41428c16345,41465,13640,40907,11150,39789c8953,38710,7010,37186,5435,35306c3785,33363,2515,31102,1714,28689c0,23533,0,17971,1714,12814c2515,10401,3785,8141,5435,6185c7086,4293,9106,2769,11392,1715c13881,571,16586,0,19317,38x">
                  <v:stroke weight="0pt" endcap="flat" joinstyle="miter" miterlimit="10" on="false" color="#000000" opacity="0"/>
                  <v:fill on="true" color="#534e4a"/>
                </v:shape>
                <v:shape id="Shape 28" style="position:absolute;width:254;height:398;left:59979;top:18377;" coordsize="25400,39827" path="m0,0l6350,0l6350,14757c7201,13386,8407,12255,9830,11493c11405,10617,13195,10173,14999,10198c17704,10033,20371,10909,22454,12649c24384,14580,25400,17259,25184,19990l25184,39827l18961,39827l18961,21615c19050,19863,18542,18136,17526,16688c16434,15608,14910,15062,13373,15189c12370,15164,11379,15380,10478,15786c9627,16154,8890,16713,8293,17412c7684,18123,7214,18948,6896,19837c6566,20777,6388,21768,6388,22771l6388,39713l38,39713l38,38l0,0x">
                  <v:stroke weight="0pt" endcap="flat" joinstyle="miter" miterlimit="10" on="false" color="#000000" opacity="0"/>
                  <v:fill on="true" color="#534e4a"/>
                </v:shape>
                <v:shape id="Shape 29" style="position:absolute;width:138;height:301;left:60283;top:18480;" coordsize="13868,30167" path="m13868,0l13868,5091l11011,5655c10134,6024,9334,6570,8674,7281c8013,7979,7493,8805,7124,9694c6731,10646,6515,11662,6490,12704l13868,12704l13868,16755l6469,16755l6921,19854c7226,20844,7709,21772,8357,22597c9004,23372,9817,24007,10731,24451l13868,25097l13868,30167l8077,29087c6400,28401,4890,27334,3670,25988c2438,24629,1498,23004,940,21238c305,19270,0,17200,25,15130c25,13161,355,11193,1016,9338c1625,7560,2565,5922,3797,4500l13868,0x">
                  <v:stroke weight="0pt" endcap="flat" joinstyle="miter" miterlimit="10" on="false" color="#000000" opacity="0"/>
                  <v:fill on="true" color="#534e4a"/>
                </v:shape>
                <v:shape id="Shape 30" style="position:absolute;width:133;height:98;left:60422;top:18684;" coordsize="13335,9804" path="m7341,0l13335,0c12726,2921,11062,5512,8649,7264c7442,8128,6097,8763,4687,9169c3226,9601,1715,9804,203,9804l0,9766l0,4697l318,4763c1892,4851,3467,4432,4800,3569c6007,2692,6896,1435,7341,0x">
                  <v:stroke weight="0pt" endcap="flat" joinstyle="miter" miterlimit="10" on="false" color="#000000" opacity="0"/>
                  <v:fill on="true" color="#534e4a"/>
                </v:shape>
                <v:shape id="Shape 31" style="position:absolute;width:138;height:168;left:60422;top:18480;" coordsize="13894,16802" path="m77,13c2184,0,4267,483,6147,1460c7900,2362,9437,3645,10630,5220c11836,6820,12713,8636,13208,10579c13754,12598,13894,14719,13640,16802l0,16802l0,12751l7379,12751l7341,12713c7265,11722,7062,10744,6706,9817c6376,8941,5893,8103,5283,7404c4649,6706,3899,6147,3048,5740c2146,5309,1156,5093,165,5105l0,5138l0,47l77,13x">
                  <v:stroke weight="0pt" endcap="flat" joinstyle="miter" miterlimit="10" on="false" color="#000000" opacity="0"/>
                  <v:fill on="true" color="#534e4a"/>
                </v:shape>
                <v:shape id="Shape 32" style="position:absolute;width:271;height:304;left:60593;top:18479;" coordsize="27115,30480" path="m14110,38c15710,38,17311,241,18872,673c20282,1080,21628,1715,22835,2591c24003,3442,24968,4534,25692,5804c26467,7214,26924,8788,27039,10401l20689,10401l20727,10325c20562,8763,19800,7341,18593,6350c17311,5423,15761,4940,14186,5004c13297,5004,12408,5143,11570,5398c10605,5702,9728,6236,9030,6947c8154,7861,7493,8941,7087,10122c6503,11824,6223,13640,6286,15430c6300,16637,6439,17843,6718,19012c6972,20142,7442,21209,8078,22187c8675,23101,9475,23876,10414,24435c11468,25044,12688,25349,13907,25324c15608,25387,17273,24778,18504,23609c19800,22301,20600,20600,20765,18771l27115,18771c26759,22047,25248,25070,22873,27343c20371,29413,17183,30480,13945,30315c11900,30353,9881,29959,8001,29159c6338,28461,4852,27407,3632,26060c2426,24714,1499,23114,927,21387c318,19495,0,17501,26,15519c0,13462,292,11417,889,9449c1422,7645,2311,5969,3518,4534c4712,3124,6223,1994,7913,1232c9868,406,11976,0,14110,38x">
                  <v:stroke weight="0pt" endcap="flat" joinstyle="miter" miterlimit="10" on="false" color="#000000" opacity="0"/>
                  <v:fill on="true" color="#534e4a"/>
                </v:shape>
                <v:shape id="Shape 33" style="position:absolute;width:266;height:396;left:60915;top:18377;" coordsize="26657,39662" path="m0,0l203,0l6553,0l6553,22682l17970,10795l25908,10795l14770,21501l26657,39662l19076,39662l10325,25743l6350,29388l6350,39662l0,39662l0,0x">
                  <v:stroke weight="0pt" endcap="flat" joinstyle="miter" miterlimit="10" on="false" color="#000000" opacity="0"/>
                  <v:fill on="true" color="#534e4a"/>
                </v:shape>
                <v:shape id="Shape 34" style="position:absolute;width:172;height:393;left:61340;top:18376;" coordsize="17259,39357" path="m12827,51c14313,0,15799,127,17259,457l17259,5410l15951,5182l14325,5182c13551,5156,12802,5359,12141,5766c11455,6350,11113,7252,11240,8141l11240,10846l16637,10846l16637,15558l11075,15558l11075,39357l4725,39357l4725,15558l0,15558l0,10846l4725,10846l4725,8458c4673,6960,4915,5474,5397,4064c5753,3048,6376,2146,7176,1448c7963,876,8877,508,9843,368c10820,153,11824,51,12827,51x">
                  <v:stroke weight="0pt" endcap="flat" joinstyle="miter" miterlimit="10" on="false" color="#000000" opacity="0"/>
                  <v:fill on="true" color="#534e4a"/>
                </v:shape>
                <v:shape id="Shape 35" style="position:absolute;width:143;height:291;left:61531;top:18490;" coordsize="14395,29134" path="m8382,0l14395,0l14395,4763l10719,4763c9715,5334,8851,6122,8179,7074c7493,8052,6997,9157,6718,10325c6083,12738,6083,15278,6718,17704c6997,18860,7493,19952,8179,20942c8788,21895,9601,22695,10566,23292l14395,24126l14395,29134l8382,28004c6655,27305,5105,26238,3810,24879c2565,23508,1600,21882,1003,20117c330,18161,0,16091,12,14021c0,11951,330,9881,1003,7938c1600,6160,2553,4534,3810,3137c5105,1791,6655,724,8382,0x">
                  <v:stroke weight="0pt" endcap="flat" joinstyle="miter" miterlimit="10" on="false" color="#000000" opacity="0"/>
                  <v:fill on="true" color="#534e4a"/>
                </v:shape>
                <v:shape id="Shape 36" style="position:absolute;width:145;height:291;left:61675;top:18490;" coordsize="14598,29197" path="m0,0l6242,0c7969,724,9519,1791,10802,3137c12071,4534,13024,6160,13608,7938c14281,9893,14598,11951,14574,14021c14598,16091,14281,18148,13608,20117c13024,21882,12071,23508,10802,24879c9519,26238,7969,27305,6242,28004c4299,28804,2216,29197,133,29159l0,29134l0,24126l133,24156c1365,24168,2572,23876,3651,23292c4667,22708,5544,21908,6191,20942c6877,19952,7372,18860,7677,17704c8312,15278,8312,12738,7677,10325c7385,9157,6877,8052,6191,7074c5531,6122,4667,5334,3651,4763l0,4763l0,0x">
                  <v:stroke weight="0pt" endcap="flat" joinstyle="miter" miterlimit="10" on="false" color="#000000" opacity="0"/>
                  <v:fill on="true" color="#534e4a"/>
                </v:shape>
                <v:shape id="Shape 37" style="position:absolute;width:1;height:0;left:61873;top:18485;" coordsize="165,0" path="m165,0l0,0x">
                  <v:stroke weight="0pt" endcap="flat" joinstyle="miter" miterlimit="10" on="false" color="#000000" opacity="0"/>
                  <v:fill on="true" color="#534e4a"/>
                </v:shape>
                <v:shape id="Shape 38" style="position:absolute;width:167;height:295;left:61874;top:18479;" coordsize="16776,29591" path="m14275,0l16776,0l16776,6109l14071,6109c13043,6109,12014,6325,11061,6744c10109,7176,9271,7836,8598,8649c7862,9563,7289,10617,6947,11748c6515,13107,6312,14529,6350,15951l6350,29591l0,29591l0,559l5791,559l5791,6109c5982,5296,6362,4521,6858,3848c7417,3086,8065,2413,8801,1829c9627,1270,10516,838,11455,559c12344,190,13309,0,14275,0x">
                  <v:stroke weight="0pt" endcap="flat" joinstyle="miter" miterlimit="10" on="false" color="#000000" opacity="0"/>
                  <v:fill on="true" color="#534e4a"/>
                </v:shape>
                <v:shape id="Shape 39" style="position:absolute;width:252;height:299;left:59779;top:19001;" coordsize="25209,29985" path="m216,0l6566,0l6566,17602c6388,19494,6896,21374,7988,22911c9042,23965,10477,24524,11963,24460c13030,24536,14110,24384,15138,24028c15977,23673,16726,23114,17310,22403c17894,21692,18288,20841,18504,19952c18758,18936,18872,17894,18859,16853l18859,0l25209,0l25209,28715l25171,28867l19101,28867l19101,24892c18313,26378,17107,27584,15659,28397c14237,29235,12611,29680,10973,29705c7950,29985,4966,28969,2756,26886c901,24486,0,21476,216,18440l216,0x">
                  <v:stroke weight="0pt" endcap="flat" joinstyle="miter" miterlimit="10" on="false" color="#000000" opacity="0"/>
                  <v:fill on="true" color="#534e4a"/>
                </v:shape>
                <v:shape id="Shape 40" style="position:absolute;width:141;height:401;left:60099;top:18996;" coordsize="14191,40170" path="m14191,0l14191,4568l8204,7328c6769,9513,6058,12091,6185,14707c6185,16053,6350,17387,6706,18682c7010,19825,7557,20917,8293,21857c8992,22873,9906,23711,10985,24308l14191,25059l14191,29993l13170,29909c12255,29744,11366,29464,10516,29109c9665,28740,8877,28258,8166,27686c7455,27127,6833,26429,6350,25667l6350,40170l0,40170l0,508l114,508l6109,508l6109,4471c6922,2909,8230,1651,9842,902l14191,0x">
                  <v:stroke weight="0pt" endcap="flat" joinstyle="miter" miterlimit="10" on="false" color="#000000" opacity="0"/>
                  <v:fill on="true" color="#534e4a"/>
                </v:shape>
                <v:shape id="Shape 41" style="position:absolute;width:142;height:304;left:60240;top:18993;" coordsize="14270,30404" path="m795,51c2839,0,4859,419,6713,1232c8351,2007,9786,3137,10916,4534c12060,5982,12910,7645,13419,9411c13990,11341,14270,13348,14244,15354c14244,17247,13990,19126,13495,20955c13037,22682,12275,24308,11234,25756c10193,27153,8834,28296,7272,29083c5557,29972,3665,30404,1760,30353l0,30208l0,25275l210,25324c1430,25362,2649,25095,3741,24524c4719,23952,5557,23165,6205,22225c6853,21247,7335,20155,7589,19012c7881,17793,8021,16535,8021,15278l8021,15126c8034,13780,7869,12446,7513,11151c7195,9982,6688,8890,6002,7900c5341,6972,4478,6210,3500,5652c2446,5055,1265,4750,45,4763l0,4783l0,216l795,51x">
                  <v:stroke weight="0pt" endcap="flat" joinstyle="miter" miterlimit="10" on="false" color="#000000" opacity="0"/>
                  <v:fill on="true" color="#534e4a"/>
                </v:shape>
                <v:shape id="Shape 42" style="position:absolute;width:141;height:303;left:60424;top:18993;" coordsize="14161,30366" path="m12497,0l14161,147l14161,5156c12840,5105,11532,5436,10389,6071c9385,6655,8534,7480,7887,8445c7227,9461,6757,10592,6503,11786c6274,13030,6172,14313,6224,15596c6224,16802,6389,18021,6706,19202c6986,20333,7468,21412,8128,22377c8763,23292,9614,24041,10592,24600l14161,24600l14161,30174l13488,30315c11443,30366,9423,29946,7569,29121c5944,28359,4509,27241,3366,25870c2210,24422,1372,22758,877,20980c305,19024,26,16993,39,14961c0,12674,356,10401,1105,8255c1715,6528,2680,4927,3925,3569c5029,2375,6389,1460,7887,864c9347,292,10909,0,12497,0x">
                  <v:stroke weight="0pt" endcap="flat" joinstyle="miter" miterlimit="10" on="false" color="#000000" opacity="0"/>
                  <v:fill on="true" color="#534e4a"/>
                </v:shape>
                <v:shape id="Shape 43" style="position:absolute;width:142;height:401;left:60566;top:18893;" coordsize="14274,40131" path="m7924,0l14274,0l14274,39675l14236,39586l8204,39586l8204,35611c7429,37211,6108,38481,4483,39192l0,40131l0,34557l3607,34557c4610,33985,5473,33172,6108,32220c6769,31217,7251,30125,7531,28956c7835,27724,7962,26467,7924,25197c8103,22530,7340,19901,5791,17729c4394,15989,2235,15011,0,15113l0,10104l1067,10198c1980,10351,2870,10630,3721,10986c4559,11354,5346,11836,6058,12408c6820,13056,7455,13818,7924,14681l7924,0x">
                  <v:stroke weight="0pt" endcap="flat" joinstyle="miter" miterlimit="10" on="false" color="#000000" opacity="0"/>
                  <v:fill on="true" color="#534e4a"/>
                </v:shape>
                <v:shape id="Shape 44" style="position:absolute;width:128;height:173;left:60760;top:19123;" coordsize="12802,17306" path="m12802,0l12802,3909l11532,4085c10871,4212,10223,4352,9589,4568c8992,4746,8433,5038,7913,5393c7417,5762,7036,6232,6769,6790c6465,7438,6312,8162,6338,8898c6300,9534,6515,10169,6922,10664c7328,11146,7836,11553,8395,11819c8992,12124,9640,12315,10300,12416c10923,12467,11544,12467,12167,12416l12802,12341l12802,16843l9906,17293c8636,17306,7379,17128,6172,16785c5068,16557,4001,16138,3035,15553c2121,14855,1372,13966,851,12937c292,11781,26,10524,64,9241c0,7743,343,6257,1054,4923c1664,3844,2540,2942,3594,2307c4699,1647,5906,1202,7163,961c8484,656,9805,453,11126,326l12802,0x">
                  <v:stroke weight="0pt" endcap="flat" joinstyle="miter" miterlimit="10" on="false" color="#000000" opacity="0"/>
                  <v:fill on="true" color="#534e4a"/>
                </v:shape>
                <v:shape id="Shape 45" style="position:absolute;width:116;height:94;left:60772;top:18998;" coordsize="11671,9404" path="m11671,0l11671,5103l8293,5950c7125,6712,6401,8007,6350,9404l0,9404c51,7779,521,6191,1360,4807c2108,3613,3125,2597,4331,1861c5550,1124,6896,603,8293,311l11671,0x">
                  <v:stroke weight="0pt" endcap="flat" joinstyle="miter" miterlimit="10" on="false" color="#000000" opacity="0"/>
                  <v:fill on="true" color="#534e4a"/>
                </v:shape>
                <v:shape id="Shape 46" style="position:absolute;width:159;height:299;left:60889;top:18997;" coordsize="15901,29997" path="m1308,0c2642,13,3976,165,5271,432c6579,711,7824,1194,8966,1867c10046,2515,10947,3391,11621,4445c12332,5652,12675,7023,12612,8407l12612,23177l12853,22885c12815,23470,12929,24041,13157,24562c13450,24930,13894,25121,14351,25070l15901,25070l15901,29477l15037,29718l13957,29959l11938,29959c10821,29997,9703,29705,8725,29159c7811,28524,7201,27521,7062,26416c5753,27673,4153,28588,2413,29083l0,29458l0,24957l1626,24765c2439,24562,3214,24244,3925,23800c4636,23368,5271,22784,5741,22085c6248,21349,6503,20460,6465,19558l6465,14973l2934,16116l0,16524l0,12615l1588,12306c2515,12230,3429,12065,4331,11824c5042,11646,5690,11303,6224,10795c6744,10224,6998,9449,6934,8687c6972,7976,6757,7277,6350,6706c5969,6210,5474,5791,4915,5524c4318,5220,3670,5042,3010,4966c2349,4915,1689,4915,1029,4966l0,5224l0,121l1308,0x">
                  <v:stroke weight="0pt" endcap="flat" joinstyle="miter" miterlimit="10" on="false" color="#000000" opacity="0"/>
                  <v:fill on="true" color="#534e4a"/>
                </v:shape>
                <v:shape id="Shape 47" style="position:absolute;width:0;height:0;left:61057;top:19001;" coordsize="38,0" path="m38,0l0,0x">
                  <v:stroke weight="0pt" endcap="flat" joinstyle="miter" miterlimit="10" on="false" color="#000000" opacity="0"/>
                  <v:fill on="true" color="#534e4a"/>
                </v:shape>
                <v:shape id="Shape 48" style="position:absolute;width:167;height:377;left:61057;top:18916;" coordsize="16776,37757" path="m4725,0l11062,0l11062,8445l16776,8445l16776,13157l11062,13157l11062,28677c11037,29248,11037,29819,11062,30378c11113,30823,11252,31242,11456,31610c11684,31966,11989,32220,12370,32359c12903,32550,13462,32626,14033,32601l15393,32601c15837,32652,16294,32652,16739,32601l16739,37478l14669,37719l12611,37719c11278,37757,9931,37592,8649,37249c7734,36995,6921,36525,6261,35852c5677,35204,5283,34417,5106,33566c4902,32512,4776,31458,4763,30378l4763,13335l0,13335l0,8445l4725,8445l4725,0x">
                  <v:stroke weight="0pt" endcap="flat" joinstyle="miter" miterlimit="10" on="false" color="#000000" opacity="0"/>
                  <v:fill on="true" color="#534e4a"/>
                </v:shape>
                <v:shape id="Shape 49" style="position:absolute;width:138;height:301;left:61255;top:18996;" coordsize="13801,30107" path="m13801,0l13801,5056l11011,5607c10134,5976,9322,6522,8674,7233c8013,7931,7493,8757,7124,9646c6744,10510,6528,11424,6452,12351l13801,12351l13801,16707l6469,16707l6934,19806c7214,20797,7709,21724,8357,22549c9004,23324,9817,23972,10744,24404l13801,25035l13801,30107l8077,29052c6400,28353,4902,27299,3670,25940c2439,24581,1498,22956,939,21190c318,19222,0,17152,26,15082c26,13113,368,11145,1016,9291c1625,7513,2565,5874,3797,4452l13801,0x">
                  <v:stroke weight="0pt" endcap="flat" joinstyle="miter" miterlimit="10" on="false" color="#000000" opacity="0"/>
                  <v:fill on="true" color="#534e4a"/>
                </v:shape>
                <v:shape id="Shape 50" style="position:absolute;width:134;height:98;left:61393;top:19200;" coordsize="13402,9804" path="m7407,0l13402,0c12805,2921,11129,5524,8716,7264c7522,8128,6163,8763,4753,9169c3293,9601,1794,9804,270,9804l0,9754l0,4683l384,4763c1959,4851,3534,4432,4867,3569c6074,2692,6963,1435,7407,0x">
                  <v:stroke weight="0pt" endcap="flat" joinstyle="miter" miterlimit="10" on="false" color="#000000" opacity="0"/>
                  <v:fill on="true" color="#534e4a"/>
                </v:shape>
                <v:shape id="Shape 51" style="position:absolute;width:139;height:168;left:61393;top:18995;" coordsize="13974,16802" path="m156,25c2264,0,4347,495,6214,1460c7966,2362,9503,3645,10697,5220c11916,6820,12780,8636,13275,10579c13821,12611,13974,14719,13707,16802l0,16802l0,12446l7349,12446l6772,9817c6455,8941,5973,8115,5350,7404c4715,6706,3966,6147,3115,5740c2226,5309,1236,5093,232,5105l0,5151l0,95l156,25x">
                  <v:stroke weight="0pt" endcap="flat" joinstyle="miter" miterlimit="10" on="false" color="#000000" opacity="0"/>
                  <v:fill on="true" color="#534e4a"/>
                </v:shape>
                <v:shape id="Shape 52" style="position:absolute;width:255;height:303;left:61564;top:18994;" coordsize="25565,30353" path="m12421,0c13856,0,15266,140,16675,470c17958,762,19190,1270,20320,1981c21463,2642,22428,3543,23164,4636c23914,5842,24371,7188,24524,8598l18021,8598c17856,7302,17081,6147,15913,5550c14732,4991,13450,4737,12141,4750l10554,4750c9969,4813,9398,4940,8852,5143c8344,5347,7874,5626,7506,6020c7124,6439,6921,6972,6947,7531c6909,8255,7201,8954,7734,9436c8357,9957,9068,10363,9843,10630c10820,10960,11811,11227,12814,11417l16269,12573c17411,12827,18529,13145,19647,13513c20701,13868,21704,14376,22619,15024c23495,15646,24194,16472,24714,17412c25286,18517,25565,19736,25514,20980c25553,22492,25146,23990,24359,25298c23584,26492,22555,27470,21349,28194c20117,28943,18771,29489,17373,29819c15913,30163,14415,30328,12903,30340c11202,30353,9499,30163,7862,29743c6439,29362,5080,28740,3899,27876c2781,27064,1880,26010,1232,24790c508,23457,89,21996,0,20498l6350,20498c6350,22085,7124,23571,8458,24460c9792,25247,11316,25616,12865,25565c13526,25616,14212,25616,14884,25565c15621,25311,16332,24930,16993,24460c17615,24232,18174,23838,18606,23317c19062,22758,19279,22047,19203,21323c19190,20587,18872,19863,18326,19342c17704,18796,16980,18390,16193,18110c15215,17780,14224,17526,13221,17323l9843,16612c8687,16370,7556,16040,6439,15659c5334,15380,4293,14923,3340,14313c2451,13678,1740,12852,1232,11887c686,10744,406,9512,432,8242c381,6833,800,5436,1588,4280c2362,3226,3353,2349,4496,1727c5728,1067,7074,622,8458,381c9766,127,11087,13,12421,0x">
                  <v:stroke weight="0pt" endcap="flat" joinstyle="miter" miterlimit="10" on="false" color="#000000" opacity="0"/>
                  <v:fill on="true" color="#534e4a"/>
                </v:shape>
                <v:shape id="Shape 53" style="position:absolute;width:845;height:1238;left:60381;top:16431;" coordsize="84506,123889" path="m0,0l84506,0l84506,67564l0,123889l0,0x">
                  <v:stroke weight="0pt" endcap="flat" joinstyle="miter" miterlimit="10" on="false" color="#000000" opacity="0"/>
                  <v:fill on="true" color="#be3b2d"/>
                </v:shape>
                <v:shape id="Shape 54" style="position:absolute;width:845;height:1238;left:60381;top:16431;" coordsize="84506,123889" path="m0,0l84506,0l84506,123889l0,67564l0,0x">
                  <v:stroke weight="0pt" endcap="flat" joinstyle="miter" miterlimit="10" on="false" color="#000000" opacity="0"/>
                  <v:fill on="true" color="#e7464b"/>
                </v:shape>
                <v:shape id="Shape 55" style="position:absolute;width:932;height:1864;left:59871;top:16283;" coordsize="93218,186449" path="m93218,0l93218,22809c54330,22809,22809,54331,22809,93218c22809,132106,54330,163639,93218,163639l93218,186449c41732,186449,0,144704,0,93218c0,41732,41732,0,93218,0x">
                  <v:stroke weight="0pt" endcap="flat" joinstyle="miter" miterlimit="10" on="false" color="#000000" opacity="0"/>
                  <v:fill on="true" color="#59adb6"/>
                </v:shape>
                <v:shape id="Shape 56" style="position:absolute;width:932;height:1864;left:60804;top:16283;" coordsize="93231,186449" path="m0,0c51486,0,93231,41732,93231,93218c93231,144704,51486,186449,0,186449l0,163639c38888,163639,70409,132106,70409,93218c70409,54331,38888,22809,0,22809l0,0x">
                  <v:stroke weight="0pt" endcap="flat" joinstyle="miter" miterlimit="10" on="false" color="#000000" opacity="0"/>
                  <v:fill on="true" color="#59adb6"/>
                </v:shape>
                <v:shape id="Shape 57" style="position:absolute;width:1778;height:1413;left:59739;top:16830;" coordsize="177800,141376" path="m21590,0l41110,12344c30493,39243,37414,69888,58572,89611c86982,116091,131483,114541,157975,86131l177800,98590c150838,131089,105371,141376,67044,123647c20358,102045,0,46698,21590,0x">
                  <v:stroke weight="0pt" endcap="flat" joinstyle="miter" miterlimit="10" on="false" color="#000000" opacity="0"/>
                  <v:fill on="true" color="#fabd42"/>
                </v:shape>
                <v:rect id="Rectangle 58" style="position:absolute;width:73483;height:2192;left:0;top:16201;" filled="f" stroked="f">
                  <v:textbox inset="0,0,0,0">
                    <w:txbxContent>
                      <w:p>
                        <w:pPr>
                          <w:spacing w:before="0" w:after="160" w:line="259" w:lineRule="auto"/>
                          <w:ind w:left="0" w:right="0" w:firstLine="0"/>
                          <w:jc w:val="left"/>
                        </w:pPr>
                        <w:r>
                          <w:rPr>
                            <w:w w:val="117"/>
                            <w:sz w:val="27"/>
                          </w:rPr>
                          <w:t xml:space="preserve">Access</w:t>
                        </w:r>
                        <w:r>
                          <w:rPr>
                            <w:spacing w:val="28"/>
                            <w:w w:val="117"/>
                            <w:sz w:val="27"/>
                          </w:rPr>
                          <w:t xml:space="preserve"> </w:t>
                        </w:r>
                        <w:r>
                          <w:rPr>
                            <w:w w:val="117"/>
                            <w:sz w:val="27"/>
                          </w:rPr>
                          <w:t xml:space="preserve">to</w:t>
                        </w:r>
                        <w:r>
                          <w:rPr>
                            <w:spacing w:val="26"/>
                            <w:w w:val="117"/>
                            <w:sz w:val="27"/>
                          </w:rPr>
                          <w:t xml:space="preserve"> </w:t>
                        </w:r>
                        <w:r>
                          <w:rPr>
                            <w:w w:val="117"/>
                            <w:sz w:val="27"/>
                          </w:rPr>
                          <w:t xml:space="preserve">and</w:t>
                        </w:r>
                        <w:r>
                          <w:rPr>
                            <w:spacing w:val="27"/>
                            <w:w w:val="117"/>
                            <w:sz w:val="27"/>
                          </w:rPr>
                          <w:t xml:space="preserve"> </w:t>
                        </w:r>
                        <w:r>
                          <w:rPr>
                            <w:w w:val="117"/>
                            <w:sz w:val="27"/>
                          </w:rPr>
                          <w:t xml:space="preserve">perceived</w:t>
                        </w:r>
                        <w:r>
                          <w:rPr>
                            <w:spacing w:val="27"/>
                            <w:w w:val="117"/>
                            <w:sz w:val="27"/>
                          </w:rPr>
                          <w:t xml:space="preserve"> </w:t>
                        </w:r>
                        <w:r>
                          <w:rPr>
                            <w:w w:val="117"/>
                            <w:sz w:val="27"/>
                          </w:rPr>
                          <w:t xml:space="preserve">value</w:t>
                        </w:r>
                        <w:r>
                          <w:rPr>
                            <w:spacing w:val="26"/>
                            <w:w w:val="117"/>
                            <w:sz w:val="27"/>
                          </w:rPr>
                          <w:t xml:space="preserve"> </w:t>
                        </w:r>
                        <w:r>
                          <w:rPr>
                            <w:w w:val="117"/>
                            <w:sz w:val="27"/>
                          </w:rPr>
                          <w:t xml:space="preserve">of</w:t>
                        </w:r>
                        <w:r>
                          <w:rPr>
                            <w:spacing w:val="26"/>
                            <w:w w:val="117"/>
                            <w:sz w:val="27"/>
                          </w:rPr>
                          <w:t xml:space="preserve"> </w:t>
                        </w:r>
                        <w:r>
                          <w:rPr>
                            <w:w w:val="117"/>
                            <w:sz w:val="27"/>
                          </w:rPr>
                          <w:t xml:space="preserve">post-ICU</w:t>
                        </w:r>
                        <w:r>
                          <w:rPr>
                            <w:spacing w:val="27"/>
                            <w:w w:val="117"/>
                            <w:sz w:val="27"/>
                          </w:rPr>
                          <w:t xml:space="preserve"> </w:t>
                        </w:r>
                        <w:r>
                          <w:rPr>
                            <w:w w:val="117"/>
                            <w:sz w:val="27"/>
                          </w:rPr>
                          <w:t xml:space="preserve">follow-up:</w:t>
                        </w:r>
                        <w:r>
                          <w:rPr>
                            <w:spacing w:val="28"/>
                            <w:w w:val="117"/>
                            <w:sz w:val="27"/>
                          </w:rPr>
                          <w:t xml:space="preserve"> </w:t>
                        </w:r>
                        <w:r>
                          <w:rPr>
                            <w:w w:val="117"/>
                            <w:sz w:val="27"/>
                          </w:rPr>
                          <w:t xml:space="preserve">an</w:t>
                        </w:r>
                        <w:r>
                          <w:rPr>
                            <w:spacing w:val="27"/>
                            <w:w w:val="117"/>
                            <w:sz w:val="27"/>
                          </w:rPr>
                          <w:t xml:space="preserve"> </w:t>
                        </w:r>
                        <w:r>
                          <w:rPr>
                            <w:w w:val="117"/>
                            <w:sz w:val="27"/>
                          </w:rPr>
                          <w:t xml:space="preserve">international</w:t>
                        </w:r>
                      </w:p>
                    </w:txbxContent>
                  </v:textbox>
                </v:rect>
                <v:rect id="Rectangle 59" style="position:absolute;width:70883;height:2192;left:0;top:18389;" filled="f" stroked="f">
                  <v:textbox inset="0,0,0,0">
                    <w:txbxContent>
                      <w:p>
                        <w:pPr>
                          <w:spacing w:before="0" w:after="160" w:line="259" w:lineRule="auto"/>
                          <w:ind w:left="0" w:right="0" w:firstLine="0"/>
                          <w:jc w:val="left"/>
                        </w:pPr>
                        <w:r>
                          <w:rPr>
                            <w:w w:val="117"/>
                            <w:sz w:val="27"/>
                          </w:rPr>
                          <w:t xml:space="preserve">cross-sectional</w:t>
                        </w:r>
                        <w:r>
                          <w:rPr>
                            <w:spacing w:val="29"/>
                            <w:w w:val="117"/>
                            <w:sz w:val="27"/>
                          </w:rPr>
                          <w:t xml:space="preserve"> </w:t>
                        </w:r>
                        <w:r>
                          <w:rPr>
                            <w:w w:val="117"/>
                            <w:sz w:val="27"/>
                          </w:rPr>
                          <w:t xml:space="preserve">survey</w:t>
                        </w:r>
                        <w:r>
                          <w:rPr>
                            <w:spacing w:val="27"/>
                            <w:w w:val="117"/>
                            <w:sz w:val="27"/>
                          </w:rPr>
                          <w:t xml:space="preserve"> </w:t>
                        </w:r>
                        <w:r>
                          <w:rPr>
                            <w:w w:val="117"/>
                            <w:sz w:val="27"/>
                          </w:rPr>
                          <w:t xml:space="preserve">of</w:t>
                        </w:r>
                        <w:r>
                          <w:rPr>
                            <w:spacing w:val="26"/>
                            <w:w w:val="117"/>
                            <w:sz w:val="27"/>
                          </w:rPr>
                          <w:t xml:space="preserve"> </w:t>
                        </w:r>
                        <w:r>
                          <w:rPr>
                            <w:w w:val="117"/>
                            <w:sz w:val="27"/>
                          </w:rPr>
                          <w:t xml:space="preserve">ICU</w:t>
                        </w:r>
                        <w:r>
                          <w:rPr>
                            <w:spacing w:val="27"/>
                            <w:w w:val="117"/>
                            <w:sz w:val="27"/>
                          </w:rPr>
                          <w:t xml:space="preserve"> </w:t>
                        </w:r>
                        <w:r>
                          <w:rPr>
                            <w:w w:val="117"/>
                            <w:sz w:val="27"/>
                          </w:rPr>
                          <w:t xml:space="preserve">professionals</w:t>
                        </w:r>
                        <w:r>
                          <w:rPr>
                            <w:spacing w:val="28"/>
                            <w:w w:val="117"/>
                            <w:sz w:val="27"/>
                          </w:rPr>
                          <w:t xml:space="preserve"> </w:t>
                        </w:r>
                        <w:r>
                          <w:rPr>
                            <w:w w:val="117"/>
                            <w:sz w:val="27"/>
                          </w:rPr>
                          <w:t xml:space="preserve">and</w:t>
                        </w:r>
                        <w:r>
                          <w:rPr>
                            <w:spacing w:val="27"/>
                            <w:w w:val="117"/>
                            <w:sz w:val="27"/>
                          </w:rPr>
                          <w:t xml:space="preserve"> </w:t>
                        </w:r>
                        <w:r>
                          <w:rPr>
                            <w:w w:val="117"/>
                            <w:sz w:val="27"/>
                          </w:rPr>
                          <w:t xml:space="preserve">adult</w:t>
                        </w:r>
                        <w:r>
                          <w:rPr>
                            <w:spacing w:val="28"/>
                            <w:w w:val="117"/>
                            <w:sz w:val="27"/>
                          </w:rPr>
                          <w:t xml:space="preserve"> </w:t>
                        </w:r>
                        <w:r>
                          <w:rPr>
                            <w:w w:val="117"/>
                            <w:sz w:val="27"/>
                          </w:rPr>
                          <w:t xml:space="preserve">critical</w:t>
                        </w:r>
                        <w:r>
                          <w:rPr>
                            <w:spacing w:val="26"/>
                            <w:w w:val="117"/>
                            <w:sz w:val="27"/>
                          </w:rPr>
                          <w:t xml:space="preserve"> </w:t>
                        </w:r>
                        <w:r>
                          <w:rPr>
                            <w:w w:val="117"/>
                            <w:sz w:val="27"/>
                          </w:rPr>
                          <w:t xml:space="preserve">illness</w:t>
                        </w:r>
                      </w:p>
                    </w:txbxContent>
                  </v:textbox>
                </v:rect>
                <v:rect id="Rectangle 60" style="position:absolute;width:9559;height:2192;left:0;top:20578;" filled="f" stroked="f">
                  <v:textbox inset="0,0,0,0">
                    <w:txbxContent>
                      <w:p>
                        <w:pPr>
                          <w:spacing w:before="0" w:after="160" w:line="259" w:lineRule="auto"/>
                          <w:ind w:left="0" w:right="0" w:firstLine="0"/>
                          <w:jc w:val="left"/>
                        </w:pPr>
                        <w:r>
                          <w:rPr>
                            <w:w w:val="117"/>
                            <w:sz w:val="27"/>
                          </w:rPr>
                          <w:t xml:space="preserve">survivors</w:t>
                        </w:r>
                      </w:p>
                    </w:txbxContent>
                  </v:textbox>
                </v:rect>
              </v:group>
            </w:pict>
          </mc:Fallback>
        </mc:AlternateContent>
      </w:r>
    </w:p>
    <w:p w14:paraId="1BAF017F" w14:textId="77777777" w:rsidR="00F25E3E" w:rsidRDefault="00000000">
      <w:pPr>
        <w:spacing w:after="40" w:line="259" w:lineRule="auto"/>
        <w:ind w:left="-5" w:right="970" w:hanging="10"/>
        <w:jc w:val="left"/>
      </w:pPr>
      <w:r>
        <w:rPr>
          <w:sz w:val="21"/>
        </w:rPr>
        <w:t>Anne-Françoise Rousseau</w:t>
      </w:r>
      <w:r>
        <w:rPr>
          <w:color w:val="005F89"/>
          <w:sz w:val="21"/>
          <w:vertAlign w:val="superscript"/>
        </w:rPr>
        <w:t>a</w:t>
      </w:r>
      <w:r>
        <w:rPr>
          <w:sz w:val="21"/>
          <w:vertAlign w:val="superscript"/>
        </w:rPr>
        <w:t>,</w:t>
      </w:r>
      <w:r>
        <w:rPr>
          <w:color w:val="005F89"/>
          <w:sz w:val="21"/>
          <w:vertAlign w:val="superscript"/>
        </w:rPr>
        <w:t>b</w:t>
      </w:r>
      <w:r>
        <w:rPr>
          <w:sz w:val="21"/>
          <w:vertAlign w:val="superscript"/>
        </w:rPr>
        <w:t>,</w:t>
      </w:r>
      <w:r>
        <w:rPr>
          <w:color w:val="005F89"/>
          <w:sz w:val="21"/>
        </w:rPr>
        <w:t>*</w:t>
      </w:r>
      <w:r>
        <w:rPr>
          <w:sz w:val="21"/>
        </w:rPr>
        <w:t>, Susannah Leaver</w:t>
      </w:r>
      <w:r>
        <w:rPr>
          <w:color w:val="005F89"/>
          <w:sz w:val="21"/>
          <w:vertAlign w:val="superscript"/>
        </w:rPr>
        <w:t>c</w:t>
      </w:r>
      <w:r>
        <w:rPr>
          <w:sz w:val="21"/>
        </w:rPr>
        <w:t>, Kristina Fuest</w:t>
      </w:r>
      <w:r>
        <w:rPr>
          <w:color w:val="005F89"/>
          <w:sz w:val="21"/>
          <w:vertAlign w:val="superscript"/>
        </w:rPr>
        <w:t>d</w:t>
      </w:r>
      <w:r>
        <w:rPr>
          <w:sz w:val="21"/>
        </w:rPr>
        <w:t>, Victoria Metaxa</w:t>
      </w:r>
      <w:r>
        <w:rPr>
          <w:color w:val="005F89"/>
          <w:sz w:val="21"/>
          <w:vertAlign w:val="superscript"/>
        </w:rPr>
        <w:t>e</w:t>
      </w:r>
      <w:r>
        <w:rPr>
          <w:sz w:val="21"/>
        </w:rPr>
        <w:t>,</w:t>
      </w:r>
    </w:p>
    <w:p w14:paraId="23D92640" w14:textId="77777777" w:rsidR="00F25E3E" w:rsidRDefault="00000000">
      <w:pPr>
        <w:spacing w:after="40" w:line="259" w:lineRule="auto"/>
        <w:ind w:left="-5" w:right="970" w:hanging="10"/>
        <w:jc w:val="left"/>
      </w:pPr>
      <w:r>
        <w:rPr>
          <w:sz w:val="21"/>
        </w:rPr>
        <w:t>Guy François</w:t>
      </w:r>
      <w:r>
        <w:rPr>
          <w:color w:val="005F89"/>
          <w:sz w:val="21"/>
          <w:vertAlign w:val="superscript"/>
        </w:rPr>
        <w:t>f</w:t>
      </w:r>
      <w:r>
        <w:rPr>
          <w:sz w:val="21"/>
        </w:rPr>
        <w:t>, Bernard Lambermont</w:t>
      </w:r>
      <w:r>
        <w:rPr>
          <w:color w:val="005F89"/>
          <w:sz w:val="21"/>
          <w:vertAlign w:val="superscript"/>
        </w:rPr>
        <w:t>a</w:t>
      </w:r>
      <w:r>
        <w:rPr>
          <w:sz w:val="21"/>
        </w:rPr>
        <w:t>, Stefan J. Schaller</w:t>
      </w:r>
      <w:r>
        <w:rPr>
          <w:color w:val="005F89"/>
          <w:sz w:val="21"/>
          <w:vertAlign w:val="superscript"/>
        </w:rPr>
        <w:t>g</w:t>
      </w:r>
      <w:r>
        <w:rPr>
          <w:sz w:val="21"/>
          <w:vertAlign w:val="superscript"/>
        </w:rPr>
        <w:t>,</w:t>
      </w:r>
      <w:r>
        <w:rPr>
          <w:color w:val="005F89"/>
          <w:sz w:val="21"/>
          <w:vertAlign w:val="superscript"/>
        </w:rPr>
        <w:t>h</w:t>
      </w:r>
      <w:r>
        <w:rPr>
          <w:sz w:val="21"/>
        </w:rPr>
        <w:t>, Richard Rezar</w:t>
      </w:r>
      <w:r>
        <w:rPr>
          <w:color w:val="005F89"/>
          <w:sz w:val="21"/>
          <w:vertAlign w:val="superscript"/>
        </w:rPr>
        <w:t>i</w:t>
      </w:r>
      <w:r>
        <w:rPr>
          <w:sz w:val="21"/>
        </w:rPr>
        <w:t>, Margo M.C. van Mol</w:t>
      </w:r>
      <w:r>
        <w:rPr>
          <w:color w:val="005F89"/>
          <w:sz w:val="21"/>
          <w:vertAlign w:val="superscript"/>
        </w:rPr>
        <w:t>j</w:t>
      </w:r>
      <w:r>
        <w:rPr>
          <w:sz w:val="21"/>
        </w:rPr>
        <w:t>, Michael Beil</w:t>
      </w:r>
      <w:r>
        <w:rPr>
          <w:color w:val="005F89"/>
          <w:sz w:val="21"/>
          <w:vertAlign w:val="superscript"/>
        </w:rPr>
        <w:t>k</w:t>
      </w:r>
    </w:p>
    <w:p w14:paraId="5C9D392B" w14:textId="77777777" w:rsidR="00F25E3E" w:rsidRPr="00711D63" w:rsidRDefault="00000000">
      <w:pPr>
        <w:spacing w:after="0" w:line="259" w:lineRule="auto"/>
        <w:ind w:left="66" w:right="4145" w:hanging="10"/>
        <w:jc w:val="left"/>
        <w:rPr>
          <w:lang w:val="en-US"/>
        </w:rPr>
      </w:pPr>
      <w:r w:rsidRPr="00711D63">
        <w:rPr>
          <w:sz w:val="13"/>
          <w:vertAlign w:val="superscript"/>
          <w:lang w:val="en-US"/>
        </w:rPr>
        <w:t xml:space="preserve">a </w:t>
      </w:r>
      <w:r w:rsidRPr="00711D63">
        <w:rPr>
          <w:sz w:val="13"/>
          <w:lang w:val="en-US"/>
        </w:rPr>
        <w:t>Department of Intensive Care, University Hospital of Lie</w:t>
      </w:r>
      <w:r w:rsidRPr="00711D63">
        <w:rPr>
          <w:rFonts w:ascii="Calibri" w:eastAsia="Calibri" w:hAnsi="Calibri" w:cs="Calibri"/>
          <w:sz w:val="13"/>
          <w:lang w:val="en-US"/>
        </w:rPr>
        <w:t>̀</w:t>
      </w:r>
      <w:r w:rsidRPr="00711D63">
        <w:rPr>
          <w:sz w:val="13"/>
          <w:lang w:val="en-US"/>
        </w:rPr>
        <w:t>ge, Lie</w:t>
      </w:r>
      <w:r w:rsidRPr="00711D63">
        <w:rPr>
          <w:rFonts w:ascii="Calibri" w:eastAsia="Calibri" w:hAnsi="Calibri" w:cs="Calibri"/>
          <w:sz w:val="13"/>
          <w:lang w:val="en-US"/>
        </w:rPr>
        <w:t>̀</w:t>
      </w:r>
      <w:r w:rsidRPr="00711D63">
        <w:rPr>
          <w:sz w:val="13"/>
          <w:lang w:val="en-US"/>
        </w:rPr>
        <w:t xml:space="preserve">ge, Belgium </w:t>
      </w:r>
      <w:r w:rsidRPr="00711D63">
        <w:rPr>
          <w:sz w:val="13"/>
          <w:vertAlign w:val="superscript"/>
          <w:lang w:val="en-US"/>
        </w:rPr>
        <w:t xml:space="preserve">b </w:t>
      </w:r>
      <w:r w:rsidRPr="00711D63">
        <w:rPr>
          <w:sz w:val="13"/>
          <w:lang w:val="en-US"/>
        </w:rPr>
        <w:t>Research Unit for a Life-Course Perspective on Health &amp; Education-RUCHE, University of Lie</w:t>
      </w:r>
      <w:r w:rsidRPr="00711D63">
        <w:rPr>
          <w:rFonts w:ascii="Calibri" w:eastAsia="Calibri" w:hAnsi="Calibri" w:cs="Calibri"/>
          <w:sz w:val="13"/>
          <w:lang w:val="en-US"/>
        </w:rPr>
        <w:t>̀</w:t>
      </w:r>
      <w:r w:rsidRPr="00711D63">
        <w:rPr>
          <w:sz w:val="13"/>
          <w:lang w:val="en-US"/>
        </w:rPr>
        <w:t>ge, Lie</w:t>
      </w:r>
      <w:r w:rsidRPr="00711D63">
        <w:rPr>
          <w:rFonts w:ascii="Calibri" w:eastAsia="Calibri" w:hAnsi="Calibri" w:cs="Calibri"/>
          <w:sz w:val="13"/>
          <w:lang w:val="en-US"/>
        </w:rPr>
        <w:t>̀</w:t>
      </w:r>
      <w:r w:rsidRPr="00711D63">
        <w:rPr>
          <w:sz w:val="13"/>
          <w:lang w:val="en-US"/>
        </w:rPr>
        <w:t>ge, Belgium</w:t>
      </w:r>
    </w:p>
    <w:p w14:paraId="16A7113F" w14:textId="77777777" w:rsidR="00F25E3E" w:rsidRPr="00711D63" w:rsidRDefault="00000000">
      <w:pPr>
        <w:spacing w:after="0" w:line="259" w:lineRule="auto"/>
        <w:ind w:left="-5" w:hanging="10"/>
        <w:jc w:val="left"/>
        <w:rPr>
          <w:lang w:val="en-US"/>
        </w:rPr>
      </w:pPr>
      <w:r w:rsidRPr="00711D63">
        <w:rPr>
          <w:sz w:val="13"/>
          <w:vertAlign w:val="superscript"/>
          <w:lang w:val="en-US"/>
        </w:rPr>
        <w:t>c</w:t>
      </w:r>
    </w:p>
    <w:p w14:paraId="224D6392" w14:textId="77777777" w:rsidR="00F25E3E" w:rsidRPr="00711D63" w:rsidRDefault="00000000">
      <w:pPr>
        <w:spacing w:after="0" w:line="259" w:lineRule="auto"/>
        <w:ind w:left="66" w:hanging="10"/>
        <w:jc w:val="left"/>
        <w:rPr>
          <w:lang w:val="en-US"/>
        </w:rPr>
      </w:pPr>
      <w:r w:rsidRPr="00711D63">
        <w:rPr>
          <w:sz w:val="13"/>
          <w:lang w:val="en-US"/>
        </w:rPr>
        <w:t>Department of Intensive Care, St George's NHS Foundation Trust, London, United Kingdom</w:t>
      </w:r>
    </w:p>
    <w:p w14:paraId="0DF1AF09" w14:textId="77777777" w:rsidR="00F25E3E" w:rsidRPr="00711D63" w:rsidRDefault="00000000">
      <w:pPr>
        <w:spacing w:after="0" w:line="259" w:lineRule="auto"/>
        <w:ind w:left="134" w:right="4396" w:hanging="78"/>
        <w:jc w:val="left"/>
        <w:rPr>
          <w:lang w:val="en-US"/>
        </w:rPr>
      </w:pPr>
      <w:r w:rsidRPr="00711D63">
        <w:rPr>
          <w:sz w:val="13"/>
          <w:vertAlign w:val="superscript"/>
          <w:lang w:val="en-US"/>
        </w:rPr>
        <w:t xml:space="preserve">d </w:t>
      </w:r>
      <w:r w:rsidRPr="00711D63">
        <w:rPr>
          <w:sz w:val="13"/>
          <w:lang w:val="en-US"/>
        </w:rPr>
        <w:t>Department of Anesthesiology and Intensive Care, TUM School of Medicine and Health, Munich, Germany</w:t>
      </w:r>
    </w:p>
    <w:p w14:paraId="0BD49B54" w14:textId="77777777" w:rsidR="00F25E3E" w:rsidRPr="00711D63" w:rsidRDefault="00000000">
      <w:pPr>
        <w:spacing w:after="0" w:line="259" w:lineRule="auto"/>
        <w:ind w:left="-5" w:hanging="10"/>
        <w:jc w:val="left"/>
        <w:rPr>
          <w:lang w:val="en-US"/>
        </w:rPr>
      </w:pPr>
      <w:r w:rsidRPr="00711D63">
        <w:rPr>
          <w:sz w:val="13"/>
          <w:vertAlign w:val="superscript"/>
          <w:lang w:val="en-US"/>
        </w:rPr>
        <w:t>e</w:t>
      </w:r>
    </w:p>
    <w:p w14:paraId="76579BB0" w14:textId="77777777" w:rsidR="00F25E3E" w:rsidRPr="00711D63" w:rsidRDefault="00000000">
      <w:pPr>
        <w:spacing w:after="0" w:line="259" w:lineRule="auto"/>
        <w:ind w:left="66" w:hanging="10"/>
        <w:jc w:val="left"/>
        <w:rPr>
          <w:lang w:val="en-US"/>
        </w:rPr>
      </w:pPr>
      <w:r w:rsidRPr="00711D63">
        <w:rPr>
          <w:sz w:val="13"/>
          <w:lang w:val="en-US"/>
        </w:rPr>
        <w:t>Department of Intensive Care, King</w:t>
      </w:r>
      <w:r w:rsidRPr="00711D63">
        <w:rPr>
          <w:rFonts w:ascii="Calibri" w:eastAsia="Calibri" w:hAnsi="Calibri" w:cs="Calibri"/>
          <w:sz w:val="13"/>
          <w:lang w:val="en-US"/>
        </w:rPr>
        <w:t>’</w:t>
      </w:r>
      <w:r w:rsidRPr="00711D63">
        <w:rPr>
          <w:sz w:val="13"/>
          <w:lang w:val="en-US"/>
        </w:rPr>
        <w:t>s College Hospital, NHS Foundation Trust, London, United Kingdom</w:t>
      </w:r>
    </w:p>
    <w:p w14:paraId="19FC954B" w14:textId="77777777" w:rsidR="00F25E3E" w:rsidRPr="00711D63" w:rsidRDefault="00000000">
      <w:pPr>
        <w:spacing w:after="0" w:line="259" w:lineRule="auto"/>
        <w:ind w:left="-5" w:hanging="10"/>
        <w:jc w:val="left"/>
        <w:rPr>
          <w:lang w:val="en-US"/>
        </w:rPr>
      </w:pPr>
      <w:r w:rsidRPr="00711D63">
        <w:rPr>
          <w:sz w:val="13"/>
          <w:vertAlign w:val="superscript"/>
          <w:lang w:val="en-US"/>
        </w:rPr>
        <w:t>f</w:t>
      </w:r>
    </w:p>
    <w:p w14:paraId="09F8165F" w14:textId="77777777" w:rsidR="00F25E3E" w:rsidRPr="00711D63" w:rsidRDefault="00000000">
      <w:pPr>
        <w:spacing w:after="0" w:line="259" w:lineRule="auto"/>
        <w:ind w:left="66" w:hanging="10"/>
        <w:jc w:val="left"/>
        <w:rPr>
          <w:lang w:val="en-US"/>
        </w:rPr>
      </w:pPr>
      <w:r w:rsidRPr="00711D63">
        <w:rPr>
          <w:sz w:val="13"/>
          <w:lang w:val="en-US"/>
        </w:rPr>
        <w:t>European Society of Intensive Care Medicine, Brussels, Belgium</w:t>
      </w:r>
    </w:p>
    <w:p w14:paraId="0D7EEFDD" w14:textId="77777777" w:rsidR="00F25E3E" w:rsidRPr="00711D63" w:rsidRDefault="00000000">
      <w:pPr>
        <w:spacing w:after="38" w:line="216" w:lineRule="auto"/>
        <w:ind w:firstLine="0"/>
        <w:rPr>
          <w:lang w:val="en-US"/>
        </w:rPr>
      </w:pPr>
      <w:r w:rsidRPr="00711D63">
        <w:rPr>
          <w:sz w:val="13"/>
          <w:vertAlign w:val="superscript"/>
          <w:lang w:val="en-US"/>
        </w:rPr>
        <w:t xml:space="preserve">g </w:t>
      </w:r>
      <w:r w:rsidRPr="00711D63">
        <w:rPr>
          <w:sz w:val="13"/>
          <w:lang w:val="en-US"/>
        </w:rPr>
        <w:t xml:space="preserve">Medical University of Vienna, Department of Anaesthesia, Intensive Care Medicine and Pain Medicine, Clinical Division of General Anaesthesia and Intensive Care Medicine, Vienna, Austria </w:t>
      </w:r>
      <w:r w:rsidRPr="00711D63">
        <w:rPr>
          <w:sz w:val="13"/>
          <w:vertAlign w:val="superscript"/>
          <w:lang w:val="en-US"/>
        </w:rPr>
        <w:t xml:space="preserve">h </w:t>
      </w:r>
      <w:r w:rsidRPr="00711D63">
        <w:rPr>
          <w:rFonts w:ascii="Calibri" w:eastAsia="Calibri" w:hAnsi="Calibri" w:cs="Calibri"/>
          <w:sz w:val="13"/>
          <w:lang w:val="en-US"/>
        </w:rPr>
        <w:t xml:space="preserve">́ </w:t>
      </w:r>
      <w:r w:rsidRPr="00711D63">
        <w:rPr>
          <w:sz w:val="13"/>
          <w:lang w:val="en-US"/>
        </w:rPr>
        <w:t>- Universitätsmedizin Berlin, Corporate Member of Freie Universität Berlin and Humboldt Universität zu Berlin, Department of Anaesthesiology and Intensive Care Medicine (CCM/ Charite</w:t>
      </w:r>
    </w:p>
    <w:p w14:paraId="59C4B159" w14:textId="77777777" w:rsidR="00F25E3E" w:rsidRPr="00711D63" w:rsidRDefault="00000000">
      <w:pPr>
        <w:spacing w:after="0" w:line="259" w:lineRule="auto"/>
        <w:ind w:left="66" w:hanging="10"/>
        <w:jc w:val="left"/>
        <w:rPr>
          <w:lang w:val="en-US"/>
        </w:rPr>
      </w:pPr>
      <w:r w:rsidRPr="00711D63">
        <w:rPr>
          <w:sz w:val="13"/>
          <w:lang w:val="en-US"/>
        </w:rPr>
        <w:t>CVK), Berlin, Germany</w:t>
      </w:r>
    </w:p>
    <w:p w14:paraId="69D488C8" w14:textId="77777777" w:rsidR="00F25E3E" w:rsidRPr="00711D63" w:rsidRDefault="00000000">
      <w:pPr>
        <w:spacing w:after="0" w:line="259" w:lineRule="auto"/>
        <w:ind w:left="-5" w:hanging="10"/>
        <w:jc w:val="left"/>
        <w:rPr>
          <w:lang w:val="en-US"/>
        </w:rPr>
      </w:pPr>
      <w:r w:rsidRPr="00711D63">
        <w:rPr>
          <w:sz w:val="13"/>
          <w:vertAlign w:val="superscript"/>
          <w:lang w:val="en-US"/>
        </w:rPr>
        <w:t>i</w:t>
      </w:r>
    </w:p>
    <w:p w14:paraId="19905E9D" w14:textId="77777777" w:rsidR="00F25E3E" w:rsidRPr="00711D63" w:rsidRDefault="00000000">
      <w:pPr>
        <w:spacing w:after="0" w:line="259" w:lineRule="auto"/>
        <w:ind w:left="66" w:hanging="10"/>
        <w:jc w:val="left"/>
        <w:rPr>
          <w:lang w:val="en-US"/>
        </w:rPr>
      </w:pPr>
      <w:r w:rsidRPr="00711D63">
        <w:rPr>
          <w:sz w:val="13"/>
          <w:lang w:val="en-US"/>
        </w:rPr>
        <w:t>Department of Cardiology and Intensive Care, Clinic of Internal Medicine II, Paracelsus Medical University Salzburg, Salzburg, Austria</w:t>
      </w:r>
    </w:p>
    <w:p w14:paraId="528A6D79" w14:textId="77777777" w:rsidR="00F25E3E" w:rsidRPr="00711D63" w:rsidRDefault="00000000">
      <w:pPr>
        <w:spacing w:after="0" w:line="259" w:lineRule="auto"/>
        <w:ind w:left="-5" w:hanging="10"/>
        <w:jc w:val="left"/>
        <w:rPr>
          <w:lang w:val="en-US"/>
        </w:rPr>
      </w:pPr>
      <w:r w:rsidRPr="00711D63">
        <w:rPr>
          <w:sz w:val="13"/>
          <w:vertAlign w:val="superscript"/>
          <w:lang w:val="en-US"/>
        </w:rPr>
        <w:t>j</w:t>
      </w:r>
    </w:p>
    <w:p w14:paraId="23969CE4" w14:textId="77777777" w:rsidR="00F25E3E" w:rsidRPr="00711D63" w:rsidRDefault="00000000">
      <w:pPr>
        <w:spacing w:after="0" w:line="259" w:lineRule="auto"/>
        <w:ind w:left="66" w:hanging="10"/>
        <w:jc w:val="left"/>
        <w:rPr>
          <w:lang w:val="en-US"/>
        </w:rPr>
      </w:pPr>
      <w:r w:rsidRPr="00711D63">
        <w:rPr>
          <w:sz w:val="13"/>
          <w:lang w:val="en-US"/>
        </w:rPr>
        <w:t>Department of Intensive Care, Erasmus MC, University Medical Centre, Rotterdam, the Netherlands</w:t>
      </w:r>
    </w:p>
    <w:p w14:paraId="640D99D0" w14:textId="77777777" w:rsidR="00F25E3E" w:rsidRPr="00711D63" w:rsidRDefault="00000000">
      <w:pPr>
        <w:spacing w:after="353" w:line="259" w:lineRule="auto"/>
        <w:ind w:left="131" w:right="6562" w:hanging="75"/>
        <w:jc w:val="left"/>
        <w:rPr>
          <w:lang w:val="en-US"/>
        </w:rPr>
      </w:pPr>
      <w:r w:rsidRPr="00711D63">
        <w:rPr>
          <w:sz w:val="13"/>
          <w:vertAlign w:val="superscript"/>
          <w:lang w:val="en-US"/>
        </w:rPr>
        <w:t xml:space="preserve">k </w:t>
      </w:r>
      <w:r w:rsidRPr="00711D63">
        <w:rPr>
          <w:sz w:val="13"/>
          <w:lang w:val="en-US"/>
        </w:rPr>
        <w:t>Department of Medicine, NHS Highland, Inverness, United Kingdom</w:t>
      </w:r>
    </w:p>
    <w:p w14:paraId="78D2A93C" w14:textId="77777777" w:rsidR="00F25E3E" w:rsidRDefault="00000000">
      <w:pPr>
        <w:spacing w:after="405" w:line="259" w:lineRule="auto"/>
        <w:ind w:firstLine="0"/>
        <w:jc w:val="left"/>
      </w:pPr>
      <w:r>
        <w:rPr>
          <w:rFonts w:ascii="Calibri" w:eastAsia="Calibri" w:hAnsi="Calibri" w:cs="Calibri"/>
          <w:noProof/>
          <w:sz w:val="22"/>
        </w:rPr>
        <mc:AlternateContent>
          <mc:Choice Requires="wpg">
            <w:drawing>
              <wp:inline distT="0" distB="0" distL="0" distR="0" wp14:anchorId="7CC3D4BB" wp14:editId="7FC50FE7">
                <wp:extent cx="6623990" cy="3165"/>
                <wp:effectExtent l="0" t="0" r="0" b="0"/>
                <wp:docPr id="19732" name="Group 19732"/>
                <wp:cNvGraphicFramePr/>
                <a:graphic xmlns:a="http://schemas.openxmlformats.org/drawingml/2006/main">
                  <a:graphicData uri="http://schemas.microsoft.com/office/word/2010/wordprocessingGroup">
                    <wpg:wgp>
                      <wpg:cNvGrpSpPr/>
                      <wpg:grpSpPr>
                        <a:xfrm>
                          <a:off x="0" y="0"/>
                          <a:ext cx="6623990" cy="3165"/>
                          <a:chOff x="0" y="0"/>
                          <a:chExt cx="6623990" cy="3165"/>
                        </a:xfrm>
                      </wpg:grpSpPr>
                      <wps:wsp>
                        <wps:cNvPr id="23765" name="Shape 23765"/>
                        <wps:cNvSpPr/>
                        <wps:spPr>
                          <a:xfrm>
                            <a:off x="0" y="0"/>
                            <a:ext cx="6623990" cy="9144"/>
                          </a:xfrm>
                          <a:custGeom>
                            <a:avLst/>
                            <a:gdLst/>
                            <a:ahLst/>
                            <a:cxnLst/>
                            <a:rect l="0" t="0" r="0" b="0"/>
                            <a:pathLst>
                              <a:path w="6623990" h="9144">
                                <a:moveTo>
                                  <a:pt x="0" y="0"/>
                                </a:moveTo>
                                <a:lnTo>
                                  <a:pt x="6623990" y="0"/>
                                </a:lnTo>
                                <a:lnTo>
                                  <a:pt x="6623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732" style="width:521.574pt;height:0.249176pt;mso-position-horizontal-relative:char;mso-position-vertical-relative:line" coordsize="66239,31">
                <v:shape id="Shape 23766" style="position:absolute;width:66239;height:91;left:0;top:0;" coordsize="6623990,9144" path="m0,0l6623990,0l6623990,9144l0,9144l0,0">
                  <v:stroke weight="0pt" endcap="flat" joinstyle="miter" miterlimit="10" on="false" color="#000000" opacity="0"/>
                  <v:fill on="true" color="#000000"/>
                </v:shape>
              </v:group>
            </w:pict>
          </mc:Fallback>
        </mc:AlternateContent>
      </w:r>
    </w:p>
    <w:p w14:paraId="44B3597C" w14:textId="77777777" w:rsidR="00F25E3E" w:rsidRPr="00711D63" w:rsidRDefault="00000000">
      <w:pPr>
        <w:tabs>
          <w:tab w:val="center" w:pos="3791"/>
        </w:tabs>
        <w:spacing w:after="0" w:line="269" w:lineRule="auto"/>
        <w:ind w:left="-15" w:firstLine="0"/>
        <w:jc w:val="left"/>
        <w:rPr>
          <w:lang w:val="en-US"/>
        </w:rPr>
      </w:pPr>
      <w:r w:rsidRPr="00711D63">
        <w:rPr>
          <w:sz w:val="13"/>
          <w:lang w:val="en-US"/>
        </w:rPr>
        <w:t>A R T I C L E I N F O</w:t>
      </w:r>
      <w:r w:rsidRPr="00711D63">
        <w:rPr>
          <w:sz w:val="13"/>
          <w:lang w:val="en-US"/>
        </w:rPr>
        <w:tab/>
        <w:t>A B S T R A C T</w:t>
      </w:r>
    </w:p>
    <w:p w14:paraId="2F7CB919" w14:textId="77777777" w:rsidR="00F25E3E" w:rsidRDefault="00000000">
      <w:pPr>
        <w:spacing w:after="133" w:line="259" w:lineRule="auto"/>
        <w:ind w:firstLine="0"/>
        <w:jc w:val="left"/>
      </w:pPr>
      <w:r>
        <w:rPr>
          <w:rFonts w:ascii="Calibri" w:eastAsia="Calibri" w:hAnsi="Calibri" w:cs="Calibri"/>
          <w:noProof/>
          <w:sz w:val="22"/>
        </w:rPr>
        <mc:AlternateContent>
          <mc:Choice Requires="wpg">
            <w:drawing>
              <wp:inline distT="0" distB="0" distL="0" distR="0" wp14:anchorId="4600086E" wp14:editId="0A503304">
                <wp:extent cx="6604636" cy="3584"/>
                <wp:effectExtent l="0" t="0" r="0" b="0"/>
                <wp:docPr id="22997" name="Group 22997"/>
                <wp:cNvGraphicFramePr/>
                <a:graphic xmlns:a="http://schemas.openxmlformats.org/drawingml/2006/main">
                  <a:graphicData uri="http://schemas.microsoft.com/office/word/2010/wordprocessingGroup">
                    <wpg:wgp>
                      <wpg:cNvGrpSpPr/>
                      <wpg:grpSpPr>
                        <a:xfrm>
                          <a:off x="0" y="0"/>
                          <a:ext cx="6604636" cy="3584"/>
                          <a:chOff x="0" y="0"/>
                          <a:chExt cx="6604636" cy="3584"/>
                        </a:xfrm>
                      </wpg:grpSpPr>
                      <wps:wsp>
                        <wps:cNvPr id="23767" name="Shape 23767"/>
                        <wps:cNvSpPr/>
                        <wps:spPr>
                          <a:xfrm>
                            <a:off x="0" y="419"/>
                            <a:ext cx="1691996" cy="9144"/>
                          </a:xfrm>
                          <a:custGeom>
                            <a:avLst/>
                            <a:gdLst/>
                            <a:ahLst/>
                            <a:cxnLst/>
                            <a:rect l="0" t="0" r="0" b="0"/>
                            <a:pathLst>
                              <a:path w="1691996" h="9144">
                                <a:moveTo>
                                  <a:pt x="0" y="0"/>
                                </a:moveTo>
                                <a:lnTo>
                                  <a:pt x="1691996" y="0"/>
                                </a:lnTo>
                                <a:lnTo>
                                  <a:pt x="16919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8" name="Shape 23768"/>
                        <wps:cNvSpPr/>
                        <wps:spPr>
                          <a:xfrm>
                            <a:off x="2113204" y="0"/>
                            <a:ext cx="4491432" cy="9144"/>
                          </a:xfrm>
                          <a:custGeom>
                            <a:avLst/>
                            <a:gdLst/>
                            <a:ahLst/>
                            <a:cxnLst/>
                            <a:rect l="0" t="0" r="0" b="0"/>
                            <a:pathLst>
                              <a:path w="4491432" h="9144">
                                <a:moveTo>
                                  <a:pt x="0" y="0"/>
                                </a:moveTo>
                                <a:lnTo>
                                  <a:pt x="4491432" y="0"/>
                                </a:lnTo>
                                <a:lnTo>
                                  <a:pt x="44914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997" style="width:520.05pt;height:0.282166pt;mso-position-horizontal-relative:char;mso-position-vertical-relative:line" coordsize="66046,35">
                <v:shape id="Shape 23769" style="position:absolute;width:16919;height:91;left:0;top:4;" coordsize="1691996,9144" path="m0,0l1691996,0l1691996,9144l0,9144l0,0">
                  <v:stroke weight="0pt" endcap="flat" joinstyle="miter" miterlimit="10" on="false" color="#000000" opacity="0"/>
                  <v:fill on="true" color="#000000"/>
                </v:shape>
                <v:shape id="Shape 23770" style="position:absolute;width:44914;height:91;left:21132;top:0;" coordsize="4491432,9144" path="m0,0l4491432,0l4491432,9144l0,9144l0,0">
                  <v:stroke weight="0pt" endcap="flat" joinstyle="miter" miterlimit="10" on="false" color="#000000" opacity="0"/>
                  <v:fill on="true" color="#000000"/>
                </v:shape>
              </v:group>
            </w:pict>
          </mc:Fallback>
        </mc:AlternateContent>
      </w:r>
    </w:p>
    <w:tbl>
      <w:tblPr>
        <w:tblStyle w:val="TableGrid"/>
        <w:tblW w:w="10432" w:type="dxa"/>
        <w:tblInd w:w="0" w:type="dxa"/>
        <w:tblCellMar>
          <w:top w:w="0" w:type="dxa"/>
          <w:left w:w="0" w:type="dxa"/>
          <w:bottom w:w="0" w:type="dxa"/>
          <w:right w:w="0" w:type="dxa"/>
        </w:tblCellMar>
        <w:tblLook w:val="04A0" w:firstRow="1" w:lastRow="0" w:firstColumn="1" w:lastColumn="0" w:noHBand="0" w:noVBand="1"/>
      </w:tblPr>
      <w:tblGrid>
        <w:gridCol w:w="3328"/>
        <w:gridCol w:w="7104"/>
      </w:tblGrid>
      <w:tr w:rsidR="00F25E3E" w14:paraId="33463C31" w14:textId="77777777">
        <w:trPr>
          <w:trHeight w:val="3390"/>
        </w:trPr>
        <w:tc>
          <w:tcPr>
            <w:tcW w:w="3328" w:type="dxa"/>
            <w:tcBorders>
              <w:top w:val="nil"/>
              <w:left w:val="nil"/>
              <w:bottom w:val="nil"/>
              <w:right w:val="nil"/>
            </w:tcBorders>
          </w:tcPr>
          <w:p w14:paraId="5ED5BFC2" w14:textId="77777777" w:rsidR="00F25E3E" w:rsidRPr="00711D63" w:rsidRDefault="00000000">
            <w:pPr>
              <w:spacing w:after="12" w:line="259" w:lineRule="auto"/>
              <w:ind w:firstLine="0"/>
              <w:jc w:val="left"/>
              <w:rPr>
                <w:lang w:val="en-US"/>
              </w:rPr>
            </w:pPr>
            <w:r w:rsidRPr="00711D63">
              <w:rPr>
                <w:sz w:val="13"/>
                <w:lang w:val="en-US"/>
              </w:rPr>
              <w:t>Keywords:</w:t>
            </w:r>
          </w:p>
          <w:p w14:paraId="492A60D9" w14:textId="77777777" w:rsidR="00F25E3E" w:rsidRPr="00711D63" w:rsidRDefault="00000000">
            <w:pPr>
              <w:spacing w:after="12" w:line="259" w:lineRule="auto"/>
              <w:ind w:firstLine="0"/>
              <w:jc w:val="left"/>
              <w:rPr>
                <w:lang w:val="en-US"/>
              </w:rPr>
            </w:pPr>
            <w:r w:rsidRPr="00711D63">
              <w:rPr>
                <w:sz w:val="13"/>
                <w:lang w:val="en-US"/>
              </w:rPr>
              <w:t>Post-intensive care syndrome</w:t>
            </w:r>
          </w:p>
          <w:p w14:paraId="79D249D5" w14:textId="77777777" w:rsidR="00F25E3E" w:rsidRPr="00711D63" w:rsidRDefault="00000000">
            <w:pPr>
              <w:spacing w:after="12" w:line="259" w:lineRule="auto"/>
              <w:ind w:firstLine="0"/>
              <w:jc w:val="left"/>
              <w:rPr>
                <w:lang w:val="en-US"/>
              </w:rPr>
            </w:pPr>
            <w:r w:rsidRPr="00711D63">
              <w:rPr>
                <w:sz w:val="13"/>
                <w:lang w:val="en-US"/>
              </w:rPr>
              <w:t>Follow-up</w:t>
            </w:r>
          </w:p>
          <w:p w14:paraId="13676AE4" w14:textId="77777777" w:rsidR="00F25E3E" w:rsidRPr="00711D63" w:rsidRDefault="00000000">
            <w:pPr>
              <w:spacing w:after="12" w:line="259" w:lineRule="auto"/>
              <w:ind w:firstLine="0"/>
              <w:jc w:val="left"/>
              <w:rPr>
                <w:lang w:val="en-US"/>
              </w:rPr>
            </w:pPr>
            <w:r w:rsidRPr="00711D63">
              <w:rPr>
                <w:sz w:val="13"/>
                <w:lang w:val="en-US"/>
              </w:rPr>
              <w:t>Survivorship</w:t>
            </w:r>
          </w:p>
          <w:p w14:paraId="017C5FB5" w14:textId="77777777" w:rsidR="00F25E3E" w:rsidRPr="00711D63" w:rsidRDefault="00000000">
            <w:pPr>
              <w:spacing w:after="13" w:line="259" w:lineRule="auto"/>
              <w:ind w:firstLine="0"/>
              <w:jc w:val="left"/>
              <w:rPr>
                <w:lang w:val="en-US"/>
              </w:rPr>
            </w:pPr>
            <w:r w:rsidRPr="00711D63">
              <w:rPr>
                <w:sz w:val="13"/>
                <w:lang w:val="en-US"/>
              </w:rPr>
              <w:t>Patient-centred care</w:t>
            </w:r>
          </w:p>
          <w:p w14:paraId="1B70630C" w14:textId="77777777" w:rsidR="00F25E3E" w:rsidRPr="00711D63" w:rsidRDefault="00000000">
            <w:pPr>
              <w:spacing w:after="0" w:line="259" w:lineRule="auto"/>
              <w:ind w:firstLine="0"/>
              <w:jc w:val="left"/>
              <w:rPr>
                <w:lang w:val="en-US"/>
              </w:rPr>
            </w:pPr>
            <w:r w:rsidRPr="00711D63">
              <w:rPr>
                <w:sz w:val="13"/>
                <w:lang w:val="en-US"/>
              </w:rPr>
              <w:t>Health service research</w:t>
            </w:r>
          </w:p>
        </w:tc>
        <w:tc>
          <w:tcPr>
            <w:tcW w:w="7104" w:type="dxa"/>
            <w:tcBorders>
              <w:top w:val="nil"/>
              <w:left w:val="nil"/>
              <w:bottom w:val="nil"/>
              <w:right w:val="nil"/>
            </w:tcBorders>
          </w:tcPr>
          <w:p w14:paraId="419470FE" w14:textId="77777777" w:rsidR="00F25E3E" w:rsidRPr="00711D63" w:rsidRDefault="00000000">
            <w:pPr>
              <w:spacing w:after="9" w:line="280" w:lineRule="auto"/>
              <w:ind w:firstLine="0"/>
              <w:rPr>
                <w:lang w:val="en-US"/>
              </w:rPr>
            </w:pPr>
            <w:r w:rsidRPr="00711D63">
              <w:rPr>
                <w:sz w:val="14"/>
                <w:lang w:val="en-US"/>
              </w:rPr>
              <w:t>Background: Post-intensive care syndrome (PICS) is a frequent and debilitating consequence of critical illness, yet access to structured post-ICU follow-up remains inconsistent.</w:t>
            </w:r>
          </w:p>
          <w:p w14:paraId="76BF9700" w14:textId="77777777" w:rsidR="00F25E3E" w:rsidRDefault="00000000">
            <w:pPr>
              <w:spacing w:after="10" w:line="277" w:lineRule="auto"/>
              <w:ind w:right="1" w:firstLine="0"/>
            </w:pPr>
            <w:r>
              <w:rPr>
                <w:sz w:val="14"/>
              </w:rPr>
              <w:t>Methods: We conducted an ESICM-endorsed, international, cross-sectional online survey using two complementary questionnaires to explore the perspectives of ICU healthcare professionals (ICU-HP) and adult ICU survivors (ICU-S), disseminated through ESICM communication channels, professional networks, patient associations, and social media. Both surveys explored post-ICU follow-up practices, access to care, perceived benefits, and unmet needs.</w:t>
            </w:r>
          </w:p>
          <w:p w14:paraId="2F10D19D" w14:textId="77777777" w:rsidR="00F25E3E" w:rsidRDefault="00000000">
            <w:pPr>
              <w:spacing w:after="0" w:line="259" w:lineRule="auto"/>
              <w:ind w:firstLine="0"/>
            </w:pPr>
            <w:r>
              <w:rPr>
                <w:sz w:val="14"/>
              </w:rPr>
              <w:t>Results: A total of 276 ICU-HP from 242 hospitals across 43 countries and 106 ICU-S from 47 ICUs across 6 countries participated in the survey. Post-ICU follow-up was reported to be available by 45% of ICUs and accessed by 58.5% of patients. Among ICUsurvivors, 55.7% reported having received information about PICS, while 86.2% of those not informed indicated it would have been useful. Follow-up practices showed marked heterogeneity in patient selection, timing, content, and duration. Among patients who had access to post-ICU follow-up, screening of all three core PICS domains (physical, cognitive and psychological functions) was performed in only 40.7% of cases. Nevertheless, 56.4% reported feeling better following follow-up, mainly due to perceived support and improved understanding of their condition. Among ICU-HPs offering follow-up, 55.1% reported that this activity had led to changes in clinical practice within their ICU, and 97.4% expressed intent to continue their programs although limited training opportunities and a lack of formal guidance were reported by a substantial proportion of respondents.</w:t>
            </w:r>
          </w:p>
        </w:tc>
      </w:tr>
    </w:tbl>
    <w:p w14:paraId="287FFA92" w14:textId="77777777" w:rsidR="00F25E3E" w:rsidRDefault="00000000">
      <w:pPr>
        <w:spacing w:after="81" w:line="259" w:lineRule="auto"/>
        <w:ind w:firstLine="0"/>
        <w:jc w:val="left"/>
      </w:pPr>
      <w:r>
        <w:rPr>
          <w:rFonts w:ascii="Calibri" w:eastAsia="Calibri" w:hAnsi="Calibri" w:cs="Calibri"/>
          <w:noProof/>
          <w:sz w:val="22"/>
        </w:rPr>
        <mc:AlternateContent>
          <mc:Choice Requires="wpg">
            <w:drawing>
              <wp:inline distT="0" distB="0" distL="0" distR="0" wp14:anchorId="41C1C5C5" wp14:editId="41CCDB93">
                <wp:extent cx="458660" cy="3162"/>
                <wp:effectExtent l="0" t="0" r="0" b="0"/>
                <wp:docPr id="19735" name="Group 19735"/>
                <wp:cNvGraphicFramePr/>
                <a:graphic xmlns:a="http://schemas.openxmlformats.org/drawingml/2006/main">
                  <a:graphicData uri="http://schemas.microsoft.com/office/word/2010/wordprocessingGroup">
                    <wpg:wgp>
                      <wpg:cNvGrpSpPr/>
                      <wpg:grpSpPr>
                        <a:xfrm>
                          <a:off x="0" y="0"/>
                          <a:ext cx="458660" cy="3162"/>
                          <a:chOff x="0" y="0"/>
                          <a:chExt cx="458660" cy="3162"/>
                        </a:xfrm>
                      </wpg:grpSpPr>
                      <wps:wsp>
                        <wps:cNvPr id="23771" name="Shape 23771"/>
                        <wps:cNvSpPr/>
                        <wps:spPr>
                          <a:xfrm>
                            <a:off x="0" y="0"/>
                            <a:ext cx="458660" cy="9144"/>
                          </a:xfrm>
                          <a:custGeom>
                            <a:avLst/>
                            <a:gdLst/>
                            <a:ahLst/>
                            <a:cxnLst/>
                            <a:rect l="0" t="0" r="0" b="0"/>
                            <a:pathLst>
                              <a:path w="458660" h="9144">
                                <a:moveTo>
                                  <a:pt x="0" y="0"/>
                                </a:moveTo>
                                <a:lnTo>
                                  <a:pt x="458660" y="0"/>
                                </a:lnTo>
                                <a:lnTo>
                                  <a:pt x="4586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735" style="width:36.115pt;height:0.248962pt;mso-position-horizontal-relative:char;mso-position-vertical-relative:line" coordsize="4586,31">
                <v:shape id="Shape 23772" style="position:absolute;width:4586;height:91;left:0;top:0;" coordsize="458660,9144" path="m0,0l458660,0l458660,9144l0,9144l0,0">
                  <v:stroke weight="0pt" endcap="flat" joinstyle="miter" miterlimit="10" on="false" color="#000000" opacity="0"/>
                  <v:fill on="true" color="#000000"/>
                </v:shape>
              </v:group>
            </w:pict>
          </mc:Fallback>
        </mc:AlternateContent>
      </w:r>
    </w:p>
    <w:p w14:paraId="50BC738D" w14:textId="77777777" w:rsidR="00F25E3E" w:rsidRDefault="00000000">
      <w:pPr>
        <w:spacing w:after="7" w:line="269" w:lineRule="auto"/>
        <w:ind w:left="-5" w:hanging="10"/>
      </w:pPr>
      <w:r>
        <w:rPr>
          <w:sz w:val="14"/>
        </w:rPr>
        <w:t>Abbreviations: CHERRIES, Checklist for Reporting Results of Internet E-Surveys; ESICM, European Society of Intensive Care Medicine; ESPEN, European Society for Clinical Nutrition and Metabolism; GP, general practitioner; GPICS, Guidelines for the Provision of Intensive Care Services; HP, healthcare providers; HSRO, Health Services Research Outcomes; ICU, intensive care unit; NICE, National Institute for Health and Care Excellence; PICS, post-intensive care syndrome; PICS-F, post-intensive care syndrome-family; S, survivors.</w:t>
      </w:r>
    </w:p>
    <w:p w14:paraId="68A9D11F" w14:textId="77777777" w:rsidR="00F25E3E" w:rsidRDefault="00000000">
      <w:pPr>
        <w:spacing w:after="0" w:line="269" w:lineRule="auto"/>
        <w:ind w:left="106" w:right="673" w:hanging="10"/>
        <w:jc w:val="left"/>
      </w:pPr>
      <w:r>
        <w:rPr>
          <w:sz w:val="13"/>
        </w:rPr>
        <w:t>* Corresponding author.</w:t>
      </w:r>
    </w:p>
    <w:p w14:paraId="55C8777D" w14:textId="77777777" w:rsidR="00F25E3E" w:rsidRDefault="00000000">
      <w:pPr>
        <w:spacing w:after="396" w:line="269" w:lineRule="auto"/>
        <w:ind w:left="239" w:firstLine="0"/>
        <w:jc w:val="left"/>
      </w:pPr>
      <w:r>
        <w:rPr>
          <w:sz w:val="13"/>
        </w:rPr>
        <w:t xml:space="preserve">E-mail address: </w:t>
      </w:r>
      <w:r>
        <w:rPr>
          <w:color w:val="005F89"/>
          <w:sz w:val="13"/>
        </w:rPr>
        <w:t xml:space="preserve">afrousseau@chuliege.be </w:t>
      </w:r>
      <w:r>
        <w:rPr>
          <w:sz w:val="13"/>
        </w:rPr>
        <w:t>(A.-F. Rousseau).</w:t>
      </w:r>
    </w:p>
    <w:p w14:paraId="069CDF77" w14:textId="77777777" w:rsidR="00F25E3E" w:rsidRDefault="00000000">
      <w:pPr>
        <w:spacing w:after="12" w:line="259" w:lineRule="auto"/>
        <w:ind w:firstLine="0"/>
        <w:jc w:val="left"/>
      </w:pPr>
      <w:hyperlink r:id="rId15">
        <w:r>
          <w:rPr>
            <w:color w:val="005F89"/>
            <w:sz w:val="14"/>
          </w:rPr>
          <w:t>https://dx.doi.org/10.1016/j.aicoj.2026.100141</w:t>
        </w:r>
      </w:hyperlink>
    </w:p>
    <w:p w14:paraId="4B357EAB" w14:textId="77777777" w:rsidR="00F25E3E" w:rsidRDefault="00000000">
      <w:pPr>
        <w:spacing w:after="7" w:line="269" w:lineRule="auto"/>
        <w:ind w:left="-5" w:hanging="10"/>
      </w:pPr>
      <w:r>
        <w:rPr>
          <w:sz w:val="14"/>
        </w:rPr>
        <w:t>Received 24 February 2026; Received in revised form 16 August 2026; Accepted 24 August 2026</w:t>
      </w:r>
    </w:p>
    <w:p w14:paraId="5E4946ED" w14:textId="77777777" w:rsidR="00F25E3E" w:rsidRDefault="00000000">
      <w:pPr>
        <w:spacing w:after="7" w:line="269" w:lineRule="auto"/>
        <w:ind w:left="-5" w:hanging="10"/>
      </w:pPr>
      <w:r>
        <w:rPr>
          <w:sz w:val="14"/>
        </w:rPr>
        <w:t>2110-5820/© 2026 Published by Elsevier Masson SAS on behalf of Société de Réanimation de Langue Française (French Intensive Care Society). This is an open access article under the CC BY-NC-ND license (</w:t>
      </w:r>
      <w:hyperlink r:id="rId16">
        <w:r>
          <w:rPr>
            <w:color w:val="005F89"/>
            <w:sz w:val="14"/>
          </w:rPr>
          <w:t>http://creativecommons.org/licenses/by-nc-nd/4.0/</w:t>
        </w:r>
      </w:hyperlink>
      <w:r>
        <w:rPr>
          <w:sz w:val="14"/>
        </w:rPr>
        <w:t>).</w:t>
      </w:r>
    </w:p>
    <w:p w14:paraId="3C32E603" w14:textId="77777777" w:rsidR="00F25E3E" w:rsidRDefault="00000000">
      <w:pPr>
        <w:spacing w:after="7" w:line="269" w:lineRule="auto"/>
        <w:ind w:left="3338" w:hanging="10"/>
      </w:pPr>
      <w:r>
        <w:rPr>
          <w:sz w:val="14"/>
        </w:rPr>
        <w:t>Conclusions: This survey demonstrates inconsistent access to post-ICU follow-up and information about PICS, despite the perceived value of post-ICU follow-up among both ICU-S and ICU-HP. Improving post-ICU care will requirededicated trainingand structured guidelines, highlighting the keyroleofscientific societies inICU survivorship care.</w:t>
      </w:r>
    </w:p>
    <w:p w14:paraId="07AEDADC" w14:textId="77777777" w:rsidR="00F25E3E" w:rsidRDefault="00000000">
      <w:pPr>
        <w:spacing w:after="0" w:line="259" w:lineRule="auto"/>
        <w:ind w:firstLine="0"/>
        <w:jc w:val="left"/>
      </w:pPr>
      <w:r>
        <w:rPr>
          <w:rFonts w:ascii="Calibri" w:eastAsia="Calibri" w:hAnsi="Calibri" w:cs="Calibri"/>
          <w:noProof/>
          <w:sz w:val="22"/>
        </w:rPr>
        <mc:AlternateContent>
          <mc:Choice Requires="wpg">
            <w:drawing>
              <wp:inline distT="0" distB="0" distL="0" distR="0" wp14:anchorId="6B107B67" wp14:editId="725B18EC">
                <wp:extent cx="6624003" cy="6480"/>
                <wp:effectExtent l="0" t="0" r="0" b="0"/>
                <wp:docPr id="23002" name="Group 23002"/>
                <wp:cNvGraphicFramePr/>
                <a:graphic xmlns:a="http://schemas.openxmlformats.org/drawingml/2006/main">
                  <a:graphicData uri="http://schemas.microsoft.com/office/word/2010/wordprocessingGroup">
                    <wpg:wgp>
                      <wpg:cNvGrpSpPr/>
                      <wpg:grpSpPr>
                        <a:xfrm>
                          <a:off x="0" y="0"/>
                          <a:ext cx="6624003" cy="6480"/>
                          <a:chOff x="0" y="0"/>
                          <a:chExt cx="6624003" cy="6480"/>
                        </a:xfrm>
                      </wpg:grpSpPr>
                      <wps:wsp>
                        <wps:cNvPr id="23773" name="Shape 23773"/>
                        <wps:cNvSpPr/>
                        <wps:spPr>
                          <a:xfrm>
                            <a:off x="0" y="0"/>
                            <a:ext cx="1691996" cy="9144"/>
                          </a:xfrm>
                          <a:custGeom>
                            <a:avLst/>
                            <a:gdLst/>
                            <a:ahLst/>
                            <a:cxnLst/>
                            <a:rect l="0" t="0" r="0" b="0"/>
                            <a:pathLst>
                              <a:path w="1691996" h="9144">
                                <a:moveTo>
                                  <a:pt x="0" y="0"/>
                                </a:moveTo>
                                <a:lnTo>
                                  <a:pt x="1691996" y="0"/>
                                </a:lnTo>
                                <a:lnTo>
                                  <a:pt x="16919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4" name="Shape 23774"/>
                        <wps:cNvSpPr/>
                        <wps:spPr>
                          <a:xfrm>
                            <a:off x="2113204" y="3"/>
                            <a:ext cx="4510799" cy="9144"/>
                          </a:xfrm>
                          <a:custGeom>
                            <a:avLst/>
                            <a:gdLst/>
                            <a:ahLst/>
                            <a:cxnLst/>
                            <a:rect l="0" t="0" r="0" b="0"/>
                            <a:pathLst>
                              <a:path w="4510799" h="9144">
                                <a:moveTo>
                                  <a:pt x="0" y="0"/>
                                </a:moveTo>
                                <a:lnTo>
                                  <a:pt x="4510799" y="0"/>
                                </a:lnTo>
                                <a:lnTo>
                                  <a:pt x="451079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002" style="width:521.575pt;height:0.510254pt;mso-position-horizontal-relative:char;mso-position-vertical-relative:line" coordsize="66240,64">
                <v:shape id="Shape 23775" style="position:absolute;width:16919;height:91;left:0;top:0;" coordsize="1691996,9144" path="m0,0l1691996,0l1691996,9144l0,9144l0,0">
                  <v:stroke weight="0pt" endcap="flat" joinstyle="miter" miterlimit="10" on="false" color="#000000" opacity="0"/>
                  <v:fill on="true" color="#000000"/>
                </v:shape>
                <v:shape id="Shape 23776" style="position:absolute;width:45107;height:91;left:21132;top:0;" coordsize="4510799,9144" path="m0,0l4510799,0l4510799,9144l0,9144l0,0">
                  <v:stroke weight="0pt" endcap="flat" joinstyle="miter" miterlimit="10" on="false" color="#000000" opacity="0"/>
                  <v:fill on="true" color="#000000"/>
                </v:shape>
              </v:group>
            </w:pict>
          </mc:Fallback>
        </mc:AlternateContent>
      </w:r>
    </w:p>
    <w:p w14:paraId="5A0ECE43" w14:textId="77777777" w:rsidR="00F25E3E" w:rsidRDefault="00F25E3E">
      <w:pPr>
        <w:sectPr w:rsidR="00F25E3E">
          <w:headerReference w:type="even" r:id="rId17"/>
          <w:headerReference w:type="default" r:id="rId18"/>
          <w:footerReference w:type="even" r:id="rId19"/>
          <w:footerReference w:type="default" r:id="rId20"/>
          <w:headerReference w:type="first" r:id="rId21"/>
          <w:footerReference w:type="first" r:id="rId22"/>
          <w:pgSz w:w="11906" w:h="15874"/>
          <w:pgMar w:top="734" w:right="737" w:bottom="815" w:left="737" w:header="720" w:footer="720" w:gutter="0"/>
          <w:cols w:space="720"/>
          <w:titlePg/>
        </w:sectPr>
      </w:pPr>
    </w:p>
    <w:p w14:paraId="050BBDDB" w14:textId="77777777" w:rsidR="00F25E3E" w:rsidRDefault="00000000">
      <w:pPr>
        <w:spacing w:after="213" w:line="259" w:lineRule="auto"/>
        <w:ind w:left="-5" w:hanging="10"/>
        <w:jc w:val="left"/>
      </w:pPr>
      <w:r>
        <w:rPr>
          <w:rFonts w:ascii="Calibri" w:eastAsia="Calibri" w:hAnsi="Calibri" w:cs="Calibri"/>
        </w:rPr>
        <w:t>Introduction</w:t>
      </w:r>
    </w:p>
    <w:p w14:paraId="2E7F220C" w14:textId="77777777" w:rsidR="00F25E3E" w:rsidRDefault="00000000">
      <w:pPr>
        <w:ind w:left="-15"/>
      </w:pPr>
      <w:r>
        <w:t>Survival after critical illness has improved substantially over the past few decades [</w:t>
      </w:r>
      <w:r>
        <w:rPr>
          <w:color w:val="005F89"/>
        </w:rPr>
        <w:t>1</w:t>
      </w:r>
      <w:r>
        <w:t>]. However, many intensive care unit (ICU) survivors experience new or persistent impairments after hospital discharge [</w:t>
      </w:r>
      <w:r>
        <w:rPr>
          <w:color w:val="005F89"/>
        </w:rPr>
        <w:t>2</w:t>
      </w:r>
      <w:r>
        <w:t>]. These impairments may be related, at least in part, to persistent inflammation, immune dysfunction, catabolism, and ICUacquired weakness, which can contribute to prolonged recovery and long-term disability [</w:t>
      </w:r>
      <w:r>
        <w:rPr>
          <w:color w:val="005F89"/>
        </w:rPr>
        <w:t>3</w:t>
      </w:r>
      <w:r>
        <w:t>]. The long-term physical, cognitive, and psychological sequelae, collectively referred to as post-intensive care syndrome (PICS), may persist for months or years and are associated with reduced health-related quality of life, and major social and familial consequences [</w:t>
      </w:r>
      <w:r>
        <w:rPr>
          <w:color w:val="005F89"/>
        </w:rPr>
        <w:t>4</w:t>
      </w:r>
      <w:r>
        <w:t>]. The severity, combination, timing of onset, and trajectory of these impairments vary substantially among ICU survivors according to premorbid conditions, ICU exposures, age, social environment, and healthcare systems factors. As a consequence, long-term recovery and quality of life have become key outcomes of critical illness, complementing traditional measures such as shortterm survival and mortality [</w:t>
      </w:r>
      <w:r>
        <w:rPr>
          <w:color w:val="005F89"/>
        </w:rPr>
        <w:t>5</w:t>
      </w:r>
      <w:r>
        <w:t>]. Given the marked heterogeneity in the presentation and trajectory of PICS, its detection and management require a proactive, structured, and longitudinal approach rather than reliance on unstructured, symptom-driven care [</w:t>
      </w:r>
      <w:r>
        <w:rPr>
          <w:color w:val="005F89"/>
        </w:rPr>
        <w:t>6</w:t>
      </w:r>
      <w:r>
        <w:t>,</w:t>
      </w:r>
      <w:r>
        <w:rPr>
          <w:color w:val="005F89"/>
        </w:rPr>
        <w:t>7</w:t>
      </w:r>
      <w:r>
        <w:t>].</w:t>
      </w:r>
    </w:p>
    <w:p w14:paraId="5E49F5A2" w14:textId="77777777" w:rsidR="00F25E3E" w:rsidRDefault="00000000">
      <w:pPr>
        <w:ind w:left="-15"/>
      </w:pPr>
      <w:r>
        <w:t>Early identification of post-ICU sequelae, timely referral to appropriate services, and provision of clear information to patients and relatives are considered essential to optimise recovery trajectories and reduce unmet needs after critical illness [</w:t>
      </w:r>
      <w:r>
        <w:rPr>
          <w:color w:val="005F89"/>
        </w:rPr>
        <w:t>8</w:t>
      </w:r>
      <w:r>
        <w:t>]. In response to these challenges, post-ICU follow-up pathways and dedicated post-ICU clinics have been developed in an increasing number of healthcare systems [</w:t>
      </w:r>
      <w:r>
        <w:rPr>
          <w:color w:val="005F89"/>
        </w:rPr>
        <w:t>9</w:t>
      </w:r>
      <w:r>
        <w:t>]. Follow-up programs generally represent one component of a broader survivorship pathway and may include multidisciplinary assessment screening for PICS-related impairments, patient education, reassurance, referral to specialised services, and coordination of subsequent interventions, including rehabilitation when indicated [</w:t>
      </w:r>
      <w:r>
        <w:rPr>
          <w:color w:val="005F89"/>
        </w:rPr>
        <w:t>3</w:t>
      </w:r>
      <w:r>
        <w:t>].Beyondpatient-centred benefits,post-ICUfollow-uphasalsobeen proposed as a tool to improve ICU practice through feedback on longterm outcomes, as well as clinician</w:t>
      </w:r>
      <w:r>
        <w:rPr>
          <w:rFonts w:ascii="Calibri" w:eastAsia="Calibri" w:hAnsi="Calibri" w:cs="Calibri"/>
        </w:rPr>
        <w:t>’</w:t>
      </w:r>
      <w:r>
        <w:t>s well-being [</w:t>
      </w:r>
      <w:r>
        <w:rPr>
          <w:color w:val="005F89"/>
        </w:rPr>
        <w:t>10</w:t>
      </w:r>
      <w:r>
        <w:t>,</w:t>
      </w:r>
      <w:r>
        <w:rPr>
          <w:color w:val="005F89"/>
        </w:rPr>
        <w:t>11</w:t>
      </w:r>
      <w:r>
        <w:t>]. Despite increasing interest, post-ICU follow-up remains characterised by remarkable heterogeneity [</w:t>
      </w:r>
      <w:r>
        <w:rPr>
          <w:color w:val="005F89"/>
        </w:rPr>
        <w:t>12</w:t>
      </w:r>
      <w:r>
        <w:t>], reflecting the limited number of dedicated guidelines and the absence of a universally accepted standard of care. Moreover, evidence supporting the effectiveness of post-ICU follow-up remains inconclusive [</w:t>
      </w:r>
      <w:r>
        <w:rPr>
          <w:color w:val="005F89"/>
        </w:rPr>
        <w:t>13</w:t>
      </w:r>
      <w:r>
        <w:t>,</w:t>
      </w:r>
      <w:r>
        <w:rPr>
          <w:color w:val="005F89"/>
        </w:rPr>
        <w:t>14</w:t>
      </w:r>
      <w:r>
        <w:t>]. Consequently, the real or perceived value of post-ICU follow-up remains a matter of debate. This lack of consistent evidence may partly reflect the considerable heterogeneity of post-ICU follow-up models and interventions evaluated to date, rather than the absence of benefit of post-ICU follow-up itself. Differences in patient selection, timing, staffing, assessed domains, interventions delivered, and the structural characteristics of healthcare systems may substantially influence both implementation and outcomes. The absence of standardised processes may limit the comparability of studies and the feasibility of multicentre implementation, while insufficient individualised follow-up pathways may reduce the ability of interventions to address the diverse and evolving needs of ICU survivors.</w:t>
      </w:r>
    </w:p>
    <w:p w14:paraId="5661286F" w14:textId="77777777" w:rsidR="00F25E3E" w:rsidRDefault="00000000">
      <w:pPr>
        <w:spacing w:after="426"/>
        <w:ind w:left="-15"/>
      </w:pPr>
      <w:r>
        <w:t>Studiesorsurveysexploringtheorganisation ofpost-ICUfollow-up clinics, screening strategies for PICS, rehabilitation programs, and survivor experiences and needs have predominantly examined healthcare professional perspectives and patient experiences in isolation and have most frequently been conducted within single countries or healthcare systems [</w:t>
      </w:r>
      <w:r>
        <w:rPr>
          <w:color w:val="005F89"/>
        </w:rPr>
        <w:t>14</w:t>
      </w:r>
      <w:r>
        <w:rPr>
          <w:rFonts w:ascii="Calibri" w:eastAsia="Calibri" w:hAnsi="Calibri" w:cs="Calibri"/>
          <w:color w:val="005F89"/>
        </w:rPr>
        <w:t>–</w:t>
      </w:r>
      <w:r>
        <w:rPr>
          <w:color w:val="005F89"/>
        </w:rPr>
        <w:t>17</w:t>
      </w:r>
      <w:r>
        <w:t>]. Consequently, a broader and more integrated understanding of post-ICU follow-up across different healthcare settings, encompassing its availability, organisation, perceived usefulness, and future priorities from both healthcare professional and ICU survivor</w:t>
      </w:r>
      <w:r>
        <w:rPr>
          <w:rFonts w:ascii="Calibri" w:eastAsia="Calibri" w:hAnsi="Calibri" w:cs="Calibri"/>
        </w:rPr>
        <w:t>’</w:t>
      </w:r>
      <w:r>
        <w:t xml:space="preserve">s perspectives, is warranted. Incorporating the viewpoints of both healthcare providers and ICU survivors is essential to inform future models of </w:t>
      </w:r>
      <w:r>
        <w:t>care that are clinically relevant, acceptable, and patient-centred. The CORFU survey was therefore designed to describe the availability, organisation, and perceived benefits of post-ICU follow-up, from the perspectives of both healthcare providers and patients, and to provide pragmatic insights into current post-ICU delivery of care and priorities for future development.</w:t>
      </w:r>
    </w:p>
    <w:p w14:paraId="68590955" w14:textId="77777777" w:rsidR="00F25E3E" w:rsidRDefault="00000000">
      <w:pPr>
        <w:spacing w:after="213" w:line="259" w:lineRule="auto"/>
        <w:ind w:left="-5" w:hanging="10"/>
        <w:jc w:val="left"/>
      </w:pPr>
      <w:r>
        <w:rPr>
          <w:rFonts w:ascii="Calibri" w:eastAsia="Calibri" w:hAnsi="Calibri" w:cs="Calibri"/>
        </w:rPr>
        <w:t>Methods</w:t>
      </w:r>
    </w:p>
    <w:p w14:paraId="3AC7E802" w14:textId="77777777" w:rsidR="00F25E3E" w:rsidRDefault="00000000">
      <w:pPr>
        <w:pStyle w:val="Titre1"/>
        <w:ind w:left="-5"/>
      </w:pPr>
      <w:r>
        <w:t>Study design</w:t>
      </w:r>
    </w:p>
    <w:p w14:paraId="221C5E4F" w14:textId="77777777" w:rsidR="00F25E3E" w:rsidRDefault="00000000">
      <w:pPr>
        <w:spacing w:after="320"/>
        <w:ind w:left="-15"/>
      </w:pPr>
      <w:r>
        <w:t>We conducted an international, cross-sectional survey comprising two complementary online questionnaires: one targeting ICU healthcare professionals (ICU-HP) and the other targeting adult ICU survivors (ICU-S). The study protocol, questionnaires, and dissemination plan received formal endorsement from the European Society of Intensive Care Medicine (ESICM). The study was also approved by the Ethics Committee of the University Hospital of Liege, Belgium (local reference 2025/231, 25th March 2025). We obtained consent from participants at the beginning of the survey.</w:t>
      </w:r>
    </w:p>
    <w:p w14:paraId="355ABE6A" w14:textId="77777777" w:rsidR="00F25E3E" w:rsidRDefault="00000000">
      <w:pPr>
        <w:pStyle w:val="Titre1"/>
        <w:ind w:left="-5"/>
      </w:pPr>
      <w:r>
        <w:t>Survey reporting</w:t>
      </w:r>
    </w:p>
    <w:p w14:paraId="7547A772" w14:textId="77777777" w:rsidR="00F25E3E" w:rsidRDefault="00000000">
      <w:pPr>
        <w:spacing w:after="321"/>
        <w:ind w:left="-15"/>
      </w:pPr>
      <w:r>
        <w:t>The methodology and findings of the survey are presented in accordance with the Checklist for Reporting Results of Internet ESurveys (CHERRIES) statement [</w:t>
      </w:r>
      <w:r>
        <w:rPr>
          <w:color w:val="005F89"/>
        </w:rPr>
        <w:t>18</w:t>
      </w:r>
      <w:r>
        <w:t>].</w:t>
      </w:r>
    </w:p>
    <w:p w14:paraId="58EFB06E" w14:textId="77777777" w:rsidR="00F25E3E" w:rsidRDefault="00000000">
      <w:pPr>
        <w:pStyle w:val="Titre1"/>
        <w:ind w:left="-5"/>
      </w:pPr>
      <w:r>
        <w:t>Survey development</w:t>
      </w:r>
    </w:p>
    <w:p w14:paraId="7E505B13" w14:textId="77777777" w:rsidR="00F25E3E" w:rsidRDefault="00000000">
      <w:pPr>
        <w:ind w:left="-15"/>
      </w:pPr>
      <w:r>
        <w:t>Both questionnaires were developed iteratively, using a similar method, following commonly accepted principles for healthcare survey design [</w:t>
      </w:r>
      <w:r>
        <w:rPr>
          <w:color w:val="005F89"/>
        </w:rPr>
        <w:t>19</w:t>
      </w:r>
      <w:r>
        <w:t>]. They were initially drafted by a group of representatives from the ESICM Health Services Research and Outcomes (HSRO) section (AFR, SL, MB), with multiple rounds of refinement. To ensure validity, the pre-final set of questions was further reviewed by a steering committee of other ESICM representatives (KF, for the HSRO section and VM for the Ethics section) for the ICU-HP questionnaire and by representatives from the ICUsteps support charity (CJ and 4 former ICU patients) for the ICU-S questionnaire. The questionnaires were adjusted following their feedback. Lastly, the two questionnaires were pretested at the institutions of the two main authors (AFR, SL), by five former ICU patients andbyICUclinicians. Specifically,the pretestusedthe ESICM Clinical Sensibility Testing Tool, which evaluates several domains on Likert scales, including comprehensibility (ease of understanding and interpretation), face validity (whether the questionnaire appears to measure the intended concepts), relevance (whether the questions address the research objectives without unnecessary redundancy), format and respondent burden (simplicity of response options and acceptability of questionnaire length), and utility (the ability of the survey to generate meaningful information for clinical practice and future research). Comments were provided and a few minor changes were implemented.</w:t>
      </w:r>
    </w:p>
    <w:p w14:paraId="6BC2F66A" w14:textId="77777777" w:rsidR="00F25E3E" w:rsidRDefault="00000000">
      <w:pPr>
        <w:ind w:left="-15"/>
      </w:pPr>
      <w:r>
        <w:t xml:space="preserve">The ICU-HP survey assessed demographics, ICU characteristics (including the name of the hospital), availability and organisation of post-ICU follow-up programs, patient selection, timing of follow-up, resources, perceived benefits and barriers, and expectations for future development. It comprised a total of 51 potential questions (see Appendix </w:t>
      </w:r>
      <w:r>
        <w:rPr>
          <w:color w:val="005F89"/>
        </w:rPr>
        <w:t>1</w:t>
      </w:r>
      <w:r>
        <w:t xml:space="preserve">). The questionnaire was made available in English, Spanish, and Portuguese. Additional translations were provided upon request to facilitate dissemination in regions where English is not widely spoken and to optimise response rates. The ICU-S survey explored demographics, ICU </w:t>
      </w:r>
      <w:r>
        <w:lastRenderedPageBreak/>
        <w:t xml:space="preserve">stay characteristics, information received about PICS, perceived usefulness of the information, access to follow-up, satisfaction with follow-up content, and views on unmet needs and possible improvements, and comprised 30 potential questions (see Appendix </w:t>
      </w:r>
      <w:r>
        <w:rPr>
          <w:color w:val="005F89"/>
        </w:rPr>
        <w:t>1</w:t>
      </w:r>
      <w:r>
        <w:t>). The ICU-S questionnaire was made available in English, French, and Dutch, with the same objective of improvingaccessibility,asnotalleligibleICUsurvivorsspokeEnglish. Most questions were closed-ended, using multiple-choice formats allowing either single or multiple possible responses. A limited number of open-ended questions were included to capture more subjective views and free-text opinions. Not all questions were displayed to all respondents, as adaptive logic was used based on responses to previous items. Consequently, the estimated completion time ranged from approximately 5</w:t>
      </w:r>
      <w:r>
        <w:rPr>
          <w:rFonts w:ascii="Calibri" w:eastAsia="Calibri" w:hAnsi="Calibri" w:cs="Calibri"/>
        </w:rPr>
        <w:t>−</w:t>
      </w:r>
      <w:r>
        <w:t>30 min.</w:t>
      </w:r>
    </w:p>
    <w:p w14:paraId="31742CC8" w14:textId="77777777" w:rsidR="00F25E3E" w:rsidRDefault="00000000">
      <w:pPr>
        <w:ind w:left="-15"/>
      </w:pPr>
      <w:r>
        <w:t>Translation of the final English versions of the developed questionnaires was performed by healthcare professionals with expertise in intensive care and post-ICU follow-up, who were native speakers of the target language and working in the corresponding countries or regions, in order to preserve the conceptual meaning of questionnaire items while allowing adaptation to local linguistic and cultural contexts.</w:t>
      </w:r>
    </w:p>
    <w:p w14:paraId="50E6BA44" w14:textId="77777777" w:rsidR="00F25E3E" w:rsidRDefault="00000000">
      <w:pPr>
        <w:spacing w:after="203"/>
        <w:ind w:left="-15"/>
      </w:pPr>
      <w:r>
        <w:t xml:space="preserve">At the beginning of both questionnaires, definitions of ICU, postintensive care syndrome (PICS), PICS-family (PICS-F), and post-ICU follow-up were provided to ensure that all respondents shared a common conceptual framework. In the ICU-HP questionnaire, postICU follow-up was defined as: </w:t>
      </w:r>
      <w:r>
        <w:rPr>
          <w:rFonts w:ascii="Calibri" w:eastAsia="Calibri" w:hAnsi="Calibri" w:cs="Calibri"/>
        </w:rPr>
        <w:t>“</w:t>
      </w:r>
      <w:r>
        <w:t>a program ensuring the follow-up of ICU survivors in a structured follow-up clinic, including consultations in an outpatient or one-day setting, scheduled after hospital discharge, run by different types of healthcare providers, and aiming to monitor the evolution after an ICU stay. Models of postICU follow-up may vary across Europe.</w:t>
      </w:r>
      <w:r>
        <w:rPr>
          <w:rFonts w:ascii="Calibri" w:eastAsia="Calibri" w:hAnsi="Calibri" w:cs="Calibri"/>
        </w:rPr>
        <w:t xml:space="preserve">” </w:t>
      </w:r>
      <w:r>
        <w:t xml:space="preserve">Respondents were also informed that post-ICU follow-up, in the context of this survey, did not refer to in-hospital weaning units. For the ICU-S questionnaire, a simplified definition of post-ICU follow-up was used: </w:t>
      </w:r>
      <w:r>
        <w:rPr>
          <w:rFonts w:ascii="Calibri" w:eastAsia="Calibri" w:hAnsi="Calibri" w:cs="Calibri"/>
        </w:rPr>
        <w:t>“</w:t>
      </w:r>
      <w:r>
        <w:t>consultations with healthcare providers especially aimed to monitor the evolution after an ICU stay.</w:t>
      </w:r>
      <w:r>
        <w:rPr>
          <w:rFonts w:ascii="Calibri" w:eastAsia="Calibri" w:hAnsi="Calibri" w:cs="Calibri"/>
        </w:rPr>
        <w:t>”</w:t>
      </w:r>
    </w:p>
    <w:p w14:paraId="3E8492BA" w14:textId="77777777" w:rsidR="00F25E3E" w:rsidRDefault="00000000">
      <w:pPr>
        <w:pStyle w:val="Titre1"/>
        <w:ind w:left="-5"/>
      </w:pPr>
      <w:r>
        <w:t>Survey dissemination and participants</w:t>
      </w:r>
    </w:p>
    <w:p w14:paraId="7EFDC31B" w14:textId="77777777" w:rsidR="00F25E3E" w:rsidRDefault="00000000">
      <w:pPr>
        <w:ind w:left="-15"/>
      </w:pPr>
      <w:r>
        <w:t>The ICU-HP survey was open to healthcare professionals working in all types of ICUs, without restriction to adult or paediatric settings, as the questionnaire primarily explored broad organisational and conceptual aspects of post-ICU survivorship care, including program organisation, training, objectives, barriers, and perceived benefits, which may be shared across adult and paediatric settings despite differences between adult and paediatric populations. Conversely, because recruiting adolescent survivors or parents of paediatric ICU survivors across multiple countries is particularly challenging, the ICU-S survey was intentionally restricted to adult survivors.</w:t>
      </w:r>
    </w:p>
    <w:p w14:paraId="6832E555" w14:textId="77777777" w:rsidR="00F25E3E" w:rsidRDefault="00000000">
      <w:pPr>
        <w:ind w:left="-15"/>
      </w:pPr>
      <w:r>
        <w:t>The ICU-S survey was open to adult ICU survivors whose ICU stay had occurred within the previous two years. This time restriction was applied to limit recall bias regarding patients</w:t>
      </w:r>
      <w:r>
        <w:rPr>
          <w:rFonts w:ascii="Calibri" w:eastAsia="Calibri" w:hAnsi="Calibri" w:cs="Calibri"/>
        </w:rPr>
        <w:t xml:space="preserve">’ </w:t>
      </w:r>
      <w:r>
        <w:t>recollection of information received (i.e. any information provided regarding the potential consequences of critical illness and ICU stay, irrespective of the mode of delivery), follow-up experiences, and perceived needs after critical illness, while reducing heterogeneity related to temporal changes in post-ICU follow-up practices and healthcare organisation.</w:t>
      </w:r>
    </w:p>
    <w:p w14:paraId="0394D7C2" w14:textId="77777777" w:rsidR="00F25E3E" w:rsidRDefault="00000000">
      <w:pPr>
        <w:ind w:left="-15"/>
      </w:pPr>
      <w:r>
        <w:t>The questionnaires were created using SurveyMonkey® (SurveyMonkey Inc, San Mateo, CA, USA). Participants were pseudoanonymised using a self-generated identification code composed of the first two letters of their mother</w:t>
      </w:r>
      <w:r>
        <w:rPr>
          <w:rFonts w:ascii="Calibri" w:eastAsia="Calibri" w:hAnsi="Calibri" w:cs="Calibri"/>
        </w:rPr>
        <w:t>’</w:t>
      </w:r>
      <w:r>
        <w:t>s first name and the first two letters of their father</w:t>
      </w:r>
      <w:r>
        <w:rPr>
          <w:rFonts w:ascii="Calibri" w:eastAsia="Calibri" w:hAnsi="Calibri" w:cs="Calibri"/>
        </w:rPr>
        <w:t>’</w:t>
      </w:r>
      <w:r>
        <w:t>s surname. Most of the questions were mandatory, aiming to ensure completion. Post-submission review or modification of responses was not allowed. Information about the survey, its purpose and informed consent was explained at the beginning of the online survey. It was a voluntary survey, and there was no incentive to participate.</w:t>
      </w:r>
    </w:p>
    <w:p w14:paraId="0025D3D8" w14:textId="77777777" w:rsidR="00F25E3E" w:rsidRDefault="00000000">
      <w:pPr>
        <w:spacing w:after="412"/>
        <w:ind w:left="-15"/>
      </w:pPr>
      <w:r>
        <w:t>The surveys were open for participation from May 5th until December 1st, 2025. The survey links were disseminated via multiple channels. The ICU-HP survey was advertised on the ESICM website. In addition, the survey was publicised twice on the different ESICM</w:t>
      </w:r>
      <w:r>
        <w:rPr>
          <w:rFonts w:ascii="Calibri" w:eastAsia="Calibri" w:hAnsi="Calibri" w:cs="Calibri"/>
        </w:rPr>
        <w:t>’</w:t>
      </w:r>
      <w:r>
        <w:t xml:space="preserve">s social networks. It was not </w:t>
      </w:r>
      <w:r>
        <w:t>mandatory to be an ESICM member to take part in the survey. We opted for individual responses rather than a single ICU-wide response to account for potential differences in perception among healthcare providers within the same unit. The ICU-S survey was distributed through national and hospitals patients</w:t>
      </w:r>
      <w:r>
        <w:rPr>
          <w:rFonts w:ascii="Calibri" w:eastAsia="Calibri" w:hAnsi="Calibri" w:cs="Calibri"/>
        </w:rPr>
        <w:t xml:space="preserve">’ </w:t>
      </w:r>
      <w:r>
        <w:t>associations. For both surveys, the links were shared by the investigators and collaborating colleagues via professional mailing lists, institutional emails, and social media networks. This dissemination strategy relied partly on snowball sampling, whereby recipients were encouraged to forward the survey links to other eligible ICU healthcare professionals or ICU survivors.</w:t>
      </w:r>
    </w:p>
    <w:p w14:paraId="463CB8F2" w14:textId="77777777" w:rsidR="00F25E3E" w:rsidRDefault="00000000">
      <w:pPr>
        <w:pStyle w:val="Titre1"/>
        <w:ind w:left="-5"/>
      </w:pPr>
      <w:r>
        <w:t>Data analysis</w:t>
      </w:r>
    </w:p>
    <w:p w14:paraId="228FED97" w14:textId="77777777" w:rsidR="00F25E3E" w:rsidRDefault="00000000">
      <w:pPr>
        <w:ind w:left="-15"/>
      </w:pPr>
      <w:r>
        <w:t>Data from the questionnaire were exported from SurveyMonkey® and storedas anExcelfile(Microsoft Corp,Redmond, WA). Duplicates from the same participant were identified and excluded. Questionnaires were considered valid when informed consent was provided, demographic data were completed, and respondents answered the question regarding the availability/access to post-ICU follow-up, corresponding to a key objective of the survey. For ICU-HP, analyses related to follow-up program additionally required respondents to report being involved in or aware of the post-ICU follow-up program. For ICU-S, analyses related to a follow-up program required respondents to report having had access to a structured post-ICU follow-up organised by their ICU. For the purpose of this survey, ICU survivors were considered to have had access to post-ICU follow-up if they reported having attended at least one structured post-ICU followup consultation organised by their ICU after hospital discharge. Partially completed questionnaires fulfilling these criteria were retained for analysis. Although most questions were mandatory, respondents remained free to stop the survey at any stage, resulting in incomplete questionnaires. Missing data were not replaced, resulting in variable denominators across analyses depending on the number of respondents answering each specific question.</w:t>
      </w:r>
    </w:p>
    <w:p w14:paraId="069A7B46" w14:textId="77777777" w:rsidR="00F25E3E" w:rsidRDefault="00000000">
      <w:pPr>
        <w:ind w:left="-15"/>
      </w:pPr>
      <w:r>
        <w:t>Given the exploratory nature of the survey, analyses were primarily descriptive, using Graphpad Prism (version 10.6.1 for Mac OS, Graphpad Inc., San Diego, CA, USA). Categorical variables are presented as counts and percentages. Percentages were calculated using the number of respondents who answered the corresponding question as the denominator. Continuous variables are presented as median and interquartile range. Free-text responses were reviewed independently by the study investigators to identify recurrent themes and commonly reported suggestions. Given the exploratory nature of the survey and the limited amount of qualitative data collected, no formal qualitative analysis or thematic coding framework was applied.</w:t>
      </w:r>
    </w:p>
    <w:p w14:paraId="6F77CF7E" w14:textId="77777777" w:rsidR="00F25E3E" w:rsidRDefault="00000000">
      <w:pPr>
        <w:spacing w:after="213" w:line="259" w:lineRule="auto"/>
        <w:ind w:left="-5" w:hanging="10"/>
        <w:jc w:val="left"/>
      </w:pPr>
      <w:r>
        <w:rPr>
          <w:rFonts w:ascii="Calibri" w:eastAsia="Calibri" w:hAnsi="Calibri" w:cs="Calibri"/>
        </w:rPr>
        <w:t>Results</w:t>
      </w:r>
    </w:p>
    <w:p w14:paraId="62601546" w14:textId="77777777" w:rsidR="00F25E3E" w:rsidRDefault="00000000">
      <w:pPr>
        <w:pStyle w:val="Titre1"/>
        <w:ind w:left="-5"/>
      </w:pPr>
      <w:r>
        <w:t>Characteristics of respondents and intensive care settings</w:t>
      </w:r>
    </w:p>
    <w:p w14:paraId="1B1D0C0D" w14:textId="77777777" w:rsidR="00F25E3E" w:rsidRDefault="00000000">
      <w:pPr>
        <w:ind w:left="-15"/>
      </w:pPr>
      <w:r>
        <w:t xml:space="preserve">Out of the 575 respondents who opened the ICU-HP online survey, 11 declined to participate, 286 consented but did not answer any survey questions, and 2 completed only demographic questions. A total of 276 ICU-HP from 242 different hospitals and 43 different countries provided analysable data regarding post-ICU follow-up (see flow chart, </w:t>
      </w:r>
      <w:r>
        <w:rPr>
          <w:color w:val="005F89"/>
        </w:rPr>
        <w:t>Fig. 1</w:t>
      </w:r>
      <w:r>
        <w:t>).</w:t>
      </w:r>
    </w:p>
    <w:p w14:paraId="44641E99" w14:textId="77777777" w:rsidR="00F25E3E" w:rsidRDefault="00000000">
      <w:pPr>
        <w:ind w:left="-15"/>
      </w:pPr>
      <w:r>
        <w:t>Out of 199 patients who opened the ICU-HP online survey, 4 declined to participate, 25 consented but did not complete any survey questions and 53 reported an ICU stay that had occurred more than two years prior and were therefore excluded. Ten respondents completed only demographic questions, and one duplicate response was excluded. A total of 106 patients reported an ICU admission to 47 different ICUs during the last 2 years and provided analysable data</w:t>
      </w:r>
    </w:p>
    <w:p w14:paraId="4FF69F2F" w14:textId="77777777" w:rsidR="00F25E3E" w:rsidRDefault="00000000">
      <w:pPr>
        <w:pStyle w:val="Titre1"/>
        <w:spacing w:after="3"/>
        <w:ind w:left="-5"/>
      </w:pPr>
      <w:r>
        <w:rPr>
          <w:rFonts w:ascii="Calibri" w:eastAsia="Calibri" w:hAnsi="Calibri" w:cs="Calibri"/>
          <w:sz w:val="24"/>
        </w:rPr>
        <w:t>[(ig._1)D$FIG]T</w:t>
      </w:r>
    </w:p>
    <w:p w14:paraId="4345B27A" w14:textId="77777777" w:rsidR="00F25E3E" w:rsidRDefault="00000000">
      <w:pPr>
        <w:ind w:left="-15" w:firstLine="0"/>
      </w:pPr>
      <w:r>
        <w:t xml:space="preserve">regarding post-ICU follow-up (see flow chart, </w:t>
      </w:r>
      <w:r>
        <w:rPr>
          <w:color w:val="005F89"/>
        </w:rPr>
        <w:t>Fig. 1</w:t>
      </w:r>
      <w:r>
        <w:t>). These 106 ICU survivor responses originated from 6 countries, with the majority of respondents coming from Belgium, France, Germany, and the United Kingdom.</w:t>
      </w:r>
    </w:p>
    <w:p w14:paraId="63DCDB71" w14:textId="77777777" w:rsidR="00F25E3E" w:rsidRDefault="00000000">
      <w:pPr>
        <w:spacing w:after="281"/>
        <w:ind w:left="-15"/>
      </w:pPr>
      <w:r>
        <w:rPr>
          <w:color w:val="005F89"/>
        </w:rPr>
        <w:t xml:space="preserve">Fig. 2 </w:t>
      </w:r>
      <w:r>
        <w:t xml:space="preserve">and Supplemental Table </w:t>
      </w:r>
      <w:r>
        <w:rPr>
          <w:color w:val="005F89"/>
        </w:rPr>
        <w:t xml:space="preserve">S1 </w:t>
      </w:r>
      <w:r>
        <w:t xml:space="preserve">depict the geographical distribution of survey participants across countries. The characteristicsoftherespondents </w:t>
      </w:r>
      <w:r>
        <w:lastRenderedPageBreak/>
        <w:t>aredetailed in</w:t>
      </w:r>
      <w:r>
        <w:rPr>
          <w:color w:val="005F89"/>
        </w:rPr>
        <w:t>Table1</w:t>
      </w:r>
      <w:r>
        <w:t>.Briefly,approximately half of ICU-HP respondents were physicians, most worked in university or university-affiliated hospitals, and the majority practiced in mixed medical-surgical ICUs. ICU-S respondents generally reported prolonged ICU stays and were most frequently admitted to university or university-affiliated hospitals.</w:t>
      </w:r>
    </w:p>
    <w:p w14:paraId="2ADB782F" w14:textId="77777777" w:rsidR="00F25E3E" w:rsidRDefault="00000000">
      <w:pPr>
        <w:pStyle w:val="Titre2"/>
        <w:ind w:left="-5"/>
      </w:pPr>
      <w:r>
        <w:t>Provision of information on post-intensive care syndrome</w:t>
      </w:r>
    </w:p>
    <w:p w14:paraId="409E7FC3" w14:textId="77777777" w:rsidR="00F25E3E" w:rsidRDefault="00000000">
      <w:pPr>
        <w:ind w:left="-15"/>
      </w:pPr>
      <w:r>
        <w:t>Among the 106 ICU-S who completed the questionnaire, 18 (16.9%) patients reported that they did not remember whether they</w:t>
      </w:r>
    </w:p>
    <w:p w14:paraId="1B9829C5" w14:textId="77777777" w:rsidR="00F25E3E" w:rsidRDefault="00F25E3E">
      <w:pPr>
        <w:sectPr w:rsidR="00F25E3E">
          <w:type w:val="continuous"/>
          <w:pgSz w:w="11906" w:h="15874"/>
          <w:pgMar w:top="1113" w:right="736" w:bottom="1007" w:left="737" w:header="720" w:footer="720" w:gutter="0"/>
          <w:cols w:num="2" w:space="358"/>
        </w:sectPr>
      </w:pPr>
    </w:p>
    <w:p w14:paraId="37871A72" w14:textId="77777777" w:rsidR="00F25E3E" w:rsidRDefault="00000000">
      <w:pPr>
        <w:spacing w:after="199" w:line="259" w:lineRule="auto"/>
        <w:ind w:left="405" w:firstLine="0"/>
        <w:jc w:val="left"/>
      </w:pPr>
      <w:r>
        <w:rPr>
          <w:noProof/>
        </w:rPr>
        <w:drawing>
          <wp:inline distT="0" distB="0" distL="0" distR="0" wp14:anchorId="2BD81557" wp14:editId="1BB76AF9">
            <wp:extent cx="6111202" cy="6069750"/>
            <wp:effectExtent l="0" t="0" r="0" b="0"/>
            <wp:docPr id="1028" name="Picture 1028"/>
            <wp:cNvGraphicFramePr/>
            <a:graphic xmlns:a="http://schemas.openxmlformats.org/drawingml/2006/main">
              <a:graphicData uri="http://schemas.openxmlformats.org/drawingml/2006/picture">
                <pic:pic xmlns:pic="http://schemas.openxmlformats.org/drawingml/2006/picture">
                  <pic:nvPicPr>
                    <pic:cNvPr id="1028" name="Picture 1028"/>
                    <pic:cNvPicPr/>
                  </pic:nvPicPr>
                  <pic:blipFill>
                    <a:blip r:embed="rId23"/>
                    <a:stretch>
                      <a:fillRect/>
                    </a:stretch>
                  </pic:blipFill>
                  <pic:spPr>
                    <a:xfrm>
                      <a:off x="0" y="0"/>
                      <a:ext cx="6111202" cy="6069750"/>
                    </a:xfrm>
                    <a:prstGeom prst="rect">
                      <a:avLst/>
                    </a:prstGeom>
                  </pic:spPr>
                </pic:pic>
              </a:graphicData>
            </a:graphic>
          </wp:inline>
        </w:drawing>
      </w:r>
    </w:p>
    <w:p w14:paraId="550E63E0" w14:textId="77777777" w:rsidR="00F25E3E" w:rsidRDefault="00000000">
      <w:pPr>
        <w:spacing w:after="7" w:line="269" w:lineRule="auto"/>
        <w:ind w:left="636" w:hanging="10"/>
      </w:pPr>
      <w:r>
        <w:rPr>
          <w:rFonts w:ascii="Calibri" w:eastAsia="Calibri" w:hAnsi="Calibri" w:cs="Calibri"/>
          <w:sz w:val="14"/>
        </w:rPr>
        <w:t xml:space="preserve">Fig. 1. </w:t>
      </w:r>
      <w:r>
        <w:rPr>
          <w:sz w:val="14"/>
        </w:rPr>
        <w:t>Flow chart of participant inclusion and analytical samples for the ICU healthcare professional (ICU-HP) and ICU survivor (ICU-S) surveys.</w:t>
      </w:r>
    </w:p>
    <w:p w14:paraId="241A67C3" w14:textId="77777777" w:rsidR="00F25E3E" w:rsidRDefault="00000000">
      <w:pPr>
        <w:pStyle w:val="Titre1"/>
        <w:spacing w:after="3"/>
        <w:ind w:left="-5"/>
      </w:pPr>
      <w:r>
        <w:rPr>
          <w:rFonts w:ascii="Calibri" w:eastAsia="Calibri" w:hAnsi="Calibri" w:cs="Calibri"/>
          <w:sz w:val="24"/>
        </w:rPr>
        <w:lastRenderedPageBreak/>
        <w:t>[(ig._2)TD$FIG]</w:t>
      </w:r>
    </w:p>
    <w:p w14:paraId="240B6016" w14:textId="77777777" w:rsidR="00F25E3E" w:rsidRDefault="00000000">
      <w:pPr>
        <w:spacing w:after="199" w:line="259" w:lineRule="auto"/>
        <w:ind w:left="1748" w:firstLine="0"/>
        <w:jc w:val="left"/>
      </w:pPr>
      <w:r>
        <w:rPr>
          <w:noProof/>
        </w:rPr>
        <w:drawing>
          <wp:inline distT="0" distB="0" distL="0" distR="0" wp14:anchorId="668F870E" wp14:editId="2B3D118F">
            <wp:extent cx="4404335" cy="7635202"/>
            <wp:effectExtent l="0" t="0" r="0" b="0"/>
            <wp:docPr id="1072" name="Picture 1072"/>
            <wp:cNvGraphicFramePr/>
            <a:graphic xmlns:a="http://schemas.openxmlformats.org/drawingml/2006/main">
              <a:graphicData uri="http://schemas.openxmlformats.org/drawingml/2006/picture">
                <pic:pic xmlns:pic="http://schemas.openxmlformats.org/drawingml/2006/picture">
                  <pic:nvPicPr>
                    <pic:cNvPr id="1072" name="Picture 1072"/>
                    <pic:cNvPicPr/>
                  </pic:nvPicPr>
                  <pic:blipFill>
                    <a:blip r:embed="rId24"/>
                    <a:stretch>
                      <a:fillRect/>
                    </a:stretch>
                  </pic:blipFill>
                  <pic:spPr>
                    <a:xfrm>
                      <a:off x="0" y="0"/>
                      <a:ext cx="4404335" cy="7635202"/>
                    </a:xfrm>
                    <a:prstGeom prst="rect">
                      <a:avLst/>
                    </a:prstGeom>
                  </pic:spPr>
                </pic:pic>
              </a:graphicData>
            </a:graphic>
          </wp:inline>
        </w:drawing>
      </w:r>
    </w:p>
    <w:p w14:paraId="6371E0F7" w14:textId="77777777" w:rsidR="00F25E3E" w:rsidRDefault="00000000">
      <w:pPr>
        <w:spacing w:after="7" w:line="269" w:lineRule="auto"/>
        <w:ind w:left="-5" w:hanging="10"/>
      </w:pPr>
      <w:r>
        <w:rPr>
          <w:rFonts w:ascii="Calibri" w:eastAsia="Calibri" w:hAnsi="Calibri" w:cs="Calibri"/>
          <w:sz w:val="14"/>
        </w:rPr>
        <w:t xml:space="preserve">Fig. 2. </w:t>
      </w:r>
      <w:r>
        <w:rPr>
          <w:sz w:val="14"/>
        </w:rPr>
        <w:t>Geographical distribution of survey respondents and post-ICU follow-up programs.</w:t>
      </w:r>
    </w:p>
    <w:p w14:paraId="22D04DAE" w14:textId="77777777" w:rsidR="00F25E3E" w:rsidRDefault="00000000">
      <w:pPr>
        <w:spacing w:after="7" w:line="269" w:lineRule="auto"/>
        <w:ind w:left="-5" w:hanging="10"/>
      </w:pPr>
      <w:r>
        <w:rPr>
          <w:sz w:val="14"/>
        </w:rPr>
        <w:t xml:space="preserve">The </w:t>
      </w:r>
      <w:r>
        <w:rPr>
          <w:color w:val="005F89"/>
          <w:sz w:val="14"/>
        </w:rPr>
        <w:t>Fig. 2</w:t>
      </w:r>
      <w:r>
        <w:rPr>
          <w:sz w:val="14"/>
        </w:rPr>
        <w:t>A shows the geographical distribution of ICU-HPs, which is presented according to individual respondents (black bars) and represented ICUs (grey bars). Respondents were from 43 different countries.</w:t>
      </w:r>
    </w:p>
    <w:p w14:paraId="2C40DFE8" w14:textId="77777777" w:rsidR="00F25E3E" w:rsidRDefault="00000000">
      <w:pPr>
        <w:spacing w:after="7" w:line="269" w:lineRule="auto"/>
        <w:ind w:left="-5" w:hanging="10"/>
      </w:pPr>
      <w:r>
        <w:rPr>
          <w:sz w:val="14"/>
        </w:rPr>
        <w:t>Geographical regions were grouped for descriptive and figure readability purposes only and should not be interpreted as reflecting homogeneous healthcare systems or post-ICU follow-up practices.</w:t>
      </w:r>
    </w:p>
    <w:p w14:paraId="4FDA9D00" w14:textId="77777777" w:rsidR="00F25E3E" w:rsidRDefault="00000000">
      <w:pPr>
        <w:spacing w:after="7" w:line="269" w:lineRule="auto"/>
        <w:ind w:left="-5" w:hanging="10"/>
      </w:pPr>
      <w:r>
        <w:rPr>
          <w:sz w:val="14"/>
        </w:rPr>
        <w:t xml:space="preserve">The </w:t>
      </w:r>
      <w:r>
        <w:rPr>
          <w:color w:val="005F89"/>
          <w:sz w:val="14"/>
        </w:rPr>
        <w:t>Fig. 2</w:t>
      </w:r>
      <w:r>
        <w:rPr>
          <w:sz w:val="14"/>
        </w:rPr>
        <w:t>B shows the geographical distribution of ICU-S respondents, from 6 different countries.</w:t>
      </w:r>
    </w:p>
    <w:p w14:paraId="10C5DB0D" w14:textId="77777777" w:rsidR="00F25E3E" w:rsidRDefault="00000000">
      <w:pPr>
        <w:spacing w:after="7" w:line="269" w:lineRule="auto"/>
        <w:ind w:left="-5" w:hanging="10"/>
      </w:pPr>
      <w:r>
        <w:rPr>
          <w:sz w:val="14"/>
        </w:rPr>
        <w:lastRenderedPageBreak/>
        <w:t xml:space="preserve">In each Figure, counts and proportions displayed at the top of the bars represent post-ICU follow-up programs reported as available according to individual ICU-HP responses (black bars) or represented hospitals (grey bars) in </w:t>
      </w:r>
      <w:r>
        <w:rPr>
          <w:color w:val="005F89"/>
          <w:sz w:val="14"/>
        </w:rPr>
        <w:t>Fig. 2</w:t>
      </w:r>
      <w:r>
        <w:rPr>
          <w:sz w:val="14"/>
        </w:rPr>
        <w:t xml:space="preserve">A, or according to ICU-S in </w:t>
      </w:r>
      <w:r>
        <w:rPr>
          <w:color w:val="005F89"/>
          <w:sz w:val="14"/>
        </w:rPr>
        <w:t>Fig. 2</w:t>
      </w:r>
      <w:r>
        <w:rPr>
          <w:sz w:val="14"/>
        </w:rPr>
        <w:t>B, within each country or geographical region. HP: healthcare providers; ICU: intensive care unit; S: survivors.</w:t>
      </w:r>
    </w:p>
    <w:p w14:paraId="1171313B" w14:textId="77777777" w:rsidR="00F25E3E" w:rsidRDefault="00F25E3E">
      <w:pPr>
        <w:sectPr w:rsidR="00F25E3E">
          <w:type w:val="continuous"/>
          <w:pgSz w:w="11906" w:h="15874"/>
          <w:pgMar w:top="754" w:right="737" w:bottom="1023" w:left="737" w:header="720" w:footer="720" w:gutter="0"/>
          <w:cols w:space="720"/>
        </w:sectPr>
      </w:pPr>
    </w:p>
    <w:p w14:paraId="3E7A5E0E" w14:textId="77777777" w:rsidR="00F25E3E" w:rsidRDefault="00000000">
      <w:pPr>
        <w:spacing w:after="1" w:line="259" w:lineRule="auto"/>
        <w:ind w:firstLine="0"/>
        <w:jc w:val="left"/>
      </w:pPr>
      <w:r>
        <w:rPr>
          <w:rFonts w:ascii="Calibri" w:eastAsia="Calibri" w:hAnsi="Calibri" w:cs="Calibri"/>
          <w:sz w:val="14"/>
        </w:rPr>
        <w:t>Table 1</w:t>
      </w:r>
    </w:p>
    <w:p w14:paraId="77770CB5" w14:textId="77777777" w:rsidR="00F25E3E" w:rsidRDefault="00000000">
      <w:pPr>
        <w:spacing w:after="7" w:line="269" w:lineRule="auto"/>
        <w:ind w:left="-5" w:hanging="10"/>
      </w:pPr>
      <w:r>
        <w:rPr>
          <w:sz w:val="14"/>
        </w:rPr>
        <w:t>Characteristics of the participants.</w:t>
      </w:r>
    </w:p>
    <w:tbl>
      <w:tblPr>
        <w:tblStyle w:val="TableGrid"/>
        <w:tblW w:w="5036" w:type="dxa"/>
        <w:tblInd w:w="0" w:type="dxa"/>
        <w:tblCellMar>
          <w:top w:w="18" w:type="dxa"/>
          <w:left w:w="0" w:type="dxa"/>
          <w:bottom w:w="9" w:type="dxa"/>
          <w:right w:w="142" w:type="dxa"/>
        </w:tblCellMar>
        <w:tblLook w:val="04A0" w:firstRow="1" w:lastRow="0" w:firstColumn="1" w:lastColumn="0" w:noHBand="0" w:noVBand="1"/>
      </w:tblPr>
      <w:tblGrid>
        <w:gridCol w:w="2003"/>
        <w:gridCol w:w="2209"/>
        <w:gridCol w:w="824"/>
      </w:tblGrid>
      <w:tr w:rsidR="00F25E3E" w14:paraId="15944BEF" w14:textId="77777777">
        <w:trPr>
          <w:trHeight w:val="285"/>
        </w:trPr>
        <w:tc>
          <w:tcPr>
            <w:tcW w:w="2003" w:type="dxa"/>
            <w:tcBorders>
              <w:top w:val="single" w:sz="4" w:space="0" w:color="000000"/>
              <w:left w:val="nil"/>
              <w:bottom w:val="single" w:sz="4" w:space="0" w:color="000000"/>
              <w:right w:val="nil"/>
            </w:tcBorders>
          </w:tcPr>
          <w:p w14:paraId="2D2F82DA" w14:textId="77777777" w:rsidR="00F25E3E" w:rsidRDefault="00000000">
            <w:pPr>
              <w:spacing w:after="0" w:line="259" w:lineRule="auto"/>
              <w:ind w:left="142" w:firstLine="0"/>
              <w:jc w:val="left"/>
            </w:pPr>
            <w:r>
              <w:rPr>
                <w:sz w:val="13"/>
              </w:rPr>
              <w:t>Variable</w:t>
            </w:r>
          </w:p>
        </w:tc>
        <w:tc>
          <w:tcPr>
            <w:tcW w:w="2209" w:type="dxa"/>
            <w:tcBorders>
              <w:top w:val="single" w:sz="4" w:space="0" w:color="000000"/>
              <w:left w:val="nil"/>
              <w:bottom w:val="single" w:sz="4" w:space="0" w:color="000000"/>
              <w:right w:val="nil"/>
            </w:tcBorders>
          </w:tcPr>
          <w:p w14:paraId="12BBABDB" w14:textId="77777777" w:rsidR="00F25E3E" w:rsidRDefault="00F25E3E">
            <w:pPr>
              <w:spacing w:after="160" w:line="259" w:lineRule="auto"/>
              <w:ind w:firstLine="0"/>
              <w:jc w:val="left"/>
            </w:pPr>
          </w:p>
        </w:tc>
        <w:tc>
          <w:tcPr>
            <w:tcW w:w="824" w:type="dxa"/>
            <w:tcBorders>
              <w:top w:val="single" w:sz="4" w:space="0" w:color="000000"/>
              <w:left w:val="nil"/>
              <w:bottom w:val="single" w:sz="4" w:space="0" w:color="000000"/>
              <w:right w:val="nil"/>
            </w:tcBorders>
          </w:tcPr>
          <w:p w14:paraId="44BCAF0D" w14:textId="77777777" w:rsidR="00F25E3E" w:rsidRDefault="00000000">
            <w:pPr>
              <w:spacing w:after="0" w:line="259" w:lineRule="auto"/>
              <w:ind w:firstLine="0"/>
              <w:jc w:val="left"/>
            </w:pPr>
            <w:r>
              <w:rPr>
                <w:sz w:val="13"/>
              </w:rPr>
              <w:t>Total</w:t>
            </w:r>
          </w:p>
        </w:tc>
      </w:tr>
      <w:tr w:rsidR="00F25E3E" w14:paraId="27641DB9" w14:textId="77777777">
        <w:trPr>
          <w:trHeight w:val="382"/>
        </w:trPr>
        <w:tc>
          <w:tcPr>
            <w:tcW w:w="2003" w:type="dxa"/>
            <w:tcBorders>
              <w:top w:val="single" w:sz="4" w:space="0" w:color="000000"/>
              <w:left w:val="nil"/>
              <w:bottom w:val="nil"/>
              <w:right w:val="nil"/>
            </w:tcBorders>
          </w:tcPr>
          <w:p w14:paraId="7531CADD" w14:textId="77777777" w:rsidR="00F25E3E" w:rsidRDefault="00000000">
            <w:pPr>
              <w:spacing w:after="12" w:line="259" w:lineRule="auto"/>
              <w:ind w:left="142" w:firstLine="0"/>
              <w:jc w:val="left"/>
            </w:pPr>
            <w:r>
              <w:rPr>
                <w:sz w:val="13"/>
              </w:rPr>
              <w:t>ICU-HP survey (n = 276)</w:t>
            </w:r>
          </w:p>
          <w:p w14:paraId="12408596" w14:textId="77777777" w:rsidR="00F25E3E" w:rsidRDefault="00000000">
            <w:pPr>
              <w:spacing w:after="0" w:line="259" w:lineRule="auto"/>
              <w:ind w:left="142" w:firstLine="0"/>
              <w:jc w:val="left"/>
            </w:pPr>
            <w:r>
              <w:rPr>
                <w:sz w:val="13"/>
              </w:rPr>
              <w:t>Profession</w:t>
            </w:r>
          </w:p>
        </w:tc>
        <w:tc>
          <w:tcPr>
            <w:tcW w:w="2209" w:type="dxa"/>
            <w:tcBorders>
              <w:top w:val="single" w:sz="4" w:space="0" w:color="000000"/>
              <w:left w:val="nil"/>
              <w:bottom w:val="nil"/>
              <w:right w:val="nil"/>
            </w:tcBorders>
            <w:vAlign w:val="bottom"/>
          </w:tcPr>
          <w:p w14:paraId="5051845D" w14:textId="77777777" w:rsidR="00F25E3E" w:rsidRDefault="00000000">
            <w:pPr>
              <w:spacing w:after="0" w:line="259" w:lineRule="auto"/>
              <w:ind w:firstLine="0"/>
              <w:jc w:val="left"/>
            </w:pPr>
            <w:r>
              <w:rPr>
                <w:sz w:val="13"/>
              </w:rPr>
              <w:t>ICU physician (specialist)</w:t>
            </w:r>
          </w:p>
        </w:tc>
        <w:tc>
          <w:tcPr>
            <w:tcW w:w="824" w:type="dxa"/>
            <w:tcBorders>
              <w:top w:val="single" w:sz="4" w:space="0" w:color="000000"/>
              <w:left w:val="nil"/>
              <w:bottom w:val="nil"/>
              <w:right w:val="nil"/>
            </w:tcBorders>
            <w:vAlign w:val="bottom"/>
          </w:tcPr>
          <w:p w14:paraId="624FB874" w14:textId="77777777" w:rsidR="00F25E3E" w:rsidRDefault="00000000">
            <w:pPr>
              <w:spacing w:after="0" w:line="259" w:lineRule="auto"/>
              <w:ind w:firstLine="0"/>
              <w:jc w:val="left"/>
            </w:pPr>
            <w:r>
              <w:rPr>
                <w:sz w:val="13"/>
              </w:rPr>
              <w:t>141 (51.2)</w:t>
            </w:r>
          </w:p>
        </w:tc>
      </w:tr>
      <w:tr w:rsidR="00F25E3E" w14:paraId="6F9FF995" w14:textId="77777777">
        <w:trPr>
          <w:trHeight w:val="171"/>
        </w:trPr>
        <w:tc>
          <w:tcPr>
            <w:tcW w:w="2003" w:type="dxa"/>
            <w:tcBorders>
              <w:top w:val="nil"/>
              <w:left w:val="nil"/>
              <w:bottom w:val="nil"/>
              <w:right w:val="nil"/>
            </w:tcBorders>
          </w:tcPr>
          <w:p w14:paraId="46D5050B" w14:textId="77777777" w:rsidR="00F25E3E" w:rsidRDefault="00F25E3E">
            <w:pPr>
              <w:spacing w:after="160" w:line="259" w:lineRule="auto"/>
              <w:ind w:firstLine="0"/>
              <w:jc w:val="left"/>
            </w:pPr>
          </w:p>
        </w:tc>
        <w:tc>
          <w:tcPr>
            <w:tcW w:w="2209" w:type="dxa"/>
            <w:tcBorders>
              <w:top w:val="nil"/>
              <w:left w:val="nil"/>
              <w:bottom w:val="nil"/>
              <w:right w:val="nil"/>
            </w:tcBorders>
          </w:tcPr>
          <w:p w14:paraId="752F51BB" w14:textId="77777777" w:rsidR="00F25E3E" w:rsidRDefault="00000000">
            <w:pPr>
              <w:spacing w:after="0" w:line="259" w:lineRule="auto"/>
              <w:ind w:firstLine="0"/>
              <w:jc w:val="left"/>
            </w:pPr>
            <w:r>
              <w:rPr>
                <w:sz w:val="13"/>
              </w:rPr>
              <w:t>ICU physician (in training)</w:t>
            </w:r>
          </w:p>
        </w:tc>
        <w:tc>
          <w:tcPr>
            <w:tcW w:w="824" w:type="dxa"/>
            <w:tcBorders>
              <w:top w:val="nil"/>
              <w:left w:val="nil"/>
              <w:bottom w:val="nil"/>
              <w:right w:val="nil"/>
            </w:tcBorders>
          </w:tcPr>
          <w:p w14:paraId="335F71DD" w14:textId="77777777" w:rsidR="00F25E3E" w:rsidRDefault="00000000">
            <w:pPr>
              <w:spacing w:after="0" w:line="259" w:lineRule="auto"/>
              <w:ind w:firstLine="0"/>
              <w:jc w:val="left"/>
            </w:pPr>
            <w:r>
              <w:rPr>
                <w:sz w:val="13"/>
              </w:rPr>
              <w:t>15 (5.4)</w:t>
            </w:r>
          </w:p>
        </w:tc>
      </w:tr>
      <w:tr w:rsidR="00F25E3E" w14:paraId="5B46CEFF" w14:textId="77777777">
        <w:trPr>
          <w:trHeight w:val="172"/>
        </w:trPr>
        <w:tc>
          <w:tcPr>
            <w:tcW w:w="2003" w:type="dxa"/>
            <w:tcBorders>
              <w:top w:val="nil"/>
              <w:left w:val="nil"/>
              <w:bottom w:val="nil"/>
              <w:right w:val="nil"/>
            </w:tcBorders>
          </w:tcPr>
          <w:p w14:paraId="6736C236" w14:textId="77777777" w:rsidR="00F25E3E" w:rsidRDefault="00F25E3E">
            <w:pPr>
              <w:spacing w:after="160" w:line="259" w:lineRule="auto"/>
              <w:ind w:firstLine="0"/>
              <w:jc w:val="left"/>
            </w:pPr>
          </w:p>
        </w:tc>
        <w:tc>
          <w:tcPr>
            <w:tcW w:w="2209" w:type="dxa"/>
            <w:tcBorders>
              <w:top w:val="nil"/>
              <w:left w:val="nil"/>
              <w:bottom w:val="nil"/>
              <w:right w:val="nil"/>
            </w:tcBorders>
          </w:tcPr>
          <w:p w14:paraId="3AC57FD6" w14:textId="77777777" w:rsidR="00F25E3E" w:rsidRDefault="00000000">
            <w:pPr>
              <w:spacing w:after="0" w:line="259" w:lineRule="auto"/>
              <w:ind w:firstLine="0"/>
              <w:jc w:val="left"/>
            </w:pPr>
            <w:r>
              <w:rPr>
                <w:sz w:val="13"/>
              </w:rPr>
              <w:t>ICU physician (head)</w:t>
            </w:r>
          </w:p>
        </w:tc>
        <w:tc>
          <w:tcPr>
            <w:tcW w:w="824" w:type="dxa"/>
            <w:tcBorders>
              <w:top w:val="nil"/>
              <w:left w:val="nil"/>
              <w:bottom w:val="nil"/>
              <w:right w:val="nil"/>
            </w:tcBorders>
          </w:tcPr>
          <w:p w14:paraId="45C61600" w14:textId="77777777" w:rsidR="00F25E3E" w:rsidRDefault="00000000">
            <w:pPr>
              <w:spacing w:after="0" w:line="259" w:lineRule="auto"/>
              <w:ind w:firstLine="0"/>
              <w:jc w:val="left"/>
            </w:pPr>
            <w:r>
              <w:rPr>
                <w:sz w:val="13"/>
              </w:rPr>
              <w:t>51 (18.6)</w:t>
            </w:r>
          </w:p>
        </w:tc>
      </w:tr>
      <w:tr w:rsidR="00F25E3E" w14:paraId="263EC0B0" w14:textId="77777777">
        <w:trPr>
          <w:trHeight w:val="172"/>
        </w:trPr>
        <w:tc>
          <w:tcPr>
            <w:tcW w:w="2003" w:type="dxa"/>
            <w:tcBorders>
              <w:top w:val="nil"/>
              <w:left w:val="nil"/>
              <w:bottom w:val="nil"/>
              <w:right w:val="nil"/>
            </w:tcBorders>
          </w:tcPr>
          <w:p w14:paraId="467FF40A" w14:textId="77777777" w:rsidR="00F25E3E" w:rsidRDefault="00F25E3E">
            <w:pPr>
              <w:spacing w:after="160" w:line="259" w:lineRule="auto"/>
              <w:ind w:firstLine="0"/>
              <w:jc w:val="left"/>
            </w:pPr>
          </w:p>
        </w:tc>
        <w:tc>
          <w:tcPr>
            <w:tcW w:w="2209" w:type="dxa"/>
            <w:tcBorders>
              <w:top w:val="nil"/>
              <w:left w:val="nil"/>
              <w:bottom w:val="nil"/>
              <w:right w:val="nil"/>
            </w:tcBorders>
          </w:tcPr>
          <w:p w14:paraId="35C1F096" w14:textId="77777777" w:rsidR="00F25E3E" w:rsidRDefault="00000000">
            <w:pPr>
              <w:spacing w:after="0" w:line="259" w:lineRule="auto"/>
              <w:ind w:firstLine="0"/>
              <w:jc w:val="left"/>
            </w:pPr>
            <w:r>
              <w:rPr>
                <w:sz w:val="13"/>
              </w:rPr>
              <w:t>ICU nurse</w:t>
            </w:r>
          </w:p>
        </w:tc>
        <w:tc>
          <w:tcPr>
            <w:tcW w:w="824" w:type="dxa"/>
            <w:tcBorders>
              <w:top w:val="nil"/>
              <w:left w:val="nil"/>
              <w:bottom w:val="nil"/>
              <w:right w:val="nil"/>
            </w:tcBorders>
          </w:tcPr>
          <w:p w14:paraId="6C3772DF" w14:textId="77777777" w:rsidR="00F25E3E" w:rsidRDefault="00000000">
            <w:pPr>
              <w:spacing w:after="0" w:line="259" w:lineRule="auto"/>
              <w:ind w:firstLine="0"/>
              <w:jc w:val="left"/>
            </w:pPr>
            <w:r>
              <w:rPr>
                <w:sz w:val="13"/>
              </w:rPr>
              <w:t>32 (11.6)</w:t>
            </w:r>
          </w:p>
        </w:tc>
      </w:tr>
      <w:tr w:rsidR="00F25E3E" w14:paraId="76EF4EB2" w14:textId="77777777">
        <w:trPr>
          <w:trHeight w:val="171"/>
        </w:trPr>
        <w:tc>
          <w:tcPr>
            <w:tcW w:w="2003" w:type="dxa"/>
            <w:tcBorders>
              <w:top w:val="nil"/>
              <w:left w:val="nil"/>
              <w:bottom w:val="nil"/>
              <w:right w:val="nil"/>
            </w:tcBorders>
          </w:tcPr>
          <w:p w14:paraId="5072D429" w14:textId="77777777" w:rsidR="00F25E3E" w:rsidRDefault="00F25E3E">
            <w:pPr>
              <w:spacing w:after="160" w:line="259" w:lineRule="auto"/>
              <w:ind w:firstLine="0"/>
              <w:jc w:val="left"/>
            </w:pPr>
          </w:p>
        </w:tc>
        <w:tc>
          <w:tcPr>
            <w:tcW w:w="2209" w:type="dxa"/>
            <w:tcBorders>
              <w:top w:val="nil"/>
              <w:left w:val="nil"/>
              <w:bottom w:val="nil"/>
              <w:right w:val="nil"/>
            </w:tcBorders>
          </w:tcPr>
          <w:p w14:paraId="604219E2" w14:textId="77777777" w:rsidR="00F25E3E" w:rsidRDefault="00000000">
            <w:pPr>
              <w:spacing w:after="0" w:line="259" w:lineRule="auto"/>
              <w:ind w:firstLine="0"/>
              <w:jc w:val="left"/>
            </w:pPr>
            <w:r>
              <w:rPr>
                <w:sz w:val="13"/>
              </w:rPr>
              <w:t>ICU advanced clinical practitioner</w:t>
            </w:r>
          </w:p>
        </w:tc>
        <w:tc>
          <w:tcPr>
            <w:tcW w:w="824" w:type="dxa"/>
            <w:tcBorders>
              <w:top w:val="nil"/>
              <w:left w:val="nil"/>
              <w:bottom w:val="nil"/>
              <w:right w:val="nil"/>
            </w:tcBorders>
          </w:tcPr>
          <w:p w14:paraId="62E7F001" w14:textId="77777777" w:rsidR="00F25E3E" w:rsidRDefault="00000000">
            <w:pPr>
              <w:spacing w:after="0" w:line="259" w:lineRule="auto"/>
              <w:ind w:firstLine="0"/>
              <w:jc w:val="left"/>
            </w:pPr>
            <w:r>
              <w:rPr>
                <w:sz w:val="13"/>
              </w:rPr>
              <w:t>11 (3.9)</w:t>
            </w:r>
          </w:p>
        </w:tc>
      </w:tr>
      <w:tr w:rsidR="00F25E3E" w14:paraId="6E7C6638" w14:textId="77777777">
        <w:trPr>
          <w:trHeight w:val="171"/>
        </w:trPr>
        <w:tc>
          <w:tcPr>
            <w:tcW w:w="2003" w:type="dxa"/>
            <w:tcBorders>
              <w:top w:val="nil"/>
              <w:left w:val="nil"/>
              <w:bottom w:val="nil"/>
              <w:right w:val="nil"/>
            </w:tcBorders>
          </w:tcPr>
          <w:p w14:paraId="55AAF7ED" w14:textId="77777777" w:rsidR="00F25E3E" w:rsidRDefault="00F25E3E">
            <w:pPr>
              <w:spacing w:after="160" w:line="259" w:lineRule="auto"/>
              <w:ind w:firstLine="0"/>
              <w:jc w:val="left"/>
            </w:pPr>
          </w:p>
        </w:tc>
        <w:tc>
          <w:tcPr>
            <w:tcW w:w="2209" w:type="dxa"/>
            <w:tcBorders>
              <w:top w:val="nil"/>
              <w:left w:val="nil"/>
              <w:bottom w:val="nil"/>
              <w:right w:val="nil"/>
            </w:tcBorders>
          </w:tcPr>
          <w:p w14:paraId="1AF62348" w14:textId="77777777" w:rsidR="00F25E3E" w:rsidRDefault="00000000">
            <w:pPr>
              <w:spacing w:after="0" w:line="259" w:lineRule="auto"/>
              <w:ind w:firstLine="0"/>
              <w:jc w:val="left"/>
            </w:pPr>
            <w:r>
              <w:rPr>
                <w:sz w:val="13"/>
              </w:rPr>
              <w:t>ICU head nurse</w:t>
            </w:r>
          </w:p>
        </w:tc>
        <w:tc>
          <w:tcPr>
            <w:tcW w:w="824" w:type="dxa"/>
            <w:tcBorders>
              <w:top w:val="nil"/>
              <w:left w:val="nil"/>
              <w:bottom w:val="nil"/>
              <w:right w:val="nil"/>
            </w:tcBorders>
          </w:tcPr>
          <w:p w14:paraId="6FB42F03" w14:textId="77777777" w:rsidR="00F25E3E" w:rsidRDefault="00000000">
            <w:pPr>
              <w:spacing w:after="0" w:line="259" w:lineRule="auto"/>
              <w:ind w:firstLine="0"/>
              <w:jc w:val="left"/>
            </w:pPr>
            <w:r>
              <w:rPr>
                <w:sz w:val="13"/>
              </w:rPr>
              <w:t>5 (1.8)</w:t>
            </w:r>
          </w:p>
        </w:tc>
      </w:tr>
      <w:tr w:rsidR="00F25E3E" w14:paraId="4190C718" w14:textId="77777777">
        <w:trPr>
          <w:trHeight w:val="171"/>
        </w:trPr>
        <w:tc>
          <w:tcPr>
            <w:tcW w:w="2003" w:type="dxa"/>
            <w:tcBorders>
              <w:top w:val="nil"/>
              <w:left w:val="nil"/>
              <w:bottom w:val="nil"/>
              <w:right w:val="nil"/>
            </w:tcBorders>
          </w:tcPr>
          <w:p w14:paraId="356A7458" w14:textId="77777777" w:rsidR="00F25E3E" w:rsidRDefault="00F25E3E">
            <w:pPr>
              <w:spacing w:after="160" w:line="259" w:lineRule="auto"/>
              <w:ind w:firstLine="0"/>
              <w:jc w:val="left"/>
            </w:pPr>
          </w:p>
        </w:tc>
        <w:tc>
          <w:tcPr>
            <w:tcW w:w="2209" w:type="dxa"/>
            <w:tcBorders>
              <w:top w:val="nil"/>
              <w:left w:val="nil"/>
              <w:bottom w:val="nil"/>
              <w:right w:val="nil"/>
            </w:tcBorders>
          </w:tcPr>
          <w:p w14:paraId="4FFE3380" w14:textId="77777777" w:rsidR="00F25E3E" w:rsidRDefault="00000000">
            <w:pPr>
              <w:spacing w:after="0" w:line="259" w:lineRule="auto"/>
              <w:ind w:firstLine="0"/>
              <w:jc w:val="left"/>
            </w:pPr>
            <w:r>
              <w:rPr>
                <w:sz w:val="13"/>
              </w:rPr>
              <w:t>ICU physiotherapist</w:t>
            </w:r>
          </w:p>
        </w:tc>
        <w:tc>
          <w:tcPr>
            <w:tcW w:w="824" w:type="dxa"/>
            <w:tcBorders>
              <w:top w:val="nil"/>
              <w:left w:val="nil"/>
              <w:bottom w:val="nil"/>
              <w:right w:val="nil"/>
            </w:tcBorders>
          </w:tcPr>
          <w:p w14:paraId="660AA60A" w14:textId="77777777" w:rsidR="00F25E3E" w:rsidRDefault="00000000">
            <w:pPr>
              <w:spacing w:after="0" w:line="259" w:lineRule="auto"/>
              <w:ind w:firstLine="0"/>
              <w:jc w:val="left"/>
            </w:pPr>
            <w:r>
              <w:rPr>
                <w:sz w:val="13"/>
              </w:rPr>
              <w:t>11 (3.9)</w:t>
            </w:r>
          </w:p>
        </w:tc>
      </w:tr>
      <w:tr w:rsidR="00F25E3E" w14:paraId="4B91BD33" w14:textId="77777777">
        <w:trPr>
          <w:trHeight w:val="171"/>
        </w:trPr>
        <w:tc>
          <w:tcPr>
            <w:tcW w:w="2003" w:type="dxa"/>
            <w:tcBorders>
              <w:top w:val="nil"/>
              <w:left w:val="nil"/>
              <w:bottom w:val="nil"/>
              <w:right w:val="nil"/>
            </w:tcBorders>
          </w:tcPr>
          <w:p w14:paraId="6A32A80D" w14:textId="77777777" w:rsidR="00F25E3E" w:rsidRDefault="00F25E3E">
            <w:pPr>
              <w:spacing w:after="160" w:line="259" w:lineRule="auto"/>
              <w:ind w:firstLine="0"/>
              <w:jc w:val="left"/>
            </w:pPr>
          </w:p>
        </w:tc>
        <w:tc>
          <w:tcPr>
            <w:tcW w:w="2209" w:type="dxa"/>
            <w:tcBorders>
              <w:top w:val="nil"/>
              <w:left w:val="nil"/>
              <w:bottom w:val="nil"/>
              <w:right w:val="nil"/>
            </w:tcBorders>
          </w:tcPr>
          <w:p w14:paraId="3465EDBD" w14:textId="77777777" w:rsidR="00F25E3E" w:rsidRDefault="00000000">
            <w:pPr>
              <w:spacing w:after="0" w:line="259" w:lineRule="auto"/>
              <w:ind w:firstLine="0"/>
              <w:jc w:val="left"/>
            </w:pPr>
            <w:r>
              <w:rPr>
                <w:sz w:val="13"/>
              </w:rPr>
              <w:t>other</w:t>
            </w:r>
          </w:p>
        </w:tc>
        <w:tc>
          <w:tcPr>
            <w:tcW w:w="824" w:type="dxa"/>
            <w:tcBorders>
              <w:top w:val="nil"/>
              <w:left w:val="nil"/>
              <w:bottom w:val="nil"/>
              <w:right w:val="nil"/>
            </w:tcBorders>
          </w:tcPr>
          <w:p w14:paraId="455E3E88" w14:textId="77777777" w:rsidR="00F25E3E" w:rsidRDefault="00000000">
            <w:pPr>
              <w:spacing w:after="0" w:line="259" w:lineRule="auto"/>
              <w:ind w:firstLine="0"/>
              <w:jc w:val="left"/>
            </w:pPr>
            <w:r>
              <w:rPr>
                <w:sz w:val="13"/>
              </w:rPr>
              <w:t>10 (3.6)</w:t>
            </w:r>
          </w:p>
        </w:tc>
      </w:tr>
      <w:tr w:rsidR="00F25E3E" w14:paraId="4085FE35" w14:textId="77777777">
        <w:trPr>
          <w:trHeight w:val="171"/>
        </w:trPr>
        <w:tc>
          <w:tcPr>
            <w:tcW w:w="2003" w:type="dxa"/>
            <w:tcBorders>
              <w:top w:val="nil"/>
              <w:left w:val="nil"/>
              <w:bottom w:val="nil"/>
              <w:right w:val="nil"/>
            </w:tcBorders>
          </w:tcPr>
          <w:p w14:paraId="3114268B" w14:textId="77777777" w:rsidR="00F25E3E" w:rsidRDefault="00000000">
            <w:pPr>
              <w:spacing w:after="0" w:line="259" w:lineRule="auto"/>
              <w:ind w:left="142" w:firstLine="0"/>
              <w:jc w:val="left"/>
            </w:pPr>
            <w:r>
              <w:rPr>
                <w:sz w:val="13"/>
              </w:rPr>
              <w:t>Type of hospital</w:t>
            </w:r>
          </w:p>
        </w:tc>
        <w:tc>
          <w:tcPr>
            <w:tcW w:w="2209" w:type="dxa"/>
            <w:tcBorders>
              <w:top w:val="nil"/>
              <w:left w:val="nil"/>
              <w:bottom w:val="nil"/>
              <w:right w:val="nil"/>
            </w:tcBorders>
          </w:tcPr>
          <w:p w14:paraId="6D17743E" w14:textId="77777777" w:rsidR="00F25E3E" w:rsidRDefault="00000000">
            <w:pPr>
              <w:spacing w:after="0" w:line="259" w:lineRule="auto"/>
              <w:ind w:firstLine="0"/>
              <w:jc w:val="left"/>
            </w:pPr>
            <w:r>
              <w:rPr>
                <w:sz w:val="13"/>
              </w:rPr>
              <w:t>University hospital</w:t>
            </w:r>
          </w:p>
        </w:tc>
        <w:tc>
          <w:tcPr>
            <w:tcW w:w="824" w:type="dxa"/>
            <w:tcBorders>
              <w:top w:val="nil"/>
              <w:left w:val="nil"/>
              <w:bottom w:val="nil"/>
              <w:right w:val="nil"/>
            </w:tcBorders>
          </w:tcPr>
          <w:p w14:paraId="37D34EE2" w14:textId="77777777" w:rsidR="00F25E3E" w:rsidRDefault="00000000">
            <w:pPr>
              <w:spacing w:after="0" w:line="259" w:lineRule="auto"/>
              <w:ind w:firstLine="0"/>
              <w:jc w:val="left"/>
            </w:pPr>
            <w:r>
              <w:rPr>
                <w:sz w:val="13"/>
              </w:rPr>
              <w:t>125 (45.3)</w:t>
            </w:r>
          </w:p>
        </w:tc>
      </w:tr>
      <w:tr w:rsidR="00F25E3E" w14:paraId="1C13DBD6" w14:textId="77777777">
        <w:trPr>
          <w:trHeight w:val="172"/>
        </w:trPr>
        <w:tc>
          <w:tcPr>
            <w:tcW w:w="2003" w:type="dxa"/>
            <w:tcBorders>
              <w:top w:val="nil"/>
              <w:left w:val="nil"/>
              <w:bottom w:val="nil"/>
              <w:right w:val="nil"/>
            </w:tcBorders>
          </w:tcPr>
          <w:p w14:paraId="6F760361" w14:textId="77777777" w:rsidR="00F25E3E" w:rsidRDefault="00F25E3E">
            <w:pPr>
              <w:spacing w:after="160" w:line="259" w:lineRule="auto"/>
              <w:ind w:firstLine="0"/>
              <w:jc w:val="left"/>
            </w:pPr>
          </w:p>
        </w:tc>
        <w:tc>
          <w:tcPr>
            <w:tcW w:w="2209" w:type="dxa"/>
            <w:tcBorders>
              <w:top w:val="nil"/>
              <w:left w:val="nil"/>
              <w:bottom w:val="nil"/>
              <w:right w:val="nil"/>
            </w:tcBorders>
          </w:tcPr>
          <w:p w14:paraId="1D6C8F0F" w14:textId="77777777" w:rsidR="00F25E3E" w:rsidRDefault="00000000">
            <w:pPr>
              <w:spacing w:after="0" w:line="259" w:lineRule="auto"/>
              <w:ind w:firstLine="0"/>
              <w:jc w:val="left"/>
            </w:pPr>
            <w:r>
              <w:rPr>
                <w:sz w:val="13"/>
              </w:rPr>
              <w:t>Teaching hospital of a university</w:t>
            </w:r>
          </w:p>
        </w:tc>
        <w:tc>
          <w:tcPr>
            <w:tcW w:w="824" w:type="dxa"/>
            <w:tcBorders>
              <w:top w:val="nil"/>
              <w:left w:val="nil"/>
              <w:bottom w:val="nil"/>
              <w:right w:val="nil"/>
            </w:tcBorders>
          </w:tcPr>
          <w:p w14:paraId="68B8FECD" w14:textId="77777777" w:rsidR="00F25E3E" w:rsidRDefault="00000000">
            <w:pPr>
              <w:spacing w:after="0" w:line="259" w:lineRule="auto"/>
              <w:ind w:firstLine="0"/>
              <w:jc w:val="left"/>
            </w:pPr>
            <w:r>
              <w:rPr>
                <w:sz w:val="13"/>
              </w:rPr>
              <w:t>65 (23.5)</w:t>
            </w:r>
          </w:p>
        </w:tc>
      </w:tr>
      <w:tr w:rsidR="00F25E3E" w14:paraId="7217A25A" w14:textId="77777777">
        <w:trPr>
          <w:trHeight w:val="172"/>
        </w:trPr>
        <w:tc>
          <w:tcPr>
            <w:tcW w:w="2003" w:type="dxa"/>
            <w:tcBorders>
              <w:top w:val="nil"/>
              <w:left w:val="nil"/>
              <w:bottom w:val="nil"/>
              <w:right w:val="nil"/>
            </w:tcBorders>
          </w:tcPr>
          <w:p w14:paraId="40E560A8" w14:textId="77777777" w:rsidR="00F25E3E" w:rsidRDefault="00F25E3E">
            <w:pPr>
              <w:spacing w:after="160" w:line="259" w:lineRule="auto"/>
              <w:ind w:firstLine="0"/>
              <w:jc w:val="left"/>
            </w:pPr>
          </w:p>
        </w:tc>
        <w:tc>
          <w:tcPr>
            <w:tcW w:w="2209" w:type="dxa"/>
            <w:tcBorders>
              <w:top w:val="nil"/>
              <w:left w:val="nil"/>
              <w:bottom w:val="nil"/>
              <w:right w:val="nil"/>
            </w:tcBorders>
          </w:tcPr>
          <w:p w14:paraId="3AB9E48C" w14:textId="77777777" w:rsidR="00F25E3E" w:rsidRDefault="00000000">
            <w:pPr>
              <w:spacing w:after="0" w:line="259" w:lineRule="auto"/>
              <w:ind w:firstLine="0"/>
              <w:jc w:val="left"/>
            </w:pPr>
            <w:r>
              <w:rPr>
                <w:sz w:val="13"/>
              </w:rPr>
              <w:t>Non-university public hospital</w:t>
            </w:r>
          </w:p>
        </w:tc>
        <w:tc>
          <w:tcPr>
            <w:tcW w:w="824" w:type="dxa"/>
            <w:tcBorders>
              <w:top w:val="nil"/>
              <w:left w:val="nil"/>
              <w:bottom w:val="nil"/>
              <w:right w:val="nil"/>
            </w:tcBorders>
          </w:tcPr>
          <w:p w14:paraId="0881AEB2" w14:textId="77777777" w:rsidR="00F25E3E" w:rsidRDefault="00000000">
            <w:pPr>
              <w:spacing w:after="0" w:line="259" w:lineRule="auto"/>
              <w:ind w:firstLine="0"/>
              <w:jc w:val="left"/>
            </w:pPr>
            <w:r>
              <w:rPr>
                <w:sz w:val="13"/>
              </w:rPr>
              <w:t>62 (22.5)</w:t>
            </w:r>
          </w:p>
        </w:tc>
      </w:tr>
      <w:tr w:rsidR="00F25E3E" w14:paraId="202DE921" w14:textId="77777777">
        <w:trPr>
          <w:trHeight w:val="171"/>
        </w:trPr>
        <w:tc>
          <w:tcPr>
            <w:tcW w:w="2003" w:type="dxa"/>
            <w:tcBorders>
              <w:top w:val="nil"/>
              <w:left w:val="nil"/>
              <w:bottom w:val="nil"/>
              <w:right w:val="nil"/>
            </w:tcBorders>
          </w:tcPr>
          <w:p w14:paraId="0FBC3FAC" w14:textId="77777777" w:rsidR="00F25E3E" w:rsidRDefault="00F25E3E">
            <w:pPr>
              <w:spacing w:after="160" w:line="259" w:lineRule="auto"/>
              <w:ind w:firstLine="0"/>
              <w:jc w:val="left"/>
            </w:pPr>
          </w:p>
        </w:tc>
        <w:tc>
          <w:tcPr>
            <w:tcW w:w="2209" w:type="dxa"/>
            <w:tcBorders>
              <w:top w:val="nil"/>
              <w:left w:val="nil"/>
              <w:bottom w:val="nil"/>
              <w:right w:val="nil"/>
            </w:tcBorders>
          </w:tcPr>
          <w:p w14:paraId="43E36F64" w14:textId="77777777" w:rsidR="00F25E3E" w:rsidRDefault="00000000">
            <w:pPr>
              <w:spacing w:after="0" w:line="259" w:lineRule="auto"/>
              <w:ind w:firstLine="0"/>
              <w:jc w:val="left"/>
            </w:pPr>
            <w:r>
              <w:rPr>
                <w:sz w:val="13"/>
              </w:rPr>
              <w:t>Private hospital</w:t>
            </w:r>
          </w:p>
        </w:tc>
        <w:tc>
          <w:tcPr>
            <w:tcW w:w="824" w:type="dxa"/>
            <w:tcBorders>
              <w:top w:val="nil"/>
              <w:left w:val="nil"/>
              <w:bottom w:val="nil"/>
              <w:right w:val="nil"/>
            </w:tcBorders>
          </w:tcPr>
          <w:p w14:paraId="07353B3B" w14:textId="77777777" w:rsidR="00F25E3E" w:rsidRDefault="00000000">
            <w:pPr>
              <w:spacing w:after="0" w:line="259" w:lineRule="auto"/>
              <w:ind w:firstLine="0"/>
              <w:jc w:val="left"/>
            </w:pPr>
            <w:r>
              <w:rPr>
                <w:sz w:val="13"/>
              </w:rPr>
              <w:t>24 (8.7)</w:t>
            </w:r>
          </w:p>
        </w:tc>
      </w:tr>
      <w:tr w:rsidR="00F25E3E" w14:paraId="224DA245" w14:textId="77777777">
        <w:trPr>
          <w:trHeight w:val="171"/>
        </w:trPr>
        <w:tc>
          <w:tcPr>
            <w:tcW w:w="2003" w:type="dxa"/>
            <w:tcBorders>
              <w:top w:val="nil"/>
              <w:left w:val="nil"/>
              <w:bottom w:val="nil"/>
              <w:right w:val="nil"/>
            </w:tcBorders>
          </w:tcPr>
          <w:p w14:paraId="1C554E4A" w14:textId="77777777" w:rsidR="00F25E3E" w:rsidRDefault="00000000">
            <w:pPr>
              <w:spacing w:after="0" w:line="259" w:lineRule="auto"/>
              <w:ind w:left="114" w:firstLine="0"/>
              <w:jc w:val="center"/>
            </w:pPr>
            <w:r>
              <w:rPr>
                <w:sz w:val="13"/>
              </w:rPr>
              <w:t>Patients admitted in the ICU</w:t>
            </w:r>
          </w:p>
        </w:tc>
        <w:tc>
          <w:tcPr>
            <w:tcW w:w="2209" w:type="dxa"/>
            <w:tcBorders>
              <w:top w:val="nil"/>
              <w:left w:val="nil"/>
              <w:bottom w:val="nil"/>
              <w:right w:val="nil"/>
            </w:tcBorders>
          </w:tcPr>
          <w:p w14:paraId="0FA9224F" w14:textId="77777777" w:rsidR="00F25E3E" w:rsidRDefault="00000000">
            <w:pPr>
              <w:spacing w:after="0" w:line="259" w:lineRule="auto"/>
              <w:ind w:firstLine="0"/>
              <w:jc w:val="left"/>
            </w:pPr>
            <w:r>
              <w:rPr>
                <w:sz w:val="13"/>
              </w:rPr>
              <w:t>Adults</w:t>
            </w:r>
          </w:p>
        </w:tc>
        <w:tc>
          <w:tcPr>
            <w:tcW w:w="824" w:type="dxa"/>
            <w:tcBorders>
              <w:top w:val="nil"/>
              <w:left w:val="nil"/>
              <w:bottom w:val="nil"/>
              <w:right w:val="nil"/>
            </w:tcBorders>
          </w:tcPr>
          <w:p w14:paraId="6695F7BB" w14:textId="77777777" w:rsidR="00F25E3E" w:rsidRDefault="00000000">
            <w:pPr>
              <w:spacing w:after="0" w:line="259" w:lineRule="auto"/>
              <w:ind w:firstLine="0"/>
              <w:jc w:val="left"/>
            </w:pPr>
            <w:r>
              <w:rPr>
                <w:sz w:val="13"/>
              </w:rPr>
              <w:t>234 (84.9)</w:t>
            </w:r>
          </w:p>
        </w:tc>
      </w:tr>
      <w:tr w:rsidR="00F25E3E" w14:paraId="3D89753F" w14:textId="77777777">
        <w:trPr>
          <w:trHeight w:val="171"/>
        </w:trPr>
        <w:tc>
          <w:tcPr>
            <w:tcW w:w="2003" w:type="dxa"/>
            <w:tcBorders>
              <w:top w:val="nil"/>
              <w:left w:val="nil"/>
              <w:bottom w:val="nil"/>
              <w:right w:val="nil"/>
            </w:tcBorders>
          </w:tcPr>
          <w:p w14:paraId="1756E2AC" w14:textId="77777777" w:rsidR="00F25E3E" w:rsidRDefault="00F25E3E">
            <w:pPr>
              <w:spacing w:after="160" w:line="259" w:lineRule="auto"/>
              <w:ind w:firstLine="0"/>
              <w:jc w:val="left"/>
            </w:pPr>
          </w:p>
        </w:tc>
        <w:tc>
          <w:tcPr>
            <w:tcW w:w="2209" w:type="dxa"/>
            <w:tcBorders>
              <w:top w:val="nil"/>
              <w:left w:val="nil"/>
              <w:bottom w:val="nil"/>
              <w:right w:val="nil"/>
            </w:tcBorders>
          </w:tcPr>
          <w:p w14:paraId="7B429D66" w14:textId="77777777" w:rsidR="00F25E3E" w:rsidRDefault="00000000">
            <w:pPr>
              <w:spacing w:after="0" w:line="259" w:lineRule="auto"/>
              <w:ind w:firstLine="0"/>
              <w:jc w:val="left"/>
            </w:pPr>
            <w:r>
              <w:rPr>
                <w:sz w:val="13"/>
              </w:rPr>
              <w:t>Children</w:t>
            </w:r>
          </w:p>
        </w:tc>
        <w:tc>
          <w:tcPr>
            <w:tcW w:w="824" w:type="dxa"/>
            <w:tcBorders>
              <w:top w:val="nil"/>
              <w:left w:val="nil"/>
              <w:bottom w:val="nil"/>
              <w:right w:val="nil"/>
            </w:tcBorders>
          </w:tcPr>
          <w:p w14:paraId="459D45BE" w14:textId="77777777" w:rsidR="00F25E3E" w:rsidRDefault="00000000">
            <w:pPr>
              <w:spacing w:after="0" w:line="259" w:lineRule="auto"/>
              <w:ind w:firstLine="0"/>
              <w:jc w:val="left"/>
            </w:pPr>
            <w:r>
              <w:rPr>
                <w:sz w:val="13"/>
              </w:rPr>
              <w:t>11 (3.9)</w:t>
            </w:r>
          </w:p>
        </w:tc>
      </w:tr>
      <w:tr w:rsidR="00F25E3E" w14:paraId="488FEEBB" w14:textId="77777777">
        <w:trPr>
          <w:trHeight w:val="171"/>
        </w:trPr>
        <w:tc>
          <w:tcPr>
            <w:tcW w:w="2003" w:type="dxa"/>
            <w:tcBorders>
              <w:top w:val="nil"/>
              <w:left w:val="nil"/>
              <w:bottom w:val="nil"/>
              <w:right w:val="nil"/>
            </w:tcBorders>
          </w:tcPr>
          <w:p w14:paraId="5D63C8F4" w14:textId="77777777" w:rsidR="00F25E3E" w:rsidRDefault="00F25E3E">
            <w:pPr>
              <w:spacing w:after="160" w:line="259" w:lineRule="auto"/>
              <w:ind w:firstLine="0"/>
              <w:jc w:val="left"/>
            </w:pPr>
          </w:p>
        </w:tc>
        <w:tc>
          <w:tcPr>
            <w:tcW w:w="2209" w:type="dxa"/>
            <w:tcBorders>
              <w:top w:val="nil"/>
              <w:left w:val="nil"/>
              <w:bottom w:val="nil"/>
              <w:right w:val="nil"/>
            </w:tcBorders>
          </w:tcPr>
          <w:p w14:paraId="58211507" w14:textId="77777777" w:rsidR="00F25E3E" w:rsidRDefault="00000000">
            <w:pPr>
              <w:spacing w:after="0" w:line="259" w:lineRule="auto"/>
              <w:ind w:firstLine="0"/>
              <w:jc w:val="left"/>
            </w:pPr>
            <w:r>
              <w:rPr>
                <w:sz w:val="13"/>
              </w:rPr>
              <w:t>Both adults and children</w:t>
            </w:r>
          </w:p>
        </w:tc>
        <w:tc>
          <w:tcPr>
            <w:tcW w:w="824" w:type="dxa"/>
            <w:tcBorders>
              <w:top w:val="nil"/>
              <w:left w:val="nil"/>
              <w:bottom w:val="nil"/>
              <w:right w:val="nil"/>
            </w:tcBorders>
          </w:tcPr>
          <w:p w14:paraId="083085F6" w14:textId="77777777" w:rsidR="00F25E3E" w:rsidRDefault="00000000">
            <w:pPr>
              <w:spacing w:after="0" w:line="259" w:lineRule="auto"/>
              <w:ind w:firstLine="0"/>
              <w:jc w:val="left"/>
            </w:pPr>
            <w:r>
              <w:rPr>
                <w:sz w:val="13"/>
              </w:rPr>
              <w:t>31 (11.2)</w:t>
            </w:r>
          </w:p>
        </w:tc>
      </w:tr>
      <w:tr w:rsidR="00F25E3E" w14:paraId="1CBA4B83" w14:textId="77777777">
        <w:trPr>
          <w:trHeight w:val="171"/>
        </w:trPr>
        <w:tc>
          <w:tcPr>
            <w:tcW w:w="2003" w:type="dxa"/>
            <w:tcBorders>
              <w:top w:val="nil"/>
              <w:left w:val="nil"/>
              <w:bottom w:val="nil"/>
              <w:right w:val="nil"/>
            </w:tcBorders>
          </w:tcPr>
          <w:p w14:paraId="54C656E5" w14:textId="77777777" w:rsidR="00F25E3E" w:rsidRDefault="00000000">
            <w:pPr>
              <w:spacing w:after="0" w:line="259" w:lineRule="auto"/>
              <w:ind w:left="142" w:firstLine="0"/>
              <w:jc w:val="left"/>
            </w:pPr>
            <w:r>
              <w:rPr>
                <w:sz w:val="13"/>
              </w:rPr>
              <w:t>Type of ICU</w:t>
            </w:r>
          </w:p>
        </w:tc>
        <w:tc>
          <w:tcPr>
            <w:tcW w:w="2209" w:type="dxa"/>
            <w:tcBorders>
              <w:top w:val="nil"/>
              <w:left w:val="nil"/>
              <w:bottom w:val="nil"/>
              <w:right w:val="nil"/>
            </w:tcBorders>
          </w:tcPr>
          <w:p w14:paraId="58007CA9" w14:textId="77777777" w:rsidR="00F25E3E" w:rsidRDefault="00000000">
            <w:pPr>
              <w:spacing w:after="0" w:line="259" w:lineRule="auto"/>
              <w:ind w:firstLine="0"/>
              <w:jc w:val="left"/>
            </w:pPr>
            <w:r>
              <w:rPr>
                <w:sz w:val="13"/>
              </w:rPr>
              <w:t>Mixed ICU</w:t>
            </w:r>
          </w:p>
        </w:tc>
        <w:tc>
          <w:tcPr>
            <w:tcW w:w="824" w:type="dxa"/>
            <w:tcBorders>
              <w:top w:val="nil"/>
              <w:left w:val="nil"/>
              <w:bottom w:val="nil"/>
              <w:right w:val="nil"/>
            </w:tcBorders>
          </w:tcPr>
          <w:p w14:paraId="25BB47B2" w14:textId="77777777" w:rsidR="00F25E3E" w:rsidRDefault="00000000">
            <w:pPr>
              <w:spacing w:after="0" w:line="259" w:lineRule="auto"/>
              <w:ind w:firstLine="0"/>
              <w:jc w:val="left"/>
            </w:pPr>
            <w:r>
              <w:rPr>
                <w:sz w:val="13"/>
              </w:rPr>
              <w:t>212 (76.9)</w:t>
            </w:r>
          </w:p>
        </w:tc>
      </w:tr>
      <w:tr w:rsidR="00F25E3E" w14:paraId="01987280" w14:textId="77777777">
        <w:trPr>
          <w:trHeight w:val="171"/>
        </w:trPr>
        <w:tc>
          <w:tcPr>
            <w:tcW w:w="2003" w:type="dxa"/>
            <w:tcBorders>
              <w:top w:val="nil"/>
              <w:left w:val="nil"/>
              <w:bottom w:val="nil"/>
              <w:right w:val="nil"/>
            </w:tcBorders>
          </w:tcPr>
          <w:p w14:paraId="31EF9DE2" w14:textId="77777777" w:rsidR="00F25E3E" w:rsidRDefault="00F25E3E">
            <w:pPr>
              <w:spacing w:after="160" w:line="259" w:lineRule="auto"/>
              <w:ind w:firstLine="0"/>
              <w:jc w:val="left"/>
            </w:pPr>
          </w:p>
        </w:tc>
        <w:tc>
          <w:tcPr>
            <w:tcW w:w="2209" w:type="dxa"/>
            <w:tcBorders>
              <w:top w:val="nil"/>
              <w:left w:val="nil"/>
              <w:bottom w:val="nil"/>
              <w:right w:val="nil"/>
            </w:tcBorders>
          </w:tcPr>
          <w:p w14:paraId="5088B0E8" w14:textId="77777777" w:rsidR="00F25E3E" w:rsidRDefault="00000000">
            <w:pPr>
              <w:spacing w:after="0" w:line="259" w:lineRule="auto"/>
              <w:ind w:firstLine="0"/>
              <w:jc w:val="left"/>
            </w:pPr>
            <w:r>
              <w:rPr>
                <w:sz w:val="13"/>
              </w:rPr>
              <w:t>General medical ICU</w:t>
            </w:r>
          </w:p>
        </w:tc>
        <w:tc>
          <w:tcPr>
            <w:tcW w:w="824" w:type="dxa"/>
            <w:tcBorders>
              <w:top w:val="nil"/>
              <w:left w:val="nil"/>
              <w:bottom w:val="nil"/>
              <w:right w:val="nil"/>
            </w:tcBorders>
          </w:tcPr>
          <w:p w14:paraId="26F78AE6" w14:textId="77777777" w:rsidR="00F25E3E" w:rsidRDefault="00000000">
            <w:pPr>
              <w:spacing w:after="0" w:line="259" w:lineRule="auto"/>
              <w:ind w:firstLine="0"/>
              <w:jc w:val="left"/>
            </w:pPr>
            <w:r>
              <w:rPr>
                <w:sz w:val="13"/>
              </w:rPr>
              <w:t>45 (16.3)</w:t>
            </w:r>
          </w:p>
        </w:tc>
      </w:tr>
      <w:tr w:rsidR="00F25E3E" w14:paraId="0D85DAF2" w14:textId="77777777">
        <w:trPr>
          <w:trHeight w:val="172"/>
        </w:trPr>
        <w:tc>
          <w:tcPr>
            <w:tcW w:w="2003" w:type="dxa"/>
            <w:tcBorders>
              <w:top w:val="nil"/>
              <w:left w:val="nil"/>
              <w:bottom w:val="nil"/>
              <w:right w:val="nil"/>
            </w:tcBorders>
          </w:tcPr>
          <w:p w14:paraId="506D3CEA" w14:textId="77777777" w:rsidR="00F25E3E" w:rsidRDefault="00F25E3E">
            <w:pPr>
              <w:spacing w:after="160" w:line="259" w:lineRule="auto"/>
              <w:ind w:firstLine="0"/>
              <w:jc w:val="left"/>
            </w:pPr>
          </w:p>
        </w:tc>
        <w:tc>
          <w:tcPr>
            <w:tcW w:w="2209" w:type="dxa"/>
            <w:tcBorders>
              <w:top w:val="nil"/>
              <w:left w:val="nil"/>
              <w:bottom w:val="nil"/>
              <w:right w:val="nil"/>
            </w:tcBorders>
          </w:tcPr>
          <w:p w14:paraId="09C6C17E" w14:textId="77777777" w:rsidR="00F25E3E" w:rsidRDefault="00000000">
            <w:pPr>
              <w:spacing w:after="0" w:line="259" w:lineRule="auto"/>
              <w:ind w:firstLine="0"/>
              <w:jc w:val="left"/>
            </w:pPr>
            <w:r>
              <w:rPr>
                <w:sz w:val="13"/>
              </w:rPr>
              <w:t>Specialised medical ICU</w:t>
            </w:r>
          </w:p>
        </w:tc>
        <w:tc>
          <w:tcPr>
            <w:tcW w:w="824" w:type="dxa"/>
            <w:tcBorders>
              <w:top w:val="nil"/>
              <w:left w:val="nil"/>
              <w:bottom w:val="nil"/>
              <w:right w:val="nil"/>
            </w:tcBorders>
          </w:tcPr>
          <w:p w14:paraId="28F9AD9B" w14:textId="77777777" w:rsidR="00F25E3E" w:rsidRDefault="00000000">
            <w:pPr>
              <w:spacing w:after="0" w:line="259" w:lineRule="auto"/>
              <w:ind w:firstLine="0"/>
              <w:jc w:val="left"/>
            </w:pPr>
            <w:r>
              <w:rPr>
                <w:sz w:val="13"/>
              </w:rPr>
              <w:t>2 (0.7)</w:t>
            </w:r>
          </w:p>
        </w:tc>
      </w:tr>
      <w:tr w:rsidR="00F25E3E" w14:paraId="0A28C60F" w14:textId="77777777">
        <w:trPr>
          <w:trHeight w:val="172"/>
        </w:trPr>
        <w:tc>
          <w:tcPr>
            <w:tcW w:w="2003" w:type="dxa"/>
            <w:tcBorders>
              <w:top w:val="nil"/>
              <w:left w:val="nil"/>
              <w:bottom w:val="nil"/>
              <w:right w:val="nil"/>
            </w:tcBorders>
          </w:tcPr>
          <w:p w14:paraId="632D1BE7" w14:textId="77777777" w:rsidR="00F25E3E" w:rsidRDefault="00F25E3E">
            <w:pPr>
              <w:spacing w:after="160" w:line="259" w:lineRule="auto"/>
              <w:ind w:firstLine="0"/>
              <w:jc w:val="left"/>
            </w:pPr>
          </w:p>
        </w:tc>
        <w:tc>
          <w:tcPr>
            <w:tcW w:w="2209" w:type="dxa"/>
            <w:tcBorders>
              <w:top w:val="nil"/>
              <w:left w:val="nil"/>
              <w:bottom w:val="nil"/>
              <w:right w:val="nil"/>
            </w:tcBorders>
          </w:tcPr>
          <w:p w14:paraId="54944A47" w14:textId="77777777" w:rsidR="00F25E3E" w:rsidRDefault="00000000">
            <w:pPr>
              <w:spacing w:after="0" w:line="259" w:lineRule="auto"/>
              <w:ind w:firstLine="0"/>
              <w:jc w:val="left"/>
            </w:pPr>
            <w:r>
              <w:rPr>
                <w:sz w:val="13"/>
              </w:rPr>
              <w:t>General surgical ICU</w:t>
            </w:r>
          </w:p>
        </w:tc>
        <w:tc>
          <w:tcPr>
            <w:tcW w:w="824" w:type="dxa"/>
            <w:tcBorders>
              <w:top w:val="nil"/>
              <w:left w:val="nil"/>
              <w:bottom w:val="nil"/>
              <w:right w:val="nil"/>
            </w:tcBorders>
          </w:tcPr>
          <w:p w14:paraId="57F26C12" w14:textId="77777777" w:rsidR="00F25E3E" w:rsidRDefault="00000000">
            <w:pPr>
              <w:spacing w:after="0" w:line="259" w:lineRule="auto"/>
              <w:ind w:firstLine="0"/>
              <w:jc w:val="left"/>
            </w:pPr>
            <w:r>
              <w:rPr>
                <w:sz w:val="13"/>
              </w:rPr>
              <w:t>11 (3.9)</w:t>
            </w:r>
          </w:p>
        </w:tc>
      </w:tr>
      <w:tr w:rsidR="00F25E3E" w14:paraId="5B64D886" w14:textId="77777777">
        <w:trPr>
          <w:trHeight w:val="156"/>
        </w:trPr>
        <w:tc>
          <w:tcPr>
            <w:tcW w:w="2003" w:type="dxa"/>
            <w:tcBorders>
              <w:top w:val="nil"/>
              <w:left w:val="nil"/>
              <w:bottom w:val="nil"/>
              <w:right w:val="nil"/>
            </w:tcBorders>
          </w:tcPr>
          <w:p w14:paraId="5942E6EB" w14:textId="77777777" w:rsidR="00F25E3E" w:rsidRDefault="00F25E3E">
            <w:pPr>
              <w:spacing w:after="160" w:line="259" w:lineRule="auto"/>
              <w:ind w:firstLine="0"/>
              <w:jc w:val="left"/>
            </w:pPr>
          </w:p>
        </w:tc>
        <w:tc>
          <w:tcPr>
            <w:tcW w:w="2209" w:type="dxa"/>
            <w:tcBorders>
              <w:top w:val="nil"/>
              <w:left w:val="nil"/>
              <w:bottom w:val="nil"/>
              <w:right w:val="nil"/>
            </w:tcBorders>
          </w:tcPr>
          <w:p w14:paraId="76A1AB6C" w14:textId="77777777" w:rsidR="00F25E3E" w:rsidRDefault="00000000">
            <w:pPr>
              <w:spacing w:after="0" w:line="259" w:lineRule="auto"/>
              <w:ind w:firstLine="0"/>
              <w:jc w:val="left"/>
            </w:pPr>
            <w:r>
              <w:rPr>
                <w:sz w:val="13"/>
              </w:rPr>
              <w:t>Specialised surgical ICU</w:t>
            </w:r>
          </w:p>
        </w:tc>
        <w:tc>
          <w:tcPr>
            <w:tcW w:w="824" w:type="dxa"/>
            <w:tcBorders>
              <w:top w:val="nil"/>
              <w:left w:val="nil"/>
              <w:bottom w:val="nil"/>
              <w:right w:val="nil"/>
            </w:tcBorders>
          </w:tcPr>
          <w:p w14:paraId="333A3736" w14:textId="77777777" w:rsidR="00F25E3E" w:rsidRDefault="00000000">
            <w:pPr>
              <w:spacing w:after="0" w:line="259" w:lineRule="auto"/>
              <w:ind w:firstLine="0"/>
              <w:jc w:val="left"/>
            </w:pPr>
            <w:r>
              <w:rPr>
                <w:sz w:val="13"/>
              </w:rPr>
              <w:t>6 (2.2)</w:t>
            </w:r>
          </w:p>
        </w:tc>
      </w:tr>
      <w:tr w:rsidR="00F25E3E" w14:paraId="36DCA511" w14:textId="77777777">
        <w:trPr>
          <w:trHeight w:val="177"/>
        </w:trPr>
        <w:tc>
          <w:tcPr>
            <w:tcW w:w="2003" w:type="dxa"/>
            <w:tcBorders>
              <w:top w:val="nil"/>
              <w:left w:val="nil"/>
              <w:bottom w:val="nil"/>
              <w:right w:val="nil"/>
            </w:tcBorders>
          </w:tcPr>
          <w:p w14:paraId="46D37894" w14:textId="77777777" w:rsidR="00F25E3E" w:rsidRDefault="00000000">
            <w:pPr>
              <w:spacing w:after="0" w:line="259" w:lineRule="auto"/>
              <w:ind w:left="142" w:firstLine="0"/>
              <w:jc w:val="left"/>
            </w:pPr>
            <w:r>
              <w:rPr>
                <w:sz w:val="13"/>
              </w:rPr>
              <w:t>Number of ICU beds</w:t>
            </w:r>
          </w:p>
        </w:tc>
        <w:tc>
          <w:tcPr>
            <w:tcW w:w="2209" w:type="dxa"/>
            <w:tcBorders>
              <w:top w:val="nil"/>
              <w:left w:val="nil"/>
              <w:bottom w:val="nil"/>
              <w:right w:val="nil"/>
            </w:tcBorders>
          </w:tcPr>
          <w:p w14:paraId="39C58ED2" w14:textId="77777777" w:rsidR="00F25E3E" w:rsidRDefault="00F25E3E">
            <w:pPr>
              <w:spacing w:after="160" w:line="259" w:lineRule="auto"/>
              <w:ind w:firstLine="0"/>
              <w:jc w:val="left"/>
            </w:pPr>
          </w:p>
        </w:tc>
        <w:tc>
          <w:tcPr>
            <w:tcW w:w="824" w:type="dxa"/>
            <w:tcBorders>
              <w:top w:val="nil"/>
              <w:left w:val="nil"/>
              <w:bottom w:val="nil"/>
              <w:right w:val="nil"/>
            </w:tcBorders>
          </w:tcPr>
          <w:p w14:paraId="6B04EBF2" w14:textId="77777777" w:rsidR="00F25E3E" w:rsidRDefault="00000000">
            <w:pPr>
              <w:spacing w:after="0" w:line="259" w:lineRule="auto"/>
              <w:ind w:firstLine="0"/>
              <w:jc w:val="left"/>
            </w:pPr>
            <w:r>
              <w:rPr>
                <w:sz w:val="13"/>
              </w:rPr>
              <w:t>16 (10</w:t>
            </w:r>
            <w:r>
              <w:rPr>
                <w:rFonts w:ascii="Calibri" w:eastAsia="Calibri" w:hAnsi="Calibri" w:cs="Calibri"/>
                <w:sz w:val="13"/>
              </w:rPr>
              <w:t>−</w:t>
            </w:r>
            <w:r>
              <w:rPr>
                <w:sz w:val="13"/>
              </w:rPr>
              <w:t>24)</w:t>
            </w:r>
          </w:p>
        </w:tc>
      </w:tr>
      <w:tr w:rsidR="00F25E3E" w14:paraId="65AC6A59" w14:textId="77777777">
        <w:trPr>
          <w:trHeight w:val="186"/>
        </w:trPr>
        <w:tc>
          <w:tcPr>
            <w:tcW w:w="4212" w:type="dxa"/>
            <w:gridSpan w:val="2"/>
            <w:tcBorders>
              <w:top w:val="nil"/>
              <w:left w:val="nil"/>
              <w:bottom w:val="nil"/>
              <w:right w:val="nil"/>
            </w:tcBorders>
          </w:tcPr>
          <w:p w14:paraId="49B54448" w14:textId="77777777" w:rsidR="00F25E3E" w:rsidRDefault="00000000">
            <w:pPr>
              <w:spacing w:after="0" w:line="259" w:lineRule="auto"/>
              <w:ind w:left="142" w:firstLine="0"/>
              <w:jc w:val="left"/>
            </w:pPr>
            <w:r>
              <w:rPr>
                <w:sz w:val="13"/>
              </w:rPr>
              <w:t>ICU-HP-reported average ICU length of stay (days)</w:t>
            </w:r>
          </w:p>
        </w:tc>
        <w:tc>
          <w:tcPr>
            <w:tcW w:w="824" w:type="dxa"/>
            <w:tcBorders>
              <w:top w:val="nil"/>
              <w:left w:val="nil"/>
              <w:bottom w:val="nil"/>
              <w:right w:val="nil"/>
            </w:tcBorders>
          </w:tcPr>
          <w:p w14:paraId="4A096675" w14:textId="77777777" w:rsidR="00F25E3E" w:rsidRDefault="00000000">
            <w:pPr>
              <w:spacing w:after="0" w:line="259" w:lineRule="auto"/>
              <w:ind w:firstLine="0"/>
              <w:jc w:val="left"/>
            </w:pPr>
            <w:r>
              <w:rPr>
                <w:sz w:val="13"/>
              </w:rPr>
              <w:t>5 (4</w:t>
            </w:r>
            <w:r>
              <w:rPr>
                <w:rFonts w:ascii="Calibri" w:eastAsia="Calibri" w:hAnsi="Calibri" w:cs="Calibri"/>
                <w:sz w:val="13"/>
              </w:rPr>
              <w:t>−</w:t>
            </w:r>
            <w:r>
              <w:rPr>
                <w:sz w:val="13"/>
              </w:rPr>
              <w:t>8)</w:t>
            </w:r>
          </w:p>
        </w:tc>
      </w:tr>
      <w:tr w:rsidR="00F25E3E" w14:paraId="680C2105" w14:textId="77777777">
        <w:trPr>
          <w:trHeight w:val="342"/>
        </w:trPr>
        <w:tc>
          <w:tcPr>
            <w:tcW w:w="4212" w:type="dxa"/>
            <w:gridSpan w:val="2"/>
            <w:tcBorders>
              <w:top w:val="nil"/>
              <w:left w:val="nil"/>
              <w:bottom w:val="nil"/>
              <w:right w:val="nil"/>
            </w:tcBorders>
          </w:tcPr>
          <w:p w14:paraId="2278BBFD" w14:textId="77777777" w:rsidR="00F25E3E" w:rsidRDefault="00000000">
            <w:pPr>
              <w:spacing w:after="12" w:line="259" w:lineRule="auto"/>
              <w:ind w:left="142" w:firstLine="0"/>
              <w:jc w:val="left"/>
            </w:pPr>
            <w:r>
              <w:rPr>
                <w:sz w:val="13"/>
              </w:rPr>
              <w:t>ICU-S survey (n = 106)</w:t>
            </w:r>
          </w:p>
          <w:p w14:paraId="0CD0A2B8" w14:textId="77777777" w:rsidR="00F25E3E" w:rsidRDefault="00000000">
            <w:pPr>
              <w:spacing w:after="0" w:line="259" w:lineRule="auto"/>
              <w:ind w:left="142" w:firstLine="0"/>
              <w:jc w:val="left"/>
            </w:pPr>
            <w:r>
              <w:rPr>
                <w:sz w:val="13"/>
              </w:rPr>
              <w:t>Age (years)</w:t>
            </w:r>
          </w:p>
        </w:tc>
        <w:tc>
          <w:tcPr>
            <w:tcW w:w="824" w:type="dxa"/>
            <w:tcBorders>
              <w:top w:val="nil"/>
              <w:left w:val="nil"/>
              <w:bottom w:val="nil"/>
              <w:right w:val="nil"/>
            </w:tcBorders>
            <w:vAlign w:val="bottom"/>
          </w:tcPr>
          <w:p w14:paraId="3AFF1D19" w14:textId="77777777" w:rsidR="00F25E3E" w:rsidRDefault="00000000">
            <w:pPr>
              <w:spacing w:after="0" w:line="259" w:lineRule="auto"/>
              <w:ind w:firstLine="0"/>
              <w:jc w:val="left"/>
            </w:pPr>
            <w:r>
              <w:rPr>
                <w:sz w:val="13"/>
              </w:rPr>
              <w:t>55 (43</w:t>
            </w:r>
            <w:r>
              <w:rPr>
                <w:rFonts w:ascii="Calibri" w:eastAsia="Calibri" w:hAnsi="Calibri" w:cs="Calibri"/>
                <w:sz w:val="13"/>
              </w:rPr>
              <w:t>−</w:t>
            </w:r>
            <w:r>
              <w:rPr>
                <w:sz w:val="13"/>
              </w:rPr>
              <w:t>63)</w:t>
            </w:r>
          </w:p>
        </w:tc>
      </w:tr>
      <w:tr w:rsidR="00F25E3E" w14:paraId="36DA82C7" w14:textId="77777777">
        <w:trPr>
          <w:trHeight w:val="165"/>
        </w:trPr>
        <w:tc>
          <w:tcPr>
            <w:tcW w:w="4212" w:type="dxa"/>
            <w:gridSpan w:val="2"/>
            <w:tcBorders>
              <w:top w:val="nil"/>
              <w:left w:val="nil"/>
              <w:bottom w:val="nil"/>
              <w:right w:val="nil"/>
            </w:tcBorders>
          </w:tcPr>
          <w:p w14:paraId="345BADF6" w14:textId="77777777" w:rsidR="00F25E3E" w:rsidRDefault="00000000">
            <w:pPr>
              <w:tabs>
                <w:tab w:val="center" w:pos="2889"/>
              </w:tabs>
              <w:spacing w:after="0" w:line="259" w:lineRule="auto"/>
              <w:ind w:firstLine="0"/>
              <w:jc w:val="left"/>
            </w:pPr>
            <w:r>
              <w:rPr>
                <w:sz w:val="13"/>
              </w:rPr>
              <w:t>Type of ICU</w:t>
            </w:r>
            <w:r>
              <w:rPr>
                <w:sz w:val="13"/>
              </w:rPr>
              <w:tab/>
              <w:t>University / teaching hospital</w:t>
            </w:r>
          </w:p>
        </w:tc>
        <w:tc>
          <w:tcPr>
            <w:tcW w:w="824" w:type="dxa"/>
            <w:tcBorders>
              <w:top w:val="nil"/>
              <w:left w:val="nil"/>
              <w:bottom w:val="nil"/>
              <w:right w:val="nil"/>
            </w:tcBorders>
          </w:tcPr>
          <w:p w14:paraId="3C2D747C" w14:textId="77777777" w:rsidR="00F25E3E" w:rsidRDefault="00000000">
            <w:pPr>
              <w:spacing w:after="0" w:line="259" w:lineRule="auto"/>
              <w:ind w:firstLine="0"/>
              <w:jc w:val="left"/>
            </w:pPr>
            <w:r>
              <w:rPr>
                <w:sz w:val="13"/>
              </w:rPr>
              <w:t>69 (65.1)</w:t>
            </w:r>
          </w:p>
        </w:tc>
      </w:tr>
      <w:tr w:rsidR="00F25E3E" w14:paraId="1B351671" w14:textId="77777777">
        <w:trPr>
          <w:trHeight w:val="163"/>
        </w:trPr>
        <w:tc>
          <w:tcPr>
            <w:tcW w:w="4212" w:type="dxa"/>
            <w:gridSpan w:val="2"/>
            <w:tcBorders>
              <w:top w:val="nil"/>
              <w:left w:val="nil"/>
              <w:bottom w:val="nil"/>
              <w:right w:val="nil"/>
            </w:tcBorders>
          </w:tcPr>
          <w:p w14:paraId="77D7DBF0" w14:textId="77777777" w:rsidR="00F25E3E" w:rsidRDefault="00000000">
            <w:pPr>
              <w:spacing w:after="0" w:line="259" w:lineRule="auto"/>
              <w:ind w:right="28" w:firstLine="0"/>
              <w:jc w:val="right"/>
            </w:pPr>
            <w:r>
              <w:rPr>
                <w:sz w:val="13"/>
              </w:rPr>
              <w:t>Non university / teaching hospital</w:t>
            </w:r>
          </w:p>
        </w:tc>
        <w:tc>
          <w:tcPr>
            <w:tcW w:w="824" w:type="dxa"/>
            <w:tcBorders>
              <w:top w:val="nil"/>
              <w:left w:val="nil"/>
              <w:bottom w:val="nil"/>
              <w:right w:val="nil"/>
            </w:tcBorders>
          </w:tcPr>
          <w:p w14:paraId="2F1D899D" w14:textId="77777777" w:rsidR="00F25E3E" w:rsidRDefault="00000000">
            <w:pPr>
              <w:spacing w:after="0" w:line="259" w:lineRule="auto"/>
              <w:ind w:firstLine="0"/>
              <w:jc w:val="left"/>
            </w:pPr>
            <w:r>
              <w:rPr>
                <w:sz w:val="13"/>
              </w:rPr>
              <w:t>30 (28.3)</w:t>
            </w:r>
          </w:p>
        </w:tc>
      </w:tr>
      <w:tr w:rsidR="00F25E3E" w14:paraId="74056F34" w14:textId="77777777">
        <w:trPr>
          <w:trHeight w:val="171"/>
        </w:trPr>
        <w:tc>
          <w:tcPr>
            <w:tcW w:w="4212" w:type="dxa"/>
            <w:gridSpan w:val="2"/>
            <w:tcBorders>
              <w:top w:val="nil"/>
              <w:left w:val="nil"/>
              <w:bottom w:val="nil"/>
              <w:right w:val="nil"/>
            </w:tcBorders>
          </w:tcPr>
          <w:p w14:paraId="5EAAAEB0" w14:textId="77777777" w:rsidR="00F25E3E" w:rsidRDefault="00000000">
            <w:pPr>
              <w:spacing w:after="0" w:line="259" w:lineRule="auto"/>
              <w:ind w:left="621" w:firstLine="0"/>
              <w:jc w:val="center"/>
            </w:pPr>
            <w:r>
              <w:rPr>
                <w:sz w:val="13"/>
              </w:rPr>
              <w:t>Don</w:t>
            </w:r>
            <w:r>
              <w:rPr>
                <w:rFonts w:ascii="Calibri" w:eastAsia="Calibri" w:hAnsi="Calibri" w:cs="Calibri"/>
                <w:sz w:val="13"/>
              </w:rPr>
              <w:t>’</w:t>
            </w:r>
            <w:r>
              <w:rPr>
                <w:sz w:val="13"/>
              </w:rPr>
              <w:t>t know</w:t>
            </w:r>
          </w:p>
        </w:tc>
        <w:tc>
          <w:tcPr>
            <w:tcW w:w="824" w:type="dxa"/>
            <w:tcBorders>
              <w:top w:val="nil"/>
              <w:left w:val="nil"/>
              <w:bottom w:val="nil"/>
              <w:right w:val="nil"/>
            </w:tcBorders>
          </w:tcPr>
          <w:p w14:paraId="54FC7445" w14:textId="77777777" w:rsidR="00F25E3E" w:rsidRDefault="00000000">
            <w:pPr>
              <w:spacing w:after="0" w:line="259" w:lineRule="auto"/>
              <w:ind w:firstLine="0"/>
              <w:jc w:val="left"/>
            </w:pPr>
            <w:r>
              <w:rPr>
                <w:sz w:val="13"/>
              </w:rPr>
              <w:t>7 (6.6)</w:t>
            </w:r>
          </w:p>
        </w:tc>
      </w:tr>
      <w:tr w:rsidR="00F25E3E" w14:paraId="2579FB2D" w14:textId="77777777">
        <w:trPr>
          <w:trHeight w:val="203"/>
        </w:trPr>
        <w:tc>
          <w:tcPr>
            <w:tcW w:w="4212" w:type="dxa"/>
            <w:gridSpan w:val="2"/>
            <w:tcBorders>
              <w:top w:val="nil"/>
              <w:left w:val="nil"/>
              <w:bottom w:val="single" w:sz="4" w:space="0" w:color="000000"/>
              <w:right w:val="nil"/>
            </w:tcBorders>
          </w:tcPr>
          <w:p w14:paraId="0F880C90" w14:textId="77777777" w:rsidR="00F25E3E" w:rsidRDefault="00000000">
            <w:pPr>
              <w:spacing w:after="0" w:line="259" w:lineRule="auto"/>
              <w:ind w:left="142" w:firstLine="0"/>
              <w:jc w:val="left"/>
            </w:pPr>
            <w:r>
              <w:rPr>
                <w:sz w:val="13"/>
              </w:rPr>
              <w:t>Self-reported duration of the ICU stay (days)</w:t>
            </w:r>
          </w:p>
        </w:tc>
        <w:tc>
          <w:tcPr>
            <w:tcW w:w="824" w:type="dxa"/>
            <w:tcBorders>
              <w:top w:val="nil"/>
              <w:left w:val="nil"/>
              <w:bottom w:val="single" w:sz="4" w:space="0" w:color="000000"/>
              <w:right w:val="nil"/>
            </w:tcBorders>
          </w:tcPr>
          <w:p w14:paraId="7156AEBA" w14:textId="77777777" w:rsidR="00F25E3E" w:rsidRDefault="00000000">
            <w:pPr>
              <w:spacing w:after="0" w:line="259" w:lineRule="auto"/>
              <w:ind w:firstLine="0"/>
              <w:jc w:val="left"/>
            </w:pPr>
            <w:r>
              <w:rPr>
                <w:sz w:val="13"/>
              </w:rPr>
              <w:t>15 (10</w:t>
            </w:r>
            <w:r>
              <w:rPr>
                <w:rFonts w:ascii="Calibri" w:eastAsia="Calibri" w:hAnsi="Calibri" w:cs="Calibri"/>
                <w:sz w:val="13"/>
              </w:rPr>
              <w:t>−</w:t>
            </w:r>
            <w:r>
              <w:rPr>
                <w:sz w:val="13"/>
              </w:rPr>
              <w:t>29)</w:t>
            </w:r>
          </w:p>
        </w:tc>
      </w:tr>
    </w:tbl>
    <w:p w14:paraId="53A5AC83" w14:textId="77777777" w:rsidR="00F25E3E" w:rsidRDefault="00000000">
      <w:pPr>
        <w:spacing w:after="282" w:line="269" w:lineRule="auto"/>
        <w:ind w:left="-5" w:right="673" w:hanging="10"/>
        <w:jc w:val="left"/>
      </w:pPr>
      <w:r>
        <w:rPr>
          <w:sz w:val="13"/>
        </w:rPr>
        <w:t>Data are expressed as numbers and percentages or median (P25-P75). HP: healthcare providers; ICU: intensive care unit; S: survivors.</w:t>
      </w:r>
    </w:p>
    <w:p w14:paraId="15D7FC27" w14:textId="77777777" w:rsidR="00F25E3E" w:rsidRDefault="00000000">
      <w:pPr>
        <w:ind w:left="-15" w:firstLine="0"/>
      </w:pPr>
      <w:r>
        <w:t>had received information regarding PICS, while 59 (55.7%) reported having received such information. Most of them (53/59, 89.8%) indicated that this information was beneficial. The source was predominantly from the ICU or the hospital (50/59, 84.7%). In five cases, patients reported obtaining the information through social media platforms or patient associations rather than directly from healthcare professionals.</w:t>
      </w:r>
    </w:p>
    <w:p w14:paraId="19F1207D" w14:textId="77777777" w:rsidR="00F25E3E" w:rsidRDefault="00000000">
      <w:pPr>
        <w:spacing w:after="307"/>
        <w:ind w:left="-15"/>
      </w:pPr>
      <w:r>
        <w:t xml:space="preserve">Conversely, among the 29 patients who did not receive information about PICS, the majority (25/29, 86.2%) reported that such information would have been beneficial. They reported that the content of such information should help them better understand the post-ICU clinical condition they experienced and provide practical guidance, including useful contact details for healthcare institutions and other resources. Among the free-text comments, two illustrative comments selected for their relevance to the topic of information delivery suggested that information about PICS should be provided in the presence of </w:t>
      </w:r>
      <w:r>
        <w:t>relatives. The preferred format of information delivery would have been an oral discussion (31/59, 52.5%), potentially supplemented by written material (14/59, 23.7%), and preferably provided during the ICU stay (47/59, 79.7%) rather than after ICU discharge (12/59, 20.3%).</w:t>
      </w:r>
    </w:p>
    <w:p w14:paraId="5278175A" w14:textId="77777777" w:rsidR="00F25E3E" w:rsidRDefault="00000000">
      <w:pPr>
        <w:pStyle w:val="Titre2"/>
        <w:ind w:left="-5"/>
      </w:pPr>
      <w:r>
        <w:t>Availability of post-ICU follow-up programs andpatient accessto follow-up</w:t>
      </w:r>
    </w:p>
    <w:p w14:paraId="6424BD85" w14:textId="77777777" w:rsidR="00F25E3E" w:rsidRDefault="00000000">
      <w:pPr>
        <w:ind w:left="-15"/>
      </w:pPr>
      <w:r>
        <w:t xml:space="preserve">Among the 242 different hospitals represented in the survey, 109 (45%) ICUs reported offering a post-ICU follow-up program. These services were available in 30 of the 43 countries represented (69.8%). Their geographical distribution across responding countries is shown in </w:t>
      </w:r>
      <w:r>
        <w:rPr>
          <w:color w:val="005F89"/>
        </w:rPr>
        <w:t xml:space="preserve">Fig. 2 </w:t>
      </w:r>
      <w:r>
        <w:t xml:space="preserve">and in the Supplemental Table </w:t>
      </w:r>
      <w:r>
        <w:rPr>
          <w:color w:val="005F89"/>
        </w:rPr>
        <w:t>S1</w:t>
      </w:r>
      <w:r>
        <w:t>. Reported availability of post-ICU follow-up appeared heterogeneous across responding geographical regions, with respondents from Western Europe more frequently reporting the availability of dedicated post-ICU follow-up programs than respondents from Eastern Europe, while more similar proportions were observed in the Asia/Oceania/Pacific region and Latin America. Post-ICU follow-up programs were reported by 77/159 (48.4%) university or university-affiliated teaching hospitals, and by 32/81 (39.5%) non-university public or private hospitals.</w:t>
      </w:r>
    </w:p>
    <w:p w14:paraId="708791BF" w14:textId="77777777" w:rsidR="00F25E3E" w:rsidRDefault="00000000">
      <w:pPr>
        <w:spacing w:after="202"/>
        <w:ind w:left="-15"/>
      </w:pPr>
      <w:r>
        <w:t xml:space="preserve">From the patient perspective, 62/106 (58.5%) ICU-S reported having had access to a structured post-ICU follow-up program organised bytheirICU.Among ICUsurvivors whodidnotbenefitfrom post-ICU follow-up (39/106, 36.8%), most of them (27/39, 69.2%) perceived that such follow-up would have been useful. The perceived usefulness of post-ICU follow-up in this subgroup is presented in Supplemental Fig. </w:t>
      </w:r>
      <w:r>
        <w:rPr>
          <w:color w:val="005F89"/>
        </w:rPr>
        <w:t>S1</w:t>
      </w:r>
      <w:r>
        <w:t>. A minority (10/39, 25.6%) reported no perceived need for structured follow-up. Notably, among this minority, 60% had not received prior information about PICS.</w:t>
      </w:r>
    </w:p>
    <w:p w14:paraId="1BEF44F3" w14:textId="77777777" w:rsidR="00F25E3E" w:rsidRDefault="00000000">
      <w:pPr>
        <w:pStyle w:val="Titre2"/>
        <w:ind w:left="-5"/>
      </w:pPr>
      <w:r>
        <w:t>Characteristics and content of post-ICU follow-up visits</w:t>
      </w:r>
    </w:p>
    <w:p w14:paraId="4534DBCB" w14:textId="77777777" w:rsidR="00F25E3E" w:rsidRDefault="00000000">
      <w:pPr>
        <w:ind w:left="-15"/>
      </w:pPr>
      <w:r>
        <w:t xml:space="preserve">Among ICU-HP reporting the availability of post-ICU follow-up in their ICU, 113 were involved in or aware of the program (see flow chart, </w:t>
      </w:r>
      <w:r>
        <w:rPr>
          <w:color w:val="005F89"/>
        </w:rPr>
        <w:t>Fig. 1</w:t>
      </w:r>
      <w:r>
        <w:t xml:space="preserve">). This subgroup served as the analytical sample for questions on follow-up characteristics. Key characteristics of post-ICU follow-up programs (patient selection criteria, timing of program initiation, timing of the first follow-up visit, visit modalities, number of visits, and timing of the final follow-up visit) are detailed in Supplementary Fig. </w:t>
      </w:r>
      <w:r>
        <w:rPr>
          <w:color w:val="005F89"/>
        </w:rPr>
        <w:t>S2</w:t>
      </w:r>
      <w:r>
        <w:t>. Briefly, patient selection was most commonly based on ICU length of stay (53/113, 46.9%) or the need for organ support during the ICU stay (42/113, 37.2%), whereas unrestricted access for all ICU survivors was less frequently reported (12/113, 10.6%). Follow-up programs were most often initiated at ICU discharge (56/113, 49.6%). The first follow-up visit was most commonly scheduled at 3 months after ICU discharge (37/113, 32.7%). In-person consultations represented the predominant modality of follow-up (61/113, 54%). Most programs offered repeated visits according to patient needs (51/113, 45.1%).</w:t>
      </w:r>
    </w:p>
    <w:p w14:paraId="17E0D975" w14:textId="77777777" w:rsidR="00F25E3E" w:rsidRDefault="00000000">
      <w:pPr>
        <w:ind w:left="-15"/>
      </w:pPr>
      <w:r>
        <w:t xml:space="preserve">Patients who had access to post-ICU follow-up within dedicated structures also reported marked heterogeneity in follow-up organisation, and in the domains that were explored (Supplemental Fig. </w:t>
      </w:r>
      <w:r>
        <w:rPr>
          <w:color w:val="005F89"/>
        </w:rPr>
        <w:t>S3</w:t>
      </w:r>
      <w:r>
        <w:t>). Screening covering all three core PICS domains simultaneously (physical, psychological, and cognitive) was performed in only 24/59 (40.7%)patients,whileamorecomprehensiveassessment</w:t>
      </w:r>
      <w:r>
        <w:rPr>
          <w:rFonts w:ascii="Calibri" w:eastAsia="Calibri" w:hAnsi="Calibri" w:cs="Calibri"/>
        </w:rPr>
        <w:t>—</w:t>
      </w:r>
      <w:r>
        <w:t>including the three core domains plus swallowing, nutrition, sleep, dependency, and quality of life</w:t>
      </w:r>
      <w:r>
        <w:rPr>
          <w:rFonts w:ascii="Calibri" w:eastAsia="Calibri" w:hAnsi="Calibri" w:cs="Calibri"/>
        </w:rPr>
        <w:t>—</w:t>
      </w:r>
      <w:r>
        <w:t>was conducted in only 8/59 (13.6%) patients.</w:t>
      </w:r>
    </w:p>
    <w:p w14:paraId="280327C2" w14:textId="77777777" w:rsidR="00F25E3E" w:rsidRDefault="00000000">
      <w:pPr>
        <w:ind w:left="-15"/>
      </w:pPr>
      <w:r>
        <w:t>During follow-up, 51/59 (86.4%) patients reported having had the opportunity to discuss their lived experience of the ICU stay, and only 2/59 (3.4%) patients reported deliberately choosing not to do so. Overall, 47/59 (79.7%) patients considered that all their problems had been addressed during follow-up. Among those who did not share thisview, respondents expresseda needfor bettersupport forrelatives and improved information regarding available resources to enhance their care.</w:t>
      </w:r>
    </w:p>
    <w:p w14:paraId="1C19178B" w14:textId="77777777" w:rsidR="00F25E3E" w:rsidRDefault="00000000">
      <w:pPr>
        <w:spacing w:after="202"/>
        <w:ind w:left="-15"/>
      </w:pPr>
      <w:r>
        <w:lastRenderedPageBreak/>
        <w:t xml:space="preserve">Themostfrequentdisabilitydetectedduringpost-ICUfollow-upby ICU-HPs is detailed in Supplemental Fig. </w:t>
      </w:r>
      <w:r>
        <w:rPr>
          <w:color w:val="005F89"/>
        </w:rPr>
        <w:t>S4</w:t>
      </w:r>
      <w:r>
        <w:t>: the most observed impairment was physical disability, reported by 22/78 (28.2%) ICUHP respondents.</w:t>
      </w:r>
    </w:p>
    <w:p w14:paraId="09A8EFB7" w14:textId="77777777" w:rsidR="00F25E3E" w:rsidRDefault="00000000">
      <w:pPr>
        <w:pStyle w:val="Titre2"/>
        <w:ind w:left="-5"/>
      </w:pPr>
      <w:r>
        <w:t>Perceived impact of post-ICU follow-up</w:t>
      </w:r>
    </w:p>
    <w:p w14:paraId="3100E625" w14:textId="77777777" w:rsidR="00F25E3E" w:rsidRDefault="00000000">
      <w:pPr>
        <w:ind w:left="-15"/>
      </w:pPr>
      <w:r>
        <w:t xml:space="preserve">A total of 78 ICU-HP completed this section. Their perceptions of the potential benefits of post-ICU follow-up programs are presented in </w:t>
      </w:r>
      <w:r>
        <w:rPr>
          <w:color w:val="005F89"/>
        </w:rPr>
        <w:t>Fig. 3</w:t>
      </w:r>
      <w:r>
        <w:t xml:space="preserve">. Overall, ICU healthcare professionals most frequently considered post-ICU </w:t>
      </w:r>
      <w:r>
        <w:t>follow-up to have an important impact on patient satisfaction, ICU quality of care improvement, and ICU team satisfaction. These perceived benefits were accompanied by reported changes in clinical practice within the ICU in 55.1% (43/78) of cases, most commonly involving sleep management, delirium prevention and management, nutritional care, and approaches to goals of care. Consistent with these perceived benefits, nearly all respondents (76/ 78, 97.4%) indicated their intention to maintain existing post-ICU follow-up programs. By contrast, benefits related to hospital finances</w:t>
      </w:r>
    </w:p>
    <w:p w14:paraId="0A89E8CB" w14:textId="77777777" w:rsidR="00F25E3E" w:rsidRDefault="00F25E3E">
      <w:pPr>
        <w:sectPr w:rsidR="00F25E3E">
          <w:type w:val="continuous"/>
          <w:pgSz w:w="11906" w:h="15874"/>
          <w:pgMar w:top="1440" w:right="737" w:bottom="1440" w:left="737" w:header="720" w:footer="720" w:gutter="0"/>
          <w:cols w:num="2" w:space="358"/>
        </w:sectPr>
      </w:pPr>
    </w:p>
    <w:p w14:paraId="67B474EE" w14:textId="77777777" w:rsidR="00F25E3E" w:rsidRDefault="00000000">
      <w:pPr>
        <w:pStyle w:val="Titre1"/>
        <w:spacing w:after="3"/>
        <w:ind w:left="-5"/>
      </w:pPr>
      <w:r>
        <w:rPr>
          <w:rFonts w:ascii="Calibri" w:eastAsia="Calibri" w:hAnsi="Calibri" w:cs="Calibri"/>
          <w:sz w:val="24"/>
        </w:rPr>
        <w:lastRenderedPageBreak/>
        <w:t>[(ig._3)TD$FIG]</w:t>
      </w:r>
    </w:p>
    <w:p w14:paraId="10F6CFB7" w14:textId="77777777" w:rsidR="00F25E3E" w:rsidRDefault="00000000">
      <w:pPr>
        <w:spacing w:after="198" w:line="259" w:lineRule="auto"/>
        <w:ind w:left="1226" w:firstLine="0"/>
        <w:jc w:val="left"/>
      </w:pPr>
      <w:r>
        <w:rPr>
          <w:noProof/>
        </w:rPr>
        <w:drawing>
          <wp:inline distT="0" distB="0" distL="0" distR="0" wp14:anchorId="60D75CE2" wp14:editId="4113444F">
            <wp:extent cx="5068799" cy="7938783"/>
            <wp:effectExtent l="0" t="0" r="0" b="0"/>
            <wp:docPr id="1322" name="Picture 1322"/>
            <wp:cNvGraphicFramePr/>
            <a:graphic xmlns:a="http://schemas.openxmlformats.org/drawingml/2006/main">
              <a:graphicData uri="http://schemas.openxmlformats.org/drawingml/2006/picture">
                <pic:pic xmlns:pic="http://schemas.openxmlformats.org/drawingml/2006/picture">
                  <pic:nvPicPr>
                    <pic:cNvPr id="1322" name="Picture 1322"/>
                    <pic:cNvPicPr/>
                  </pic:nvPicPr>
                  <pic:blipFill>
                    <a:blip r:embed="rId25"/>
                    <a:stretch>
                      <a:fillRect/>
                    </a:stretch>
                  </pic:blipFill>
                  <pic:spPr>
                    <a:xfrm>
                      <a:off x="0" y="0"/>
                      <a:ext cx="5068799" cy="7938783"/>
                    </a:xfrm>
                    <a:prstGeom prst="rect">
                      <a:avLst/>
                    </a:prstGeom>
                  </pic:spPr>
                </pic:pic>
              </a:graphicData>
            </a:graphic>
          </wp:inline>
        </w:drawing>
      </w:r>
    </w:p>
    <w:p w14:paraId="678B5F9E" w14:textId="77777777" w:rsidR="00F25E3E" w:rsidRDefault="00000000">
      <w:pPr>
        <w:spacing w:after="7" w:line="269" w:lineRule="auto"/>
        <w:ind w:left="-5" w:hanging="10"/>
      </w:pPr>
      <w:r>
        <w:rPr>
          <w:rFonts w:ascii="Calibri" w:eastAsia="Calibri" w:hAnsi="Calibri" w:cs="Calibri"/>
          <w:sz w:val="14"/>
        </w:rPr>
        <w:t xml:space="preserve">Fig. 3. </w:t>
      </w:r>
      <w:r>
        <w:rPr>
          <w:sz w:val="14"/>
        </w:rPr>
        <w:t>Perceived impact and objectives of post-ICU follow-up.</w:t>
      </w:r>
    </w:p>
    <w:p w14:paraId="68E01CD1" w14:textId="77777777" w:rsidR="00F25E3E" w:rsidRDefault="00000000">
      <w:pPr>
        <w:numPr>
          <w:ilvl w:val="0"/>
          <w:numId w:val="1"/>
        </w:numPr>
        <w:spacing w:after="7" w:line="269" w:lineRule="auto"/>
        <w:ind w:hanging="238"/>
      </w:pPr>
      <w:r>
        <w:rPr>
          <w:sz w:val="14"/>
        </w:rPr>
        <w:lastRenderedPageBreak/>
        <w:t>ICU-HPs</w:t>
      </w:r>
      <w:r>
        <w:rPr>
          <w:rFonts w:ascii="Calibri" w:eastAsia="Calibri" w:hAnsi="Calibri" w:cs="Calibri"/>
          <w:sz w:val="14"/>
        </w:rPr>
        <w:t xml:space="preserve">’ </w:t>
      </w:r>
      <w:r>
        <w:rPr>
          <w:sz w:val="14"/>
        </w:rPr>
        <w:t>perceptions of the potential benefits of post-ICU follow-up programs, graded from minor to major impact. Numbers displayed within the bars indicate the proportion (%) of ICU-HPs (out of the total sample of 78 respondents) rating each item as having a major impact.</w:t>
      </w:r>
    </w:p>
    <w:p w14:paraId="78BE77C2" w14:textId="77777777" w:rsidR="00F25E3E" w:rsidRDefault="00000000">
      <w:pPr>
        <w:numPr>
          <w:ilvl w:val="0"/>
          <w:numId w:val="1"/>
        </w:numPr>
        <w:spacing w:after="7" w:line="269" w:lineRule="auto"/>
        <w:ind w:hanging="238"/>
      </w:pPr>
      <w:r>
        <w:rPr>
          <w:sz w:val="14"/>
        </w:rPr>
        <w:t>Primary objectives of a well-conducted post-ICU follow-up according to ICU-S (closed-ended questions with multiple responses allowed).</w:t>
      </w:r>
    </w:p>
    <w:p w14:paraId="3E0534A7" w14:textId="77777777" w:rsidR="00F25E3E" w:rsidRDefault="00000000">
      <w:pPr>
        <w:spacing w:after="7" w:line="269" w:lineRule="auto"/>
        <w:ind w:left="-5" w:hanging="10"/>
      </w:pPr>
      <w:r>
        <w:rPr>
          <w:sz w:val="14"/>
        </w:rPr>
        <w:t>GP: general practitioner; HP: healthcare providers; ICU: intensive care unit; S: survivors.</w:t>
      </w:r>
    </w:p>
    <w:p w14:paraId="68C1C926" w14:textId="77777777" w:rsidR="00F25E3E" w:rsidRDefault="00F25E3E">
      <w:pPr>
        <w:sectPr w:rsidR="00F25E3E">
          <w:type w:val="continuous"/>
          <w:pgSz w:w="11906" w:h="15874"/>
          <w:pgMar w:top="1062" w:right="737" w:bottom="1440" w:left="737" w:header="720" w:footer="720" w:gutter="0"/>
          <w:cols w:space="720"/>
        </w:sectPr>
      </w:pPr>
    </w:p>
    <w:p w14:paraId="6D4EB8E1" w14:textId="77777777" w:rsidR="00F25E3E" w:rsidRDefault="00000000">
      <w:pPr>
        <w:ind w:left="-15" w:firstLine="0"/>
      </w:pPr>
      <w:r>
        <w:t>and general practitioners</w:t>
      </w:r>
      <w:r>
        <w:rPr>
          <w:rFonts w:ascii="Calibri" w:eastAsia="Calibri" w:hAnsi="Calibri" w:cs="Calibri"/>
        </w:rPr>
        <w:t xml:space="preserve">’ </w:t>
      </w:r>
      <w:r>
        <w:t>satisfaction were less frequently perceived as important outcomes.</w:t>
      </w:r>
    </w:p>
    <w:p w14:paraId="0017762B" w14:textId="77777777" w:rsidR="00F25E3E" w:rsidRDefault="00000000">
      <w:pPr>
        <w:spacing w:after="324"/>
        <w:ind w:left="-15"/>
      </w:pPr>
      <w:r>
        <w:t>Patients</w:t>
      </w:r>
      <w:r>
        <w:rPr>
          <w:rFonts w:ascii="Calibri" w:eastAsia="Calibri" w:hAnsi="Calibri" w:cs="Calibri"/>
        </w:rPr>
        <w:t xml:space="preserve">’ </w:t>
      </w:r>
      <w:r>
        <w:t xml:space="preserve">perceptions of the impact of post-ICU follow-up on their recovery trajectory are presented in Supplemental Fig. </w:t>
      </w:r>
      <w:r>
        <w:rPr>
          <w:color w:val="005F89"/>
        </w:rPr>
        <w:t>S5</w:t>
      </w:r>
      <w:r>
        <w:t xml:space="preserve">. The primary objectives for ICU-S of a well-conducted post-ICU follow-up are presented in </w:t>
      </w:r>
      <w:r>
        <w:rPr>
          <w:color w:val="005F89"/>
        </w:rPr>
        <w:t>Fig. 3</w:t>
      </w:r>
      <w:r>
        <w:t>. Briefly, 31/55 (56.4%) ICU-S reported feeling better afterwards, mainly because they felt listened to and gained a better understanding of their recovery. The three most valued aspects of post-ICU follow-up for them were avoiding feelings of abandonment, understanding the ICU experience, having a facilitated access to dedicated care for post-ICU symptoms.</w:t>
      </w:r>
    </w:p>
    <w:p w14:paraId="1F1D0ECA" w14:textId="77777777" w:rsidR="00F25E3E" w:rsidRDefault="00000000">
      <w:pPr>
        <w:pStyle w:val="Titre2"/>
        <w:ind w:left="-5"/>
      </w:pPr>
      <w:r>
        <w:t>Resources and training</w:t>
      </w:r>
    </w:p>
    <w:p w14:paraId="38CD1395" w14:textId="77777777" w:rsidR="00F25E3E" w:rsidRDefault="00000000">
      <w:pPr>
        <w:ind w:left="-15"/>
      </w:pPr>
      <w:r>
        <w:t xml:space="preserve">A total of 85 ICU-HP completed the section related to training. Most of the respondents (82/85, 96.5%) reported that at least one ICU team member was directly involved in post-ICU follow-up activities. Training received by healthcare professionals involved in post-ICU follow-up, as well as perceived training needs, are summarised in </w:t>
      </w:r>
      <w:r>
        <w:rPr>
          <w:color w:val="005F89"/>
        </w:rPr>
        <w:t>Fig. 4</w:t>
      </w:r>
      <w:r>
        <w:t>. In parallel, 58/85 (68.3%) reported insufficient training among other stakeholders involved in the post-ICU care pathway, citing both limited skills and a lack of awareness regarding post-ICU outcomes.</w:t>
      </w:r>
    </w:p>
    <w:p w14:paraId="2E750516" w14:textId="77777777" w:rsidR="00F25E3E" w:rsidRDefault="00000000">
      <w:pPr>
        <w:ind w:left="-15"/>
      </w:pPr>
      <w:r>
        <w:t>Existing guidelines informed follow-up practices in 40% of respondents (32 of the 80 participants who answered this section). These included national guidelines for post-ICU follow-up, such as Portuguese guidelines or National Institute for Health and Care Excellence (NICE) recommendations, as well as the Life after Critical Illness guidance developed by the Faculty of Intensive Care Medicine in the United Kingdom. Some respondents also reported relying on non-dedicated guidelines, such as the European Society for Clinical Nutrition and Metabolism (ESPEN) or the Guidelines for the Provision of Intensive Care Services (GPICS). The majority of respondents (73/ 80, 91.2%) indicated that they would modify the format of their postICU follow-up if international guidelines were to be published.</w:t>
      </w:r>
    </w:p>
    <w:p w14:paraId="5A50DB2E" w14:textId="77777777" w:rsidR="00F25E3E" w:rsidRDefault="00000000">
      <w:pPr>
        <w:spacing w:after="32"/>
        <w:ind w:left="-15"/>
      </w:pPr>
      <w:r>
        <w:t xml:space="preserve">Collaboration with primary care services was described by 80 ICUHP respondents and is detailed in Supplemental Figure </w:t>
      </w:r>
      <w:r>
        <w:rPr>
          <w:color w:val="005F89"/>
        </w:rPr>
        <w:t>S6</w:t>
      </w:r>
      <w:r>
        <w:t>. The</w:t>
      </w:r>
    </w:p>
    <w:p w14:paraId="6AF56AC5" w14:textId="77777777" w:rsidR="00F25E3E" w:rsidRDefault="00000000">
      <w:pPr>
        <w:ind w:left="-15" w:firstLine="0"/>
      </w:pPr>
      <w:r>
        <w:rPr>
          <w:rFonts w:ascii="Calibri" w:eastAsia="Calibri" w:hAnsi="Calibri" w:cs="Calibri"/>
          <w:sz w:val="24"/>
        </w:rPr>
        <w:t>F</w:t>
      </w:r>
      <w:r>
        <w:rPr>
          <w:rFonts w:ascii="Calibri" w:eastAsia="Calibri" w:hAnsi="Calibri" w:cs="Calibri"/>
          <w:sz w:val="37"/>
          <w:vertAlign w:val="subscript"/>
        </w:rPr>
        <w:t>IG][ig._(4)TD$</w:t>
      </w:r>
      <w:r>
        <w:t>majority of respondents (75/80, 93.8%) reported that general practitioners (GPs) lacked sufficient understanding of post-ICU health issues. This limitation was attributed to GPs</w:t>
      </w:r>
      <w:r>
        <w:rPr>
          <w:rFonts w:ascii="Calibri" w:eastAsia="Calibri" w:hAnsi="Calibri" w:cs="Calibri"/>
        </w:rPr>
        <w:t xml:space="preserve">’ </w:t>
      </w:r>
      <w:r>
        <w:t>limited exposure to ICU survivors and their specific needs. Suggested approaches to improve GPs</w:t>
      </w:r>
      <w:r>
        <w:rPr>
          <w:rFonts w:ascii="Calibri" w:eastAsia="Calibri" w:hAnsi="Calibri" w:cs="Calibri"/>
        </w:rPr>
        <w:t xml:space="preserve">’ </w:t>
      </w:r>
      <w:r>
        <w:t>knowledge included enhancing the quality and clarity of written communication addressed to them, providing training opportunities within post-ICU clinics, fostering closer collaboration between ICU teams and primary care, and making dedicated post-ICU care guidelines available.</w:t>
      </w:r>
    </w:p>
    <w:p w14:paraId="640DF975" w14:textId="77777777" w:rsidR="00F25E3E" w:rsidRDefault="00000000">
      <w:pPr>
        <w:ind w:left="-15"/>
      </w:pPr>
      <w:r>
        <w:t xml:space="preserve">Funding for post-ICU follow-up is detailed in Supplemental Figure </w:t>
      </w:r>
      <w:r>
        <w:rPr>
          <w:color w:val="005F89"/>
        </w:rPr>
        <w:t>S7</w:t>
      </w:r>
      <w:r>
        <w:t>.</w:t>
      </w:r>
    </w:p>
    <w:p w14:paraId="0727DAF1" w14:textId="77777777" w:rsidR="00F25E3E" w:rsidRDefault="00000000">
      <w:pPr>
        <w:spacing w:after="302"/>
        <w:ind w:left="-15"/>
      </w:pPr>
      <w:r>
        <w:t>Several respondents indicated that data from post-ICU follow-up were systematically collected, either in local databases (52/80, 65.0%), in regional registries (2/80, 2.5%) or in national registries (2/ 80, 2.5%).</w:t>
      </w:r>
    </w:p>
    <w:p w14:paraId="1F07166F" w14:textId="77777777" w:rsidR="00F25E3E" w:rsidRDefault="00000000">
      <w:pPr>
        <w:pStyle w:val="Titre2"/>
        <w:ind w:left="-5"/>
      </w:pPr>
      <w:r>
        <w:t>Suggested improvements for post-ICU follow-up</w:t>
      </w:r>
    </w:p>
    <w:p w14:paraId="6DF473B8" w14:textId="77777777" w:rsidR="00F25E3E" w:rsidRDefault="00000000">
      <w:pPr>
        <w:ind w:left="-15"/>
      </w:pPr>
      <w:r>
        <w:t xml:space="preserve">A total of 79 ICU-HP identified areas for improvement, which are described in </w:t>
      </w:r>
      <w:r>
        <w:rPr>
          <w:color w:val="005F89"/>
        </w:rPr>
        <w:t>Fig. 5</w:t>
      </w:r>
      <w:r>
        <w:t>. Fifty ICU-HP respondents identified key roles that scientific societies</w:t>
      </w:r>
      <w:r>
        <w:rPr>
          <w:rFonts w:ascii="Calibri" w:eastAsia="Calibri" w:hAnsi="Calibri" w:cs="Calibri"/>
        </w:rPr>
        <w:t>—</w:t>
      </w:r>
      <w:r>
        <w:t>and notably the European Society of Intensive Care Medicine (ESICM)</w:t>
      </w:r>
      <w:r>
        <w:rPr>
          <w:rFonts w:ascii="Calibri" w:eastAsia="Calibri" w:hAnsi="Calibri" w:cs="Calibri"/>
        </w:rPr>
        <w:t>—</w:t>
      </w:r>
      <w:r>
        <w:t>must play in improving post-ICU care</w:t>
      </w:r>
    </w:p>
    <w:p w14:paraId="56083A0D" w14:textId="77777777" w:rsidR="00F25E3E" w:rsidRDefault="00000000">
      <w:pPr>
        <w:spacing w:after="10" w:line="259" w:lineRule="auto"/>
        <w:ind w:firstLine="0"/>
        <w:jc w:val="left"/>
      </w:pPr>
      <w:r>
        <w:t>(</w:t>
      </w:r>
      <w:r>
        <w:rPr>
          <w:color w:val="005F89"/>
        </w:rPr>
        <w:t>Fig. 5</w:t>
      </w:r>
      <w:r>
        <w:t>).</w:t>
      </w:r>
    </w:p>
    <w:p w14:paraId="14A7E742" w14:textId="77777777" w:rsidR="00F25E3E" w:rsidRDefault="00000000">
      <w:pPr>
        <w:spacing w:after="436"/>
        <w:ind w:left="-15"/>
      </w:pPr>
      <w:r>
        <w:t xml:space="preserve">ICU-S provided insights into how the medical community could improve care for ICU survivors. Patients emphasised that the recovery after an ICU stay extends beyond physical sequelae, highlighting the psychological and emotional dimensions of recovery. One respondent also considered post-ICU follow-up relevant even if its benefits were not immediately apparent. Their suggestions are described in Supplemental Table </w:t>
      </w:r>
      <w:r>
        <w:rPr>
          <w:color w:val="005F89"/>
        </w:rPr>
        <w:t>S2</w:t>
      </w:r>
      <w:r>
        <w:t>.</w:t>
      </w:r>
    </w:p>
    <w:p w14:paraId="085F7CFC" w14:textId="77777777" w:rsidR="00F25E3E" w:rsidRDefault="00000000">
      <w:pPr>
        <w:spacing w:after="213" w:line="259" w:lineRule="auto"/>
        <w:ind w:left="-5" w:hanging="10"/>
        <w:jc w:val="left"/>
      </w:pPr>
      <w:r>
        <w:rPr>
          <w:rFonts w:ascii="Calibri" w:eastAsia="Calibri" w:hAnsi="Calibri" w:cs="Calibri"/>
        </w:rPr>
        <w:t>Discussion</w:t>
      </w:r>
    </w:p>
    <w:p w14:paraId="524A9741" w14:textId="77777777" w:rsidR="00F25E3E" w:rsidRDefault="00000000">
      <w:pPr>
        <w:ind w:left="-15"/>
      </w:pPr>
      <w:r>
        <w:t>This ESICM-endorsed survey provides a broad overview of postICU follow-up practices and perceived benefits, integrating the parallel perspectives of ICU-HP across 43 countries and ICU-S from 6 countries, on a topic of growing importance for patients, clinicians,</w:t>
      </w:r>
    </w:p>
    <w:p w14:paraId="12996BF0" w14:textId="77777777" w:rsidR="00F25E3E" w:rsidRDefault="00F25E3E">
      <w:pPr>
        <w:sectPr w:rsidR="00F25E3E">
          <w:type w:val="continuous"/>
          <w:pgSz w:w="11906" w:h="15874"/>
          <w:pgMar w:top="1440" w:right="737" w:bottom="1440" w:left="737" w:header="720" w:footer="720" w:gutter="0"/>
          <w:cols w:num="2" w:space="358"/>
        </w:sectPr>
      </w:pPr>
    </w:p>
    <w:p w14:paraId="22CE8911" w14:textId="77777777" w:rsidR="00F25E3E" w:rsidRDefault="00000000">
      <w:pPr>
        <w:spacing w:after="199" w:line="259" w:lineRule="auto"/>
        <w:ind w:left="1604" w:firstLine="0"/>
        <w:jc w:val="left"/>
      </w:pPr>
      <w:r>
        <w:rPr>
          <w:noProof/>
        </w:rPr>
        <w:lastRenderedPageBreak/>
        <w:drawing>
          <wp:inline distT="0" distB="0" distL="0" distR="0" wp14:anchorId="1B306E5B" wp14:editId="2C0662DD">
            <wp:extent cx="4587215" cy="3167469"/>
            <wp:effectExtent l="0" t="0" r="0" b="0"/>
            <wp:docPr id="1452" name="Picture 1452"/>
            <wp:cNvGraphicFramePr/>
            <a:graphic xmlns:a="http://schemas.openxmlformats.org/drawingml/2006/main">
              <a:graphicData uri="http://schemas.openxmlformats.org/drawingml/2006/picture">
                <pic:pic xmlns:pic="http://schemas.openxmlformats.org/drawingml/2006/picture">
                  <pic:nvPicPr>
                    <pic:cNvPr id="1452" name="Picture 1452"/>
                    <pic:cNvPicPr/>
                  </pic:nvPicPr>
                  <pic:blipFill>
                    <a:blip r:embed="rId26"/>
                    <a:stretch>
                      <a:fillRect/>
                    </a:stretch>
                  </pic:blipFill>
                  <pic:spPr>
                    <a:xfrm>
                      <a:off x="0" y="0"/>
                      <a:ext cx="4587215" cy="3167469"/>
                    </a:xfrm>
                    <a:prstGeom prst="rect">
                      <a:avLst/>
                    </a:prstGeom>
                  </pic:spPr>
                </pic:pic>
              </a:graphicData>
            </a:graphic>
          </wp:inline>
        </w:drawing>
      </w:r>
    </w:p>
    <w:p w14:paraId="686D1176" w14:textId="77777777" w:rsidR="00F25E3E" w:rsidRDefault="00000000">
      <w:pPr>
        <w:spacing w:after="7" w:line="269" w:lineRule="auto"/>
        <w:ind w:left="-5" w:right="137" w:hanging="10"/>
      </w:pPr>
      <w:r>
        <w:rPr>
          <w:rFonts w:ascii="Calibri" w:eastAsia="Calibri" w:hAnsi="Calibri" w:cs="Calibri"/>
          <w:sz w:val="14"/>
        </w:rPr>
        <w:t xml:space="preserve">Fig. 4. </w:t>
      </w:r>
      <w:r>
        <w:rPr>
          <w:sz w:val="14"/>
        </w:rPr>
        <w:t>Training of ICU-HPs involved in post-ICU follow-up programs, including existing training formats and suggested training topics (open-ended question). Data are expressed as counts and percentages.</w:t>
      </w:r>
    </w:p>
    <w:p w14:paraId="3B43D63A" w14:textId="77777777" w:rsidR="00F25E3E" w:rsidRDefault="00000000">
      <w:pPr>
        <w:spacing w:after="7" w:line="269" w:lineRule="auto"/>
        <w:ind w:left="-5" w:hanging="10"/>
      </w:pPr>
      <w:r>
        <w:rPr>
          <w:sz w:val="14"/>
        </w:rPr>
        <w:t>HP: healthcare provider; ICU: intensive care unit.</w:t>
      </w:r>
    </w:p>
    <w:p w14:paraId="347E3A4D" w14:textId="77777777" w:rsidR="00F25E3E" w:rsidRDefault="00000000">
      <w:pPr>
        <w:pStyle w:val="Titre1"/>
        <w:spacing w:after="3"/>
        <w:ind w:left="-5"/>
      </w:pPr>
      <w:r>
        <w:rPr>
          <w:rFonts w:ascii="Calibri" w:eastAsia="Calibri" w:hAnsi="Calibri" w:cs="Calibri"/>
          <w:sz w:val="24"/>
        </w:rPr>
        <w:lastRenderedPageBreak/>
        <w:t>[(ig._5)TD$FIG]</w:t>
      </w:r>
    </w:p>
    <w:p w14:paraId="698F5D88" w14:textId="77777777" w:rsidR="00F25E3E" w:rsidRDefault="00000000">
      <w:pPr>
        <w:spacing w:after="198" w:line="259" w:lineRule="auto"/>
        <w:ind w:left="932" w:firstLine="0"/>
        <w:jc w:val="left"/>
      </w:pPr>
      <w:r>
        <w:rPr>
          <w:noProof/>
        </w:rPr>
        <w:drawing>
          <wp:inline distT="0" distB="0" distL="0" distR="0" wp14:anchorId="0C0B8EE8" wp14:editId="32760CDC">
            <wp:extent cx="5440655" cy="7938783"/>
            <wp:effectExtent l="0" t="0" r="0" b="0"/>
            <wp:docPr id="1503" name="Picture 1503"/>
            <wp:cNvGraphicFramePr/>
            <a:graphic xmlns:a="http://schemas.openxmlformats.org/drawingml/2006/main">
              <a:graphicData uri="http://schemas.openxmlformats.org/drawingml/2006/picture">
                <pic:pic xmlns:pic="http://schemas.openxmlformats.org/drawingml/2006/picture">
                  <pic:nvPicPr>
                    <pic:cNvPr id="1503" name="Picture 1503"/>
                    <pic:cNvPicPr/>
                  </pic:nvPicPr>
                  <pic:blipFill>
                    <a:blip r:embed="rId27"/>
                    <a:stretch>
                      <a:fillRect/>
                    </a:stretch>
                  </pic:blipFill>
                  <pic:spPr>
                    <a:xfrm>
                      <a:off x="0" y="0"/>
                      <a:ext cx="5440655" cy="7938783"/>
                    </a:xfrm>
                    <a:prstGeom prst="rect">
                      <a:avLst/>
                    </a:prstGeom>
                  </pic:spPr>
                </pic:pic>
              </a:graphicData>
            </a:graphic>
          </wp:inline>
        </w:drawing>
      </w:r>
    </w:p>
    <w:p w14:paraId="3C042823" w14:textId="77777777" w:rsidR="00F25E3E" w:rsidRDefault="00000000">
      <w:pPr>
        <w:spacing w:after="7" w:line="269" w:lineRule="auto"/>
        <w:ind w:left="-5" w:hanging="10"/>
      </w:pPr>
      <w:r>
        <w:rPr>
          <w:rFonts w:ascii="Calibri" w:eastAsia="Calibri" w:hAnsi="Calibri" w:cs="Calibri"/>
          <w:sz w:val="14"/>
        </w:rPr>
        <w:t xml:space="preserve">Fig. 5. </w:t>
      </w:r>
      <w:r>
        <w:rPr>
          <w:sz w:val="14"/>
        </w:rPr>
        <w:t>Areas of improvement in the care of ICU survivors (A) and key roles of intensive care scientific societies in that domain (B), identified by the ICU-HP respondents (closed-ended questions with multiple responses allowed).</w:t>
      </w:r>
    </w:p>
    <w:p w14:paraId="0684989E" w14:textId="77777777" w:rsidR="00F25E3E" w:rsidRDefault="00000000">
      <w:pPr>
        <w:spacing w:after="7" w:line="269" w:lineRule="auto"/>
        <w:ind w:left="-5" w:hanging="10"/>
      </w:pPr>
      <w:r>
        <w:rPr>
          <w:sz w:val="14"/>
        </w:rPr>
        <w:t>Numbers displayed within or beside the bars indicate the proportion of ICU-HP (out of the total sample of 79 respondents) who selected each answer (A) or who suggested each item (B).</w:t>
      </w:r>
    </w:p>
    <w:p w14:paraId="27DF86F8" w14:textId="77777777" w:rsidR="00F25E3E" w:rsidRDefault="00000000">
      <w:pPr>
        <w:spacing w:after="7" w:line="269" w:lineRule="auto"/>
        <w:ind w:left="-5" w:hanging="10"/>
      </w:pPr>
      <w:r>
        <w:rPr>
          <w:sz w:val="14"/>
        </w:rPr>
        <w:t>ICU: intensive care unit; PICS: post-intensive care syndrome.</w:t>
      </w:r>
    </w:p>
    <w:p w14:paraId="454999F5" w14:textId="77777777" w:rsidR="00F25E3E" w:rsidRDefault="00F25E3E">
      <w:pPr>
        <w:sectPr w:rsidR="00F25E3E">
          <w:type w:val="continuous"/>
          <w:pgSz w:w="11906" w:h="15874"/>
          <w:pgMar w:top="754" w:right="738" w:bottom="1033" w:left="737" w:header="720" w:footer="720" w:gutter="0"/>
          <w:cols w:space="720"/>
        </w:sectPr>
      </w:pPr>
    </w:p>
    <w:p w14:paraId="33A418E2" w14:textId="77777777" w:rsidR="00F25E3E" w:rsidRDefault="00000000">
      <w:pPr>
        <w:ind w:left="-15" w:firstLine="0"/>
      </w:pPr>
      <w:r>
        <w:lastRenderedPageBreak/>
        <w:t>and healthcare systems. It highlights both similarities and discrepancies in expectations, experiences, and perceptions of the value of post-ICU care.</w:t>
      </w:r>
    </w:p>
    <w:p w14:paraId="395B5784" w14:textId="77777777" w:rsidR="00F25E3E" w:rsidRDefault="00000000">
      <w:pPr>
        <w:ind w:left="-15"/>
      </w:pPr>
      <w:r>
        <w:t>Several key findings emerge from this survey. First, from the patient perspective, information about PICS and post-ICU trajectories remainsinsufficient.NearlyhalfofICU-Sreportednothavingreceived information about PICS, despite expressing a strong interest in such information perceiving it as useful. This lack of information, which has been highlighted for years [</w:t>
      </w:r>
      <w:r>
        <w:rPr>
          <w:color w:val="005F89"/>
        </w:rPr>
        <w:t>15</w:t>
      </w:r>
      <w:r>
        <w:t>], contributes to uncertainty, unmet needs, and feelings of abandonment after ICU discharge</w:t>
      </w:r>
      <w:r>
        <w:rPr>
          <w:rFonts w:ascii="Calibri" w:eastAsia="Calibri" w:hAnsi="Calibri" w:cs="Calibri"/>
        </w:rPr>
        <w:t>—</w:t>
      </w:r>
      <w:r>
        <w:t>issues repeatedly emphasised by patients [</w:t>
      </w:r>
      <w:r>
        <w:rPr>
          <w:color w:val="005F89"/>
        </w:rPr>
        <w:t>17</w:t>
      </w:r>
      <w:r>
        <w:t>,</w:t>
      </w:r>
      <w:r>
        <w:rPr>
          <w:color w:val="005F89"/>
        </w:rPr>
        <w:t>20</w:t>
      </w:r>
      <w:r>
        <w:t>]. Second, less than half of responding ICUs reported offering structured post-ICU follow-up, and a similar proportion of patients reported having access to such care. Thissuggeststhataccesstopost-ICU follow-upremainsheterogeneous across responding healthcare systems and institutions, a finding that has been consistently reported in previous surveys involving different regions and stakeholders</w:t>
      </w:r>
      <w:r>
        <w:rPr>
          <w:rFonts w:ascii="Calibri" w:eastAsia="Calibri" w:hAnsi="Calibri" w:cs="Calibri"/>
        </w:rPr>
        <w:t xml:space="preserve">’ </w:t>
      </w:r>
      <w:r>
        <w:t>groups [</w:t>
      </w:r>
      <w:r>
        <w:rPr>
          <w:color w:val="005F89"/>
        </w:rPr>
        <w:t>21</w:t>
      </w:r>
      <w:r>
        <w:rPr>
          <w:rFonts w:ascii="Calibri" w:eastAsia="Calibri" w:hAnsi="Calibri" w:cs="Calibri"/>
          <w:color w:val="005F89"/>
        </w:rPr>
        <w:t>–</w:t>
      </w:r>
      <w:r>
        <w:rPr>
          <w:color w:val="005F89"/>
        </w:rPr>
        <w:t>23</w:t>
      </w:r>
      <w:r>
        <w:t>]. Notably, both patients who did not receive follow-up and those who did not receive information about PICS frequently reported that these interventions would have been beneficial for them, underscoring a gap between current provision and patient expectations. Third, when post-ICU follow-up exists, it is characterised by marked heterogeneity in organisation and content. Selection criteria, timing of initiation, number and scheduling of visits, professional involvement, and assessment domains vary widely across centres. This heterogeneity is not a novel finding, as wide variability in the availability, organisation, and content of postICU follow-up has been consistently reported across healthcare systems in surveys and reviews [</w:t>
      </w:r>
      <w:r>
        <w:rPr>
          <w:color w:val="005F89"/>
        </w:rPr>
        <w:t>21</w:t>
      </w:r>
      <w:r>
        <w:t>,</w:t>
      </w:r>
      <w:r>
        <w:rPr>
          <w:color w:val="005F89"/>
        </w:rPr>
        <w:t>24</w:t>
      </w:r>
      <w:r>
        <w:t>], reflecting differences in resources, local priorities, and the absence of universally accepted standards.</w:t>
      </w:r>
    </w:p>
    <w:p w14:paraId="00392C63" w14:textId="77777777" w:rsidR="00F25E3E" w:rsidRDefault="00000000">
      <w:pPr>
        <w:ind w:left="-15"/>
      </w:pPr>
      <w:r>
        <w:t>AkeyfindingofthissurveyisthatPICSassessment duringpost-ICU follow-up remains inconsistent and incomplete across many centres. Fewer than half of patients underwent screening of all three core PICS domains</w:t>
      </w:r>
      <w:r>
        <w:rPr>
          <w:rFonts w:ascii="Calibri" w:eastAsia="Calibri" w:hAnsi="Calibri" w:cs="Calibri"/>
        </w:rPr>
        <w:t>—</w:t>
      </w:r>
      <w:r>
        <w:t>physical, cognitive, and psychological</w:t>
      </w:r>
      <w:r>
        <w:rPr>
          <w:rFonts w:ascii="Calibri" w:eastAsia="Calibri" w:hAnsi="Calibri" w:cs="Calibri"/>
        </w:rPr>
        <w:t>—</w:t>
      </w:r>
      <w:r>
        <w:t>and comprehensive assessments incorporating additional relevant domains were rare. This stands in clear contrast to ICU-HP</w:t>
      </w:r>
      <w:r>
        <w:rPr>
          <w:rFonts w:ascii="Calibri" w:eastAsia="Calibri" w:hAnsi="Calibri" w:cs="Calibri"/>
        </w:rPr>
        <w:t>’</w:t>
      </w:r>
      <w:r>
        <w:t>s reports of frequently encountered post-ICU sequelae across multiple domains, highlighting a persistent gap between recognised clinical needs [</w:t>
      </w:r>
      <w:r>
        <w:rPr>
          <w:color w:val="005F89"/>
        </w:rPr>
        <w:t>25</w:t>
      </w:r>
      <w:r>
        <w:t>,</w:t>
      </w:r>
      <w:r>
        <w:rPr>
          <w:color w:val="005F89"/>
        </w:rPr>
        <w:t>26</w:t>
      </w:r>
      <w:r>
        <w:t>] and implemented evaluation practices. While factors explaining why systematic screening across all PICS domains is not routinely performed have not been specifically studied in the present survey, they may include limited human resources, time constraints, lack of dedicated multidisciplinary expertise, lack of understanding or awareness of the importance of PICS-related problems, or concerns regarding the cost and feasibility of extended assessments. A pragmatic way to address this gap could be a two-step approach: an initial brief, standardised screen tool covering the core domains for all patients, followed</w:t>
      </w:r>
      <w:r>
        <w:rPr>
          <w:rFonts w:ascii="Calibri" w:eastAsia="Calibri" w:hAnsi="Calibri" w:cs="Calibri"/>
        </w:rPr>
        <w:t>—</w:t>
      </w:r>
      <w:r>
        <w:t>if screening is positive</w:t>
      </w:r>
      <w:r>
        <w:rPr>
          <w:rFonts w:ascii="Calibri" w:eastAsia="Calibri" w:hAnsi="Calibri" w:cs="Calibri"/>
        </w:rPr>
        <w:t>—</w:t>
      </w:r>
      <w:r>
        <w:t>by referral to specialised services for more comprehensive and multidisciplinary evaluation [</w:t>
      </w:r>
      <w:r>
        <w:rPr>
          <w:color w:val="005F89"/>
        </w:rPr>
        <w:t>27</w:t>
      </w:r>
      <w:r>
        <w:t>]. Such a model could balance feasibility with clinical thoroughness while promoting more equitable and structured postICU care pathways.</w:t>
      </w:r>
    </w:p>
    <w:p w14:paraId="2C6885BE" w14:textId="77777777" w:rsidR="00F25E3E" w:rsidRDefault="00000000">
      <w:pPr>
        <w:ind w:left="-15"/>
      </w:pPr>
      <w:r>
        <w:t>Despite the incomplete and inconsistent screening of PICS domains, ICU survivors generally reported positive experiences and perceived benefits associated with post-ICU follow-up, a finding that aligns with previous reports [</w:t>
      </w:r>
      <w:r>
        <w:rPr>
          <w:color w:val="005F89"/>
        </w:rPr>
        <w:t>28</w:t>
      </w:r>
      <w:r>
        <w:t>,</w:t>
      </w:r>
      <w:r>
        <w:rPr>
          <w:color w:val="005F89"/>
        </w:rPr>
        <w:t>29</w:t>
      </w:r>
      <w:r>
        <w:t>], and may reflect perceived support rather than the completeness of formal assessment. Patients primarily attributed this benefit not to symptom resolution or functional improvement, but to being listened to, receiving clear explanations of their ICU experience, and feeling supported throughout their recovery trajectory. These findings highlight a fundamental difference in perspective between clinicians and patients: while healthcare professionals tend to conceptualise postICU follow-up through the lens of dysfunction, screening, and measurable clinical outcomes, patients appear to value relational, informational, andemotionaldimensions ofcaremorestrongly. Italso suggests that traditional clinical metrics may be insufficient to capture the impact of post-ICU care, and that patient-centred outcomes</w:t>
      </w:r>
      <w:r>
        <w:rPr>
          <w:rFonts w:ascii="Calibri" w:eastAsia="Calibri" w:hAnsi="Calibri" w:cs="Calibri"/>
        </w:rPr>
        <w:t>—</w:t>
      </w:r>
      <w:r>
        <w:t>such as reassurance, understanding, continuity, and perceived support</w:t>
      </w:r>
      <w:r>
        <w:rPr>
          <w:rFonts w:ascii="Calibri" w:eastAsia="Calibri" w:hAnsi="Calibri" w:cs="Calibri"/>
        </w:rPr>
        <w:t xml:space="preserve">— </w:t>
      </w:r>
      <w:r>
        <w:t xml:space="preserve">should be more explicitly considered when designing, evaluating, and benchmarking post-ICU follow-up models. Importantly, these apparently divergent perspectives should not be viewed as opposing, as the ultimate goal of post-ICU follow-up remains shared: </w:t>
      </w:r>
      <w:r>
        <w:t>to support patients in regaining their pre-ICU level of activity, restoring quality of life, facilitating social and professional reintegration, limiting healthcare utilisation, and preventing long-term functional decline. We are nevertheless aware that, in healthcare systems facing constrained resources, it may not be feasible to fully address all dimensions of post-ICU needs. The key challenge will therefore be to identify an optimal allocation of available resources, prioritising interventions that yield the greatest meaningful impact for patients while remaining sustainable and equitable.</w:t>
      </w:r>
    </w:p>
    <w:p w14:paraId="40DF9135" w14:textId="77777777" w:rsidR="00F25E3E" w:rsidRDefault="00000000">
      <w:pPr>
        <w:ind w:left="-15"/>
      </w:pPr>
      <w:r>
        <w:t>From the ICU-HP</w:t>
      </w:r>
      <w:r>
        <w:rPr>
          <w:rFonts w:ascii="Calibri" w:eastAsia="Calibri" w:hAnsi="Calibri" w:cs="Calibri"/>
        </w:rPr>
        <w:t>’</w:t>
      </w:r>
      <w:r>
        <w:t>s perspective, post-ICU follow-up was infrequently associated with significant changes in ICU practices during the stay. Although more than half of respondents reported some practice modifications</w:t>
      </w:r>
      <w:r>
        <w:rPr>
          <w:rFonts w:ascii="Calibri" w:eastAsia="Calibri" w:hAnsi="Calibri" w:cs="Calibri"/>
        </w:rPr>
        <w:t>—</w:t>
      </w:r>
      <w:r>
        <w:t>mainly related to sleep, delirium, nutrition, or goals of care</w:t>
      </w:r>
      <w:r>
        <w:rPr>
          <w:rFonts w:ascii="Calibri" w:eastAsia="Calibri" w:hAnsi="Calibri" w:cs="Calibri"/>
        </w:rPr>
        <w:t>—</w:t>
      </w:r>
      <w:r>
        <w:t>post-ICU follow-up was not perceived as a strong driver of systematic practice transformation. These findings suggest that, despite increased awareness of long-term ICU outcomes, substantial efforts are still required to translate insights gained through post - ICU follow up into routine ICU practice [</w:t>
      </w:r>
      <w:r>
        <w:rPr>
          <w:color w:val="005F89"/>
        </w:rPr>
        <w:t>30</w:t>
      </w:r>
      <w:r>
        <w:t>]. Nevertheless, all ICUs offering post-ICU follow-up expressed a clear intention to maintain their programs, suggesting a perceived intrinsic value that extends beyond measurable short-term outcomes.</w:t>
      </w:r>
    </w:p>
    <w:p w14:paraId="5BD2758B" w14:textId="77777777" w:rsidR="00F25E3E" w:rsidRDefault="00000000">
      <w:pPr>
        <w:ind w:left="-15"/>
      </w:pPr>
      <w:r>
        <w:t>The perceived benefits reported by ICU survivors, together with ICU-HPs</w:t>
      </w:r>
      <w:r>
        <w:rPr>
          <w:rFonts w:ascii="Calibri" w:eastAsia="Calibri" w:hAnsi="Calibri" w:cs="Calibri"/>
        </w:rPr>
        <w:t xml:space="preserve">’ </w:t>
      </w:r>
      <w:r>
        <w:t>strong willingness to maintain their follow-up programs, should nevertheless be considered in the context of evidence from randomised controlled trials, which has not consistently demonstrated improvements in conventional clinical outcomes following structured post-ICU follow-up [</w:t>
      </w:r>
      <w:r>
        <w:rPr>
          <w:color w:val="005F89"/>
        </w:rPr>
        <w:t>13</w:t>
      </w:r>
      <w:r>
        <w:t>]. These findings do not necessarily contradict the positive experiences reported in our survey: the substantial heterogeneity across follow-up models and interventions, survivor populations, healthcare contexts, and outcomes assessed, currently limits the ability to generate robust and generalizable evidence regarding the effectiveness of post-ICU follow-up.</w:t>
      </w:r>
    </w:p>
    <w:p w14:paraId="33F446CA" w14:textId="77777777" w:rsidR="00F25E3E" w:rsidRDefault="00000000">
      <w:pPr>
        <w:ind w:left="-15"/>
      </w:pPr>
      <w:r>
        <w:t>Our findings reveal substantial gaps in both training and guidance among healthcare professionals involved in post-ICU follow-up. The limited availability of dedicated education (particularly during training [</w:t>
      </w:r>
      <w:r>
        <w:rPr>
          <w:color w:val="005F89"/>
        </w:rPr>
        <w:t>31</w:t>
      </w:r>
      <w:r>
        <w:t>]) may contribute to insufficient awareness and variable knowledge regarding post-intensive care syndrome and survivorship care, potentially leading to differences in patient identification, assessment,referralpathways,andfollow-updelivery.Inaddition,the lack of structured international guidelines provides little in the way of a common framework to support program development and implementation, likely further contributing to the marked heterogeneity observed across post-ICU follow-up models. Importantly, most respondents indicated that their follow-up practices would be modified if such guidance were available, underscoring the pivotal role of scientific societies in developing guidelines, promoting education, and shaping future post-ICU models of care by supporting multicentre research and registries. Beyond the professional sphere, respondents also emphasised the importance of scientific societies in raising awareness among healthcare authorities to secure sustainable funding for ICU care, as well as in supporting patients and families through education and awareness initiatives.</w:t>
      </w:r>
    </w:p>
    <w:p w14:paraId="3D4C7F6F" w14:textId="77777777" w:rsidR="00F25E3E" w:rsidRDefault="00000000">
      <w:pPr>
        <w:spacing w:after="351"/>
        <w:ind w:left="-15"/>
      </w:pPr>
      <w:r>
        <w:t xml:space="preserve">This survey has several important strengths. It provides a largescale assessment of post-ICU follow-up that integrates the parallel perspectives of ICU-HP and ICU-S, enabling a unique cross-validation of needs, expectations, and perceived impacts. Importantly, the perceived usefulness of post-ICU follow-up reported by both ICU survivors and healthcare professionals should not be interpreted as evidence of clinical efficacy. The present survey assessed perceptions, experiences, and expectations rather than objective outcomes: the impactofpost-ICU follow-uponPICSburden,health-related qualityof life, functional recovery, social reintegration, and healthcare utilisation requires dedicated prospective outcome-based evaluation. The broad international participation, encompassing respondents from many diverse countries and healthcare systems, captures real-world heterogeneity in post-ICU care. Finally, the ESICM endorsement and rigorous survey development process strengthen the credibility and relevance of the results. However, the study also has several limitations that should be acknowledged. First, as with any crosssectional, voluntary survey, the results are subject to selection bias. Participants with a </w:t>
      </w:r>
      <w:r>
        <w:lastRenderedPageBreak/>
        <w:t>particular interest in ICU survivorship and postICU follow-up may have been more likely to respond, potentially leading to an overestimation of the availability of post-ICU follow-up services and of their perceived importance. This bias may have been particularly pronounced among ICU survivors, as dissemination through patient associations and dedicated survivor networks likely preferentially reached individuals personally concerned by post-ICU sequelae and recovery issues. Conversely, awareness and prioritisation of post-ICU survivorship remain heterogeneous among healthcare professionals, and post-ICU care is not yet universally perceived as a clinical priority across healthcare systems and ICU teams, as previously reported [</w:t>
      </w:r>
      <w:r>
        <w:rPr>
          <w:color w:val="005F89"/>
        </w:rPr>
        <w:t>21</w:t>
      </w:r>
      <w:r>
        <w:t>]. This may partly explain the higher proportion of incomplete questionnaires among ICU healthcare professionals compared with ICU survivors. In addition, online surveys are generally associated with lower response rates, which represents an intrinsic methodological limitation [</w:t>
      </w:r>
      <w:r>
        <w:rPr>
          <w:color w:val="005F89"/>
        </w:rPr>
        <w:t>32</w:t>
      </w:r>
      <w:r>
        <w:t>]. This may further limit the generalisability of the findings to the broader populations of ICU-HP and ICU-S. Furthermore, the exclusively online format may have preferentially reached individuals with greater digital access and literacy. Despite the availability of the questionnaires in several languages, language-related selection bias cannot be excluded, as individuals unable to complete the survey in one of the available languages may have been underrepresented. Beyond these intrinsic limitations, additional structural barriers must be acknowledged, including the difficulty of identifying and reaching ICU survivors after discharge, particularly in settings where structured post-ICU pathways and dedicated patient associations are lacking. Second, the unequal geographical distribution of respondents, particularly among ICU survivors, limits the interpretation and generalisability of regional comparisons. Consequently, geographical differences in post-ICU follow-up availability and practices should be interpreted cautiously and considered exploratory rather than representative of entire healthcare systems or regions. In addition, low-resource settings were likely underrepresented among respondents. Third, the sampling strategy relied partly on dissemination through professional networks, patient associations, and social media, using a snowball approach. As a result, the survey does not allow calculation of a response rate, and the representativeness of respondents across countries, institutions, and healthcare systems cannot be guaranteed. The number of responses varied substantially between countries, limiting the ability to draw robust country-level comparisons. Fourth, the ICU-S survey relied on self-reported data, which may be subject to recall bias, particularly regarding information received during the ICU stay or shortly after discharge. Fifth, the ICU-HP survey captured individual perceptions rather than unit-level practices. Although this approach was intentionally chosen to avoid assuming that a single respondent could represent all healthcare professionals working within a given ICU and to allow the capture of differing perspectives from the same institution, most participating hospitals were ultimately represented by a single respondent. Consequently, within-unit variability could not be meaningfully explored, and discrepancies may exist between reported perceptions and actual institutional policies or practices. Finally, several factors influencing the implementation and organisation of post-ICU followup programs, including workforce availability, integration with other healthcare services, and characteristics of the healthcare systems in which respondents were practicing, were not specifically explored. Collecting such information would have provided a more detailed understanding of the observed heterogeneity but would also have substantially increased questionnaire complexity and respondent burden.</w:t>
      </w:r>
    </w:p>
    <w:p w14:paraId="3AC1AD2D" w14:textId="77777777" w:rsidR="00F25E3E" w:rsidRDefault="00000000">
      <w:pPr>
        <w:spacing w:after="213" w:line="259" w:lineRule="auto"/>
        <w:ind w:left="-5" w:hanging="10"/>
        <w:jc w:val="left"/>
      </w:pPr>
      <w:r>
        <w:rPr>
          <w:rFonts w:ascii="Calibri" w:eastAsia="Calibri" w:hAnsi="Calibri" w:cs="Calibri"/>
        </w:rPr>
        <w:t>Conclusion</w:t>
      </w:r>
    </w:p>
    <w:p w14:paraId="331D67BF" w14:textId="77777777" w:rsidR="00F25E3E" w:rsidRDefault="00000000">
      <w:pPr>
        <w:spacing w:after="372"/>
        <w:ind w:left="-15"/>
      </w:pPr>
      <w:r>
        <w:t>This survey, including respondents from multiple countries, shows that both clinicians and ICU survivors value post-ICU follow-up, although its availability remains inconsistent and its delivery remains highly heterogeneous. Patients report high perceived value, mainly related to support, understanding, and continuity of care, despite incomplete and non-standardised assessment of PICS. The divergence between clinician- and patient-centred perspectives highlights the need to better align post-ICU care with outcomes that matter to patients. Persistent gaps in training and guidance, alongside clinicians</w:t>
      </w:r>
      <w:r>
        <w:rPr>
          <w:rFonts w:ascii="Calibri" w:eastAsia="Calibri" w:hAnsi="Calibri" w:cs="Calibri"/>
        </w:rPr>
        <w:t xml:space="preserve">’ </w:t>
      </w:r>
      <w:r>
        <w:t>willingness to adapt practices, emphasise the key role of scientific societies in developing guidelines, education initiatives, and collaborative research to improve ICU survivorship care.</w:t>
      </w:r>
    </w:p>
    <w:p w14:paraId="0A21E068" w14:textId="77777777" w:rsidR="00F25E3E" w:rsidRDefault="00000000">
      <w:pPr>
        <w:spacing w:after="213" w:line="259" w:lineRule="auto"/>
        <w:ind w:left="-5" w:hanging="10"/>
        <w:jc w:val="left"/>
      </w:pPr>
      <w:r>
        <w:rPr>
          <w:rFonts w:ascii="Calibri" w:eastAsia="Calibri" w:hAnsi="Calibri" w:cs="Calibri"/>
        </w:rPr>
        <w:t>Author’s contributions</w:t>
      </w:r>
    </w:p>
    <w:p w14:paraId="50AABD56" w14:textId="77777777" w:rsidR="00F25E3E" w:rsidRDefault="00000000">
      <w:pPr>
        <w:ind w:left="-15"/>
      </w:pPr>
      <w:r>
        <w:t xml:space="preserve">AFR, SL, KF, VM, MVM, MB: conceptualisation and questionnaire design; AFR, MVM translation of the questionnaire (French and Dutch); AFR, GF: methodology; AFR, GF, RR: survey dissemination, AFR: data cleaning, statistical analyses, and interpretation of results; AFR: writing </w:t>
      </w:r>
      <w:r>
        <w:rPr>
          <w:rFonts w:ascii="Calibri" w:eastAsia="Calibri" w:hAnsi="Calibri" w:cs="Calibri"/>
        </w:rPr>
        <w:t xml:space="preserve">– </w:t>
      </w:r>
      <w:r>
        <w:t>original draft; SL, KF, VM, BL, SS, RR, MVM, MB:</w:t>
      </w:r>
    </w:p>
    <w:p w14:paraId="412E77FD" w14:textId="77777777" w:rsidR="00F25E3E" w:rsidRDefault="00000000">
      <w:pPr>
        <w:spacing w:after="354"/>
        <w:ind w:left="-15" w:firstLine="0"/>
      </w:pPr>
      <w:r>
        <w:t xml:space="preserve">writing </w:t>
      </w:r>
      <w:r>
        <w:rPr>
          <w:rFonts w:ascii="Calibri" w:eastAsia="Calibri" w:hAnsi="Calibri" w:cs="Calibri"/>
        </w:rPr>
        <w:t xml:space="preserve">– </w:t>
      </w:r>
      <w:r>
        <w:t>review and editing.</w:t>
      </w:r>
    </w:p>
    <w:p w14:paraId="2EBE0665" w14:textId="77777777" w:rsidR="00F25E3E" w:rsidRDefault="00000000">
      <w:pPr>
        <w:spacing w:after="149" w:line="544" w:lineRule="auto"/>
        <w:ind w:left="224" w:right="2897" w:hanging="239"/>
        <w:jc w:val="left"/>
      </w:pPr>
      <w:r>
        <w:rPr>
          <w:rFonts w:ascii="Calibri" w:eastAsia="Calibri" w:hAnsi="Calibri" w:cs="Calibri"/>
        </w:rPr>
        <w:t xml:space="preserve">Consent for publication </w:t>
      </w:r>
      <w:r>
        <w:t>Not applicable.</w:t>
      </w:r>
    </w:p>
    <w:p w14:paraId="4B08103B" w14:textId="77777777" w:rsidR="00F25E3E" w:rsidRDefault="00000000">
      <w:pPr>
        <w:spacing w:after="213" w:line="259" w:lineRule="auto"/>
        <w:ind w:left="-5" w:hanging="10"/>
        <w:jc w:val="left"/>
      </w:pPr>
      <w:r>
        <w:rPr>
          <w:rFonts w:ascii="Calibri" w:eastAsia="Calibri" w:hAnsi="Calibri" w:cs="Calibri"/>
        </w:rPr>
        <w:t>Ethics approval and consent to participate</w:t>
      </w:r>
    </w:p>
    <w:p w14:paraId="0F63827A" w14:textId="77777777" w:rsidR="00F25E3E" w:rsidRDefault="00000000">
      <w:pPr>
        <w:spacing w:after="349"/>
        <w:ind w:left="-15"/>
      </w:pPr>
      <w:r>
        <w:t>This study was approved by the Central Ethics Committee of the University Hospital of Lie</w:t>
      </w:r>
      <w:r>
        <w:rPr>
          <w:rFonts w:ascii="Calibri" w:eastAsia="Calibri" w:hAnsi="Calibri" w:cs="Calibri"/>
        </w:rPr>
        <w:t>̀</w:t>
      </w:r>
      <w:r>
        <w:t>ge, Belgium on March 25th, 2025, number # 2025/231.Consentfromparticipantswasobtained atthebeginningof the survey.</w:t>
      </w:r>
    </w:p>
    <w:p w14:paraId="77912A07" w14:textId="77777777" w:rsidR="00F25E3E" w:rsidRDefault="00000000">
      <w:pPr>
        <w:spacing w:after="213" w:line="259" w:lineRule="auto"/>
        <w:ind w:left="-5" w:hanging="10"/>
        <w:jc w:val="left"/>
      </w:pPr>
      <w:r>
        <w:rPr>
          <w:rFonts w:ascii="Calibri" w:eastAsia="Calibri" w:hAnsi="Calibri" w:cs="Calibri"/>
        </w:rPr>
        <w:t>Declaration of Generative AI and AI-assisted technologies in the writing process</w:t>
      </w:r>
    </w:p>
    <w:p w14:paraId="17065917" w14:textId="77777777" w:rsidR="00F25E3E" w:rsidRDefault="00000000">
      <w:pPr>
        <w:spacing w:after="351"/>
        <w:ind w:left="-15"/>
      </w:pPr>
      <w:r>
        <w:t>ChatGPT 5.1 was used to revise the original draft written by AFR for language and style. The language generated by the GAI tool was verified by the co-authors.</w:t>
      </w:r>
    </w:p>
    <w:p w14:paraId="69947549" w14:textId="77777777" w:rsidR="00F25E3E" w:rsidRDefault="00000000">
      <w:pPr>
        <w:spacing w:after="213" w:line="259" w:lineRule="auto"/>
        <w:ind w:left="-5" w:hanging="10"/>
        <w:jc w:val="left"/>
      </w:pPr>
      <w:r>
        <w:rPr>
          <w:rFonts w:ascii="Calibri" w:eastAsia="Calibri" w:hAnsi="Calibri" w:cs="Calibri"/>
        </w:rPr>
        <w:t>Funding</w:t>
      </w:r>
    </w:p>
    <w:p w14:paraId="7F64589E" w14:textId="77777777" w:rsidR="00F25E3E" w:rsidRDefault="00000000">
      <w:pPr>
        <w:spacing w:after="352"/>
        <w:ind w:left="239" w:firstLine="0"/>
      </w:pPr>
      <w:r>
        <w:t>The present study has not been supported by any funding.</w:t>
      </w:r>
    </w:p>
    <w:p w14:paraId="47A8A334" w14:textId="77777777" w:rsidR="00F25E3E" w:rsidRDefault="00000000">
      <w:pPr>
        <w:spacing w:after="213" w:line="259" w:lineRule="auto"/>
        <w:ind w:left="-5" w:hanging="10"/>
        <w:jc w:val="left"/>
      </w:pPr>
      <w:r>
        <w:rPr>
          <w:rFonts w:ascii="Calibri" w:eastAsia="Calibri" w:hAnsi="Calibri" w:cs="Calibri"/>
        </w:rPr>
        <w:t>Availability of data and material</w:t>
      </w:r>
    </w:p>
    <w:p w14:paraId="2B89DAD5" w14:textId="77777777" w:rsidR="00F25E3E" w:rsidRDefault="00000000">
      <w:pPr>
        <w:spacing w:after="220"/>
        <w:ind w:left="-15"/>
      </w:pPr>
      <w:r>
        <w:t>The datasets used and/or analysed during the current study are available from the corresponding author on reasonable request.</w:t>
      </w:r>
    </w:p>
    <w:p w14:paraId="629CE828" w14:textId="77777777" w:rsidR="00F25E3E" w:rsidRDefault="00000000">
      <w:pPr>
        <w:spacing w:after="213" w:line="259" w:lineRule="auto"/>
        <w:ind w:left="-5" w:hanging="10"/>
        <w:jc w:val="left"/>
      </w:pPr>
      <w:r>
        <w:rPr>
          <w:rFonts w:ascii="Calibri" w:eastAsia="Calibri" w:hAnsi="Calibri" w:cs="Calibri"/>
        </w:rPr>
        <w:t>Declaration of competing interest</w:t>
      </w:r>
    </w:p>
    <w:p w14:paraId="38832B03" w14:textId="77777777" w:rsidR="00F25E3E" w:rsidRDefault="00000000">
      <w:pPr>
        <w:ind w:left="239" w:firstLine="0"/>
      </w:pPr>
      <w:r>
        <w:t>All authors declare that they have no competing interests.</w:t>
      </w:r>
    </w:p>
    <w:p w14:paraId="1B15DBD2" w14:textId="77777777" w:rsidR="00F25E3E" w:rsidRDefault="00000000">
      <w:pPr>
        <w:spacing w:after="213" w:line="259" w:lineRule="auto"/>
        <w:ind w:left="-5" w:hanging="10"/>
        <w:jc w:val="left"/>
      </w:pPr>
      <w:r>
        <w:rPr>
          <w:rFonts w:ascii="Calibri" w:eastAsia="Calibri" w:hAnsi="Calibri" w:cs="Calibri"/>
        </w:rPr>
        <w:t>Acknowledgements</w:t>
      </w:r>
    </w:p>
    <w:p w14:paraId="309ED6F0" w14:textId="77777777" w:rsidR="00F25E3E" w:rsidRDefault="00000000">
      <w:pPr>
        <w:spacing w:after="293"/>
        <w:ind w:left="-15"/>
      </w:pPr>
      <w:r>
        <w:t>We thank Christina Jones for her assistance with the development of the questionnaires, and Leila Alegra Vargas for her valuable contribution to translation of the questionnaires and data collection.</w:t>
      </w:r>
    </w:p>
    <w:p w14:paraId="58A8923F" w14:textId="77777777" w:rsidR="00F25E3E" w:rsidRDefault="00000000">
      <w:pPr>
        <w:spacing w:after="213" w:line="259" w:lineRule="auto"/>
        <w:ind w:left="-5" w:hanging="10"/>
        <w:jc w:val="left"/>
      </w:pPr>
      <w:r>
        <w:rPr>
          <w:rFonts w:ascii="Calibri" w:eastAsia="Calibri" w:hAnsi="Calibri" w:cs="Calibri"/>
        </w:rPr>
        <w:t>Appendix A. Supplementary data</w:t>
      </w:r>
    </w:p>
    <w:p w14:paraId="55FF6BA7" w14:textId="77777777" w:rsidR="00F25E3E" w:rsidRDefault="00000000">
      <w:pPr>
        <w:spacing w:after="153"/>
        <w:ind w:left="-15"/>
      </w:pPr>
      <w:r>
        <w:t>Supplementary material related to this article can be found, in the online version, at doi:</w:t>
      </w:r>
      <w:hyperlink r:id="rId28">
        <w:r>
          <w:rPr>
            <w:color w:val="005F89"/>
          </w:rPr>
          <w:t>https://doi.org/10.1016/j.aicoj.2026.100141</w:t>
        </w:r>
      </w:hyperlink>
      <w:hyperlink r:id="rId29">
        <w:r>
          <w:t>.</w:t>
        </w:r>
      </w:hyperlink>
    </w:p>
    <w:p w14:paraId="42D1CDAB" w14:textId="77777777" w:rsidR="00F25E3E" w:rsidRDefault="00000000">
      <w:pPr>
        <w:spacing w:after="126" w:line="259" w:lineRule="auto"/>
        <w:ind w:left="-5" w:hanging="10"/>
        <w:jc w:val="left"/>
      </w:pPr>
      <w:r>
        <w:rPr>
          <w:rFonts w:ascii="Calibri" w:eastAsia="Calibri" w:hAnsi="Calibri" w:cs="Calibri"/>
        </w:rPr>
        <w:t>References</w:t>
      </w:r>
    </w:p>
    <w:p w14:paraId="05CBF776" w14:textId="77777777" w:rsidR="00F25E3E" w:rsidRDefault="00000000">
      <w:pPr>
        <w:numPr>
          <w:ilvl w:val="0"/>
          <w:numId w:val="2"/>
        </w:numPr>
        <w:spacing w:after="9" w:line="269" w:lineRule="auto"/>
        <w:ind w:hanging="328"/>
        <w:jc w:val="left"/>
      </w:pPr>
      <w:hyperlink r:id="rId30">
        <w:r>
          <w:rPr>
            <w:color w:val="005F89"/>
            <w:sz w:val="13"/>
          </w:rPr>
          <w:t>Bauer M, Tissieres P,Singer M. Mortality trends insepsis</w:t>
        </w:r>
      </w:hyperlink>
      <w:hyperlink r:id="rId31">
        <w:r>
          <w:rPr>
            <w:rFonts w:ascii="Calibri" w:eastAsia="Calibri" w:hAnsi="Calibri" w:cs="Calibri"/>
            <w:color w:val="005F89"/>
            <w:sz w:val="13"/>
          </w:rPr>
          <w:t>…</w:t>
        </w:r>
      </w:hyperlink>
      <w:r>
        <w:rPr>
          <w:rFonts w:ascii="Calibri" w:eastAsia="Calibri" w:hAnsi="Calibri" w:cs="Calibri"/>
          <w:color w:val="005F89"/>
          <w:sz w:val="13"/>
        </w:rPr>
        <w:t xml:space="preserve"> </w:t>
      </w:r>
      <w:hyperlink r:id="rId32">
        <w:r>
          <w:rPr>
            <w:color w:val="005F89"/>
            <w:sz w:val="13"/>
          </w:rPr>
          <w:t xml:space="preserve">orhow to kill two birds </w:t>
        </w:r>
      </w:hyperlink>
      <w:hyperlink r:id="rId33">
        <w:r>
          <w:rPr>
            <w:color w:val="005F89"/>
            <w:sz w:val="13"/>
          </w:rPr>
          <w:t>with one stone? Intensive Care Med United States. 2026;163</w:t>
        </w:r>
      </w:hyperlink>
      <w:hyperlink r:id="rId34">
        <w:r>
          <w:rPr>
            <w:rFonts w:ascii="Calibri" w:eastAsia="Calibri" w:hAnsi="Calibri" w:cs="Calibri"/>
            <w:color w:val="005F89"/>
            <w:sz w:val="13"/>
          </w:rPr>
          <w:t>–</w:t>
        </w:r>
      </w:hyperlink>
      <w:hyperlink r:id="rId35">
        <w:r>
          <w:rPr>
            <w:color w:val="005F89"/>
            <w:sz w:val="13"/>
          </w:rPr>
          <w:t>5.</w:t>
        </w:r>
      </w:hyperlink>
    </w:p>
    <w:p w14:paraId="7CE11147" w14:textId="77777777" w:rsidR="00F25E3E" w:rsidRDefault="00000000">
      <w:pPr>
        <w:numPr>
          <w:ilvl w:val="0"/>
          <w:numId w:val="2"/>
        </w:numPr>
        <w:spacing w:after="8" w:line="269" w:lineRule="auto"/>
        <w:ind w:hanging="328"/>
        <w:jc w:val="left"/>
      </w:pPr>
      <w:hyperlink r:id="rId36">
        <w:r>
          <w:rPr>
            <w:color w:val="005F89"/>
            <w:sz w:val="13"/>
          </w:rPr>
          <w:t xml:space="preserve">Jung C, Marschall U, Hennig B, Giemsa M, Heramvand N, Parco C, et al. Five-year </w:t>
        </w:r>
      </w:hyperlink>
      <w:hyperlink r:id="rId37">
        <w:r>
          <w:rPr>
            <w:color w:val="005F89"/>
            <w:sz w:val="13"/>
          </w:rPr>
          <w:t xml:space="preserve">mortality and functional trajectories in older survivors of intensive care compared </w:t>
        </w:r>
      </w:hyperlink>
      <w:hyperlink r:id="rId38">
        <w:r>
          <w:rPr>
            <w:color w:val="005F89"/>
            <w:sz w:val="13"/>
          </w:rPr>
          <w:t>to the general population. Intensive Care Med. 2025;51:2329</w:t>
        </w:r>
      </w:hyperlink>
      <w:hyperlink r:id="rId39">
        <w:r>
          <w:rPr>
            <w:rFonts w:ascii="Calibri" w:eastAsia="Calibri" w:hAnsi="Calibri" w:cs="Calibri"/>
            <w:color w:val="005F89"/>
            <w:sz w:val="13"/>
          </w:rPr>
          <w:t>–</w:t>
        </w:r>
      </w:hyperlink>
      <w:hyperlink r:id="rId40">
        <w:r>
          <w:rPr>
            <w:color w:val="005F89"/>
            <w:sz w:val="13"/>
          </w:rPr>
          <w:t>40.</w:t>
        </w:r>
      </w:hyperlink>
    </w:p>
    <w:p w14:paraId="6160BF76" w14:textId="77777777" w:rsidR="00F25E3E" w:rsidRDefault="00000000">
      <w:pPr>
        <w:numPr>
          <w:ilvl w:val="0"/>
          <w:numId w:val="2"/>
        </w:numPr>
        <w:spacing w:after="9" w:line="269" w:lineRule="auto"/>
        <w:ind w:hanging="328"/>
        <w:jc w:val="left"/>
      </w:pPr>
      <w:hyperlink r:id="rId41">
        <w:r>
          <w:rPr>
            <w:color w:val="005F89"/>
            <w:sz w:val="13"/>
          </w:rPr>
          <w:t>Inoue S, Nakanishi N, Amaya F, Fujinami Y, Hatakeyama J, Hifumi T, et al. Post</w:t>
        </w:r>
      </w:hyperlink>
      <w:hyperlink r:id="rId42">
        <w:r>
          <w:rPr>
            <w:color w:val="005F89"/>
            <w:sz w:val="13"/>
          </w:rPr>
          <w:t xml:space="preserve">intensive care syndrome: recent advances and future directions. Acute Med Surg. </w:t>
        </w:r>
      </w:hyperlink>
      <w:hyperlink r:id="rId43">
        <w:r>
          <w:rPr>
            <w:color w:val="005F89"/>
            <w:sz w:val="13"/>
          </w:rPr>
          <w:t>2024;11e929.</w:t>
        </w:r>
      </w:hyperlink>
    </w:p>
    <w:p w14:paraId="579DF6A5" w14:textId="77777777" w:rsidR="00F25E3E" w:rsidRDefault="00000000">
      <w:pPr>
        <w:numPr>
          <w:ilvl w:val="0"/>
          <w:numId w:val="2"/>
        </w:numPr>
        <w:spacing w:after="9" w:line="269" w:lineRule="auto"/>
        <w:ind w:hanging="328"/>
        <w:jc w:val="left"/>
      </w:pPr>
      <w:hyperlink r:id="rId44">
        <w:r>
          <w:rPr>
            <w:color w:val="005F89"/>
            <w:sz w:val="13"/>
          </w:rPr>
          <w:t xml:space="preserve">Rousseau AF, Prescott HC, Brett SJ, Weiss B, Azoulay E, Creteur J, et al. Long-term </w:t>
        </w:r>
      </w:hyperlink>
      <w:hyperlink r:id="rId45">
        <w:r>
          <w:rPr>
            <w:color w:val="005F89"/>
            <w:sz w:val="13"/>
          </w:rPr>
          <w:t>outcomes after critical illness: recent insights. Crit Care. 2021;25:108.</w:t>
        </w:r>
      </w:hyperlink>
    </w:p>
    <w:p w14:paraId="620BFD8B" w14:textId="77777777" w:rsidR="00F25E3E" w:rsidRDefault="00000000">
      <w:pPr>
        <w:numPr>
          <w:ilvl w:val="0"/>
          <w:numId w:val="2"/>
        </w:numPr>
        <w:spacing w:after="8" w:line="269" w:lineRule="auto"/>
        <w:ind w:hanging="328"/>
        <w:jc w:val="left"/>
      </w:pPr>
      <w:hyperlink r:id="rId46">
        <w:r>
          <w:rPr>
            <w:color w:val="005F89"/>
            <w:sz w:val="13"/>
          </w:rPr>
          <w:t xml:space="preserve">Rousseau AF, Fraipont V, Preiser JC. Post-intensive care syndrome is a potential </w:t>
        </w:r>
      </w:hyperlink>
      <w:hyperlink r:id="rId47">
        <w:r>
          <w:rPr>
            <w:color w:val="005F89"/>
            <w:sz w:val="13"/>
          </w:rPr>
          <w:t xml:space="preserve">consequence of critical care: can intensivists afford to look away? Intensive Care </w:t>
        </w:r>
      </w:hyperlink>
      <w:hyperlink r:id="rId48">
        <w:r>
          <w:rPr>
            <w:color w:val="005F89"/>
            <w:sz w:val="13"/>
          </w:rPr>
          <w:t>Med. 2025;51:2135</w:t>
        </w:r>
      </w:hyperlink>
      <w:hyperlink r:id="rId49">
        <w:r>
          <w:rPr>
            <w:rFonts w:ascii="Calibri" w:eastAsia="Calibri" w:hAnsi="Calibri" w:cs="Calibri"/>
            <w:color w:val="005F89"/>
            <w:sz w:val="13"/>
          </w:rPr>
          <w:t>–</w:t>
        </w:r>
      </w:hyperlink>
      <w:hyperlink r:id="rId50">
        <w:r>
          <w:rPr>
            <w:color w:val="005F89"/>
            <w:sz w:val="13"/>
          </w:rPr>
          <w:t>40</w:t>
        </w:r>
      </w:hyperlink>
      <w:r>
        <w:rPr>
          <w:color w:val="005F89"/>
          <w:sz w:val="13"/>
        </w:rPr>
        <w:t>.</w:t>
      </w:r>
    </w:p>
    <w:p w14:paraId="010AA307" w14:textId="77777777" w:rsidR="00F25E3E" w:rsidRDefault="00000000">
      <w:pPr>
        <w:numPr>
          <w:ilvl w:val="0"/>
          <w:numId w:val="2"/>
        </w:numPr>
        <w:spacing w:after="9" w:line="269" w:lineRule="auto"/>
        <w:ind w:hanging="328"/>
        <w:jc w:val="left"/>
      </w:pPr>
      <w:hyperlink r:id="rId51">
        <w:r>
          <w:rPr>
            <w:color w:val="005F89"/>
            <w:sz w:val="13"/>
          </w:rPr>
          <w:t xml:space="preserve">Guidet B, Vallet H, Flaatten H, Joynt G, Bagshaw SM, Leaver SK, et al. The </w:t>
        </w:r>
      </w:hyperlink>
      <w:hyperlink r:id="rId52">
        <w:r>
          <w:rPr>
            <w:color w:val="005F89"/>
            <w:sz w:val="13"/>
          </w:rPr>
          <w:t>trajectory of very old critically ill patients. Intensive Care Med. 2024;50:181</w:t>
        </w:r>
      </w:hyperlink>
      <w:hyperlink r:id="rId53">
        <w:r>
          <w:rPr>
            <w:rFonts w:ascii="Calibri" w:eastAsia="Calibri" w:hAnsi="Calibri" w:cs="Calibri"/>
            <w:color w:val="005F89"/>
            <w:sz w:val="13"/>
          </w:rPr>
          <w:t>–</w:t>
        </w:r>
      </w:hyperlink>
      <w:hyperlink r:id="rId54">
        <w:r>
          <w:rPr>
            <w:color w:val="005F89"/>
            <w:sz w:val="13"/>
          </w:rPr>
          <w:t>94.</w:t>
        </w:r>
      </w:hyperlink>
    </w:p>
    <w:p w14:paraId="101CFBBE" w14:textId="77777777" w:rsidR="00F25E3E" w:rsidRDefault="00000000">
      <w:pPr>
        <w:numPr>
          <w:ilvl w:val="0"/>
          <w:numId w:val="2"/>
        </w:numPr>
        <w:spacing w:after="9" w:line="269" w:lineRule="auto"/>
        <w:ind w:hanging="328"/>
        <w:jc w:val="left"/>
      </w:pPr>
      <w:hyperlink r:id="rId55">
        <w:r>
          <w:rPr>
            <w:color w:val="005F89"/>
            <w:sz w:val="13"/>
          </w:rPr>
          <w:t>Butcher BW. Post-intensive care syndrome. JAMA United States. 2026;542</w:t>
        </w:r>
      </w:hyperlink>
      <w:hyperlink r:id="rId56">
        <w:r>
          <w:rPr>
            <w:rFonts w:ascii="Calibri" w:eastAsia="Calibri" w:hAnsi="Calibri" w:cs="Calibri"/>
            <w:color w:val="005F89"/>
            <w:sz w:val="13"/>
          </w:rPr>
          <w:t>–</w:t>
        </w:r>
      </w:hyperlink>
      <w:hyperlink r:id="rId57">
        <w:r>
          <w:rPr>
            <w:color w:val="005F89"/>
            <w:sz w:val="13"/>
          </w:rPr>
          <w:t>3.</w:t>
        </w:r>
      </w:hyperlink>
    </w:p>
    <w:p w14:paraId="42F26458" w14:textId="77777777" w:rsidR="00F25E3E" w:rsidRDefault="00000000">
      <w:pPr>
        <w:numPr>
          <w:ilvl w:val="0"/>
          <w:numId w:val="2"/>
        </w:numPr>
        <w:spacing w:after="9" w:line="269" w:lineRule="auto"/>
        <w:ind w:hanging="328"/>
        <w:jc w:val="left"/>
      </w:pPr>
      <w:hyperlink r:id="rId58">
        <w:r>
          <w:rPr>
            <w:color w:val="005F89"/>
            <w:sz w:val="13"/>
          </w:rPr>
          <w:t>Prescott HC, Angus DC. Enhancing recovery from sepsis: a review. JAMA.</w:t>
        </w:r>
      </w:hyperlink>
    </w:p>
    <w:p w14:paraId="68004B69" w14:textId="77777777" w:rsidR="00F25E3E" w:rsidRDefault="00000000">
      <w:pPr>
        <w:spacing w:after="9" w:line="269" w:lineRule="auto"/>
        <w:ind w:left="320" w:firstLine="0"/>
        <w:jc w:val="left"/>
      </w:pPr>
      <w:hyperlink r:id="rId59">
        <w:r>
          <w:rPr>
            <w:color w:val="005F89"/>
            <w:sz w:val="13"/>
          </w:rPr>
          <w:t>2018;319:62</w:t>
        </w:r>
      </w:hyperlink>
      <w:hyperlink r:id="rId60">
        <w:r>
          <w:rPr>
            <w:rFonts w:ascii="Calibri" w:eastAsia="Calibri" w:hAnsi="Calibri" w:cs="Calibri"/>
            <w:color w:val="005F89"/>
            <w:sz w:val="13"/>
          </w:rPr>
          <w:t>–</w:t>
        </w:r>
      </w:hyperlink>
      <w:hyperlink r:id="rId61">
        <w:r>
          <w:rPr>
            <w:color w:val="005F89"/>
            <w:sz w:val="13"/>
          </w:rPr>
          <w:t>75.</w:t>
        </w:r>
      </w:hyperlink>
    </w:p>
    <w:p w14:paraId="6E59EFA8" w14:textId="77777777" w:rsidR="00F25E3E" w:rsidRDefault="00000000">
      <w:pPr>
        <w:numPr>
          <w:ilvl w:val="0"/>
          <w:numId w:val="2"/>
        </w:numPr>
        <w:spacing w:after="8" w:line="269" w:lineRule="auto"/>
        <w:ind w:hanging="328"/>
        <w:jc w:val="left"/>
      </w:pPr>
      <w:hyperlink r:id="rId62">
        <w:r>
          <w:rPr>
            <w:color w:val="005F89"/>
            <w:sz w:val="13"/>
          </w:rPr>
          <w:t>Nakanishi N, Liu K, Hatakeyama J, Kawauchi A, Yoshida M, Sumita H, et al. Post</w:t>
        </w:r>
      </w:hyperlink>
      <w:hyperlink r:id="rId63">
        <w:r>
          <w:rPr>
            <w:color w:val="005F89"/>
            <w:sz w:val="13"/>
          </w:rPr>
          <w:t xml:space="preserve">intensive care syndrome follow-up system after hospital discharge: a narrative </w:t>
        </w:r>
      </w:hyperlink>
      <w:hyperlink r:id="rId64">
        <w:r>
          <w:rPr>
            <w:color w:val="005F89"/>
            <w:sz w:val="13"/>
          </w:rPr>
          <w:t>review. J Intensive Care. 2024;12:2.</w:t>
        </w:r>
      </w:hyperlink>
    </w:p>
    <w:p w14:paraId="0B4BEB2F" w14:textId="77777777" w:rsidR="00F25E3E" w:rsidRDefault="00000000">
      <w:pPr>
        <w:numPr>
          <w:ilvl w:val="0"/>
          <w:numId w:val="2"/>
        </w:numPr>
        <w:spacing w:after="8" w:line="269" w:lineRule="auto"/>
        <w:ind w:hanging="328"/>
        <w:jc w:val="left"/>
      </w:pPr>
      <w:hyperlink r:id="rId65">
        <w:r>
          <w:rPr>
            <w:color w:val="005F89"/>
            <w:sz w:val="13"/>
          </w:rPr>
          <w:t xml:space="preserve">Malyon A, Hartley P, Eaton TL, Danesh V, Connolly B, Lone NI, et al. Insights from </w:t>
        </w:r>
      </w:hyperlink>
      <w:hyperlink r:id="rId66">
        <w:r>
          <w:rPr>
            <w:color w:val="005F89"/>
            <w:sz w:val="13"/>
          </w:rPr>
          <w:t xml:space="preserve">clinicians on reconnecting with survivors of critical illness: An international </w:t>
        </w:r>
      </w:hyperlink>
      <w:hyperlink r:id="rId67">
        <w:r>
          <w:rPr>
            <w:color w:val="005F89"/>
            <w:sz w:val="13"/>
          </w:rPr>
          <w:t>qualitative investigation. Intensive Crit Care Nurs. 2025;91104212.</w:t>
        </w:r>
      </w:hyperlink>
    </w:p>
    <w:p w14:paraId="7A8A13CE" w14:textId="77777777" w:rsidR="00F25E3E" w:rsidRDefault="00000000">
      <w:pPr>
        <w:numPr>
          <w:ilvl w:val="0"/>
          <w:numId w:val="2"/>
        </w:numPr>
        <w:spacing w:after="8" w:line="269" w:lineRule="auto"/>
        <w:ind w:hanging="328"/>
        <w:jc w:val="left"/>
      </w:pPr>
      <w:hyperlink r:id="rId68">
        <w:r>
          <w:rPr>
            <w:color w:val="005F89"/>
            <w:sz w:val="13"/>
          </w:rPr>
          <w:t xml:space="preserve">Beil M, Alberto L, Bourne RS, Brummel NE, de Groot B, de Lange DW, et al. ESICM </w:t>
        </w:r>
      </w:hyperlink>
      <w:hyperlink r:id="rId69">
        <w:r>
          <w:rPr>
            <w:color w:val="005F89"/>
            <w:sz w:val="13"/>
          </w:rPr>
          <w:t xml:space="preserve">consensus-based recommendations for the management of very old patients in </w:t>
        </w:r>
      </w:hyperlink>
      <w:hyperlink r:id="rId70">
        <w:r>
          <w:rPr>
            <w:color w:val="005F89"/>
            <w:sz w:val="13"/>
          </w:rPr>
          <w:t>intensive care. Intensive Care Med. 2025;51:287</w:t>
        </w:r>
      </w:hyperlink>
      <w:hyperlink r:id="rId71">
        <w:r>
          <w:rPr>
            <w:rFonts w:ascii="Calibri" w:eastAsia="Calibri" w:hAnsi="Calibri" w:cs="Calibri"/>
            <w:color w:val="005F89"/>
            <w:sz w:val="13"/>
          </w:rPr>
          <w:t>–</w:t>
        </w:r>
      </w:hyperlink>
      <w:hyperlink r:id="rId72">
        <w:r>
          <w:rPr>
            <w:color w:val="005F89"/>
            <w:sz w:val="13"/>
          </w:rPr>
          <w:t>301</w:t>
        </w:r>
      </w:hyperlink>
      <w:r>
        <w:rPr>
          <w:color w:val="005F89"/>
          <w:sz w:val="13"/>
        </w:rPr>
        <w:t>.</w:t>
      </w:r>
    </w:p>
    <w:p w14:paraId="1E26CCB6" w14:textId="77777777" w:rsidR="00F25E3E" w:rsidRDefault="00000000">
      <w:pPr>
        <w:numPr>
          <w:ilvl w:val="0"/>
          <w:numId w:val="2"/>
        </w:numPr>
        <w:spacing w:after="9" w:line="269" w:lineRule="auto"/>
        <w:ind w:hanging="328"/>
        <w:jc w:val="left"/>
      </w:pPr>
      <w:hyperlink r:id="rId73">
        <w:r>
          <w:rPr>
            <w:color w:val="005F89"/>
            <w:sz w:val="13"/>
          </w:rPr>
          <w:t xml:space="preserve">Dimopoulos S, Leggett NE, Deane AM, Haines KJ, Abdelhamid YA. Models of </w:t>
        </w:r>
      </w:hyperlink>
      <w:hyperlink r:id="rId74">
        <w:r>
          <w:rPr>
            <w:color w:val="005F89"/>
            <w:sz w:val="13"/>
          </w:rPr>
          <w:t>intensive care unit follow-up care and feasibility of intervention delivery:</w:t>
        </w:r>
      </w:hyperlink>
      <w:r>
        <w:rPr>
          <w:color w:val="005F89"/>
          <w:sz w:val="13"/>
        </w:rPr>
        <w:t xml:space="preserve"> </w:t>
      </w:r>
      <w:hyperlink r:id="rId75">
        <w:r>
          <w:rPr>
            <w:color w:val="005F89"/>
            <w:sz w:val="13"/>
          </w:rPr>
          <w:t xml:space="preserve">A </w:t>
        </w:r>
      </w:hyperlink>
      <w:hyperlink r:id="rId76">
        <w:r>
          <w:rPr>
            <w:color w:val="005F89"/>
            <w:sz w:val="13"/>
          </w:rPr>
          <w:t>systematic review. Aust Crit Care. 2024;37:508</w:t>
        </w:r>
      </w:hyperlink>
      <w:hyperlink r:id="rId77">
        <w:r>
          <w:rPr>
            <w:rFonts w:ascii="Calibri" w:eastAsia="Calibri" w:hAnsi="Calibri" w:cs="Calibri"/>
            <w:color w:val="005F89"/>
            <w:sz w:val="13"/>
          </w:rPr>
          <w:t>–</w:t>
        </w:r>
      </w:hyperlink>
      <w:hyperlink r:id="rId78">
        <w:r>
          <w:rPr>
            <w:color w:val="005F89"/>
            <w:sz w:val="13"/>
          </w:rPr>
          <w:t>16.</w:t>
        </w:r>
      </w:hyperlink>
    </w:p>
    <w:p w14:paraId="518813CB" w14:textId="77777777" w:rsidR="00F25E3E" w:rsidRDefault="00000000">
      <w:pPr>
        <w:numPr>
          <w:ilvl w:val="0"/>
          <w:numId w:val="2"/>
        </w:numPr>
        <w:spacing w:after="8" w:line="269" w:lineRule="auto"/>
        <w:ind w:hanging="328"/>
        <w:jc w:val="left"/>
      </w:pPr>
      <w:hyperlink r:id="rId79">
        <w:r>
          <w:rPr>
            <w:color w:val="005F89"/>
            <w:sz w:val="13"/>
          </w:rPr>
          <w:t xml:space="preserve">Bircak-Kuchtova B, Rose N, Geis C, Finke K, Pletz MW, Chung HY, et al. </w:t>
        </w:r>
      </w:hyperlink>
      <w:hyperlink r:id="rId80">
        <w:r>
          <w:rPr>
            <w:color w:val="005F89"/>
            <w:sz w:val="13"/>
          </w:rPr>
          <w:t xml:space="preserve">Effectiveness of targeted post-acute interventions and follow-up services forsepsis </w:t>
        </w:r>
      </w:hyperlink>
      <w:hyperlink r:id="rId81">
        <w:r>
          <w:rPr>
            <w:color w:val="005F89"/>
            <w:sz w:val="13"/>
          </w:rPr>
          <w:t>survivors: a systematic review. Crit Care. 2025;29:351.</w:t>
        </w:r>
      </w:hyperlink>
    </w:p>
    <w:p w14:paraId="6C6C3CFE" w14:textId="77777777" w:rsidR="00F25E3E" w:rsidRDefault="00000000">
      <w:pPr>
        <w:numPr>
          <w:ilvl w:val="0"/>
          <w:numId w:val="2"/>
        </w:numPr>
        <w:spacing w:after="8" w:line="269" w:lineRule="auto"/>
        <w:ind w:hanging="328"/>
        <w:jc w:val="left"/>
      </w:pPr>
      <w:hyperlink r:id="rId82">
        <w:r>
          <w:rPr>
            <w:color w:val="005F89"/>
            <w:sz w:val="13"/>
          </w:rPr>
          <w:t>Sharshar T, Grimaldi-Bensouda L, Siami S, Cariou A, Salah AB, Kalfon P, et al.</w:t>
        </w:r>
      </w:hyperlink>
      <w:r>
        <w:rPr>
          <w:color w:val="005F89"/>
          <w:sz w:val="13"/>
        </w:rPr>
        <w:t xml:space="preserve"> </w:t>
      </w:r>
      <w:hyperlink r:id="rId83">
        <w:r>
          <w:rPr>
            <w:color w:val="005F89"/>
            <w:sz w:val="13"/>
          </w:rPr>
          <w:t xml:space="preserve">A </w:t>
        </w:r>
      </w:hyperlink>
      <w:hyperlink r:id="rId84">
        <w:r>
          <w:rPr>
            <w:color w:val="005F89"/>
            <w:sz w:val="13"/>
          </w:rPr>
          <w:t xml:space="preserve">randomized clinical trial to evaluate the effect of post-intensive care </w:t>
        </w:r>
      </w:hyperlink>
      <w:hyperlink r:id="rId85">
        <w:r>
          <w:rPr>
            <w:color w:val="005F89"/>
            <w:sz w:val="13"/>
          </w:rPr>
          <w:t>multidisciplinary consultations on mortality and the quality of life at 1 year.</w:t>
        </w:r>
      </w:hyperlink>
    </w:p>
    <w:p w14:paraId="0F6CCBD8" w14:textId="77777777" w:rsidR="00F25E3E" w:rsidRDefault="00000000">
      <w:pPr>
        <w:spacing w:after="9" w:line="269" w:lineRule="auto"/>
        <w:ind w:left="328" w:firstLine="0"/>
        <w:jc w:val="left"/>
      </w:pPr>
      <w:hyperlink r:id="rId86">
        <w:r>
          <w:rPr>
            <w:color w:val="005F89"/>
            <w:sz w:val="13"/>
          </w:rPr>
          <w:t>Intensive Care Med United States. 2024;665</w:t>
        </w:r>
      </w:hyperlink>
      <w:hyperlink r:id="rId87">
        <w:r>
          <w:rPr>
            <w:rFonts w:ascii="Calibri" w:eastAsia="Calibri" w:hAnsi="Calibri" w:cs="Calibri"/>
            <w:color w:val="005F89"/>
            <w:sz w:val="13"/>
          </w:rPr>
          <w:t>–</w:t>
        </w:r>
      </w:hyperlink>
      <w:hyperlink r:id="rId88">
        <w:r>
          <w:rPr>
            <w:color w:val="005F89"/>
            <w:sz w:val="13"/>
          </w:rPr>
          <w:t>77.</w:t>
        </w:r>
      </w:hyperlink>
    </w:p>
    <w:p w14:paraId="5BD4E2C7" w14:textId="77777777" w:rsidR="00F25E3E" w:rsidRDefault="00000000">
      <w:pPr>
        <w:numPr>
          <w:ilvl w:val="0"/>
          <w:numId w:val="2"/>
        </w:numPr>
        <w:spacing w:after="8" w:line="269" w:lineRule="auto"/>
        <w:ind w:hanging="328"/>
        <w:jc w:val="left"/>
      </w:pPr>
      <w:hyperlink r:id="rId89">
        <w:r>
          <w:rPr>
            <w:color w:val="005F89"/>
            <w:sz w:val="13"/>
          </w:rPr>
          <w:t xml:space="preserve">Vlake JH, van Genderen ME, Schut A, Verkade M, Wils EJ, Gommers D, et al. </w:t>
        </w:r>
      </w:hyperlink>
      <w:hyperlink r:id="rId90">
        <w:r>
          <w:rPr>
            <w:color w:val="005F89"/>
            <w:sz w:val="13"/>
          </w:rPr>
          <w:t xml:space="preserve">Patients suffering from psychological impairments following critical illness are in </w:t>
        </w:r>
      </w:hyperlink>
      <w:hyperlink r:id="rId91">
        <w:r>
          <w:rPr>
            <w:color w:val="005F89"/>
            <w:sz w:val="13"/>
          </w:rPr>
          <w:t>need of information. J Intensive Care. 2020;8:6.</w:t>
        </w:r>
      </w:hyperlink>
    </w:p>
    <w:p w14:paraId="110CC6CF" w14:textId="77777777" w:rsidR="00F25E3E" w:rsidRDefault="00000000">
      <w:pPr>
        <w:numPr>
          <w:ilvl w:val="0"/>
          <w:numId w:val="2"/>
        </w:numPr>
        <w:spacing w:after="9" w:line="269" w:lineRule="auto"/>
        <w:ind w:hanging="328"/>
        <w:jc w:val="left"/>
      </w:pPr>
      <w:hyperlink r:id="rId92">
        <w:r>
          <w:rPr>
            <w:color w:val="005F89"/>
            <w:sz w:val="13"/>
          </w:rPr>
          <w:t xml:space="preserve">Khan BA, Perkins AJ, Khan SH, Unverzagt FW, Lasiter S, Gao S, et al. Mobile </w:t>
        </w:r>
      </w:hyperlink>
      <w:hyperlink r:id="rId93">
        <w:r>
          <w:rPr>
            <w:color w:val="005F89"/>
            <w:sz w:val="13"/>
          </w:rPr>
          <w:t>critical care recovery program for survivors of acute respiratory failure:</w:t>
        </w:r>
      </w:hyperlink>
      <w:r>
        <w:rPr>
          <w:color w:val="005F89"/>
          <w:sz w:val="13"/>
        </w:rPr>
        <w:t xml:space="preserve"> </w:t>
      </w:r>
      <w:hyperlink r:id="rId94">
        <w:r>
          <w:rPr>
            <w:color w:val="005F89"/>
            <w:sz w:val="13"/>
          </w:rPr>
          <w:t xml:space="preserve">a </w:t>
        </w:r>
      </w:hyperlink>
      <w:hyperlink r:id="rId95">
        <w:r>
          <w:rPr>
            <w:color w:val="005F89"/>
            <w:sz w:val="13"/>
          </w:rPr>
          <w:t>randomized clinical trial. JAMA Netw Open United States. 2024e2353158.</w:t>
        </w:r>
      </w:hyperlink>
    </w:p>
    <w:p w14:paraId="3233B6DC" w14:textId="77777777" w:rsidR="00F25E3E" w:rsidRDefault="00000000">
      <w:pPr>
        <w:numPr>
          <w:ilvl w:val="0"/>
          <w:numId w:val="2"/>
        </w:numPr>
        <w:spacing w:after="8" w:line="269" w:lineRule="auto"/>
        <w:ind w:hanging="328"/>
        <w:jc w:val="left"/>
      </w:pPr>
      <w:hyperlink r:id="rId96">
        <w:r>
          <w:rPr>
            <w:color w:val="005F89"/>
            <w:sz w:val="13"/>
          </w:rPr>
          <w:t>Rolfsen ML, Mart MF, Kieffer H, Krasinski D, Girard TD, Ferrante LE, et al. Post</w:t>
        </w:r>
      </w:hyperlink>
      <w:hyperlink r:id="rId97">
        <w:r>
          <w:rPr>
            <w:color w:val="005F89"/>
            <w:sz w:val="13"/>
          </w:rPr>
          <w:t xml:space="preserve">intensive care syndrome awareness and communication: surveys of ICU providers </w:t>
        </w:r>
      </w:hyperlink>
      <w:hyperlink r:id="rId98">
        <w:r>
          <w:rPr>
            <w:color w:val="005F89"/>
            <w:sz w:val="13"/>
          </w:rPr>
          <w:t>and patients. Chest. 2026;169:486</w:t>
        </w:r>
      </w:hyperlink>
      <w:hyperlink r:id="rId99">
        <w:r>
          <w:rPr>
            <w:rFonts w:ascii="Calibri" w:eastAsia="Calibri" w:hAnsi="Calibri" w:cs="Calibri"/>
            <w:color w:val="005F89"/>
            <w:sz w:val="13"/>
          </w:rPr>
          <w:t>–</w:t>
        </w:r>
      </w:hyperlink>
      <w:hyperlink r:id="rId100">
        <w:r>
          <w:rPr>
            <w:color w:val="005F89"/>
            <w:sz w:val="13"/>
          </w:rPr>
          <w:t>95.</w:t>
        </w:r>
      </w:hyperlink>
    </w:p>
    <w:p w14:paraId="04FAF097" w14:textId="77777777" w:rsidR="00F25E3E" w:rsidRDefault="00000000">
      <w:pPr>
        <w:numPr>
          <w:ilvl w:val="0"/>
          <w:numId w:val="2"/>
        </w:numPr>
        <w:spacing w:after="9" w:line="269" w:lineRule="auto"/>
        <w:ind w:hanging="328"/>
        <w:jc w:val="left"/>
      </w:pPr>
      <w:hyperlink r:id="rId101">
        <w:r>
          <w:rPr>
            <w:color w:val="005F89"/>
            <w:sz w:val="13"/>
          </w:rPr>
          <w:t xml:space="preserve">Eysenbach G. Improving the quality of Web surveys: the Checklist for Reporting </w:t>
        </w:r>
      </w:hyperlink>
      <w:hyperlink r:id="rId102">
        <w:r>
          <w:rPr>
            <w:color w:val="005F89"/>
            <w:sz w:val="13"/>
          </w:rPr>
          <w:t>Results of Internet E-Surveys (CHERRIES). J Med Internet Res. 2004;6:e34.</w:t>
        </w:r>
      </w:hyperlink>
    </w:p>
    <w:p w14:paraId="29EC7C17" w14:textId="77777777" w:rsidR="00F25E3E" w:rsidRDefault="00000000">
      <w:pPr>
        <w:numPr>
          <w:ilvl w:val="0"/>
          <w:numId w:val="2"/>
        </w:numPr>
        <w:spacing w:after="8" w:line="269" w:lineRule="auto"/>
        <w:ind w:hanging="328"/>
        <w:jc w:val="left"/>
      </w:pPr>
      <w:hyperlink r:id="rId103">
        <w:r>
          <w:rPr>
            <w:color w:val="005F89"/>
            <w:sz w:val="13"/>
          </w:rPr>
          <w:t xml:space="preserve">Burns KE, Duffett M, Kho ME, Meade MO, Adhikari NK, Sinuff T, et al. A guide for </w:t>
        </w:r>
      </w:hyperlink>
      <w:hyperlink r:id="rId104">
        <w:r>
          <w:rPr>
            <w:color w:val="005F89"/>
            <w:sz w:val="13"/>
          </w:rPr>
          <w:t xml:space="preserve">the design and conduct of self-administered surveys of clinicians. CMAJ Canada. </w:t>
        </w:r>
      </w:hyperlink>
      <w:hyperlink r:id="rId105">
        <w:r>
          <w:rPr>
            <w:color w:val="005F89"/>
            <w:sz w:val="13"/>
          </w:rPr>
          <w:t>2008;245</w:t>
        </w:r>
      </w:hyperlink>
      <w:hyperlink r:id="rId106">
        <w:r>
          <w:rPr>
            <w:rFonts w:ascii="Calibri" w:eastAsia="Calibri" w:hAnsi="Calibri" w:cs="Calibri"/>
            <w:color w:val="005F89"/>
            <w:sz w:val="13"/>
          </w:rPr>
          <w:t>–</w:t>
        </w:r>
      </w:hyperlink>
      <w:hyperlink r:id="rId107">
        <w:r>
          <w:rPr>
            <w:color w:val="005F89"/>
            <w:sz w:val="13"/>
          </w:rPr>
          <w:t>52.</w:t>
        </w:r>
      </w:hyperlink>
    </w:p>
    <w:p w14:paraId="706150C6" w14:textId="77777777" w:rsidR="00F25E3E" w:rsidRDefault="00000000">
      <w:pPr>
        <w:numPr>
          <w:ilvl w:val="0"/>
          <w:numId w:val="2"/>
        </w:numPr>
        <w:spacing w:after="9" w:line="269" w:lineRule="auto"/>
        <w:ind w:hanging="328"/>
        <w:jc w:val="left"/>
      </w:pPr>
      <w:hyperlink r:id="rId108">
        <w:r>
          <w:rPr>
            <w:color w:val="005F89"/>
            <w:sz w:val="13"/>
          </w:rPr>
          <w:t xml:space="preserve">Rolfsen ML, Wilcox ME, Mart MF, Jackson JC, Sevin CM, Ely EW. Communicating </w:t>
        </w:r>
      </w:hyperlink>
      <w:hyperlink r:id="rId109">
        <w:r>
          <w:rPr>
            <w:color w:val="005F89"/>
            <w:sz w:val="13"/>
          </w:rPr>
          <w:t>to patients and families about post-intensive care syndrome. Chest.</w:t>
        </w:r>
      </w:hyperlink>
    </w:p>
    <w:p w14:paraId="6064B4A3" w14:textId="77777777" w:rsidR="00F25E3E" w:rsidRDefault="00000000">
      <w:pPr>
        <w:spacing w:after="9" w:line="269" w:lineRule="auto"/>
        <w:ind w:left="328" w:firstLine="0"/>
        <w:jc w:val="left"/>
      </w:pPr>
      <w:hyperlink r:id="rId110">
        <w:r>
          <w:rPr>
            <w:color w:val="005F89"/>
            <w:sz w:val="13"/>
          </w:rPr>
          <w:t>2025;168:924</w:t>
        </w:r>
      </w:hyperlink>
      <w:hyperlink r:id="rId111">
        <w:r>
          <w:rPr>
            <w:rFonts w:ascii="Calibri" w:eastAsia="Calibri" w:hAnsi="Calibri" w:cs="Calibri"/>
            <w:color w:val="005F89"/>
            <w:sz w:val="13"/>
          </w:rPr>
          <w:t>–</w:t>
        </w:r>
      </w:hyperlink>
      <w:hyperlink r:id="rId112">
        <w:r>
          <w:rPr>
            <w:color w:val="005F89"/>
            <w:sz w:val="13"/>
          </w:rPr>
          <w:t>31</w:t>
        </w:r>
      </w:hyperlink>
      <w:r>
        <w:rPr>
          <w:color w:val="005F89"/>
          <w:sz w:val="13"/>
        </w:rPr>
        <w:t>.</w:t>
      </w:r>
    </w:p>
    <w:p w14:paraId="1272C309" w14:textId="77777777" w:rsidR="00F25E3E" w:rsidRDefault="00000000">
      <w:pPr>
        <w:numPr>
          <w:ilvl w:val="0"/>
          <w:numId w:val="2"/>
        </w:numPr>
        <w:spacing w:after="9" w:line="269" w:lineRule="auto"/>
        <w:ind w:hanging="328"/>
        <w:jc w:val="left"/>
      </w:pPr>
      <w:hyperlink r:id="rId113">
        <w:r>
          <w:rPr>
            <w:color w:val="005F89"/>
            <w:sz w:val="13"/>
          </w:rPr>
          <w:t>Agbakou M, Combet M, Martin M, Blonz G, Desmedt L, Seguin A, et al. Post</w:t>
        </w:r>
      </w:hyperlink>
      <w:hyperlink r:id="rId114">
        <w:r>
          <w:rPr>
            <w:color w:val="005F89"/>
            <w:sz w:val="13"/>
          </w:rPr>
          <w:t xml:space="preserve">intensive care syndrome screening: a French multicentre survey. Ann Intensive </w:t>
        </w:r>
      </w:hyperlink>
      <w:hyperlink r:id="rId115">
        <w:r>
          <w:rPr>
            <w:color w:val="005F89"/>
            <w:sz w:val="13"/>
          </w:rPr>
          <w:t>Care. 2024;14:109.</w:t>
        </w:r>
      </w:hyperlink>
    </w:p>
    <w:p w14:paraId="57B0E05F" w14:textId="77777777" w:rsidR="00F25E3E" w:rsidRDefault="00000000">
      <w:pPr>
        <w:numPr>
          <w:ilvl w:val="0"/>
          <w:numId w:val="2"/>
        </w:numPr>
        <w:spacing w:after="9" w:line="269" w:lineRule="auto"/>
        <w:ind w:hanging="328"/>
        <w:jc w:val="left"/>
      </w:pPr>
      <w:hyperlink r:id="rId116">
        <w:r>
          <w:rPr>
            <w:color w:val="005F89"/>
            <w:sz w:val="13"/>
          </w:rPr>
          <w:t xml:space="preserve">Schol CMA, Berger E, Rauh SP, Dekker AB, Spronk PE, Bisschops LLA, et al. </w:t>
        </w:r>
      </w:hyperlink>
      <w:hyperlink r:id="rId117">
        <w:r>
          <w:rPr>
            <w:color w:val="005F89"/>
            <w:sz w:val="13"/>
          </w:rPr>
          <w:t xml:space="preserve">Mapping the landscape of post-intensive care recovery interventions and their </w:t>
        </w:r>
      </w:hyperlink>
      <w:hyperlink r:id="rId118">
        <w:r>
          <w:rPr>
            <w:color w:val="005F89"/>
            <w:sz w:val="13"/>
          </w:rPr>
          <w:t>barriers: A nationwide cross-sectional survey. J Crit Care. 2025;89155132.</w:t>
        </w:r>
      </w:hyperlink>
    </w:p>
    <w:p w14:paraId="379C8DE1" w14:textId="77777777" w:rsidR="00F25E3E" w:rsidRDefault="00000000">
      <w:pPr>
        <w:numPr>
          <w:ilvl w:val="0"/>
          <w:numId w:val="2"/>
        </w:numPr>
        <w:spacing w:after="9" w:line="269" w:lineRule="auto"/>
        <w:ind w:hanging="328"/>
        <w:jc w:val="left"/>
      </w:pPr>
      <w:hyperlink r:id="rId119">
        <w:r>
          <w:rPr>
            <w:color w:val="005F89"/>
            <w:sz w:val="13"/>
          </w:rPr>
          <w:t xml:space="preserve">Prevedello DH, Taccone FS, Preiser JC. A national survey in Belgium on post-ICU </w:t>
        </w:r>
      </w:hyperlink>
      <w:hyperlink r:id="rId120">
        <w:r>
          <w:rPr>
            <w:color w:val="005F89"/>
            <w:sz w:val="13"/>
          </w:rPr>
          <w:t>follow-up program. Int J Crit Care Emerg Med. 2020;6:109.</w:t>
        </w:r>
      </w:hyperlink>
    </w:p>
    <w:p w14:paraId="0BFBC3C3" w14:textId="77777777" w:rsidR="00F25E3E" w:rsidRDefault="00000000">
      <w:pPr>
        <w:numPr>
          <w:ilvl w:val="0"/>
          <w:numId w:val="2"/>
        </w:numPr>
        <w:spacing w:after="9" w:line="269" w:lineRule="auto"/>
        <w:ind w:hanging="328"/>
        <w:jc w:val="left"/>
      </w:pPr>
      <w:hyperlink r:id="rId121">
        <w:r>
          <w:rPr>
            <w:color w:val="005F89"/>
            <w:sz w:val="13"/>
          </w:rPr>
          <w:t xml:space="preserve">Chatterjee S, Tripathy S, Nayak S, Chakravarty R, Rao PB. Post-intensive care unit </w:t>
        </w:r>
      </w:hyperlink>
      <w:hyperlink r:id="rId122">
        <w:r>
          <w:rPr>
            <w:color w:val="005F89"/>
            <w:sz w:val="13"/>
          </w:rPr>
          <w:t>clinics: models and implementation - a systematic review. Crit Care. 2025;29:421.</w:t>
        </w:r>
      </w:hyperlink>
    </w:p>
    <w:p w14:paraId="5491CD35" w14:textId="77777777" w:rsidR="00F25E3E" w:rsidRDefault="00000000">
      <w:pPr>
        <w:numPr>
          <w:ilvl w:val="0"/>
          <w:numId w:val="2"/>
        </w:numPr>
        <w:spacing w:after="9" w:line="269" w:lineRule="auto"/>
        <w:ind w:hanging="328"/>
        <w:jc w:val="left"/>
      </w:pPr>
      <w:hyperlink r:id="rId123">
        <w:r>
          <w:rPr>
            <w:color w:val="005F89"/>
            <w:sz w:val="13"/>
          </w:rPr>
          <w:t xml:space="preserve">Vardon F, Fleischmann-Struzek C, Latronico N, Cinotti R. Post-intensive care </w:t>
        </w:r>
      </w:hyperlink>
      <w:hyperlink r:id="rId124">
        <w:r>
          <w:rPr>
            <w:color w:val="005F89"/>
            <w:sz w:val="13"/>
          </w:rPr>
          <w:t xml:space="preserve">syndrome. What clinicians and researchers must know. Anaesth Crit Care Pain </w:t>
        </w:r>
      </w:hyperlink>
      <w:hyperlink r:id="rId125">
        <w:r>
          <w:rPr>
            <w:color w:val="005F89"/>
            <w:sz w:val="13"/>
          </w:rPr>
          <w:t>Med. 2025;45101620.</w:t>
        </w:r>
      </w:hyperlink>
    </w:p>
    <w:p w14:paraId="787A3B06" w14:textId="77777777" w:rsidR="00F25E3E" w:rsidRDefault="00000000">
      <w:pPr>
        <w:numPr>
          <w:ilvl w:val="0"/>
          <w:numId w:val="2"/>
        </w:numPr>
        <w:spacing w:after="9" w:line="269" w:lineRule="auto"/>
        <w:ind w:hanging="328"/>
        <w:jc w:val="left"/>
      </w:pPr>
      <w:hyperlink r:id="rId126">
        <w:r>
          <w:rPr>
            <w:color w:val="005F89"/>
            <w:sz w:val="13"/>
          </w:rPr>
          <w:t xml:space="preserve">Dinglas VD, Faraone LN, Needham DM. Understanding patient-important </w:t>
        </w:r>
      </w:hyperlink>
      <w:hyperlink r:id="rId127">
        <w:r>
          <w:rPr>
            <w:color w:val="005F89"/>
            <w:sz w:val="13"/>
          </w:rPr>
          <w:t xml:space="preserve">outcomes after critical illness: a synthesis of recent qualitative, empirical, and </w:t>
        </w:r>
      </w:hyperlink>
      <w:hyperlink r:id="rId128">
        <w:r>
          <w:rPr>
            <w:color w:val="005F89"/>
            <w:sz w:val="13"/>
          </w:rPr>
          <w:t>consensus-related studies. Curr Opin Crit Care. 2018;24:401</w:t>
        </w:r>
      </w:hyperlink>
      <w:hyperlink r:id="rId129">
        <w:r>
          <w:rPr>
            <w:rFonts w:ascii="Calibri" w:eastAsia="Calibri" w:hAnsi="Calibri" w:cs="Calibri"/>
            <w:color w:val="005F89"/>
            <w:sz w:val="13"/>
          </w:rPr>
          <w:t>–</w:t>
        </w:r>
      </w:hyperlink>
      <w:hyperlink r:id="rId130">
        <w:r>
          <w:rPr>
            <w:color w:val="005F89"/>
            <w:sz w:val="13"/>
          </w:rPr>
          <w:t>9.</w:t>
        </w:r>
      </w:hyperlink>
    </w:p>
    <w:p w14:paraId="04374E0B" w14:textId="77777777" w:rsidR="00F25E3E" w:rsidRDefault="00000000">
      <w:pPr>
        <w:numPr>
          <w:ilvl w:val="0"/>
          <w:numId w:val="2"/>
        </w:numPr>
        <w:spacing w:after="9" w:line="269" w:lineRule="auto"/>
        <w:ind w:hanging="328"/>
        <w:jc w:val="left"/>
      </w:pPr>
      <w:hyperlink r:id="rId131">
        <w:r>
          <w:rPr>
            <w:color w:val="005F89"/>
            <w:sz w:val="13"/>
          </w:rPr>
          <w:t xml:space="preserve">Spies CD, Krampe H, Paul N, Denke C, Kiselev J, Piper SK, et al. Instruments to </w:t>
        </w:r>
      </w:hyperlink>
      <w:hyperlink r:id="rId132">
        <w:r>
          <w:rPr>
            <w:color w:val="005F89"/>
            <w:sz w:val="13"/>
          </w:rPr>
          <w:t>measure outcomes of post-intensive care syndrome in outpatient care settings</w:t>
        </w:r>
      </w:hyperlink>
      <w:r>
        <w:rPr>
          <w:color w:val="005F89"/>
          <w:sz w:val="13"/>
        </w:rPr>
        <w:t xml:space="preserve"> </w:t>
      </w:r>
      <w:hyperlink r:id="rId133"/>
      <w:hyperlink r:id="rId134">
        <w:r>
          <w:rPr>
            <w:color w:val="005F89"/>
            <w:sz w:val="13"/>
          </w:rPr>
          <w:t>Results of an expert consensus and feasibility</w:t>
        </w:r>
      </w:hyperlink>
      <w:r>
        <w:rPr>
          <w:color w:val="005F89"/>
          <w:sz w:val="13"/>
        </w:rPr>
        <w:t xml:space="preserve"> </w:t>
      </w:r>
      <w:hyperlink r:id="rId135">
        <w:r>
          <w:rPr>
            <w:rFonts w:ascii="Calibri" w:eastAsia="Calibri" w:hAnsi="Calibri" w:cs="Calibri"/>
            <w:color w:val="005F89"/>
            <w:sz w:val="13"/>
          </w:rPr>
          <w:t>fi</w:t>
        </w:r>
      </w:hyperlink>
      <w:hyperlink r:id="rId136">
        <w:r>
          <w:rPr>
            <w:color w:val="005F89"/>
            <w:sz w:val="13"/>
          </w:rPr>
          <w:t>eld test. J Intensive Care Soc.</w:t>
        </w:r>
      </w:hyperlink>
    </w:p>
    <w:p w14:paraId="58B9AF05" w14:textId="77777777" w:rsidR="00F25E3E" w:rsidRDefault="00000000">
      <w:pPr>
        <w:spacing w:after="9" w:line="269" w:lineRule="auto"/>
        <w:ind w:left="328" w:firstLine="0"/>
        <w:jc w:val="left"/>
      </w:pPr>
      <w:hyperlink r:id="rId137">
        <w:r>
          <w:rPr>
            <w:color w:val="005F89"/>
            <w:sz w:val="13"/>
          </w:rPr>
          <w:t>2021;22:159</w:t>
        </w:r>
      </w:hyperlink>
      <w:hyperlink r:id="rId138">
        <w:r>
          <w:rPr>
            <w:rFonts w:ascii="Calibri" w:eastAsia="Calibri" w:hAnsi="Calibri" w:cs="Calibri"/>
            <w:color w:val="005F89"/>
            <w:sz w:val="13"/>
          </w:rPr>
          <w:t>–</w:t>
        </w:r>
      </w:hyperlink>
      <w:hyperlink r:id="rId139">
        <w:r>
          <w:rPr>
            <w:color w:val="005F89"/>
            <w:sz w:val="13"/>
          </w:rPr>
          <w:t>74</w:t>
        </w:r>
      </w:hyperlink>
      <w:r>
        <w:rPr>
          <w:color w:val="005F89"/>
          <w:sz w:val="13"/>
        </w:rPr>
        <w:t>.</w:t>
      </w:r>
    </w:p>
    <w:p w14:paraId="667C4767" w14:textId="77777777" w:rsidR="00F25E3E" w:rsidRDefault="00000000">
      <w:pPr>
        <w:numPr>
          <w:ilvl w:val="0"/>
          <w:numId w:val="2"/>
        </w:numPr>
        <w:spacing w:after="8" w:line="269" w:lineRule="auto"/>
        <w:ind w:hanging="328"/>
        <w:jc w:val="left"/>
      </w:pPr>
      <w:hyperlink r:id="rId140">
        <w:r>
          <w:rPr>
            <w:color w:val="005F89"/>
            <w:sz w:val="13"/>
          </w:rPr>
          <w:t>Stedman W, Donaldson L, Garside T, Green S, Donoghoe SF, Whit</w:t>
        </w:r>
      </w:hyperlink>
      <w:hyperlink r:id="rId141">
        <w:r>
          <w:rPr>
            <w:rFonts w:ascii="Calibri" w:eastAsia="Calibri" w:hAnsi="Calibri" w:cs="Calibri"/>
            <w:color w:val="005F89"/>
            <w:sz w:val="13"/>
          </w:rPr>
          <w:t>fi</w:t>
        </w:r>
      </w:hyperlink>
      <w:hyperlink r:id="rId142">
        <w:r>
          <w:rPr>
            <w:color w:val="005F89"/>
            <w:sz w:val="13"/>
          </w:rPr>
          <w:t xml:space="preserve">eld VE, et al. </w:t>
        </w:r>
      </w:hyperlink>
      <w:hyperlink r:id="rId143">
        <w:r>
          <w:rPr>
            <w:color w:val="005F89"/>
            <w:sz w:val="13"/>
          </w:rPr>
          <w:t>The feasibility and acceptability of a physician-led ICU follow-up service:</w:t>
        </w:r>
      </w:hyperlink>
      <w:r>
        <w:rPr>
          <w:color w:val="005F89"/>
          <w:sz w:val="13"/>
        </w:rPr>
        <w:t xml:space="preserve"> </w:t>
      </w:r>
      <w:hyperlink r:id="rId144">
        <w:r>
          <w:rPr>
            <w:color w:val="005F89"/>
            <w:sz w:val="13"/>
          </w:rPr>
          <w:t xml:space="preserve">a </w:t>
        </w:r>
      </w:hyperlink>
      <w:hyperlink r:id="rId145">
        <w:r>
          <w:rPr>
            <w:color w:val="005F89"/>
            <w:sz w:val="13"/>
          </w:rPr>
          <w:t>prospective cohort study. Aust Crit Care. 2024;37:3</w:t>
        </w:r>
      </w:hyperlink>
      <w:hyperlink r:id="rId146">
        <w:r>
          <w:rPr>
            <w:rFonts w:ascii="Calibri" w:eastAsia="Calibri" w:hAnsi="Calibri" w:cs="Calibri"/>
            <w:color w:val="005F89"/>
            <w:sz w:val="13"/>
          </w:rPr>
          <w:t>–</w:t>
        </w:r>
      </w:hyperlink>
      <w:hyperlink r:id="rId147">
        <w:r>
          <w:rPr>
            <w:color w:val="005F89"/>
            <w:sz w:val="13"/>
          </w:rPr>
          <w:t>11.</w:t>
        </w:r>
      </w:hyperlink>
    </w:p>
    <w:p w14:paraId="48CC2C89" w14:textId="77777777" w:rsidR="00F25E3E" w:rsidRDefault="00000000">
      <w:pPr>
        <w:numPr>
          <w:ilvl w:val="0"/>
          <w:numId w:val="2"/>
        </w:numPr>
        <w:spacing w:after="9" w:line="269" w:lineRule="auto"/>
        <w:ind w:hanging="328"/>
        <w:jc w:val="left"/>
      </w:pPr>
      <w:hyperlink r:id="rId148">
        <w:r>
          <w:rPr>
            <w:color w:val="005F89"/>
            <w:sz w:val="13"/>
          </w:rPr>
          <w:t xml:space="preserve">Vanderhaeghen SFM, Decruyenaere JM, Benoit DD, Oeyen SG. Organization, </w:t>
        </w:r>
      </w:hyperlink>
      <w:hyperlink r:id="rId149">
        <w:r>
          <w:rPr>
            <w:color w:val="005F89"/>
            <w:sz w:val="13"/>
          </w:rPr>
          <w:t xml:space="preserve">feasibility and patient appreciation of a follow-up consultation in surgical </w:t>
        </w:r>
      </w:hyperlink>
      <w:hyperlink r:id="rId150">
        <w:r>
          <w:rPr>
            <w:color w:val="005F89"/>
            <w:sz w:val="13"/>
          </w:rPr>
          <w:t>critically ill patients with favorable baseline quality of life and prolonged ICU</w:t>
        </w:r>
      </w:hyperlink>
      <w:hyperlink r:id="rId151">
        <w:r>
          <w:rPr>
            <w:color w:val="005F89"/>
            <w:sz w:val="13"/>
          </w:rPr>
          <w:t>stay: a pilot study. Acta Clin Belg. 2023;78:25</w:t>
        </w:r>
      </w:hyperlink>
      <w:hyperlink r:id="rId152">
        <w:r>
          <w:rPr>
            <w:rFonts w:ascii="Calibri" w:eastAsia="Calibri" w:hAnsi="Calibri" w:cs="Calibri"/>
            <w:color w:val="005F89"/>
            <w:sz w:val="13"/>
          </w:rPr>
          <w:t>–</w:t>
        </w:r>
      </w:hyperlink>
      <w:hyperlink r:id="rId153">
        <w:r>
          <w:rPr>
            <w:color w:val="005F89"/>
            <w:sz w:val="13"/>
          </w:rPr>
          <w:t>35</w:t>
        </w:r>
      </w:hyperlink>
      <w:r>
        <w:rPr>
          <w:color w:val="005F89"/>
          <w:sz w:val="13"/>
        </w:rPr>
        <w:t>.</w:t>
      </w:r>
    </w:p>
    <w:p w14:paraId="5BD54FBF" w14:textId="77777777" w:rsidR="00F25E3E" w:rsidRDefault="00000000">
      <w:pPr>
        <w:numPr>
          <w:ilvl w:val="0"/>
          <w:numId w:val="2"/>
        </w:numPr>
        <w:spacing w:after="9" w:line="269" w:lineRule="auto"/>
        <w:ind w:hanging="328"/>
        <w:jc w:val="left"/>
      </w:pPr>
      <w:hyperlink r:id="rId154">
        <w:r>
          <w:rPr>
            <w:color w:val="005F89"/>
            <w:sz w:val="13"/>
          </w:rPr>
          <w:t>Harvey MA, Davidson JE. Postintensive care syndrome: right care, right now</w:t>
        </w:r>
      </w:hyperlink>
      <w:hyperlink r:id="rId155">
        <w:r>
          <w:rPr>
            <w:rFonts w:ascii="Calibri" w:eastAsia="Calibri" w:hAnsi="Calibri" w:cs="Calibri"/>
            <w:color w:val="005F89"/>
            <w:sz w:val="13"/>
          </w:rPr>
          <w:t xml:space="preserve">… </w:t>
        </w:r>
      </w:hyperlink>
      <w:hyperlink r:id="rId156">
        <w:r>
          <w:rPr>
            <w:color w:val="005F89"/>
            <w:sz w:val="13"/>
          </w:rPr>
          <w:t>and later. Crit Care Med. 2016;44:381</w:t>
        </w:r>
      </w:hyperlink>
      <w:hyperlink r:id="rId157">
        <w:r>
          <w:rPr>
            <w:rFonts w:ascii="Calibri" w:eastAsia="Calibri" w:hAnsi="Calibri" w:cs="Calibri"/>
            <w:color w:val="005F89"/>
            <w:sz w:val="13"/>
          </w:rPr>
          <w:t>–</w:t>
        </w:r>
      </w:hyperlink>
      <w:hyperlink r:id="rId158">
        <w:r>
          <w:rPr>
            <w:color w:val="005F89"/>
            <w:sz w:val="13"/>
          </w:rPr>
          <w:t>5.</w:t>
        </w:r>
      </w:hyperlink>
    </w:p>
    <w:p w14:paraId="21613345" w14:textId="77777777" w:rsidR="00F25E3E" w:rsidRDefault="00000000">
      <w:pPr>
        <w:numPr>
          <w:ilvl w:val="0"/>
          <w:numId w:val="2"/>
        </w:numPr>
        <w:spacing w:after="9" w:line="269" w:lineRule="auto"/>
        <w:ind w:hanging="328"/>
        <w:jc w:val="left"/>
      </w:pPr>
      <w:hyperlink r:id="rId159">
        <w:r>
          <w:rPr>
            <w:color w:val="005F89"/>
            <w:sz w:val="13"/>
          </w:rPr>
          <w:t xml:space="preserve">Ohnigian SE, Hall MM, Hayes MM, Maley JH. Beyond the ICU rotation: the </w:t>
        </w:r>
      </w:hyperlink>
      <w:hyperlink r:id="rId160">
        <w:r>
          <w:rPr>
            <w:color w:val="005F89"/>
            <w:sz w:val="13"/>
          </w:rPr>
          <w:t xml:space="preserve">importance of trainee involvement in post-intensive care unit clinics. ATS Sch. </w:t>
        </w:r>
      </w:hyperlink>
      <w:hyperlink r:id="rId161">
        <w:r>
          <w:rPr>
            <w:color w:val="005F89"/>
            <w:sz w:val="13"/>
          </w:rPr>
          <w:t>2022;3:180</w:t>
        </w:r>
      </w:hyperlink>
      <w:hyperlink r:id="rId162">
        <w:r>
          <w:rPr>
            <w:rFonts w:ascii="Calibri" w:eastAsia="Calibri" w:hAnsi="Calibri" w:cs="Calibri"/>
            <w:color w:val="005F89"/>
            <w:sz w:val="13"/>
          </w:rPr>
          <w:t>–</w:t>
        </w:r>
      </w:hyperlink>
      <w:hyperlink r:id="rId163">
        <w:r>
          <w:rPr>
            <w:color w:val="005F89"/>
            <w:sz w:val="13"/>
          </w:rPr>
          <w:t>7.</w:t>
        </w:r>
      </w:hyperlink>
    </w:p>
    <w:p w14:paraId="28F8B296" w14:textId="77777777" w:rsidR="00F25E3E" w:rsidRDefault="00000000">
      <w:pPr>
        <w:numPr>
          <w:ilvl w:val="0"/>
          <w:numId w:val="2"/>
        </w:numPr>
        <w:spacing w:after="9" w:line="269" w:lineRule="auto"/>
        <w:ind w:hanging="328"/>
        <w:jc w:val="left"/>
      </w:pPr>
      <w:hyperlink r:id="rId164">
        <w:r>
          <w:rPr>
            <w:color w:val="005F89"/>
            <w:sz w:val="13"/>
          </w:rPr>
          <w:t xml:space="preserve">Meyer VM, Benjamens S, Moumni ME, Lange JFM, Pol RA. Global overview of </w:t>
        </w:r>
      </w:hyperlink>
      <w:hyperlink r:id="rId165">
        <w:r>
          <w:rPr>
            <w:color w:val="005F89"/>
            <w:sz w:val="13"/>
          </w:rPr>
          <w:t>response rates in patient and health care professional surveys in surgery:</w:t>
        </w:r>
      </w:hyperlink>
      <w:r>
        <w:rPr>
          <w:color w:val="005F89"/>
          <w:sz w:val="13"/>
        </w:rPr>
        <w:t xml:space="preserve"> </w:t>
      </w:r>
      <w:hyperlink r:id="rId166">
        <w:r>
          <w:rPr>
            <w:color w:val="005F89"/>
            <w:sz w:val="13"/>
          </w:rPr>
          <w:t xml:space="preserve">a </w:t>
        </w:r>
      </w:hyperlink>
      <w:hyperlink r:id="rId167">
        <w:r>
          <w:rPr>
            <w:color w:val="005F89"/>
            <w:sz w:val="13"/>
          </w:rPr>
          <w:t>systematic review. Ann Surg. 2022;275:e75</w:t>
        </w:r>
      </w:hyperlink>
      <w:hyperlink r:id="rId168">
        <w:r>
          <w:rPr>
            <w:rFonts w:ascii="Calibri" w:eastAsia="Calibri" w:hAnsi="Calibri" w:cs="Calibri"/>
            <w:color w:val="005F89"/>
            <w:sz w:val="13"/>
          </w:rPr>
          <w:t>–</w:t>
        </w:r>
      </w:hyperlink>
      <w:hyperlink r:id="rId169">
        <w:r>
          <w:rPr>
            <w:color w:val="005F89"/>
            <w:sz w:val="13"/>
          </w:rPr>
          <w:t>81</w:t>
        </w:r>
      </w:hyperlink>
      <w:r>
        <w:rPr>
          <w:color w:val="005F89"/>
          <w:sz w:val="13"/>
        </w:rPr>
        <w:t>.</w:t>
      </w:r>
    </w:p>
    <w:sectPr w:rsidR="00F25E3E">
      <w:type w:val="continuous"/>
      <w:pgSz w:w="11906" w:h="15874"/>
      <w:pgMar w:top="1087" w:right="737" w:bottom="1007" w:left="737" w:header="720" w:footer="720" w:gutter="0"/>
      <w:cols w:num="2" w:space="3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3329EC" w14:textId="77777777" w:rsidR="001D1CEA" w:rsidRDefault="001D1CEA">
      <w:pPr>
        <w:spacing w:after="0" w:line="240" w:lineRule="auto"/>
      </w:pPr>
      <w:r>
        <w:separator/>
      </w:r>
    </w:p>
  </w:endnote>
  <w:endnote w:type="continuationSeparator" w:id="0">
    <w:p w14:paraId="7812B01F" w14:textId="77777777" w:rsidR="001D1CEA" w:rsidRDefault="001D1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5EAFF" w14:textId="77777777" w:rsidR="00F25E3E" w:rsidRDefault="00000000">
    <w:pPr>
      <w:spacing w:after="0" w:line="259" w:lineRule="auto"/>
      <w:ind w:right="1" w:firstLine="0"/>
      <w:jc w:val="center"/>
    </w:pPr>
    <w:r>
      <w:fldChar w:fldCharType="begin"/>
    </w:r>
    <w:r>
      <w:instrText xml:space="preserve"> PAGE   \* MERGEFORMAT </w:instrText>
    </w:r>
    <w:r>
      <w:fldChar w:fldCharType="separate"/>
    </w:r>
    <w:r>
      <w:rPr>
        <w:sz w:val="13"/>
      </w:rPr>
      <w:t>2</w:t>
    </w:r>
    <w:r>
      <w:rPr>
        <w:sz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785EE" w14:textId="77777777" w:rsidR="00F25E3E" w:rsidRDefault="00000000">
    <w:pPr>
      <w:spacing w:after="0" w:line="259" w:lineRule="auto"/>
      <w:ind w:right="1" w:firstLine="0"/>
      <w:jc w:val="center"/>
    </w:pPr>
    <w:r>
      <w:fldChar w:fldCharType="begin"/>
    </w:r>
    <w:r>
      <w:instrText xml:space="preserve"> PAGE   \* MERGEFORMAT </w:instrText>
    </w:r>
    <w:r>
      <w:fldChar w:fldCharType="separate"/>
    </w:r>
    <w:r>
      <w:rPr>
        <w:sz w:val="13"/>
      </w:rPr>
      <w:t>2</w:t>
    </w:r>
    <w:r>
      <w:rPr>
        <w:sz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DBC5B" w14:textId="77777777" w:rsidR="00F25E3E" w:rsidRDefault="00F25E3E">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524009" w14:textId="77777777" w:rsidR="001D1CEA" w:rsidRDefault="001D1CEA">
      <w:pPr>
        <w:spacing w:after="0" w:line="240" w:lineRule="auto"/>
      </w:pPr>
      <w:r>
        <w:separator/>
      </w:r>
    </w:p>
  </w:footnote>
  <w:footnote w:type="continuationSeparator" w:id="0">
    <w:p w14:paraId="27FD7615" w14:textId="77777777" w:rsidR="001D1CEA" w:rsidRDefault="001D1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D1081" w14:textId="77777777" w:rsidR="00F25E3E" w:rsidRDefault="00000000">
    <w:pPr>
      <w:tabs>
        <w:tab w:val="right" w:pos="10432"/>
      </w:tabs>
      <w:spacing w:after="0" w:line="259" w:lineRule="auto"/>
      <w:ind w:firstLine="0"/>
      <w:jc w:val="left"/>
    </w:pPr>
    <w:r>
      <w:rPr>
        <w:sz w:val="13"/>
      </w:rPr>
      <w:t>A.-F. Rousseau, S. Leaver, K. Fuest et al.</w:t>
    </w:r>
    <w:r>
      <w:rPr>
        <w:sz w:val="13"/>
      </w:rPr>
      <w:tab/>
      <w:t>Annals of Intensive Care 16 (2026) 100141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216D50" w14:textId="77777777" w:rsidR="00F25E3E" w:rsidRDefault="00000000">
    <w:pPr>
      <w:tabs>
        <w:tab w:val="right" w:pos="10432"/>
      </w:tabs>
      <w:spacing w:after="0" w:line="259" w:lineRule="auto"/>
      <w:ind w:firstLine="0"/>
      <w:jc w:val="left"/>
    </w:pPr>
    <w:r>
      <w:rPr>
        <w:sz w:val="13"/>
      </w:rPr>
      <w:t>A.-F. Rousseau, S. Leaver, K. Fuest et al.</w:t>
    </w:r>
    <w:r>
      <w:rPr>
        <w:sz w:val="13"/>
      </w:rPr>
      <w:tab/>
      <w:t>Annals of Intensive Care 16 (2026) 100141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0B34F2" w14:textId="77777777" w:rsidR="00F25E3E" w:rsidRDefault="00F25E3E">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81953"/>
    <w:multiLevelType w:val="hybridMultilevel"/>
    <w:tmpl w:val="80F2572A"/>
    <w:lvl w:ilvl="0" w:tplc="64DCCA1C">
      <w:start w:val="1"/>
      <w:numFmt w:val="decimal"/>
      <w:lvlText w:val="[%1]"/>
      <w:lvlJc w:val="left"/>
      <w:pPr>
        <w:ind w:left="328"/>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341EAA1C">
      <w:start w:val="1"/>
      <w:numFmt w:val="lowerLetter"/>
      <w:lvlText w:val="%2"/>
      <w:lvlJc w:val="left"/>
      <w:pPr>
        <w:ind w:left="109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690EAF50">
      <w:start w:val="1"/>
      <w:numFmt w:val="lowerRoman"/>
      <w:lvlText w:val="%3"/>
      <w:lvlJc w:val="left"/>
      <w:pPr>
        <w:ind w:left="181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2A9E3A40">
      <w:start w:val="1"/>
      <w:numFmt w:val="decimal"/>
      <w:lvlText w:val="%4"/>
      <w:lvlJc w:val="left"/>
      <w:pPr>
        <w:ind w:left="253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395CCEF2">
      <w:start w:val="1"/>
      <w:numFmt w:val="lowerLetter"/>
      <w:lvlText w:val="%5"/>
      <w:lvlJc w:val="left"/>
      <w:pPr>
        <w:ind w:left="325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BF5A8C18">
      <w:start w:val="1"/>
      <w:numFmt w:val="lowerRoman"/>
      <w:lvlText w:val="%6"/>
      <w:lvlJc w:val="left"/>
      <w:pPr>
        <w:ind w:left="397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04625F9C">
      <w:start w:val="1"/>
      <w:numFmt w:val="decimal"/>
      <w:lvlText w:val="%7"/>
      <w:lvlJc w:val="left"/>
      <w:pPr>
        <w:ind w:left="469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56BCD16A">
      <w:start w:val="1"/>
      <w:numFmt w:val="lowerLetter"/>
      <w:lvlText w:val="%8"/>
      <w:lvlJc w:val="left"/>
      <w:pPr>
        <w:ind w:left="541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7B42FE84">
      <w:start w:val="1"/>
      <w:numFmt w:val="lowerRoman"/>
      <w:lvlText w:val="%9"/>
      <w:lvlJc w:val="left"/>
      <w:pPr>
        <w:ind w:left="6139"/>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 w15:restartNumberingAfterBreak="0">
    <w:nsid w:val="69B225AA"/>
    <w:multiLevelType w:val="hybridMultilevel"/>
    <w:tmpl w:val="5C824442"/>
    <w:lvl w:ilvl="0" w:tplc="ED44CE8E">
      <w:start w:val="1"/>
      <w:numFmt w:val="upperLetter"/>
      <w:lvlText w:val="(%1)"/>
      <w:lvlJc w:val="left"/>
      <w:pPr>
        <w:ind w:left="238"/>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A3B27C00">
      <w:start w:val="1"/>
      <w:numFmt w:val="lowerLetter"/>
      <w:lvlText w:val="%2"/>
      <w:lvlJc w:val="left"/>
      <w:pPr>
        <w:ind w:left="10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674E89E2">
      <w:start w:val="1"/>
      <w:numFmt w:val="lowerRoman"/>
      <w:lvlText w:val="%3"/>
      <w:lvlJc w:val="left"/>
      <w:pPr>
        <w:ind w:left="18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1E809FF6">
      <w:start w:val="1"/>
      <w:numFmt w:val="decimal"/>
      <w:lvlText w:val="%4"/>
      <w:lvlJc w:val="left"/>
      <w:pPr>
        <w:ind w:left="25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524C9B82">
      <w:start w:val="1"/>
      <w:numFmt w:val="lowerLetter"/>
      <w:lvlText w:val="%5"/>
      <w:lvlJc w:val="left"/>
      <w:pPr>
        <w:ind w:left="324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79AE73F8">
      <w:start w:val="1"/>
      <w:numFmt w:val="lowerRoman"/>
      <w:lvlText w:val="%6"/>
      <w:lvlJc w:val="left"/>
      <w:pPr>
        <w:ind w:left="396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4F201112">
      <w:start w:val="1"/>
      <w:numFmt w:val="decimal"/>
      <w:lvlText w:val="%7"/>
      <w:lvlJc w:val="left"/>
      <w:pPr>
        <w:ind w:left="46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4D24B898">
      <w:start w:val="1"/>
      <w:numFmt w:val="lowerLetter"/>
      <w:lvlText w:val="%8"/>
      <w:lvlJc w:val="left"/>
      <w:pPr>
        <w:ind w:left="54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1474FF06">
      <w:start w:val="1"/>
      <w:numFmt w:val="lowerRoman"/>
      <w:lvlText w:val="%9"/>
      <w:lvlJc w:val="left"/>
      <w:pPr>
        <w:ind w:left="61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num w:numId="1" w16cid:durableId="783186506">
    <w:abstractNumId w:val="1"/>
  </w:num>
  <w:num w:numId="2" w16cid:durableId="8894146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E3E"/>
    <w:rsid w:val="001D1CEA"/>
    <w:rsid w:val="005E1BD4"/>
    <w:rsid w:val="00711D63"/>
    <w:rsid w:val="00F25E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523B3AE7"/>
  <w15:docId w15:val="{45C1BC78-48F4-FE49-A618-8E98D52D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BE"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82" w:lineRule="auto"/>
      <w:ind w:firstLine="229"/>
      <w:jc w:val="both"/>
    </w:pPr>
    <w:rPr>
      <w:rFonts w:ascii="Times New Roman" w:eastAsia="Times New Roman" w:hAnsi="Times New Roman" w:cs="Times New Roman"/>
      <w:color w:val="000000"/>
      <w:sz w:val="16"/>
    </w:rPr>
  </w:style>
  <w:style w:type="paragraph" w:styleId="Titre1">
    <w:name w:val="heading 1"/>
    <w:next w:val="Normal"/>
    <w:link w:val="Titre1Car"/>
    <w:uiPriority w:val="9"/>
    <w:qFormat/>
    <w:pPr>
      <w:keepNext/>
      <w:keepLines/>
      <w:spacing w:after="219" w:line="259" w:lineRule="auto"/>
      <w:ind w:left="10" w:hanging="10"/>
      <w:outlineLvl w:val="0"/>
    </w:pPr>
    <w:rPr>
      <w:rFonts w:ascii="Times New Roman" w:eastAsia="Times New Roman" w:hAnsi="Times New Roman" w:cs="Times New Roman"/>
      <w:color w:val="000000"/>
      <w:sz w:val="16"/>
    </w:rPr>
  </w:style>
  <w:style w:type="paragraph" w:styleId="Titre2">
    <w:name w:val="heading 2"/>
    <w:next w:val="Normal"/>
    <w:link w:val="Titre2Car"/>
    <w:uiPriority w:val="9"/>
    <w:unhideWhenUsed/>
    <w:qFormat/>
    <w:pPr>
      <w:keepNext/>
      <w:keepLines/>
      <w:spacing w:after="219" w:line="259" w:lineRule="auto"/>
      <w:ind w:left="10" w:hanging="10"/>
      <w:outlineLvl w:val="1"/>
    </w:pPr>
    <w:rPr>
      <w:rFonts w:ascii="Times New Roman" w:eastAsia="Times New Roman" w:hAnsi="Times New Roman" w:cs="Times New Roman"/>
      <w:color w:val="000000"/>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0"/>
      <w:sz w:val="16"/>
    </w:rPr>
  </w:style>
  <w:style w:type="character" w:customStyle="1" w:styleId="Titre2Car">
    <w:name w:val="Titre 2 Car"/>
    <w:link w:val="Titre2"/>
    <w:rPr>
      <w:rFonts w:ascii="Times New Roman" w:eastAsia="Times New Roman" w:hAnsi="Times New Roman" w:cs="Times New Roman"/>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refhub.elsevier.com/S2110-5820(26)00176-7/sbref0110" TargetMode="External"/><Relationship Id="hyperlink189" Type="http://schemas.openxmlformats.org/officeDocument/2006/relationships/hyperlink" Target="https://doi.org/10.1016/j.aicoj.2026.100141" TargetMode="External"/><Relationship Id="rId21" Type="http://schemas.openxmlformats.org/officeDocument/2006/relationships/header" Target="header3.xml"/><Relationship Id="rId42" Type="http://schemas.openxmlformats.org/officeDocument/2006/relationships/hyperlink" Target="http://refhub.elsevier.com/S2110-5820(26)00176-7/sbref0015" TargetMode="External"/><Relationship Id="rId63" Type="http://schemas.openxmlformats.org/officeDocument/2006/relationships/hyperlink" Target="http://refhub.elsevier.com/S2110-5820(26)00176-7/sbref0045" TargetMode="External"/><Relationship Id="rId84" Type="http://schemas.openxmlformats.org/officeDocument/2006/relationships/hyperlink" Target="http://refhub.elsevier.com/S2110-5820(26)00176-7/sbref0070" TargetMode="External"/><Relationship Id="rId138" Type="http://schemas.openxmlformats.org/officeDocument/2006/relationships/hyperlink" Target="http://refhub.elsevier.com/S2110-5820(26)00176-7/sbref0135" TargetMode="External"/><Relationship Id="rId159" Type="http://schemas.openxmlformats.org/officeDocument/2006/relationships/hyperlink" Target="http://refhub.elsevier.com/S2110-5820(26)00176-7/sbref0155" TargetMode="External"/><Relationship Id="rId170" Type="http://schemas.openxmlformats.org/officeDocument/2006/relationships/fontTable" Target="fontTable.xml"/><Relationship Id="rId107" Type="http://schemas.openxmlformats.org/officeDocument/2006/relationships/hyperlink" Target="http://refhub.elsevier.com/S2110-5820(26)00176-7/sbref0095" TargetMode="External"/><Relationship Id="rId11" Type="http://schemas.openxmlformats.org/officeDocument/2006/relationships/image" Target="media/image3.png"/><Relationship Id="rId32" Type="http://schemas.openxmlformats.org/officeDocument/2006/relationships/hyperlink" Target="http://refhub.elsevier.com/S2110-5820(26)00176-7/sbref0005" TargetMode="External"/><Relationship Id="rId53" Type="http://schemas.openxmlformats.org/officeDocument/2006/relationships/hyperlink" Target="http://refhub.elsevier.com/S2110-5820(26)00176-7/sbref0030" TargetMode="External"/><Relationship Id="rId74" Type="http://schemas.openxmlformats.org/officeDocument/2006/relationships/hyperlink" Target="http://refhub.elsevier.com/S2110-5820(26)00176-7/sbref0060" TargetMode="External"/><Relationship Id="rId128" Type="http://schemas.openxmlformats.org/officeDocument/2006/relationships/hyperlink" Target="http://refhub.elsevier.com/S2110-5820(26)00176-7/sbref0130" TargetMode="External"/><Relationship Id="rId149" Type="http://schemas.openxmlformats.org/officeDocument/2006/relationships/hyperlink" Target="http://refhub.elsevier.com/S2110-5820(26)00176-7/sbref0145" TargetMode="External"/><Relationship Id="rId5" Type="http://schemas.openxmlformats.org/officeDocument/2006/relationships/footnotes" Target="footnotes.xml"/><Relationship Id="rId95" Type="http://schemas.openxmlformats.org/officeDocument/2006/relationships/hyperlink" Target="http://refhub.elsevier.com/S2110-5820(26)00176-7/sbref0080" TargetMode="External"/><Relationship Id="rId160" Type="http://schemas.openxmlformats.org/officeDocument/2006/relationships/hyperlink" Target="http://refhub.elsevier.com/S2110-5820(26)00176-7/sbref0155" TargetMode="External"/><Relationship Id="hyperlink190" Type="http://schemas.openxmlformats.org/officeDocument/2006/relationships/hyperlink" Target="http://www.elsevier.com/locate/aicoj" TargetMode="External"/><Relationship Id="rId22" Type="http://schemas.openxmlformats.org/officeDocument/2006/relationships/footer" Target="footer3.xml"/><Relationship Id="rId43" Type="http://schemas.openxmlformats.org/officeDocument/2006/relationships/hyperlink" Target="http://refhub.elsevier.com/S2110-5820(26)00176-7/sbref0015" TargetMode="External"/><Relationship Id="rId64" Type="http://schemas.openxmlformats.org/officeDocument/2006/relationships/hyperlink" Target="http://refhub.elsevier.com/S2110-5820(26)00176-7/sbref0045" TargetMode="External"/><Relationship Id="rId118" Type="http://schemas.openxmlformats.org/officeDocument/2006/relationships/hyperlink" Target="http://refhub.elsevier.com/S2110-5820(26)00176-7/sbref0110" TargetMode="External"/><Relationship Id="rId139" Type="http://schemas.openxmlformats.org/officeDocument/2006/relationships/hyperlink" Target="http://refhub.elsevier.com/S2110-5820(26)00176-7/sbref0135" TargetMode="External"/><Relationship Id="rId85" Type="http://schemas.openxmlformats.org/officeDocument/2006/relationships/hyperlink" Target="http://refhub.elsevier.com/S2110-5820(26)00176-7/sbref0070" TargetMode="External"/><Relationship Id="rId150" Type="http://schemas.openxmlformats.org/officeDocument/2006/relationships/hyperlink" Target="http://refhub.elsevier.com/S2110-5820(26)00176-7/sbref0145" TargetMode="External"/><Relationship Id="rId171" Type="http://schemas.openxmlformats.org/officeDocument/2006/relationships/theme" Target="theme/theme1.xml"/><Relationship Id="rId12" Type="http://schemas.openxmlformats.org/officeDocument/2006/relationships/image" Target="media/image0.jpg"/><Relationship Id="rId33" Type="http://schemas.openxmlformats.org/officeDocument/2006/relationships/hyperlink" Target="http://refhub.elsevier.com/S2110-5820(26)00176-7/sbref0005" TargetMode="External"/><Relationship Id="rId108" Type="http://schemas.openxmlformats.org/officeDocument/2006/relationships/hyperlink" Target="http://refhub.elsevier.com/S2110-5820(26)00176-7/sbref0100" TargetMode="External"/><Relationship Id="rId129" Type="http://schemas.openxmlformats.org/officeDocument/2006/relationships/hyperlink" Target="http://refhub.elsevier.com/S2110-5820(26)00176-7/sbref0130" TargetMode="External"/><Relationship Id="rId54" Type="http://schemas.openxmlformats.org/officeDocument/2006/relationships/hyperlink" Target="http://refhub.elsevier.com/S2110-5820(26)00176-7/sbref0030" TargetMode="External"/><Relationship Id="rId75" Type="http://schemas.openxmlformats.org/officeDocument/2006/relationships/hyperlink" Target="http://refhub.elsevier.com/S2110-5820(26)00176-7/sbref0060" TargetMode="External"/><Relationship Id="rId96" Type="http://schemas.openxmlformats.org/officeDocument/2006/relationships/hyperlink" Target="http://refhub.elsevier.com/S2110-5820(26)00176-7/sbref0085" TargetMode="External"/><Relationship Id="rId140" Type="http://schemas.openxmlformats.org/officeDocument/2006/relationships/hyperlink" Target="http://refhub.elsevier.com/S2110-5820(26)00176-7/sbref0140" TargetMode="External"/><Relationship Id="rId161" Type="http://schemas.openxmlformats.org/officeDocument/2006/relationships/hyperlink" Target="http://refhub.elsevier.com/S2110-5820(26)00176-7/sbref0155"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4.jpg"/><Relationship Id="rId28" Type="http://schemas.openxmlformats.org/officeDocument/2006/relationships/hyperlink" Target="https://doi.org/10.1016/j.aicoj.2026.100141" TargetMode="External"/><Relationship Id="rId49" Type="http://schemas.openxmlformats.org/officeDocument/2006/relationships/hyperlink" Target="http://refhub.elsevier.com/S2110-5820(26)00176-7/sbref0025" TargetMode="External"/><Relationship Id="rId114" Type="http://schemas.openxmlformats.org/officeDocument/2006/relationships/hyperlink" Target="http://refhub.elsevier.com/S2110-5820(26)00176-7/sbref0105" TargetMode="External"/><Relationship Id="rId119" Type="http://schemas.openxmlformats.org/officeDocument/2006/relationships/hyperlink" Target="http://refhub.elsevier.com/S2110-5820(26)00176-7/sbref0115" TargetMode="External"/><Relationship Id="rId44" Type="http://schemas.openxmlformats.org/officeDocument/2006/relationships/hyperlink" Target="http://refhub.elsevier.com/S2110-5820(26)00176-7/sbref0020" TargetMode="External"/><Relationship Id="rId60" Type="http://schemas.openxmlformats.org/officeDocument/2006/relationships/hyperlink" Target="http://refhub.elsevier.com/S2110-5820(26)00176-7/sbref0040" TargetMode="External"/><Relationship Id="rId65" Type="http://schemas.openxmlformats.org/officeDocument/2006/relationships/hyperlink" Target="http://refhub.elsevier.com/S2110-5820(26)00176-7/sbref0050" TargetMode="External"/><Relationship Id="rId81" Type="http://schemas.openxmlformats.org/officeDocument/2006/relationships/hyperlink" Target="http://refhub.elsevier.com/S2110-5820(26)00176-7/sbref0065" TargetMode="External"/><Relationship Id="rId86" Type="http://schemas.openxmlformats.org/officeDocument/2006/relationships/hyperlink" Target="http://refhub.elsevier.com/S2110-5820(26)00176-7/sbref0070" TargetMode="External"/><Relationship Id="rId130" Type="http://schemas.openxmlformats.org/officeDocument/2006/relationships/hyperlink" Target="http://refhub.elsevier.com/S2110-5820(26)00176-7/sbref0130" TargetMode="External"/><Relationship Id="rId135" Type="http://schemas.openxmlformats.org/officeDocument/2006/relationships/hyperlink" Target="http://refhub.elsevier.com/S2110-5820(26)00176-7/sbref0135" TargetMode="External"/><Relationship Id="rId151" Type="http://schemas.openxmlformats.org/officeDocument/2006/relationships/hyperlink" Target="http://refhub.elsevier.com/S2110-5820(26)00176-7/sbref0145" TargetMode="External"/><Relationship Id="rId156" Type="http://schemas.openxmlformats.org/officeDocument/2006/relationships/hyperlink" Target="http://refhub.elsevier.com/S2110-5820(26)00176-7/sbref0150" TargetMode="External"/><Relationship Id="rId13" Type="http://schemas.openxmlformats.org/officeDocument/2006/relationships/image" Target="media/image10.jpg"/><Relationship Id="rId18" Type="http://schemas.openxmlformats.org/officeDocument/2006/relationships/header" Target="header2.xml"/><Relationship Id="rId39" Type="http://schemas.openxmlformats.org/officeDocument/2006/relationships/hyperlink" Target="http://refhub.elsevier.com/S2110-5820(26)00176-7/sbref0010" TargetMode="External"/><Relationship Id="rId109" Type="http://schemas.openxmlformats.org/officeDocument/2006/relationships/hyperlink" Target="http://refhub.elsevier.com/S2110-5820(26)00176-7/sbref0100" TargetMode="External"/><Relationship Id="rId34" Type="http://schemas.openxmlformats.org/officeDocument/2006/relationships/hyperlink" Target="http://refhub.elsevier.com/S2110-5820(26)00176-7/sbref0005" TargetMode="External"/><Relationship Id="rId50" Type="http://schemas.openxmlformats.org/officeDocument/2006/relationships/hyperlink" Target="http://refhub.elsevier.com/S2110-5820(26)00176-7/sbref0025" TargetMode="External"/><Relationship Id="rId55" Type="http://schemas.openxmlformats.org/officeDocument/2006/relationships/hyperlink" Target="http://refhub.elsevier.com/S2110-5820(26)00176-7/sbref0035" TargetMode="External"/><Relationship Id="rId76" Type="http://schemas.openxmlformats.org/officeDocument/2006/relationships/hyperlink" Target="http://refhub.elsevier.com/S2110-5820(26)00176-7/sbref0060" TargetMode="External"/><Relationship Id="rId97" Type="http://schemas.openxmlformats.org/officeDocument/2006/relationships/hyperlink" Target="http://refhub.elsevier.com/S2110-5820(26)00176-7/sbref0085" TargetMode="External"/><Relationship Id="rId104" Type="http://schemas.openxmlformats.org/officeDocument/2006/relationships/hyperlink" Target="http://refhub.elsevier.com/S2110-5820(26)00176-7/sbref0095" TargetMode="External"/><Relationship Id="rId120" Type="http://schemas.openxmlformats.org/officeDocument/2006/relationships/hyperlink" Target="http://refhub.elsevier.com/S2110-5820(26)00176-7/sbref0115" TargetMode="External"/><Relationship Id="rId125" Type="http://schemas.openxmlformats.org/officeDocument/2006/relationships/hyperlink" Target="http://refhub.elsevier.com/S2110-5820(26)00176-7/sbref0125" TargetMode="External"/><Relationship Id="rId141" Type="http://schemas.openxmlformats.org/officeDocument/2006/relationships/hyperlink" Target="http://refhub.elsevier.com/S2110-5820(26)00176-7/sbref0140" TargetMode="External"/><Relationship Id="rId146" Type="http://schemas.openxmlformats.org/officeDocument/2006/relationships/hyperlink" Target="http://refhub.elsevier.com/S2110-5820(26)00176-7/sbref0140" TargetMode="External"/><Relationship Id="rId167" Type="http://schemas.openxmlformats.org/officeDocument/2006/relationships/hyperlink" Target="http://refhub.elsevier.com/S2110-5820(26)00176-7/sbref0160" TargetMode="External"/><Relationship Id="rId7" Type="http://schemas.openxmlformats.org/officeDocument/2006/relationships/hyperlink" Target="https://doi.org/10.1016/j.aicoj.2026.100141" TargetMode="External"/><Relationship Id="rId71" Type="http://schemas.openxmlformats.org/officeDocument/2006/relationships/hyperlink" Target="http://refhub.elsevier.com/S2110-5820(26)00176-7/sbref0055" TargetMode="External"/><Relationship Id="rId92" Type="http://schemas.openxmlformats.org/officeDocument/2006/relationships/hyperlink" Target="http://refhub.elsevier.com/S2110-5820(26)00176-7/sbref0080" TargetMode="External"/><Relationship Id="rId162" Type="http://schemas.openxmlformats.org/officeDocument/2006/relationships/hyperlink" Target="http://refhub.elsevier.com/S2110-5820(26)00176-7/sbref0155" TargetMode="External"/><Relationship Id="rId2" Type="http://schemas.openxmlformats.org/officeDocument/2006/relationships/styles" Target="styles.xml"/><Relationship Id="rId29" Type="http://schemas.openxmlformats.org/officeDocument/2006/relationships/hyperlink" Target="https://doi.org/10.1016/j.aicoj.2026.100141" TargetMode="External"/><Relationship Id="rId24" Type="http://schemas.openxmlformats.org/officeDocument/2006/relationships/image" Target="media/image5.jpg"/><Relationship Id="rId40" Type="http://schemas.openxmlformats.org/officeDocument/2006/relationships/hyperlink" Target="http://refhub.elsevier.com/S2110-5820(26)00176-7/sbref0010" TargetMode="External"/><Relationship Id="rId45" Type="http://schemas.openxmlformats.org/officeDocument/2006/relationships/hyperlink" Target="http://refhub.elsevier.com/S2110-5820(26)00176-7/sbref0020" TargetMode="External"/><Relationship Id="rId66" Type="http://schemas.openxmlformats.org/officeDocument/2006/relationships/hyperlink" Target="http://refhub.elsevier.com/S2110-5820(26)00176-7/sbref0050" TargetMode="External"/><Relationship Id="rId87" Type="http://schemas.openxmlformats.org/officeDocument/2006/relationships/hyperlink" Target="http://refhub.elsevier.com/S2110-5820(26)00176-7/sbref0070" TargetMode="External"/><Relationship Id="rId110" Type="http://schemas.openxmlformats.org/officeDocument/2006/relationships/hyperlink" Target="http://refhub.elsevier.com/S2110-5820(26)00176-7/sbref0100" TargetMode="External"/><Relationship Id="rId115" Type="http://schemas.openxmlformats.org/officeDocument/2006/relationships/hyperlink" Target="http://refhub.elsevier.com/S2110-5820(26)00176-7/sbref0105" TargetMode="External"/><Relationship Id="rId131" Type="http://schemas.openxmlformats.org/officeDocument/2006/relationships/hyperlink" Target="http://refhub.elsevier.com/S2110-5820(26)00176-7/sbref0135" TargetMode="External"/><Relationship Id="rId136" Type="http://schemas.openxmlformats.org/officeDocument/2006/relationships/hyperlink" Target="http://refhub.elsevier.com/S2110-5820(26)00176-7/sbref0135" TargetMode="External"/><Relationship Id="rId157" Type="http://schemas.openxmlformats.org/officeDocument/2006/relationships/hyperlink" Target="http://refhub.elsevier.com/S2110-5820(26)00176-7/sbref0150" TargetMode="External"/><Relationship Id="rId61" Type="http://schemas.openxmlformats.org/officeDocument/2006/relationships/hyperlink" Target="http://refhub.elsevier.com/S2110-5820(26)00176-7/sbref0040" TargetMode="External"/><Relationship Id="rId82" Type="http://schemas.openxmlformats.org/officeDocument/2006/relationships/hyperlink" Target="http://refhub.elsevier.com/S2110-5820(26)00176-7/sbref0070" TargetMode="External"/><Relationship Id="rId152" Type="http://schemas.openxmlformats.org/officeDocument/2006/relationships/hyperlink" Target="http://refhub.elsevier.com/S2110-5820(26)00176-7/sbref0145" TargetMode="External"/><Relationship Id="rId19" Type="http://schemas.openxmlformats.org/officeDocument/2006/relationships/footer" Target="footer1.xml"/><Relationship Id="rId14" Type="http://schemas.openxmlformats.org/officeDocument/2006/relationships/image" Target="media/image8.png"/><Relationship Id="rId30" Type="http://schemas.openxmlformats.org/officeDocument/2006/relationships/hyperlink" Target="http://refhub.elsevier.com/S2110-5820(26)00176-7/sbref0005" TargetMode="External"/><Relationship Id="rId35" Type="http://schemas.openxmlformats.org/officeDocument/2006/relationships/hyperlink" Target="http://refhub.elsevier.com/S2110-5820(26)00176-7/sbref0005" TargetMode="External"/><Relationship Id="rId56" Type="http://schemas.openxmlformats.org/officeDocument/2006/relationships/hyperlink" Target="http://refhub.elsevier.com/S2110-5820(26)00176-7/sbref0035" TargetMode="External"/><Relationship Id="rId77" Type="http://schemas.openxmlformats.org/officeDocument/2006/relationships/hyperlink" Target="http://refhub.elsevier.com/S2110-5820(26)00176-7/sbref0060" TargetMode="External"/><Relationship Id="rId100" Type="http://schemas.openxmlformats.org/officeDocument/2006/relationships/hyperlink" Target="http://refhub.elsevier.com/S2110-5820(26)00176-7/sbref0085" TargetMode="External"/><Relationship Id="rId105" Type="http://schemas.openxmlformats.org/officeDocument/2006/relationships/hyperlink" Target="http://refhub.elsevier.com/S2110-5820(26)00176-7/sbref0095" TargetMode="External"/><Relationship Id="rId126" Type="http://schemas.openxmlformats.org/officeDocument/2006/relationships/hyperlink" Target="http://refhub.elsevier.com/S2110-5820(26)00176-7/sbref0130" TargetMode="External"/><Relationship Id="rId147" Type="http://schemas.openxmlformats.org/officeDocument/2006/relationships/hyperlink" Target="http://refhub.elsevier.com/S2110-5820(26)00176-7/sbref0140" TargetMode="External"/><Relationship Id="rId168" Type="http://schemas.openxmlformats.org/officeDocument/2006/relationships/hyperlink" Target="http://refhub.elsevier.com/S2110-5820(26)00176-7/sbref0160" TargetMode="External"/><Relationship Id="rId8" Type="http://schemas.openxmlformats.org/officeDocument/2006/relationships/image" Target="media/image1.jpg"/><Relationship Id="rId51" Type="http://schemas.openxmlformats.org/officeDocument/2006/relationships/hyperlink" Target="http://refhub.elsevier.com/S2110-5820(26)00176-7/sbref0030" TargetMode="External"/><Relationship Id="rId72" Type="http://schemas.openxmlformats.org/officeDocument/2006/relationships/hyperlink" Target="http://refhub.elsevier.com/S2110-5820(26)00176-7/sbref0055" TargetMode="External"/><Relationship Id="rId93" Type="http://schemas.openxmlformats.org/officeDocument/2006/relationships/hyperlink" Target="http://refhub.elsevier.com/S2110-5820(26)00176-7/sbref0080" TargetMode="External"/><Relationship Id="rId98" Type="http://schemas.openxmlformats.org/officeDocument/2006/relationships/hyperlink" Target="http://refhub.elsevier.com/S2110-5820(26)00176-7/sbref0085" TargetMode="External"/><Relationship Id="rId121" Type="http://schemas.openxmlformats.org/officeDocument/2006/relationships/hyperlink" Target="http://refhub.elsevier.com/S2110-5820(26)00176-7/sbref0120" TargetMode="External"/><Relationship Id="rId142" Type="http://schemas.openxmlformats.org/officeDocument/2006/relationships/hyperlink" Target="http://refhub.elsevier.com/S2110-5820(26)00176-7/sbref0140" TargetMode="External"/><Relationship Id="rId163" Type="http://schemas.openxmlformats.org/officeDocument/2006/relationships/hyperlink" Target="http://refhub.elsevier.com/S2110-5820(26)00176-7/sbref0155" TargetMode="External"/><Relationship Id="rId3" Type="http://schemas.openxmlformats.org/officeDocument/2006/relationships/settings" Target="settings.xml"/><Relationship Id="rId25" Type="http://schemas.openxmlformats.org/officeDocument/2006/relationships/image" Target="media/image6.jpg"/><Relationship Id="rId46" Type="http://schemas.openxmlformats.org/officeDocument/2006/relationships/hyperlink" Target="http://refhub.elsevier.com/S2110-5820(26)00176-7/sbref0025" TargetMode="External"/><Relationship Id="rId67" Type="http://schemas.openxmlformats.org/officeDocument/2006/relationships/hyperlink" Target="http://refhub.elsevier.com/S2110-5820(26)00176-7/sbref0050" TargetMode="External"/><Relationship Id="rId116" Type="http://schemas.openxmlformats.org/officeDocument/2006/relationships/hyperlink" Target="http://refhub.elsevier.com/S2110-5820(26)00176-7/sbref0110" TargetMode="External"/><Relationship Id="rId137" Type="http://schemas.openxmlformats.org/officeDocument/2006/relationships/hyperlink" Target="http://refhub.elsevier.com/S2110-5820(26)00176-7/sbref0135" TargetMode="External"/><Relationship Id="rId158" Type="http://schemas.openxmlformats.org/officeDocument/2006/relationships/hyperlink" Target="http://refhub.elsevier.com/S2110-5820(26)00176-7/sbref0150" TargetMode="External"/><Relationship Id="rId20" Type="http://schemas.openxmlformats.org/officeDocument/2006/relationships/footer" Target="footer2.xml"/><Relationship Id="rId41" Type="http://schemas.openxmlformats.org/officeDocument/2006/relationships/hyperlink" Target="http://refhub.elsevier.com/S2110-5820(26)00176-7/sbref0015" TargetMode="External"/><Relationship Id="rId62" Type="http://schemas.openxmlformats.org/officeDocument/2006/relationships/hyperlink" Target="http://refhub.elsevier.com/S2110-5820(26)00176-7/sbref0045" TargetMode="External"/><Relationship Id="rId83" Type="http://schemas.openxmlformats.org/officeDocument/2006/relationships/hyperlink" Target="http://refhub.elsevier.com/S2110-5820(26)00176-7/sbref0070" TargetMode="External"/><Relationship Id="rId88" Type="http://schemas.openxmlformats.org/officeDocument/2006/relationships/hyperlink" Target="http://refhub.elsevier.com/S2110-5820(26)00176-7/sbref0070" TargetMode="External"/><Relationship Id="rId111" Type="http://schemas.openxmlformats.org/officeDocument/2006/relationships/hyperlink" Target="http://refhub.elsevier.com/S2110-5820(26)00176-7/sbref0100" TargetMode="External"/><Relationship Id="rId132" Type="http://schemas.openxmlformats.org/officeDocument/2006/relationships/hyperlink" Target="http://refhub.elsevier.com/S2110-5820(26)00176-7/sbref0135" TargetMode="External"/><Relationship Id="rId153" Type="http://schemas.openxmlformats.org/officeDocument/2006/relationships/hyperlink" Target="http://refhub.elsevier.com/S2110-5820(26)00176-7/sbref0145" TargetMode="External"/><Relationship Id="rId15" Type="http://schemas.openxmlformats.org/officeDocument/2006/relationships/hyperlink" Target="https://doi.org/10.1016/j.aicoj.2026.100141" TargetMode="External"/><Relationship Id="rId36" Type="http://schemas.openxmlformats.org/officeDocument/2006/relationships/hyperlink" Target="http://refhub.elsevier.com/S2110-5820(26)00176-7/sbref0010" TargetMode="External"/><Relationship Id="rId57" Type="http://schemas.openxmlformats.org/officeDocument/2006/relationships/hyperlink" Target="http://refhub.elsevier.com/S2110-5820(26)00176-7/sbref0035" TargetMode="External"/><Relationship Id="rId106" Type="http://schemas.openxmlformats.org/officeDocument/2006/relationships/hyperlink" Target="http://refhub.elsevier.com/S2110-5820(26)00176-7/sbref0095" TargetMode="External"/><Relationship Id="rId127" Type="http://schemas.openxmlformats.org/officeDocument/2006/relationships/hyperlink" Target="http://refhub.elsevier.com/S2110-5820(26)00176-7/sbref0130" TargetMode="External"/><Relationship Id="rId10" Type="http://schemas.openxmlformats.org/officeDocument/2006/relationships/image" Target="media/image2.jpg"/><Relationship Id="rId31" Type="http://schemas.openxmlformats.org/officeDocument/2006/relationships/hyperlink" Target="http://refhub.elsevier.com/S2110-5820(26)00176-7/sbref0005" TargetMode="External"/><Relationship Id="rId52" Type="http://schemas.openxmlformats.org/officeDocument/2006/relationships/hyperlink" Target="http://refhub.elsevier.com/S2110-5820(26)00176-7/sbref0030" TargetMode="External"/><Relationship Id="rId73" Type="http://schemas.openxmlformats.org/officeDocument/2006/relationships/hyperlink" Target="http://refhub.elsevier.com/S2110-5820(26)00176-7/sbref0060" TargetMode="External"/><Relationship Id="rId78" Type="http://schemas.openxmlformats.org/officeDocument/2006/relationships/hyperlink" Target="http://refhub.elsevier.com/S2110-5820(26)00176-7/sbref0060" TargetMode="External"/><Relationship Id="rId94" Type="http://schemas.openxmlformats.org/officeDocument/2006/relationships/hyperlink" Target="http://refhub.elsevier.com/S2110-5820(26)00176-7/sbref0080" TargetMode="External"/><Relationship Id="rId99" Type="http://schemas.openxmlformats.org/officeDocument/2006/relationships/hyperlink" Target="http://refhub.elsevier.com/S2110-5820(26)00176-7/sbref0085" TargetMode="External"/><Relationship Id="rId101" Type="http://schemas.openxmlformats.org/officeDocument/2006/relationships/hyperlink" Target="http://refhub.elsevier.com/S2110-5820(26)00176-7/sbref0090" TargetMode="External"/><Relationship Id="rId122" Type="http://schemas.openxmlformats.org/officeDocument/2006/relationships/hyperlink" Target="http://refhub.elsevier.com/S2110-5820(26)00176-7/sbref0120" TargetMode="External"/><Relationship Id="rId143" Type="http://schemas.openxmlformats.org/officeDocument/2006/relationships/hyperlink" Target="http://refhub.elsevier.com/S2110-5820(26)00176-7/sbref0140" TargetMode="External"/><Relationship Id="rId148" Type="http://schemas.openxmlformats.org/officeDocument/2006/relationships/hyperlink" Target="http://refhub.elsevier.com/S2110-5820(26)00176-7/sbref0145" TargetMode="External"/><Relationship Id="rId164" Type="http://schemas.openxmlformats.org/officeDocument/2006/relationships/hyperlink" Target="http://refhub.elsevier.com/S2110-5820(26)00176-7/sbref0160" TargetMode="External"/><Relationship Id="rId169" Type="http://schemas.openxmlformats.org/officeDocument/2006/relationships/hyperlink" Target="http://refhub.elsevier.com/S2110-5820(26)00176-7/sbref0160" TargetMode="External"/><Relationship Id="rId4" Type="http://schemas.openxmlformats.org/officeDocument/2006/relationships/webSettings" Target="webSettings.xml"/><Relationship Id="rId9" Type="http://schemas.openxmlformats.org/officeDocument/2006/relationships/hyperlink" Target="http://www.elsevier.com/locate/aicoj" TargetMode="External"/><Relationship Id="rId26" Type="http://schemas.openxmlformats.org/officeDocument/2006/relationships/image" Target="media/image7.jpg"/><Relationship Id="rId47" Type="http://schemas.openxmlformats.org/officeDocument/2006/relationships/hyperlink" Target="http://refhub.elsevier.com/S2110-5820(26)00176-7/sbref0025" TargetMode="External"/><Relationship Id="rId68" Type="http://schemas.openxmlformats.org/officeDocument/2006/relationships/hyperlink" Target="http://refhub.elsevier.com/S2110-5820(26)00176-7/sbref0055" TargetMode="External"/><Relationship Id="rId89" Type="http://schemas.openxmlformats.org/officeDocument/2006/relationships/hyperlink" Target="http://refhub.elsevier.com/S2110-5820(26)00176-7/sbref0075" TargetMode="External"/><Relationship Id="rId112" Type="http://schemas.openxmlformats.org/officeDocument/2006/relationships/hyperlink" Target="http://refhub.elsevier.com/S2110-5820(26)00176-7/sbref0100" TargetMode="External"/><Relationship Id="rId133" Type="http://schemas.openxmlformats.org/officeDocument/2006/relationships/hyperlink" Target="http://refhub.elsevier.com/S2110-5820(26)00176-7/sbref0135" TargetMode="External"/><Relationship Id="rId154" Type="http://schemas.openxmlformats.org/officeDocument/2006/relationships/hyperlink" Target="http://refhub.elsevier.com/S2110-5820(26)00176-7/sbref0150" TargetMode="External"/><Relationship Id="rId16" Type="http://schemas.openxmlformats.org/officeDocument/2006/relationships/hyperlink" Target="http://creativecommons.org/licenses/by-nc-nd/4.0/" TargetMode="External"/><Relationship Id="rId37" Type="http://schemas.openxmlformats.org/officeDocument/2006/relationships/hyperlink" Target="http://refhub.elsevier.com/S2110-5820(26)00176-7/sbref0010" TargetMode="External"/><Relationship Id="rId58" Type="http://schemas.openxmlformats.org/officeDocument/2006/relationships/hyperlink" Target="http://refhub.elsevier.com/S2110-5820(26)00176-7/sbref0040" TargetMode="External"/><Relationship Id="rId79" Type="http://schemas.openxmlformats.org/officeDocument/2006/relationships/hyperlink" Target="http://refhub.elsevier.com/S2110-5820(26)00176-7/sbref0065" TargetMode="External"/><Relationship Id="rId102" Type="http://schemas.openxmlformats.org/officeDocument/2006/relationships/hyperlink" Target="http://refhub.elsevier.com/S2110-5820(26)00176-7/sbref0090" TargetMode="External"/><Relationship Id="rId123" Type="http://schemas.openxmlformats.org/officeDocument/2006/relationships/hyperlink" Target="http://refhub.elsevier.com/S2110-5820(26)00176-7/sbref0125" TargetMode="External"/><Relationship Id="rId144" Type="http://schemas.openxmlformats.org/officeDocument/2006/relationships/hyperlink" Target="http://refhub.elsevier.com/S2110-5820(26)00176-7/sbref0140" TargetMode="External"/><Relationship Id="rId90" Type="http://schemas.openxmlformats.org/officeDocument/2006/relationships/hyperlink" Target="http://refhub.elsevier.com/S2110-5820(26)00176-7/sbref0075" TargetMode="External"/><Relationship Id="rId165" Type="http://schemas.openxmlformats.org/officeDocument/2006/relationships/hyperlink" Target="http://refhub.elsevier.com/S2110-5820(26)00176-7/sbref0160" TargetMode="External"/><Relationship Id="rId27" Type="http://schemas.openxmlformats.org/officeDocument/2006/relationships/image" Target="media/image8.jpg"/><Relationship Id="rId48" Type="http://schemas.openxmlformats.org/officeDocument/2006/relationships/hyperlink" Target="http://refhub.elsevier.com/S2110-5820(26)00176-7/sbref0025" TargetMode="External"/><Relationship Id="rId69" Type="http://schemas.openxmlformats.org/officeDocument/2006/relationships/hyperlink" Target="http://refhub.elsevier.com/S2110-5820(26)00176-7/sbref0055" TargetMode="External"/><Relationship Id="rId113" Type="http://schemas.openxmlformats.org/officeDocument/2006/relationships/hyperlink" Target="http://refhub.elsevier.com/S2110-5820(26)00176-7/sbref0105" TargetMode="External"/><Relationship Id="rId134" Type="http://schemas.openxmlformats.org/officeDocument/2006/relationships/hyperlink" Target="http://refhub.elsevier.com/S2110-5820(26)00176-7/sbref0135" TargetMode="External"/><Relationship Id="rId80" Type="http://schemas.openxmlformats.org/officeDocument/2006/relationships/hyperlink" Target="http://refhub.elsevier.com/S2110-5820(26)00176-7/sbref0065" TargetMode="External"/><Relationship Id="rId155" Type="http://schemas.openxmlformats.org/officeDocument/2006/relationships/hyperlink" Target="http://refhub.elsevier.com/S2110-5820(26)00176-7/sbref0150" TargetMode="External"/><Relationship Id="rId17" Type="http://schemas.openxmlformats.org/officeDocument/2006/relationships/header" Target="header1.xml"/><Relationship Id="rId38" Type="http://schemas.openxmlformats.org/officeDocument/2006/relationships/hyperlink" Target="http://refhub.elsevier.com/S2110-5820(26)00176-7/sbref0010" TargetMode="External"/><Relationship Id="rId59" Type="http://schemas.openxmlformats.org/officeDocument/2006/relationships/hyperlink" Target="http://refhub.elsevier.com/S2110-5820(26)00176-7/sbref0040" TargetMode="External"/><Relationship Id="rId103" Type="http://schemas.openxmlformats.org/officeDocument/2006/relationships/hyperlink" Target="http://refhub.elsevier.com/S2110-5820(26)00176-7/sbref0095" TargetMode="External"/><Relationship Id="rId124" Type="http://schemas.openxmlformats.org/officeDocument/2006/relationships/hyperlink" Target="http://refhub.elsevier.com/S2110-5820(26)00176-7/sbref0125" TargetMode="External"/><Relationship Id="rId70" Type="http://schemas.openxmlformats.org/officeDocument/2006/relationships/hyperlink" Target="http://refhub.elsevier.com/S2110-5820(26)00176-7/sbref0055" TargetMode="External"/><Relationship Id="rId91" Type="http://schemas.openxmlformats.org/officeDocument/2006/relationships/hyperlink" Target="http://refhub.elsevier.com/S2110-5820(26)00176-7/sbref0075" TargetMode="External"/><Relationship Id="rId145" Type="http://schemas.openxmlformats.org/officeDocument/2006/relationships/hyperlink" Target="http://refhub.elsevier.com/S2110-5820(26)00176-7/sbref0140" TargetMode="External"/><Relationship Id="rId166" Type="http://schemas.openxmlformats.org/officeDocument/2006/relationships/hyperlink" Target="http://refhub.elsevier.com/S2110-5820(26)00176-7/sbref016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10397</Words>
  <Characters>57187</Characters>
  <Application>Microsoft Office Word</Application>
  <DocSecurity>0</DocSecurity>
  <Lines>476</Lines>
  <Paragraphs>134</Paragraphs>
  <ScaleCrop>false</ScaleCrop>
  <Company/>
  <LinksUpToDate>false</LinksUpToDate>
  <CharactersWithSpaces>67450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to and perceived value of post-ICU follow-up: an international cross-sectional survey of ICU professionals and adult critical illness survivors</dc:title>
  <dc:subject>Revista, 16 (2026) 100141. doi:10.1016/j.aicoj.2026.100141</dc:subject>
  <dc:creator>Anne-Françoise Rousseau</dc:creator>
  <cp:keywords>Post-intensive care syndrome; Follow-up; Survivorship; Patient-centred care; Health service research</cp:keywords>
  <cp:lastModifiedBy>Anne-Françoise Rousseau</cp:lastModifiedBy>
  <cp:revision>2</cp:revision>
  <dcterms:created xsi:type="dcterms:W3CDTF">2026-09-13T20:56:00Z</dcterms:created>
  <dcterms:modified xsi:type="dcterms:W3CDTF">2026-09-13T20:56:00Z</dcterms:modified>
</cp:coreProperties>
</file>