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1B494E" w14:textId="186E6FA4" w:rsidR="0024404C" w:rsidRDefault="0024404C" w:rsidP="00465716">
      <w:pPr>
        <w:tabs>
          <w:tab w:val="left" w:pos="709"/>
        </w:tabs>
        <w:spacing w:after="0" w:line="480" w:lineRule="auto"/>
      </w:pPr>
    </w:p>
    <w:p w14:paraId="62D8225B" w14:textId="77777777" w:rsidR="0024404C" w:rsidRDefault="0024404C" w:rsidP="00465716">
      <w:pPr>
        <w:tabs>
          <w:tab w:val="left" w:pos="709"/>
        </w:tabs>
        <w:spacing w:after="0" w:line="480" w:lineRule="auto"/>
      </w:pPr>
    </w:p>
    <w:p w14:paraId="18AAE1EA" w14:textId="77777777" w:rsidR="0024404C" w:rsidRDefault="0024404C" w:rsidP="00465716">
      <w:pPr>
        <w:tabs>
          <w:tab w:val="left" w:pos="709"/>
        </w:tabs>
        <w:spacing w:after="0" w:line="480" w:lineRule="auto"/>
      </w:pPr>
    </w:p>
    <w:p w14:paraId="6EA99437" w14:textId="77777777" w:rsidR="0024404C" w:rsidRDefault="0024404C" w:rsidP="00465716">
      <w:pPr>
        <w:tabs>
          <w:tab w:val="left" w:pos="709"/>
        </w:tabs>
        <w:spacing w:after="0" w:line="480" w:lineRule="auto"/>
      </w:pPr>
    </w:p>
    <w:p w14:paraId="7AA7E362" w14:textId="77777777" w:rsidR="0024404C" w:rsidRDefault="0024404C" w:rsidP="00465716">
      <w:pPr>
        <w:tabs>
          <w:tab w:val="left" w:pos="709"/>
        </w:tabs>
        <w:spacing w:after="0" w:line="480" w:lineRule="auto"/>
      </w:pPr>
    </w:p>
    <w:p w14:paraId="15CB2BE7" w14:textId="77777777" w:rsidR="0024404C" w:rsidRDefault="0024404C" w:rsidP="00465716">
      <w:pPr>
        <w:tabs>
          <w:tab w:val="left" w:pos="709"/>
        </w:tabs>
        <w:spacing w:after="0" w:line="480" w:lineRule="auto"/>
      </w:pPr>
    </w:p>
    <w:p w14:paraId="2E5FF5CA" w14:textId="77777777" w:rsidR="0024404C" w:rsidRDefault="0024404C" w:rsidP="00465716">
      <w:pPr>
        <w:tabs>
          <w:tab w:val="left" w:pos="709"/>
        </w:tabs>
        <w:spacing w:after="0" w:line="480" w:lineRule="auto"/>
      </w:pPr>
    </w:p>
    <w:p w14:paraId="32651B0E" w14:textId="77777777" w:rsidR="0024404C" w:rsidRDefault="0024404C" w:rsidP="00465716">
      <w:pPr>
        <w:tabs>
          <w:tab w:val="left" w:pos="709"/>
        </w:tabs>
        <w:spacing w:after="0" w:line="480" w:lineRule="auto"/>
      </w:pPr>
    </w:p>
    <w:p w14:paraId="6BCBA54D" w14:textId="77777777" w:rsidR="0024404C" w:rsidRDefault="0024404C" w:rsidP="00465716">
      <w:pPr>
        <w:tabs>
          <w:tab w:val="left" w:pos="709"/>
        </w:tabs>
        <w:spacing w:after="0" w:line="480" w:lineRule="auto"/>
      </w:pPr>
    </w:p>
    <w:p w14:paraId="7E91642B" w14:textId="77777777" w:rsidR="00523882" w:rsidRDefault="00E75E6C" w:rsidP="00465716">
      <w:pPr>
        <w:tabs>
          <w:tab w:val="left" w:pos="709"/>
        </w:tabs>
        <w:spacing w:after="0" w:line="480" w:lineRule="auto"/>
      </w:pPr>
      <w:r>
        <w:t>La contrefaçon rouennaise de l’</w:t>
      </w:r>
      <w:r w:rsidRPr="00E75E6C">
        <w:rPr>
          <w:i/>
        </w:rPr>
        <w:t xml:space="preserve">Histoire de Charles XII </w:t>
      </w:r>
      <w:r>
        <w:t>de Voltaire imprimée pour Pierre Machuel par</w:t>
      </w:r>
      <w:r w:rsidR="006519C4">
        <w:t xml:space="preserve"> </w:t>
      </w:r>
      <w:r w:rsidR="001F4FB7">
        <w:t xml:space="preserve">Louis-Joseph Oursel </w:t>
      </w:r>
      <w:r w:rsidR="00A103EA">
        <w:t>en 1770</w:t>
      </w:r>
    </w:p>
    <w:p w14:paraId="4E679794" w14:textId="77777777" w:rsidR="00A55D21" w:rsidRDefault="00A55D21" w:rsidP="00465716">
      <w:pPr>
        <w:tabs>
          <w:tab w:val="left" w:pos="709"/>
        </w:tabs>
        <w:spacing w:after="0" w:line="480" w:lineRule="auto"/>
      </w:pPr>
    </w:p>
    <w:p w14:paraId="2ABCC6B9" w14:textId="2F040278" w:rsidR="00820499" w:rsidRDefault="00820499" w:rsidP="00465716">
      <w:pPr>
        <w:tabs>
          <w:tab w:val="left" w:pos="709"/>
        </w:tabs>
        <w:spacing w:after="0" w:line="480" w:lineRule="auto"/>
      </w:pPr>
      <w:r>
        <w:t xml:space="preserve">Les circonstances ayant entouré la publication de l’édition originale de </w:t>
      </w:r>
      <w:r w:rsidRPr="00523882">
        <w:t>l’</w:t>
      </w:r>
      <w:r w:rsidRPr="00F00526">
        <w:rPr>
          <w:i/>
        </w:rPr>
        <w:t xml:space="preserve">Histoire de Charles XII </w:t>
      </w:r>
      <w:r>
        <w:t>ont été rapportées par G. von Proschwitz dans son édition de l’ouvrage à la Voltaire Foundation en 1996.</w:t>
      </w:r>
      <w:r>
        <w:rPr>
          <w:rStyle w:val="Appelnotedebasdep"/>
        </w:rPr>
        <w:footnoteReference w:id="1"/>
      </w:r>
      <w:r>
        <w:t xml:space="preserve"> On sait que cette </w:t>
      </w:r>
      <w:r w:rsidR="007F10D1">
        <w:t>publication ‘</w:t>
      </w:r>
      <w:r>
        <w:t>s’est he</w:t>
      </w:r>
      <w:r w:rsidR="007F10D1">
        <w:t xml:space="preserve">urtée à des obstacles imprévus’. </w:t>
      </w:r>
      <w:r w:rsidR="00B777D3">
        <w:t>L</w:t>
      </w:r>
      <w:r>
        <w:t xml:space="preserve">e gouvernement avait </w:t>
      </w:r>
      <w:r w:rsidR="00B777D3">
        <w:t>octroyé, selon Voltaire,</w:t>
      </w:r>
      <w:r w:rsidR="007F10D1">
        <w:t xml:space="preserve"> ‘une approbation au sceau</w:t>
      </w:r>
      <w:r w:rsidR="007F10D1" w:rsidRPr="00B777D3">
        <w:t>’</w:t>
      </w:r>
      <w:r>
        <w:t xml:space="preserve">, mais à la fin de 1730 ou au début de 1731, les autorités saisirent les deux mille six cents exemplaires de </w:t>
      </w:r>
      <w:r>
        <w:lastRenderedPageBreak/>
        <w:t>l’édition originale du premier volume.</w:t>
      </w:r>
      <w:r>
        <w:rPr>
          <w:rStyle w:val="Appelnotedebasdep"/>
        </w:rPr>
        <w:footnoteReference w:id="2"/>
      </w:r>
      <w:r>
        <w:t xml:space="preserve"> Le privilège fut retiré par le garde des Sceaux pour ne pas heurter le roi régnant de Pologne, Auguste II, et Voltaire décida de faire imprimer l’ouvrage sur une simple permission tacite loin de Paris. Il donnera ainsi le seul exemplaire qui lui reste d</w:t>
      </w:r>
      <w:r w:rsidR="007F10D1">
        <w:t>e l’édition originale – malgré ‘</w:t>
      </w:r>
      <w:r w:rsidR="001B7131">
        <w:t>l’inquisition livresque’</w:t>
      </w:r>
      <w:r>
        <w:t xml:space="preserve"> qui menaçait les libraires de la ville normande </w:t>
      </w:r>
      <w:r w:rsidR="009347C8">
        <w:t>–</w:t>
      </w:r>
      <w:r>
        <w:t xml:space="preserve"> à Pierre Robert Le Cornier de Cideville, qui résidait à Rouen et qui obtiendra du Parlement </w:t>
      </w:r>
      <w:r w:rsidR="0008151D">
        <w:t>l’autorisation d’imprimer.</w:t>
      </w:r>
    </w:p>
    <w:p w14:paraId="24D57D1A" w14:textId="43F104F0" w:rsidR="00820499" w:rsidRPr="00561CE3" w:rsidRDefault="00465716" w:rsidP="00465716">
      <w:pPr>
        <w:tabs>
          <w:tab w:val="left" w:pos="709"/>
        </w:tabs>
        <w:spacing w:after="0" w:line="480" w:lineRule="auto"/>
      </w:pPr>
      <w:r>
        <w:tab/>
      </w:r>
      <w:r w:rsidR="00820499">
        <w:t>L’</w:t>
      </w:r>
      <w:r w:rsidR="00820499">
        <w:rPr>
          <w:i/>
        </w:rPr>
        <w:t xml:space="preserve">Histoire de Charles XII </w:t>
      </w:r>
      <w:r w:rsidR="00820499">
        <w:t>connut</w:t>
      </w:r>
      <w:r w:rsidR="0008151D">
        <w:t xml:space="preserve">, poursuit von </w:t>
      </w:r>
      <w:r w:rsidR="0008151D" w:rsidRPr="007F472E">
        <w:t xml:space="preserve">Proschwitz, </w:t>
      </w:r>
      <w:r w:rsidR="001B7131" w:rsidRPr="007F472E">
        <w:t>‘</w:t>
      </w:r>
      <w:r w:rsidR="00820499" w:rsidRPr="007F472E">
        <w:t>un prodigieux succès</w:t>
      </w:r>
      <w:r w:rsidR="00820499" w:rsidRPr="007F472E">
        <w:rPr>
          <w:i/>
        </w:rPr>
        <w:t xml:space="preserve"> </w:t>
      </w:r>
      <w:r w:rsidR="00820499" w:rsidRPr="007F472E">
        <w:t xml:space="preserve">de librairie au dix-huitième siècle – plus de soixante éditions parues du </w:t>
      </w:r>
      <w:r w:rsidR="001B7131" w:rsidRPr="007F472E">
        <w:t xml:space="preserve">vivant de </w:t>
      </w:r>
      <w:r w:rsidR="001B7131" w:rsidRPr="00561CE3">
        <w:t>Voltaire’</w:t>
      </w:r>
      <w:r w:rsidR="00820499">
        <w:t xml:space="preserve"> et celui-ci ne cessera de revoir l’ouvrage et d’en surveiller les éditions</w:t>
      </w:r>
      <w:r w:rsidR="00561CE3">
        <w:t>: ‘</w:t>
      </w:r>
      <w:r w:rsidR="00820499" w:rsidRPr="00561CE3">
        <w:t>Inlassable, il le remet sur le métier, en corrige le texte et le style, supprime des pages entières, pour leur en substituer d’autres, répond à ses critiques et dénonce ses plagiaires. Il tient ses éditeurs à l’œil. Il est absolument nécessaire, insiste-t-il, que l’édition de son ouvrage soit correcte. Désabusé, il fait la guerre aux fautes d’impression. Au cours de quarante-cinq ans ou presque, Voltaire révise le te</w:t>
      </w:r>
      <w:r w:rsidR="00561CE3" w:rsidRPr="00561CE3">
        <w:t>x</w:t>
      </w:r>
      <w:r w:rsidR="00820499" w:rsidRPr="00561CE3">
        <w:t>te des éditions qu’il sanctionne, comme si nul autre de ses livres ne lui importait autant</w:t>
      </w:r>
      <w:r w:rsidR="00561CE3">
        <w:t>’</w:t>
      </w:r>
      <w:r w:rsidR="00820499" w:rsidRPr="00561CE3">
        <w:t>.</w:t>
      </w:r>
      <w:r w:rsidR="00820499" w:rsidRPr="00561CE3">
        <w:rPr>
          <w:rStyle w:val="Appelnotedebasdep"/>
        </w:rPr>
        <w:footnoteReference w:id="3"/>
      </w:r>
    </w:p>
    <w:p w14:paraId="2D2D1D0C" w14:textId="0F30C054" w:rsidR="00244C7D" w:rsidRDefault="00465716" w:rsidP="00465716">
      <w:pPr>
        <w:tabs>
          <w:tab w:val="left" w:pos="709"/>
        </w:tabs>
        <w:spacing w:after="0" w:line="480" w:lineRule="auto"/>
      </w:pPr>
      <w:r>
        <w:tab/>
      </w:r>
      <w:r w:rsidR="00820499">
        <w:t>Le catalogue de la Bibliothèque nationale de France témoigne du grand succès de l’</w:t>
      </w:r>
      <w:r w:rsidR="00820499">
        <w:rPr>
          <w:i/>
        </w:rPr>
        <w:t xml:space="preserve">Histoire de Charles XII </w:t>
      </w:r>
      <w:r w:rsidR="00820499">
        <w:t>(qui faisait en</w:t>
      </w:r>
      <w:r w:rsidR="001B7131">
        <w:t>core, avant 1940, l’objet des ‘sujets de devoirs’</w:t>
      </w:r>
      <w:r w:rsidR="00820499">
        <w:t xml:space="preserve"> proposés aux collégien</w:t>
      </w:r>
      <w:r w:rsidR="005E2C86">
        <w:t>s par les Classiques Larousse).</w:t>
      </w:r>
      <w:r w:rsidR="009E4630">
        <w:t xml:space="preserve"> </w:t>
      </w:r>
      <w:r w:rsidR="00820499">
        <w:t xml:space="preserve">Pour la période allant de 1760 à 1780, qui va nous intéresser plus particulièrement, le catalogue </w:t>
      </w:r>
      <w:r w:rsidR="00820499">
        <w:rPr>
          <w:i/>
        </w:rPr>
        <w:t xml:space="preserve">Voltaire </w:t>
      </w:r>
      <w:r w:rsidR="00820499">
        <w:t>de 1978 enregistrait sept éditions dont plus de la moitié sont considérées comme rouennaises ou suspectées de l’être.</w:t>
      </w:r>
      <w:r w:rsidR="00820499">
        <w:rPr>
          <w:rStyle w:val="Appelnotedebasdep"/>
        </w:rPr>
        <w:footnoteReference w:id="4"/>
      </w:r>
      <w:r w:rsidR="00820499">
        <w:t xml:space="preserve"> On y ajoutera notamment les éditions qui font partie de la </w:t>
      </w:r>
      <w:r w:rsidR="00820499">
        <w:rPr>
          <w:i/>
        </w:rPr>
        <w:t xml:space="preserve">Collection </w:t>
      </w:r>
      <w:r w:rsidR="00820499">
        <w:t xml:space="preserve">des </w:t>
      </w:r>
      <w:r w:rsidR="00820499">
        <w:rPr>
          <w:i/>
        </w:rPr>
        <w:t xml:space="preserve">Œuvres </w:t>
      </w:r>
      <w:r w:rsidR="00820499" w:rsidRPr="002C7B38">
        <w:t>publiée</w:t>
      </w:r>
      <w:r w:rsidR="001B7131">
        <w:t xml:space="preserve"> à Amsterdam ‘Aux dépens de la Compagnie’</w:t>
      </w:r>
      <w:r w:rsidR="00820499">
        <w:t xml:space="preserve"> (1764), de la </w:t>
      </w:r>
      <w:r w:rsidR="00820499">
        <w:rPr>
          <w:i/>
        </w:rPr>
        <w:t xml:space="preserve">Collection </w:t>
      </w:r>
      <w:r w:rsidR="00820499">
        <w:t>publiée à Genève sous l’adresse de Cramer (</w:t>
      </w:r>
      <w:r w:rsidR="00820499" w:rsidRPr="004B17B2">
        <w:t>1768), etc.</w:t>
      </w:r>
      <w:r w:rsidR="00421ACC">
        <w:rPr>
          <w:rStyle w:val="Appelnotedebasdep"/>
        </w:rPr>
        <w:footnoteReference w:id="5"/>
      </w:r>
    </w:p>
    <w:p w14:paraId="36C01D97" w14:textId="62043B73" w:rsidR="00820499" w:rsidRPr="004B17B2" w:rsidRDefault="00465716" w:rsidP="00465716">
      <w:pPr>
        <w:tabs>
          <w:tab w:val="left" w:pos="709"/>
        </w:tabs>
        <w:spacing w:after="0" w:line="480" w:lineRule="auto"/>
      </w:pPr>
      <w:r>
        <w:tab/>
      </w:r>
      <w:r w:rsidR="00820499">
        <w:t xml:space="preserve">La </w:t>
      </w:r>
      <w:r w:rsidR="00820499" w:rsidRPr="004B17B2">
        <w:t xml:space="preserve">documentation </w:t>
      </w:r>
      <w:r w:rsidR="00820499">
        <w:t xml:space="preserve">bibliographique </w:t>
      </w:r>
      <w:r w:rsidR="00820499" w:rsidRPr="004B17B2">
        <w:t xml:space="preserve">vient d’être renouvelée grâce à l’Unité Dématérialisation et Mise en Ligne du Pôle Archives historiques des Archives départementales de la Seine-Maritime. Celle-ci a fourni un dossier indexé 1 B 5532 qui s’intitule </w:t>
      </w:r>
      <w:r w:rsidR="00820499" w:rsidRPr="004B17B2">
        <w:rPr>
          <w:i/>
        </w:rPr>
        <w:t>Imprimerie et librairie</w:t>
      </w:r>
      <w:r w:rsidR="00820499" w:rsidRPr="004B17B2">
        <w:t xml:space="preserve"> </w:t>
      </w:r>
      <w:r w:rsidR="001B7131">
        <w:t>et qui comporte notamment des ‘</w:t>
      </w:r>
      <w:r w:rsidR="00820499" w:rsidRPr="004B17B2">
        <w:t>arrêts, informatio</w:t>
      </w:r>
      <w:r w:rsidR="001B7131">
        <w:t>ns, pièces de vers (1699-1788)’</w:t>
      </w:r>
      <w:r w:rsidR="00820499" w:rsidRPr="004B17B2">
        <w:t>. Ce dossier comprend une centaine de pages qui s’étend de l’indice FRAD076_6213_0001 à FRAD076_6213_0101. Il semble correspondre, du moins en partie,</w:t>
      </w:r>
      <w:r w:rsidR="001B7131">
        <w:t xml:space="preserve"> aux ‘</w:t>
      </w:r>
      <w:r w:rsidR="00820499" w:rsidRPr="004B17B2">
        <w:t>Pièces relatives aux Machuel (XVIII</w:t>
      </w:r>
      <w:r w:rsidR="00820499" w:rsidRPr="004B17B2">
        <w:rPr>
          <w:vertAlign w:val="superscript"/>
        </w:rPr>
        <w:t xml:space="preserve">e </w:t>
      </w:r>
      <w:r w:rsidR="001B7131">
        <w:t>siècle)’</w:t>
      </w:r>
      <w:r w:rsidR="00820499" w:rsidRPr="004B17B2">
        <w:t xml:space="preserve"> dont fait état J. Quéniart dans son ouvrage sur </w:t>
      </w:r>
      <w:r w:rsidR="00820499" w:rsidRPr="004B17B2">
        <w:rPr>
          <w:i/>
        </w:rPr>
        <w:t>L’imprimerie et la librairie à Rouen au XVIII</w:t>
      </w:r>
      <w:r w:rsidR="00820499" w:rsidRPr="004B17B2">
        <w:rPr>
          <w:i/>
          <w:vertAlign w:val="superscript"/>
        </w:rPr>
        <w:t xml:space="preserve">e </w:t>
      </w:r>
      <w:r w:rsidR="00820499" w:rsidRPr="004B17B2">
        <w:rPr>
          <w:i/>
        </w:rPr>
        <w:t xml:space="preserve">siècle </w:t>
      </w:r>
      <w:r w:rsidR="00820499" w:rsidRPr="004B17B2">
        <w:t>(1969).</w:t>
      </w:r>
      <w:r w:rsidR="00820499" w:rsidRPr="004B17B2">
        <w:rPr>
          <w:rStyle w:val="Appelnotedebasdep"/>
        </w:rPr>
        <w:footnoteReference w:id="6"/>
      </w:r>
      <w:r w:rsidR="00820499" w:rsidRPr="004B17B2">
        <w:t xml:space="preserve"> Celles-ci ét</w:t>
      </w:r>
      <w:r w:rsidR="001B7131">
        <w:t>aient conservées sous la cote ‘g 190’</w:t>
      </w:r>
      <w:r w:rsidR="00820499" w:rsidRPr="004B17B2">
        <w:t xml:space="preserve"> aux archives de la Bibliothèque municipale de Rouen. Mais leur exploitation restait très fragmentaire.</w:t>
      </w:r>
    </w:p>
    <w:p w14:paraId="033C0798" w14:textId="3A3AF7F9" w:rsidR="006519C4" w:rsidRDefault="00465716" w:rsidP="00465716">
      <w:pPr>
        <w:tabs>
          <w:tab w:val="left" w:pos="709"/>
        </w:tabs>
        <w:spacing w:after="0" w:line="480" w:lineRule="auto"/>
        <w:rPr>
          <w:rStyle w:val="NotedebasdepageCar"/>
          <w:sz w:val="28"/>
          <w:szCs w:val="28"/>
        </w:rPr>
      </w:pPr>
      <w:r>
        <w:tab/>
      </w:r>
      <w:r w:rsidR="00820499" w:rsidRPr="004B17B2">
        <w:t xml:space="preserve">Dans le dossier en question, les pages indexées </w:t>
      </w:r>
      <w:r w:rsidR="00820499" w:rsidRPr="004B17B2">
        <w:rPr>
          <w:rStyle w:val="NotedebasdepageCar"/>
          <w:sz w:val="28"/>
          <w:szCs w:val="28"/>
        </w:rPr>
        <w:t>de 0001 à 0029 donnent</w:t>
      </w:r>
      <w:r w:rsidR="001B7131">
        <w:rPr>
          <w:rStyle w:val="NotedebasdepageCar"/>
          <w:sz w:val="28"/>
          <w:szCs w:val="28"/>
        </w:rPr>
        <w:t xml:space="preserve"> la liste des sommes dues par ‘</w:t>
      </w:r>
      <w:r w:rsidR="00820499" w:rsidRPr="004B17B2">
        <w:rPr>
          <w:rStyle w:val="NotedebasdepageCar"/>
          <w:sz w:val="28"/>
          <w:szCs w:val="28"/>
        </w:rPr>
        <w:t>Mo</w:t>
      </w:r>
      <w:r w:rsidR="001B7131">
        <w:rPr>
          <w:rStyle w:val="NotedebasdepageCar"/>
          <w:sz w:val="28"/>
          <w:szCs w:val="28"/>
        </w:rPr>
        <w:t>nsieur Pierre Machuel à Oursel’</w:t>
      </w:r>
      <w:r w:rsidR="00820499" w:rsidRPr="004B17B2">
        <w:rPr>
          <w:rStyle w:val="NotedebasdepageCar"/>
          <w:sz w:val="28"/>
          <w:szCs w:val="28"/>
        </w:rPr>
        <w:t xml:space="preserve"> pour l’impression de divers ouvrages qui constituent en réalité des contrefaçons empruntant sans vergogne, la plupart du temps, les adresses des éditions originales. </w:t>
      </w:r>
    </w:p>
    <w:p w14:paraId="63CB2F9E" w14:textId="18777637" w:rsidR="00FE205A" w:rsidRPr="00FE205A" w:rsidRDefault="004D3544" w:rsidP="004D3544">
      <w:pPr>
        <w:spacing w:line="480" w:lineRule="auto"/>
        <w:ind w:firstLine="709"/>
        <w:rPr>
          <w:rStyle w:val="NotedebasdepageCar"/>
          <w:b/>
          <w:sz w:val="28"/>
          <w:szCs w:val="28"/>
        </w:rPr>
      </w:pPr>
      <w:r>
        <w:rPr>
          <w:b/>
        </w:rPr>
        <w:t xml:space="preserve">Retour sur </w:t>
      </w:r>
      <w:r w:rsidR="00FE205A" w:rsidRPr="00DB686B">
        <w:rPr>
          <w:b/>
        </w:rPr>
        <w:t>Pierre Machuel</w:t>
      </w:r>
      <w:r>
        <w:rPr>
          <w:b/>
        </w:rPr>
        <w:t xml:space="preserve"> et sa formation</w:t>
      </w:r>
    </w:p>
    <w:p w14:paraId="056F322B" w14:textId="3C61990C" w:rsidR="00FE205A" w:rsidRDefault="00FE205A" w:rsidP="00FE205A">
      <w:pPr>
        <w:spacing w:after="0" w:line="480" w:lineRule="auto"/>
        <w:ind w:firstLine="709"/>
      </w:pPr>
      <w:r w:rsidRPr="00C354D6">
        <w:t xml:space="preserve">Dans </w:t>
      </w:r>
      <w:r w:rsidRPr="00C354D6">
        <w:rPr>
          <w:i/>
        </w:rPr>
        <w:t>Édition et sédition. L’univers de la littérature clandestine au XVIII</w:t>
      </w:r>
      <w:r w:rsidRPr="00C354D6">
        <w:rPr>
          <w:i/>
          <w:vertAlign w:val="superscript"/>
        </w:rPr>
        <w:t xml:space="preserve">e </w:t>
      </w:r>
      <w:r w:rsidRPr="00C354D6">
        <w:rPr>
          <w:i/>
        </w:rPr>
        <w:t xml:space="preserve">siècle </w:t>
      </w:r>
      <w:r w:rsidRPr="00C354D6">
        <w:t xml:space="preserve">(1991), </w:t>
      </w:r>
      <w:r>
        <w:t xml:space="preserve">R. </w:t>
      </w:r>
      <w:r w:rsidRPr="00C354D6">
        <w:t xml:space="preserve">Darnton </w:t>
      </w:r>
      <w:r w:rsidR="004D3544">
        <w:t xml:space="preserve">qualifiait </w:t>
      </w:r>
      <w:r w:rsidR="004D3544" w:rsidRPr="00CD2B8B">
        <w:t xml:space="preserve">Pierre III Machuel (1722-1808) </w:t>
      </w:r>
      <w:r>
        <w:t>de ‘</w:t>
      </w:r>
      <w:r w:rsidRPr="00C354D6">
        <w:t>plus grand libraire rouenna</w:t>
      </w:r>
      <w:r>
        <w:t>is’.</w:t>
      </w:r>
      <w:r w:rsidRPr="00C354D6">
        <w:t xml:space="preserve"> </w:t>
      </w:r>
      <w:r w:rsidRPr="00C354D6">
        <w:rPr>
          <w:rStyle w:val="Appelnotedebasdep"/>
        </w:rPr>
        <w:footnoteReference w:id="7"/>
      </w:r>
      <w:r>
        <w:t xml:space="preserve">  ‘</w:t>
      </w:r>
      <w:r w:rsidRPr="00C354D6">
        <w:t>Possédant dix presses, il édite beaucoup de livres lui-même, et il traite avec toutes les grandes maisons des Pa</w:t>
      </w:r>
      <w:r>
        <w:t>ys-Bas et de la France du Nord ‘</w:t>
      </w:r>
      <w:r w:rsidRPr="00C354D6">
        <w:t xml:space="preserve">. </w:t>
      </w:r>
      <w:r w:rsidRPr="00A20F47">
        <w:t>Cependant,</w:t>
      </w:r>
      <w:r>
        <w:t xml:space="preserve"> une pièce de la célèbre Collection Anisson-Duperron sur l’imprimerie et la librairie, à la Bibliothèque nationale de France, nous apprend qu’en 1764, ‘il n’y a à Rouen que deux libraires qui ne sont pas imprimeurs qui ont quelque réputation’ et ‘ce sont les Sieurs Pierre Machuel et Pierre Le Boucher’.</w:t>
      </w:r>
      <w:r>
        <w:rPr>
          <w:rStyle w:val="Appelnotedebasdep"/>
        </w:rPr>
        <w:footnoteReference w:id="8"/>
      </w:r>
      <w:r>
        <w:t xml:space="preserve"> Le document mis en ligne par les </w:t>
      </w:r>
      <w:r w:rsidRPr="00F1677A">
        <w:t>Archives départementales de la Seine-Maritime</w:t>
      </w:r>
      <w:r>
        <w:t xml:space="preserve"> montre en effet que Machuel fut surtout un commanditaire d’</w:t>
      </w:r>
      <w:r w:rsidRPr="00F1677A">
        <w:t xml:space="preserve">impressions qu’il </w:t>
      </w:r>
      <w:r>
        <w:t xml:space="preserve">mettait en œuvre comme ‘éditeur’ dans le sens moderne du terme. </w:t>
      </w:r>
    </w:p>
    <w:p w14:paraId="15E4529F" w14:textId="77777777" w:rsidR="00FE205A" w:rsidRDefault="00FE205A" w:rsidP="004D3544">
      <w:pPr>
        <w:spacing w:after="0" w:line="480" w:lineRule="auto"/>
        <w:ind w:firstLine="709"/>
        <w:rPr>
          <w:rStyle w:val="Lienhypertexte"/>
          <w:sz w:val="24"/>
          <w:szCs w:val="24"/>
        </w:rPr>
      </w:pPr>
      <w:r>
        <w:t xml:space="preserve">Les sommes élevées que lui coûtaient ces travaux de commande suggèrent l’énorme profit qu’ils lui rapportaient, par ses contacts avec des </w:t>
      </w:r>
      <w:r w:rsidRPr="00F1677A">
        <w:t>libraires qu’énumère un</w:t>
      </w:r>
      <w:r>
        <w:t>e des pages du document en question. La Collection Anisson-Duperron témoigne qu’il ‘passe pour être riche’. Il était, à une certaine époque, établi à l’hôtel de Saint-Wandrille rue de la Ganterie, dans le quartier situé au nord de la rue du Gros-Horloge.</w:t>
      </w:r>
      <w:r>
        <w:rPr>
          <w:rStyle w:val="Appelnotedebasdep"/>
        </w:rPr>
        <w:footnoteReference w:id="9"/>
      </w:r>
      <w:r>
        <w:t xml:space="preserve"> Sa fonction réelle se reflète dans le catalogue de la BnF, où la liste des éditions parues à son adresse est très réduite, tardive, et où certaines sont en outre réalisées en collaboration. </w:t>
      </w:r>
    </w:p>
    <w:p w14:paraId="54108D5D" w14:textId="77777777" w:rsidR="00FE205A" w:rsidRDefault="00FE205A" w:rsidP="00FE205A">
      <w:pPr>
        <w:spacing w:line="480" w:lineRule="auto"/>
        <w:ind w:firstLine="709"/>
      </w:pPr>
      <w:r>
        <w:t xml:space="preserve">Pierre Machuel a fait l’objet d’une notice dans </w:t>
      </w:r>
      <w:r w:rsidRPr="008E73FF">
        <w:rPr>
          <w:i/>
        </w:rPr>
        <w:t>La police des métiers du livre à Paris, au siècle des Lumières</w:t>
      </w:r>
      <w:r>
        <w:rPr>
          <w:i/>
        </w:rPr>
        <w:t xml:space="preserve"> </w:t>
      </w:r>
      <w:r>
        <w:t>de J.-D. Mellot, M.-Cl. Felton et É. Queval, préfacé par R. Darnton (2017).</w:t>
      </w:r>
      <w:r>
        <w:rPr>
          <w:rStyle w:val="Appelnotedebasdep"/>
        </w:rPr>
        <w:footnoteReference w:id="10"/>
      </w:r>
      <w:r>
        <w:t xml:space="preserve"> Mais il appartient à D. Smith d’avoir cerné dès l’origine sa personnalité et de l’avoir inscrite dans le contexte typographique rouennais.</w:t>
      </w:r>
      <w:r>
        <w:rPr>
          <w:rStyle w:val="Appelnotedebasdep"/>
        </w:rPr>
        <w:footnoteReference w:id="11"/>
      </w:r>
      <w:r>
        <w:t xml:space="preserve"> Dans l’importante série d’éditions qui méritent pleinement l’appellation ‘œuvres complètes’ de Voltaire, écrit Smith, ‘plusieurs sont restées plus ou moins dans l’ombre, sans doute en partie à cause de leur rareté relative’. ‘Trois d’entre elles, parues entre 1748 et 1764, ont été le fruit du travail de Robert Machuel, grand spécialiste rouennais des éditions clandestines’. Ces éditions sont </w:t>
      </w:r>
      <w:r w:rsidRPr="00A4210A">
        <w:t>désormais désignées par les sigles Œ48R, Œ50 et Œ64R</w:t>
      </w:r>
      <w:r>
        <w:t>.</w:t>
      </w:r>
      <w:r w:rsidRPr="00A4210A">
        <w:rPr>
          <w:rStyle w:val="Appelnotedebasdep"/>
        </w:rPr>
        <w:footnoteReference w:id="12"/>
      </w:r>
    </w:p>
    <w:p w14:paraId="26706C26" w14:textId="77777777" w:rsidR="00F23AEA" w:rsidRDefault="00FE205A" w:rsidP="00975E55">
      <w:pPr>
        <w:spacing w:line="480" w:lineRule="auto"/>
        <w:ind w:firstLine="709"/>
      </w:pPr>
      <w:r>
        <w:t xml:space="preserve">Robert Machuel fut identifié par la police de la Librairie, sur les instances de Voltaire, comme éditeur de ‘cette abominable édition de Rouen’ de ses </w:t>
      </w:r>
      <w:r w:rsidRPr="00E51A3D">
        <w:rPr>
          <w:i/>
        </w:rPr>
        <w:t>Œuvres</w:t>
      </w:r>
      <w:r>
        <w:rPr>
          <w:i/>
        </w:rPr>
        <w:t xml:space="preserve">, </w:t>
      </w:r>
      <w:r>
        <w:t xml:space="preserve">parue en 1748 avec l’adresse d’Amsterdam, ‘Aux dépens de la Compagnie’, en douze volumes (Œ48R). </w:t>
      </w:r>
      <w:r w:rsidR="00F23AEA">
        <w:t xml:space="preserve">On a vu que </w:t>
      </w:r>
      <w:r w:rsidR="00975E55">
        <w:t>Voltaire en obtint la suppression</w:t>
      </w:r>
      <w:r w:rsidR="004B2183">
        <w:t xml:space="preserve">. </w:t>
      </w:r>
      <w:r w:rsidR="00975E55">
        <w:t xml:space="preserve">L’édition </w:t>
      </w:r>
      <w:r w:rsidR="004B2183">
        <w:t xml:space="preserve">des </w:t>
      </w:r>
      <w:r w:rsidR="004B2183" w:rsidRPr="00E51A3D">
        <w:rPr>
          <w:i/>
        </w:rPr>
        <w:t>Œuvres</w:t>
      </w:r>
      <w:r w:rsidR="004B2183">
        <w:rPr>
          <w:i/>
        </w:rPr>
        <w:t xml:space="preserve"> </w:t>
      </w:r>
      <w:r w:rsidR="004B2183">
        <w:t>d</w:t>
      </w:r>
      <w:r w:rsidR="00F23AEA">
        <w:t xml:space="preserve">u philosophe </w:t>
      </w:r>
      <w:r w:rsidR="00975E55">
        <w:t>q</w:t>
      </w:r>
      <w:r w:rsidR="004B2183">
        <w:t xml:space="preserve">ue Robert Machuel </w:t>
      </w:r>
      <w:r w:rsidR="00975E55">
        <w:t>donna à partir de 1750 (</w:t>
      </w:r>
      <w:r w:rsidR="00975E55" w:rsidRPr="00A4210A">
        <w:t>Œ50</w:t>
      </w:r>
      <w:r w:rsidR="00975E55">
        <w:t>) lui valut de nouveaux démêlés avec la police de la Librairie. Il y mêla Pierre Machuel, que des documents d’époque présentent comme son neveu.</w:t>
      </w:r>
      <w:r w:rsidR="00975E55">
        <w:rPr>
          <w:rStyle w:val="Appelnotedebasdep"/>
        </w:rPr>
        <w:footnoteReference w:id="13"/>
      </w:r>
      <w:r w:rsidR="00975E55">
        <w:t xml:space="preserve"> Celui-ci fut particulièrement impliqué dans la publication des  </w:t>
      </w:r>
      <w:r>
        <w:t xml:space="preserve"> ‘</w:t>
      </w:r>
      <w:r>
        <w:rPr>
          <w:i/>
        </w:rPr>
        <w:t xml:space="preserve">Œuvres </w:t>
      </w:r>
      <w:r>
        <w:t>de Voltaire, tome X’, c’est-à-dire, précise D. Smith, pour ‘</w:t>
      </w:r>
      <w:r w:rsidRPr="00F1677A">
        <w:t>le dern</w:t>
      </w:r>
      <w:r>
        <w:t xml:space="preserve">ier volume de Œ50 daté de 1752’, qui contenait </w:t>
      </w:r>
      <w:r>
        <w:rPr>
          <w:i/>
        </w:rPr>
        <w:t xml:space="preserve">La Henriade et autres ouvrages du même auteur. </w:t>
      </w:r>
      <w:r>
        <w:t xml:space="preserve">Ceci </w:t>
      </w:r>
      <w:r w:rsidR="00975E55">
        <w:t xml:space="preserve">valut à Pierre Machuel d’être enfermé </w:t>
      </w:r>
      <w:r>
        <w:t xml:space="preserve">trois mois à la Bastille en 1752-1753, </w:t>
      </w:r>
      <w:r w:rsidR="00975E55">
        <w:t xml:space="preserve">de payer </w:t>
      </w:r>
      <w:r>
        <w:t xml:space="preserve">une amende de 500 livres et </w:t>
      </w:r>
      <w:r w:rsidR="00975E55">
        <w:t>d’être astreint à fermer</w:t>
      </w:r>
      <w:r>
        <w:t xml:space="preserve"> sa boutique pendant six mois.</w:t>
      </w:r>
    </w:p>
    <w:p w14:paraId="019800A7" w14:textId="5EF2DF61" w:rsidR="00FE205A" w:rsidRDefault="00FE205A" w:rsidP="00975E55">
      <w:pPr>
        <w:spacing w:line="480" w:lineRule="auto"/>
        <w:ind w:firstLine="709"/>
        <w:rPr>
          <w:rStyle w:val="NotedebasdepageCar"/>
          <w:sz w:val="28"/>
          <w:szCs w:val="28"/>
        </w:rPr>
      </w:pPr>
      <w:r>
        <w:t xml:space="preserve">La condamnation, </w:t>
      </w:r>
      <w:r w:rsidR="00975E55">
        <w:t>rappelle Darnton, n’</w:t>
      </w:r>
      <w:r w:rsidRPr="00F1677A">
        <w:t>assagit pas</w:t>
      </w:r>
      <w:r>
        <w:t xml:space="preserve"> </w:t>
      </w:r>
      <w:r w:rsidR="00975E55">
        <w:t xml:space="preserve">Pierre, </w:t>
      </w:r>
      <w:r>
        <w:t xml:space="preserve">car il retrouva la prison </w:t>
      </w:r>
      <w:r w:rsidRPr="00F1677A">
        <w:t>du 12 avril au 25 juin 1764 pour avoir diffusé des ouvrages prohibés sur les affaires de la finance et les excès des financiers, objets d’une intense campagne socio-politique.</w:t>
      </w:r>
      <w:r w:rsidRPr="00F1677A">
        <w:rPr>
          <w:rStyle w:val="Appelnotedebasdep"/>
        </w:rPr>
        <w:footnoteReference w:id="14"/>
      </w:r>
      <w:r w:rsidRPr="00F1677A">
        <w:t xml:space="preserve"> </w:t>
      </w:r>
      <w:r>
        <w:t>On trouve sur Gallica l’</w:t>
      </w:r>
      <w:r>
        <w:rPr>
          <w:i/>
        </w:rPr>
        <w:t xml:space="preserve">Arrest du Conseil d’État du Roi, qui destitue Pierre Machuel, de la qualité de second Adjoint du Syndic de la communauté des Libraires à Rouen. Du 15 juillet 1764, </w:t>
      </w:r>
      <w:r>
        <w:t>pour avoir ‘vendu et distribué des livres contraires à la religion et aux bonnes mœurs’.</w:t>
      </w:r>
      <w:r w:rsidRPr="00361E85">
        <w:rPr>
          <w:rStyle w:val="Appelnotedebasdep"/>
        </w:rPr>
        <w:footnoteReference w:id="15"/>
      </w:r>
      <w:r w:rsidR="00975E55">
        <w:t xml:space="preserve"> L’épreuve ne l’</w:t>
      </w:r>
      <w:r>
        <w:t>empêcha évidemment pas de poursuivre des activités si peu clandestines. Sa carrière s’étend en principe jusqu’en 1783.</w:t>
      </w:r>
    </w:p>
    <w:p w14:paraId="50C95FF3" w14:textId="71DBE01B" w:rsidR="006519C4" w:rsidRPr="00FE205A" w:rsidRDefault="00465716" w:rsidP="00FE205A">
      <w:pPr>
        <w:tabs>
          <w:tab w:val="left" w:pos="709"/>
        </w:tabs>
        <w:spacing w:after="0" w:line="480" w:lineRule="auto"/>
        <w:rPr>
          <w:rStyle w:val="TextedebullesCar"/>
          <w:rFonts w:ascii="Times New Roman" w:hAnsi="Times New Roman" w:cs="Times New Roman"/>
          <w:b/>
          <w:sz w:val="28"/>
          <w:szCs w:val="28"/>
        </w:rPr>
      </w:pPr>
      <w:r>
        <w:tab/>
      </w:r>
      <w:r w:rsidR="009B1C66">
        <w:rPr>
          <w:b/>
        </w:rPr>
        <w:t>La contrefaçon de l’</w:t>
      </w:r>
      <w:r w:rsidR="009B1C66">
        <w:rPr>
          <w:b/>
          <w:i/>
        </w:rPr>
        <w:t xml:space="preserve">Histoire de Charles </w:t>
      </w:r>
      <w:r w:rsidR="004D3544">
        <w:rPr>
          <w:b/>
          <w:i/>
        </w:rPr>
        <w:t xml:space="preserve">XII </w:t>
      </w:r>
      <w:r w:rsidR="004D3544">
        <w:rPr>
          <w:b/>
        </w:rPr>
        <w:t>imprimée par</w:t>
      </w:r>
      <w:r w:rsidR="00FE205A">
        <w:rPr>
          <w:b/>
        </w:rPr>
        <w:t xml:space="preserve"> Louis-Joseph Oursel</w:t>
      </w:r>
      <w:r w:rsidR="00F77C33">
        <w:rPr>
          <w:b/>
        </w:rPr>
        <w:t xml:space="preserve"> (type 70BE)</w:t>
      </w:r>
    </w:p>
    <w:p w14:paraId="532CE240" w14:textId="77777777" w:rsidR="00F77C33" w:rsidRDefault="00465716" w:rsidP="00465716">
      <w:pPr>
        <w:tabs>
          <w:tab w:val="left" w:pos="709"/>
        </w:tabs>
        <w:spacing w:after="0" w:line="480" w:lineRule="auto"/>
      </w:pPr>
      <w:r>
        <w:tab/>
      </w:r>
      <w:r w:rsidR="006519C4">
        <w:t>Louis-</w:t>
      </w:r>
      <w:r w:rsidR="006519C4" w:rsidRPr="008E009E">
        <w:t>Joseph Oursel, qui exerça de 1769 à 1796 (?)</w:t>
      </w:r>
      <w:r w:rsidR="006519C4">
        <w:t>, imprima pour Machuel de juin 1770 à mars 1780</w:t>
      </w:r>
      <w:r w:rsidR="001F4FB7">
        <w:t>.</w:t>
      </w:r>
      <w:r w:rsidR="006519C4" w:rsidRPr="008E009E">
        <w:rPr>
          <w:rStyle w:val="Appelnotedebasdep"/>
        </w:rPr>
        <w:footnoteReference w:id="16"/>
      </w:r>
      <w:r w:rsidR="006519C4">
        <w:t xml:space="preserve"> </w:t>
      </w:r>
      <w:r w:rsidR="00FE205A">
        <w:t>Dans le dossier des Archives de Seine-Maritime, l</w:t>
      </w:r>
      <w:r w:rsidR="006519C4">
        <w:t xml:space="preserve">es </w:t>
      </w:r>
      <w:r w:rsidR="001F4FB7">
        <w:t xml:space="preserve">pages </w:t>
      </w:r>
      <w:r w:rsidR="00FE205A">
        <w:t xml:space="preserve">traitant de cette collaboration </w:t>
      </w:r>
      <w:r w:rsidR="006519C4">
        <w:t xml:space="preserve">présentent, dans le coin supérieur gauche, l’année concernée. Une première colonne, à gauche, donne le jour et le mois qui </w:t>
      </w:r>
      <w:r w:rsidR="00FE205A">
        <w:t>sont relatifs à</w:t>
      </w:r>
      <w:r w:rsidR="006519C4">
        <w:t xml:space="preserve"> un ouvrage ou</w:t>
      </w:r>
      <w:r w:rsidR="00FE205A">
        <w:t xml:space="preserve"> à</w:t>
      </w:r>
      <w:r w:rsidR="006519C4">
        <w:t xml:space="preserve"> une partie d’ouvrage déterminés. Se succèdent, de gauche à droite, les indications suivantes: </w:t>
      </w:r>
      <w:r w:rsidR="006519C4" w:rsidRPr="008E009E">
        <w:t xml:space="preserve">titre de l’ouvrage + nombre de feuilles employées + tirage + type de caractère + prix de la feuille (# = livres) + paiement dû ou acquitté (+). Sont éventuellement mentionnés le format de l’ouvrage et le nombre de volumes. </w:t>
      </w:r>
      <w:r w:rsidR="00820499" w:rsidRPr="004B17B2">
        <w:t>Il n’est pas nécessaire de parcou</w:t>
      </w:r>
      <w:r w:rsidR="00820499">
        <w:t xml:space="preserve">rir longuement ces listes pour repérer une référence à Voltaire. La page indexée 0003 mentionne à la date du 22 septembre 1770 la somme </w:t>
      </w:r>
      <w:r w:rsidR="001B7131">
        <w:t>due par Machuel à Oursel pour ‘</w:t>
      </w:r>
      <w:r w:rsidR="00820499">
        <w:t>l’impression de l’histoire de Charles XII contenant dix huit f</w:t>
      </w:r>
      <w:r w:rsidR="00820499">
        <w:rPr>
          <w:vertAlign w:val="superscript"/>
        </w:rPr>
        <w:t>lles</w:t>
      </w:r>
      <w:r w:rsidR="00820499">
        <w:t>, caract. Cicero, tirée à 700 exemp., à raison de 15# la f</w:t>
      </w:r>
      <w:r w:rsidR="00820499">
        <w:rPr>
          <w:vertAlign w:val="superscript"/>
        </w:rPr>
        <w:t>lle</w:t>
      </w:r>
      <w:r w:rsidR="007D296E">
        <w:t>’</w:t>
      </w:r>
      <w:r w:rsidR="001B7131">
        <w:t xml:space="preserve"> pour la somme de ‘270’</w:t>
      </w:r>
      <w:r w:rsidR="00820499">
        <w:t xml:space="preserve"> [livres]. </w:t>
      </w:r>
    </w:p>
    <w:p w14:paraId="452E2881" w14:textId="4B2A95A7" w:rsidR="00523882" w:rsidRDefault="00F77C33" w:rsidP="00EF4C24">
      <w:pPr>
        <w:tabs>
          <w:tab w:val="left" w:pos="709"/>
        </w:tabs>
        <w:spacing w:after="0" w:line="480" w:lineRule="auto"/>
      </w:pPr>
      <w:r>
        <w:tab/>
      </w:r>
      <w:r w:rsidR="00F23AEA">
        <w:t xml:space="preserve">Dans l’édition </w:t>
      </w:r>
      <w:r w:rsidR="0008151D">
        <w:t>de l’</w:t>
      </w:r>
      <w:r w:rsidR="0008151D">
        <w:rPr>
          <w:i/>
        </w:rPr>
        <w:t>Histoire de Charles XII</w:t>
      </w:r>
      <w:r w:rsidR="00F23AEA">
        <w:t xml:space="preserve"> parue à la Voltaire Foundation,</w:t>
      </w:r>
      <w:r w:rsidR="00EF4C24">
        <w:t xml:space="preserve"> </w:t>
      </w:r>
      <w:r w:rsidR="00C50FE2">
        <w:t xml:space="preserve">A. Brown et </w:t>
      </w:r>
      <w:r w:rsidR="00EF4C24">
        <w:t>U. Kölving fournissent une bibliographie des éditions de l’ouvrage. Celle</w:t>
      </w:r>
      <w:r w:rsidR="0008151D">
        <w:t xml:space="preserve"> qui figure sous le n° 70BE peut correspondre à l’</w:t>
      </w:r>
      <w:r w:rsidR="005E2C86">
        <w:t>impression réalisée par Oursel.</w:t>
      </w:r>
      <w:r w:rsidR="0008151D">
        <w:rPr>
          <w:rStyle w:val="Appelnotedebasdep"/>
        </w:rPr>
        <w:footnoteReference w:id="17"/>
      </w:r>
      <w:r w:rsidR="0008151D">
        <w:t xml:space="preserve"> On a acquis un exemplaire de cette édition, dont voici la page de titre du tom</w:t>
      </w:r>
      <w:r w:rsidR="00AC2CC9">
        <w:t>e</w:t>
      </w:r>
      <w:r w:rsidR="0008151D">
        <w:t xml:space="preserve"> premier (</w:t>
      </w:r>
      <w:r w:rsidR="00994050">
        <w:t>figure </w:t>
      </w:r>
      <w:r w:rsidR="0008151D">
        <w:t xml:space="preserve">1). </w:t>
      </w:r>
      <w:r w:rsidR="00CC0267">
        <w:br/>
      </w:r>
    </w:p>
    <w:p w14:paraId="16D4AC5D" w14:textId="77777777" w:rsidR="00AA0BD0" w:rsidRDefault="00AA0BD0" w:rsidP="00465716">
      <w:pPr>
        <w:tabs>
          <w:tab w:val="left" w:pos="709"/>
        </w:tabs>
        <w:spacing w:after="0" w:line="480" w:lineRule="auto"/>
        <w:jc w:val="center"/>
      </w:pPr>
      <w:r w:rsidRPr="00AA0BD0">
        <w:rPr>
          <w:noProof/>
          <w:lang w:eastAsia="fr-BE"/>
        </w:rPr>
        <w:drawing>
          <wp:inline distT="0" distB="0" distL="0" distR="0" wp14:anchorId="32726E6C" wp14:editId="6B0303DE">
            <wp:extent cx="3314700" cy="6042660"/>
            <wp:effectExtent l="0" t="0" r="0" b="0"/>
            <wp:docPr id="1" name="Image 1" descr="C:\Users\danie\Documents\Machuel\Machuel Charles XII\Machuel Oursel Charles XII\Charles XII Oursel p. tit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nie\Documents\Machuel\Machuel Charles XII\Machuel Oursel Charles XII\Charles XII Oursel p. titr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14700" cy="6042660"/>
                    </a:xfrm>
                    <a:prstGeom prst="rect">
                      <a:avLst/>
                    </a:prstGeom>
                    <a:noFill/>
                    <a:ln>
                      <a:noFill/>
                    </a:ln>
                  </pic:spPr>
                </pic:pic>
              </a:graphicData>
            </a:graphic>
          </wp:inline>
        </w:drawing>
      </w:r>
    </w:p>
    <w:p w14:paraId="77E53AE8" w14:textId="1DE18F29" w:rsidR="00E229F2" w:rsidRDefault="00994050" w:rsidP="00465716">
      <w:pPr>
        <w:tabs>
          <w:tab w:val="left" w:pos="709"/>
        </w:tabs>
        <w:spacing w:after="0" w:line="480" w:lineRule="auto"/>
        <w:jc w:val="center"/>
      </w:pPr>
      <w:r>
        <w:t>Figure</w:t>
      </w:r>
      <w:r w:rsidR="00E229F2">
        <w:t xml:space="preserve"> 1.</w:t>
      </w:r>
    </w:p>
    <w:p w14:paraId="713DD15D" w14:textId="3D903818" w:rsidR="00F77C33" w:rsidRDefault="00F77C33" w:rsidP="00465716">
      <w:pPr>
        <w:tabs>
          <w:tab w:val="left" w:pos="709"/>
        </w:tabs>
        <w:spacing w:after="0" w:line="480" w:lineRule="auto"/>
        <w:jc w:val="center"/>
      </w:pPr>
      <w:r>
        <w:t>Type 70BE.</w:t>
      </w:r>
    </w:p>
    <w:p w14:paraId="276D1361" w14:textId="11C69B44" w:rsidR="00994050" w:rsidRDefault="00E229F2" w:rsidP="009B1C66">
      <w:pPr>
        <w:tabs>
          <w:tab w:val="left" w:pos="709"/>
        </w:tabs>
        <w:spacing w:after="0" w:line="480" w:lineRule="auto"/>
        <w:jc w:val="center"/>
      </w:pPr>
      <w:r>
        <w:t>Oupeye, Collection Daniel Droixhe et Alice Piette.</w:t>
      </w:r>
    </w:p>
    <w:p w14:paraId="5AB6BE98" w14:textId="44FEEE8E" w:rsidR="001462A2" w:rsidRDefault="00465716" w:rsidP="00465716">
      <w:pPr>
        <w:tabs>
          <w:tab w:val="left" w:pos="709"/>
        </w:tabs>
        <w:spacing w:after="0" w:line="480" w:lineRule="auto"/>
      </w:pPr>
      <w:r>
        <w:tab/>
      </w:r>
      <w:r w:rsidR="009B1C66">
        <w:t xml:space="preserve">Le tome I est défini comme suit par </w:t>
      </w:r>
      <w:r w:rsidR="00CC0267">
        <w:t>A. Brown et U. Kölving</w:t>
      </w:r>
      <w:r w:rsidR="001462A2">
        <w:t>.</w:t>
      </w:r>
    </w:p>
    <w:p w14:paraId="574EAA99" w14:textId="585D74C5" w:rsidR="00E229F2" w:rsidRDefault="009A0DC9" w:rsidP="00465716">
      <w:pPr>
        <w:tabs>
          <w:tab w:val="left" w:pos="709"/>
        </w:tabs>
        <w:spacing w:after="0" w:line="480" w:lineRule="auto"/>
      </w:pPr>
      <w:r>
        <w:t xml:space="preserve">70BE. </w:t>
      </w:r>
      <w:r w:rsidR="00E229F2" w:rsidRPr="00E66D75">
        <w:t>Tome</w:t>
      </w:r>
      <w:r w:rsidR="00DD044D" w:rsidRPr="00E66D75">
        <w:t xml:space="preserve"> </w:t>
      </w:r>
      <w:r w:rsidR="009B1C66">
        <w:t>I</w:t>
      </w:r>
      <w:r w:rsidR="00E229F2" w:rsidRPr="00E66D75">
        <w:t xml:space="preserve">. </w:t>
      </w:r>
      <w:r>
        <w:t xml:space="preserve">Formule. </w:t>
      </w:r>
      <w:r w:rsidR="00E229F2" w:rsidRPr="00E66D75">
        <w:t>12°. sig. *</w:t>
      </w:r>
      <w:r w:rsidR="00E229F2" w:rsidRPr="00E66D75">
        <w:rPr>
          <w:vertAlign w:val="superscript"/>
        </w:rPr>
        <w:t xml:space="preserve">8 </w:t>
      </w:r>
      <w:r w:rsidR="00E229F2" w:rsidRPr="00E66D75">
        <w:t>**</w:t>
      </w:r>
      <w:r w:rsidR="00E229F2" w:rsidRPr="00E66D75">
        <w:rPr>
          <w:vertAlign w:val="superscript"/>
        </w:rPr>
        <w:t xml:space="preserve">4 </w:t>
      </w:r>
      <w:r w:rsidR="00E229F2" w:rsidRPr="00E66D75">
        <w:t>A-Q</w:t>
      </w:r>
      <w:r w:rsidR="00E229F2" w:rsidRPr="00E66D75">
        <w:rPr>
          <w:vertAlign w:val="superscript"/>
        </w:rPr>
        <w:t xml:space="preserve">8.4 </w:t>
      </w:r>
      <w:r w:rsidR="00E229F2" w:rsidRPr="00E66D75">
        <w:t>R</w:t>
      </w:r>
      <w:r w:rsidR="00E229F2" w:rsidRPr="00E66D75">
        <w:rPr>
          <w:vertAlign w:val="superscript"/>
        </w:rPr>
        <w:t>2</w:t>
      </w:r>
      <w:r w:rsidR="00E229F2" w:rsidRPr="00E66D75">
        <w:t>; pag. xxiv</w:t>
      </w:r>
      <w:r w:rsidR="00D5165F" w:rsidRPr="00E66D75">
        <w:t xml:space="preserve"> </w:t>
      </w:r>
      <w:r w:rsidR="00E229F2" w:rsidRPr="00E66D75">
        <w:t>196; $4,2 signé</w:t>
      </w:r>
      <w:r w:rsidR="00817AC3" w:rsidRPr="00E66D75">
        <w:t>, chiffres arabes (-*1-2, R2); tomaison ‘</w:t>
      </w:r>
      <w:r w:rsidR="00817AC3" w:rsidRPr="00E66D75">
        <w:rPr>
          <w:i/>
        </w:rPr>
        <w:t>Tome I.</w:t>
      </w:r>
      <w:r w:rsidR="00817AC3" w:rsidRPr="00E66D75">
        <w:t>’ (-*, **); réclames par cahier.</w:t>
      </w:r>
      <w:r w:rsidR="001331A2" w:rsidRPr="00E66D75">
        <w:t xml:space="preserve"> </w:t>
      </w:r>
      <w:r w:rsidR="001331A2" w:rsidRPr="00E66D75">
        <w:rPr>
          <w:i/>
        </w:rPr>
        <w:t>Filigrane</w:t>
      </w:r>
      <w:r w:rsidR="008D4593">
        <w:rPr>
          <w:i/>
        </w:rPr>
        <w:t>:</w:t>
      </w:r>
      <w:r w:rsidR="001331A2" w:rsidRPr="00E66D75">
        <w:t xml:space="preserve"> G</w:t>
      </w:r>
      <w:r w:rsidR="00391A00" w:rsidRPr="00E66D75">
        <w:t>♥DE ROUEN / [raisin].</w:t>
      </w:r>
    </w:p>
    <w:p w14:paraId="7F95BDC0" w14:textId="07CC1E37" w:rsidR="009B1C66" w:rsidRDefault="009A0DC9" w:rsidP="009B1C66">
      <w:pPr>
        <w:tabs>
          <w:tab w:val="left" w:pos="709"/>
        </w:tabs>
        <w:spacing w:after="0" w:line="480" w:lineRule="auto"/>
      </w:pPr>
      <w:r>
        <w:t xml:space="preserve">70BE. </w:t>
      </w:r>
      <w:r w:rsidRPr="00E66D75">
        <w:t xml:space="preserve">Tome </w:t>
      </w:r>
      <w:r>
        <w:t>I</w:t>
      </w:r>
      <w:r w:rsidRPr="00E66D75">
        <w:t xml:space="preserve">. </w:t>
      </w:r>
      <w:r w:rsidR="009B1C66">
        <w:t>Contenu. [</w:t>
      </w:r>
      <w:r w:rsidR="009B1C66" w:rsidRPr="00817AC3">
        <w:rPr>
          <w:i/>
        </w:rPr>
        <w:t>i</w:t>
      </w:r>
      <w:r w:rsidR="009B1C66">
        <w:t>] bl.; [ii] frontispice; [iii] titre; [iv] bl.; v-xiv Préface de cette édition de M. DCC. L; xv-xxij Discours sur l’Histoire de Charles XII; [xxiii]-xxiv Table des livres; (1]-196 Histoire de Charles XII. Roi de Suède (livres 1-4).</w:t>
      </w:r>
    </w:p>
    <w:p w14:paraId="7FF3A272" w14:textId="51E9073A" w:rsidR="00DD044D" w:rsidRDefault="00465716" w:rsidP="00465716">
      <w:pPr>
        <w:tabs>
          <w:tab w:val="left" w:pos="709"/>
        </w:tabs>
        <w:spacing w:after="0" w:line="480" w:lineRule="auto"/>
      </w:pPr>
      <w:r>
        <w:tab/>
      </w:r>
      <w:r w:rsidR="00FE205A">
        <w:t xml:space="preserve">Entre le faux-titre et le titre a été inséré, en manière de carton, </w:t>
      </w:r>
      <w:r w:rsidR="009B1C66">
        <w:t xml:space="preserve">un frontispice </w:t>
      </w:r>
      <w:r w:rsidR="00817AC3">
        <w:t>(</w:t>
      </w:r>
      <w:r w:rsidR="00146236">
        <w:t>figure</w:t>
      </w:r>
      <w:r w:rsidR="00817AC3">
        <w:t xml:space="preserve"> 2). </w:t>
      </w:r>
    </w:p>
    <w:p w14:paraId="40ABDAB6" w14:textId="77777777" w:rsidR="00DD044D" w:rsidRDefault="00DD044D" w:rsidP="00465716">
      <w:pPr>
        <w:tabs>
          <w:tab w:val="left" w:pos="709"/>
        </w:tabs>
        <w:spacing w:after="0" w:line="480" w:lineRule="auto"/>
        <w:jc w:val="center"/>
      </w:pPr>
      <w:r w:rsidRPr="00817AC3">
        <w:rPr>
          <w:noProof/>
          <w:lang w:eastAsia="fr-BE"/>
        </w:rPr>
        <w:drawing>
          <wp:inline distT="0" distB="0" distL="0" distR="0" wp14:anchorId="6DB8454B" wp14:editId="514752F2">
            <wp:extent cx="3329940" cy="5806440"/>
            <wp:effectExtent l="0" t="0" r="3810" b="3810"/>
            <wp:docPr id="2" name="Image 2" descr="C:\Users\danie\Documents\Machuel\Machuel Charles XII\Machuel Oursel Charles XII\Charles XII Oursel Fro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nie\Documents\Machuel\Machuel Charles XII\Machuel Oursel Charles XII\Charles XII Oursel Front..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29940" cy="5806440"/>
                    </a:xfrm>
                    <a:prstGeom prst="rect">
                      <a:avLst/>
                    </a:prstGeom>
                    <a:noFill/>
                    <a:ln>
                      <a:noFill/>
                    </a:ln>
                  </pic:spPr>
                </pic:pic>
              </a:graphicData>
            </a:graphic>
          </wp:inline>
        </w:drawing>
      </w:r>
    </w:p>
    <w:p w14:paraId="1BF25628" w14:textId="5FA263E6" w:rsidR="00DD044D" w:rsidRDefault="00146236" w:rsidP="00465716">
      <w:pPr>
        <w:tabs>
          <w:tab w:val="left" w:pos="709"/>
        </w:tabs>
        <w:spacing w:after="0" w:line="480" w:lineRule="auto"/>
        <w:jc w:val="center"/>
      </w:pPr>
      <w:r>
        <w:t>Figure</w:t>
      </w:r>
      <w:r w:rsidR="00DD044D">
        <w:t xml:space="preserve"> 2.</w:t>
      </w:r>
    </w:p>
    <w:p w14:paraId="73DF6145" w14:textId="2189436C" w:rsidR="00F77C33" w:rsidRDefault="00F77C33" w:rsidP="00465716">
      <w:pPr>
        <w:tabs>
          <w:tab w:val="left" w:pos="709"/>
        </w:tabs>
        <w:spacing w:after="0" w:line="480" w:lineRule="auto"/>
        <w:jc w:val="center"/>
      </w:pPr>
      <w:r>
        <w:t>Type 70BE.</w:t>
      </w:r>
    </w:p>
    <w:p w14:paraId="3ADFEE6F" w14:textId="77777777" w:rsidR="00DD044D" w:rsidRDefault="00457B9B" w:rsidP="00465716">
      <w:pPr>
        <w:tabs>
          <w:tab w:val="left" w:pos="709"/>
        </w:tabs>
        <w:spacing w:after="0" w:line="480" w:lineRule="auto"/>
        <w:jc w:val="center"/>
      </w:pPr>
      <w:r>
        <w:t>Tome premier, f</w:t>
      </w:r>
      <w:r w:rsidR="00DD044D">
        <w:t>rontispice.</w:t>
      </w:r>
    </w:p>
    <w:p w14:paraId="2D62B603" w14:textId="429CD650" w:rsidR="00146236" w:rsidRDefault="00DD044D" w:rsidP="009B1C66">
      <w:pPr>
        <w:tabs>
          <w:tab w:val="left" w:pos="709"/>
        </w:tabs>
        <w:spacing w:after="0" w:line="480" w:lineRule="auto"/>
        <w:jc w:val="center"/>
      </w:pPr>
      <w:r>
        <w:t>Oupeye, Collection Daniel Droixhe et Alice Piette.</w:t>
      </w:r>
    </w:p>
    <w:p w14:paraId="7390C8BD" w14:textId="1DB8CFDF" w:rsidR="00CC0267" w:rsidRDefault="00465716" w:rsidP="00465716">
      <w:pPr>
        <w:tabs>
          <w:tab w:val="left" w:pos="709"/>
        </w:tabs>
        <w:spacing w:after="0" w:line="480" w:lineRule="auto"/>
      </w:pPr>
      <w:r>
        <w:tab/>
      </w:r>
      <w:r w:rsidR="009B1C66">
        <w:t>Le tome II</w:t>
      </w:r>
      <w:r w:rsidR="00F2617F">
        <w:t xml:space="preserve"> n’a pas de page</w:t>
      </w:r>
      <w:r w:rsidR="00CC0267">
        <w:t xml:space="preserve"> de titre et commence avec le livre 5 (</w:t>
      </w:r>
      <w:r w:rsidR="00146236">
        <w:t>figure</w:t>
      </w:r>
      <w:r w:rsidR="00CC0267">
        <w:t xml:space="preserve"> 3).</w:t>
      </w:r>
    </w:p>
    <w:p w14:paraId="1471E762" w14:textId="77777777" w:rsidR="006B3078" w:rsidRDefault="00457B9B" w:rsidP="00465716">
      <w:pPr>
        <w:tabs>
          <w:tab w:val="left" w:pos="709"/>
        </w:tabs>
        <w:spacing w:after="0" w:line="480" w:lineRule="auto"/>
        <w:jc w:val="center"/>
      </w:pPr>
      <w:r>
        <w:rPr>
          <w:noProof/>
          <w:lang w:eastAsia="fr-BE"/>
        </w:rPr>
        <w:drawing>
          <wp:inline distT="0" distB="0" distL="0" distR="0" wp14:anchorId="3845DBC4" wp14:editId="6B0CBD7A">
            <wp:extent cx="3330000" cy="5917934"/>
            <wp:effectExtent l="0" t="0" r="3810" b="698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330000" cy="5917934"/>
                    </a:xfrm>
                    <a:prstGeom prst="rect">
                      <a:avLst/>
                    </a:prstGeom>
                  </pic:spPr>
                </pic:pic>
              </a:graphicData>
            </a:graphic>
          </wp:inline>
        </w:drawing>
      </w:r>
    </w:p>
    <w:p w14:paraId="70C663A7" w14:textId="4E19A688" w:rsidR="00C43E6E" w:rsidRDefault="00146236" w:rsidP="00465716">
      <w:pPr>
        <w:tabs>
          <w:tab w:val="left" w:pos="709"/>
        </w:tabs>
        <w:spacing w:after="0" w:line="480" w:lineRule="auto"/>
        <w:jc w:val="center"/>
      </w:pPr>
      <w:r>
        <w:t>Figure</w:t>
      </w:r>
      <w:r w:rsidR="00C43E6E">
        <w:t xml:space="preserve"> 3.</w:t>
      </w:r>
    </w:p>
    <w:p w14:paraId="5A8394B3" w14:textId="77777777" w:rsidR="00F77C33" w:rsidRDefault="00F77C33" w:rsidP="00465716">
      <w:pPr>
        <w:tabs>
          <w:tab w:val="left" w:pos="709"/>
        </w:tabs>
        <w:spacing w:after="0" w:line="480" w:lineRule="auto"/>
        <w:jc w:val="center"/>
      </w:pPr>
      <w:r>
        <w:t>Type 70 BE.</w:t>
      </w:r>
    </w:p>
    <w:p w14:paraId="05EA01B2" w14:textId="6752473B" w:rsidR="00457B9B" w:rsidRDefault="00457B9B" w:rsidP="00465716">
      <w:pPr>
        <w:tabs>
          <w:tab w:val="left" w:pos="709"/>
        </w:tabs>
        <w:spacing w:after="0" w:line="480" w:lineRule="auto"/>
        <w:jc w:val="center"/>
      </w:pPr>
      <w:r>
        <w:t xml:space="preserve">Tome second. </w:t>
      </w:r>
    </w:p>
    <w:p w14:paraId="73A4C98E" w14:textId="5B20AB59" w:rsidR="00146236" w:rsidRDefault="00457B9B" w:rsidP="009B1C66">
      <w:pPr>
        <w:tabs>
          <w:tab w:val="left" w:pos="709"/>
        </w:tabs>
        <w:spacing w:after="0" w:line="480" w:lineRule="auto"/>
        <w:jc w:val="center"/>
      </w:pPr>
      <w:r>
        <w:t>Oupeye, Collection Daniel Droixhe et Alice Piette.</w:t>
      </w:r>
    </w:p>
    <w:p w14:paraId="73B24B0C" w14:textId="0C31954C" w:rsidR="001462A2" w:rsidRDefault="00CF13AC" w:rsidP="00465716">
      <w:pPr>
        <w:tabs>
          <w:tab w:val="left" w:pos="709"/>
        </w:tabs>
        <w:spacing w:after="0" w:line="480" w:lineRule="auto"/>
      </w:pPr>
      <w:r>
        <w:tab/>
      </w:r>
      <w:r w:rsidR="00DD044D" w:rsidRPr="008A1EDD">
        <w:t>L</w:t>
      </w:r>
      <w:r w:rsidR="009B1C66">
        <w:t xml:space="preserve">e tome II est défini comme suit </w:t>
      </w:r>
      <w:r w:rsidR="008A1EDD" w:rsidRPr="008A1EDD">
        <w:t>par</w:t>
      </w:r>
      <w:r w:rsidR="00FA3C36" w:rsidRPr="008A1EDD">
        <w:t xml:space="preserve"> A. Brown et U. Kölving</w:t>
      </w:r>
      <w:r w:rsidR="009B1C66">
        <w:t>.</w:t>
      </w:r>
    </w:p>
    <w:p w14:paraId="058A92CD" w14:textId="2BED58DE" w:rsidR="00631260" w:rsidRDefault="009A0DC9" w:rsidP="00465716">
      <w:pPr>
        <w:tabs>
          <w:tab w:val="left" w:pos="709"/>
        </w:tabs>
        <w:spacing w:after="0" w:line="480" w:lineRule="auto"/>
      </w:pPr>
      <w:r>
        <w:t xml:space="preserve">70BE. </w:t>
      </w:r>
      <w:r w:rsidRPr="00E66D75">
        <w:t xml:space="preserve">Tome </w:t>
      </w:r>
      <w:r>
        <w:t xml:space="preserve">II. </w:t>
      </w:r>
      <w:r w:rsidR="009B1C66">
        <w:t xml:space="preserve">Formule. </w:t>
      </w:r>
      <w:r w:rsidR="001F634B">
        <w:t>12°. sig. A-Q</w:t>
      </w:r>
      <w:r w:rsidR="001F634B">
        <w:rPr>
          <w:vertAlign w:val="superscript"/>
        </w:rPr>
        <w:t xml:space="preserve">8-4 </w:t>
      </w:r>
      <w:r w:rsidR="001F634B">
        <w:t>R</w:t>
      </w:r>
      <w:r w:rsidR="001F634B">
        <w:rPr>
          <w:vertAlign w:val="superscript"/>
        </w:rPr>
        <w:t xml:space="preserve">8 </w:t>
      </w:r>
      <w:r w:rsidR="001F634B">
        <w:t>S</w:t>
      </w:r>
      <w:r w:rsidR="00631260">
        <w:t>1;</w:t>
      </w:r>
      <w:r w:rsidR="00D5165F">
        <w:t xml:space="preserve"> pag. [1] </w:t>
      </w:r>
      <w:r w:rsidR="00631260">
        <w:t>210; $4,2 signé, chiffres arabes; tomaison ‘</w:t>
      </w:r>
      <w:r w:rsidR="00631260">
        <w:rPr>
          <w:i/>
        </w:rPr>
        <w:t>Tome II.</w:t>
      </w:r>
      <w:r w:rsidR="00631260" w:rsidRPr="00631260">
        <w:t>’</w:t>
      </w:r>
      <w:r w:rsidR="00631260">
        <w:t xml:space="preserve"> (sig. Q ‘</w:t>
      </w:r>
      <w:r w:rsidR="00631260">
        <w:rPr>
          <w:i/>
        </w:rPr>
        <w:t>Tomr II.</w:t>
      </w:r>
      <w:r w:rsidR="00631260">
        <w:t xml:space="preserve">’); réclames par cahier. </w:t>
      </w:r>
    </w:p>
    <w:p w14:paraId="302E7726" w14:textId="48D59547" w:rsidR="001F634B" w:rsidRDefault="009A0DC9" w:rsidP="00465716">
      <w:pPr>
        <w:tabs>
          <w:tab w:val="left" w:pos="709"/>
        </w:tabs>
        <w:spacing w:after="0" w:line="480" w:lineRule="auto"/>
      </w:pPr>
      <w:r>
        <w:t xml:space="preserve">70BE. </w:t>
      </w:r>
      <w:r w:rsidRPr="00E66D75">
        <w:t xml:space="preserve">Tome </w:t>
      </w:r>
      <w:r>
        <w:t xml:space="preserve">II. </w:t>
      </w:r>
      <w:r w:rsidR="009B1C66">
        <w:t xml:space="preserve"> </w:t>
      </w:r>
      <w:r>
        <w:t>Contenu.</w:t>
      </w:r>
      <w:r w:rsidR="009B1C66">
        <w:t xml:space="preserve"> </w:t>
      </w:r>
      <w:r w:rsidR="00631260">
        <w:t>[</w:t>
      </w:r>
      <w:r w:rsidR="00D5165F">
        <w:t>49</w:t>
      </w:r>
      <w:r w:rsidR="00631260">
        <w:t>]</w:t>
      </w:r>
      <w:r w:rsidR="00D5165F">
        <w:t xml:space="preserve">-186 Histoire de Charles XII. Roi de Suede (livres 5 -8); 187-210 Table des matières </w:t>
      </w:r>
      <w:r w:rsidR="0036639F">
        <w:t xml:space="preserve">contenues dans l’Histoire de Charles XII. </w:t>
      </w:r>
    </w:p>
    <w:p w14:paraId="113CE3CB" w14:textId="510EC5EB" w:rsidR="009B1C66" w:rsidRPr="004D3544" w:rsidRDefault="004D3544" w:rsidP="00465716">
      <w:pPr>
        <w:tabs>
          <w:tab w:val="left" w:pos="709"/>
        </w:tabs>
        <w:spacing w:after="0" w:line="480" w:lineRule="auto"/>
        <w:rPr>
          <w:b/>
        </w:rPr>
      </w:pPr>
      <w:r>
        <w:tab/>
      </w:r>
      <w:r>
        <w:rPr>
          <w:b/>
        </w:rPr>
        <w:t>L’identification de l’impression par Oursel</w:t>
      </w:r>
    </w:p>
    <w:p w14:paraId="019DBAE2" w14:textId="5F084A3F" w:rsidR="001107D3" w:rsidRDefault="00CF13AC" w:rsidP="00F77C33">
      <w:pPr>
        <w:tabs>
          <w:tab w:val="left" w:pos="709"/>
        </w:tabs>
        <w:spacing w:after="0" w:line="480" w:lineRule="auto"/>
      </w:pPr>
      <w:r>
        <w:tab/>
      </w:r>
      <w:r w:rsidR="00CC0267">
        <w:t xml:space="preserve">L’identification de </w:t>
      </w:r>
      <w:r w:rsidR="004D3544">
        <w:t xml:space="preserve">l’impression correspondant au type </w:t>
      </w:r>
      <w:r w:rsidR="00F77C33">
        <w:t>70BE de l’</w:t>
      </w:r>
      <w:r w:rsidR="00F77C33">
        <w:rPr>
          <w:i/>
        </w:rPr>
        <w:t xml:space="preserve">Histoire de Charles XII </w:t>
      </w:r>
      <w:r w:rsidR="00CC0267">
        <w:t>commencera par c</w:t>
      </w:r>
      <w:r w:rsidR="001B7131">
        <w:t>e qu’on a décidé d’appeler la ‘foliation’</w:t>
      </w:r>
      <w:r w:rsidR="00CC0267">
        <w:t>.</w:t>
      </w:r>
      <w:r w:rsidR="00CC0267">
        <w:rPr>
          <w:rStyle w:val="Appelnotedebasdep"/>
        </w:rPr>
        <w:footnoteReference w:id="18"/>
      </w:r>
      <w:r w:rsidR="00CC0267">
        <w:t xml:space="preserve"> </w:t>
      </w:r>
      <w:bookmarkStart w:id="0" w:name="_GoBack"/>
      <w:r w:rsidR="00CC0267">
        <w:t xml:space="preserve">Le mot désigne d’abord l’indication du nombre de feuilles employées dans l’impression d’un ouvrage, et il s’étend à la relation qu’entretiennent ce nombre de feuilles et le nombre de pages. L’identification d’une édition, à partir d’autres critères, tels que la correspondance ornementale, implique – en principe – l’adéquation entre ces deux éléments. Dans le cas de </w:t>
      </w:r>
      <w:r w:rsidR="0028501E">
        <w:t>‘</w:t>
      </w:r>
      <w:r w:rsidR="00CC0267">
        <w:t>l’impression de l’histoire de Charles XII</w:t>
      </w:r>
      <w:r w:rsidR="0028501E">
        <w:t>’</w:t>
      </w:r>
      <w:r w:rsidR="00CC0267">
        <w:t>, telle qu’elle se présente dans liste manuscrite</w:t>
      </w:r>
      <w:r w:rsidR="001107D3">
        <w:t xml:space="preserve"> définie plus haut, le format de l’ouvrage n’est pas mentionné. Mais la plupart des impressions d’Oursel – pour ne pas dire presque toutes celles qu’on a pu identifier comme contrefaçons – sont des in-12. Les 18 feuilles utilisées pouvaient donc donner lieu à un ouvrage de 432 pages: le n° 70BE de Brown et Kölving compte xxiv+196+210 = 430 pages. Le compte est bon. Deux pages pouvaient servir de pages de garde ou de pages de fin, non imprimées.</w:t>
      </w:r>
    </w:p>
    <w:p w14:paraId="1B172DEC" w14:textId="1ACF09D0" w:rsidR="00D52AE4" w:rsidRDefault="00CF13AC" w:rsidP="00465716">
      <w:pPr>
        <w:tabs>
          <w:tab w:val="left" w:pos="709"/>
        </w:tabs>
        <w:spacing w:after="0" w:line="480" w:lineRule="auto"/>
        <w:rPr>
          <w:i/>
        </w:rPr>
      </w:pPr>
      <w:r>
        <w:tab/>
      </w:r>
      <w:r w:rsidR="001107D3">
        <w:t xml:space="preserve">L’authentification de </w:t>
      </w:r>
      <w:r w:rsidR="00BB68E6">
        <w:t xml:space="preserve">l’édition </w:t>
      </w:r>
      <w:r w:rsidR="00BF49D7">
        <w:t xml:space="preserve">requiert par ailleurs l’examen du matériel typographique. Conformément à une procédure notamment mise en place dans l’ouvrage intitulé </w:t>
      </w:r>
      <w:r w:rsidR="00BF49D7">
        <w:rPr>
          <w:i/>
        </w:rPr>
        <w:t>Signatures clandestines et autres essais sur les contrefaçons de Liège et de Maastricht au XVIII</w:t>
      </w:r>
      <w:r w:rsidR="00BF49D7">
        <w:rPr>
          <w:i/>
          <w:vertAlign w:val="superscript"/>
        </w:rPr>
        <w:t xml:space="preserve">e </w:t>
      </w:r>
      <w:r w:rsidR="00BF49D7">
        <w:rPr>
          <w:i/>
        </w:rPr>
        <w:t>siècle,</w:t>
      </w:r>
      <w:r w:rsidR="00BF49D7">
        <w:t xml:space="preserve"> </w:t>
      </w:r>
      <w:r w:rsidR="00C50FE2">
        <w:t xml:space="preserve">ainsi que dans l’étude de D. Smith sur ‘Robert Machuel, imprimeur-libraire à Rouen, et ses éditions des œuvres de Voltaire’, </w:t>
      </w:r>
      <w:r w:rsidR="00BF49D7">
        <w:t>on privilégiera l’ornementation.</w:t>
      </w:r>
      <w:r w:rsidR="00BF49D7">
        <w:rPr>
          <w:rStyle w:val="Appelnotedebasdep"/>
        </w:rPr>
        <w:footnoteReference w:id="19"/>
      </w:r>
      <w:r w:rsidR="00165D3B">
        <w:t xml:space="preserve"> Celle-ci est constituée, dans le cas présent, d’ornements composés réalisés au moyen de caractères. On a montré que ces assemblages, typiques, répétitifs et souvent inscrits dans des chaînes stylistiques ou évolutives, forment des sortes d’empreintes digitales indiquant une origine déterminée. Ils sont en tout cas aussi significatifs que les ornements produits par des bois gravés, que </w:t>
      </w:r>
      <w:r w:rsidR="00D52AE4">
        <w:t xml:space="preserve">des artistes consommés étaient parfois capables de reproduire avec une confondante fidélité, ainsi que G. Barber l’a montré à propos des premières éditions du </w:t>
      </w:r>
      <w:r w:rsidR="00C62CF5">
        <w:rPr>
          <w:i/>
        </w:rPr>
        <w:t>Candide.</w:t>
      </w:r>
      <w:r w:rsidR="00D52AE4" w:rsidRPr="00D52AE4">
        <w:rPr>
          <w:rStyle w:val="Appelnotedebasdep"/>
        </w:rPr>
        <w:footnoteReference w:id="20"/>
      </w:r>
    </w:p>
    <w:p w14:paraId="63496497" w14:textId="21241120" w:rsidR="00C43E6E" w:rsidRDefault="00CF13AC" w:rsidP="00465716">
      <w:pPr>
        <w:tabs>
          <w:tab w:val="left" w:pos="709"/>
        </w:tabs>
        <w:spacing w:after="0" w:line="480" w:lineRule="auto"/>
      </w:pPr>
      <w:r>
        <w:tab/>
      </w:r>
      <w:r w:rsidR="00A94BE1">
        <w:t>L’édition de l’</w:t>
      </w:r>
      <w:r w:rsidR="00A94BE1">
        <w:rPr>
          <w:i/>
        </w:rPr>
        <w:t xml:space="preserve">Histoire de Charles XII </w:t>
      </w:r>
      <w:r w:rsidR="00A94BE1">
        <w:t xml:space="preserve">en question comporte quatre vignettes composées. Trois d’entre elles se retrouvent dans </w:t>
      </w:r>
      <w:r w:rsidR="00C43E6E">
        <w:t>deux</w:t>
      </w:r>
      <w:r w:rsidR="00744CE2">
        <w:t xml:space="preserve"> édition</w:t>
      </w:r>
      <w:r w:rsidR="00C43E6E">
        <w:t>s qui s’avèrent des contrefaçons probables – pour ne pas dire assurées – réalisées par Oursel pour Machuel</w:t>
      </w:r>
      <w:r w:rsidR="00637701">
        <w:t xml:space="preserve"> : les </w:t>
      </w:r>
      <w:r w:rsidR="00637701">
        <w:rPr>
          <w:i/>
        </w:rPr>
        <w:t xml:space="preserve">Lettres d’une Péruvienne </w:t>
      </w:r>
      <w:r w:rsidR="00637701">
        <w:t xml:space="preserve">de Mme de Graffigny et des </w:t>
      </w:r>
      <w:r w:rsidR="00637701">
        <w:rPr>
          <w:i/>
        </w:rPr>
        <w:t xml:space="preserve">Œuvres de théâtre </w:t>
      </w:r>
      <w:r w:rsidR="00637701">
        <w:t>de Diderot</w:t>
      </w:r>
      <w:r w:rsidR="00C43E6E">
        <w:t>. On en présente ci-dessous les pages de titre de chaque tome ou partie (</w:t>
      </w:r>
      <w:r w:rsidR="004D2905">
        <w:t>figure</w:t>
      </w:r>
      <w:r w:rsidR="00C43E6E">
        <w:t>s 4-7).</w:t>
      </w:r>
    </w:p>
    <w:tbl>
      <w:tblPr>
        <w:tblStyle w:val="Grilledutableau"/>
        <w:tblW w:w="0" w:type="auto"/>
        <w:tblLayout w:type="fixed"/>
        <w:tblLook w:val="04A0" w:firstRow="1" w:lastRow="0" w:firstColumn="1" w:lastColumn="0" w:noHBand="0" w:noVBand="1"/>
      </w:tblPr>
      <w:tblGrid>
        <w:gridCol w:w="4536"/>
        <w:gridCol w:w="4536"/>
      </w:tblGrid>
      <w:tr w:rsidR="00C43E6E" w14:paraId="2A7434B1" w14:textId="77777777" w:rsidTr="00EF679E">
        <w:tc>
          <w:tcPr>
            <w:tcW w:w="4536" w:type="dxa"/>
            <w:tcBorders>
              <w:top w:val="nil"/>
              <w:left w:val="nil"/>
              <w:bottom w:val="nil"/>
              <w:right w:val="nil"/>
            </w:tcBorders>
          </w:tcPr>
          <w:p w14:paraId="11A4E07E" w14:textId="77777777" w:rsidR="00C43E6E" w:rsidRDefault="00C43E6E" w:rsidP="00465716">
            <w:pPr>
              <w:tabs>
                <w:tab w:val="left" w:pos="709"/>
              </w:tabs>
              <w:spacing w:line="480" w:lineRule="auto"/>
              <w:jc w:val="center"/>
            </w:pPr>
            <w:r w:rsidRPr="00C43E6E">
              <w:rPr>
                <w:noProof/>
                <w:lang w:eastAsia="fr-BE"/>
              </w:rPr>
              <w:drawing>
                <wp:inline distT="0" distB="0" distL="0" distR="0" wp14:anchorId="62CDD1E7" wp14:editId="26CFE635">
                  <wp:extent cx="2520000" cy="4341600"/>
                  <wp:effectExtent l="0" t="0" r="0" b="1905"/>
                  <wp:docPr id="21" name="Image 21" descr="C:\Users\danie\Documents\Machuel\Machuel Lettres péruviennes\Lettres péruviennes\Lettres Péruvienne Amst. Délaissé 70 titre.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nie\Documents\Machuel\Machuel Lettres péruviennes\Lettres péruviennes\Lettres Péruvienne Amst. Délaissé 70 titre.jf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20000" cy="4341600"/>
                          </a:xfrm>
                          <a:prstGeom prst="rect">
                            <a:avLst/>
                          </a:prstGeom>
                          <a:noFill/>
                          <a:ln>
                            <a:noFill/>
                          </a:ln>
                        </pic:spPr>
                      </pic:pic>
                    </a:graphicData>
                  </a:graphic>
                </wp:inline>
              </w:drawing>
            </w:r>
          </w:p>
          <w:p w14:paraId="7D4505A8" w14:textId="778A1EB7" w:rsidR="001333A2" w:rsidRDefault="004D2905" w:rsidP="00465716">
            <w:pPr>
              <w:tabs>
                <w:tab w:val="left" w:pos="709"/>
              </w:tabs>
              <w:spacing w:line="480" w:lineRule="auto"/>
              <w:jc w:val="center"/>
            </w:pPr>
            <w:r>
              <w:t>Figure</w:t>
            </w:r>
            <w:r w:rsidR="001333A2">
              <w:t xml:space="preserve"> 4.</w:t>
            </w:r>
          </w:p>
          <w:p w14:paraId="5BF6ED99" w14:textId="1613E829" w:rsidR="001333A2" w:rsidRDefault="001333A2" w:rsidP="00EE302D">
            <w:pPr>
              <w:tabs>
                <w:tab w:val="left" w:pos="709"/>
              </w:tabs>
              <w:spacing w:line="480" w:lineRule="auto"/>
              <w:jc w:val="center"/>
            </w:pPr>
            <w:r>
              <w:t xml:space="preserve">Madame de Graffigny, </w:t>
            </w:r>
            <w:r>
              <w:rPr>
                <w:i/>
              </w:rPr>
              <w:t xml:space="preserve">Lettres d’une Péruvienne, </w:t>
            </w:r>
            <w:r>
              <w:t xml:space="preserve">Lyon, Bibliothèque municipale, 327410 </w:t>
            </w:r>
            <w:r w:rsidR="00EE302D">
              <w:t>–</w:t>
            </w:r>
            <w:r>
              <w:t xml:space="preserve"> Numelyo</w:t>
            </w:r>
            <w:r w:rsidR="00EE302D">
              <w:t xml:space="preserve">. </w:t>
            </w:r>
            <w:r w:rsidR="00EE302D">
              <w:rPr>
                <w:rStyle w:val="Appelnotedebasdep"/>
              </w:rPr>
              <w:footnoteReference w:id="21"/>
            </w:r>
            <w:r w:rsidR="00EE302D">
              <w:t xml:space="preserve"> </w:t>
            </w:r>
          </w:p>
        </w:tc>
        <w:tc>
          <w:tcPr>
            <w:tcW w:w="4536" w:type="dxa"/>
            <w:tcBorders>
              <w:top w:val="nil"/>
              <w:left w:val="nil"/>
              <w:bottom w:val="nil"/>
              <w:right w:val="nil"/>
            </w:tcBorders>
          </w:tcPr>
          <w:p w14:paraId="2B05F241" w14:textId="77777777" w:rsidR="00C43E6E" w:rsidRDefault="00C43E6E" w:rsidP="00465716">
            <w:pPr>
              <w:tabs>
                <w:tab w:val="left" w:pos="709"/>
              </w:tabs>
              <w:spacing w:line="480" w:lineRule="auto"/>
              <w:jc w:val="center"/>
            </w:pPr>
            <w:r w:rsidRPr="00C43E6E">
              <w:rPr>
                <w:noProof/>
                <w:lang w:eastAsia="fr-BE"/>
              </w:rPr>
              <w:drawing>
                <wp:inline distT="0" distB="0" distL="0" distR="0" wp14:anchorId="7DC16F18" wp14:editId="00CFD78B">
                  <wp:extent cx="2520000" cy="4269600"/>
                  <wp:effectExtent l="0" t="0" r="0" b="0"/>
                  <wp:docPr id="20" name="Image 20" descr="C:\Users\danie\Documents\Machuel\Machuel Lettres péruviennes\Lettres péruviennes\Lettres Péruvienne Sec. partie Amst. Délaissé, titre.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nie\Documents\Machuel\Machuel Lettres péruviennes\Lettres péruviennes\Lettres Péruvienne Sec. partie Amst. Délaissé, titre.jf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20000" cy="4269600"/>
                          </a:xfrm>
                          <a:prstGeom prst="rect">
                            <a:avLst/>
                          </a:prstGeom>
                          <a:noFill/>
                          <a:ln>
                            <a:noFill/>
                          </a:ln>
                        </pic:spPr>
                      </pic:pic>
                    </a:graphicData>
                  </a:graphic>
                </wp:inline>
              </w:drawing>
            </w:r>
          </w:p>
          <w:p w14:paraId="1E2B8221" w14:textId="4DCC1915" w:rsidR="00C43E6E" w:rsidRDefault="004D2905" w:rsidP="00465716">
            <w:pPr>
              <w:tabs>
                <w:tab w:val="left" w:pos="709"/>
              </w:tabs>
              <w:spacing w:line="480" w:lineRule="auto"/>
              <w:jc w:val="center"/>
            </w:pPr>
            <w:r>
              <w:t>Figure</w:t>
            </w:r>
            <w:r w:rsidR="00C43E6E">
              <w:t xml:space="preserve"> 5.</w:t>
            </w:r>
          </w:p>
          <w:p w14:paraId="062BEFA7" w14:textId="604C2730" w:rsidR="001333A2" w:rsidRDefault="001333A2" w:rsidP="00465716">
            <w:pPr>
              <w:tabs>
                <w:tab w:val="left" w:pos="709"/>
              </w:tabs>
              <w:spacing w:line="480" w:lineRule="auto"/>
              <w:jc w:val="center"/>
            </w:pPr>
            <w:r>
              <w:t xml:space="preserve">Madame de Graffigny, </w:t>
            </w:r>
            <w:r>
              <w:rPr>
                <w:i/>
              </w:rPr>
              <w:t xml:space="preserve">Lettres d’une Péruvienne, </w:t>
            </w:r>
            <w:r>
              <w:t>Lyon, Bibliothèqu</w:t>
            </w:r>
            <w:r w:rsidR="00637701">
              <w:t>e municipale, 327410 – Numelyo.</w:t>
            </w:r>
          </w:p>
          <w:p w14:paraId="5E958DF7" w14:textId="77777777" w:rsidR="00C43E6E" w:rsidRDefault="00C43E6E" w:rsidP="00465716">
            <w:pPr>
              <w:tabs>
                <w:tab w:val="left" w:pos="709"/>
              </w:tabs>
              <w:spacing w:line="480" w:lineRule="auto"/>
              <w:jc w:val="center"/>
            </w:pPr>
          </w:p>
        </w:tc>
      </w:tr>
      <w:tr w:rsidR="00C43E6E" w14:paraId="20510A5D" w14:textId="77777777" w:rsidTr="00EF679E">
        <w:tc>
          <w:tcPr>
            <w:tcW w:w="4536" w:type="dxa"/>
            <w:tcBorders>
              <w:top w:val="nil"/>
              <w:left w:val="nil"/>
              <w:bottom w:val="nil"/>
              <w:right w:val="nil"/>
            </w:tcBorders>
          </w:tcPr>
          <w:p w14:paraId="47163CB9" w14:textId="77777777" w:rsidR="00C43E6E" w:rsidRDefault="001333A2" w:rsidP="00465716">
            <w:pPr>
              <w:tabs>
                <w:tab w:val="left" w:pos="709"/>
              </w:tabs>
              <w:spacing w:line="480" w:lineRule="auto"/>
              <w:jc w:val="center"/>
            </w:pPr>
            <w:r w:rsidRPr="001333A2">
              <w:rPr>
                <w:noProof/>
                <w:lang w:eastAsia="fr-BE"/>
              </w:rPr>
              <w:drawing>
                <wp:inline distT="0" distB="0" distL="0" distR="0" wp14:anchorId="408CB1A8" wp14:editId="708862C8">
                  <wp:extent cx="2520000" cy="4737600"/>
                  <wp:effectExtent l="0" t="0" r="0" b="6350"/>
                  <wp:docPr id="22" name="Image 22" descr="C:\Users\danie\Documents\Machuel\Machuel Diderot\Diderot Théâtre 71 C8\C8 Bordeaux p. titre recadr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nie\Documents\Machuel\Machuel Diderot\Diderot Théâtre 71 C8\C8 Bordeaux p. titre recadré.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20000" cy="4737600"/>
                          </a:xfrm>
                          <a:prstGeom prst="rect">
                            <a:avLst/>
                          </a:prstGeom>
                          <a:noFill/>
                          <a:ln>
                            <a:noFill/>
                          </a:ln>
                        </pic:spPr>
                      </pic:pic>
                    </a:graphicData>
                  </a:graphic>
                </wp:inline>
              </w:drawing>
            </w:r>
          </w:p>
          <w:p w14:paraId="3B24578E" w14:textId="6AF5D51A" w:rsidR="001333A2" w:rsidRDefault="004D2905" w:rsidP="00465716">
            <w:pPr>
              <w:tabs>
                <w:tab w:val="left" w:pos="709"/>
              </w:tabs>
              <w:spacing w:line="480" w:lineRule="auto"/>
              <w:jc w:val="center"/>
            </w:pPr>
            <w:r>
              <w:t>Figure</w:t>
            </w:r>
            <w:r w:rsidR="001333A2">
              <w:t xml:space="preserve"> 6.</w:t>
            </w:r>
          </w:p>
          <w:p w14:paraId="7C3FADF6" w14:textId="77777777" w:rsidR="001333A2" w:rsidRDefault="001333A2" w:rsidP="00465716">
            <w:pPr>
              <w:tabs>
                <w:tab w:val="left" w:pos="709"/>
              </w:tabs>
              <w:spacing w:line="480" w:lineRule="auto"/>
              <w:jc w:val="center"/>
            </w:pPr>
            <w:r>
              <w:t xml:space="preserve">Bordeaux, Bibliothèque municipale, Collection patrimoniales, </w:t>
            </w:r>
            <w:r w:rsidRPr="001333A2">
              <w:rPr>
                <w:color w:val="000000"/>
                <w:shd w:val="clear" w:color="auto" w:fill="FFFFFF"/>
              </w:rPr>
              <w:t>A.P. 27383</w:t>
            </w:r>
            <w:r>
              <w:rPr>
                <w:color w:val="000000"/>
                <w:shd w:val="clear" w:color="auto" w:fill="FFFFFF"/>
              </w:rPr>
              <w:t>.</w:t>
            </w:r>
            <w:r>
              <w:rPr>
                <w:rStyle w:val="Appelnotedebasdep"/>
                <w:color w:val="000000"/>
                <w:shd w:val="clear" w:color="auto" w:fill="FFFFFF"/>
              </w:rPr>
              <w:footnoteReference w:id="22"/>
            </w:r>
          </w:p>
        </w:tc>
        <w:tc>
          <w:tcPr>
            <w:tcW w:w="4536" w:type="dxa"/>
            <w:tcBorders>
              <w:top w:val="nil"/>
              <w:left w:val="nil"/>
              <w:bottom w:val="nil"/>
              <w:right w:val="nil"/>
            </w:tcBorders>
          </w:tcPr>
          <w:p w14:paraId="3201AC3B" w14:textId="77777777" w:rsidR="00C43E6E" w:rsidRDefault="00135BB0" w:rsidP="00465716">
            <w:pPr>
              <w:tabs>
                <w:tab w:val="left" w:pos="709"/>
              </w:tabs>
              <w:spacing w:line="480" w:lineRule="auto"/>
              <w:jc w:val="center"/>
            </w:pPr>
            <w:r w:rsidRPr="00135BB0">
              <w:rPr>
                <w:noProof/>
                <w:lang w:eastAsia="fr-BE"/>
              </w:rPr>
              <w:drawing>
                <wp:inline distT="0" distB="0" distL="0" distR="0" wp14:anchorId="3B42756A" wp14:editId="7F9F2691">
                  <wp:extent cx="2592000" cy="4750755"/>
                  <wp:effectExtent l="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592000" cy="4750755"/>
                          </a:xfrm>
                          <a:prstGeom prst="rect">
                            <a:avLst/>
                          </a:prstGeom>
                        </pic:spPr>
                      </pic:pic>
                    </a:graphicData>
                  </a:graphic>
                </wp:inline>
              </w:drawing>
            </w:r>
          </w:p>
          <w:p w14:paraId="053922A3" w14:textId="5102D054" w:rsidR="00135BB0" w:rsidRDefault="008B232A" w:rsidP="00465716">
            <w:pPr>
              <w:tabs>
                <w:tab w:val="left" w:pos="709"/>
              </w:tabs>
              <w:spacing w:line="480" w:lineRule="auto"/>
              <w:jc w:val="center"/>
            </w:pPr>
            <w:r>
              <w:t>Figure</w:t>
            </w:r>
            <w:r w:rsidR="00135BB0">
              <w:t xml:space="preserve"> 7.</w:t>
            </w:r>
            <w:r w:rsidR="00135BB0">
              <w:br/>
              <w:t xml:space="preserve">Indiana University Library, 594275. </w:t>
            </w:r>
          </w:p>
          <w:p w14:paraId="7BF27A76" w14:textId="77777777" w:rsidR="00135BB0" w:rsidRDefault="00135BB0" w:rsidP="00465716">
            <w:pPr>
              <w:tabs>
                <w:tab w:val="left" w:pos="709"/>
              </w:tabs>
              <w:spacing w:line="480" w:lineRule="auto"/>
              <w:jc w:val="center"/>
            </w:pPr>
            <w:r>
              <w:t xml:space="preserve">HathiTrust. </w:t>
            </w:r>
          </w:p>
        </w:tc>
      </w:tr>
    </w:tbl>
    <w:p w14:paraId="6007513F" w14:textId="4D85014B" w:rsidR="00FD162A" w:rsidRDefault="00CF13AC" w:rsidP="00465716">
      <w:pPr>
        <w:tabs>
          <w:tab w:val="left" w:pos="709"/>
        </w:tabs>
        <w:spacing w:after="0" w:line="480" w:lineRule="auto"/>
      </w:pPr>
      <w:r>
        <w:tab/>
      </w:r>
      <w:r w:rsidR="00FD162A">
        <w:t>L’édition des</w:t>
      </w:r>
      <w:r w:rsidR="00744CE2">
        <w:t xml:space="preserve"> </w:t>
      </w:r>
      <w:r w:rsidR="00744CE2">
        <w:rPr>
          <w:i/>
        </w:rPr>
        <w:t xml:space="preserve">Lettres d’une Péruvienne </w:t>
      </w:r>
      <w:r w:rsidR="00744CE2">
        <w:t xml:space="preserve">de Mme de Graffigny parue </w:t>
      </w:r>
      <w:r w:rsidR="00FD162A">
        <w:t>en 1770</w:t>
      </w:r>
      <w:r w:rsidR="007F10D1">
        <w:t xml:space="preserve"> à l’adresse d’Amsterdam, ‘Aux dépens du Délaissé’</w:t>
      </w:r>
      <w:r w:rsidR="00FD162A">
        <w:t xml:space="preserve">, est enregistrée </w:t>
      </w:r>
      <w:r w:rsidR="00744CE2">
        <w:t>et décrit</w:t>
      </w:r>
      <w:r w:rsidR="00FD162A">
        <w:t>e</w:t>
      </w:r>
      <w:r w:rsidR="00744CE2">
        <w:t xml:space="preserve"> sous l’indice P.43 par D. Smith dans sa </w:t>
      </w:r>
      <w:r w:rsidR="00744CE2">
        <w:rPr>
          <w:i/>
        </w:rPr>
        <w:t xml:space="preserve">Bibliographie des œuvres de Mme de Graffigny. 1745-1855 </w:t>
      </w:r>
      <w:r w:rsidR="00744CE2">
        <w:t>(2016).</w:t>
      </w:r>
      <w:r w:rsidR="00744CE2">
        <w:rPr>
          <w:rStyle w:val="Appelnotedebasdep"/>
        </w:rPr>
        <w:footnoteReference w:id="23"/>
      </w:r>
      <w:r w:rsidR="00744CE2">
        <w:t xml:space="preserve"> D. Smith fournit une pleine page de reproductions des ornements composés de cet ouvrage, </w:t>
      </w:r>
      <w:r w:rsidR="007D09FC">
        <w:t>qu’il considère comme réalisé à Rouen. Le papier présente ces filigranes</w:t>
      </w:r>
      <w:r w:rsidR="008D4593">
        <w:t>:</w:t>
      </w:r>
      <w:r w:rsidR="007D09FC">
        <w:t xml:space="preserve"> J♥DUVAL / 1770 / 1770 + FIN / [raisin]</w:t>
      </w:r>
      <w:r w:rsidR="008D4593">
        <w:t>;</w:t>
      </w:r>
      <w:r w:rsidR="007D09FC">
        <w:t xml:space="preserve"> J♥DUVAL + G♥DE ROUEN / FIN / [raisin]. </w:t>
      </w:r>
    </w:p>
    <w:p w14:paraId="13C4D853" w14:textId="3E58270D" w:rsidR="00744CE2" w:rsidRPr="006B63E6" w:rsidRDefault="00CF13AC" w:rsidP="00465716">
      <w:pPr>
        <w:tabs>
          <w:tab w:val="left" w:pos="709"/>
        </w:tabs>
        <w:spacing w:after="0" w:line="480" w:lineRule="auto"/>
      </w:pPr>
      <w:r>
        <w:tab/>
      </w:r>
      <w:r w:rsidR="0052746C">
        <w:t xml:space="preserve">Une impression d’Oursel pour Machuel correspond à cette édition. Elle est mentionnée page </w:t>
      </w:r>
      <w:r w:rsidR="007D09FC">
        <w:t>0003 à la date du 18 août 1770</w:t>
      </w:r>
      <w:r w:rsidR="0052746C">
        <w:t>, sous cette forme</w:t>
      </w:r>
      <w:r w:rsidR="007D09FC">
        <w:t xml:space="preserve">: </w:t>
      </w:r>
      <w:r w:rsidR="007F10D1">
        <w:t>‘</w:t>
      </w:r>
      <w:r w:rsidR="007D09FC">
        <w:t>l’impression des Lettres péruviennes contenant seize feuilles, tirée a sept</w:t>
      </w:r>
      <w:r w:rsidR="006B63E6">
        <w:t xml:space="preserve"> cents 50 exemplaires, caractere Cicero à raison de 15# la f</w:t>
      </w:r>
      <w:r w:rsidR="006B63E6">
        <w:rPr>
          <w:vertAlign w:val="superscript"/>
        </w:rPr>
        <w:t>lle</w:t>
      </w:r>
      <w:r w:rsidR="007F10D1">
        <w:t>’ pour la somme de ‘240’</w:t>
      </w:r>
      <w:r w:rsidR="006B63E6">
        <w:t xml:space="preserve"> [livres]. </w:t>
      </w:r>
      <w:r w:rsidR="00B1588B">
        <w:t>Les feuilles employées permettaient l’impression de 384 p.: c’est exactement le nombre de p</w:t>
      </w:r>
      <w:r w:rsidR="00FB040A">
        <w:t>ages</w:t>
      </w:r>
      <w:r w:rsidR="00B1588B">
        <w:t xml:space="preserve"> du volume décrit par Smith.</w:t>
      </w:r>
      <w:r w:rsidR="00B1588B">
        <w:rPr>
          <w:rStyle w:val="Appelnotedebasdep"/>
        </w:rPr>
        <w:footnoteReference w:id="24"/>
      </w:r>
    </w:p>
    <w:p w14:paraId="01AB93FD" w14:textId="1B10763B" w:rsidR="00FD162A" w:rsidRDefault="00CF13AC" w:rsidP="00465716">
      <w:pPr>
        <w:tabs>
          <w:tab w:val="left" w:pos="709"/>
        </w:tabs>
        <w:spacing w:after="0" w:line="480" w:lineRule="auto"/>
      </w:pPr>
      <w:r>
        <w:tab/>
      </w:r>
      <w:r w:rsidR="0052746C">
        <w:t>Quant à l</w:t>
      </w:r>
      <w:r w:rsidR="00FD162A">
        <w:t xml:space="preserve">’édition des </w:t>
      </w:r>
      <w:r w:rsidR="00FD162A">
        <w:rPr>
          <w:i/>
        </w:rPr>
        <w:t xml:space="preserve">Œuvres de théatre de M. Diderot </w:t>
      </w:r>
      <w:r w:rsidR="00FD162A">
        <w:t>parue en 1771 sous l’adresse nue d’Amsterdam</w:t>
      </w:r>
      <w:r w:rsidR="0052746C">
        <w:t xml:space="preserve">, elle </w:t>
      </w:r>
      <w:r w:rsidR="00FD162A">
        <w:t xml:space="preserve">est enregistrée et décrite sous l’indice C8 par D. Adams dans sa </w:t>
      </w:r>
      <w:r w:rsidR="00FD162A">
        <w:rPr>
          <w:i/>
        </w:rPr>
        <w:t xml:space="preserve">Bibliographie des œuvres de Denis Diderot. 1739-1900 </w:t>
      </w:r>
      <w:r w:rsidR="00FD162A">
        <w:t>(2000).</w:t>
      </w:r>
      <w:r w:rsidR="00FD162A">
        <w:rPr>
          <w:rStyle w:val="Appelnotedebasdep"/>
        </w:rPr>
        <w:footnoteReference w:id="25"/>
      </w:r>
      <w:r w:rsidR="00A7721C">
        <w:t xml:space="preserve"> D. Adams notait les occurrences des ornements de cet ouvrage à</w:t>
      </w:r>
      <w:r w:rsidR="005139E1">
        <w:t xml:space="preserve"> propos duquel il concluait: ‘</w:t>
      </w:r>
      <w:r w:rsidR="00A7721C">
        <w:t>Édition dont le filigrane, les signatures et la facture typographique</w:t>
      </w:r>
      <w:r w:rsidR="005139E1">
        <w:t xml:space="preserve"> dénoncent l’origine française’</w:t>
      </w:r>
      <w:r w:rsidR="00A7721C">
        <w:t>.</w:t>
      </w:r>
      <w:r w:rsidR="0052746C" w:rsidRPr="0052746C">
        <w:rPr>
          <w:rStyle w:val="Appelnotedebasdep"/>
        </w:rPr>
        <w:t xml:space="preserve"> </w:t>
      </w:r>
      <w:r w:rsidR="0052746C">
        <w:rPr>
          <w:rStyle w:val="Appelnotedebasdep"/>
        </w:rPr>
        <w:footnoteReference w:id="26"/>
      </w:r>
    </w:p>
    <w:p w14:paraId="2E590E5A" w14:textId="68D2887E" w:rsidR="00D5780C" w:rsidRDefault="00CF13AC" w:rsidP="00465716">
      <w:pPr>
        <w:tabs>
          <w:tab w:val="left" w:pos="709"/>
        </w:tabs>
        <w:spacing w:after="0" w:line="480" w:lineRule="auto"/>
      </w:pPr>
      <w:r>
        <w:tab/>
      </w:r>
      <w:r w:rsidR="00D5780C">
        <w:t xml:space="preserve">La </w:t>
      </w:r>
      <w:r w:rsidR="0052746C">
        <w:t xml:space="preserve">même </w:t>
      </w:r>
      <w:r w:rsidR="00D5780C">
        <w:t>page</w:t>
      </w:r>
      <w:r w:rsidR="0052746C">
        <w:t xml:space="preserve"> 0003 des impressions d’Oursel </w:t>
      </w:r>
      <w:r w:rsidR="00D5780C">
        <w:t>mention</w:t>
      </w:r>
      <w:r w:rsidR="005139E1">
        <w:t>ne à la date du 9 mars 1771: ‘</w:t>
      </w:r>
      <w:r w:rsidR="00D5780C">
        <w:t>l’impression des Œuvres de Diderot contenant 26 feuilles ½, caractere de petit romain, à raison de 24 # la f</w:t>
      </w:r>
      <w:r w:rsidR="00D5780C">
        <w:rPr>
          <w:vertAlign w:val="superscript"/>
        </w:rPr>
        <w:t>lle</w:t>
      </w:r>
      <w:r w:rsidR="005139E1">
        <w:t>, tirée à 1200’</w:t>
      </w:r>
      <w:r w:rsidR="00D5780C">
        <w:t xml:space="preserve"> pour la somme de</w:t>
      </w:r>
      <w:r w:rsidR="005139E1">
        <w:t xml:space="preserve"> ‘636’</w:t>
      </w:r>
      <w:r w:rsidR="00D5780C">
        <w:t xml:space="preserve"> [livres]. </w:t>
      </w:r>
      <w:r w:rsidR="00030385">
        <w:t xml:space="preserve">Ce nombre de feuilles pouvait donner lieu à 636 pages imprimées en in-12: </w:t>
      </w:r>
      <w:r w:rsidR="00D87094">
        <w:t xml:space="preserve">le type C8 des </w:t>
      </w:r>
      <w:r w:rsidR="00D87094">
        <w:rPr>
          <w:i/>
        </w:rPr>
        <w:t xml:space="preserve">Œuvres de théatre </w:t>
      </w:r>
      <w:r w:rsidR="00D87094">
        <w:t>de</w:t>
      </w:r>
      <w:r w:rsidR="00D87094">
        <w:rPr>
          <w:i/>
        </w:rPr>
        <w:t xml:space="preserve"> </w:t>
      </w:r>
      <w:r w:rsidR="00D87094" w:rsidRPr="00D87094">
        <w:t>Diderot</w:t>
      </w:r>
      <w:r w:rsidR="00D87094">
        <w:t xml:space="preserve"> compte xxiv-347 + 258 p., soit au total 629 p. </w:t>
      </w:r>
      <w:r w:rsidR="0052746C">
        <w:t xml:space="preserve">L’épreuve de foliation est également conclue positivement. </w:t>
      </w:r>
    </w:p>
    <w:p w14:paraId="4508CCCC" w14:textId="7C071AE4" w:rsidR="00543E35" w:rsidRPr="00C45DB4" w:rsidRDefault="00CF13AC" w:rsidP="00465716">
      <w:pPr>
        <w:tabs>
          <w:tab w:val="left" w:pos="709"/>
        </w:tabs>
        <w:spacing w:after="0" w:line="480" w:lineRule="auto"/>
      </w:pPr>
      <w:r>
        <w:tab/>
      </w:r>
      <w:r w:rsidR="0052746C">
        <w:t>Il convient de compléter celle-ci par l’examen des ornements composés</w:t>
      </w:r>
      <w:r w:rsidR="00C45DB4">
        <w:t>, qui agrègent, note Smith, des éléments Fournier. Une composition, qualifiée par Smith de ‘cul-de-lampe’</w:t>
      </w:r>
      <w:r w:rsidR="00C45DB4">
        <w:rPr>
          <w:rStyle w:val="Appelnotedebasdep"/>
        </w:rPr>
        <w:footnoteReference w:id="27"/>
      </w:r>
      <w:r w:rsidR="00C45DB4">
        <w:t>, est commune à l’</w:t>
      </w:r>
      <w:r w:rsidR="00C45DB4" w:rsidRPr="004429BA">
        <w:rPr>
          <w:i/>
        </w:rPr>
        <w:t>Histoire de</w:t>
      </w:r>
      <w:r w:rsidR="00C45DB4">
        <w:t xml:space="preserve"> </w:t>
      </w:r>
      <w:r w:rsidR="00C45DB4" w:rsidRPr="004429BA">
        <w:rPr>
          <w:i/>
        </w:rPr>
        <w:t>Charles XII</w:t>
      </w:r>
      <w:r w:rsidR="00C45DB4">
        <w:t xml:space="preserve"> et les </w:t>
      </w:r>
      <w:r w:rsidR="00C45DB4" w:rsidRPr="004429BA">
        <w:rPr>
          <w:i/>
        </w:rPr>
        <w:t>Lettres d’une</w:t>
      </w:r>
      <w:r w:rsidR="00C45DB4">
        <w:t xml:space="preserve"> </w:t>
      </w:r>
      <w:r w:rsidR="00C45DB4">
        <w:rPr>
          <w:i/>
        </w:rPr>
        <w:t xml:space="preserve">Péruvienne </w:t>
      </w:r>
      <w:r w:rsidR="00C45DB4">
        <w:t xml:space="preserve">(figure 8). </w:t>
      </w:r>
      <w:r w:rsidR="004429BA">
        <w:rPr>
          <w:i/>
        </w:rP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E75C89" w14:paraId="51D7B4FF" w14:textId="77777777" w:rsidTr="00213986">
        <w:tc>
          <w:tcPr>
            <w:tcW w:w="9062" w:type="dxa"/>
          </w:tcPr>
          <w:p w14:paraId="7DA59907" w14:textId="77777777" w:rsidR="00E75C89" w:rsidRDefault="00E75C89" w:rsidP="00465716">
            <w:pPr>
              <w:tabs>
                <w:tab w:val="left" w:pos="709"/>
              </w:tabs>
              <w:spacing w:line="480" w:lineRule="auto"/>
              <w:jc w:val="center"/>
              <w:rPr>
                <w:noProof/>
                <w:lang w:eastAsia="fr-BE"/>
              </w:rPr>
            </w:pPr>
            <w:r w:rsidRPr="0001621B">
              <w:rPr>
                <w:noProof/>
                <w:lang w:eastAsia="fr-BE"/>
              </w:rPr>
              <w:drawing>
                <wp:inline distT="0" distB="0" distL="0" distR="0" wp14:anchorId="17977852" wp14:editId="28EFAE25">
                  <wp:extent cx="1508760" cy="1813560"/>
                  <wp:effectExtent l="0" t="0" r="0" b="0"/>
                  <wp:docPr id="4" name="Image 4" descr="C:\Users\danie\Documents\Machuel\Machuel Charles XII\Machuel Oursel Charles XII\Charles XII Oursel p. xx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nie\Documents\Machuel\Machuel Charles XII\Machuel Oursel Charles XII\Charles XII Oursel p. xxii.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08760" cy="1813560"/>
                          </a:xfrm>
                          <a:prstGeom prst="rect">
                            <a:avLst/>
                          </a:prstGeom>
                          <a:noFill/>
                          <a:ln>
                            <a:noFill/>
                          </a:ln>
                        </pic:spPr>
                      </pic:pic>
                    </a:graphicData>
                  </a:graphic>
                </wp:inline>
              </w:drawing>
            </w:r>
          </w:p>
          <w:p w14:paraId="54ECA976" w14:textId="2DE0F748" w:rsidR="00E75C89" w:rsidRDefault="00C45DB4" w:rsidP="00465716">
            <w:pPr>
              <w:tabs>
                <w:tab w:val="left" w:pos="709"/>
              </w:tabs>
              <w:spacing w:line="480" w:lineRule="auto"/>
              <w:jc w:val="center"/>
              <w:rPr>
                <w:noProof/>
                <w:lang w:eastAsia="fr-BE"/>
              </w:rPr>
            </w:pPr>
            <w:r>
              <w:rPr>
                <w:noProof/>
                <w:lang w:eastAsia="fr-BE"/>
              </w:rPr>
              <w:t>Figure</w:t>
            </w:r>
            <w:r w:rsidR="00C93CDD">
              <w:rPr>
                <w:noProof/>
                <w:lang w:eastAsia="fr-BE"/>
              </w:rPr>
              <w:t xml:space="preserve"> 8</w:t>
            </w:r>
            <w:r w:rsidR="00E75C89">
              <w:rPr>
                <w:noProof/>
                <w:lang w:eastAsia="fr-BE"/>
              </w:rPr>
              <w:t>.</w:t>
            </w:r>
          </w:p>
          <w:p w14:paraId="162E00E4" w14:textId="0B32633C" w:rsidR="00E75C89" w:rsidRDefault="00E75C89" w:rsidP="00465716">
            <w:pPr>
              <w:tabs>
                <w:tab w:val="left" w:pos="709"/>
              </w:tabs>
              <w:spacing w:line="480" w:lineRule="auto"/>
              <w:jc w:val="center"/>
            </w:pPr>
            <w:r w:rsidRPr="00183300">
              <w:rPr>
                <w:i/>
              </w:rPr>
              <w:t>Charles XII</w:t>
            </w:r>
            <w:r w:rsidRPr="00183300">
              <w:t xml:space="preserve">, </w:t>
            </w:r>
            <w:r>
              <w:t>I, p. xxii</w:t>
            </w:r>
            <w:r w:rsidR="008D4593">
              <w:t>;</w:t>
            </w:r>
            <w:r>
              <w:t xml:space="preserve"> II, p. 48 </w:t>
            </w:r>
            <w:r w:rsidR="008D4593">
              <w:t>–</w:t>
            </w:r>
            <w:r>
              <w:t xml:space="preserve"> 45 x 39 mm</w:t>
            </w:r>
          </w:p>
          <w:p w14:paraId="7DE4E951" w14:textId="147A972B" w:rsidR="00964523" w:rsidRDefault="00E75C89" w:rsidP="00465716">
            <w:pPr>
              <w:pStyle w:val="Paragraphedeliste"/>
              <w:tabs>
                <w:tab w:val="left" w:pos="709"/>
              </w:tabs>
              <w:spacing w:line="480" w:lineRule="auto"/>
              <w:ind w:left="0"/>
              <w:jc w:val="center"/>
            </w:pPr>
            <w:r w:rsidRPr="00183300">
              <w:rPr>
                <w:i/>
              </w:rPr>
              <w:t>Lettres,</w:t>
            </w:r>
            <w:r>
              <w:t xml:space="preserve"> I, p. 206, 236</w:t>
            </w:r>
            <w:r w:rsidR="008D4593">
              <w:t>;</w:t>
            </w:r>
            <w:r>
              <w:t xml:space="preserve"> II, p. 55, 106.</w:t>
            </w:r>
            <w:r w:rsidR="00964523" w:rsidRPr="00964523">
              <w:rPr>
                <w:i/>
              </w:rPr>
              <w:t xml:space="preserve"> </w:t>
            </w:r>
          </w:p>
        </w:tc>
      </w:tr>
    </w:tbl>
    <w:p w14:paraId="50AB1F52" w14:textId="64673876" w:rsidR="00FE38AF" w:rsidRDefault="00CF13AC" w:rsidP="00465716">
      <w:pPr>
        <w:tabs>
          <w:tab w:val="left" w:pos="709"/>
        </w:tabs>
        <w:spacing w:after="0" w:line="480" w:lineRule="auto"/>
      </w:pPr>
      <w:r>
        <w:tab/>
      </w:r>
      <w:r w:rsidR="00C45DB4">
        <w:t xml:space="preserve">Les ouvrages précédents et le </w:t>
      </w:r>
      <w:r w:rsidR="00C45DB4">
        <w:rPr>
          <w:i/>
        </w:rPr>
        <w:t xml:space="preserve">Théatre de Diderot </w:t>
      </w:r>
      <w:r w:rsidR="00FE38AF">
        <w:t xml:space="preserve">montrent une vignette qui présente une construction générale similaire (figures 9-10). On remarquera </w:t>
      </w:r>
      <w:r w:rsidR="00543E35">
        <w:t xml:space="preserve">que les éléments </w:t>
      </w:r>
      <w:r w:rsidR="00BC6A52">
        <w:t xml:space="preserve">qui agrémentent à l’extérieur les faces latérales sont tournés de manière différente. </w:t>
      </w:r>
      <w:r w:rsidR="00FE38AF">
        <w:t>On peut même préciser que l</w:t>
      </w:r>
      <w:r w:rsidR="00C93CDD">
        <w:t xml:space="preserve">a modification a été apportée entre le moment où était achevée l’impression des </w:t>
      </w:r>
      <w:r w:rsidR="00C93CDD">
        <w:rPr>
          <w:i/>
        </w:rPr>
        <w:t xml:space="preserve">Lettres d’une Péruvienne, </w:t>
      </w:r>
      <w:r w:rsidR="00C93CDD">
        <w:t>c’est-à-dire vers le 18 août 1770, et l’achèvement de l’</w:t>
      </w:r>
      <w:r w:rsidR="00C93CDD">
        <w:rPr>
          <w:i/>
        </w:rPr>
        <w:t xml:space="preserve">Histoire de Charles XII, </w:t>
      </w:r>
      <w:r w:rsidR="00C93CDD">
        <w:t xml:space="preserve">le 22 septembre, à partir de quoi la modification s’est trouvée répercutée dans </w:t>
      </w:r>
      <w:r w:rsidR="007B6F59">
        <w:t xml:space="preserve">le </w:t>
      </w:r>
      <w:r w:rsidR="007B6F59">
        <w:rPr>
          <w:i/>
        </w:rPr>
        <w:t xml:space="preserve">Théâtre </w:t>
      </w:r>
      <w:r w:rsidR="007B6F59">
        <w:t xml:space="preserve">de Diderot, le 9 mars de l’année suivante. Cette </w:t>
      </w:r>
      <w:r w:rsidR="00BC6A52">
        <w:t>modification ne résulte apparemment pas de la réfection d’une altération défectueuse, étant donné la symétrie qui ordonne la composition. On peut donc supposer que l’ornement a été au moins partiellement recomposé.</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4"/>
        <w:gridCol w:w="4241"/>
      </w:tblGrid>
      <w:tr w:rsidR="00BB0F65" w14:paraId="41DD7013" w14:textId="77777777" w:rsidTr="00BB0F65">
        <w:trPr>
          <w:jc w:val="center"/>
        </w:trPr>
        <w:tc>
          <w:tcPr>
            <w:tcW w:w="4184" w:type="dxa"/>
          </w:tcPr>
          <w:p w14:paraId="70289390" w14:textId="77777777" w:rsidR="00BB0F65" w:rsidRDefault="00BB0F65" w:rsidP="00D71554">
            <w:pPr>
              <w:tabs>
                <w:tab w:val="left" w:pos="709"/>
              </w:tabs>
              <w:spacing w:line="480" w:lineRule="auto"/>
              <w:jc w:val="center"/>
              <w:rPr>
                <w:i/>
              </w:rPr>
            </w:pPr>
            <w:r w:rsidRPr="0001621B">
              <w:rPr>
                <w:i/>
                <w:noProof/>
                <w:lang w:eastAsia="fr-BE"/>
              </w:rPr>
              <w:drawing>
                <wp:inline distT="0" distB="0" distL="0" distR="0" wp14:anchorId="67216D61" wp14:editId="086E1256">
                  <wp:extent cx="2520000" cy="2489268"/>
                  <wp:effectExtent l="0" t="0" r="0" b="6350"/>
                  <wp:docPr id="18" name="Image 18" descr="C:\Users\danie\Documents\Machuel\Machuel Charles XII\Machuel Oursel Charles XII\Charles XII Oursel p. 56 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nie\Documents\Machuel\Machuel Charles XII\Machuel Oursel Charles XII\Charles XII Oursel p. 56 100´%.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20000" cy="2489268"/>
                          </a:xfrm>
                          <a:prstGeom prst="rect">
                            <a:avLst/>
                          </a:prstGeom>
                          <a:noFill/>
                          <a:ln>
                            <a:noFill/>
                          </a:ln>
                        </pic:spPr>
                      </pic:pic>
                    </a:graphicData>
                  </a:graphic>
                </wp:inline>
              </w:drawing>
            </w:r>
          </w:p>
          <w:p w14:paraId="5FB1E542" w14:textId="77777777" w:rsidR="00BB0F65" w:rsidRDefault="00BB0F65" w:rsidP="00D71554">
            <w:pPr>
              <w:tabs>
                <w:tab w:val="left" w:pos="709"/>
              </w:tabs>
              <w:spacing w:line="480" w:lineRule="auto"/>
              <w:jc w:val="center"/>
            </w:pPr>
            <w:r>
              <w:t>Figure 9.</w:t>
            </w:r>
          </w:p>
          <w:p w14:paraId="46B50F2F" w14:textId="77777777" w:rsidR="00BB0F65" w:rsidRDefault="00BB0F65" w:rsidP="00D71554">
            <w:pPr>
              <w:tabs>
                <w:tab w:val="left" w:pos="709"/>
              </w:tabs>
              <w:spacing w:line="480" w:lineRule="auto"/>
              <w:jc w:val="center"/>
            </w:pPr>
            <w:r>
              <w:rPr>
                <w:i/>
              </w:rPr>
              <w:t xml:space="preserve">Charles XII, </w:t>
            </w:r>
            <w:r>
              <w:t>I, p. 56</w:t>
            </w:r>
          </w:p>
          <w:p w14:paraId="2B1461BB" w14:textId="77777777" w:rsidR="00BB0F65" w:rsidRDefault="00BB0F65" w:rsidP="00D71554">
            <w:pPr>
              <w:tabs>
                <w:tab w:val="left" w:pos="709"/>
              </w:tabs>
              <w:spacing w:line="480" w:lineRule="auto"/>
              <w:jc w:val="center"/>
            </w:pPr>
            <w:r>
              <w:t xml:space="preserve">30 x 30 mm. Vignette agrandie. </w:t>
            </w:r>
          </w:p>
        </w:tc>
        <w:tc>
          <w:tcPr>
            <w:tcW w:w="4241" w:type="dxa"/>
          </w:tcPr>
          <w:p w14:paraId="47F60CBD" w14:textId="77777777" w:rsidR="00BB0F65" w:rsidRDefault="00BB0F65" w:rsidP="00D71554">
            <w:pPr>
              <w:tabs>
                <w:tab w:val="left" w:pos="709"/>
              </w:tabs>
              <w:spacing w:line="480" w:lineRule="auto"/>
              <w:jc w:val="center"/>
            </w:pPr>
            <w:r>
              <w:rPr>
                <w:noProof/>
                <w:lang w:eastAsia="fr-BE"/>
              </w:rPr>
              <w:drawing>
                <wp:inline distT="0" distB="0" distL="0" distR="0" wp14:anchorId="01C21688" wp14:editId="0DE7161B">
                  <wp:extent cx="2556000" cy="2470140"/>
                  <wp:effectExtent l="0" t="0" r="0" b="698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556000" cy="2470140"/>
                          </a:xfrm>
                          <a:prstGeom prst="rect">
                            <a:avLst/>
                          </a:prstGeom>
                        </pic:spPr>
                      </pic:pic>
                    </a:graphicData>
                  </a:graphic>
                </wp:inline>
              </w:drawing>
            </w:r>
            <w:r>
              <w:t>Figure 10.</w:t>
            </w:r>
          </w:p>
          <w:p w14:paraId="45538547" w14:textId="77777777" w:rsidR="00BB0F65" w:rsidRDefault="00BB0F65" w:rsidP="00D71554">
            <w:pPr>
              <w:tabs>
                <w:tab w:val="left" w:pos="709"/>
              </w:tabs>
              <w:spacing w:line="480" w:lineRule="auto"/>
              <w:jc w:val="center"/>
            </w:pPr>
            <w:r>
              <w:rPr>
                <w:i/>
              </w:rPr>
              <w:t xml:space="preserve">Lettres, </w:t>
            </w:r>
            <w:r>
              <w:t xml:space="preserve">Smith, n° 15, I, p. 110, p. 194; II, p. 19, p. 71, p. 99 – 30 x 30 mm. Vignette agrandie. </w:t>
            </w:r>
          </w:p>
          <w:p w14:paraId="302CCDBC" w14:textId="77777777" w:rsidR="00BB0F65" w:rsidRPr="007E62A5" w:rsidRDefault="00BB0F65" w:rsidP="00D71554">
            <w:pPr>
              <w:tabs>
                <w:tab w:val="left" w:pos="709"/>
              </w:tabs>
              <w:spacing w:line="480" w:lineRule="auto"/>
              <w:jc w:val="center"/>
            </w:pPr>
            <w:r>
              <w:rPr>
                <w:i/>
              </w:rPr>
              <w:t xml:space="preserve">Œuvres de théatre, </w:t>
            </w:r>
            <w:r>
              <w:t xml:space="preserve">I, p. 147. </w:t>
            </w:r>
          </w:p>
        </w:tc>
      </w:tr>
    </w:tbl>
    <w:p w14:paraId="66EDF54F" w14:textId="73D6A1DF" w:rsidR="00BB0F65" w:rsidRDefault="00BB0F65" w:rsidP="00BB0F65">
      <w:pPr>
        <w:tabs>
          <w:tab w:val="left" w:pos="709"/>
        </w:tabs>
        <w:spacing w:after="0" w:line="480" w:lineRule="auto"/>
      </w:pPr>
      <w:r>
        <w:tab/>
        <w:t xml:space="preserve">Smith enregistre les occurrences des ornements composés dans les </w:t>
      </w:r>
      <w:r>
        <w:rPr>
          <w:i/>
        </w:rPr>
        <w:t xml:space="preserve">Lettres d’une Péruvienne </w:t>
      </w:r>
      <w:r>
        <w:t>sous le n° 15 et sous les indices suivants: I, I7v. (110), Riv. (194); II, B2 (19), F4 (71), I2 (99). Smith précise que ‘certains des éléments’ manquent ‘dans certains exemplaires’, ce qui a pu inciter à une recomposition de l’ensemble de l’ornement.</w:t>
      </w:r>
    </w:p>
    <w:p w14:paraId="607170CD" w14:textId="65328E4D" w:rsidR="00543E35" w:rsidRPr="00A96C26" w:rsidRDefault="00FE38AF" w:rsidP="00465716">
      <w:pPr>
        <w:tabs>
          <w:tab w:val="left" w:pos="709"/>
        </w:tabs>
        <w:spacing w:after="0" w:line="480" w:lineRule="auto"/>
      </w:pPr>
      <w:r>
        <w:tab/>
      </w:r>
      <w:r w:rsidR="00BC6A52">
        <w:t>Ce type de recomposition à l’image d’un modèle donné était courant</w:t>
      </w:r>
      <w:r w:rsidR="008D4593">
        <w:t>;</w:t>
      </w:r>
      <w:r w:rsidR="00BC6A52">
        <w:t xml:space="preserve"> on en a donné divers exemples.</w:t>
      </w:r>
      <w:r w:rsidR="00BC6A52">
        <w:rPr>
          <w:rStyle w:val="Appelnotedebasdep"/>
        </w:rPr>
        <w:footnoteReference w:id="28"/>
      </w:r>
      <w:r w:rsidR="00A96C26">
        <w:t xml:space="preserve"> </w:t>
      </w:r>
      <w:r>
        <w:t xml:space="preserve">Un cas particulier, très révélateur, </w:t>
      </w:r>
      <w:r w:rsidR="00A5764D">
        <w:t>concerne</w:t>
      </w:r>
      <w:r>
        <w:t xml:space="preserve"> </w:t>
      </w:r>
      <w:r w:rsidR="00A5764D">
        <w:t xml:space="preserve">des éditions voltairiennes produites par Jean-François Bassompierre et Jean-Abraham Nouffer à Genève. </w:t>
      </w:r>
      <w:r w:rsidR="0061320E">
        <w:rPr>
          <w:rStyle w:val="Appelnotedebasdep"/>
        </w:rPr>
        <w:footnoteReference w:id="29"/>
      </w:r>
      <w:r w:rsidR="00A5764D">
        <w:t xml:space="preserve">Le bandeau composé qui figure dans une édition de la </w:t>
      </w:r>
      <w:r w:rsidR="00A5764D">
        <w:rPr>
          <w:i/>
        </w:rPr>
        <w:t xml:space="preserve">Lettre philosophique </w:t>
      </w:r>
      <w:r w:rsidR="00A5764D">
        <w:t>se trouve légèrement modifié dans une édition d’</w:t>
      </w:r>
      <w:r w:rsidR="00A5764D">
        <w:rPr>
          <w:i/>
        </w:rPr>
        <w:t xml:space="preserve">Un chrétien contre six juifs. </w:t>
      </w:r>
      <w:r w:rsidR="00A5764D">
        <w:t>M. Collart écrit </w:t>
      </w:r>
      <w:r w:rsidR="0061320E">
        <w:t>que</w:t>
      </w:r>
      <w:r w:rsidR="00A5764D">
        <w:t xml:space="preserve"> ‘l’intercalation de plusieurs caractères mobiles (…) devait servir à allonger le bandeau pour qu’il </w:t>
      </w:r>
      <w:r w:rsidR="0061320E">
        <w:t xml:space="preserve">soit justifié correctement sur le bloc d’empagement’ : ‘1° un caractère fleuri a été ajouté aux deux extrémités des trois cartouches intérieurs ; 2° </w:t>
      </w:r>
      <w:r w:rsidRPr="00244C7D">
        <w:t>un caractère formé de deux points a été intercalé horizontalement dans le cadre, au milieu et aux extrémités de la barre horizontale, et verticalement au-dessus et en dessous de la barre latérale</w:t>
      </w:r>
      <w:r>
        <w:t>’</w:t>
      </w:r>
      <w:r w:rsidRPr="00244C7D">
        <w:t xml:space="preserve">. </w:t>
      </w:r>
      <w:r w:rsidR="0061320E">
        <w:t xml:space="preserve">On voudra bien se reporter aux illustrations de l’article, qui permettent en outre d’avancer une hypothèse de datation pour les éditions envisagées.  </w:t>
      </w:r>
    </w:p>
    <w:p w14:paraId="54C21181" w14:textId="77777777" w:rsidR="00CF13AC" w:rsidRDefault="00CF13AC" w:rsidP="00CF13AC">
      <w:pPr>
        <w:tabs>
          <w:tab w:val="left" w:pos="709"/>
        </w:tabs>
        <w:spacing w:after="0" w:line="480" w:lineRule="auto"/>
        <w:rPr>
          <w:i/>
        </w:rPr>
      </w:pPr>
      <w:r>
        <w:tab/>
      </w:r>
      <w:r w:rsidR="00183300">
        <w:t xml:space="preserve">Une </w:t>
      </w:r>
      <w:r w:rsidR="004000D5">
        <w:t>troisième</w:t>
      </w:r>
      <w:r w:rsidR="00183300">
        <w:t xml:space="preserve"> vignette composée, en double carré, </w:t>
      </w:r>
      <w:r w:rsidR="004000D5">
        <w:t>offre un problème plus particulier, en raison des variations que présente</w:t>
      </w:r>
      <w:r w:rsidR="001E1A56">
        <w:t>nt</w:t>
      </w:r>
      <w:r w:rsidR="004000D5">
        <w:t xml:space="preserve"> les </w:t>
      </w:r>
      <w:r w:rsidR="004000D5">
        <w:rPr>
          <w:i/>
        </w:rPr>
        <w:t>Lettres d’une Péruvienne</w:t>
      </w:r>
      <w:r w:rsidR="00A96C26">
        <w:rPr>
          <w:i/>
        </w:rPr>
        <w:t xml:space="preserve">. </w:t>
      </w:r>
      <w:r w:rsidR="00A96C26">
        <w:t xml:space="preserve">Smith </w:t>
      </w:r>
      <w:r w:rsidR="001B2B83">
        <w:t xml:space="preserve">en range les occurrences </w:t>
      </w:r>
      <w:r w:rsidR="00183300">
        <w:t xml:space="preserve">sous un même type, </w:t>
      </w:r>
      <w:r w:rsidR="001B2B83">
        <w:t xml:space="preserve">qui porte </w:t>
      </w:r>
      <w:r w:rsidR="00183300">
        <w:t xml:space="preserve">le n° 12. La version </w:t>
      </w:r>
      <w:r w:rsidR="00352657">
        <w:t xml:space="preserve">du </w:t>
      </w:r>
      <w:r w:rsidR="00352657">
        <w:rPr>
          <w:i/>
        </w:rPr>
        <w:t xml:space="preserve">Charles XII </w:t>
      </w:r>
      <w:r w:rsidR="00352657">
        <w:t>offre cette particularité que la fleurette du coin supérieur gauche ne se trouve pas orientée vers l’extérieur et qu’elle présente donc une dissymétrie par rapport a</w:t>
      </w:r>
      <w:r w:rsidR="006B3078">
        <w:t>u modèle général (</w:t>
      </w:r>
      <w:r w:rsidR="00AB6BD0">
        <w:t>figure</w:t>
      </w:r>
      <w:r w:rsidR="006B3078">
        <w:t xml:space="preserve"> 11</w:t>
      </w:r>
      <w:r w:rsidR="00352657">
        <w:t xml:space="preserve">). </w:t>
      </w:r>
      <w:r w:rsidR="00F0301B">
        <w:t xml:space="preserve">Une dissymétrie différente affecte une autre version de la même vignette en double carré, dans les </w:t>
      </w:r>
      <w:r w:rsidR="00F0301B">
        <w:rPr>
          <w:i/>
        </w:rPr>
        <w:t xml:space="preserve">Lettres d’une Péruvienne, </w:t>
      </w:r>
      <w:r w:rsidR="00F0301B">
        <w:t xml:space="preserve">où c’est au coin supérieur droit que la fleurette </w:t>
      </w:r>
      <w:r w:rsidR="006B3078">
        <w:t>est mal disposée (</w:t>
      </w:r>
      <w:r w:rsidR="00AB6BD0">
        <w:t>figure</w:t>
      </w:r>
      <w:r w:rsidR="006B3078">
        <w:t xml:space="preserve"> 12</w:t>
      </w:r>
      <w:r w:rsidR="00F0301B">
        <w:t xml:space="preserve">). Le type 12 est mentionné dans la liste des occurrences sous l’indice M2v. (140). Une manipulation de l’ornement ne permet pas de supposer que celui du </w:t>
      </w:r>
      <w:r w:rsidR="00F0301B">
        <w:rPr>
          <w:i/>
        </w:rPr>
        <w:t xml:space="preserve">Charles XII, </w:t>
      </w:r>
      <w:r w:rsidR="00F0301B">
        <w:t xml:space="preserve">par une rotation d’un quart de tour, aurait pu prendre la forme qu’il présente dans les </w:t>
      </w:r>
      <w:r w:rsidR="00F0301B">
        <w:rPr>
          <w:i/>
        </w:rPr>
        <w:t xml:space="preserve">Lettres. </w:t>
      </w:r>
    </w:p>
    <w:p w14:paraId="317C1759" w14:textId="34267661" w:rsidR="00947A94" w:rsidRPr="00CF13AC" w:rsidRDefault="00CF13AC" w:rsidP="00CF13AC">
      <w:pPr>
        <w:tabs>
          <w:tab w:val="left" w:pos="709"/>
        </w:tabs>
        <w:spacing w:after="0" w:line="480" w:lineRule="auto"/>
        <w:rPr>
          <w:i/>
        </w:rPr>
      </w:pPr>
      <w:r>
        <w:tab/>
      </w:r>
      <w:r w:rsidR="00AA6FE8">
        <w:t>On voudra bien observer que ces versions s’inscrivent dans un ensemble où les fleurettes angulaires sont prolongées d’une flèche vers l’intérieur. Quand celle-ci est présente, l’ornement, symétrique, prend la forme, non reproduite dans le tableau de Smi</w:t>
      </w:r>
      <w:r w:rsidR="006B3078">
        <w:t>th, que fournit l’illustration 13</w:t>
      </w:r>
      <w:r w:rsidR="00AA6FE8">
        <w:t xml:space="preserve">. </w:t>
      </w:r>
      <w:r w:rsidR="00340FE2">
        <w:t xml:space="preserve">C’est le type le plus fréquent dans les </w:t>
      </w:r>
      <w:r w:rsidR="00340FE2">
        <w:rPr>
          <w:i/>
        </w:rPr>
        <w:t xml:space="preserve">Lettres, </w:t>
      </w:r>
      <w:r w:rsidR="00340FE2">
        <w:t>mentionné sous les indices H3v. (94), Q3v. (190)</w:t>
      </w:r>
      <w:r w:rsidR="006F59FB">
        <w:t>, II, B3v. (22), E1 (49) et K2v (116). Par contre, la version que reproduit Smith pour illustrer le n° 12 présente une absence de ces flèches intérieures au coin supérieur droit et au coin i</w:t>
      </w:r>
      <w:r w:rsidR="006B3078">
        <w:t>nférieur gauche (</w:t>
      </w:r>
      <w:r w:rsidR="00C541C8">
        <w:t>figure</w:t>
      </w:r>
      <w:r w:rsidR="006B3078">
        <w:t xml:space="preserve"> 14</w:t>
      </w:r>
      <w:r w:rsidR="006F59FB">
        <w:t xml:space="preserve">). Le modèle doit être indexé F1 (65) </w:t>
      </w:r>
      <w:r w:rsidR="0082200C">
        <w:t xml:space="preserve">chez Smith </w:t>
      </w:r>
      <w:r w:rsidR="006F59FB">
        <w:t xml:space="preserve">et </w:t>
      </w:r>
      <w:r w:rsidR="0082200C">
        <w:t xml:space="preserve">correspond </w:t>
      </w:r>
      <w:r w:rsidR="003552C6">
        <w:t xml:space="preserve">à la version que présente ici l’ornement figurant dans l’exemplaire de Lyon à la même page, où </w:t>
      </w:r>
      <w:r w:rsidR="001873AD">
        <w:t xml:space="preserve">manquent </w:t>
      </w:r>
      <w:r w:rsidR="003552C6">
        <w:t xml:space="preserve">les flèches </w:t>
      </w:r>
      <w:r w:rsidR="001873AD">
        <w:t>en question</w:t>
      </w:r>
      <w:r w:rsidR="003552C6">
        <w:t xml:space="preserve"> </w:t>
      </w:r>
      <w:r w:rsidR="006B3078">
        <w:t>(</w:t>
      </w:r>
      <w:r w:rsidR="00C541C8">
        <w:t>figure</w:t>
      </w:r>
      <w:r w:rsidR="006B3078">
        <w:t xml:space="preserve"> 15</w:t>
      </w:r>
      <w:r w:rsidR="003552C6">
        <w:t>). On doit comprendre que l’ornement s’est dégradé entre le moment où est réalisée l’impression de l’exemplaire utilisé par Smith et le moment où est imprimé l’exemplaire conservé à Lyon</w:t>
      </w:r>
      <w:r w:rsidR="001873AD">
        <w:t xml:space="preserve">. </w:t>
      </w:r>
      <w:r w:rsidR="006B3078">
        <w:t xml:space="preserve">Répétons que les variations ont pu s’introduire entre le 18 août 1770 et le 22 septembre.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DB713F" w14:paraId="71766B36" w14:textId="77777777" w:rsidTr="00213986">
        <w:tc>
          <w:tcPr>
            <w:tcW w:w="3020" w:type="dxa"/>
          </w:tcPr>
          <w:p w14:paraId="00987645" w14:textId="77777777" w:rsidR="00DB713F" w:rsidRDefault="00DB713F" w:rsidP="00465716">
            <w:pPr>
              <w:tabs>
                <w:tab w:val="left" w:pos="709"/>
              </w:tabs>
              <w:spacing w:line="480" w:lineRule="auto"/>
              <w:jc w:val="center"/>
            </w:pPr>
            <w:r w:rsidRPr="001D55E0">
              <w:rPr>
                <w:noProof/>
                <w:lang w:eastAsia="fr-BE"/>
              </w:rPr>
              <w:drawing>
                <wp:inline distT="0" distB="0" distL="0" distR="0" wp14:anchorId="519DD9E5" wp14:editId="2FBD0F2B">
                  <wp:extent cx="1454400" cy="1414800"/>
                  <wp:effectExtent l="0" t="0" r="0" b="0"/>
                  <wp:docPr id="13" name="Image 13" descr="C:\Users\danie\Documents\Machuel\Machuel Charles XII\Machuel Oursel Charles XII\Charles XII Oursel p. xi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anie\Documents\Machuel\Machuel Charles XII\Machuel Oursel Charles XII\Charles XII Oursel p. xiv.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54400" cy="1414800"/>
                          </a:xfrm>
                          <a:prstGeom prst="rect">
                            <a:avLst/>
                          </a:prstGeom>
                          <a:noFill/>
                          <a:ln>
                            <a:noFill/>
                          </a:ln>
                        </pic:spPr>
                      </pic:pic>
                    </a:graphicData>
                  </a:graphic>
                </wp:inline>
              </w:drawing>
            </w:r>
          </w:p>
          <w:p w14:paraId="73FDECBC" w14:textId="40B51844" w:rsidR="00352657" w:rsidRDefault="00C541C8" w:rsidP="00465716">
            <w:pPr>
              <w:tabs>
                <w:tab w:val="left" w:pos="709"/>
              </w:tabs>
              <w:spacing w:line="480" w:lineRule="auto"/>
              <w:jc w:val="center"/>
            </w:pPr>
            <w:r>
              <w:t>Figure</w:t>
            </w:r>
            <w:r w:rsidR="006B3078">
              <w:t xml:space="preserve"> 11</w:t>
            </w:r>
            <w:r w:rsidR="00352657">
              <w:t>.</w:t>
            </w:r>
          </w:p>
          <w:p w14:paraId="6F6FE6ED" w14:textId="140D09CC" w:rsidR="00DB713F" w:rsidRDefault="00352657" w:rsidP="00465716">
            <w:pPr>
              <w:tabs>
                <w:tab w:val="left" w:pos="709"/>
              </w:tabs>
              <w:spacing w:line="480" w:lineRule="auto"/>
              <w:jc w:val="center"/>
            </w:pPr>
            <w:r w:rsidRPr="00352657">
              <w:rPr>
                <w:i/>
              </w:rPr>
              <w:t>Charles XII</w:t>
            </w:r>
            <w:r w:rsidR="00DB713F" w:rsidRPr="00352657">
              <w:rPr>
                <w:i/>
              </w:rPr>
              <w:t>,</w:t>
            </w:r>
            <w:r w:rsidR="00DB713F">
              <w:t xml:space="preserve"> I, p. xiv</w:t>
            </w:r>
            <w:r>
              <w:t xml:space="preserve"> – 28 x 28 mm</w:t>
            </w:r>
            <w:r w:rsidR="00C541C8">
              <w:t>.</w:t>
            </w:r>
          </w:p>
        </w:tc>
        <w:tc>
          <w:tcPr>
            <w:tcW w:w="3021" w:type="dxa"/>
          </w:tcPr>
          <w:p w14:paraId="32FAF66E" w14:textId="77777777" w:rsidR="007509CE" w:rsidRDefault="007509CE" w:rsidP="00465716">
            <w:pPr>
              <w:tabs>
                <w:tab w:val="left" w:pos="709"/>
              </w:tabs>
              <w:spacing w:line="480" w:lineRule="auto"/>
              <w:jc w:val="center"/>
              <w:rPr>
                <w:noProof/>
                <w:lang w:eastAsia="fr-BE"/>
              </w:rPr>
            </w:pPr>
            <w:r w:rsidRPr="00825EEF">
              <w:rPr>
                <w:noProof/>
                <w:lang w:eastAsia="fr-BE"/>
              </w:rPr>
              <w:drawing>
                <wp:inline distT="0" distB="0" distL="0" distR="0" wp14:anchorId="02FBAA75" wp14:editId="0BC70913">
                  <wp:extent cx="1455546" cy="1417443"/>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455546" cy="1417443"/>
                          </a:xfrm>
                          <a:prstGeom prst="rect">
                            <a:avLst/>
                          </a:prstGeom>
                        </pic:spPr>
                      </pic:pic>
                    </a:graphicData>
                  </a:graphic>
                </wp:inline>
              </w:drawing>
            </w:r>
          </w:p>
          <w:p w14:paraId="60CC95D4" w14:textId="0D88EA96" w:rsidR="00F0301B" w:rsidRDefault="00C541C8" w:rsidP="00465716">
            <w:pPr>
              <w:tabs>
                <w:tab w:val="left" w:pos="709"/>
              </w:tabs>
              <w:spacing w:line="480" w:lineRule="auto"/>
              <w:jc w:val="center"/>
              <w:rPr>
                <w:noProof/>
                <w:lang w:eastAsia="fr-BE"/>
              </w:rPr>
            </w:pPr>
            <w:r>
              <w:rPr>
                <w:noProof/>
                <w:lang w:eastAsia="fr-BE"/>
              </w:rPr>
              <w:t>Figure</w:t>
            </w:r>
            <w:r w:rsidR="006B3078">
              <w:rPr>
                <w:noProof/>
                <w:lang w:eastAsia="fr-BE"/>
              </w:rPr>
              <w:t xml:space="preserve"> 12</w:t>
            </w:r>
            <w:r w:rsidR="00F0301B">
              <w:rPr>
                <w:noProof/>
                <w:lang w:eastAsia="fr-BE"/>
              </w:rPr>
              <w:t>.</w:t>
            </w:r>
          </w:p>
          <w:p w14:paraId="239CC4E0" w14:textId="77777777" w:rsidR="00DB713F" w:rsidRDefault="007509CE" w:rsidP="00465716">
            <w:pPr>
              <w:tabs>
                <w:tab w:val="left" w:pos="709"/>
              </w:tabs>
              <w:spacing w:line="480" w:lineRule="auto"/>
              <w:jc w:val="center"/>
            </w:pPr>
            <w:r w:rsidRPr="00352657">
              <w:rPr>
                <w:i/>
                <w:noProof/>
                <w:lang w:eastAsia="fr-BE"/>
              </w:rPr>
              <w:t>Lettres,</w:t>
            </w:r>
            <w:r>
              <w:rPr>
                <w:noProof/>
                <w:lang w:eastAsia="fr-BE"/>
              </w:rPr>
              <w:t xml:space="preserve"> I, p. 140</w:t>
            </w:r>
            <w:r w:rsidR="00F0301B">
              <w:rPr>
                <w:noProof/>
                <w:lang w:eastAsia="fr-BE"/>
              </w:rPr>
              <w:t xml:space="preserve"> </w:t>
            </w:r>
            <w:r>
              <w:rPr>
                <w:noProof/>
                <w:lang w:eastAsia="fr-BE"/>
              </w:rPr>
              <w:t>– Smith, n° 12, non reproduit.</w:t>
            </w:r>
          </w:p>
        </w:tc>
        <w:tc>
          <w:tcPr>
            <w:tcW w:w="3021" w:type="dxa"/>
          </w:tcPr>
          <w:p w14:paraId="50399D91" w14:textId="77777777" w:rsidR="00813248" w:rsidRDefault="00813248" w:rsidP="00465716">
            <w:pPr>
              <w:tabs>
                <w:tab w:val="left" w:pos="709"/>
              </w:tabs>
              <w:spacing w:line="480" w:lineRule="auto"/>
              <w:jc w:val="center"/>
              <w:rPr>
                <w:noProof/>
                <w:lang w:eastAsia="fr-BE"/>
              </w:rPr>
            </w:pPr>
            <w:r w:rsidRPr="004879D2">
              <w:rPr>
                <w:noProof/>
                <w:lang w:eastAsia="fr-BE"/>
              </w:rPr>
              <w:drawing>
                <wp:inline distT="0" distB="0" distL="0" distR="0" wp14:anchorId="6DB3C4B7" wp14:editId="248E94C3">
                  <wp:extent cx="1470660" cy="1447800"/>
                  <wp:effectExtent l="0" t="0" r="0" b="0"/>
                  <wp:docPr id="12" name="Image 12" descr="C:\Users\danie\Documents\Machuel\Machuel Lettres péruviennes\Lettres péruviennes\Lettres péruviennes compos\Lettres Oursel I p. 49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nie\Documents\Machuel\Machuel Lettres péruviennes\Lettres péruviennes\Lettres péruviennes compos\Lettres Oursel I p. 49 .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70660" cy="1447800"/>
                          </a:xfrm>
                          <a:prstGeom prst="rect">
                            <a:avLst/>
                          </a:prstGeom>
                          <a:noFill/>
                          <a:ln>
                            <a:noFill/>
                          </a:ln>
                        </pic:spPr>
                      </pic:pic>
                    </a:graphicData>
                  </a:graphic>
                </wp:inline>
              </w:drawing>
            </w:r>
          </w:p>
          <w:p w14:paraId="4D5E957F" w14:textId="47CF5FCC" w:rsidR="00AA6FE8" w:rsidRDefault="00C541C8" w:rsidP="00465716">
            <w:pPr>
              <w:tabs>
                <w:tab w:val="left" w:pos="709"/>
              </w:tabs>
              <w:spacing w:line="480" w:lineRule="auto"/>
              <w:jc w:val="center"/>
              <w:rPr>
                <w:noProof/>
                <w:lang w:eastAsia="fr-BE"/>
              </w:rPr>
            </w:pPr>
            <w:r>
              <w:rPr>
                <w:noProof/>
                <w:lang w:eastAsia="fr-BE"/>
              </w:rPr>
              <w:t>Figure</w:t>
            </w:r>
            <w:r w:rsidR="006B3078">
              <w:rPr>
                <w:noProof/>
                <w:lang w:eastAsia="fr-BE"/>
              </w:rPr>
              <w:t xml:space="preserve"> 13</w:t>
            </w:r>
            <w:r w:rsidR="00AA6FE8">
              <w:rPr>
                <w:noProof/>
                <w:lang w:eastAsia="fr-BE"/>
              </w:rPr>
              <w:t>.</w:t>
            </w:r>
          </w:p>
          <w:p w14:paraId="409A1077" w14:textId="66B3E148" w:rsidR="00DB713F" w:rsidRDefault="00813248" w:rsidP="00465716">
            <w:pPr>
              <w:tabs>
                <w:tab w:val="left" w:pos="709"/>
              </w:tabs>
              <w:spacing w:line="480" w:lineRule="auto"/>
              <w:jc w:val="center"/>
            </w:pPr>
            <w:r w:rsidRPr="00AA6FE8">
              <w:rPr>
                <w:i/>
                <w:noProof/>
                <w:lang w:eastAsia="fr-BE"/>
              </w:rPr>
              <w:t>Lettres,</w:t>
            </w:r>
            <w:r>
              <w:rPr>
                <w:noProof/>
                <w:lang w:eastAsia="fr-BE"/>
              </w:rPr>
              <w:t xml:space="preserve"> </w:t>
            </w:r>
            <w:r w:rsidR="00340FE2">
              <w:rPr>
                <w:noProof/>
                <w:lang w:eastAsia="fr-BE"/>
              </w:rPr>
              <w:t>I</w:t>
            </w:r>
            <w:r w:rsidR="00AA6FE8">
              <w:rPr>
                <w:noProof/>
                <w:lang w:eastAsia="fr-BE"/>
              </w:rPr>
              <w:t xml:space="preserve">, </w:t>
            </w:r>
            <w:r w:rsidR="003552C6">
              <w:rPr>
                <w:noProof/>
                <w:lang w:eastAsia="fr-BE"/>
              </w:rPr>
              <w:t xml:space="preserve">p. </w:t>
            </w:r>
            <w:r w:rsidR="00AA6FE8">
              <w:rPr>
                <w:noProof/>
                <w:lang w:eastAsia="fr-BE"/>
              </w:rPr>
              <w:t>94,</w:t>
            </w:r>
            <w:r>
              <w:rPr>
                <w:noProof/>
                <w:lang w:eastAsia="fr-BE"/>
              </w:rPr>
              <w:t xml:space="preserve"> 190;</w:t>
            </w:r>
            <w:r w:rsidR="00340FE2">
              <w:rPr>
                <w:noProof/>
                <w:lang w:eastAsia="fr-BE"/>
              </w:rPr>
              <w:t xml:space="preserve"> II, p. 22,</w:t>
            </w:r>
            <w:r w:rsidR="00D91C97">
              <w:rPr>
                <w:noProof/>
                <w:lang w:eastAsia="fr-BE"/>
              </w:rPr>
              <w:t xml:space="preserve"> </w:t>
            </w:r>
            <w:r w:rsidR="00340FE2">
              <w:rPr>
                <w:noProof/>
                <w:lang w:eastAsia="fr-BE"/>
              </w:rPr>
              <w:t xml:space="preserve">49, </w:t>
            </w:r>
            <w:r>
              <w:rPr>
                <w:noProof/>
                <w:lang w:eastAsia="fr-BE"/>
              </w:rPr>
              <w:t>116 – Smith, n° 12, non reproduit.</w:t>
            </w:r>
          </w:p>
        </w:tc>
      </w:tr>
      <w:tr w:rsidR="00DB713F" w14:paraId="3A0B6A3E" w14:textId="77777777" w:rsidTr="00213986">
        <w:tc>
          <w:tcPr>
            <w:tcW w:w="3020" w:type="dxa"/>
          </w:tcPr>
          <w:p w14:paraId="66FBE97B" w14:textId="093A8293" w:rsidR="001873AD" w:rsidRDefault="006B3078" w:rsidP="00465716">
            <w:pPr>
              <w:tabs>
                <w:tab w:val="left" w:pos="709"/>
              </w:tabs>
              <w:spacing w:line="480" w:lineRule="auto"/>
              <w:jc w:val="center"/>
            </w:pPr>
            <w:r>
              <w:rPr>
                <w:noProof/>
                <w:lang w:eastAsia="fr-BE"/>
              </w:rPr>
              <w:drawing>
                <wp:inline distT="0" distB="0" distL="0" distR="0" wp14:anchorId="0CEDC3F3" wp14:editId="18830338">
                  <wp:extent cx="1454400" cy="1484234"/>
                  <wp:effectExtent l="0" t="0" r="0" b="190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454400" cy="1484234"/>
                          </a:xfrm>
                          <a:prstGeom prst="rect">
                            <a:avLst/>
                          </a:prstGeom>
                        </pic:spPr>
                      </pic:pic>
                    </a:graphicData>
                  </a:graphic>
                </wp:inline>
              </w:drawing>
            </w:r>
            <w:r w:rsidR="00C541C8">
              <w:t>Figure</w:t>
            </w:r>
            <w:r>
              <w:t xml:space="preserve"> 14</w:t>
            </w:r>
            <w:r w:rsidR="001873AD">
              <w:t>.</w:t>
            </w:r>
          </w:p>
          <w:p w14:paraId="6938FF0E" w14:textId="02DC4924" w:rsidR="00DB713F" w:rsidRDefault="007509CE" w:rsidP="00465716">
            <w:pPr>
              <w:tabs>
                <w:tab w:val="left" w:pos="709"/>
              </w:tabs>
              <w:spacing w:line="480" w:lineRule="auto"/>
              <w:jc w:val="center"/>
            </w:pPr>
            <w:r w:rsidRPr="001873AD">
              <w:rPr>
                <w:i/>
              </w:rPr>
              <w:t>Lettres</w:t>
            </w:r>
            <w:r>
              <w:t xml:space="preserve"> </w:t>
            </w:r>
            <w:r w:rsidR="00C541C8">
              <w:t xml:space="preserve">– </w:t>
            </w:r>
            <w:r>
              <w:t xml:space="preserve">Smith, n° 12, </w:t>
            </w:r>
            <w:r w:rsidR="006B3078">
              <w:t xml:space="preserve">reproduit </w:t>
            </w:r>
            <w:r>
              <w:t>sans localisation</w:t>
            </w:r>
            <w:r w:rsidR="00354C29">
              <w:t xml:space="preserve"> – 28 x 29 </w:t>
            </w:r>
            <w:r w:rsidR="00F95D4A">
              <w:t>mm</w:t>
            </w:r>
            <w:r w:rsidR="006B3078">
              <w:t>.</w:t>
            </w:r>
          </w:p>
        </w:tc>
        <w:tc>
          <w:tcPr>
            <w:tcW w:w="3021" w:type="dxa"/>
          </w:tcPr>
          <w:p w14:paraId="4A9DA117" w14:textId="77777777" w:rsidR="001873AD" w:rsidRDefault="001873AD" w:rsidP="00465716">
            <w:pPr>
              <w:tabs>
                <w:tab w:val="left" w:pos="709"/>
              </w:tabs>
              <w:spacing w:line="480" w:lineRule="auto"/>
              <w:jc w:val="center"/>
              <w:rPr>
                <w:noProof/>
                <w:lang w:eastAsia="fr-BE"/>
              </w:rPr>
            </w:pPr>
            <w:r w:rsidRPr="009D0055">
              <w:rPr>
                <w:noProof/>
                <w:lang w:eastAsia="fr-BE"/>
              </w:rPr>
              <w:drawing>
                <wp:inline distT="0" distB="0" distL="0" distR="0" wp14:anchorId="751F28D3" wp14:editId="476E0A4F">
                  <wp:extent cx="1476000" cy="141840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476000" cy="1418400"/>
                          </a:xfrm>
                          <a:prstGeom prst="rect">
                            <a:avLst/>
                          </a:prstGeom>
                        </pic:spPr>
                      </pic:pic>
                    </a:graphicData>
                  </a:graphic>
                </wp:inline>
              </w:drawing>
            </w:r>
          </w:p>
          <w:p w14:paraId="1C39C381" w14:textId="654AE924" w:rsidR="001873AD" w:rsidRDefault="00C541C8" w:rsidP="00465716">
            <w:pPr>
              <w:tabs>
                <w:tab w:val="left" w:pos="709"/>
              </w:tabs>
              <w:spacing w:line="480" w:lineRule="auto"/>
              <w:jc w:val="center"/>
              <w:rPr>
                <w:noProof/>
                <w:lang w:eastAsia="fr-BE"/>
              </w:rPr>
            </w:pPr>
            <w:r>
              <w:rPr>
                <w:noProof/>
                <w:lang w:eastAsia="fr-BE"/>
              </w:rPr>
              <w:t>Figure</w:t>
            </w:r>
            <w:r w:rsidR="006B3078">
              <w:rPr>
                <w:noProof/>
                <w:lang w:eastAsia="fr-BE"/>
              </w:rPr>
              <w:t xml:space="preserve"> 15</w:t>
            </w:r>
            <w:r w:rsidR="001873AD">
              <w:rPr>
                <w:noProof/>
                <w:lang w:eastAsia="fr-BE"/>
              </w:rPr>
              <w:t>.</w:t>
            </w:r>
          </w:p>
          <w:p w14:paraId="6F0DDEAA" w14:textId="2536C658" w:rsidR="00DB713F" w:rsidRDefault="001873AD" w:rsidP="00465716">
            <w:pPr>
              <w:tabs>
                <w:tab w:val="left" w:pos="709"/>
              </w:tabs>
              <w:spacing w:line="480" w:lineRule="auto"/>
              <w:jc w:val="center"/>
            </w:pPr>
            <w:r w:rsidRPr="003552C6">
              <w:rPr>
                <w:i/>
                <w:noProof/>
                <w:lang w:eastAsia="fr-BE"/>
              </w:rPr>
              <w:t>Lettres,</w:t>
            </w:r>
            <w:r>
              <w:rPr>
                <w:noProof/>
                <w:lang w:eastAsia="fr-BE"/>
              </w:rPr>
              <w:t xml:space="preserve"> I, p. 65 </w:t>
            </w:r>
            <w:r w:rsidR="00C541C8">
              <w:rPr>
                <w:noProof/>
                <w:lang w:eastAsia="fr-BE"/>
              </w:rPr>
              <w:t>–</w:t>
            </w:r>
            <w:r>
              <w:rPr>
                <w:noProof/>
                <w:lang w:eastAsia="fr-BE"/>
              </w:rPr>
              <w:t xml:space="preserve"> Smith, n° 12, non reproduit.</w:t>
            </w:r>
          </w:p>
        </w:tc>
        <w:tc>
          <w:tcPr>
            <w:tcW w:w="3021" w:type="dxa"/>
          </w:tcPr>
          <w:p w14:paraId="0223FF72" w14:textId="77777777" w:rsidR="00DB713F" w:rsidRDefault="00DB713F" w:rsidP="00465716">
            <w:pPr>
              <w:tabs>
                <w:tab w:val="left" w:pos="709"/>
              </w:tabs>
              <w:spacing w:line="480" w:lineRule="auto"/>
              <w:jc w:val="center"/>
            </w:pPr>
          </w:p>
        </w:tc>
      </w:tr>
    </w:tbl>
    <w:p w14:paraId="74551274" w14:textId="5B950690" w:rsidR="00225A4A" w:rsidRDefault="00F847D1" w:rsidP="0055470D">
      <w:pPr>
        <w:tabs>
          <w:tab w:val="left" w:pos="709"/>
        </w:tabs>
        <w:spacing w:after="0" w:line="480" w:lineRule="auto"/>
        <w:rPr>
          <w:b/>
        </w:rPr>
      </w:pPr>
      <w:r>
        <w:tab/>
      </w:r>
      <w:r w:rsidR="0090021B">
        <w:rPr>
          <w:b/>
        </w:rPr>
        <w:t>La contrefaçon Machuel de 1770 dans la tradition rouennaise</w:t>
      </w:r>
    </w:p>
    <w:p w14:paraId="7F29B074" w14:textId="019E383C" w:rsidR="0090021B" w:rsidRDefault="0090021B" w:rsidP="0055470D">
      <w:pPr>
        <w:tabs>
          <w:tab w:val="left" w:pos="709"/>
        </w:tabs>
        <w:spacing w:after="0" w:line="480" w:lineRule="auto"/>
      </w:pPr>
      <w:r>
        <w:rPr>
          <w:b/>
        </w:rPr>
        <w:tab/>
      </w:r>
      <w:r>
        <w:t xml:space="preserve">L’édition qu’on vient d’examiner s’inscrit dans une tradition rouennaise qui remonte au moins à 1752. </w:t>
      </w:r>
      <w:r w:rsidR="00CF095E">
        <w:t xml:space="preserve">Comme on l’a vu, D. Smith et A. Brown ont fourni une description bibliographique de la </w:t>
      </w:r>
      <w:r w:rsidR="00CF095E">
        <w:rPr>
          <w:i/>
        </w:rPr>
        <w:t xml:space="preserve">Collection complète des œuvres de Monsieur de Voltaire </w:t>
      </w:r>
      <w:r w:rsidR="00CF095E">
        <w:t>parue en 1764 à l’adresse ‘Amsterdam [Rouen], Aux dépens de la Compagnie’ en 18 volumes in-12.</w:t>
      </w:r>
      <w:r w:rsidR="00CF095E">
        <w:rPr>
          <w:rStyle w:val="Appelnotedebasdep"/>
        </w:rPr>
        <w:footnoteReference w:id="30"/>
      </w:r>
      <w:r w:rsidR="00BB0F65">
        <w:t xml:space="preserve"> Le volume VII</w:t>
      </w:r>
      <w:r w:rsidR="00CF095E">
        <w:t xml:space="preserve"> contient l’</w:t>
      </w:r>
      <w:r w:rsidR="0072636C">
        <w:rPr>
          <w:i/>
        </w:rPr>
        <w:t xml:space="preserve">Histoire de Charles XII. </w:t>
      </w:r>
      <w:r w:rsidR="0072636C">
        <w:t>Une note indique </w:t>
      </w:r>
      <w:r w:rsidR="00CF095E">
        <w:t>: ‘Ce volume est identique à une édition séparée de l’</w:t>
      </w:r>
      <w:r w:rsidR="00CF095E">
        <w:rPr>
          <w:i/>
        </w:rPr>
        <w:t xml:space="preserve">Histoire de Charles XII, roi de Suède. Nouvelle édition, revue, </w:t>
      </w:r>
      <w:r w:rsidR="007443E7">
        <w:rPr>
          <w:i/>
        </w:rPr>
        <w:t xml:space="preserve">corrigée et augmentée, </w:t>
      </w:r>
      <w:r w:rsidR="007443E7">
        <w:t xml:space="preserve">A Berlin, Chez M. Sansouci, M. DCC. LII (collection de David Smith), mais on a ajouté à la présente édition une nouvelle page de titre et le cahier 2*, lequel est imprimé en petits caractères et comporte des chiffres romains dans les signatures. Les erreurs figurant dans l’errata de Œ50R y ont été corrigées’. </w:t>
      </w:r>
    </w:p>
    <w:p w14:paraId="303FD74C" w14:textId="1C1D8322" w:rsidR="00DC7A8B" w:rsidRDefault="00BB0F65" w:rsidP="0055470D">
      <w:pPr>
        <w:tabs>
          <w:tab w:val="left" w:pos="709"/>
        </w:tabs>
        <w:spacing w:after="0" w:line="480" w:lineRule="auto"/>
      </w:pPr>
      <w:r>
        <w:tab/>
      </w:r>
      <w:r w:rsidR="007443E7">
        <w:t>Cette édition séparée est enregistrée dans la bibliographie de l’édition de l’</w:t>
      </w:r>
      <w:r w:rsidR="007443E7">
        <w:rPr>
          <w:i/>
        </w:rPr>
        <w:t xml:space="preserve">Histoire de Charles XII </w:t>
      </w:r>
      <w:r w:rsidR="007443E7">
        <w:t xml:space="preserve">dans les </w:t>
      </w:r>
      <w:r w:rsidR="007443E7">
        <w:rPr>
          <w:i/>
        </w:rPr>
        <w:t xml:space="preserve">Œuvres complètes de Voltaire 4, </w:t>
      </w:r>
      <w:r w:rsidR="007443E7">
        <w:t>où A. Brown et U. Kölving lui attribuent l’indice 52B.</w:t>
      </w:r>
      <w:r w:rsidR="007443E7">
        <w:rPr>
          <w:rStyle w:val="Appelnotedebasdep"/>
        </w:rPr>
        <w:footnoteReference w:id="31"/>
      </w:r>
      <w:r w:rsidR="009A0DC9">
        <w:t xml:space="preserve"> </w:t>
      </w:r>
    </w:p>
    <w:p w14:paraId="761CD018" w14:textId="087F55C1" w:rsidR="00DC7A8B" w:rsidRDefault="00DC7A8B" w:rsidP="00DC7A8B">
      <w:pPr>
        <w:tabs>
          <w:tab w:val="left" w:pos="709"/>
        </w:tabs>
        <w:spacing w:after="0" w:line="480" w:lineRule="auto"/>
        <w:jc w:val="center"/>
      </w:pPr>
      <w:r w:rsidRPr="00DC7A8B">
        <w:rPr>
          <w:noProof/>
          <w:lang w:eastAsia="fr-BE"/>
        </w:rPr>
        <w:drawing>
          <wp:inline distT="0" distB="0" distL="0" distR="0" wp14:anchorId="56C07135" wp14:editId="27E614C6">
            <wp:extent cx="3276600" cy="5836920"/>
            <wp:effectExtent l="0" t="0" r="0" b="0"/>
            <wp:docPr id="11" name="Image 11" descr="C:\Users\danie\Documents\Machuel\Machuel Voltaire\Machuel Charles XII\Voltaire Charles XII 1752\Charles XII 5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nie\Documents\Machuel\Machuel Voltaire\Machuel Charles XII\Voltaire Charles XII 1752\Charles XII 52B.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76600" cy="5836920"/>
                    </a:xfrm>
                    <a:prstGeom prst="rect">
                      <a:avLst/>
                    </a:prstGeom>
                    <a:noFill/>
                    <a:ln>
                      <a:noFill/>
                    </a:ln>
                  </pic:spPr>
                </pic:pic>
              </a:graphicData>
            </a:graphic>
          </wp:inline>
        </w:drawing>
      </w:r>
    </w:p>
    <w:p w14:paraId="180983E3" w14:textId="19BEE253" w:rsidR="00DC7A8B" w:rsidRDefault="00DC7A8B" w:rsidP="00DC7A8B">
      <w:pPr>
        <w:tabs>
          <w:tab w:val="left" w:pos="709"/>
        </w:tabs>
        <w:spacing w:after="0" w:line="480" w:lineRule="auto"/>
        <w:jc w:val="center"/>
      </w:pPr>
      <w:r>
        <w:t>Figure 16.</w:t>
      </w:r>
    </w:p>
    <w:p w14:paraId="4AFD3BFB" w14:textId="3DDB3752" w:rsidR="00DC7A8B" w:rsidRDefault="00DC7A8B" w:rsidP="00DC7A8B">
      <w:pPr>
        <w:tabs>
          <w:tab w:val="left" w:pos="709"/>
        </w:tabs>
        <w:spacing w:after="0" w:line="480" w:lineRule="auto"/>
        <w:jc w:val="center"/>
      </w:pPr>
      <w:r>
        <w:t>Type 52B.</w:t>
      </w:r>
    </w:p>
    <w:p w14:paraId="1DE60860" w14:textId="347FD157" w:rsidR="00DC7A8B" w:rsidRDefault="00DC7A8B" w:rsidP="00DC7A8B">
      <w:pPr>
        <w:tabs>
          <w:tab w:val="left" w:pos="709"/>
        </w:tabs>
        <w:spacing w:after="0" w:line="480" w:lineRule="auto"/>
        <w:jc w:val="center"/>
      </w:pPr>
      <w:r>
        <w:t>Barcelona, Biblioteca de Catalunya, R. 1537</w:t>
      </w:r>
      <w:r w:rsidR="00D148F4">
        <w:t> ; Stockholm, Kungliga Biblioteket, Sv. Saml. Hist. Sv. CXG-CXX 1700-1829 ; Liège, Bibliothèque de l’Université, 25307</w:t>
      </w:r>
      <w:r>
        <w:t>.</w:t>
      </w:r>
    </w:p>
    <w:p w14:paraId="229E4AFE" w14:textId="4EC31405" w:rsidR="007443E7" w:rsidRDefault="00BB0F65" w:rsidP="0055470D">
      <w:pPr>
        <w:tabs>
          <w:tab w:val="left" w:pos="709"/>
        </w:tabs>
        <w:spacing w:after="0" w:line="480" w:lineRule="auto"/>
      </w:pPr>
      <w:r>
        <w:tab/>
      </w:r>
      <w:r w:rsidR="009A0DC9">
        <w:t xml:space="preserve">Il importe </w:t>
      </w:r>
      <w:r w:rsidR="00DC7A8B">
        <w:t>de</w:t>
      </w:r>
      <w:r w:rsidR="009A0DC9">
        <w:t xml:space="preserve"> reproduire la définition </w:t>
      </w:r>
      <w:r w:rsidR="00DC7A8B">
        <w:t xml:space="preserve">du type 52B </w:t>
      </w:r>
      <w:r w:rsidR="009A0DC9">
        <w:t>pour</w:t>
      </w:r>
      <w:r>
        <w:t xml:space="preserve"> la comparer à celle du volume VII</w:t>
      </w:r>
      <w:r w:rsidR="009A0DC9">
        <w:t xml:space="preserve"> afin de vérifier la correspondance et d’établir un profil susceptible de les relier au type 70BE.</w:t>
      </w:r>
    </w:p>
    <w:p w14:paraId="3792C37B" w14:textId="16F412C1" w:rsidR="009A0DC9" w:rsidRDefault="009A0DC9" w:rsidP="0055470D">
      <w:pPr>
        <w:tabs>
          <w:tab w:val="left" w:pos="709"/>
        </w:tabs>
        <w:spacing w:after="0" w:line="480" w:lineRule="auto"/>
      </w:pPr>
      <w:r>
        <w:t>52B. Formule. 12°. sig. π1 A-Q</w:t>
      </w:r>
      <w:r>
        <w:rPr>
          <w:vertAlign w:val="superscript"/>
        </w:rPr>
        <w:t xml:space="preserve">12 </w:t>
      </w:r>
      <w:r>
        <w:t>R</w:t>
      </w:r>
      <w:r>
        <w:rPr>
          <w:vertAlign w:val="superscript"/>
        </w:rPr>
        <w:t xml:space="preserve">8 </w:t>
      </w:r>
      <w:r>
        <w:t>S</w:t>
      </w:r>
      <w:r>
        <w:rPr>
          <w:vertAlign w:val="superscript"/>
        </w:rPr>
        <w:t xml:space="preserve">2 </w:t>
      </w:r>
      <w:r>
        <w:t>(I2 + χ1) ; pag. [</w:t>
      </w:r>
      <w:r w:rsidR="00847CC1">
        <w:rPr>
          <w:i/>
        </w:rPr>
        <w:t>2</w:t>
      </w:r>
      <w:r w:rsidR="00847CC1">
        <w:t>] 196 [</w:t>
      </w:r>
      <w:r w:rsidR="00847CC1">
        <w:rPr>
          <w:i/>
        </w:rPr>
        <w:t>3-4</w:t>
      </w:r>
      <w:r w:rsidR="00847CC1">
        <w:t>] [197]-404 (p. 260 numérotée ‘206’) ; $6 signé, chiffres arabes (- R5-6, S2) ; réclames par page.</w:t>
      </w:r>
    </w:p>
    <w:p w14:paraId="5C073CC0" w14:textId="211C7AA4" w:rsidR="00847CC1" w:rsidRDefault="00847CC1" w:rsidP="009A3CEC">
      <w:pPr>
        <w:tabs>
          <w:tab w:val="left" w:pos="709"/>
        </w:tabs>
        <w:spacing w:after="0" w:line="480" w:lineRule="auto"/>
      </w:pPr>
      <w:r>
        <w:t>52B. Contenu. [</w:t>
      </w:r>
      <w:r>
        <w:rPr>
          <w:i/>
        </w:rPr>
        <w:t>1</w:t>
      </w:r>
      <w:r>
        <w:t>] ; [</w:t>
      </w:r>
      <w:r>
        <w:rPr>
          <w:i/>
        </w:rPr>
        <w:t>2</w:t>
      </w:r>
      <w:r>
        <w:t>] bl. ; [1]-196 Histoire de Charles XII roi de Suède (livres 1-4) ; [</w:t>
      </w:r>
      <w:r>
        <w:rPr>
          <w:i/>
        </w:rPr>
        <w:t>3</w:t>
      </w:r>
      <w:r w:rsidR="00136C52">
        <w:t>] titre du tome II</w:t>
      </w:r>
      <w:r>
        <w:t> ; [</w:t>
      </w:r>
      <w:r>
        <w:rPr>
          <w:i/>
        </w:rPr>
        <w:t>4</w:t>
      </w:r>
      <w:r>
        <w:t xml:space="preserve">] bl. ; [197]-382 </w:t>
      </w:r>
      <w:r w:rsidRPr="00847CC1">
        <w:t>Histoire de Charles XII</w:t>
      </w:r>
      <w:r>
        <w:t xml:space="preserve"> roi de Suède (livres 5-8) ; 383-404 Table des matières contenues dans l’Histoire de Charles XII. </w:t>
      </w:r>
    </w:p>
    <w:p w14:paraId="759B700D" w14:textId="063F75DA" w:rsidR="0072636C" w:rsidRPr="0072636C" w:rsidRDefault="00A65B07" w:rsidP="0055470D">
      <w:pPr>
        <w:tabs>
          <w:tab w:val="left" w:pos="709"/>
        </w:tabs>
        <w:spacing w:after="0" w:line="480" w:lineRule="auto"/>
      </w:pPr>
      <w:r>
        <w:t>Le tome VII</w:t>
      </w:r>
      <w:r w:rsidR="0072636C">
        <w:t xml:space="preserve"> de la </w:t>
      </w:r>
      <w:r w:rsidR="0072636C">
        <w:rPr>
          <w:i/>
        </w:rPr>
        <w:t xml:space="preserve">Collection complete </w:t>
      </w:r>
      <w:r w:rsidR="0072636C">
        <w:t xml:space="preserve">de 1764 parue à Rouen sous la fausse adresse d’Amsterdam se présente comme suit.  </w:t>
      </w:r>
    </w:p>
    <w:p w14:paraId="5B568934" w14:textId="77777777" w:rsidR="0072636C" w:rsidRDefault="0072636C" w:rsidP="0072636C">
      <w:pPr>
        <w:tabs>
          <w:tab w:val="left" w:pos="709"/>
        </w:tabs>
        <w:spacing w:after="0" w:line="480" w:lineRule="auto"/>
        <w:jc w:val="center"/>
      </w:pPr>
      <w:r w:rsidRPr="00496245">
        <w:rPr>
          <w:i/>
          <w:noProof/>
          <w:lang w:eastAsia="fr-BE"/>
        </w:rPr>
        <w:drawing>
          <wp:inline distT="0" distB="0" distL="0" distR="0" wp14:anchorId="7009815E" wp14:editId="37B4EA23">
            <wp:extent cx="3383280" cy="5753100"/>
            <wp:effectExtent l="0" t="0" r="7620" b="0"/>
            <wp:docPr id="8" name="Image 8" descr="C:\Users\danie\Documents\Machuel\Machuel Voltaire\OE64R Collection complete\OE64R t. 7\Charles XII OE64 t. 7 tit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nie\Documents\Machuel\Machuel Voltaire\OE64R Collection complete\OE64R t. 7\Charles XII OE64 t. 7 titre.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383280" cy="5753100"/>
                    </a:xfrm>
                    <a:prstGeom prst="rect">
                      <a:avLst/>
                    </a:prstGeom>
                    <a:noFill/>
                    <a:ln>
                      <a:noFill/>
                    </a:ln>
                  </pic:spPr>
                </pic:pic>
              </a:graphicData>
            </a:graphic>
          </wp:inline>
        </w:drawing>
      </w:r>
    </w:p>
    <w:p w14:paraId="21DA85C1" w14:textId="77777777" w:rsidR="0072636C" w:rsidRDefault="0072636C" w:rsidP="0072636C">
      <w:pPr>
        <w:tabs>
          <w:tab w:val="left" w:pos="709"/>
        </w:tabs>
        <w:spacing w:after="0" w:line="480" w:lineRule="auto"/>
        <w:jc w:val="center"/>
      </w:pPr>
      <w:r>
        <w:t>Figure 16.</w:t>
      </w:r>
    </w:p>
    <w:p w14:paraId="574A0C3D" w14:textId="30D00850" w:rsidR="0072636C" w:rsidRDefault="0072636C" w:rsidP="0072636C">
      <w:pPr>
        <w:tabs>
          <w:tab w:val="left" w:pos="709"/>
        </w:tabs>
        <w:spacing w:after="0" w:line="480" w:lineRule="auto"/>
        <w:jc w:val="center"/>
      </w:pPr>
      <w:r>
        <w:t>Type Œ64R</w:t>
      </w:r>
      <w:r w:rsidR="00100FCF">
        <w:t>/7</w:t>
      </w:r>
      <w:r>
        <w:t>.</w:t>
      </w:r>
    </w:p>
    <w:p w14:paraId="4EC452CE" w14:textId="6D49742A" w:rsidR="0072636C" w:rsidRDefault="0072636C" w:rsidP="0072636C">
      <w:pPr>
        <w:tabs>
          <w:tab w:val="left" w:pos="709"/>
        </w:tabs>
        <w:spacing w:after="0" w:line="480" w:lineRule="auto"/>
        <w:jc w:val="center"/>
      </w:pPr>
      <w:r>
        <w:t>Napoli, Bibliote</w:t>
      </w:r>
      <w:r w:rsidR="00DC7A8B">
        <w:t>ca Nazionale Vitt. Emanuele III.</w:t>
      </w:r>
      <w:r>
        <w:t xml:space="preserve"> </w:t>
      </w:r>
    </w:p>
    <w:p w14:paraId="5CA99016" w14:textId="77777777" w:rsidR="0072636C" w:rsidRPr="00F05FD2" w:rsidRDefault="0072636C" w:rsidP="0072636C">
      <w:pPr>
        <w:tabs>
          <w:tab w:val="left" w:pos="709"/>
        </w:tabs>
        <w:spacing w:after="0" w:line="480" w:lineRule="auto"/>
        <w:jc w:val="center"/>
      </w:pPr>
      <w:r>
        <w:t xml:space="preserve">Rare. De Marinis Incom. 3 </w:t>
      </w:r>
    </w:p>
    <w:p w14:paraId="4A97AF5C" w14:textId="5DD72C56" w:rsidR="00CD229C" w:rsidRDefault="00100FCF" w:rsidP="0055470D">
      <w:pPr>
        <w:tabs>
          <w:tab w:val="left" w:pos="709"/>
        </w:tabs>
        <w:spacing w:after="0" w:line="480" w:lineRule="auto"/>
      </w:pPr>
      <w:r>
        <w:t xml:space="preserve">Œ64R/7. </w:t>
      </w:r>
      <w:r w:rsidR="00CD229C">
        <w:t xml:space="preserve">Formule. 12°. </w:t>
      </w:r>
      <w:r w:rsidR="00CD229C">
        <w:rPr>
          <w:i/>
        </w:rPr>
        <w:t>n</w:t>
      </w:r>
      <w:r w:rsidR="00CD229C">
        <w:t>1 *</w:t>
      </w:r>
      <w:r w:rsidR="00CD229C">
        <w:rPr>
          <w:vertAlign w:val="superscript"/>
        </w:rPr>
        <w:t xml:space="preserve">12 </w:t>
      </w:r>
      <w:r w:rsidR="00CD229C">
        <w:t>2*</w:t>
      </w:r>
      <w:r w:rsidR="00CD229C">
        <w:rPr>
          <w:vertAlign w:val="superscript"/>
        </w:rPr>
        <w:t>12</w:t>
      </w:r>
      <w:r w:rsidR="00CD229C">
        <w:t xml:space="preserve"> A-Q</w:t>
      </w:r>
      <w:r w:rsidR="00CD229C">
        <w:rPr>
          <w:vertAlign w:val="superscript"/>
        </w:rPr>
        <w:t>12</w:t>
      </w:r>
      <w:r w:rsidR="00CD229C">
        <w:t xml:space="preserve"> R</w:t>
      </w:r>
      <w:r w:rsidR="00CD229C">
        <w:rPr>
          <w:vertAlign w:val="superscript"/>
        </w:rPr>
        <w:t>8</w:t>
      </w:r>
      <w:r w:rsidR="00CD229C">
        <w:t xml:space="preserve"> S</w:t>
      </w:r>
      <w:r w:rsidR="00CD229C">
        <w:rPr>
          <w:vertAlign w:val="superscript"/>
        </w:rPr>
        <w:t>2</w:t>
      </w:r>
      <w:r w:rsidR="00CD229C">
        <w:t> ; [</w:t>
      </w:r>
      <w:r w:rsidR="00CD229C">
        <w:rPr>
          <w:i/>
        </w:rPr>
        <w:t>2</w:t>
      </w:r>
      <w:r w:rsidR="00CD229C">
        <w:t>] [I]</w:t>
      </w:r>
      <w:r w:rsidR="00E73A1A">
        <w:t xml:space="preserve"> II-XXII [XXIII] XXIV [xxv] </w:t>
      </w:r>
      <w:r w:rsidR="009F36B8">
        <w:rPr>
          <w:rStyle w:val="Appelnotedebasdep"/>
        </w:rPr>
        <w:footnoteReference w:id="32"/>
      </w:r>
      <w:r w:rsidR="009F36B8">
        <w:t xml:space="preserve"> </w:t>
      </w:r>
      <w:r w:rsidR="00E73A1A">
        <w:t>xxvi-xxxviii [xxxix] xl-xlvii [xlviii] [1]</w:t>
      </w:r>
      <w:r w:rsidR="00CD229C">
        <w:t xml:space="preserve"> </w:t>
      </w:r>
      <w:r w:rsidR="00E73A1A">
        <w:t>2-36 [37] 38-100 [101] 102-154 [155] 156-196 [197] 198-244 [245] 246-286 [287] 288-330 [331] 332-404 ; 260 numérotée ‘206’</w:t>
      </w:r>
      <w:r w:rsidR="009A3CEC">
        <w:rPr>
          <w:rStyle w:val="Appelnotedebasdep"/>
        </w:rPr>
        <w:footnoteReference w:id="33"/>
      </w:r>
      <w:r w:rsidR="00E73A1A">
        <w:t xml:space="preserve">. </w:t>
      </w:r>
    </w:p>
    <w:p w14:paraId="6AB82FAB" w14:textId="65DFCDDA" w:rsidR="00E73A1A" w:rsidRDefault="00E73A1A" w:rsidP="0055470D">
      <w:pPr>
        <w:tabs>
          <w:tab w:val="left" w:pos="709"/>
        </w:tabs>
        <w:spacing w:after="0" w:line="480" w:lineRule="auto"/>
        <w:rPr>
          <w:i/>
        </w:rPr>
      </w:pPr>
      <w:r>
        <w:t xml:space="preserve">Contenu. </w:t>
      </w:r>
      <w:r w:rsidR="0001222A">
        <w:rPr>
          <w:i/>
        </w:rPr>
        <w:t>n</w:t>
      </w:r>
      <w:r w:rsidR="0001222A">
        <w:t xml:space="preserve">i, titre ; </w:t>
      </w:r>
      <w:r w:rsidR="0001222A">
        <w:rPr>
          <w:i/>
        </w:rPr>
        <w:t>n</w:t>
      </w:r>
      <w:r w:rsidR="0001222A">
        <w:t>iv, bl. ; *1-*7v (I-XIV), Préface de cette édition de M. DCC. L. ; *8-*11v (XV-XXII), Discours sur l’</w:t>
      </w:r>
      <w:r w:rsidR="0001222A">
        <w:rPr>
          <w:i/>
        </w:rPr>
        <w:t>Histoire de Charles XII </w:t>
      </w:r>
      <w:r w:rsidR="0001222A">
        <w:t xml:space="preserve">; </w:t>
      </w:r>
      <w:r w:rsidR="009F36B8">
        <w:t xml:space="preserve">*12-*12v (XXIII-XXIV) Table des livres ; 2*1-2*7v (xxv-xxxviii), Histoire abrégée ou Anecdotes sur le czar Pierre le Grand ; </w:t>
      </w:r>
      <w:r w:rsidR="00D60BCA">
        <w:t>2*8-2*9v (xxxix-lvii), Pièce relative à l’</w:t>
      </w:r>
      <w:r w:rsidR="00D60BCA">
        <w:rPr>
          <w:i/>
        </w:rPr>
        <w:t xml:space="preserve">Histoire de Charles XII roi de Suède. </w:t>
      </w:r>
      <w:r w:rsidR="00D60BCA">
        <w:t>Lettre à monsieur le maréchal de Schullembourg, général des Vénitiens</w:t>
      </w:r>
      <w:r w:rsidR="00250B03">
        <w:t> ;</w:t>
      </w:r>
      <w:r w:rsidR="00714276">
        <w:t xml:space="preserve"> </w:t>
      </w:r>
      <w:r w:rsidR="00250B03">
        <w:t>2*10-2*12 (xliii-xlvii), Lettre à monsieur Norberg, chapelain du roi de Suède Charles XII</w:t>
      </w:r>
      <w:r w:rsidR="008C480D">
        <w:t xml:space="preserve"> et auteur d’une histoire de ce monarque [Déjà imprimée dans le vol. 5, p. 59-72] ; 2*v (xlviii), [réclame] HISTOIRE ; A1-Q11v (1-382), Histoire de Charles XII roi de Suède ; Q12-S2v (383-404), Table des matières contenues dans l’</w:t>
      </w:r>
      <w:r w:rsidR="008C480D">
        <w:rPr>
          <w:i/>
        </w:rPr>
        <w:t xml:space="preserve">Histoire de Charles XII. </w:t>
      </w:r>
    </w:p>
    <w:p w14:paraId="50AF3D4D" w14:textId="77777777" w:rsidR="00C81A0C" w:rsidRDefault="00BB0F65" w:rsidP="00100FCF">
      <w:pPr>
        <w:tabs>
          <w:tab w:val="left" w:pos="709"/>
        </w:tabs>
        <w:spacing w:after="0" w:line="480" w:lineRule="auto"/>
      </w:pPr>
      <w:r>
        <w:tab/>
      </w:r>
      <w:r w:rsidR="00D2639F">
        <w:t xml:space="preserve">Des concordances entre 52B et </w:t>
      </w:r>
      <w:r w:rsidR="00100FCF">
        <w:t>Œ64R/7 apparaissent d’emblée. Dans les deux cas, l’</w:t>
      </w:r>
      <w:r w:rsidR="00100FCF">
        <w:rPr>
          <w:i/>
        </w:rPr>
        <w:t xml:space="preserve">Histoire de Charles XII </w:t>
      </w:r>
      <w:r w:rsidR="00100FCF">
        <w:t>compte 404 pages. L’erreur de numérotation – page 260 numérotée ‘206’ – confirme l’identité des deux impressions. La désignation des cahiers est identique. L</w:t>
      </w:r>
      <w:r w:rsidR="00A65B07">
        <w:t>’absence de titre pour le tome II</w:t>
      </w:r>
      <w:r w:rsidR="00100FCF">
        <w:t xml:space="preserve"> dans Œ64R/7, où les pages 196 et [197] se suivent, donne lieu à un changement dans 52B, où </w:t>
      </w:r>
      <w:r w:rsidR="002B68A3">
        <w:t xml:space="preserve">la continuité est interrompue par les pages [3]-[4] qui comportent le titre </w:t>
      </w:r>
      <w:r w:rsidR="00A65B07">
        <w:t>du tome II</w:t>
      </w:r>
      <w:r w:rsidR="002B68A3" w:rsidRPr="00DC7A8B">
        <w:t xml:space="preserve"> et que l’on suppose intégrées comme cartons. </w:t>
      </w:r>
    </w:p>
    <w:p w14:paraId="3702970D" w14:textId="5B1AEE3E" w:rsidR="00E95BFC" w:rsidRDefault="00C81A0C" w:rsidP="00E95BFC">
      <w:pPr>
        <w:tabs>
          <w:tab w:val="left" w:pos="709"/>
        </w:tabs>
        <w:spacing w:after="0" w:line="480" w:lineRule="auto"/>
      </w:pPr>
      <w:r>
        <w:tab/>
        <w:t xml:space="preserve">Dans 52B, le titre </w:t>
      </w:r>
      <w:r w:rsidR="00937334">
        <w:t xml:space="preserve">(π1) est suivi des pièces formant le cahier </w:t>
      </w:r>
      <w:r w:rsidR="002B68A3" w:rsidRPr="00DC7A8B">
        <w:t xml:space="preserve">* </w:t>
      </w:r>
      <w:r w:rsidR="00937334">
        <w:t xml:space="preserve">dont les signatures ont des chiffres arabes au demi-cahier : la </w:t>
      </w:r>
      <w:r w:rsidR="00937334">
        <w:rPr>
          <w:i/>
        </w:rPr>
        <w:t xml:space="preserve">Préface de cette édition de M. DCC L, </w:t>
      </w:r>
      <w:r w:rsidR="00937334">
        <w:t xml:space="preserve">le </w:t>
      </w:r>
      <w:r w:rsidR="00937334">
        <w:rPr>
          <w:i/>
        </w:rPr>
        <w:t xml:space="preserve">Discours sur l’histoire de Charles XII </w:t>
      </w:r>
      <w:r w:rsidR="00937334">
        <w:t xml:space="preserve">et la </w:t>
      </w:r>
      <w:r w:rsidR="00937334">
        <w:rPr>
          <w:i/>
        </w:rPr>
        <w:t xml:space="preserve">Tables des livres </w:t>
      </w:r>
      <w:r w:rsidR="00937334">
        <w:t xml:space="preserve">(pp. i-xxiv). L’édition séparée suit donc en cela </w:t>
      </w:r>
      <w:r w:rsidR="00E95BFC">
        <w:t xml:space="preserve">Œ64R/7. Mais elle </w:t>
      </w:r>
      <w:r w:rsidR="00937334">
        <w:t xml:space="preserve">omet le cahier ** </w:t>
      </w:r>
      <w:r w:rsidR="00E95BFC">
        <w:t>de Œ64R/7 qui présente, notent Smith et Brown, des caractères différents : les signatures ont ‘des chiffres romains à 2*ii-vi’ et les réclames sont au cahier, alors qu’elles sont ‘en bas de page’ dans le cahier * dans Œ64R/7 et 52B. On a donc voulu, dans l’édition séparée, réaliser une économie en omettant des pièces qui n’ont pas paru nécessaires : l’</w:t>
      </w:r>
      <w:r w:rsidR="00E95BFC">
        <w:rPr>
          <w:i/>
        </w:rPr>
        <w:t>Histoire abrégée</w:t>
      </w:r>
      <w:r w:rsidR="002E7F86">
        <w:rPr>
          <w:i/>
        </w:rPr>
        <w:t>,</w:t>
      </w:r>
      <w:r w:rsidR="00E95BFC">
        <w:rPr>
          <w:i/>
        </w:rPr>
        <w:t xml:space="preserve"> </w:t>
      </w:r>
      <w:r w:rsidR="00E95BFC">
        <w:t xml:space="preserve">la </w:t>
      </w:r>
      <w:r w:rsidR="00E95BFC" w:rsidRPr="00E95BFC">
        <w:rPr>
          <w:i/>
        </w:rPr>
        <w:t xml:space="preserve">Pièce </w:t>
      </w:r>
      <w:r w:rsidR="00E95BFC">
        <w:rPr>
          <w:i/>
        </w:rPr>
        <w:t>relative à l’</w:t>
      </w:r>
      <w:r w:rsidR="002E7F86">
        <w:rPr>
          <w:i/>
        </w:rPr>
        <w:t>H</w:t>
      </w:r>
      <w:r w:rsidR="00E95BFC">
        <w:rPr>
          <w:i/>
        </w:rPr>
        <w:t xml:space="preserve">istoire de </w:t>
      </w:r>
      <w:r w:rsidR="002E7F86">
        <w:rPr>
          <w:i/>
        </w:rPr>
        <w:t xml:space="preserve">Charles XII, </w:t>
      </w:r>
      <w:r w:rsidR="002E7F86">
        <w:t xml:space="preserve">la </w:t>
      </w:r>
      <w:r w:rsidR="002E7F86">
        <w:rPr>
          <w:i/>
        </w:rPr>
        <w:t xml:space="preserve">Lettre à monsieur le maréchal de Schullembourg </w:t>
      </w:r>
      <w:r w:rsidR="002E7F86">
        <w:t xml:space="preserve">et la </w:t>
      </w:r>
      <w:r w:rsidR="002E7F86">
        <w:rPr>
          <w:i/>
        </w:rPr>
        <w:t xml:space="preserve">Lettre à monsieur Norberg.  </w:t>
      </w:r>
    </w:p>
    <w:p w14:paraId="3332B44A" w14:textId="624CC6B1" w:rsidR="002E7F86" w:rsidRPr="002E7F86" w:rsidRDefault="002E7F86" w:rsidP="00E95BFC">
      <w:pPr>
        <w:tabs>
          <w:tab w:val="left" w:pos="709"/>
        </w:tabs>
        <w:spacing w:after="0" w:line="480" w:lineRule="auto"/>
        <w:rPr>
          <w:u w:val="single"/>
        </w:rPr>
      </w:pPr>
      <w:r>
        <w:tab/>
        <w:t xml:space="preserve">Les réclames en bas de page s’étendent à l’ensemble du texte dans le type 52B. On sait qu’un tel régime est censé signaler, en principe, selon Sayce, une édition non-française. Comment, dès lors, attribuer celle-ci et Œ64R, qui a ce type de réclames, à </w:t>
      </w:r>
      <w:r w:rsidR="00067E6C">
        <w:t xml:space="preserve">un imprimeur rouennais ? </w:t>
      </w:r>
    </w:p>
    <w:p w14:paraId="48F86978" w14:textId="77777777" w:rsidR="00841BD9" w:rsidRDefault="00067E6C" w:rsidP="00100FCF">
      <w:pPr>
        <w:tabs>
          <w:tab w:val="left" w:pos="709"/>
        </w:tabs>
        <w:spacing w:after="0" w:line="480" w:lineRule="auto"/>
        <w:rPr>
          <w:i/>
        </w:rPr>
      </w:pPr>
      <w:r>
        <w:t xml:space="preserve">Il resterait à prendre en considération, dans l’ensemble des éditions de </w:t>
      </w:r>
      <w:r w:rsidRPr="00067E6C">
        <w:rPr>
          <w:i/>
        </w:rPr>
        <w:t>l’</w:t>
      </w:r>
      <w:r>
        <w:rPr>
          <w:i/>
        </w:rPr>
        <w:t xml:space="preserve">Histoire de Charles XII, </w:t>
      </w:r>
      <w:r>
        <w:t xml:space="preserve">le portrait du monarque en frontispice. Il figure dans le type 70BE sous une forme dont la reproduction </w:t>
      </w:r>
      <w:r w:rsidR="00E2731C">
        <w:t xml:space="preserve">(figure 3) montre toute l’usure ou le très faible ancrage. La légende donne ‘CHARLES XII. / </w:t>
      </w:r>
      <w:r w:rsidR="00E2731C">
        <w:rPr>
          <w:i/>
        </w:rPr>
        <w:t xml:space="preserve">Roi de Suede, des Gots et des Vandales ; / Né le 27 Juin 1682. mort le 11 Décembre / 1718’. </w:t>
      </w:r>
    </w:p>
    <w:p w14:paraId="0B7414C4" w14:textId="6CA02BCE" w:rsidR="00E2731C" w:rsidRDefault="009613D2" w:rsidP="00100FCF">
      <w:pPr>
        <w:tabs>
          <w:tab w:val="left" w:pos="709"/>
        </w:tabs>
        <w:spacing w:after="0" w:line="480" w:lineRule="auto"/>
      </w:pPr>
      <w:r>
        <w:t>La même gravure figure dans une édition de l’</w:t>
      </w:r>
      <w:r>
        <w:rPr>
          <w:i/>
        </w:rPr>
        <w:t>Histoire de Charles XII</w:t>
      </w:r>
      <w:r>
        <w:t xml:space="preserve"> qui date de 1755 et </w:t>
      </w:r>
      <w:r w:rsidR="00513033">
        <w:t>présente</w:t>
      </w:r>
      <w:r>
        <w:t xml:space="preserve"> également l’adresse ‘A Berlin, Chez M. Sansouci’ (figure 17). Cette édition </w:t>
      </w:r>
      <w:r w:rsidR="00513033">
        <w:t xml:space="preserve">porte le n° 1271 dans la </w:t>
      </w:r>
      <w:r w:rsidR="00513033">
        <w:rPr>
          <w:i/>
        </w:rPr>
        <w:t xml:space="preserve">Bibliographie </w:t>
      </w:r>
      <w:r w:rsidR="00513033">
        <w:t>de Bengesco, qui indique ‘On lit sur le frontispice : Tome I</w:t>
      </w:r>
      <w:r w:rsidR="00513033">
        <w:rPr>
          <w:vertAlign w:val="superscript"/>
        </w:rPr>
        <w:t>er</w:t>
      </w:r>
      <w:r w:rsidR="00513033">
        <w:t xml:space="preserve">’, mais </w:t>
      </w:r>
      <w:r w:rsidR="003D5011">
        <w:t>ajoute</w:t>
      </w:r>
      <w:r w:rsidR="00513033">
        <w:t xml:space="preserve"> qu’’il n’y a pas de tome II’</w:t>
      </w:r>
      <w:r w:rsidR="00513033">
        <w:rPr>
          <w:rStyle w:val="Appelnotedebasdep"/>
        </w:rPr>
        <w:footnoteReference w:id="34"/>
      </w:r>
      <w:r w:rsidR="00513033">
        <w:t>.</w:t>
      </w:r>
      <w:r w:rsidR="003D5011">
        <w:t xml:space="preserve"> La notice de l’exemplaire coté Z-BEUCHOT-347, à la BnF, répète l’observation en précisant que l’indication ‘Tome premier’ figure par erreur sur le feuillet de titre, ‘alors que l’ouvrage est en un seul volume’. On observe que, dans l’exemplaire présenté ici, cette indication a été supprimée : </w:t>
      </w:r>
      <w:r w:rsidR="009D301F">
        <w:t xml:space="preserve">la mention a été découpée et un morceau de papier a été collé à son emplacement, au verso. L’édition </w:t>
      </w:r>
      <w:r w:rsidR="00E2731C">
        <w:t>porte l’indice 55BE</w:t>
      </w:r>
      <w:r w:rsidR="009D301F">
        <w:t xml:space="preserve"> dans la bibliographie de Brown et Kölving pour l’</w:t>
      </w:r>
      <w:r w:rsidR="009D301F">
        <w:rPr>
          <w:i/>
        </w:rPr>
        <w:t xml:space="preserve">Histoire de Charles XII, </w:t>
      </w:r>
      <w:r w:rsidR="00E2731C">
        <w:t xml:space="preserve"> </w:t>
      </w:r>
      <w:r w:rsidR="00841BD9">
        <w:t>m</w:t>
      </w:r>
      <w:r w:rsidR="00E2731C">
        <w:t xml:space="preserve">ais </w:t>
      </w:r>
      <w:r w:rsidR="009D301F">
        <w:t>le portrait en frontispice n’est pas mentionné</w:t>
      </w:r>
      <w:r w:rsidR="00E2731C">
        <w:t>.</w:t>
      </w:r>
    </w:p>
    <w:p w14:paraId="53DC97EC" w14:textId="137D11DF" w:rsidR="00841BD9" w:rsidRDefault="00841BD9" w:rsidP="00841BD9">
      <w:pPr>
        <w:tabs>
          <w:tab w:val="left" w:pos="709"/>
        </w:tabs>
        <w:spacing w:after="0" w:line="480" w:lineRule="auto"/>
        <w:jc w:val="center"/>
        <w:rPr>
          <w:i/>
        </w:rPr>
      </w:pPr>
      <w:r>
        <w:rPr>
          <w:noProof/>
          <w:lang w:eastAsia="fr-BE"/>
        </w:rPr>
        <w:drawing>
          <wp:inline distT="0" distB="0" distL="0" distR="0" wp14:anchorId="2A4BBEEC" wp14:editId="5BFF2571">
            <wp:extent cx="5760720" cy="497268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60720" cy="4972685"/>
                    </a:xfrm>
                    <a:prstGeom prst="rect">
                      <a:avLst/>
                    </a:prstGeom>
                  </pic:spPr>
                </pic:pic>
              </a:graphicData>
            </a:graphic>
          </wp:inline>
        </w:drawing>
      </w:r>
    </w:p>
    <w:p w14:paraId="40234E7C" w14:textId="5FE996E3" w:rsidR="00841BD9" w:rsidRDefault="00841BD9" w:rsidP="00841BD9">
      <w:pPr>
        <w:tabs>
          <w:tab w:val="left" w:pos="709"/>
        </w:tabs>
        <w:spacing w:after="0" w:line="480" w:lineRule="auto"/>
        <w:jc w:val="center"/>
      </w:pPr>
      <w:r>
        <w:t>Figure 17.</w:t>
      </w:r>
    </w:p>
    <w:p w14:paraId="1F4E79AE" w14:textId="2C0A77F6" w:rsidR="001B6483" w:rsidRDefault="001B6483" w:rsidP="00841BD9">
      <w:pPr>
        <w:tabs>
          <w:tab w:val="left" w:pos="709"/>
        </w:tabs>
        <w:spacing w:after="0" w:line="480" w:lineRule="auto"/>
        <w:jc w:val="center"/>
      </w:pPr>
      <w:r>
        <w:t xml:space="preserve">Type 55BE. </w:t>
      </w:r>
    </w:p>
    <w:p w14:paraId="14E42849" w14:textId="77777777" w:rsidR="001B6483" w:rsidRDefault="00841BD9" w:rsidP="00841BD9">
      <w:pPr>
        <w:tabs>
          <w:tab w:val="left" w:pos="709"/>
        </w:tabs>
        <w:spacing w:after="0" w:line="480" w:lineRule="auto"/>
        <w:jc w:val="center"/>
      </w:pPr>
      <w:r>
        <w:t>Oupeye, collection Daniel Droixhe et Alice Piette.</w:t>
      </w:r>
      <w:r w:rsidR="001B6483">
        <w:t xml:space="preserve"> </w:t>
      </w:r>
    </w:p>
    <w:p w14:paraId="46AC9C62" w14:textId="4FCD5FE1" w:rsidR="00841BD9" w:rsidRPr="00841BD9" w:rsidRDefault="001B6483" w:rsidP="00841BD9">
      <w:pPr>
        <w:tabs>
          <w:tab w:val="left" w:pos="709"/>
        </w:tabs>
        <w:spacing w:after="0" w:line="480" w:lineRule="auto"/>
        <w:jc w:val="center"/>
      </w:pPr>
      <w:r>
        <w:t xml:space="preserve">De la collection du peintre William Marlow (1740, Londres-1813). </w:t>
      </w:r>
    </w:p>
    <w:bookmarkEnd w:id="0"/>
    <w:p w14:paraId="4938520C" w14:textId="346EC2A6" w:rsidR="00CC31B8" w:rsidRPr="00CC31B8" w:rsidRDefault="00CC31B8" w:rsidP="00CC31B8">
      <w:pPr>
        <w:tabs>
          <w:tab w:val="left" w:pos="709"/>
        </w:tabs>
        <w:spacing w:after="0" w:line="480" w:lineRule="auto"/>
        <w:jc w:val="center"/>
      </w:pPr>
      <w:r>
        <w:t>*</w:t>
      </w:r>
    </w:p>
    <w:p w14:paraId="55E3086A" w14:textId="5468F7A7" w:rsidR="009463C0" w:rsidRPr="009463C0" w:rsidRDefault="009463C0" w:rsidP="009463C0">
      <w:pPr>
        <w:tabs>
          <w:tab w:val="left" w:pos="709"/>
        </w:tabs>
        <w:spacing w:after="0" w:line="480" w:lineRule="auto"/>
        <w:ind w:left="709"/>
        <w:rPr>
          <w:b/>
        </w:rPr>
      </w:pPr>
      <w:r w:rsidRPr="009463C0">
        <w:rPr>
          <w:b/>
        </w:rPr>
        <w:t xml:space="preserve">L’imprimeur de Œ64R :  Étienne-Vincent Machuel ou Louis-Joseph Oursel ? </w:t>
      </w:r>
    </w:p>
    <w:p w14:paraId="2C416E39" w14:textId="0D1B9077" w:rsidR="00F05FD2" w:rsidRDefault="00DE5088" w:rsidP="00A06691">
      <w:pPr>
        <w:tabs>
          <w:tab w:val="left" w:pos="709"/>
        </w:tabs>
        <w:spacing w:after="0" w:line="480" w:lineRule="auto"/>
      </w:pPr>
      <w:r>
        <w:tab/>
      </w:r>
      <w:r w:rsidR="005075E4">
        <w:t xml:space="preserve">Tout </w:t>
      </w:r>
      <w:r w:rsidR="009463C0">
        <w:t>ce qui précède</w:t>
      </w:r>
      <w:r w:rsidR="005075E4">
        <w:t xml:space="preserve"> suggère</w:t>
      </w:r>
      <w:r w:rsidR="00A06691">
        <w:t xml:space="preserve"> d’abord</w:t>
      </w:r>
      <w:r w:rsidR="005075E4">
        <w:t xml:space="preserve"> que l’édition 52B a été tirée de l’édition des œuvres de Voltaire publiée à Rouen par Robert Machuel de 1750 à 1751/1752 telle que décrite par Smith et Brown. </w:t>
      </w:r>
      <w:r w:rsidR="00A06691">
        <w:t xml:space="preserve">La possibilité s’inscrit dans une hypothèse plus large, qui s’étend dans le temps vers le type Œ64R/7 et même jusqu’à la contrefaçon de 1770 avec l’adresse ‘A Berlin, Chez M. Sansouci’, </w:t>
      </w:r>
      <w:r w:rsidR="00067E6C">
        <w:t>laquelle</w:t>
      </w:r>
      <w:r w:rsidR="00A06691">
        <w:t xml:space="preserve"> apparaît attachée depuis le milieu du siècle à la contrefaçon rouennaise. </w:t>
      </w:r>
    </w:p>
    <w:p w14:paraId="0FAA9524" w14:textId="571583C8" w:rsidR="00A06691" w:rsidRDefault="00067E6C" w:rsidP="00A06691">
      <w:pPr>
        <w:tabs>
          <w:tab w:val="left" w:pos="709"/>
        </w:tabs>
        <w:spacing w:after="0" w:line="480" w:lineRule="auto"/>
      </w:pPr>
      <w:r>
        <w:tab/>
      </w:r>
      <w:r w:rsidR="00A06691">
        <w:t xml:space="preserve">Smith et Brown ont eu la bonne idée de reproduire des ornements gravés figurant dans le premier tome des </w:t>
      </w:r>
      <w:r w:rsidR="00A06691">
        <w:rPr>
          <w:i/>
        </w:rPr>
        <w:t xml:space="preserve">Œuvres </w:t>
      </w:r>
      <w:r w:rsidR="00A06691">
        <w:t xml:space="preserve">de Voltaire de 1750-1751/1752. </w:t>
      </w:r>
      <w:r w:rsidR="003B5592">
        <w:t xml:space="preserve">Le bandeau n° 20 </w:t>
      </w:r>
      <w:r w:rsidR="004E102D">
        <w:t xml:space="preserve">[B1] est caractérisé comme ‘bandeau rectangulaire encadré : arbuste avec 3 fleurs entourées de feuillage – 21 x 73 mm’. Il figure en 1772 dans une contrefaçon </w:t>
      </w:r>
      <w:r w:rsidR="004E102D" w:rsidRPr="004E102D">
        <w:t xml:space="preserve">des </w:t>
      </w:r>
      <w:r w:rsidR="004E102D" w:rsidRPr="004E102D">
        <w:rPr>
          <w:i/>
        </w:rPr>
        <w:t xml:space="preserve">Mémoires et anecdotes d’un homme de qualité </w:t>
      </w:r>
      <w:r w:rsidR="004E102D" w:rsidRPr="004E102D">
        <w:t xml:space="preserve">de l’abbé Prévost </w:t>
      </w:r>
      <w:r w:rsidR="004E102D">
        <w:t>imprimée en 1775</w:t>
      </w:r>
      <w:r w:rsidR="004E102D" w:rsidRPr="004E102D">
        <w:t xml:space="preserve"> par Oursel pour Machuel (figure </w:t>
      </w:r>
      <w:r>
        <w:t>17</w:t>
      </w:r>
      <w:r w:rsidR="004E102D" w:rsidRPr="004E102D">
        <w:t>).</w:t>
      </w:r>
    </w:p>
    <w:p w14:paraId="611A71AE" w14:textId="5A5ECF44" w:rsidR="004E102D" w:rsidRDefault="004E102D" w:rsidP="004E102D">
      <w:pPr>
        <w:tabs>
          <w:tab w:val="left" w:pos="709"/>
        </w:tabs>
        <w:spacing w:after="0" w:line="480" w:lineRule="auto"/>
        <w:jc w:val="center"/>
      </w:pPr>
      <w:r w:rsidRPr="00BE3461">
        <w:rPr>
          <w:smallCaps/>
          <w:noProof/>
          <w:lang w:eastAsia="fr-BE"/>
        </w:rPr>
        <w:drawing>
          <wp:inline distT="0" distB="0" distL="0" distR="0" wp14:anchorId="02424471" wp14:editId="43485A46">
            <wp:extent cx="4511431" cy="1425063"/>
            <wp:effectExtent l="0" t="0" r="3810" b="381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511431" cy="1425063"/>
                    </a:xfrm>
                    <a:prstGeom prst="rect">
                      <a:avLst/>
                    </a:prstGeom>
                  </pic:spPr>
                </pic:pic>
              </a:graphicData>
            </a:graphic>
          </wp:inline>
        </w:drawing>
      </w:r>
    </w:p>
    <w:p w14:paraId="1D858CCF" w14:textId="697AE9C9" w:rsidR="004E102D" w:rsidRDefault="004E102D" w:rsidP="004E102D">
      <w:pPr>
        <w:tabs>
          <w:tab w:val="left" w:pos="709"/>
        </w:tabs>
        <w:spacing w:after="0" w:line="480" w:lineRule="auto"/>
        <w:jc w:val="center"/>
      </w:pPr>
      <w:r>
        <w:t>Figure</w:t>
      </w:r>
      <w:r w:rsidR="00067E6C">
        <w:t xml:space="preserve"> 17</w:t>
      </w:r>
      <w:r>
        <w:t>.</w:t>
      </w:r>
    </w:p>
    <w:p w14:paraId="0A1A32F7" w14:textId="7992B481" w:rsidR="004E4B6E" w:rsidRDefault="00067E6C" w:rsidP="00067E6C">
      <w:pPr>
        <w:tabs>
          <w:tab w:val="left" w:pos="709"/>
        </w:tabs>
        <w:spacing w:after="0" w:line="480" w:lineRule="auto"/>
        <w:jc w:val="center"/>
        <w:rPr>
          <w:noProof/>
          <w:lang w:eastAsia="fr-BE"/>
        </w:rPr>
      </w:pPr>
      <w:r>
        <w:t>Œ50, n° 20 [B1]</w:t>
      </w:r>
      <w:r w:rsidR="004E4B6E">
        <w:t xml:space="preserve">. </w:t>
      </w:r>
      <w:r w:rsidR="00FC22DE">
        <w:rPr>
          <w:noProof/>
          <w:lang w:eastAsia="fr-BE"/>
        </w:rPr>
        <w:t xml:space="preserve">Abbé </w:t>
      </w:r>
      <w:r w:rsidR="00FC22DE" w:rsidRPr="001D4FFB">
        <w:rPr>
          <w:noProof/>
          <w:lang w:eastAsia="fr-BE"/>
        </w:rPr>
        <w:t xml:space="preserve">Prévost, </w:t>
      </w:r>
      <w:r w:rsidR="00FC22DE" w:rsidRPr="001D4FFB">
        <w:rPr>
          <w:i/>
          <w:noProof/>
          <w:lang w:eastAsia="fr-BE"/>
        </w:rPr>
        <w:t xml:space="preserve">Mémoires et aventures d’un homme de qualité, </w:t>
      </w:r>
      <w:r w:rsidR="00FC22DE" w:rsidRPr="001D4FFB">
        <w:rPr>
          <w:noProof/>
          <w:lang w:eastAsia="fr-BE"/>
        </w:rPr>
        <w:t>A La Haye, Chez M. G. Merville &amp; J. Vander Kloot, Libraires, 1775</w:t>
      </w:r>
      <w:r w:rsidR="00405C29">
        <w:rPr>
          <w:noProof/>
          <w:lang w:eastAsia="fr-BE"/>
        </w:rPr>
        <w:t>, I</w:t>
      </w:r>
      <w:r w:rsidR="00FC22DE">
        <w:rPr>
          <w:noProof/>
          <w:lang w:eastAsia="fr-BE"/>
        </w:rPr>
        <w:t>,</w:t>
      </w:r>
      <w:r w:rsidR="00FC22DE" w:rsidRPr="001D4FFB">
        <w:rPr>
          <w:noProof/>
          <w:lang w:eastAsia="fr-BE"/>
        </w:rPr>
        <w:t xml:space="preserve"> p. </w:t>
      </w:r>
      <w:r w:rsidR="00FC22DE">
        <w:rPr>
          <w:noProof/>
          <w:lang w:eastAsia="fr-BE"/>
        </w:rPr>
        <w:t>[96]</w:t>
      </w:r>
      <w:r w:rsidR="00FC22DE">
        <w:rPr>
          <w:rStyle w:val="Appelnotedebasdep"/>
          <w:noProof/>
          <w:lang w:eastAsia="fr-BE"/>
        </w:rPr>
        <w:footnoteReference w:id="35"/>
      </w:r>
      <w:r w:rsidR="00FC22DE">
        <w:rPr>
          <w:noProof/>
          <w:lang w:eastAsia="fr-BE"/>
        </w:rPr>
        <w:t>.</w:t>
      </w:r>
    </w:p>
    <w:p w14:paraId="14CCEFE1" w14:textId="6215AD45" w:rsidR="005075E4" w:rsidRDefault="004E4B6E" w:rsidP="0055470D">
      <w:pPr>
        <w:tabs>
          <w:tab w:val="left" w:pos="709"/>
        </w:tabs>
        <w:spacing w:after="0" w:line="480" w:lineRule="auto"/>
      </w:pPr>
      <w:r>
        <w:tab/>
      </w:r>
      <w:r w:rsidR="00405C29">
        <w:t xml:space="preserve">Le cul-de-lampe </w:t>
      </w:r>
      <w:r w:rsidR="003B5592">
        <w:t xml:space="preserve">n° 22 </w:t>
      </w:r>
      <w:r w:rsidR="00405C29">
        <w:t xml:space="preserve">[C5] </w:t>
      </w:r>
      <w:r w:rsidR="003B5592">
        <w:t xml:space="preserve">est caractérisé comme ‘baldaquin entouré de feuillage – 30 x 48 mm.’. Il </w:t>
      </w:r>
      <w:r w:rsidR="00405C29">
        <w:t xml:space="preserve">ressemble beaucoup à une vignette tirée de la même édition de l’abbé Prévost (figure </w:t>
      </w:r>
      <w:r w:rsidR="00067E6C">
        <w:t>18</w:t>
      </w:r>
      <w:r w:rsidR="00405C29">
        <w:t xml:space="preserve">). </w:t>
      </w:r>
      <w:r w:rsidR="003B5592">
        <w:t xml:space="preserve">Il en va de même du cul-de-lampe n° 28 [C3], caractérisé par une ‘coquille au-dessus d’un baldaquin entourée de feuillage – 31 x 42 mm’, qui correspond à une vignette figurant également dans les </w:t>
      </w:r>
      <w:r w:rsidR="003B5592">
        <w:rPr>
          <w:i/>
        </w:rPr>
        <w:t xml:space="preserve">Lettres d’une Péruvienne </w:t>
      </w:r>
      <w:r w:rsidR="003B5592">
        <w:t xml:space="preserve">de Mme de Graffigny parue en </w:t>
      </w:r>
      <w:r w:rsidR="00E10F41">
        <w:t>1775 avec l’adresse ‘A Amsterdam, Aux dépens du Délaissé’ – autre adresse significativement empruntée par Machuel</w:t>
      </w:r>
      <w:r w:rsidR="00067E6C">
        <w:t xml:space="preserve"> (figure 19)</w:t>
      </w:r>
      <w:r w:rsidR="00E10F41">
        <w:t>.</w:t>
      </w:r>
    </w:p>
    <w:p w14:paraId="716FB980" w14:textId="77777777" w:rsidR="004E4B6E" w:rsidRPr="003B5592" w:rsidRDefault="00E73BF9" w:rsidP="0055470D">
      <w:pPr>
        <w:tabs>
          <w:tab w:val="left" w:pos="709"/>
        </w:tabs>
        <w:spacing w:after="0" w:line="480" w:lineRule="auto"/>
      </w:pPr>
      <w:r>
        <w:tab/>
      </w:r>
      <w:r w:rsidR="001A6C9B">
        <w:t xml:space="preserve"> </w:t>
      </w:r>
    </w:p>
    <w:tbl>
      <w:tblPr>
        <w:tblStyle w:val="Grilledutableau"/>
        <w:tblW w:w="0" w:type="auto"/>
        <w:tblLook w:val="04A0" w:firstRow="1" w:lastRow="0" w:firstColumn="1" w:lastColumn="0" w:noHBand="0" w:noVBand="1"/>
      </w:tblPr>
      <w:tblGrid>
        <w:gridCol w:w="9062"/>
      </w:tblGrid>
      <w:tr w:rsidR="004E4B6E" w14:paraId="76BC21AC" w14:textId="77777777" w:rsidTr="004E4B6E">
        <w:tc>
          <w:tcPr>
            <w:tcW w:w="9062" w:type="dxa"/>
          </w:tcPr>
          <w:p w14:paraId="05208F98" w14:textId="77777777" w:rsidR="004E4B6E" w:rsidRDefault="004E4B6E" w:rsidP="004E4B6E">
            <w:pPr>
              <w:tabs>
                <w:tab w:val="left" w:pos="709"/>
              </w:tabs>
              <w:spacing w:line="480" w:lineRule="auto"/>
              <w:jc w:val="center"/>
            </w:pPr>
            <w:r w:rsidRPr="00FD10BB">
              <w:rPr>
                <w:smallCaps/>
                <w:noProof/>
                <w:lang w:eastAsia="fr-BE"/>
              </w:rPr>
              <w:drawing>
                <wp:inline distT="0" distB="0" distL="0" distR="0" wp14:anchorId="4EFC8E4B" wp14:editId="49EBA8E4">
                  <wp:extent cx="2520000" cy="1556100"/>
                  <wp:effectExtent l="0" t="0" r="0" b="635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520000" cy="1556100"/>
                          </a:xfrm>
                          <a:prstGeom prst="rect">
                            <a:avLst/>
                          </a:prstGeom>
                        </pic:spPr>
                      </pic:pic>
                    </a:graphicData>
                  </a:graphic>
                </wp:inline>
              </w:drawing>
            </w:r>
          </w:p>
          <w:p w14:paraId="4FB1E572" w14:textId="65ED5626" w:rsidR="004E4B6E" w:rsidRDefault="004E4B6E" w:rsidP="004E4B6E">
            <w:pPr>
              <w:tabs>
                <w:tab w:val="left" w:pos="709"/>
              </w:tabs>
              <w:spacing w:line="480" w:lineRule="auto"/>
              <w:jc w:val="center"/>
            </w:pPr>
            <w:r>
              <w:t>Figure</w:t>
            </w:r>
            <w:r w:rsidR="00067E6C">
              <w:t xml:space="preserve"> 18</w:t>
            </w:r>
            <w:r>
              <w:t xml:space="preserve"> .</w:t>
            </w:r>
            <w:r>
              <w:br/>
              <w:t xml:space="preserve">Œ50, n° 22 [C5].  </w:t>
            </w:r>
            <w:r>
              <w:rPr>
                <w:noProof/>
                <w:lang w:eastAsia="fr-BE"/>
              </w:rPr>
              <w:t xml:space="preserve">Abbé </w:t>
            </w:r>
            <w:r w:rsidRPr="001D4FFB">
              <w:rPr>
                <w:noProof/>
                <w:lang w:eastAsia="fr-BE"/>
              </w:rPr>
              <w:t xml:space="preserve">Prévost, </w:t>
            </w:r>
            <w:r w:rsidRPr="001D4FFB">
              <w:rPr>
                <w:i/>
                <w:noProof/>
                <w:lang w:eastAsia="fr-BE"/>
              </w:rPr>
              <w:t xml:space="preserve">Mémoires et aventures d’un homme de qualité, </w:t>
            </w:r>
            <w:r w:rsidRPr="001D4FFB">
              <w:rPr>
                <w:noProof/>
                <w:lang w:eastAsia="fr-BE"/>
              </w:rPr>
              <w:t>A La Haye, Chez M. G. Merville &amp; J. Vander Kloot, Libraires, 1775</w:t>
            </w:r>
            <w:r>
              <w:rPr>
                <w:noProof/>
                <w:lang w:eastAsia="fr-BE"/>
              </w:rPr>
              <w:t>, I,</w:t>
            </w:r>
            <w:r>
              <w:t xml:space="preserve"> p. [340].</w:t>
            </w:r>
          </w:p>
        </w:tc>
      </w:tr>
      <w:tr w:rsidR="004E4B6E" w14:paraId="7812B8E7" w14:textId="77777777" w:rsidTr="004E4B6E">
        <w:tc>
          <w:tcPr>
            <w:tcW w:w="9062" w:type="dxa"/>
          </w:tcPr>
          <w:p w14:paraId="27D4678F" w14:textId="77777777" w:rsidR="004E4B6E" w:rsidRDefault="004E4B6E" w:rsidP="004E4B6E">
            <w:pPr>
              <w:tabs>
                <w:tab w:val="left" w:pos="709"/>
              </w:tabs>
              <w:spacing w:line="480" w:lineRule="auto"/>
              <w:jc w:val="center"/>
            </w:pPr>
            <w:r w:rsidRPr="00303B0D">
              <w:rPr>
                <w:smallCaps/>
                <w:noProof/>
                <w:lang w:eastAsia="fr-BE"/>
              </w:rPr>
              <w:drawing>
                <wp:inline distT="0" distB="0" distL="0" distR="0" wp14:anchorId="086E08AF" wp14:editId="004FCBB0">
                  <wp:extent cx="2520000" cy="1795944"/>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520000" cy="1795944"/>
                          </a:xfrm>
                          <a:prstGeom prst="rect">
                            <a:avLst/>
                          </a:prstGeom>
                        </pic:spPr>
                      </pic:pic>
                    </a:graphicData>
                  </a:graphic>
                </wp:inline>
              </w:drawing>
            </w:r>
          </w:p>
          <w:p w14:paraId="1A95A0BC" w14:textId="75496923" w:rsidR="004E4B6E" w:rsidRDefault="004E4B6E" w:rsidP="004E4B6E">
            <w:pPr>
              <w:tabs>
                <w:tab w:val="left" w:pos="709"/>
              </w:tabs>
              <w:spacing w:line="480" w:lineRule="auto"/>
              <w:jc w:val="center"/>
            </w:pPr>
            <w:r>
              <w:t>Figure</w:t>
            </w:r>
            <w:r w:rsidR="00067E6C">
              <w:t xml:space="preserve"> 19</w:t>
            </w:r>
            <w:r>
              <w:t>.</w:t>
            </w:r>
          </w:p>
          <w:p w14:paraId="2A64CCD4" w14:textId="281083DE" w:rsidR="004E4B6E" w:rsidRDefault="004E4B6E" w:rsidP="004E4B6E">
            <w:pPr>
              <w:tabs>
                <w:tab w:val="left" w:pos="709"/>
              </w:tabs>
              <w:spacing w:line="480" w:lineRule="auto"/>
              <w:jc w:val="center"/>
            </w:pPr>
            <w:r>
              <w:t xml:space="preserve">Œ50, n° 28 [C3]. </w:t>
            </w:r>
            <w:r>
              <w:rPr>
                <w:noProof/>
                <w:lang w:eastAsia="fr-BE"/>
              </w:rPr>
              <w:t xml:space="preserve">Abbé </w:t>
            </w:r>
            <w:r w:rsidRPr="001D4FFB">
              <w:rPr>
                <w:noProof/>
                <w:lang w:eastAsia="fr-BE"/>
              </w:rPr>
              <w:t xml:space="preserve">Prévost, </w:t>
            </w:r>
            <w:r w:rsidRPr="001D4FFB">
              <w:rPr>
                <w:i/>
                <w:noProof/>
                <w:lang w:eastAsia="fr-BE"/>
              </w:rPr>
              <w:t xml:space="preserve">Mémoires et aventures d’un homme de qualité, </w:t>
            </w:r>
            <w:r w:rsidRPr="001D4FFB">
              <w:rPr>
                <w:noProof/>
                <w:lang w:eastAsia="fr-BE"/>
              </w:rPr>
              <w:t>A La Haye, Chez M. G. Merville &amp; J. Vander Kloot, Libraires, 1775</w:t>
            </w:r>
            <w:r>
              <w:rPr>
                <w:noProof/>
                <w:lang w:eastAsia="fr-BE"/>
              </w:rPr>
              <w:t>, I,</w:t>
            </w:r>
            <w:r>
              <w:t xml:space="preserve"> p. 299. [Mme de Graffigny], </w:t>
            </w:r>
            <w:r>
              <w:rPr>
                <w:i/>
              </w:rPr>
              <w:t xml:space="preserve">Lettres d’une Péruvienne, </w:t>
            </w:r>
            <w:r>
              <w:t xml:space="preserve">A Amsterdam, Aux dépens du Délaissé, 1775, I, pp. 152, 197 ; II, p. 32. </w:t>
            </w:r>
          </w:p>
        </w:tc>
      </w:tr>
    </w:tbl>
    <w:p w14:paraId="75EB4137" w14:textId="057DBA88" w:rsidR="00405C29" w:rsidRDefault="00405C29" w:rsidP="0055470D">
      <w:pPr>
        <w:tabs>
          <w:tab w:val="left" w:pos="709"/>
        </w:tabs>
        <w:spacing w:after="0" w:line="480" w:lineRule="auto"/>
      </w:pPr>
    </w:p>
    <w:p w14:paraId="561671DB" w14:textId="2D5217E5" w:rsidR="001A6C9B" w:rsidRDefault="001A6C9B" w:rsidP="001A6C9B">
      <w:pPr>
        <w:tabs>
          <w:tab w:val="left" w:pos="709"/>
        </w:tabs>
        <w:spacing w:after="0" w:line="480" w:lineRule="auto"/>
      </w:pPr>
      <w:r w:rsidRPr="0046392D">
        <w:tab/>
      </w:r>
      <w:r w:rsidR="007C049F" w:rsidRPr="0046392D">
        <w:t xml:space="preserve">Si, comme le note Smith, le style typographique des pages de titre </w:t>
      </w:r>
      <w:r w:rsidR="00ED1280" w:rsidRPr="0046392D">
        <w:t xml:space="preserve">de Œ64R ‘est complètement différent de celui des publications de Robert Machuel’, des ornements gravés de Œ50 </w:t>
      </w:r>
      <w:r w:rsidR="0046392D">
        <w:t>semblent se retrouver à l’identique</w:t>
      </w:r>
      <w:r w:rsidR="00ED1280" w:rsidRPr="0046392D">
        <w:t xml:space="preserve"> dans les années 1770</w:t>
      </w:r>
      <w:r w:rsidR="0046392D">
        <w:t xml:space="preserve"> chez Oursel,</w:t>
      </w:r>
      <w:r w:rsidR="00ED1280" w:rsidRPr="0046392D">
        <w:t xml:space="preserve"> au-delà </w:t>
      </w:r>
      <w:r w:rsidR="0046392D" w:rsidRPr="0046392D">
        <w:t>de Œ64R.</w:t>
      </w:r>
      <w:r w:rsidR="0046392D" w:rsidRPr="0046392D">
        <w:rPr>
          <w:rStyle w:val="Appelnotedebasdep"/>
        </w:rPr>
        <w:footnoteReference w:id="36"/>
      </w:r>
      <w:r w:rsidR="0046392D">
        <w:t xml:space="preserve"> On peut en déduire qu’Oursel avait utilisé une partie du matériel de Robert dans l’impression de  l’</w:t>
      </w:r>
      <w:r w:rsidR="0046392D">
        <w:rPr>
          <w:i/>
        </w:rPr>
        <w:t xml:space="preserve">Histoire de Charles XII </w:t>
      </w:r>
      <w:r w:rsidR="0046392D">
        <w:t xml:space="preserve">en 1770, réalisée à nouveaux frais. Mais qu’en est-il du tome </w:t>
      </w:r>
      <w:r w:rsidR="00A65B07">
        <w:t>VII</w:t>
      </w:r>
      <w:r w:rsidR="0046392D">
        <w:t xml:space="preserve"> de </w:t>
      </w:r>
      <w:r w:rsidR="0046392D" w:rsidRPr="0046392D">
        <w:t>Œ64R</w:t>
      </w:r>
      <w:r w:rsidR="0046392D">
        <w:t xml:space="preserve"> ? </w:t>
      </w:r>
    </w:p>
    <w:p w14:paraId="5AF16F12" w14:textId="0CE36E79" w:rsidR="004B2183" w:rsidRDefault="004B2183" w:rsidP="004B2183">
      <w:pPr>
        <w:tabs>
          <w:tab w:val="left" w:pos="709"/>
        </w:tabs>
        <w:spacing w:after="0" w:line="480" w:lineRule="auto"/>
      </w:pPr>
      <w:r>
        <w:tab/>
        <w:t>On sait que D. S</w:t>
      </w:r>
      <w:r w:rsidR="00A65B07">
        <w:t xml:space="preserve">mith a avancé, </w:t>
      </w:r>
      <w:r>
        <w:t>à propos de l’édition supprimée de 1748</w:t>
      </w:r>
      <w:r w:rsidR="00A65B07">
        <w:t xml:space="preserve">, </w:t>
      </w:r>
      <w:r>
        <w:t>une hypothèse audacieuse. Hypothèse, écrit-il,</w:t>
      </w:r>
      <w:r w:rsidRPr="00466C76">
        <w:t xml:space="preserve"> ‘à prem</w:t>
      </w:r>
      <w:r>
        <w:t>ière vue assez invraisemblable’</w:t>
      </w:r>
      <w:r w:rsidRPr="00466C76">
        <w:t xml:space="preserve"> selon laquelle </w:t>
      </w:r>
      <w:r>
        <w:t>la</w:t>
      </w:r>
      <w:r w:rsidRPr="00466C76">
        <w:t xml:space="preserve"> </w:t>
      </w:r>
      <w:r w:rsidRPr="00466C76">
        <w:rPr>
          <w:i/>
        </w:rPr>
        <w:t>Collection complete</w:t>
      </w:r>
      <w:r>
        <w:rPr>
          <w:i/>
        </w:rPr>
        <w:t xml:space="preserve"> </w:t>
      </w:r>
      <w:r>
        <w:t xml:space="preserve">de 1764 </w:t>
      </w:r>
      <w:r w:rsidRPr="00466C76">
        <w:t>contiendrait ‘les volumes disparus de l’édition supprimée de 1748 (Œ48R)’</w:t>
      </w:r>
      <w:r>
        <w:t xml:space="preserve">. Robert Machuel avait imprimé cette dernière ‘en </w:t>
      </w:r>
      <w:r w:rsidRPr="00466C76">
        <w:t>1250 exemplaires, ce qui représentait un investissement considérable’.</w:t>
      </w:r>
      <w:r>
        <w:t xml:space="preserve"> En dé</w:t>
      </w:r>
      <w:r w:rsidRPr="00466C76">
        <w:t xml:space="preserve">pit de l’accord conclu en 1749 avec Cideville, </w:t>
      </w:r>
      <w:r>
        <w:t>qui représentait</w:t>
      </w:r>
      <w:r w:rsidRPr="00466C76">
        <w:t xml:space="preserve"> Voltaire et </w:t>
      </w:r>
      <w:r>
        <w:t xml:space="preserve">les autorités, certains volumes auraient été conservés dans l’attente du moment où se présenterait une ‘occasion favorable’. C’est ainsi que, seize ans plus </w:t>
      </w:r>
      <w:r w:rsidRPr="00466C76">
        <w:t>tard, l’ac</w:t>
      </w:r>
      <w:r>
        <w:t>heteur du stock de Robert Machuel, ‘</w:t>
      </w:r>
      <w:r w:rsidRPr="00466C76">
        <w:t xml:space="preserve">ayant décidé de publier une nouvelle édition des </w:t>
      </w:r>
      <w:r w:rsidRPr="00466C76">
        <w:rPr>
          <w:i/>
        </w:rPr>
        <w:t xml:space="preserve">Œuvres </w:t>
      </w:r>
      <w:r>
        <w:t xml:space="preserve">de Voltaire’, aurait remis à profit Œ48R. Smith conclut comme suit une démonstration exemplaire : ‘Bref, les dates du papier, les indications de l’accord Cideville-Machuel, les témoignages de Voltaire et de Mme de Graffigny sur le contenu de </w:t>
      </w:r>
      <w:r w:rsidRPr="00466C76">
        <w:t>Œ48R</w:t>
      </w:r>
      <w:r>
        <w:t xml:space="preserve">, les références internes d’un volume à l’autre, enfin l’existence d’une émission séparée d’au moins un des volumes de </w:t>
      </w:r>
      <w:r w:rsidRPr="00466C76">
        <w:t>Œ48R</w:t>
      </w:r>
      <w:r>
        <w:t xml:space="preserve">, tout concourt à démontrer que, même si nous n’avons encore pu trouver un seul volume de </w:t>
      </w:r>
      <w:r w:rsidRPr="00466C76">
        <w:t>Œ48R</w:t>
      </w:r>
      <w:r>
        <w:t xml:space="preserve"> portant une page de titre datée de 1748, les tomes I-VI (sauf deux sections de la deuxième partie du tome III), IX et XII-XIV de Œ64R doivent y être identiques, à quelques pages près’.</w:t>
      </w:r>
    </w:p>
    <w:p w14:paraId="04834336" w14:textId="2EA43B61" w:rsidR="00C239FD" w:rsidRDefault="00D40269" w:rsidP="00AE6D22">
      <w:pPr>
        <w:tabs>
          <w:tab w:val="left" w:pos="709"/>
        </w:tabs>
        <w:spacing w:after="0" w:line="480" w:lineRule="auto"/>
      </w:pPr>
      <w:r>
        <w:tab/>
        <w:t xml:space="preserve">On n’aura pas manqué de remarquer que le tome VII de Œ64R qui contient </w:t>
      </w:r>
      <w:r w:rsidRPr="00D40269">
        <w:rPr>
          <w:i/>
        </w:rPr>
        <w:t>l’</w:t>
      </w:r>
      <w:r>
        <w:rPr>
          <w:i/>
        </w:rPr>
        <w:t xml:space="preserve">Histoire de Charles XII </w:t>
      </w:r>
      <w:r w:rsidRPr="00D40269">
        <w:t>ne</w:t>
      </w:r>
      <w:r>
        <w:t xml:space="preserve"> figure pas parmi les volumes susceptibles d’un réemploi à partir de </w:t>
      </w:r>
      <w:r w:rsidRPr="00466C76">
        <w:t>Œ48R</w:t>
      </w:r>
      <w:r>
        <w:t xml:space="preserve">. On supposerait donc que l’imprimeur a en l’occurrence réutilisé le matériel ornemental de Robert Machuel, ce qui signifierait que cet imprimeur soit Oursel puisqu’on retrouve plus tard ce matériel dans ses casses. Smith rappelle que Robert meurt en 1765 mais que ‘depuis 1952 il ne pratiquait plus son matier de libraire-imprimeur’. </w:t>
      </w:r>
      <w:r w:rsidR="00C239FD" w:rsidRPr="00AE6D22">
        <w:t>Par contre, ‘son frère Étienne-Vincent, imprimeur de 1752 à 1781, était le seul membre de la famille à exercer ce métier’. ‘Avançons l’hypothèse plausible’, conclut Smith, ‘qu’Étienne-Vincent acquit le matériel de Robert et que Pierre obtint son stock’.</w:t>
      </w:r>
    </w:p>
    <w:p w14:paraId="3AB626AA" w14:textId="232270A7" w:rsidR="00C239FD" w:rsidRPr="00AE6D22" w:rsidRDefault="00AE6D22" w:rsidP="00AE6D22">
      <w:pPr>
        <w:tabs>
          <w:tab w:val="left" w:pos="709"/>
        </w:tabs>
        <w:spacing w:after="0" w:line="480" w:lineRule="auto"/>
      </w:pPr>
      <w:r>
        <w:tab/>
      </w:r>
      <w:r w:rsidRPr="00AE6D22">
        <w:t xml:space="preserve">Smith convient qu’un élément perturbe quelque peu l’hypothèse : </w:t>
      </w:r>
      <w:r w:rsidR="00C239FD" w:rsidRPr="00AE6D22">
        <w:t xml:space="preserve"> ‘on trouve les ornements des quatre éditions dues à Robert Machuel sur les différentes pages de titre des huit volumes du </w:t>
      </w:r>
      <w:r w:rsidR="00C239FD" w:rsidRPr="00AE6D22">
        <w:rPr>
          <w:i/>
        </w:rPr>
        <w:t xml:space="preserve">Paysan parvenu, ou les mémoires de M. *** </w:t>
      </w:r>
      <w:r w:rsidR="00C239FD" w:rsidRPr="00AE6D22">
        <w:t>de Marivaux, publiés ‘à Rouen, Chez Pierre Machuel, rue Ganterie, Hôtel S. Wandrille, 1782, avec permission’’</w:t>
      </w:r>
      <w:r w:rsidR="00C239FD" w:rsidRPr="00FA0116">
        <w:rPr>
          <w:color w:val="FF0000"/>
        </w:rPr>
        <w:t xml:space="preserve">. </w:t>
      </w:r>
      <w:r w:rsidRPr="00AE6D22">
        <w:t>Deux de ces vignettes gravées sont celles qu’on a retrouvées dans les impressions Oursel de l’</w:t>
      </w:r>
      <w:r w:rsidRPr="00AE6D22">
        <w:rPr>
          <w:noProof/>
          <w:lang w:eastAsia="fr-BE"/>
        </w:rPr>
        <w:t xml:space="preserve">abbé Prévost et de Madame de Graffigny, comme vu ci-dessus. </w:t>
      </w:r>
      <w:r>
        <w:rPr>
          <w:noProof/>
          <w:lang w:eastAsia="fr-BE"/>
        </w:rPr>
        <w:t xml:space="preserve">En faut-il beaucoup plus pour se persuader que </w:t>
      </w:r>
      <w:r w:rsidR="00A65B07">
        <w:rPr>
          <w:noProof/>
          <w:lang w:eastAsia="fr-BE"/>
        </w:rPr>
        <w:t>l</w:t>
      </w:r>
      <w:r>
        <w:rPr>
          <w:noProof/>
          <w:lang w:eastAsia="fr-BE"/>
        </w:rPr>
        <w:t xml:space="preserve">es </w:t>
      </w:r>
      <w:r>
        <w:rPr>
          <w:i/>
          <w:noProof/>
          <w:lang w:eastAsia="fr-BE"/>
        </w:rPr>
        <w:t xml:space="preserve">Œuvres </w:t>
      </w:r>
      <w:r>
        <w:rPr>
          <w:noProof/>
          <w:lang w:eastAsia="fr-BE"/>
        </w:rPr>
        <w:t>de Voltaire de 1765</w:t>
      </w:r>
      <w:r w:rsidR="00A65B07">
        <w:rPr>
          <w:noProof/>
          <w:lang w:eastAsia="fr-BE"/>
        </w:rPr>
        <w:t>, considérée</w:t>
      </w:r>
      <w:r>
        <w:rPr>
          <w:noProof/>
          <w:lang w:eastAsia="fr-BE"/>
        </w:rPr>
        <w:t xml:space="preserve">s comme rouennaises et </w:t>
      </w:r>
      <w:r w:rsidR="00A65B07">
        <w:rPr>
          <w:noProof/>
          <w:lang w:eastAsia="fr-BE"/>
        </w:rPr>
        <w:t>liées aux entreprises des</w:t>
      </w:r>
      <w:r>
        <w:rPr>
          <w:noProof/>
          <w:lang w:eastAsia="fr-BE"/>
        </w:rPr>
        <w:t xml:space="preserve"> Machuel, furent </w:t>
      </w:r>
      <w:r w:rsidR="00A65B07">
        <w:rPr>
          <w:noProof/>
          <w:lang w:eastAsia="fr-BE"/>
        </w:rPr>
        <w:t>au moins en partie</w:t>
      </w:r>
      <w:r>
        <w:rPr>
          <w:noProof/>
          <w:lang w:eastAsia="fr-BE"/>
        </w:rPr>
        <w:t xml:space="preserve"> imprimées, dès cette époque, par Louis-Joseph Oursel ?  </w:t>
      </w:r>
    </w:p>
    <w:p w14:paraId="00998343" w14:textId="77777777" w:rsidR="00C239FD" w:rsidRPr="00FA0116" w:rsidRDefault="00C239FD" w:rsidP="00C239FD">
      <w:pPr>
        <w:tabs>
          <w:tab w:val="left" w:pos="709"/>
        </w:tabs>
        <w:spacing w:after="0" w:line="480" w:lineRule="auto"/>
        <w:rPr>
          <w:color w:val="FF0000"/>
          <w:vertAlign w:val="superscript"/>
        </w:rPr>
      </w:pPr>
      <w:r w:rsidRPr="00FA0116">
        <w:rPr>
          <w:color w:val="FF0000"/>
        </w:rPr>
        <w:tab/>
      </w:r>
    </w:p>
    <w:p w14:paraId="1C4D4921" w14:textId="77777777" w:rsidR="00C239FD" w:rsidRPr="00FA0116" w:rsidRDefault="00C239FD" w:rsidP="00C239FD">
      <w:pPr>
        <w:tabs>
          <w:tab w:val="left" w:pos="709"/>
        </w:tabs>
        <w:spacing w:after="0"/>
        <w:rPr>
          <w:color w:val="FF0000"/>
        </w:rPr>
      </w:pPr>
    </w:p>
    <w:p w14:paraId="5BFB3BC6" w14:textId="77777777" w:rsidR="00C239FD" w:rsidRPr="00FA0116" w:rsidRDefault="00C239FD" w:rsidP="00C239FD">
      <w:pPr>
        <w:tabs>
          <w:tab w:val="left" w:pos="709"/>
        </w:tabs>
        <w:spacing w:after="0"/>
        <w:rPr>
          <w:color w:val="FF0000"/>
        </w:rPr>
      </w:pPr>
    </w:p>
    <w:p w14:paraId="2210867B" w14:textId="35C08D2E" w:rsidR="009A0DC9" w:rsidRDefault="009A0DC9" w:rsidP="0055470D">
      <w:pPr>
        <w:tabs>
          <w:tab w:val="left" w:pos="709"/>
        </w:tabs>
        <w:spacing w:after="0" w:line="480" w:lineRule="auto"/>
      </w:pPr>
    </w:p>
    <w:p w14:paraId="73B6ED91" w14:textId="4C059112" w:rsidR="009A0DC9" w:rsidRDefault="009A0DC9" w:rsidP="0055470D">
      <w:pPr>
        <w:tabs>
          <w:tab w:val="left" w:pos="709"/>
        </w:tabs>
        <w:spacing w:after="0" w:line="480" w:lineRule="auto"/>
      </w:pPr>
    </w:p>
    <w:p w14:paraId="02D8B602" w14:textId="7584EDA8" w:rsidR="009A0DC9" w:rsidRPr="0090021B" w:rsidRDefault="009A0DC9" w:rsidP="0055470D">
      <w:pPr>
        <w:tabs>
          <w:tab w:val="left" w:pos="709"/>
        </w:tabs>
        <w:spacing w:after="0" w:line="480" w:lineRule="auto"/>
      </w:pPr>
    </w:p>
    <w:sectPr w:rsidR="009A0DC9" w:rsidRPr="0090021B" w:rsidSect="00C3579D">
      <w:headerReference w:type="even" r:id="rId29"/>
      <w:headerReference w:type="default" r:id="rId30"/>
      <w:footerReference w:type="even" r:id="rId31"/>
      <w:footerReference w:type="default" r:id="rId32"/>
      <w:headerReference w:type="first" r:id="rId33"/>
      <w:footerReference w:type="first" r:id="rId34"/>
      <w:pgSz w:w="11906" w:h="16838"/>
      <w:pgMar w:top="1417" w:right="1417" w:bottom="1417" w:left="1417"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CB8730" w14:textId="77777777" w:rsidR="0075051E" w:rsidRDefault="0075051E" w:rsidP="00900EE5">
      <w:pPr>
        <w:spacing w:after="0" w:line="240" w:lineRule="auto"/>
      </w:pPr>
      <w:r>
        <w:separator/>
      </w:r>
    </w:p>
  </w:endnote>
  <w:endnote w:type="continuationSeparator" w:id="0">
    <w:p w14:paraId="69D775B8" w14:textId="77777777" w:rsidR="0075051E" w:rsidRDefault="0075051E" w:rsidP="00900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D1A82" w14:textId="77777777" w:rsidR="00405C29" w:rsidRDefault="00405C29">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1332BB" w14:textId="77777777" w:rsidR="00405C29" w:rsidRDefault="00405C29">
    <w:pPr>
      <w:pStyle w:val="Pieddepag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A4C9E" w14:textId="77777777" w:rsidR="00405C29" w:rsidRDefault="00405C29">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77A6E6" w14:textId="77777777" w:rsidR="0075051E" w:rsidRDefault="0075051E" w:rsidP="00900EE5">
      <w:pPr>
        <w:spacing w:after="0" w:line="240" w:lineRule="auto"/>
      </w:pPr>
      <w:r>
        <w:separator/>
      </w:r>
    </w:p>
  </w:footnote>
  <w:footnote w:type="continuationSeparator" w:id="0">
    <w:p w14:paraId="4D634BB5" w14:textId="77777777" w:rsidR="0075051E" w:rsidRDefault="0075051E" w:rsidP="00900EE5">
      <w:pPr>
        <w:spacing w:after="0" w:line="240" w:lineRule="auto"/>
      </w:pPr>
      <w:r>
        <w:continuationSeparator/>
      </w:r>
    </w:p>
  </w:footnote>
  <w:footnote w:id="1">
    <w:p w14:paraId="7E6078B1" w14:textId="7FAD0600" w:rsidR="00405C29" w:rsidRPr="00244C7D" w:rsidRDefault="00405C29" w:rsidP="005515BA">
      <w:pPr>
        <w:pStyle w:val="Notedebasdepage"/>
        <w:spacing w:line="480" w:lineRule="auto"/>
        <w:rPr>
          <w:sz w:val="28"/>
          <w:szCs w:val="28"/>
        </w:rPr>
      </w:pPr>
      <w:r>
        <w:rPr>
          <w:rStyle w:val="Appelnotedebasdep"/>
        </w:rPr>
        <w:footnoteRef/>
      </w:r>
      <w:r>
        <w:t xml:space="preserve"> </w:t>
      </w:r>
      <w:r w:rsidRPr="00402107">
        <w:rPr>
          <w:sz w:val="28"/>
          <w:szCs w:val="28"/>
        </w:rPr>
        <w:t xml:space="preserve">Voltaire, </w:t>
      </w:r>
      <w:r w:rsidRPr="00402107">
        <w:rPr>
          <w:i/>
          <w:sz w:val="28"/>
          <w:szCs w:val="28"/>
        </w:rPr>
        <w:t>Histoire de Charles XII,</w:t>
      </w:r>
      <w:r>
        <w:rPr>
          <w:sz w:val="28"/>
          <w:szCs w:val="28"/>
        </w:rPr>
        <w:t xml:space="preserve"> éd.</w:t>
      </w:r>
      <w:r w:rsidRPr="00402107">
        <w:rPr>
          <w:sz w:val="28"/>
          <w:szCs w:val="28"/>
        </w:rPr>
        <w:t xml:space="preserve"> par G</w:t>
      </w:r>
      <w:r>
        <w:rPr>
          <w:sz w:val="28"/>
          <w:szCs w:val="28"/>
        </w:rPr>
        <w:t xml:space="preserve">unnar von Proschwitz, </w:t>
      </w:r>
      <w:r w:rsidRPr="00402107">
        <w:rPr>
          <w:sz w:val="28"/>
          <w:szCs w:val="28"/>
        </w:rPr>
        <w:t>The Complete Works of Voltaire</w:t>
      </w:r>
      <w:r>
        <w:rPr>
          <w:sz w:val="28"/>
          <w:szCs w:val="28"/>
        </w:rPr>
        <w:t>,</w:t>
      </w:r>
      <w:r w:rsidRPr="00402107">
        <w:rPr>
          <w:sz w:val="28"/>
          <w:szCs w:val="28"/>
        </w:rPr>
        <w:t xml:space="preserve"> 4</w:t>
      </w:r>
      <w:r>
        <w:rPr>
          <w:sz w:val="28"/>
          <w:szCs w:val="28"/>
        </w:rPr>
        <w:t xml:space="preserve"> (Oxford: Voltaire Foundation, 1996),</w:t>
      </w:r>
      <w:r w:rsidRPr="00402107">
        <w:rPr>
          <w:sz w:val="28"/>
          <w:szCs w:val="28"/>
        </w:rPr>
        <w:t xml:space="preserve"> p</w:t>
      </w:r>
      <w:r>
        <w:rPr>
          <w:sz w:val="28"/>
          <w:szCs w:val="28"/>
        </w:rPr>
        <w:t>p</w:t>
      </w:r>
      <w:r w:rsidRPr="00402107">
        <w:rPr>
          <w:sz w:val="28"/>
          <w:szCs w:val="28"/>
        </w:rPr>
        <w:t>. 1 sv.</w:t>
      </w:r>
    </w:p>
  </w:footnote>
  <w:footnote w:id="2">
    <w:p w14:paraId="560318A8" w14:textId="77777777" w:rsidR="00405C29" w:rsidRPr="00244C7D" w:rsidRDefault="00405C29" w:rsidP="005515BA">
      <w:pPr>
        <w:pStyle w:val="Notedebasdepage"/>
        <w:spacing w:line="480" w:lineRule="auto"/>
        <w:rPr>
          <w:sz w:val="28"/>
          <w:szCs w:val="28"/>
        </w:rPr>
      </w:pPr>
      <w:r w:rsidRPr="00AF25A4">
        <w:rPr>
          <w:rStyle w:val="Appelnotedebasdep"/>
          <w:sz w:val="28"/>
          <w:szCs w:val="28"/>
        </w:rPr>
        <w:footnoteRef/>
      </w:r>
      <w:r w:rsidRPr="00AF25A4">
        <w:rPr>
          <w:sz w:val="28"/>
          <w:szCs w:val="28"/>
        </w:rPr>
        <w:t xml:space="preserve"> Voltaire/von Proschwitz,</w:t>
      </w:r>
      <w:r w:rsidRPr="00AF25A4">
        <w:rPr>
          <w:i/>
          <w:sz w:val="28"/>
          <w:szCs w:val="28"/>
        </w:rPr>
        <w:t xml:space="preserve"> </w:t>
      </w:r>
      <w:r w:rsidRPr="00AF25A4">
        <w:rPr>
          <w:sz w:val="28"/>
          <w:szCs w:val="28"/>
        </w:rPr>
        <w:t>pp. 8 sv.</w:t>
      </w:r>
      <w:r w:rsidRPr="00244C7D">
        <w:rPr>
          <w:sz w:val="28"/>
          <w:szCs w:val="28"/>
        </w:rPr>
        <w:t xml:space="preserve"> </w:t>
      </w:r>
    </w:p>
  </w:footnote>
  <w:footnote w:id="3">
    <w:p w14:paraId="4FD5D6B2" w14:textId="77777777" w:rsidR="00405C29" w:rsidRPr="00244C7D" w:rsidRDefault="00405C29" w:rsidP="005515BA">
      <w:pPr>
        <w:pStyle w:val="Notedebasdepage"/>
        <w:spacing w:line="480" w:lineRule="auto"/>
        <w:rPr>
          <w:sz w:val="28"/>
          <w:szCs w:val="28"/>
        </w:rPr>
      </w:pPr>
      <w:r w:rsidRPr="00244C7D">
        <w:rPr>
          <w:rStyle w:val="Appelnotedebasdep"/>
          <w:sz w:val="28"/>
          <w:szCs w:val="28"/>
        </w:rPr>
        <w:footnoteRef/>
      </w:r>
      <w:r w:rsidRPr="00244C7D">
        <w:rPr>
          <w:sz w:val="28"/>
          <w:szCs w:val="28"/>
        </w:rPr>
        <w:t xml:space="preserve"> </w:t>
      </w:r>
      <w:r>
        <w:rPr>
          <w:sz w:val="28"/>
          <w:szCs w:val="28"/>
        </w:rPr>
        <w:t>Voltaire/von Proschwitz,</w:t>
      </w:r>
      <w:r w:rsidRPr="00244C7D">
        <w:rPr>
          <w:i/>
          <w:sz w:val="28"/>
          <w:szCs w:val="28"/>
        </w:rPr>
        <w:t xml:space="preserve"> </w:t>
      </w:r>
      <w:r w:rsidRPr="00244C7D">
        <w:rPr>
          <w:sz w:val="28"/>
          <w:szCs w:val="28"/>
        </w:rPr>
        <w:t xml:space="preserve">p. 1. </w:t>
      </w:r>
    </w:p>
  </w:footnote>
  <w:footnote w:id="4">
    <w:p w14:paraId="599A598F" w14:textId="019B899A" w:rsidR="00405C29" w:rsidRPr="00244C7D" w:rsidRDefault="00405C29" w:rsidP="00421ACC">
      <w:pPr>
        <w:pStyle w:val="Notedebasdepage"/>
        <w:spacing w:line="480" w:lineRule="auto"/>
        <w:rPr>
          <w:sz w:val="28"/>
          <w:szCs w:val="28"/>
        </w:rPr>
      </w:pPr>
      <w:r w:rsidRPr="00244C7D">
        <w:rPr>
          <w:rStyle w:val="Appelnotedebasdep"/>
          <w:sz w:val="28"/>
          <w:szCs w:val="28"/>
        </w:rPr>
        <w:footnoteRef/>
      </w:r>
      <w:r w:rsidRPr="00244C7D">
        <w:rPr>
          <w:sz w:val="28"/>
          <w:szCs w:val="28"/>
        </w:rPr>
        <w:t xml:space="preserve"> </w:t>
      </w:r>
      <w:r>
        <w:rPr>
          <w:i/>
          <w:sz w:val="28"/>
          <w:szCs w:val="28"/>
        </w:rPr>
        <w:t>L’Œ</w:t>
      </w:r>
      <w:r w:rsidRPr="00244C7D">
        <w:rPr>
          <w:i/>
          <w:sz w:val="28"/>
          <w:szCs w:val="28"/>
        </w:rPr>
        <w:t>uvre imprimé de Voltaire à la Biblio</w:t>
      </w:r>
      <w:r>
        <w:rPr>
          <w:i/>
          <w:sz w:val="28"/>
          <w:szCs w:val="28"/>
        </w:rPr>
        <w:t>thèque nationale. Volume second</w:t>
      </w:r>
      <w:r w:rsidRPr="00244C7D">
        <w:rPr>
          <w:i/>
          <w:sz w:val="28"/>
          <w:szCs w:val="28"/>
        </w:rPr>
        <w:t xml:space="preserve"> </w:t>
      </w:r>
      <w:r>
        <w:rPr>
          <w:sz w:val="28"/>
          <w:szCs w:val="28"/>
        </w:rPr>
        <w:t>(</w:t>
      </w:r>
      <w:r w:rsidRPr="00244C7D">
        <w:rPr>
          <w:sz w:val="28"/>
          <w:szCs w:val="28"/>
        </w:rPr>
        <w:t>Paris</w:t>
      </w:r>
      <w:r>
        <w:rPr>
          <w:sz w:val="28"/>
          <w:szCs w:val="28"/>
        </w:rPr>
        <w:t>:</w:t>
      </w:r>
      <w:r w:rsidRPr="00244C7D">
        <w:rPr>
          <w:sz w:val="28"/>
          <w:szCs w:val="28"/>
        </w:rPr>
        <w:t xml:space="preserve"> Bibliothèque nationale, 1978</w:t>
      </w:r>
      <w:r>
        <w:rPr>
          <w:sz w:val="28"/>
          <w:szCs w:val="28"/>
        </w:rPr>
        <w:t>)</w:t>
      </w:r>
      <w:r w:rsidRPr="00244C7D">
        <w:rPr>
          <w:sz w:val="28"/>
          <w:szCs w:val="28"/>
        </w:rPr>
        <w:t xml:space="preserve">, col. 1225-1228. </w:t>
      </w:r>
    </w:p>
  </w:footnote>
  <w:footnote w:id="5">
    <w:p w14:paraId="5C4F16CD" w14:textId="5BD94B86" w:rsidR="00405C29" w:rsidRPr="00421ACC" w:rsidRDefault="00405C29" w:rsidP="00421ACC">
      <w:pPr>
        <w:pStyle w:val="Notedebasdepage"/>
        <w:spacing w:line="480" w:lineRule="auto"/>
        <w:rPr>
          <w:sz w:val="28"/>
          <w:szCs w:val="28"/>
        </w:rPr>
      </w:pPr>
      <w:r w:rsidRPr="00421ACC">
        <w:rPr>
          <w:rStyle w:val="Appelnotedebasdep"/>
          <w:sz w:val="28"/>
          <w:szCs w:val="28"/>
        </w:rPr>
        <w:footnoteRef/>
      </w:r>
      <w:r w:rsidRPr="00421ACC">
        <w:rPr>
          <w:sz w:val="28"/>
          <w:szCs w:val="28"/>
        </w:rPr>
        <w:t xml:space="preserve"> Wlliam H. Trapnell, ‘Survey and analysis of Voltaire’s collective editions, 1728-1789’, </w:t>
      </w:r>
      <w:r>
        <w:rPr>
          <w:i/>
          <w:sz w:val="28"/>
          <w:szCs w:val="28"/>
        </w:rPr>
        <w:t xml:space="preserve">Studies on Voltaire and the Eighteenth Century, </w:t>
      </w:r>
      <w:r>
        <w:rPr>
          <w:sz w:val="28"/>
          <w:szCs w:val="28"/>
        </w:rPr>
        <w:t xml:space="preserve">77 (1970), pp. 103-99, ici pp. 123-27 (Voltaire’s manuscripts and collective editions). </w:t>
      </w:r>
    </w:p>
    <w:p w14:paraId="40C91DAE" w14:textId="77777777" w:rsidR="00405C29" w:rsidRDefault="00405C29">
      <w:pPr>
        <w:pStyle w:val="Notedebasdepage"/>
      </w:pPr>
    </w:p>
    <w:p w14:paraId="211B19D3" w14:textId="27273FE7" w:rsidR="00405C29" w:rsidRDefault="00405C29">
      <w:pPr>
        <w:pStyle w:val="Notedebasdepage"/>
      </w:pPr>
    </w:p>
  </w:footnote>
  <w:footnote w:id="6">
    <w:p w14:paraId="4110CE70" w14:textId="176AE012" w:rsidR="00405C29" w:rsidRPr="00244C7D" w:rsidRDefault="00405C29" w:rsidP="005515BA">
      <w:pPr>
        <w:pStyle w:val="Notedebasdepage"/>
        <w:spacing w:line="480" w:lineRule="auto"/>
        <w:rPr>
          <w:sz w:val="28"/>
          <w:szCs w:val="28"/>
        </w:rPr>
      </w:pPr>
      <w:r w:rsidRPr="00244C7D">
        <w:rPr>
          <w:rStyle w:val="Appelnotedebasdep"/>
          <w:sz w:val="28"/>
          <w:szCs w:val="28"/>
        </w:rPr>
        <w:footnoteRef/>
      </w:r>
      <w:r w:rsidRPr="00244C7D">
        <w:rPr>
          <w:sz w:val="28"/>
          <w:szCs w:val="28"/>
        </w:rPr>
        <w:t xml:space="preserve"> Jean Quéniart, </w:t>
      </w:r>
      <w:r w:rsidRPr="00244C7D">
        <w:rPr>
          <w:i/>
          <w:sz w:val="28"/>
          <w:szCs w:val="28"/>
        </w:rPr>
        <w:t>L’imprimerie et la librairie à Rouen au XVIII</w:t>
      </w:r>
      <w:r w:rsidRPr="00244C7D">
        <w:rPr>
          <w:i/>
          <w:sz w:val="28"/>
          <w:szCs w:val="28"/>
          <w:vertAlign w:val="superscript"/>
        </w:rPr>
        <w:t xml:space="preserve">e </w:t>
      </w:r>
      <w:r>
        <w:rPr>
          <w:i/>
          <w:sz w:val="28"/>
          <w:szCs w:val="28"/>
        </w:rPr>
        <w:t>siècle</w:t>
      </w:r>
      <w:r w:rsidRPr="00244C7D">
        <w:rPr>
          <w:i/>
          <w:sz w:val="28"/>
          <w:szCs w:val="28"/>
        </w:rPr>
        <w:t xml:space="preserve"> </w:t>
      </w:r>
      <w:r>
        <w:rPr>
          <w:sz w:val="28"/>
          <w:szCs w:val="28"/>
        </w:rPr>
        <w:t>(Paris:</w:t>
      </w:r>
      <w:r w:rsidRPr="00244C7D">
        <w:rPr>
          <w:sz w:val="28"/>
          <w:szCs w:val="28"/>
        </w:rPr>
        <w:t xml:space="preserve"> Klincksieck, 1969</w:t>
      </w:r>
      <w:r>
        <w:rPr>
          <w:sz w:val="28"/>
          <w:szCs w:val="28"/>
        </w:rPr>
        <w:t xml:space="preserve">), </w:t>
      </w:r>
      <w:r w:rsidRPr="00244C7D">
        <w:rPr>
          <w:sz w:val="28"/>
          <w:szCs w:val="28"/>
        </w:rPr>
        <w:t xml:space="preserve">Bibliographie, sources manuscrites, numéro VI. </w:t>
      </w:r>
    </w:p>
  </w:footnote>
  <w:footnote w:id="7">
    <w:p w14:paraId="6C2F58F2" w14:textId="77777777" w:rsidR="00405C29" w:rsidRPr="00346FB9" w:rsidRDefault="00405C29" w:rsidP="00FE205A">
      <w:pPr>
        <w:pStyle w:val="Notedebasdepage"/>
        <w:spacing w:line="480" w:lineRule="auto"/>
        <w:rPr>
          <w:sz w:val="24"/>
          <w:szCs w:val="24"/>
        </w:rPr>
      </w:pPr>
      <w:r w:rsidRPr="00346FB9">
        <w:rPr>
          <w:rStyle w:val="Appelnotedebasdep"/>
          <w:sz w:val="28"/>
          <w:szCs w:val="28"/>
        </w:rPr>
        <w:footnoteRef/>
      </w:r>
      <w:r w:rsidRPr="00346FB9">
        <w:rPr>
          <w:sz w:val="28"/>
          <w:szCs w:val="28"/>
        </w:rPr>
        <w:t xml:space="preserve"> Robert Darnton, </w:t>
      </w:r>
      <w:r w:rsidRPr="00346FB9">
        <w:rPr>
          <w:i/>
          <w:sz w:val="28"/>
          <w:szCs w:val="28"/>
        </w:rPr>
        <w:t>Édition et sédition. L’univers de la littérature clandestine au XVIII</w:t>
      </w:r>
      <w:r w:rsidRPr="00346FB9">
        <w:rPr>
          <w:i/>
          <w:sz w:val="28"/>
          <w:szCs w:val="28"/>
          <w:vertAlign w:val="superscript"/>
        </w:rPr>
        <w:t xml:space="preserve">e </w:t>
      </w:r>
      <w:r>
        <w:rPr>
          <w:i/>
          <w:sz w:val="28"/>
          <w:szCs w:val="28"/>
        </w:rPr>
        <w:t xml:space="preserve">siècle </w:t>
      </w:r>
      <w:r>
        <w:rPr>
          <w:sz w:val="28"/>
          <w:szCs w:val="28"/>
        </w:rPr>
        <w:t>(Paris :</w:t>
      </w:r>
      <w:r w:rsidRPr="00346FB9">
        <w:rPr>
          <w:sz w:val="28"/>
          <w:szCs w:val="28"/>
        </w:rPr>
        <w:t xml:space="preserve"> Gallimard, 1991</w:t>
      </w:r>
      <w:r>
        <w:rPr>
          <w:sz w:val="28"/>
          <w:szCs w:val="28"/>
        </w:rPr>
        <w:t>)</w:t>
      </w:r>
      <w:r w:rsidRPr="00346FB9">
        <w:rPr>
          <w:sz w:val="28"/>
          <w:szCs w:val="28"/>
        </w:rPr>
        <w:t>, p</w:t>
      </w:r>
      <w:r>
        <w:rPr>
          <w:sz w:val="28"/>
          <w:szCs w:val="28"/>
        </w:rPr>
        <w:t>p. 126-</w:t>
      </w:r>
      <w:r w:rsidRPr="00346FB9">
        <w:rPr>
          <w:sz w:val="28"/>
          <w:szCs w:val="28"/>
        </w:rPr>
        <w:t>28 et passim.</w:t>
      </w:r>
      <w:r w:rsidRPr="00346FB9">
        <w:rPr>
          <w:sz w:val="24"/>
          <w:szCs w:val="24"/>
        </w:rPr>
        <w:t xml:space="preserve"> </w:t>
      </w:r>
    </w:p>
  </w:footnote>
  <w:footnote w:id="8">
    <w:p w14:paraId="6F7420D7" w14:textId="77777777" w:rsidR="00405C29" w:rsidRPr="00346FB9" w:rsidRDefault="00405C29" w:rsidP="00FE205A">
      <w:pPr>
        <w:pStyle w:val="Notedebasdepage"/>
        <w:spacing w:line="480" w:lineRule="auto"/>
        <w:rPr>
          <w:sz w:val="28"/>
          <w:szCs w:val="28"/>
        </w:rPr>
      </w:pPr>
      <w:r w:rsidRPr="00346FB9">
        <w:rPr>
          <w:rStyle w:val="Appelnotedebasdep"/>
          <w:sz w:val="28"/>
          <w:szCs w:val="28"/>
        </w:rPr>
        <w:footnoteRef/>
      </w:r>
      <w:r w:rsidRPr="00346FB9">
        <w:rPr>
          <w:sz w:val="28"/>
          <w:szCs w:val="28"/>
        </w:rPr>
        <w:t xml:space="preserve"> BnF, Département des Manuscrits, Français 22185, CXXV N-Z, Collection Anisson-Duperron sur la Librairie et l’Imprimerie, Année 1764 – Librairie et imprimerie du royaume. Ville de Rouen. </w:t>
      </w:r>
    </w:p>
  </w:footnote>
  <w:footnote w:id="9">
    <w:p w14:paraId="551CCBB8" w14:textId="77777777" w:rsidR="00405C29" w:rsidRPr="00B45B6A" w:rsidRDefault="00405C29" w:rsidP="00FE205A">
      <w:pPr>
        <w:pStyle w:val="Notedebasdepage"/>
        <w:spacing w:line="480" w:lineRule="auto"/>
        <w:rPr>
          <w:sz w:val="28"/>
          <w:szCs w:val="28"/>
        </w:rPr>
      </w:pPr>
      <w:r w:rsidRPr="00505D65">
        <w:rPr>
          <w:rStyle w:val="Appelnotedebasdep"/>
          <w:sz w:val="24"/>
          <w:szCs w:val="24"/>
        </w:rPr>
        <w:footnoteRef/>
      </w:r>
      <w:r w:rsidRPr="00505D65">
        <w:rPr>
          <w:sz w:val="24"/>
          <w:szCs w:val="24"/>
        </w:rPr>
        <w:t xml:space="preserve"> </w:t>
      </w:r>
      <w:r w:rsidRPr="00B45B6A">
        <w:rPr>
          <w:sz w:val="28"/>
          <w:szCs w:val="28"/>
        </w:rPr>
        <w:t>François</w:t>
      </w:r>
      <w:r>
        <w:rPr>
          <w:sz w:val="28"/>
          <w:szCs w:val="28"/>
        </w:rPr>
        <w:t xml:space="preserve"> Farin,</w:t>
      </w:r>
      <w:r w:rsidRPr="00B45B6A">
        <w:rPr>
          <w:sz w:val="28"/>
          <w:szCs w:val="28"/>
        </w:rPr>
        <w:t xml:space="preserve"> </w:t>
      </w:r>
      <w:r>
        <w:rPr>
          <w:i/>
          <w:sz w:val="28"/>
          <w:szCs w:val="28"/>
        </w:rPr>
        <w:t>Histoire de la ville de Rouen</w:t>
      </w:r>
      <w:r>
        <w:rPr>
          <w:sz w:val="28"/>
          <w:szCs w:val="28"/>
        </w:rPr>
        <w:t xml:space="preserve"> (Rouen : Bonaventure Le Brun, </w:t>
      </w:r>
      <w:r w:rsidRPr="00B45B6A">
        <w:rPr>
          <w:sz w:val="28"/>
          <w:szCs w:val="28"/>
        </w:rPr>
        <w:t>1738</w:t>
      </w:r>
      <w:r>
        <w:rPr>
          <w:sz w:val="28"/>
          <w:szCs w:val="28"/>
        </w:rPr>
        <w:t>)</w:t>
      </w:r>
      <w:r w:rsidRPr="00B45B6A">
        <w:rPr>
          <w:sz w:val="28"/>
          <w:szCs w:val="28"/>
        </w:rPr>
        <w:t>, t. I, p</w:t>
      </w:r>
      <w:r>
        <w:rPr>
          <w:sz w:val="28"/>
          <w:szCs w:val="28"/>
        </w:rPr>
        <w:t>p</w:t>
      </w:r>
      <w:r w:rsidRPr="00B45B6A">
        <w:rPr>
          <w:sz w:val="28"/>
          <w:szCs w:val="28"/>
        </w:rPr>
        <w:t xml:space="preserve">. 12, 23, etc. </w:t>
      </w:r>
    </w:p>
  </w:footnote>
  <w:footnote w:id="10">
    <w:p w14:paraId="4CC0362C" w14:textId="77777777" w:rsidR="00405C29" w:rsidRPr="00D41E57" w:rsidRDefault="00405C29" w:rsidP="00FE205A">
      <w:pPr>
        <w:pStyle w:val="Notedebasdepage"/>
        <w:spacing w:line="480" w:lineRule="auto"/>
        <w:rPr>
          <w:sz w:val="28"/>
          <w:szCs w:val="28"/>
        </w:rPr>
      </w:pPr>
      <w:r w:rsidRPr="00D41E57">
        <w:rPr>
          <w:rStyle w:val="Appelnotedebasdep"/>
          <w:sz w:val="28"/>
          <w:szCs w:val="28"/>
        </w:rPr>
        <w:footnoteRef/>
      </w:r>
      <w:r w:rsidRPr="00D41E57">
        <w:rPr>
          <w:sz w:val="28"/>
          <w:szCs w:val="28"/>
        </w:rPr>
        <w:t xml:space="preserve"> Jean-Dominique</w:t>
      </w:r>
      <w:r>
        <w:rPr>
          <w:sz w:val="28"/>
          <w:szCs w:val="28"/>
        </w:rPr>
        <w:t xml:space="preserve"> Mellot</w:t>
      </w:r>
      <w:r w:rsidRPr="00D41E57">
        <w:rPr>
          <w:sz w:val="28"/>
          <w:szCs w:val="28"/>
        </w:rPr>
        <w:t xml:space="preserve">, </w:t>
      </w:r>
      <w:r>
        <w:rPr>
          <w:sz w:val="28"/>
          <w:szCs w:val="28"/>
        </w:rPr>
        <w:t xml:space="preserve">Marie-Claude </w:t>
      </w:r>
      <w:r w:rsidRPr="00D41E57">
        <w:rPr>
          <w:sz w:val="28"/>
          <w:szCs w:val="28"/>
        </w:rPr>
        <w:t>Felton et Élisabeth</w:t>
      </w:r>
      <w:r w:rsidRPr="00D41E57">
        <w:rPr>
          <w:smallCaps/>
          <w:sz w:val="28"/>
          <w:szCs w:val="28"/>
        </w:rPr>
        <w:t xml:space="preserve"> </w:t>
      </w:r>
      <w:r w:rsidRPr="00D41E57">
        <w:rPr>
          <w:sz w:val="28"/>
          <w:szCs w:val="28"/>
        </w:rPr>
        <w:t xml:space="preserve">Queval, </w:t>
      </w:r>
      <w:r w:rsidRPr="00D41E57">
        <w:rPr>
          <w:i/>
          <w:sz w:val="28"/>
          <w:szCs w:val="28"/>
        </w:rPr>
        <w:t>La police des métiers du livre à Paris, au siècle des Lumières. Historique des libraires et imprimeurs de Paris existans en 1752 de l’inspecteur Jo</w:t>
      </w:r>
      <w:r>
        <w:rPr>
          <w:i/>
          <w:sz w:val="28"/>
          <w:szCs w:val="28"/>
        </w:rPr>
        <w:t xml:space="preserve">seph d’Hémery. Édition critique </w:t>
      </w:r>
      <w:r>
        <w:rPr>
          <w:sz w:val="28"/>
          <w:szCs w:val="28"/>
        </w:rPr>
        <w:t>(Paris : BNF Éditions, 2017), pp. 462-</w:t>
      </w:r>
      <w:r w:rsidRPr="00D41E57">
        <w:rPr>
          <w:sz w:val="28"/>
          <w:szCs w:val="28"/>
        </w:rPr>
        <w:t>63.</w:t>
      </w:r>
    </w:p>
  </w:footnote>
  <w:footnote w:id="11">
    <w:p w14:paraId="04EB1825" w14:textId="77777777" w:rsidR="00405C29" w:rsidRPr="00D41E57" w:rsidRDefault="00405C29" w:rsidP="00FE205A">
      <w:pPr>
        <w:pStyle w:val="Notedebasdepage"/>
        <w:spacing w:line="480" w:lineRule="auto"/>
        <w:rPr>
          <w:sz w:val="28"/>
          <w:szCs w:val="28"/>
        </w:rPr>
      </w:pPr>
      <w:r w:rsidRPr="00D41E57">
        <w:rPr>
          <w:rStyle w:val="Appelnotedebasdep"/>
          <w:sz w:val="28"/>
          <w:szCs w:val="28"/>
        </w:rPr>
        <w:footnoteRef/>
      </w:r>
      <w:r w:rsidRPr="00D41E57">
        <w:rPr>
          <w:sz w:val="28"/>
          <w:szCs w:val="28"/>
        </w:rPr>
        <w:t xml:space="preserve"> </w:t>
      </w:r>
      <w:r>
        <w:rPr>
          <w:sz w:val="28"/>
          <w:szCs w:val="28"/>
        </w:rPr>
        <w:t xml:space="preserve">David </w:t>
      </w:r>
      <w:r w:rsidRPr="00D41E57">
        <w:rPr>
          <w:sz w:val="28"/>
          <w:szCs w:val="28"/>
        </w:rPr>
        <w:t xml:space="preserve">Smith, </w:t>
      </w:r>
      <w:r>
        <w:rPr>
          <w:sz w:val="28"/>
          <w:szCs w:val="28"/>
        </w:rPr>
        <w:t>avec la collaboration d’Andrew</w:t>
      </w:r>
      <w:r w:rsidRPr="00D41E57">
        <w:rPr>
          <w:sz w:val="28"/>
          <w:szCs w:val="28"/>
        </w:rPr>
        <w:t xml:space="preserve"> Brown, </w:t>
      </w:r>
      <w:r>
        <w:rPr>
          <w:sz w:val="28"/>
          <w:szCs w:val="28"/>
        </w:rPr>
        <w:t xml:space="preserve">Daniel </w:t>
      </w:r>
      <w:r w:rsidRPr="00D41E57">
        <w:rPr>
          <w:sz w:val="28"/>
          <w:szCs w:val="28"/>
        </w:rPr>
        <w:t xml:space="preserve">Droixhe et </w:t>
      </w:r>
      <w:r>
        <w:rPr>
          <w:sz w:val="28"/>
          <w:szCs w:val="28"/>
        </w:rPr>
        <w:t xml:space="preserve">Nadine </w:t>
      </w:r>
      <w:r w:rsidRPr="00D41E57">
        <w:rPr>
          <w:sz w:val="28"/>
          <w:szCs w:val="28"/>
        </w:rPr>
        <w:t xml:space="preserve">Vanwelkenhuyzen, </w:t>
      </w:r>
      <w:r>
        <w:rPr>
          <w:sz w:val="28"/>
          <w:szCs w:val="28"/>
        </w:rPr>
        <w:t>‘</w:t>
      </w:r>
      <w:r w:rsidRPr="00D41E57">
        <w:rPr>
          <w:sz w:val="28"/>
          <w:szCs w:val="28"/>
        </w:rPr>
        <w:t>Robert Machuel, imprimeur-libraire à Rouen, et ses é</w:t>
      </w:r>
      <w:r>
        <w:rPr>
          <w:sz w:val="28"/>
          <w:szCs w:val="28"/>
        </w:rPr>
        <w:t>ditions des œuvres de Voltaire’</w:t>
      </w:r>
      <w:r w:rsidRPr="00D41E57">
        <w:rPr>
          <w:sz w:val="28"/>
          <w:szCs w:val="28"/>
        </w:rPr>
        <w:t xml:space="preserve">, </w:t>
      </w:r>
      <w:r w:rsidRPr="00D41E57">
        <w:rPr>
          <w:i/>
          <w:sz w:val="28"/>
          <w:szCs w:val="28"/>
        </w:rPr>
        <w:t>Cahiers Voltaire</w:t>
      </w:r>
      <w:r>
        <w:rPr>
          <w:i/>
          <w:sz w:val="28"/>
          <w:szCs w:val="28"/>
        </w:rPr>
        <w:t>,</w:t>
      </w:r>
      <w:r w:rsidRPr="00D41E57">
        <w:rPr>
          <w:i/>
          <w:sz w:val="28"/>
          <w:szCs w:val="28"/>
        </w:rPr>
        <w:t xml:space="preserve"> </w:t>
      </w:r>
      <w:r>
        <w:rPr>
          <w:sz w:val="28"/>
          <w:szCs w:val="28"/>
        </w:rPr>
        <w:t>6 (</w:t>
      </w:r>
      <w:r w:rsidRPr="00D41E57">
        <w:rPr>
          <w:sz w:val="28"/>
          <w:szCs w:val="28"/>
        </w:rPr>
        <w:t>2007</w:t>
      </w:r>
      <w:r>
        <w:rPr>
          <w:sz w:val="28"/>
          <w:szCs w:val="28"/>
        </w:rPr>
        <w:t>)</w:t>
      </w:r>
      <w:r w:rsidRPr="00D41E57">
        <w:rPr>
          <w:sz w:val="28"/>
          <w:szCs w:val="28"/>
        </w:rPr>
        <w:t>, p</w:t>
      </w:r>
      <w:r>
        <w:rPr>
          <w:sz w:val="28"/>
          <w:szCs w:val="28"/>
        </w:rPr>
        <w:t>p</w:t>
      </w:r>
      <w:r w:rsidRPr="00D41E57">
        <w:rPr>
          <w:sz w:val="28"/>
          <w:szCs w:val="28"/>
        </w:rPr>
        <w:t xml:space="preserve">. 35-57.  </w:t>
      </w:r>
    </w:p>
  </w:footnote>
  <w:footnote w:id="12">
    <w:p w14:paraId="4A09F4F8" w14:textId="77777777" w:rsidR="00405C29" w:rsidRPr="00A0278A" w:rsidRDefault="00405C29" w:rsidP="00FE205A">
      <w:pPr>
        <w:pStyle w:val="Notedebasdepage"/>
        <w:spacing w:line="480" w:lineRule="auto"/>
        <w:rPr>
          <w:sz w:val="24"/>
          <w:szCs w:val="24"/>
        </w:rPr>
      </w:pPr>
      <w:r w:rsidRPr="007A7396">
        <w:rPr>
          <w:rStyle w:val="Appelnotedebasdep"/>
          <w:sz w:val="28"/>
          <w:szCs w:val="28"/>
        </w:rPr>
        <w:footnoteRef/>
      </w:r>
      <w:r w:rsidRPr="007A7396">
        <w:rPr>
          <w:sz w:val="28"/>
          <w:szCs w:val="28"/>
        </w:rPr>
        <w:t xml:space="preserve"> Centre international d’étude du XVIII</w:t>
      </w:r>
      <w:r w:rsidRPr="007A7396">
        <w:rPr>
          <w:sz w:val="28"/>
          <w:szCs w:val="28"/>
          <w:vertAlign w:val="superscript"/>
        </w:rPr>
        <w:t xml:space="preserve">e </w:t>
      </w:r>
      <w:r w:rsidRPr="007A7396">
        <w:rPr>
          <w:sz w:val="28"/>
          <w:szCs w:val="28"/>
        </w:rPr>
        <w:t>siècle/C18.net</w:t>
      </w:r>
      <w:r>
        <w:rPr>
          <w:smallCaps/>
          <w:sz w:val="28"/>
          <w:szCs w:val="28"/>
        </w:rPr>
        <w:t>,</w:t>
      </w:r>
      <w:r w:rsidRPr="007A7396">
        <w:rPr>
          <w:sz w:val="28"/>
          <w:szCs w:val="28"/>
        </w:rPr>
        <w:t xml:space="preserve"> </w:t>
      </w:r>
      <w:r w:rsidRPr="007A7396">
        <w:rPr>
          <w:i/>
          <w:sz w:val="28"/>
          <w:szCs w:val="28"/>
        </w:rPr>
        <w:t>Descriptions bibliographiques mises au point par</w:t>
      </w:r>
      <w:r w:rsidRPr="007A7396">
        <w:rPr>
          <w:sz w:val="28"/>
          <w:szCs w:val="28"/>
        </w:rPr>
        <w:t xml:space="preserve"> David Smith et Andrew Brown</w:t>
      </w:r>
      <w:r>
        <w:rPr>
          <w:sz w:val="28"/>
          <w:szCs w:val="28"/>
        </w:rPr>
        <w:t>, qui comprennent les parties suivantes: Œ48R, l</w:t>
      </w:r>
      <w:r w:rsidRPr="007A7396">
        <w:rPr>
          <w:sz w:val="28"/>
          <w:szCs w:val="28"/>
        </w:rPr>
        <w:t>’édition des œuvres publiées à Rouen par Machuel en 1748 et supprimée par Voltaire (V</w:t>
      </w:r>
      <w:r>
        <w:rPr>
          <w:sz w:val="28"/>
          <w:szCs w:val="28"/>
        </w:rPr>
        <w:t>ersion 1, 24 février 2011); Œ50, l</w:t>
      </w:r>
      <w:r w:rsidRPr="007A7396">
        <w:rPr>
          <w:sz w:val="28"/>
          <w:szCs w:val="28"/>
        </w:rPr>
        <w:t>’édition des œuvres publiée à Rouen par Machuel de 1750 à 1751 (Versi</w:t>
      </w:r>
      <w:r>
        <w:rPr>
          <w:sz w:val="28"/>
          <w:szCs w:val="28"/>
        </w:rPr>
        <w:t>on 6, 24 septembre 2011) ; Œ64R, l</w:t>
      </w:r>
      <w:r w:rsidRPr="007A7396">
        <w:rPr>
          <w:sz w:val="28"/>
          <w:szCs w:val="28"/>
        </w:rPr>
        <w:t xml:space="preserve">’édition des </w:t>
      </w:r>
      <w:r>
        <w:rPr>
          <w:sz w:val="28"/>
          <w:szCs w:val="28"/>
        </w:rPr>
        <w:t>œuvres publiée à Rouen en 1764, a</w:t>
      </w:r>
      <w:r w:rsidRPr="007A7396">
        <w:rPr>
          <w:sz w:val="28"/>
          <w:szCs w:val="28"/>
        </w:rPr>
        <w:t>vec la collaboration de Daniel Droixhe et Nadine Vanwelkenhuyzen (Version 2, 8 mai 2011).</w:t>
      </w:r>
    </w:p>
  </w:footnote>
  <w:footnote w:id="13">
    <w:p w14:paraId="51D1DACA" w14:textId="77777777" w:rsidR="00405C29" w:rsidRPr="007A7396" w:rsidRDefault="00405C29" w:rsidP="00975E55">
      <w:pPr>
        <w:pStyle w:val="Notedebasdepage"/>
        <w:spacing w:line="480" w:lineRule="auto"/>
        <w:rPr>
          <w:smallCaps/>
          <w:sz w:val="28"/>
          <w:szCs w:val="28"/>
        </w:rPr>
      </w:pPr>
      <w:r w:rsidRPr="007A7396">
        <w:rPr>
          <w:rStyle w:val="Appelnotedebasdep"/>
          <w:sz w:val="28"/>
          <w:szCs w:val="28"/>
        </w:rPr>
        <w:footnoteRef/>
      </w:r>
      <w:r w:rsidRPr="007A7396">
        <w:rPr>
          <w:sz w:val="28"/>
          <w:szCs w:val="28"/>
        </w:rPr>
        <w:t xml:space="preserve"> BnF, Département des Manuscrits, Français 22185, LXIV-LXIX, Collection Anisson-Duperron sur la Librairie et l’Imprimerie, Libraires et imprimeurs de différentes villes du royaume, rangées par généralités, LXIX, P-T, p</w:t>
      </w:r>
      <w:r>
        <w:rPr>
          <w:sz w:val="28"/>
          <w:szCs w:val="28"/>
        </w:rPr>
        <w:t>p</w:t>
      </w:r>
      <w:r w:rsidRPr="007A7396">
        <w:rPr>
          <w:sz w:val="28"/>
          <w:szCs w:val="28"/>
        </w:rPr>
        <w:t>. 265/81, mars 1767. « Le père de Pierre, qui etoit Jean-Baptiste Machuel, a été [chargé] de maîtrise. L’oncle de Pierre qui etoit Robert Machuel a été [chargé] de maîtrise il y a environ 15 ans. Pierre Machuel a été deux fois a la Bastille depuis environ 14 ans ». Communication Muriel Collart.</w:t>
      </w:r>
      <w:r w:rsidRPr="007A7396">
        <w:rPr>
          <w:smallCaps/>
          <w:sz w:val="28"/>
          <w:szCs w:val="28"/>
        </w:rPr>
        <w:t xml:space="preserve"> </w:t>
      </w:r>
    </w:p>
  </w:footnote>
  <w:footnote w:id="14">
    <w:p w14:paraId="7021293A" w14:textId="77777777" w:rsidR="00405C29" w:rsidRPr="002A7070" w:rsidRDefault="00405C29" w:rsidP="00FE205A">
      <w:pPr>
        <w:pStyle w:val="Notedebasdepage"/>
        <w:spacing w:line="480" w:lineRule="auto"/>
        <w:rPr>
          <w:sz w:val="28"/>
          <w:szCs w:val="28"/>
        </w:rPr>
      </w:pPr>
      <w:r w:rsidRPr="002A7070">
        <w:rPr>
          <w:rStyle w:val="Appelnotedebasdep"/>
          <w:sz w:val="28"/>
          <w:szCs w:val="28"/>
        </w:rPr>
        <w:footnoteRef/>
      </w:r>
      <w:r w:rsidRPr="002A7070">
        <w:rPr>
          <w:smallCaps/>
          <w:sz w:val="28"/>
          <w:szCs w:val="28"/>
        </w:rPr>
        <w:t xml:space="preserve"> </w:t>
      </w:r>
      <w:r w:rsidRPr="002A7070">
        <w:rPr>
          <w:sz w:val="28"/>
          <w:szCs w:val="28"/>
        </w:rPr>
        <w:t>Daniel Droixhe, ‘</w:t>
      </w:r>
      <w:r>
        <w:rPr>
          <w:sz w:val="28"/>
          <w:szCs w:val="28"/>
        </w:rPr>
        <w:t xml:space="preserve">Une épidémie de </w:t>
      </w:r>
      <w:r w:rsidRPr="002A7070">
        <w:rPr>
          <w:i/>
          <w:sz w:val="28"/>
          <w:szCs w:val="28"/>
        </w:rPr>
        <w:t>romans de finances</w:t>
      </w:r>
      <w:r w:rsidRPr="002A7070">
        <w:rPr>
          <w:sz w:val="28"/>
          <w:szCs w:val="28"/>
        </w:rPr>
        <w:t>. Production, distribution et répression de l’édition clandestine</w:t>
      </w:r>
      <w:r>
        <w:rPr>
          <w:sz w:val="28"/>
          <w:szCs w:val="28"/>
        </w:rPr>
        <w:t xml:space="preserve"> à Rouen et Paris en 1763-1764’</w:t>
      </w:r>
      <w:r w:rsidRPr="002A7070">
        <w:rPr>
          <w:sz w:val="28"/>
          <w:szCs w:val="28"/>
        </w:rPr>
        <w:t xml:space="preserve">, </w:t>
      </w:r>
      <w:r w:rsidRPr="002A7070">
        <w:rPr>
          <w:i/>
          <w:sz w:val="28"/>
          <w:szCs w:val="28"/>
        </w:rPr>
        <w:t>La lettre clandestine</w:t>
      </w:r>
      <w:r>
        <w:rPr>
          <w:i/>
          <w:sz w:val="28"/>
          <w:szCs w:val="28"/>
        </w:rPr>
        <w:t>,</w:t>
      </w:r>
      <w:r w:rsidRPr="002A7070">
        <w:rPr>
          <w:i/>
          <w:sz w:val="28"/>
          <w:szCs w:val="28"/>
        </w:rPr>
        <w:t xml:space="preserve"> </w:t>
      </w:r>
      <w:r>
        <w:rPr>
          <w:sz w:val="28"/>
          <w:szCs w:val="28"/>
        </w:rPr>
        <w:t>17 (</w:t>
      </w:r>
      <w:r w:rsidRPr="002A7070">
        <w:rPr>
          <w:sz w:val="28"/>
          <w:szCs w:val="28"/>
        </w:rPr>
        <w:t>2009</w:t>
      </w:r>
      <w:r>
        <w:rPr>
          <w:sz w:val="28"/>
          <w:szCs w:val="28"/>
        </w:rPr>
        <w:t>)</w:t>
      </w:r>
      <w:r w:rsidRPr="002A7070">
        <w:rPr>
          <w:sz w:val="28"/>
          <w:szCs w:val="28"/>
        </w:rPr>
        <w:t>, p</w:t>
      </w:r>
      <w:r>
        <w:rPr>
          <w:sz w:val="28"/>
          <w:szCs w:val="28"/>
        </w:rPr>
        <w:t>p</w:t>
      </w:r>
      <w:r w:rsidRPr="002A7070">
        <w:rPr>
          <w:sz w:val="28"/>
          <w:szCs w:val="28"/>
        </w:rPr>
        <w:t>. 157-89.</w:t>
      </w:r>
    </w:p>
  </w:footnote>
  <w:footnote w:id="15">
    <w:p w14:paraId="433780FE" w14:textId="52DBEE79" w:rsidR="00405C29" w:rsidRPr="002A7070" w:rsidRDefault="00405C29" w:rsidP="00FE205A">
      <w:pPr>
        <w:pStyle w:val="Notedebasdepage"/>
        <w:spacing w:line="480" w:lineRule="auto"/>
        <w:rPr>
          <w:sz w:val="28"/>
          <w:szCs w:val="28"/>
        </w:rPr>
      </w:pPr>
      <w:r w:rsidRPr="002A7070">
        <w:rPr>
          <w:rStyle w:val="Appelnotedebasdep"/>
          <w:sz w:val="28"/>
          <w:szCs w:val="28"/>
        </w:rPr>
        <w:footnoteRef/>
      </w:r>
      <w:r w:rsidRPr="002A7070">
        <w:rPr>
          <w:sz w:val="28"/>
          <w:szCs w:val="28"/>
        </w:rPr>
        <w:t xml:space="preserve"> BnF, département Droit, économie, politique, F-21169 (85). Communication </w:t>
      </w:r>
      <w:r>
        <w:rPr>
          <w:sz w:val="28"/>
          <w:szCs w:val="28"/>
        </w:rPr>
        <w:t>M.</w:t>
      </w:r>
      <w:r w:rsidRPr="007F59F4">
        <w:rPr>
          <w:sz w:val="28"/>
          <w:szCs w:val="28"/>
        </w:rPr>
        <w:t xml:space="preserve"> Collart.</w:t>
      </w:r>
      <w:r w:rsidRPr="002A7070">
        <w:rPr>
          <w:sz w:val="28"/>
          <w:szCs w:val="28"/>
        </w:rPr>
        <w:t xml:space="preserve"> </w:t>
      </w:r>
    </w:p>
  </w:footnote>
  <w:footnote w:id="16">
    <w:p w14:paraId="1C706A62" w14:textId="77777777" w:rsidR="00405C29" w:rsidRPr="00244C7D" w:rsidRDefault="00405C29" w:rsidP="005515BA">
      <w:pPr>
        <w:pStyle w:val="Notedebasdepage"/>
        <w:spacing w:line="480" w:lineRule="auto"/>
        <w:rPr>
          <w:sz w:val="28"/>
          <w:szCs w:val="28"/>
        </w:rPr>
      </w:pPr>
      <w:r w:rsidRPr="00244C7D">
        <w:rPr>
          <w:rStyle w:val="Appelnotedebasdep"/>
          <w:sz w:val="28"/>
          <w:szCs w:val="28"/>
        </w:rPr>
        <w:footnoteRef/>
      </w:r>
      <w:r w:rsidRPr="00244C7D">
        <w:rPr>
          <w:sz w:val="28"/>
          <w:szCs w:val="28"/>
        </w:rPr>
        <w:t xml:space="preserve"> Quéniart, p</w:t>
      </w:r>
      <w:r>
        <w:rPr>
          <w:sz w:val="28"/>
          <w:szCs w:val="28"/>
        </w:rPr>
        <w:t>p. 51, 72.</w:t>
      </w:r>
    </w:p>
  </w:footnote>
  <w:footnote w:id="17">
    <w:p w14:paraId="1FADEEBF" w14:textId="222EEBD7" w:rsidR="00405C29" w:rsidRPr="00244C7D" w:rsidRDefault="00405C29" w:rsidP="005515BA">
      <w:pPr>
        <w:pStyle w:val="Notedebasdepage"/>
        <w:spacing w:line="480" w:lineRule="auto"/>
        <w:rPr>
          <w:i/>
          <w:sz w:val="28"/>
          <w:szCs w:val="28"/>
        </w:rPr>
      </w:pPr>
      <w:r w:rsidRPr="00244C7D">
        <w:rPr>
          <w:rStyle w:val="Appelnotedebasdep"/>
          <w:sz w:val="28"/>
          <w:szCs w:val="28"/>
        </w:rPr>
        <w:footnoteRef/>
      </w:r>
      <w:r w:rsidRPr="00244C7D">
        <w:rPr>
          <w:sz w:val="28"/>
          <w:szCs w:val="28"/>
        </w:rPr>
        <w:t xml:space="preserve"> </w:t>
      </w:r>
      <w:r w:rsidR="00EF4C24" w:rsidRPr="00AF25A4">
        <w:rPr>
          <w:sz w:val="28"/>
          <w:szCs w:val="28"/>
        </w:rPr>
        <w:t>Voltaire/von Proschwitz,</w:t>
      </w:r>
      <w:r w:rsidR="00EF4C24" w:rsidRPr="00AF25A4">
        <w:rPr>
          <w:i/>
          <w:sz w:val="28"/>
          <w:szCs w:val="28"/>
        </w:rPr>
        <w:t xml:space="preserve"> </w:t>
      </w:r>
      <w:r w:rsidRPr="00994050">
        <w:rPr>
          <w:sz w:val="28"/>
          <w:szCs w:val="28"/>
        </w:rPr>
        <w:t xml:space="preserve">6. </w:t>
      </w:r>
      <w:r w:rsidRPr="00994050">
        <w:rPr>
          <w:i/>
          <w:sz w:val="28"/>
          <w:szCs w:val="28"/>
        </w:rPr>
        <w:t>Editions,</w:t>
      </w:r>
      <w:r w:rsidRPr="00244C7D">
        <w:rPr>
          <w:i/>
          <w:sz w:val="28"/>
          <w:szCs w:val="28"/>
        </w:rPr>
        <w:t xml:space="preserve"> </w:t>
      </w:r>
      <w:r w:rsidRPr="00244C7D">
        <w:rPr>
          <w:sz w:val="28"/>
          <w:szCs w:val="28"/>
        </w:rPr>
        <w:t>section établie pa</w:t>
      </w:r>
      <w:r>
        <w:rPr>
          <w:sz w:val="28"/>
          <w:szCs w:val="28"/>
        </w:rPr>
        <w:t xml:space="preserve">r Andrew Brown et Ulla Kölving. </w:t>
      </w:r>
    </w:p>
  </w:footnote>
  <w:footnote w:id="18">
    <w:p w14:paraId="6EACD140" w14:textId="34FA4BCE" w:rsidR="00405C29" w:rsidRPr="00244C7D" w:rsidRDefault="00405C29" w:rsidP="005515BA">
      <w:pPr>
        <w:pStyle w:val="Notedebasdepage"/>
        <w:spacing w:line="480" w:lineRule="auto"/>
        <w:rPr>
          <w:sz w:val="28"/>
          <w:szCs w:val="28"/>
        </w:rPr>
      </w:pPr>
      <w:r w:rsidRPr="00244C7D">
        <w:rPr>
          <w:rStyle w:val="Appelnotedebasdep"/>
          <w:sz w:val="28"/>
          <w:szCs w:val="28"/>
        </w:rPr>
        <w:footnoteRef/>
      </w:r>
      <w:r>
        <w:rPr>
          <w:sz w:val="28"/>
          <w:szCs w:val="28"/>
        </w:rPr>
        <w:t xml:space="preserve"> Muriel Collart, ‘</w:t>
      </w:r>
      <w:r w:rsidRPr="00244C7D">
        <w:rPr>
          <w:sz w:val="28"/>
          <w:szCs w:val="28"/>
        </w:rPr>
        <w:t>La production voltairienne de Bassompierre et</w:t>
      </w:r>
      <w:r>
        <w:rPr>
          <w:sz w:val="28"/>
          <w:szCs w:val="28"/>
        </w:rPr>
        <w:t xml:space="preserve"> Nouffer de Genève (1776-1777)</w:t>
      </w:r>
      <w:r w:rsidRPr="00244C7D">
        <w:rPr>
          <w:sz w:val="28"/>
          <w:szCs w:val="28"/>
        </w:rPr>
        <w:t>. U</w:t>
      </w:r>
      <w:r>
        <w:rPr>
          <w:sz w:val="28"/>
          <w:szCs w:val="28"/>
        </w:rPr>
        <w:t>n cas d’heuristique éditoriale’</w:t>
      </w:r>
      <w:r w:rsidRPr="00244C7D">
        <w:rPr>
          <w:sz w:val="28"/>
          <w:szCs w:val="28"/>
        </w:rPr>
        <w:t xml:space="preserve">, </w:t>
      </w:r>
      <w:r w:rsidRPr="00244C7D">
        <w:rPr>
          <w:i/>
          <w:sz w:val="28"/>
          <w:szCs w:val="28"/>
        </w:rPr>
        <w:t xml:space="preserve">Revue Voltaire, </w:t>
      </w:r>
      <w:r>
        <w:rPr>
          <w:sz w:val="28"/>
          <w:szCs w:val="28"/>
        </w:rPr>
        <w:t>21 (</w:t>
      </w:r>
      <w:r w:rsidRPr="00244C7D">
        <w:rPr>
          <w:sz w:val="28"/>
          <w:szCs w:val="28"/>
        </w:rPr>
        <w:t>2023</w:t>
      </w:r>
      <w:r>
        <w:rPr>
          <w:sz w:val="28"/>
          <w:szCs w:val="28"/>
        </w:rPr>
        <w:t>)</w:t>
      </w:r>
      <w:r w:rsidRPr="00244C7D">
        <w:rPr>
          <w:sz w:val="28"/>
          <w:szCs w:val="28"/>
        </w:rPr>
        <w:t>, p</w:t>
      </w:r>
      <w:r>
        <w:rPr>
          <w:sz w:val="28"/>
          <w:szCs w:val="28"/>
        </w:rPr>
        <w:t>p. 371-</w:t>
      </w:r>
      <w:r w:rsidRPr="00244C7D">
        <w:rPr>
          <w:sz w:val="28"/>
          <w:szCs w:val="28"/>
        </w:rPr>
        <w:t>92.</w:t>
      </w:r>
    </w:p>
  </w:footnote>
  <w:footnote w:id="19">
    <w:p w14:paraId="387ABF4C" w14:textId="123B5812" w:rsidR="00405C29" w:rsidRPr="00B91019" w:rsidRDefault="00405C29" w:rsidP="00B91019">
      <w:pPr>
        <w:pStyle w:val="Notedebasdepage"/>
        <w:spacing w:line="480" w:lineRule="auto"/>
        <w:rPr>
          <w:sz w:val="28"/>
          <w:szCs w:val="28"/>
        </w:rPr>
      </w:pPr>
      <w:r w:rsidRPr="00244C7D">
        <w:rPr>
          <w:rStyle w:val="Appelnotedebasdep"/>
          <w:sz w:val="28"/>
          <w:szCs w:val="28"/>
        </w:rPr>
        <w:footnoteRef/>
      </w:r>
      <w:r w:rsidRPr="00244C7D">
        <w:rPr>
          <w:sz w:val="28"/>
          <w:szCs w:val="28"/>
        </w:rPr>
        <w:t xml:space="preserve"> </w:t>
      </w:r>
      <w:r>
        <w:rPr>
          <w:sz w:val="28"/>
          <w:szCs w:val="28"/>
        </w:rPr>
        <w:t>Daniel Droixhe, ‘</w:t>
      </w:r>
      <w:r w:rsidRPr="00244C7D">
        <w:rPr>
          <w:sz w:val="28"/>
          <w:szCs w:val="28"/>
        </w:rPr>
        <w:t xml:space="preserve">Signatures </w:t>
      </w:r>
      <w:r w:rsidRPr="00C62CF5">
        <w:rPr>
          <w:sz w:val="28"/>
          <w:szCs w:val="28"/>
        </w:rPr>
        <w:t>clandestines et autres essais sur les contrefaçons de Liège et de Maestricht au XVIII</w:t>
      </w:r>
      <w:r w:rsidRPr="00C62CF5">
        <w:rPr>
          <w:sz w:val="28"/>
          <w:szCs w:val="28"/>
          <w:vertAlign w:val="superscript"/>
        </w:rPr>
        <w:t xml:space="preserve">e </w:t>
      </w:r>
      <w:r>
        <w:rPr>
          <w:sz w:val="28"/>
          <w:szCs w:val="28"/>
        </w:rPr>
        <w:t>siècle’</w:t>
      </w:r>
      <w:r w:rsidRPr="00C62CF5">
        <w:rPr>
          <w:sz w:val="28"/>
          <w:szCs w:val="28"/>
        </w:rPr>
        <w:t xml:space="preserve">, </w:t>
      </w:r>
      <w:r w:rsidRPr="00C62CF5">
        <w:rPr>
          <w:rStyle w:val="Accentuation"/>
          <w:sz w:val="28"/>
          <w:szCs w:val="28"/>
          <w:shd w:val="clear" w:color="auto" w:fill="FFFFFF"/>
        </w:rPr>
        <w:t>Studies on Voltaire and the Eighteenth Century</w:t>
      </w:r>
      <w:r w:rsidRPr="00C62CF5">
        <w:rPr>
          <w:sz w:val="28"/>
          <w:szCs w:val="28"/>
          <w:shd w:val="clear" w:color="auto" w:fill="FFFFFF"/>
        </w:rPr>
        <w:t xml:space="preserve">, </w:t>
      </w:r>
      <w:r>
        <w:rPr>
          <w:sz w:val="28"/>
          <w:szCs w:val="28"/>
          <w:shd w:val="clear" w:color="auto" w:fill="FFFFFF"/>
        </w:rPr>
        <w:t xml:space="preserve">2001: 10 (Oxford: Voltaire Foundation, 2001), pp. 49-198. </w:t>
      </w:r>
    </w:p>
  </w:footnote>
  <w:footnote w:id="20">
    <w:p w14:paraId="5809A671" w14:textId="57B2B766" w:rsidR="00405C29" w:rsidRPr="00244C7D" w:rsidRDefault="00405C29" w:rsidP="00E84103">
      <w:pPr>
        <w:pStyle w:val="Notedebasdepage"/>
        <w:spacing w:line="480" w:lineRule="auto"/>
        <w:rPr>
          <w:sz w:val="28"/>
          <w:szCs w:val="28"/>
        </w:rPr>
      </w:pPr>
      <w:r w:rsidRPr="00244C7D">
        <w:rPr>
          <w:rStyle w:val="Appelnotedebasdep"/>
          <w:sz w:val="28"/>
          <w:szCs w:val="28"/>
        </w:rPr>
        <w:footnoteRef/>
      </w:r>
      <w:r>
        <w:rPr>
          <w:sz w:val="28"/>
          <w:szCs w:val="28"/>
        </w:rPr>
        <w:t xml:space="preserve"> Giles Barber, ‘</w:t>
      </w:r>
      <w:r w:rsidRPr="00244C7D">
        <w:rPr>
          <w:sz w:val="28"/>
          <w:szCs w:val="28"/>
        </w:rPr>
        <w:t xml:space="preserve">Modèle genevois, mode européenne: le cas de </w:t>
      </w:r>
      <w:r w:rsidRPr="00244C7D">
        <w:rPr>
          <w:i/>
          <w:sz w:val="28"/>
          <w:szCs w:val="28"/>
        </w:rPr>
        <w:t xml:space="preserve">Candide </w:t>
      </w:r>
      <w:r>
        <w:rPr>
          <w:sz w:val="28"/>
          <w:szCs w:val="28"/>
        </w:rPr>
        <w:t>et de ses contrefaçons’</w:t>
      </w:r>
      <w:r w:rsidRPr="00244C7D">
        <w:rPr>
          <w:sz w:val="28"/>
          <w:szCs w:val="28"/>
        </w:rPr>
        <w:t xml:space="preserve">, dans </w:t>
      </w:r>
      <w:r w:rsidRPr="00244C7D">
        <w:rPr>
          <w:i/>
          <w:sz w:val="28"/>
          <w:szCs w:val="28"/>
        </w:rPr>
        <w:t xml:space="preserve">Cinq siècles d’imprimerie genevoise, </w:t>
      </w:r>
      <w:r w:rsidRPr="00244C7D">
        <w:rPr>
          <w:sz w:val="28"/>
          <w:szCs w:val="28"/>
        </w:rPr>
        <w:t xml:space="preserve">éd. </w:t>
      </w:r>
      <w:r>
        <w:rPr>
          <w:sz w:val="28"/>
          <w:szCs w:val="28"/>
        </w:rPr>
        <w:t xml:space="preserve">par </w:t>
      </w:r>
      <w:r w:rsidRPr="00244C7D">
        <w:rPr>
          <w:sz w:val="28"/>
          <w:szCs w:val="28"/>
        </w:rPr>
        <w:t>Jean-Dan</w:t>
      </w:r>
      <w:r>
        <w:rPr>
          <w:sz w:val="28"/>
          <w:szCs w:val="28"/>
        </w:rPr>
        <w:t>iel Candaux et Bernard Lescaze (Genève:</w:t>
      </w:r>
      <w:r w:rsidRPr="00244C7D">
        <w:rPr>
          <w:sz w:val="28"/>
          <w:szCs w:val="28"/>
        </w:rPr>
        <w:t xml:space="preserve"> Société d’histoire et d’archéologie, 1980-1981</w:t>
      </w:r>
      <w:r>
        <w:rPr>
          <w:sz w:val="28"/>
          <w:szCs w:val="28"/>
        </w:rPr>
        <w:t>)</w:t>
      </w:r>
      <w:r w:rsidRPr="00244C7D">
        <w:rPr>
          <w:sz w:val="28"/>
          <w:szCs w:val="28"/>
        </w:rPr>
        <w:t>, II, p</w:t>
      </w:r>
      <w:r>
        <w:rPr>
          <w:sz w:val="28"/>
          <w:szCs w:val="28"/>
        </w:rPr>
        <w:t>p</w:t>
      </w:r>
      <w:r w:rsidRPr="00244C7D">
        <w:rPr>
          <w:sz w:val="28"/>
          <w:szCs w:val="28"/>
        </w:rPr>
        <w:t xml:space="preserve">. 49-67. </w:t>
      </w:r>
      <w:r w:rsidR="00E84103">
        <w:rPr>
          <w:sz w:val="28"/>
          <w:szCs w:val="28"/>
        </w:rPr>
        <w:t xml:space="preserve">Les éditions suisses étudiées avec brio par S. Corsini usent volontiers d’un matériel ornemental produit par des matrices métalliques fabriquées en série et qui, mises à la disposition de divers imprimeurs, tendent à confondre leur répertoire, d’où une relative faiblesse d’identification. Voir Silvio Corsini, </w:t>
      </w:r>
      <w:r w:rsidR="00E84103">
        <w:rPr>
          <w:i/>
          <w:sz w:val="28"/>
          <w:szCs w:val="28"/>
        </w:rPr>
        <w:t xml:space="preserve">La preuve par les fleurons ? Analyse comparée du matériel ornemental des imprimeurs suisses romands, 1775-1785 </w:t>
      </w:r>
      <w:r w:rsidR="00E84103">
        <w:rPr>
          <w:sz w:val="28"/>
          <w:szCs w:val="28"/>
        </w:rPr>
        <w:t xml:space="preserve">(Ferney-Voltaire : Centre international d’étude du XVIIIe siècle, 1999). Dans le compte rendu de l’ouvrage paru dans </w:t>
      </w:r>
      <w:r w:rsidR="00E84103">
        <w:rPr>
          <w:i/>
          <w:sz w:val="28"/>
          <w:szCs w:val="28"/>
        </w:rPr>
        <w:t xml:space="preserve">Dix-huitième siècle, </w:t>
      </w:r>
      <w:r w:rsidR="00E84103">
        <w:rPr>
          <w:sz w:val="28"/>
          <w:szCs w:val="28"/>
        </w:rPr>
        <w:t>32 (2000), p. 557, Gianluigi Goggi écrit à juste titre que la ‘preuve par les fleurons’ devient douteuse quand ceux-ci, ‘obtenus par polytypage, sont présents en même temps dans plusieurs ateliers d’imprimeurs’.</w:t>
      </w:r>
    </w:p>
  </w:footnote>
  <w:footnote w:id="21">
    <w:p w14:paraId="354F65A0" w14:textId="32E5FCBE" w:rsidR="00EE302D" w:rsidRDefault="00EE302D">
      <w:pPr>
        <w:pStyle w:val="Notedebasdepage"/>
      </w:pPr>
      <w:r>
        <w:rPr>
          <w:rStyle w:val="Appelnotedebasdep"/>
        </w:rPr>
        <w:footnoteRef/>
      </w:r>
      <w:r>
        <w:t xml:space="preserve"> </w:t>
      </w:r>
      <w:hyperlink r:id="rId1" w:history="1">
        <w:r w:rsidRPr="00637701">
          <w:rPr>
            <w:rStyle w:val="Lienhypertexte"/>
            <w:color w:val="auto"/>
            <w:sz w:val="28"/>
            <w:szCs w:val="28"/>
            <w:u w:val="none"/>
          </w:rPr>
          <w:t>https://numelyo.bm-lyon.fr/f_view/BML:BML_00GOO0100137001100694582</w:t>
        </w:r>
      </w:hyperlink>
      <w:r w:rsidRPr="00637701">
        <w:rPr>
          <w:sz w:val="28"/>
          <w:szCs w:val="28"/>
        </w:rPr>
        <w:t>.</w:t>
      </w:r>
    </w:p>
  </w:footnote>
  <w:footnote w:id="22">
    <w:p w14:paraId="0543231B" w14:textId="77777777" w:rsidR="00405C29" w:rsidRPr="00244C7D" w:rsidRDefault="00405C29" w:rsidP="005515BA">
      <w:pPr>
        <w:pStyle w:val="Notedebasdepage"/>
        <w:spacing w:line="480" w:lineRule="auto"/>
        <w:rPr>
          <w:sz w:val="28"/>
          <w:szCs w:val="28"/>
        </w:rPr>
      </w:pPr>
      <w:r w:rsidRPr="00244C7D">
        <w:rPr>
          <w:rStyle w:val="Appelnotedebasdep"/>
          <w:sz w:val="28"/>
          <w:szCs w:val="28"/>
        </w:rPr>
        <w:footnoteRef/>
      </w:r>
      <w:r w:rsidRPr="00244C7D">
        <w:rPr>
          <w:sz w:val="28"/>
          <w:szCs w:val="28"/>
        </w:rPr>
        <w:t xml:space="preserve"> Communication Frédéric Fourgeaud, 03-08-23. </w:t>
      </w:r>
    </w:p>
  </w:footnote>
  <w:footnote w:id="23">
    <w:p w14:paraId="7BA6856B" w14:textId="7B5F1B27" w:rsidR="00405C29" w:rsidRPr="00244C7D" w:rsidRDefault="00405C29" w:rsidP="005515BA">
      <w:pPr>
        <w:pStyle w:val="Notedebasdepage"/>
        <w:spacing w:line="480" w:lineRule="auto"/>
        <w:rPr>
          <w:sz w:val="28"/>
          <w:szCs w:val="28"/>
        </w:rPr>
      </w:pPr>
      <w:r w:rsidRPr="00244C7D">
        <w:rPr>
          <w:rStyle w:val="Appelnotedebasdep"/>
          <w:sz w:val="28"/>
          <w:szCs w:val="28"/>
        </w:rPr>
        <w:footnoteRef/>
      </w:r>
      <w:r w:rsidRPr="00244C7D">
        <w:rPr>
          <w:sz w:val="28"/>
          <w:szCs w:val="28"/>
        </w:rPr>
        <w:t xml:space="preserve"> David Smith, </w:t>
      </w:r>
      <w:r w:rsidRPr="00244C7D">
        <w:rPr>
          <w:i/>
          <w:sz w:val="28"/>
          <w:szCs w:val="28"/>
        </w:rPr>
        <w:t>Bibliographie des œuvres</w:t>
      </w:r>
      <w:r>
        <w:rPr>
          <w:i/>
          <w:sz w:val="28"/>
          <w:szCs w:val="28"/>
        </w:rPr>
        <w:t xml:space="preserve"> de Mme de Graffigny. 1745-1855</w:t>
      </w:r>
      <w:r w:rsidRPr="00244C7D">
        <w:rPr>
          <w:i/>
          <w:sz w:val="28"/>
          <w:szCs w:val="28"/>
        </w:rPr>
        <w:t xml:space="preserve"> </w:t>
      </w:r>
      <w:r>
        <w:rPr>
          <w:sz w:val="28"/>
          <w:szCs w:val="28"/>
        </w:rPr>
        <w:t>(</w:t>
      </w:r>
      <w:r w:rsidRPr="00244C7D">
        <w:rPr>
          <w:sz w:val="28"/>
          <w:szCs w:val="28"/>
        </w:rPr>
        <w:t>Ferney</w:t>
      </w:r>
      <w:r>
        <w:rPr>
          <w:sz w:val="28"/>
          <w:szCs w:val="28"/>
        </w:rPr>
        <w:t>-Voltaire:</w:t>
      </w:r>
      <w:r w:rsidRPr="00244C7D">
        <w:rPr>
          <w:sz w:val="28"/>
          <w:szCs w:val="28"/>
        </w:rPr>
        <w:t xml:space="preserve"> Centre international d’étude du XVIII</w:t>
      </w:r>
      <w:r w:rsidRPr="00244C7D">
        <w:rPr>
          <w:sz w:val="28"/>
          <w:szCs w:val="28"/>
          <w:vertAlign w:val="superscript"/>
        </w:rPr>
        <w:t xml:space="preserve">e </w:t>
      </w:r>
      <w:r>
        <w:rPr>
          <w:sz w:val="28"/>
          <w:szCs w:val="28"/>
        </w:rPr>
        <w:t>siècle, 2016),</w:t>
      </w:r>
      <w:r w:rsidRPr="00244C7D">
        <w:rPr>
          <w:sz w:val="28"/>
          <w:szCs w:val="28"/>
        </w:rPr>
        <w:t xml:space="preserve"> p</w:t>
      </w:r>
      <w:r>
        <w:rPr>
          <w:sz w:val="28"/>
          <w:szCs w:val="28"/>
        </w:rPr>
        <w:t>p. 178-</w:t>
      </w:r>
      <w:r w:rsidRPr="00244C7D">
        <w:rPr>
          <w:sz w:val="28"/>
          <w:szCs w:val="28"/>
        </w:rPr>
        <w:t xml:space="preserve">81. </w:t>
      </w:r>
    </w:p>
  </w:footnote>
  <w:footnote w:id="24">
    <w:p w14:paraId="3E594611" w14:textId="77777777" w:rsidR="00405C29" w:rsidRPr="00244C7D" w:rsidRDefault="00405C29" w:rsidP="005515BA">
      <w:pPr>
        <w:pStyle w:val="Notedebasdepage"/>
        <w:spacing w:line="480" w:lineRule="auto"/>
        <w:rPr>
          <w:i/>
          <w:sz w:val="28"/>
          <w:szCs w:val="28"/>
        </w:rPr>
      </w:pPr>
      <w:r w:rsidRPr="00244C7D">
        <w:rPr>
          <w:rStyle w:val="Appelnotedebasdep"/>
          <w:sz w:val="28"/>
          <w:szCs w:val="28"/>
        </w:rPr>
        <w:footnoteRef/>
      </w:r>
      <w:r w:rsidRPr="00244C7D">
        <w:rPr>
          <w:sz w:val="28"/>
          <w:szCs w:val="28"/>
        </w:rPr>
        <w:t xml:space="preserve"> On remercie </w:t>
      </w:r>
      <w:r>
        <w:rPr>
          <w:sz w:val="28"/>
          <w:szCs w:val="28"/>
        </w:rPr>
        <w:t>D. Smith</w:t>
      </w:r>
      <w:r w:rsidRPr="00244C7D">
        <w:rPr>
          <w:sz w:val="28"/>
          <w:szCs w:val="28"/>
        </w:rPr>
        <w:t xml:space="preserve"> de l’aide apportée dans la recherche des contrefaçons Machuel des </w:t>
      </w:r>
      <w:r w:rsidRPr="00244C7D">
        <w:rPr>
          <w:i/>
          <w:sz w:val="28"/>
          <w:szCs w:val="28"/>
        </w:rPr>
        <w:t xml:space="preserve">Lettres d’une Péruvienne. </w:t>
      </w:r>
    </w:p>
  </w:footnote>
  <w:footnote w:id="25">
    <w:p w14:paraId="01E1DF1C" w14:textId="0BEC0591" w:rsidR="00405C29" w:rsidRPr="005139E1" w:rsidRDefault="00405C29" w:rsidP="005139E1">
      <w:pPr>
        <w:pStyle w:val="Notedebasdepage"/>
        <w:spacing w:line="480" w:lineRule="auto"/>
        <w:rPr>
          <w:sz w:val="28"/>
          <w:szCs w:val="28"/>
        </w:rPr>
      </w:pPr>
      <w:r w:rsidRPr="00244C7D">
        <w:rPr>
          <w:rStyle w:val="Appelnotedebasdep"/>
          <w:sz w:val="28"/>
          <w:szCs w:val="28"/>
        </w:rPr>
        <w:footnoteRef/>
      </w:r>
      <w:r w:rsidRPr="00244C7D">
        <w:rPr>
          <w:sz w:val="28"/>
          <w:szCs w:val="28"/>
        </w:rPr>
        <w:t xml:space="preserve"> David Adams, </w:t>
      </w:r>
      <w:r w:rsidRPr="00244C7D">
        <w:rPr>
          <w:i/>
          <w:sz w:val="28"/>
          <w:szCs w:val="28"/>
        </w:rPr>
        <w:t>Bibliographie des œuvres de Denis Diderot. 1739-1900</w:t>
      </w:r>
      <w:r>
        <w:rPr>
          <w:i/>
          <w:sz w:val="28"/>
          <w:szCs w:val="28"/>
        </w:rPr>
        <w:t xml:space="preserve"> </w:t>
      </w:r>
      <w:r>
        <w:rPr>
          <w:sz w:val="28"/>
          <w:szCs w:val="28"/>
        </w:rPr>
        <w:t>(</w:t>
      </w:r>
      <w:r w:rsidRPr="00244C7D">
        <w:rPr>
          <w:sz w:val="28"/>
          <w:szCs w:val="28"/>
        </w:rPr>
        <w:t>Ferney-Voltaire</w:t>
      </w:r>
      <w:r>
        <w:rPr>
          <w:sz w:val="28"/>
          <w:szCs w:val="28"/>
        </w:rPr>
        <w:t>:</w:t>
      </w:r>
      <w:r w:rsidRPr="00244C7D">
        <w:rPr>
          <w:sz w:val="28"/>
          <w:szCs w:val="28"/>
        </w:rPr>
        <w:t xml:space="preserve"> Centre international d’étude du XVIII</w:t>
      </w:r>
      <w:r w:rsidRPr="00244C7D">
        <w:rPr>
          <w:sz w:val="28"/>
          <w:szCs w:val="28"/>
          <w:vertAlign w:val="superscript"/>
        </w:rPr>
        <w:t xml:space="preserve">e </w:t>
      </w:r>
      <w:r w:rsidRPr="00244C7D">
        <w:rPr>
          <w:sz w:val="28"/>
          <w:szCs w:val="28"/>
        </w:rPr>
        <w:t>siècle, 2000</w:t>
      </w:r>
      <w:r>
        <w:rPr>
          <w:sz w:val="28"/>
          <w:szCs w:val="28"/>
        </w:rPr>
        <w:t>)</w:t>
      </w:r>
      <w:r w:rsidRPr="00244C7D">
        <w:rPr>
          <w:sz w:val="28"/>
          <w:szCs w:val="28"/>
        </w:rPr>
        <w:t>, p</w:t>
      </w:r>
      <w:r>
        <w:rPr>
          <w:sz w:val="28"/>
          <w:szCs w:val="28"/>
        </w:rPr>
        <w:t>p</w:t>
      </w:r>
      <w:r w:rsidRPr="00244C7D">
        <w:rPr>
          <w:sz w:val="28"/>
          <w:szCs w:val="28"/>
        </w:rPr>
        <w:t>. 229-</w:t>
      </w:r>
      <w:r w:rsidRPr="005139E1">
        <w:rPr>
          <w:sz w:val="28"/>
          <w:szCs w:val="28"/>
        </w:rPr>
        <w:t>30.</w:t>
      </w:r>
    </w:p>
  </w:footnote>
  <w:footnote w:id="26">
    <w:p w14:paraId="331F3C27" w14:textId="4EB0F01D" w:rsidR="0052746C" w:rsidRDefault="0052746C" w:rsidP="0052746C">
      <w:pPr>
        <w:pStyle w:val="Notedebasdepage"/>
        <w:spacing w:line="480" w:lineRule="auto"/>
      </w:pPr>
      <w:r w:rsidRPr="005139E1">
        <w:rPr>
          <w:rStyle w:val="Appelnotedebasdep"/>
          <w:sz w:val="28"/>
          <w:szCs w:val="28"/>
        </w:rPr>
        <w:footnoteRef/>
      </w:r>
      <w:r>
        <w:rPr>
          <w:sz w:val="28"/>
          <w:szCs w:val="28"/>
        </w:rPr>
        <w:t xml:space="preserve"> Il proposait cependant une origine parisienne en se fondant sur</w:t>
      </w:r>
      <w:r w:rsidRPr="005139E1">
        <w:rPr>
          <w:sz w:val="28"/>
          <w:szCs w:val="28"/>
        </w:rPr>
        <w:t xml:space="preserve"> Richard A. Sayce, </w:t>
      </w:r>
      <w:r>
        <w:rPr>
          <w:i/>
          <w:sz w:val="28"/>
          <w:szCs w:val="28"/>
        </w:rPr>
        <w:t>Compositorial Practic</w:t>
      </w:r>
      <w:r w:rsidRPr="005139E1">
        <w:rPr>
          <w:i/>
          <w:sz w:val="28"/>
          <w:szCs w:val="28"/>
        </w:rPr>
        <w:t>es and th</w:t>
      </w:r>
      <w:r>
        <w:rPr>
          <w:i/>
          <w:sz w:val="28"/>
          <w:szCs w:val="28"/>
        </w:rPr>
        <w:t>e Localiz</w:t>
      </w:r>
      <w:r w:rsidRPr="005139E1">
        <w:rPr>
          <w:i/>
          <w:sz w:val="28"/>
          <w:szCs w:val="28"/>
        </w:rPr>
        <w:t>ation of Printed Books</w:t>
      </w:r>
      <w:r>
        <w:rPr>
          <w:i/>
          <w:sz w:val="28"/>
          <w:szCs w:val="28"/>
        </w:rPr>
        <w:t xml:space="preserve">, 1530-1800 </w:t>
      </w:r>
      <w:r>
        <w:rPr>
          <w:sz w:val="28"/>
          <w:szCs w:val="28"/>
        </w:rPr>
        <w:t>(</w:t>
      </w:r>
      <w:r w:rsidRPr="005139E1">
        <w:rPr>
          <w:sz w:val="28"/>
          <w:szCs w:val="28"/>
        </w:rPr>
        <w:t>Oxford: Oxford Bibliographical Society, Bodleian Library, 1979</w:t>
      </w:r>
      <w:r>
        <w:rPr>
          <w:sz w:val="28"/>
          <w:szCs w:val="28"/>
        </w:rPr>
        <w:t>)</w:t>
      </w:r>
      <w:r w:rsidRPr="005139E1">
        <w:rPr>
          <w:sz w:val="28"/>
          <w:szCs w:val="28"/>
        </w:rPr>
        <w:t>, p. 11</w:t>
      </w:r>
      <w:r>
        <w:rPr>
          <w:sz w:val="28"/>
          <w:szCs w:val="28"/>
        </w:rPr>
        <w:t xml:space="preserve">. </w:t>
      </w:r>
    </w:p>
  </w:footnote>
  <w:footnote w:id="27">
    <w:p w14:paraId="0641B1D6" w14:textId="44A46ECD" w:rsidR="00C45DB4" w:rsidRPr="00C45DB4" w:rsidRDefault="00C45DB4" w:rsidP="00C45DB4">
      <w:pPr>
        <w:pStyle w:val="Notedebasdepage"/>
        <w:spacing w:line="480" w:lineRule="auto"/>
        <w:rPr>
          <w:sz w:val="28"/>
          <w:szCs w:val="28"/>
        </w:rPr>
      </w:pPr>
      <w:r w:rsidRPr="00C45DB4">
        <w:rPr>
          <w:rStyle w:val="Appelnotedebasdep"/>
          <w:sz w:val="28"/>
          <w:szCs w:val="28"/>
        </w:rPr>
        <w:footnoteRef/>
      </w:r>
      <w:r w:rsidRPr="00C45DB4">
        <w:rPr>
          <w:sz w:val="28"/>
          <w:szCs w:val="28"/>
        </w:rPr>
        <w:t xml:space="preserve"> Il avait été proposé, </w:t>
      </w:r>
      <w:r>
        <w:rPr>
          <w:sz w:val="28"/>
          <w:szCs w:val="28"/>
        </w:rPr>
        <w:t>lors d’une réunion tenue à l’Université de Liège,</w:t>
      </w:r>
      <w:r w:rsidRPr="00C45DB4">
        <w:rPr>
          <w:sz w:val="28"/>
          <w:szCs w:val="28"/>
        </w:rPr>
        <w:t xml:space="preserve"> de les appeler ‘vignettes’, pour les distinguer des ‘bandeaux’. </w:t>
      </w:r>
      <w:r>
        <w:rPr>
          <w:sz w:val="28"/>
          <w:szCs w:val="28"/>
        </w:rPr>
        <w:t>La réunion,</w:t>
      </w:r>
      <w:r w:rsidRPr="00C45DB4">
        <w:rPr>
          <w:sz w:val="28"/>
          <w:szCs w:val="28"/>
        </w:rPr>
        <w:t xml:space="preserve"> tenue dans les années 1980</w:t>
      </w:r>
      <w:r>
        <w:rPr>
          <w:sz w:val="28"/>
          <w:szCs w:val="28"/>
        </w:rPr>
        <w:t>,</w:t>
      </w:r>
      <w:r w:rsidRPr="00C45DB4">
        <w:rPr>
          <w:sz w:val="28"/>
          <w:szCs w:val="28"/>
        </w:rPr>
        <w:t xml:space="preserve"> </w:t>
      </w:r>
      <w:r>
        <w:rPr>
          <w:sz w:val="28"/>
          <w:szCs w:val="28"/>
        </w:rPr>
        <w:t>regroupait notamment</w:t>
      </w:r>
      <w:r w:rsidRPr="00C45DB4">
        <w:rPr>
          <w:sz w:val="28"/>
          <w:szCs w:val="28"/>
        </w:rPr>
        <w:t xml:space="preserve"> Andrew Brown, Silvio Corsini, Pol-Pierre Gossiaux, Nadine Vanwelkenhuyzen et moi-même.</w:t>
      </w:r>
    </w:p>
  </w:footnote>
  <w:footnote w:id="28">
    <w:p w14:paraId="24A3F4B1" w14:textId="20CE76E4" w:rsidR="00405C29" w:rsidRPr="00244C7D" w:rsidRDefault="00405C29" w:rsidP="005515BA">
      <w:pPr>
        <w:pStyle w:val="Notedebasdepage"/>
        <w:spacing w:line="480" w:lineRule="auto"/>
        <w:rPr>
          <w:sz w:val="28"/>
          <w:szCs w:val="28"/>
        </w:rPr>
      </w:pPr>
      <w:r w:rsidRPr="00244C7D">
        <w:rPr>
          <w:rStyle w:val="Appelnotedebasdep"/>
          <w:sz w:val="28"/>
          <w:szCs w:val="28"/>
        </w:rPr>
        <w:footnoteRef/>
      </w:r>
      <w:r w:rsidRPr="00244C7D">
        <w:rPr>
          <w:sz w:val="28"/>
          <w:szCs w:val="28"/>
        </w:rPr>
        <w:t xml:space="preserve"> Voir</w:t>
      </w:r>
      <w:r>
        <w:rPr>
          <w:sz w:val="28"/>
          <w:szCs w:val="28"/>
        </w:rPr>
        <w:t xml:space="preserve"> Daniel Droixhe, ‘La philosophie avec style: Dufour et Roux’, dans </w:t>
      </w:r>
      <w:r>
        <w:rPr>
          <w:i/>
          <w:sz w:val="28"/>
          <w:szCs w:val="28"/>
        </w:rPr>
        <w:t xml:space="preserve">Signatures clandestines, </w:t>
      </w:r>
      <w:r>
        <w:rPr>
          <w:sz w:val="28"/>
          <w:szCs w:val="28"/>
        </w:rPr>
        <w:t>pp. 158 sv.; Muriel Collart, ‘</w:t>
      </w:r>
      <w:r w:rsidRPr="00244C7D">
        <w:rPr>
          <w:sz w:val="28"/>
          <w:szCs w:val="28"/>
        </w:rPr>
        <w:t xml:space="preserve">Des beaux ornements aux belles bibliothèques. À propos de l’édition clandestine des </w:t>
      </w:r>
      <w:r w:rsidRPr="00244C7D">
        <w:rPr>
          <w:i/>
          <w:sz w:val="28"/>
          <w:szCs w:val="28"/>
        </w:rPr>
        <w:t xml:space="preserve">Œuvres de Brantôme </w:t>
      </w:r>
      <w:r w:rsidRPr="00244C7D">
        <w:rPr>
          <w:sz w:val="28"/>
          <w:szCs w:val="28"/>
        </w:rPr>
        <w:t>par Jean-</w:t>
      </w:r>
      <w:r>
        <w:rPr>
          <w:sz w:val="28"/>
          <w:szCs w:val="28"/>
        </w:rPr>
        <w:t>Edme Dufour (Maastricht, 1779)’</w:t>
      </w:r>
      <w:r w:rsidRPr="00244C7D">
        <w:rPr>
          <w:sz w:val="28"/>
          <w:szCs w:val="28"/>
        </w:rPr>
        <w:t xml:space="preserve">, </w:t>
      </w:r>
      <w:r w:rsidRPr="00244C7D">
        <w:rPr>
          <w:i/>
          <w:sz w:val="28"/>
          <w:szCs w:val="28"/>
        </w:rPr>
        <w:t>Histoire et civilisation du livre</w:t>
      </w:r>
      <w:r>
        <w:rPr>
          <w:i/>
          <w:sz w:val="28"/>
          <w:szCs w:val="28"/>
        </w:rPr>
        <w:t>,</w:t>
      </w:r>
      <w:r w:rsidRPr="00244C7D">
        <w:rPr>
          <w:i/>
          <w:sz w:val="28"/>
          <w:szCs w:val="28"/>
        </w:rPr>
        <w:t xml:space="preserve"> </w:t>
      </w:r>
      <w:r>
        <w:rPr>
          <w:sz w:val="28"/>
          <w:szCs w:val="28"/>
        </w:rPr>
        <w:t>13 (</w:t>
      </w:r>
      <w:r w:rsidRPr="00244C7D">
        <w:rPr>
          <w:sz w:val="28"/>
          <w:szCs w:val="28"/>
        </w:rPr>
        <w:t>2017</w:t>
      </w:r>
      <w:r>
        <w:rPr>
          <w:sz w:val="28"/>
          <w:szCs w:val="28"/>
        </w:rPr>
        <w:t>)</w:t>
      </w:r>
      <w:r w:rsidRPr="00244C7D">
        <w:rPr>
          <w:sz w:val="28"/>
          <w:szCs w:val="28"/>
        </w:rPr>
        <w:t>, p</w:t>
      </w:r>
      <w:r>
        <w:rPr>
          <w:sz w:val="28"/>
          <w:szCs w:val="28"/>
        </w:rPr>
        <w:t xml:space="preserve">p. 167-83; </w:t>
      </w:r>
      <w:r w:rsidRPr="00244C7D">
        <w:rPr>
          <w:sz w:val="28"/>
          <w:szCs w:val="28"/>
        </w:rPr>
        <w:t xml:space="preserve">Muriel Collart, </w:t>
      </w:r>
      <w:r>
        <w:rPr>
          <w:sz w:val="28"/>
          <w:szCs w:val="28"/>
        </w:rPr>
        <w:t>Daniel Droixhe, Alice Piette, ‘</w:t>
      </w:r>
      <w:r w:rsidRPr="00FD1088">
        <w:rPr>
          <w:i/>
          <w:sz w:val="28"/>
          <w:szCs w:val="28"/>
        </w:rPr>
        <w:t>Je suis à la</w:t>
      </w:r>
      <w:r>
        <w:rPr>
          <w:i/>
          <w:sz w:val="28"/>
          <w:szCs w:val="28"/>
        </w:rPr>
        <w:t xml:space="preserve"> troisième édition de Bélisaire.</w:t>
      </w:r>
      <w:r w:rsidRPr="00244C7D">
        <w:rPr>
          <w:sz w:val="28"/>
          <w:szCs w:val="28"/>
        </w:rPr>
        <w:t xml:space="preserve"> Une contrefaçon du Bélisaire de Marmontel par le Liégeois Jea</w:t>
      </w:r>
      <w:r>
        <w:rPr>
          <w:sz w:val="28"/>
          <w:szCs w:val="28"/>
        </w:rPr>
        <w:t>n-François Bassompierre (1767)’,</w:t>
      </w:r>
      <w:r w:rsidRPr="00244C7D">
        <w:rPr>
          <w:sz w:val="28"/>
          <w:szCs w:val="28"/>
        </w:rPr>
        <w:t> </w:t>
      </w:r>
      <w:r w:rsidRPr="00244C7D">
        <w:rPr>
          <w:rStyle w:val="Accentuation"/>
          <w:sz w:val="28"/>
          <w:szCs w:val="28"/>
        </w:rPr>
        <w:t xml:space="preserve">Gutenberg Jahrbuch, </w:t>
      </w:r>
      <w:r w:rsidRPr="00244C7D">
        <w:rPr>
          <w:rStyle w:val="Accentuation"/>
          <w:i w:val="0"/>
          <w:sz w:val="28"/>
          <w:szCs w:val="28"/>
        </w:rPr>
        <w:t>98</w:t>
      </w:r>
      <w:r w:rsidRPr="00244C7D">
        <w:rPr>
          <w:i/>
          <w:sz w:val="28"/>
          <w:szCs w:val="28"/>
        </w:rPr>
        <w:t xml:space="preserve">, </w:t>
      </w:r>
      <w:r w:rsidRPr="00244C7D">
        <w:rPr>
          <w:sz w:val="28"/>
          <w:szCs w:val="28"/>
        </w:rPr>
        <w:t>2023, p</w:t>
      </w:r>
      <w:r>
        <w:rPr>
          <w:sz w:val="28"/>
          <w:szCs w:val="28"/>
        </w:rPr>
        <w:t>p. 185-</w:t>
      </w:r>
      <w:r w:rsidRPr="00244C7D">
        <w:rPr>
          <w:sz w:val="28"/>
          <w:szCs w:val="28"/>
        </w:rPr>
        <w:t>98.</w:t>
      </w:r>
      <w:r>
        <w:rPr>
          <w:sz w:val="28"/>
          <w:szCs w:val="28"/>
        </w:rPr>
        <w:t xml:space="preserve"> </w:t>
      </w:r>
    </w:p>
  </w:footnote>
  <w:footnote w:id="29">
    <w:p w14:paraId="76CE5282" w14:textId="45A105BE" w:rsidR="0061320E" w:rsidRDefault="0061320E" w:rsidP="0061320E">
      <w:pPr>
        <w:pStyle w:val="Notedebasdepage"/>
        <w:spacing w:line="480" w:lineRule="auto"/>
      </w:pPr>
      <w:r>
        <w:rPr>
          <w:rStyle w:val="Appelnotedebasdep"/>
        </w:rPr>
        <w:footnoteRef/>
      </w:r>
      <w:r>
        <w:t xml:space="preserve"> </w:t>
      </w:r>
      <w:r w:rsidRPr="0061320E">
        <w:rPr>
          <w:sz w:val="28"/>
          <w:szCs w:val="28"/>
        </w:rPr>
        <w:t xml:space="preserve">Collart, </w:t>
      </w:r>
      <w:r>
        <w:rPr>
          <w:sz w:val="28"/>
          <w:szCs w:val="28"/>
        </w:rPr>
        <w:t xml:space="preserve">‘La production voltairienne de Bassompierre et Nouffer de Genève’, p. 389-90. </w:t>
      </w:r>
    </w:p>
  </w:footnote>
  <w:footnote w:id="30">
    <w:p w14:paraId="0AECB42F" w14:textId="0AFFED6F" w:rsidR="00405C29" w:rsidRDefault="00405C29" w:rsidP="00BB0F65">
      <w:pPr>
        <w:pStyle w:val="Notedebasdepage"/>
        <w:spacing w:line="480" w:lineRule="auto"/>
      </w:pPr>
      <w:r w:rsidRPr="00CF095E">
        <w:rPr>
          <w:rStyle w:val="Appelnotedebasdep"/>
          <w:sz w:val="28"/>
          <w:szCs w:val="28"/>
        </w:rPr>
        <w:footnoteRef/>
      </w:r>
      <w:r w:rsidRPr="00CF095E">
        <w:rPr>
          <w:sz w:val="28"/>
          <w:szCs w:val="28"/>
        </w:rPr>
        <w:t xml:space="preserve"> Voir la note 12</w:t>
      </w:r>
      <w:r>
        <w:t xml:space="preserve">. </w:t>
      </w:r>
    </w:p>
  </w:footnote>
  <w:footnote w:id="31">
    <w:p w14:paraId="466625B1" w14:textId="107202F0" w:rsidR="00405C29" w:rsidRPr="009A0DC9" w:rsidRDefault="00405C29" w:rsidP="00BB0F65">
      <w:pPr>
        <w:pStyle w:val="Notedebasdepage"/>
        <w:spacing w:line="480" w:lineRule="auto"/>
        <w:rPr>
          <w:sz w:val="28"/>
          <w:szCs w:val="28"/>
        </w:rPr>
      </w:pPr>
      <w:r w:rsidRPr="009A0DC9">
        <w:rPr>
          <w:rStyle w:val="Appelnotedebasdep"/>
          <w:sz w:val="28"/>
          <w:szCs w:val="28"/>
        </w:rPr>
        <w:footnoteRef/>
      </w:r>
      <w:r w:rsidRPr="009A0DC9">
        <w:rPr>
          <w:sz w:val="28"/>
          <w:szCs w:val="28"/>
        </w:rPr>
        <w:t xml:space="preserve"> </w:t>
      </w:r>
      <w:r w:rsidRPr="009A0DC9">
        <w:rPr>
          <w:i/>
          <w:sz w:val="28"/>
          <w:szCs w:val="28"/>
        </w:rPr>
        <w:t xml:space="preserve">Op. cit., </w:t>
      </w:r>
      <w:r w:rsidRPr="009A0DC9">
        <w:rPr>
          <w:sz w:val="28"/>
          <w:szCs w:val="28"/>
        </w:rPr>
        <w:t xml:space="preserve">p. 114. </w:t>
      </w:r>
    </w:p>
  </w:footnote>
  <w:footnote w:id="32">
    <w:p w14:paraId="0A7637E8" w14:textId="562A5ED3" w:rsidR="00405C29" w:rsidRPr="00D60BCA" w:rsidRDefault="00405C29" w:rsidP="00D60BCA">
      <w:pPr>
        <w:pStyle w:val="Notedebasdepage"/>
        <w:spacing w:line="480" w:lineRule="auto"/>
        <w:rPr>
          <w:sz w:val="28"/>
          <w:szCs w:val="28"/>
          <w:lang w:val="fr-FR"/>
        </w:rPr>
      </w:pPr>
      <w:r w:rsidRPr="009F36B8">
        <w:rPr>
          <w:rStyle w:val="Appelnotedebasdep"/>
          <w:sz w:val="28"/>
          <w:szCs w:val="28"/>
        </w:rPr>
        <w:footnoteRef/>
      </w:r>
      <w:r w:rsidRPr="009F36B8">
        <w:rPr>
          <w:sz w:val="28"/>
          <w:szCs w:val="28"/>
        </w:rPr>
        <w:t xml:space="preserve"> </w:t>
      </w:r>
      <w:r w:rsidRPr="009F36B8">
        <w:rPr>
          <w:sz w:val="28"/>
          <w:szCs w:val="28"/>
          <w:lang w:val="fr-FR"/>
        </w:rPr>
        <w:t xml:space="preserve">Les bibliographes </w:t>
      </w:r>
      <w:r>
        <w:rPr>
          <w:sz w:val="28"/>
          <w:szCs w:val="28"/>
          <w:lang w:val="fr-FR"/>
        </w:rPr>
        <w:t xml:space="preserve">enregistrent à partir d’ici une différence de police des chiffres </w:t>
      </w:r>
      <w:r w:rsidRPr="00D60BCA">
        <w:rPr>
          <w:sz w:val="28"/>
          <w:szCs w:val="28"/>
          <w:lang w:val="fr-FR"/>
        </w:rPr>
        <w:t xml:space="preserve">romains qu’on n’a pas aperçue. </w:t>
      </w:r>
    </w:p>
  </w:footnote>
  <w:footnote w:id="33">
    <w:p w14:paraId="22CCD39C" w14:textId="1B19C0EE" w:rsidR="009A3CEC" w:rsidRDefault="009A3CEC" w:rsidP="00714276">
      <w:pPr>
        <w:tabs>
          <w:tab w:val="left" w:pos="709"/>
        </w:tabs>
        <w:spacing w:after="0" w:line="480" w:lineRule="auto"/>
      </w:pPr>
      <w:r>
        <w:rPr>
          <w:rStyle w:val="Appelnotedebasdep"/>
        </w:rPr>
        <w:footnoteRef/>
      </w:r>
      <w:r>
        <w:t xml:space="preserve"> La description de la page de titre, dans la notice, précise : </w:t>
      </w:r>
      <w:r>
        <w:rPr>
          <w:i/>
        </w:rPr>
        <w:t xml:space="preserve">de Monsieur </w:t>
      </w:r>
      <w:r>
        <w:t xml:space="preserve">est imprimé en ‘caractères à la financière’ et </w:t>
      </w:r>
      <w:r>
        <w:rPr>
          <w:smallCaps/>
        </w:rPr>
        <w:t xml:space="preserve">de voltaire </w:t>
      </w:r>
      <w:r>
        <w:t xml:space="preserve">en ‘caractères ornés’ ; la vignette, de composition typographique, mesure 29 x 31 mm. et la réglette gras-maigre 2 x 48 mm. </w:t>
      </w:r>
      <w:r w:rsidR="00714276" w:rsidRPr="00D60BCA">
        <w:rPr>
          <w:lang w:val="fr-FR"/>
        </w:rPr>
        <w:t>Les majuscules ne permettent pas d’attribuer à coup sûr telle d’entre elles à tel ou tel mot : Pierre le Grand ou Pierre le grand ?</w:t>
      </w:r>
    </w:p>
  </w:footnote>
  <w:footnote w:id="34">
    <w:p w14:paraId="139A4531" w14:textId="1434F6E6" w:rsidR="00513033" w:rsidRPr="00513033" w:rsidRDefault="00513033" w:rsidP="003D5011">
      <w:pPr>
        <w:pStyle w:val="Notedebasdepage"/>
        <w:spacing w:line="360" w:lineRule="auto"/>
        <w:rPr>
          <w:sz w:val="28"/>
          <w:szCs w:val="28"/>
        </w:rPr>
      </w:pPr>
      <w:r w:rsidRPr="00513033">
        <w:rPr>
          <w:rStyle w:val="Appelnotedebasdep"/>
          <w:sz w:val="28"/>
          <w:szCs w:val="28"/>
        </w:rPr>
        <w:footnoteRef/>
      </w:r>
      <w:r w:rsidRPr="00513033">
        <w:rPr>
          <w:sz w:val="28"/>
          <w:szCs w:val="28"/>
        </w:rPr>
        <w:t xml:space="preserve">  Georges Bengesco, </w:t>
      </w:r>
      <w:r>
        <w:rPr>
          <w:i/>
          <w:sz w:val="28"/>
          <w:szCs w:val="28"/>
        </w:rPr>
        <w:t xml:space="preserve">Voltaire. Bibliographie de ses œuvres, </w:t>
      </w:r>
      <w:r>
        <w:rPr>
          <w:sz w:val="28"/>
          <w:szCs w:val="28"/>
        </w:rPr>
        <w:t xml:space="preserve">Paris, Perrin, </w:t>
      </w:r>
      <w:r w:rsidR="003D5011">
        <w:rPr>
          <w:sz w:val="28"/>
          <w:szCs w:val="28"/>
        </w:rPr>
        <w:t>1882-1885, t. I, pp</w:t>
      </w:r>
      <w:r w:rsidRPr="00513033">
        <w:rPr>
          <w:sz w:val="28"/>
          <w:szCs w:val="28"/>
        </w:rPr>
        <w:t>. 383-84</w:t>
      </w:r>
      <w:r w:rsidR="003D5011">
        <w:rPr>
          <w:sz w:val="28"/>
          <w:szCs w:val="28"/>
        </w:rPr>
        <w:t>.</w:t>
      </w:r>
      <w:r w:rsidRPr="00513033">
        <w:rPr>
          <w:sz w:val="28"/>
          <w:szCs w:val="28"/>
        </w:rPr>
        <w:t xml:space="preserve"> </w:t>
      </w:r>
    </w:p>
  </w:footnote>
  <w:footnote w:id="35">
    <w:p w14:paraId="0E002F47" w14:textId="71074A83" w:rsidR="00405C29" w:rsidRPr="00FC22DE" w:rsidRDefault="00405C29" w:rsidP="00FC22DE">
      <w:pPr>
        <w:pStyle w:val="Notedebasdepage"/>
        <w:spacing w:line="480" w:lineRule="auto"/>
        <w:rPr>
          <w:sz w:val="28"/>
          <w:szCs w:val="28"/>
        </w:rPr>
      </w:pPr>
      <w:r w:rsidRPr="00FC22DE">
        <w:rPr>
          <w:rStyle w:val="Appelnotedebasdep"/>
          <w:sz w:val="28"/>
          <w:szCs w:val="28"/>
        </w:rPr>
        <w:footnoteRef/>
      </w:r>
      <w:r w:rsidRPr="00FC22DE">
        <w:rPr>
          <w:sz w:val="28"/>
          <w:szCs w:val="28"/>
        </w:rPr>
        <w:t xml:space="preserve"> Muriel Collart, Daniel Droixhe et Alice Piette, ‘Voici des feuilles, des ornements, des pages et des prix. Une contrefaçon Machuel des </w:t>
      </w:r>
      <w:r w:rsidRPr="00FC22DE">
        <w:rPr>
          <w:i/>
          <w:sz w:val="28"/>
          <w:szCs w:val="28"/>
        </w:rPr>
        <w:t xml:space="preserve">Mémoires et anecdotes d’un homme de qualité </w:t>
      </w:r>
      <w:r w:rsidRPr="00FC22DE">
        <w:rPr>
          <w:sz w:val="28"/>
          <w:szCs w:val="28"/>
        </w:rPr>
        <w:t xml:space="preserve">de l’abbé Prévost en 1775 ?’, à paraître. </w:t>
      </w:r>
    </w:p>
    <w:p w14:paraId="05B390C4" w14:textId="20B0EE61" w:rsidR="00405C29" w:rsidRDefault="00405C29">
      <w:pPr>
        <w:pStyle w:val="Notedebasdepage"/>
      </w:pPr>
    </w:p>
  </w:footnote>
  <w:footnote w:id="36">
    <w:p w14:paraId="774B342D" w14:textId="2BBDE402" w:rsidR="0046392D" w:rsidRPr="0046392D" w:rsidRDefault="0046392D">
      <w:pPr>
        <w:pStyle w:val="Notedebasdepage"/>
        <w:rPr>
          <w:lang w:val="fr-FR"/>
        </w:rPr>
      </w:pPr>
      <w:r>
        <w:rPr>
          <w:rStyle w:val="Appelnotedebasdep"/>
        </w:rPr>
        <w:footnoteRef/>
      </w:r>
      <w:r>
        <w:t xml:space="preserve"> </w:t>
      </w:r>
      <w:r w:rsidRPr="007B41FE">
        <w:rPr>
          <w:sz w:val="28"/>
          <w:szCs w:val="28"/>
        </w:rPr>
        <w:t xml:space="preserve">Smith, </w:t>
      </w:r>
      <w:r>
        <w:rPr>
          <w:sz w:val="28"/>
          <w:szCs w:val="28"/>
        </w:rPr>
        <w:t>‘Robert Machuel, imprimeur-libraire à Rouen’, p. 49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CD013" w14:textId="77777777" w:rsidR="00405C29" w:rsidRDefault="00405C29">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918524"/>
      <w:docPartObj>
        <w:docPartGallery w:val="Page Numbers (Top of Page)"/>
        <w:docPartUnique/>
      </w:docPartObj>
    </w:sdtPr>
    <w:sdtEndPr/>
    <w:sdtContent>
      <w:p w14:paraId="7BC66E22" w14:textId="2827C6F3" w:rsidR="00405C29" w:rsidRDefault="00405C29" w:rsidP="005E2C86">
        <w:pPr>
          <w:pStyle w:val="En-tte"/>
          <w:jc w:val="right"/>
        </w:pPr>
        <w:r>
          <w:fldChar w:fldCharType="begin"/>
        </w:r>
        <w:r>
          <w:instrText>PAGE   \* MERGEFORMAT</w:instrText>
        </w:r>
        <w:r>
          <w:fldChar w:fldCharType="separate"/>
        </w:r>
        <w:r w:rsidR="0075051E" w:rsidRPr="0075051E">
          <w:rPr>
            <w:noProof/>
            <w:lang w:val="fr-FR"/>
          </w:rPr>
          <w:t>1</w:t>
        </w:r>
        <w:r>
          <w:fldChar w:fldCharType="end"/>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8F99B" w14:textId="77777777" w:rsidR="00405C29" w:rsidRDefault="00405C29">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4B1051"/>
    <w:multiLevelType w:val="hybridMultilevel"/>
    <w:tmpl w:val="A38EF402"/>
    <w:lvl w:ilvl="0" w:tplc="4EE8A72A">
      <w:start w:val="45"/>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9"/>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2D3"/>
    <w:rsid w:val="00000E18"/>
    <w:rsid w:val="0000756E"/>
    <w:rsid w:val="0001222A"/>
    <w:rsid w:val="0001621B"/>
    <w:rsid w:val="000202FD"/>
    <w:rsid w:val="00030385"/>
    <w:rsid w:val="00037DD3"/>
    <w:rsid w:val="00052FFB"/>
    <w:rsid w:val="000560AE"/>
    <w:rsid w:val="00057B91"/>
    <w:rsid w:val="00067E6C"/>
    <w:rsid w:val="00074316"/>
    <w:rsid w:val="000759E7"/>
    <w:rsid w:val="0007718C"/>
    <w:rsid w:val="0008151D"/>
    <w:rsid w:val="000B377B"/>
    <w:rsid w:val="000E3FFF"/>
    <w:rsid w:val="00100FCF"/>
    <w:rsid w:val="00101330"/>
    <w:rsid w:val="00104A49"/>
    <w:rsid w:val="001107D3"/>
    <w:rsid w:val="00111DFF"/>
    <w:rsid w:val="00112525"/>
    <w:rsid w:val="00116CFD"/>
    <w:rsid w:val="00116E2D"/>
    <w:rsid w:val="00117AE9"/>
    <w:rsid w:val="001331A2"/>
    <w:rsid w:val="001333A2"/>
    <w:rsid w:val="00135BB0"/>
    <w:rsid w:val="00136C52"/>
    <w:rsid w:val="00146236"/>
    <w:rsid w:val="001462A2"/>
    <w:rsid w:val="0016314C"/>
    <w:rsid w:val="00165D3B"/>
    <w:rsid w:val="001768F8"/>
    <w:rsid w:val="00183300"/>
    <w:rsid w:val="001873AD"/>
    <w:rsid w:val="00195A74"/>
    <w:rsid w:val="001A6C9B"/>
    <w:rsid w:val="001B2B83"/>
    <w:rsid w:val="001B6483"/>
    <w:rsid w:val="001B7131"/>
    <w:rsid w:val="001D4FFB"/>
    <w:rsid w:val="001E1A56"/>
    <w:rsid w:val="001F4FB7"/>
    <w:rsid w:val="001F634B"/>
    <w:rsid w:val="00213986"/>
    <w:rsid w:val="00222BD7"/>
    <w:rsid w:val="00225A4A"/>
    <w:rsid w:val="00230BC0"/>
    <w:rsid w:val="002354C5"/>
    <w:rsid w:val="00235D78"/>
    <w:rsid w:val="0024404C"/>
    <w:rsid w:val="00244C7D"/>
    <w:rsid w:val="00247943"/>
    <w:rsid w:val="00250B03"/>
    <w:rsid w:val="002705D5"/>
    <w:rsid w:val="00270CA6"/>
    <w:rsid w:val="00272C8E"/>
    <w:rsid w:val="0028501E"/>
    <w:rsid w:val="00286AAA"/>
    <w:rsid w:val="002A74C0"/>
    <w:rsid w:val="002B19D1"/>
    <w:rsid w:val="002B3589"/>
    <w:rsid w:val="002B4CBC"/>
    <w:rsid w:val="002B68A3"/>
    <w:rsid w:val="002C7B38"/>
    <w:rsid w:val="002E7F86"/>
    <w:rsid w:val="00302B33"/>
    <w:rsid w:val="003401BC"/>
    <w:rsid w:val="00340FE2"/>
    <w:rsid w:val="00352657"/>
    <w:rsid w:val="00354C29"/>
    <w:rsid w:val="003552C6"/>
    <w:rsid w:val="0036639F"/>
    <w:rsid w:val="003754DF"/>
    <w:rsid w:val="00391A00"/>
    <w:rsid w:val="003B5592"/>
    <w:rsid w:val="003B7316"/>
    <w:rsid w:val="003D5011"/>
    <w:rsid w:val="003D54CC"/>
    <w:rsid w:val="003E2B65"/>
    <w:rsid w:val="004000D5"/>
    <w:rsid w:val="004018FB"/>
    <w:rsid w:val="00402107"/>
    <w:rsid w:val="00405C29"/>
    <w:rsid w:val="00406183"/>
    <w:rsid w:val="004204C1"/>
    <w:rsid w:val="00421ACC"/>
    <w:rsid w:val="004429BA"/>
    <w:rsid w:val="00451685"/>
    <w:rsid w:val="00456509"/>
    <w:rsid w:val="00457B9B"/>
    <w:rsid w:val="0046392D"/>
    <w:rsid w:val="00465716"/>
    <w:rsid w:val="00466C76"/>
    <w:rsid w:val="00496245"/>
    <w:rsid w:val="004B17B2"/>
    <w:rsid w:val="004B2183"/>
    <w:rsid w:val="004B7A5E"/>
    <w:rsid w:val="004C6565"/>
    <w:rsid w:val="004D2905"/>
    <w:rsid w:val="004D3544"/>
    <w:rsid w:val="004E102D"/>
    <w:rsid w:val="004E4B6E"/>
    <w:rsid w:val="004F1655"/>
    <w:rsid w:val="004F247B"/>
    <w:rsid w:val="004F4A98"/>
    <w:rsid w:val="005075E4"/>
    <w:rsid w:val="00507FBD"/>
    <w:rsid w:val="00513033"/>
    <w:rsid w:val="005139E1"/>
    <w:rsid w:val="00523882"/>
    <w:rsid w:val="0052746C"/>
    <w:rsid w:val="00543E35"/>
    <w:rsid w:val="005515BA"/>
    <w:rsid w:val="0055470D"/>
    <w:rsid w:val="0055702A"/>
    <w:rsid w:val="00561CE3"/>
    <w:rsid w:val="00563BE1"/>
    <w:rsid w:val="00587324"/>
    <w:rsid w:val="00587999"/>
    <w:rsid w:val="005A714C"/>
    <w:rsid w:val="005D42D3"/>
    <w:rsid w:val="005E2C86"/>
    <w:rsid w:val="005E6F31"/>
    <w:rsid w:val="00611140"/>
    <w:rsid w:val="0061320E"/>
    <w:rsid w:val="00631260"/>
    <w:rsid w:val="00633F18"/>
    <w:rsid w:val="00637701"/>
    <w:rsid w:val="00646E14"/>
    <w:rsid w:val="006519C4"/>
    <w:rsid w:val="0065273F"/>
    <w:rsid w:val="006845B2"/>
    <w:rsid w:val="00694E43"/>
    <w:rsid w:val="006B1409"/>
    <w:rsid w:val="006B3078"/>
    <w:rsid w:val="006B365E"/>
    <w:rsid w:val="006B63E6"/>
    <w:rsid w:val="006C175E"/>
    <w:rsid w:val="006C689E"/>
    <w:rsid w:val="006E18D6"/>
    <w:rsid w:val="006F59FB"/>
    <w:rsid w:val="007001FB"/>
    <w:rsid w:val="00714276"/>
    <w:rsid w:val="00722687"/>
    <w:rsid w:val="00723307"/>
    <w:rsid w:val="0072636C"/>
    <w:rsid w:val="00735C8C"/>
    <w:rsid w:val="007443E7"/>
    <w:rsid w:val="00744CE2"/>
    <w:rsid w:val="00746D62"/>
    <w:rsid w:val="0075051E"/>
    <w:rsid w:val="007509CE"/>
    <w:rsid w:val="00765812"/>
    <w:rsid w:val="00776F69"/>
    <w:rsid w:val="00782842"/>
    <w:rsid w:val="007A2054"/>
    <w:rsid w:val="007A54F8"/>
    <w:rsid w:val="007A56D1"/>
    <w:rsid w:val="007B3637"/>
    <w:rsid w:val="007B41FE"/>
    <w:rsid w:val="007B6F59"/>
    <w:rsid w:val="007C0343"/>
    <w:rsid w:val="007C049F"/>
    <w:rsid w:val="007D09FC"/>
    <w:rsid w:val="007D296E"/>
    <w:rsid w:val="007E62A5"/>
    <w:rsid w:val="007F10D1"/>
    <w:rsid w:val="007F472E"/>
    <w:rsid w:val="00806988"/>
    <w:rsid w:val="00813248"/>
    <w:rsid w:val="00817AC3"/>
    <w:rsid w:val="00820499"/>
    <w:rsid w:val="0082200C"/>
    <w:rsid w:val="00824DD5"/>
    <w:rsid w:val="00834B99"/>
    <w:rsid w:val="00841BD9"/>
    <w:rsid w:val="00847CC1"/>
    <w:rsid w:val="008578C4"/>
    <w:rsid w:val="008645F9"/>
    <w:rsid w:val="00866FFF"/>
    <w:rsid w:val="00884341"/>
    <w:rsid w:val="008874F0"/>
    <w:rsid w:val="008A1EDD"/>
    <w:rsid w:val="008B232A"/>
    <w:rsid w:val="008C480D"/>
    <w:rsid w:val="008D27F7"/>
    <w:rsid w:val="008D4593"/>
    <w:rsid w:val="008E3956"/>
    <w:rsid w:val="008F0F14"/>
    <w:rsid w:val="0090021B"/>
    <w:rsid w:val="00900EE5"/>
    <w:rsid w:val="00901B0E"/>
    <w:rsid w:val="009347C8"/>
    <w:rsid w:val="00937334"/>
    <w:rsid w:val="009463C0"/>
    <w:rsid w:val="00947A94"/>
    <w:rsid w:val="00950045"/>
    <w:rsid w:val="009528BB"/>
    <w:rsid w:val="009613D2"/>
    <w:rsid w:val="00964523"/>
    <w:rsid w:val="00973E38"/>
    <w:rsid w:val="00975E55"/>
    <w:rsid w:val="0098785D"/>
    <w:rsid w:val="00994050"/>
    <w:rsid w:val="00997F9D"/>
    <w:rsid w:val="009A0DC9"/>
    <w:rsid w:val="009A3CEC"/>
    <w:rsid w:val="009B1C66"/>
    <w:rsid w:val="009B7354"/>
    <w:rsid w:val="009C05E2"/>
    <w:rsid w:val="009D301F"/>
    <w:rsid w:val="009E4630"/>
    <w:rsid w:val="009F36B8"/>
    <w:rsid w:val="00A06691"/>
    <w:rsid w:val="00A101C7"/>
    <w:rsid w:val="00A103EA"/>
    <w:rsid w:val="00A34171"/>
    <w:rsid w:val="00A47F24"/>
    <w:rsid w:val="00A506A7"/>
    <w:rsid w:val="00A51771"/>
    <w:rsid w:val="00A55D21"/>
    <w:rsid w:val="00A5764D"/>
    <w:rsid w:val="00A65B07"/>
    <w:rsid w:val="00A7721C"/>
    <w:rsid w:val="00A94BE1"/>
    <w:rsid w:val="00A96C26"/>
    <w:rsid w:val="00AA0BD0"/>
    <w:rsid w:val="00AA6FE8"/>
    <w:rsid w:val="00AB6BD0"/>
    <w:rsid w:val="00AC2CC9"/>
    <w:rsid w:val="00AD358E"/>
    <w:rsid w:val="00AD5C18"/>
    <w:rsid w:val="00AE2082"/>
    <w:rsid w:val="00AE6D22"/>
    <w:rsid w:val="00AF056D"/>
    <w:rsid w:val="00AF24EA"/>
    <w:rsid w:val="00AF25A4"/>
    <w:rsid w:val="00B070B9"/>
    <w:rsid w:val="00B1588B"/>
    <w:rsid w:val="00B2360A"/>
    <w:rsid w:val="00B32AD4"/>
    <w:rsid w:val="00B33F83"/>
    <w:rsid w:val="00B37CF1"/>
    <w:rsid w:val="00B576F6"/>
    <w:rsid w:val="00B6028A"/>
    <w:rsid w:val="00B63979"/>
    <w:rsid w:val="00B713F5"/>
    <w:rsid w:val="00B777D3"/>
    <w:rsid w:val="00B91019"/>
    <w:rsid w:val="00BB0F65"/>
    <w:rsid w:val="00BB68E6"/>
    <w:rsid w:val="00BC6A52"/>
    <w:rsid w:val="00BD73D4"/>
    <w:rsid w:val="00BE0394"/>
    <w:rsid w:val="00BE56A7"/>
    <w:rsid w:val="00BE6FA4"/>
    <w:rsid w:val="00BE7141"/>
    <w:rsid w:val="00BF39F9"/>
    <w:rsid w:val="00BF49D7"/>
    <w:rsid w:val="00C239FD"/>
    <w:rsid w:val="00C250A7"/>
    <w:rsid w:val="00C3579D"/>
    <w:rsid w:val="00C43E6E"/>
    <w:rsid w:val="00C45DB4"/>
    <w:rsid w:val="00C50FE2"/>
    <w:rsid w:val="00C53F88"/>
    <w:rsid w:val="00C541C8"/>
    <w:rsid w:val="00C62CF5"/>
    <w:rsid w:val="00C74479"/>
    <w:rsid w:val="00C80C63"/>
    <w:rsid w:val="00C81A0C"/>
    <w:rsid w:val="00C93CDD"/>
    <w:rsid w:val="00C94669"/>
    <w:rsid w:val="00CA3C0F"/>
    <w:rsid w:val="00CC0267"/>
    <w:rsid w:val="00CC31B8"/>
    <w:rsid w:val="00CD229C"/>
    <w:rsid w:val="00CD6240"/>
    <w:rsid w:val="00CF095E"/>
    <w:rsid w:val="00CF13AC"/>
    <w:rsid w:val="00D117DD"/>
    <w:rsid w:val="00D12385"/>
    <w:rsid w:val="00D1313B"/>
    <w:rsid w:val="00D148F4"/>
    <w:rsid w:val="00D2639F"/>
    <w:rsid w:val="00D40269"/>
    <w:rsid w:val="00D5165F"/>
    <w:rsid w:val="00D52AE4"/>
    <w:rsid w:val="00D5780C"/>
    <w:rsid w:val="00D60BCA"/>
    <w:rsid w:val="00D60F20"/>
    <w:rsid w:val="00D62BFD"/>
    <w:rsid w:val="00D87094"/>
    <w:rsid w:val="00D91C97"/>
    <w:rsid w:val="00D96581"/>
    <w:rsid w:val="00DA1202"/>
    <w:rsid w:val="00DB713F"/>
    <w:rsid w:val="00DC7A8B"/>
    <w:rsid w:val="00DD044D"/>
    <w:rsid w:val="00DE5088"/>
    <w:rsid w:val="00DF05F5"/>
    <w:rsid w:val="00E039DA"/>
    <w:rsid w:val="00E10F41"/>
    <w:rsid w:val="00E12E97"/>
    <w:rsid w:val="00E17B81"/>
    <w:rsid w:val="00E20262"/>
    <w:rsid w:val="00E229F2"/>
    <w:rsid w:val="00E2731C"/>
    <w:rsid w:val="00E31F5D"/>
    <w:rsid w:val="00E34BB3"/>
    <w:rsid w:val="00E3723F"/>
    <w:rsid w:val="00E37272"/>
    <w:rsid w:val="00E4298E"/>
    <w:rsid w:val="00E455CF"/>
    <w:rsid w:val="00E51A3D"/>
    <w:rsid w:val="00E66D75"/>
    <w:rsid w:val="00E73A1A"/>
    <w:rsid w:val="00E73BF9"/>
    <w:rsid w:val="00E75C89"/>
    <w:rsid w:val="00E75E6C"/>
    <w:rsid w:val="00E76A26"/>
    <w:rsid w:val="00E84103"/>
    <w:rsid w:val="00E951A7"/>
    <w:rsid w:val="00E95BFC"/>
    <w:rsid w:val="00ED1280"/>
    <w:rsid w:val="00ED13DC"/>
    <w:rsid w:val="00EE302D"/>
    <w:rsid w:val="00EF4C24"/>
    <w:rsid w:val="00EF679E"/>
    <w:rsid w:val="00F00526"/>
    <w:rsid w:val="00F00551"/>
    <w:rsid w:val="00F0217B"/>
    <w:rsid w:val="00F0301B"/>
    <w:rsid w:val="00F05FD2"/>
    <w:rsid w:val="00F103E6"/>
    <w:rsid w:val="00F114CF"/>
    <w:rsid w:val="00F237AA"/>
    <w:rsid w:val="00F23AEA"/>
    <w:rsid w:val="00F2617F"/>
    <w:rsid w:val="00F34EFF"/>
    <w:rsid w:val="00F46280"/>
    <w:rsid w:val="00F52910"/>
    <w:rsid w:val="00F74C92"/>
    <w:rsid w:val="00F75398"/>
    <w:rsid w:val="00F77C33"/>
    <w:rsid w:val="00F8413E"/>
    <w:rsid w:val="00F847D1"/>
    <w:rsid w:val="00F95D4A"/>
    <w:rsid w:val="00FA3C36"/>
    <w:rsid w:val="00FB040A"/>
    <w:rsid w:val="00FC22DE"/>
    <w:rsid w:val="00FC4F6F"/>
    <w:rsid w:val="00FC7C59"/>
    <w:rsid w:val="00FD1088"/>
    <w:rsid w:val="00FD162A"/>
    <w:rsid w:val="00FD74CB"/>
    <w:rsid w:val="00FE205A"/>
    <w:rsid w:val="00FE38AF"/>
    <w:rsid w:val="00FF274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60CA3"/>
  <w15:chartTrackingRefBased/>
  <w15:docId w15:val="{211F1AC3-0F58-4934-B895-70C87F157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5011"/>
  </w:style>
  <w:style w:type="paragraph" w:styleId="Titre1">
    <w:name w:val="heading 1"/>
    <w:basedOn w:val="Normal"/>
    <w:link w:val="Titre1Car"/>
    <w:uiPriority w:val="9"/>
    <w:qFormat/>
    <w:rsid w:val="00D5780C"/>
    <w:pPr>
      <w:spacing w:before="100" w:beforeAutospacing="1" w:after="100" w:afterAutospacing="1" w:line="240" w:lineRule="auto"/>
      <w:outlineLvl w:val="0"/>
    </w:pPr>
    <w:rPr>
      <w:rFonts w:eastAsia="Times New Roman"/>
      <w:b/>
      <w:bCs/>
      <w:kern w:val="36"/>
      <w:sz w:val="48"/>
      <w:szCs w:val="48"/>
      <w:lang w:eastAsia="fr-BE"/>
    </w:rPr>
  </w:style>
  <w:style w:type="paragraph" w:styleId="Titre2">
    <w:name w:val="heading 2"/>
    <w:basedOn w:val="Normal"/>
    <w:link w:val="Titre2Car"/>
    <w:uiPriority w:val="9"/>
    <w:qFormat/>
    <w:rsid w:val="00D5780C"/>
    <w:pPr>
      <w:spacing w:before="100" w:beforeAutospacing="1" w:after="100" w:afterAutospacing="1" w:line="240" w:lineRule="auto"/>
      <w:outlineLvl w:val="1"/>
    </w:pPr>
    <w:rPr>
      <w:rFonts w:eastAsia="Times New Roman"/>
      <w:b/>
      <w:bCs/>
      <w:sz w:val="36"/>
      <w:szCs w:val="36"/>
      <w:lang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900EE5"/>
    <w:pPr>
      <w:spacing w:after="0" w:line="240" w:lineRule="auto"/>
    </w:pPr>
    <w:rPr>
      <w:sz w:val="20"/>
      <w:szCs w:val="20"/>
    </w:rPr>
  </w:style>
  <w:style w:type="character" w:customStyle="1" w:styleId="NotedebasdepageCar">
    <w:name w:val="Note de bas de page Car"/>
    <w:basedOn w:val="Policepardfaut"/>
    <w:link w:val="Notedebasdepage"/>
    <w:uiPriority w:val="99"/>
    <w:rsid w:val="00900EE5"/>
    <w:rPr>
      <w:sz w:val="20"/>
      <w:szCs w:val="20"/>
    </w:rPr>
  </w:style>
  <w:style w:type="character" w:styleId="Appelnotedebasdep">
    <w:name w:val="footnote reference"/>
    <w:basedOn w:val="Policepardfaut"/>
    <w:uiPriority w:val="99"/>
    <w:semiHidden/>
    <w:unhideWhenUsed/>
    <w:rsid w:val="00900EE5"/>
    <w:rPr>
      <w:vertAlign w:val="superscript"/>
    </w:rPr>
  </w:style>
  <w:style w:type="paragraph" w:customStyle="1" w:styleId="notice">
    <w:name w:val="notice"/>
    <w:basedOn w:val="Normal"/>
    <w:rsid w:val="00E951A7"/>
    <w:pPr>
      <w:spacing w:before="100" w:beforeAutospacing="1" w:after="100" w:afterAutospacing="1" w:line="240" w:lineRule="auto"/>
    </w:pPr>
    <w:rPr>
      <w:rFonts w:eastAsia="Times New Roman"/>
      <w:sz w:val="24"/>
      <w:szCs w:val="24"/>
      <w:lang w:eastAsia="fr-BE"/>
    </w:rPr>
  </w:style>
  <w:style w:type="character" w:customStyle="1" w:styleId="notice-label">
    <w:name w:val="notice-label"/>
    <w:basedOn w:val="Policepardfaut"/>
    <w:rsid w:val="00E951A7"/>
  </w:style>
  <w:style w:type="paragraph" w:styleId="NormalWeb">
    <w:name w:val="Normal (Web)"/>
    <w:basedOn w:val="Normal"/>
    <w:uiPriority w:val="99"/>
    <w:semiHidden/>
    <w:unhideWhenUsed/>
    <w:rsid w:val="002C7B38"/>
    <w:pPr>
      <w:spacing w:before="100" w:beforeAutospacing="1" w:after="100" w:afterAutospacing="1" w:line="240" w:lineRule="auto"/>
    </w:pPr>
    <w:rPr>
      <w:rFonts w:eastAsia="Times New Roman"/>
      <w:sz w:val="24"/>
      <w:szCs w:val="24"/>
      <w:lang w:eastAsia="fr-BE"/>
    </w:rPr>
  </w:style>
  <w:style w:type="paragraph" w:customStyle="1" w:styleId="titre0">
    <w:name w:val="titre0"/>
    <w:basedOn w:val="Normal"/>
    <w:rsid w:val="002C7B38"/>
    <w:pPr>
      <w:spacing w:before="100" w:beforeAutospacing="1" w:after="100" w:afterAutospacing="1" w:line="240" w:lineRule="auto"/>
    </w:pPr>
    <w:rPr>
      <w:rFonts w:eastAsia="Times New Roman"/>
      <w:sz w:val="24"/>
      <w:szCs w:val="24"/>
      <w:lang w:eastAsia="fr-BE"/>
    </w:rPr>
  </w:style>
  <w:style w:type="paragraph" w:customStyle="1" w:styleId="auteur">
    <w:name w:val="auteur"/>
    <w:basedOn w:val="Normal"/>
    <w:rsid w:val="002C7B38"/>
    <w:pPr>
      <w:spacing w:before="100" w:beforeAutospacing="1" w:after="100" w:afterAutospacing="1" w:line="240" w:lineRule="auto"/>
    </w:pPr>
    <w:rPr>
      <w:rFonts w:eastAsia="Times New Roman"/>
      <w:sz w:val="24"/>
      <w:szCs w:val="24"/>
      <w:lang w:eastAsia="fr-BE"/>
    </w:rPr>
  </w:style>
  <w:style w:type="paragraph" w:customStyle="1" w:styleId="titre10">
    <w:name w:val="titre1"/>
    <w:basedOn w:val="Normal"/>
    <w:rsid w:val="002C7B38"/>
    <w:pPr>
      <w:spacing w:before="100" w:beforeAutospacing="1" w:after="100" w:afterAutospacing="1" w:line="240" w:lineRule="auto"/>
    </w:pPr>
    <w:rPr>
      <w:rFonts w:eastAsia="Times New Roman"/>
      <w:sz w:val="24"/>
      <w:szCs w:val="24"/>
      <w:lang w:eastAsia="fr-BE"/>
    </w:rPr>
  </w:style>
  <w:style w:type="character" w:customStyle="1" w:styleId="sup">
    <w:name w:val="sup"/>
    <w:basedOn w:val="Policepardfaut"/>
    <w:rsid w:val="002C7B38"/>
  </w:style>
  <w:style w:type="paragraph" w:customStyle="1" w:styleId="texte">
    <w:name w:val="texte"/>
    <w:basedOn w:val="Normal"/>
    <w:rsid w:val="002C7B38"/>
    <w:pPr>
      <w:spacing w:before="100" w:beforeAutospacing="1" w:after="100" w:afterAutospacing="1" w:line="240" w:lineRule="auto"/>
    </w:pPr>
    <w:rPr>
      <w:rFonts w:eastAsia="Times New Roman"/>
      <w:sz w:val="24"/>
      <w:szCs w:val="24"/>
      <w:lang w:eastAsia="fr-BE"/>
    </w:rPr>
  </w:style>
  <w:style w:type="paragraph" w:customStyle="1" w:styleId="volume">
    <w:name w:val="volume"/>
    <w:basedOn w:val="Normal"/>
    <w:rsid w:val="002C7B38"/>
    <w:pPr>
      <w:spacing w:before="100" w:beforeAutospacing="1" w:after="100" w:afterAutospacing="1" w:line="240" w:lineRule="auto"/>
    </w:pPr>
    <w:rPr>
      <w:rFonts w:eastAsia="Times New Roman"/>
      <w:sz w:val="24"/>
      <w:szCs w:val="24"/>
      <w:lang w:eastAsia="fr-BE"/>
    </w:rPr>
  </w:style>
  <w:style w:type="character" w:styleId="Lienhypertexte">
    <w:name w:val="Hyperlink"/>
    <w:basedOn w:val="Policepardfaut"/>
    <w:uiPriority w:val="99"/>
    <w:unhideWhenUsed/>
    <w:rsid w:val="00BE6FA4"/>
    <w:rPr>
      <w:color w:val="0563C1" w:themeColor="hyperlink"/>
      <w:u w:val="single"/>
    </w:rPr>
  </w:style>
  <w:style w:type="character" w:customStyle="1" w:styleId="author">
    <w:name w:val="author"/>
    <w:basedOn w:val="Policepardfaut"/>
    <w:rsid w:val="00BF49D7"/>
  </w:style>
  <w:style w:type="character" w:customStyle="1" w:styleId="issued">
    <w:name w:val="issued"/>
    <w:basedOn w:val="Policepardfaut"/>
    <w:rsid w:val="00BF49D7"/>
  </w:style>
  <w:style w:type="character" w:customStyle="1" w:styleId="source">
    <w:name w:val="source"/>
    <w:basedOn w:val="Policepardfaut"/>
    <w:rsid w:val="00BF49D7"/>
  </w:style>
  <w:style w:type="character" w:styleId="Accentuation">
    <w:name w:val="Emphasis"/>
    <w:basedOn w:val="Policepardfaut"/>
    <w:uiPriority w:val="20"/>
    <w:qFormat/>
    <w:rsid w:val="00BF49D7"/>
    <w:rPr>
      <w:i/>
      <w:iCs/>
    </w:rPr>
  </w:style>
  <w:style w:type="table" w:styleId="Grilledutableau">
    <w:name w:val="Table Grid"/>
    <w:basedOn w:val="TableauNormal"/>
    <w:uiPriority w:val="39"/>
    <w:rsid w:val="00B158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01621B"/>
    <w:pPr>
      <w:ind w:left="720"/>
      <w:contextualSpacing/>
    </w:pPr>
  </w:style>
  <w:style w:type="paragraph" w:styleId="Textedebulles">
    <w:name w:val="Balloon Text"/>
    <w:basedOn w:val="Normal"/>
    <w:link w:val="TextedebullesCar"/>
    <w:uiPriority w:val="99"/>
    <w:semiHidden/>
    <w:unhideWhenUsed/>
    <w:rsid w:val="0018330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83300"/>
    <w:rPr>
      <w:rFonts w:ascii="Segoe UI" w:hAnsi="Segoe UI" w:cs="Segoe UI"/>
      <w:sz w:val="18"/>
      <w:szCs w:val="18"/>
    </w:rPr>
  </w:style>
  <w:style w:type="character" w:customStyle="1" w:styleId="Titre1Car">
    <w:name w:val="Titre 1 Car"/>
    <w:basedOn w:val="Policepardfaut"/>
    <w:link w:val="Titre1"/>
    <w:uiPriority w:val="9"/>
    <w:rsid w:val="00D5780C"/>
    <w:rPr>
      <w:rFonts w:eastAsia="Times New Roman"/>
      <w:b/>
      <w:bCs/>
      <w:kern w:val="36"/>
      <w:sz w:val="48"/>
      <w:szCs w:val="48"/>
      <w:lang w:eastAsia="fr-BE"/>
    </w:rPr>
  </w:style>
  <w:style w:type="character" w:customStyle="1" w:styleId="Titre2Car">
    <w:name w:val="Titre 2 Car"/>
    <w:basedOn w:val="Policepardfaut"/>
    <w:link w:val="Titre2"/>
    <w:uiPriority w:val="9"/>
    <w:rsid w:val="00D5780C"/>
    <w:rPr>
      <w:rFonts w:eastAsia="Times New Roman"/>
      <w:b/>
      <w:bCs/>
      <w:sz w:val="36"/>
      <w:szCs w:val="36"/>
      <w:lang w:eastAsia="fr-BE"/>
    </w:rPr>
  </w:style>
  <w:style w:type="character" w:customStyle="1" w:styleId="main-heading">
    <w:name w:val="main-heading"/>
    <w:basedOn w:val="Policepardfaut"/>
    <w:rsid w:val="00D5780C"/>
  </w:style>
  <w:style w:type="character" w:customStyle="1" w:styleId="large">
    <w:name w:val="large"/>
    <w:basedOn w:val="Policepardfaut"/>
    <w:rsid w:val="00D5780C"/>
  </w:style>
  <w:style w:type="paragraph" w:styleId="En-tte">
    <w:name w:val="header"/>
    <w:basedOn w:val="Normal"/>
    <w:link w:val="En-tteCar"/>
    <w:uiPriority w:val="99"/>
    <w:unhideWhenUsed/>
    <w:rsid w:val="005E2C86"/>
    <w:pPr>
      <w:tabs>
        <w:tab w:val="center" w:pos="4536"/>
        <w:tab w:val="right" w:pos="9072"/>
      </w:tabs>
      <w:spacing w:after="0" w:line="240" w:lineRule="auto"/>
    </w:pPr>
  </w:style>
  <w:style w:type="character" w:customStyle="1" w:styleId="En-tteCar">
    <w:name w:val="En-tête Car"/>
    <w:basedOn w:val="Policepardfaut"/>
    <w:link w:val="En-tte"/>
    <w:uiPriority w:val="99"/>
    <w:rsid w:val="005E2C86"/>
  </w:style>
  <w:style w:type="paragraph" w:styleId="Pieddepage">
    <w:name w:val="footer"/>
    <w:basedOn w:val="Normal"/>
    <w:link w:val="PieddepageCar"/>
    <w:uiPriority w:val="99"/>
    <w:unhideWhenUsed/>
    <w:rsid w:val="005E2C8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E2C86"/>
  </w:style>
  <w:style w:type="character" w:customStyle="1" w:styleId="sg-italicise">
    <w:name w:val="sg-italicise"/>
    <w:basedOn w:val="Policepardfaut"/>
    <w:rsid w:val="00F8413E"/>
  </w:style>
  <w:style w:type="character" w:customStyle="1" w:styleId="numbers-1">
    <w:name w:val="numbers-1"/>
    <w:basedOn w:val="Policepardfaut"/>
    <w:rsid w:val="009E4630"/>
  </w:style>
  <w:style w:type="character" w:customStyle="1" w:styleId="char-style-override-15">
    <w:name w:val="char-style-override-15"/>
    <w:basedOn w:val="Policepardfaut"/>
    <w:rsid w:val="009E4630"/>
  </w:style>
  <w:style w:type="paragraph" w:customStyle="1" w:styleId="sg-body-text">
    <w:name w:val="sg-body-text"/>
    <w:basedOn w:val="Normal"/>
    <w:rsid w:val="0000756E"/>
    <w:pPr>
      <w:spacing w:before="100" w:beforeAutospacing="1" w:after="100" w:afterAutospacing="1" w:line="240" w:lineRule="auto"/>
    </w:pPr>
    <w:rPr>
      <w:rFonts w:eastAsia="Times New Roman"/>
      <w:sz w:val="24"/>
      <w:szCs w:val="24"/>
      <w:lang w:eastAsia="fr-BE"/>
    </w:rPr>
  </w:style>
  <w:style w:type="paragraph" w:customStyle="1" w:styleId="sg-eg-less">
    <w:name w:val="sg-eg-less"/>
    <w:basedOn w:val="Normal"/>
    <w:rsid w:val="0000756E"/>
    <w:pPr>
      <w:spacing w:before="100" w:beforeAutospacing="1" w:after="100" w:afterAutospacing="1" w:line="240" w:lineRule="auto"/>
    </w:pPr>
    <w:rPr>
      <w:rFonts w:eastAsia="Times New Roman"/>
      <w:sz w:val="24"/>
      <w:szCs w:val="24"/>
      <w:lang w:eastAsia="fr-BE"/>
    </w:rPr>
  </w:style>
  <w:style w:type="character" w:customStyle="1" w:styleId="sg-nothing">
    <w:name w:val="sg-nothing"/>
    <w:basedOn w:val="Policepardfaut"/>
    <w:rsid w:val="0000756E"/>
  </w:style>
  <w:style w:type="character" w:customStyle="1" w:styleId="italique">
    <w:name w:val="italique"/>
    <w:basedOn w:val="Policepardfaut"/>
    <w:rsid w:val="009613D2"/>
  </w:style>
  <w:style w:type="paragraph" w:styleId="Notedefin">
    <w:name w:val="endnote text"/>
    <w:basedOn w:val="Normal"/>
    <w:link w:val="NotedefinCar"/>
    <w:uiPriority w:val="99"/>
    <w:semiHidden/>
    <w:unhideWhenUsed/>
    <w:rsid w:val="00513033"/>
    <w:pPr>
      <w:spacing w:after="0" w:line="240" w:lineRule="auto"/>
    </w:pPr>
    <w:rPr>
      <w:sz w:val="20"/>
      <w:szCs w:val="20"/>
    </w:rPr>
  </w:style>
  <w:style w:type="character" w:customStyle="1" w:styleId="NotedefinCar">
    <w:name w:val="Note de fin Car"/>
    <w:basedOn w:val="Policepardfaut"/>
    <w:link w:val="Notedefin"/>
    <w:uiPriority w:val="99"/>
    <w:semiHidden/>
    <w:rsid w:val="00513033"/>
    <w:rPr>
      <w:sz w:val="20"/>
      <w:szCs w:val="20"/>
    </w:rPr>
  </w:style>
  <w:style w:type="character" w:styleId="Appeldenotedefin">
    <w:name w:val="endnote reference"/>
    <w:basedOn w:val="Policepardfaut"/>
    <w:uiPriority w:val="99"/>
    <w:semiHidden/>
    <w:unhideWhenUsed/>
    <w:rsid w:val="0051303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274569">
      <w:bodyDiv w:val="1"/>
      <w:marLeft w:val="0"/>
      <w:marRight w:val="0"/>
      <w:marTop w:val="0"/>
      <w:marBottom w:val="0"/>
      <w:divBdr>
        <w:top w:val="none" w:sz="0" w:space="0" w:color="auto"/>
        <w:left w:val="none" w:sz="0" w:space="0" w:color="auto"/>
        <w:bottom w:val="none" w:sz="0" w:space="0" w:color="auto"/>
        <w:right w:val="none" w:sz="0" w:space="0" w:color="auto"/>
      </w:divBdr>
    </w:div>
    <w:div w:id="233516618">
      <w:bodyDiv w:val="1"/>
      <w:marLeft w:val="0"/>
      <w:marRight w:val="0"/>
      <w:marTop w:val="0"/>
      <w:marBottom w:val="0"/>
      <w:divBdr>
        <w:top w:val="none" w:sz="0" w:space="0" w:color="auto"/>
        <w:left w:val="none" w:sz="0" w:space="0" w:color="auto"/>
        <w:bottom w:val="none" w:sz="0" w:space="0" w:color="auto"/>
        <w:right w:val="none" w:sz="0" w:space="0" w:color="auto"/>
      </w:divBdr>
      <w:divsChild>
        <w:div w:id="1563978106">
          <w:marLeft w:val="0"/>
          <w:marRight w:val="0"/>
          <w:marTop w:val="0"/>
          <w:marBottom w:val="0"/>
          <w:divBdr>
            <w:top w:val="none" w:sz="0" w:space="0" w:color="auto"/>
            <w:left w:val="none" w:sz="0" w:space="0" w:color="auto"/>
            <w:bottom w:val="none" w:sz="0" w:space="0" w:color="auto"/>
            <w:right w:val="none" w:sz="0" w:space="0" w:color="auto"/>
          </w:divBdr>
          <w:divsChild>
            <w:div w:id="241263799">
              <w:marLeft w:val="0"/>
              <w:marRight w:val="0"/>
              <w:marTop w:val="0"/>
              <w:marBottom w:val="0"/>
              <w:divBdr>
                <w:top w:val="none" w:sz="0" w:space="0" w:color="auto"/>
                <w:left w:val="none" w:sz="0" w:space="0" w:color="auto"/>
                <w:bottom w:val="none" w:sz="0" w:space="0" w:color="auto"/>
                <w:right w:val="none" w:sz="0" w:space="0" w:color="auto"/>
              </w:divBdr>
            </w:div>
            <w:div w:id="155249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193964">
      <w:bodyDiv w:val="1"/>
      <w:marLeft w:val="0"/>
      <w:marRight w:val="0"/>
      <w:marTop w:val="0"/>
      <w:marBottom w:val="0"/>
      <w:divBdr>
        <w:top w:val="none" w:sz="0" w:space="0" w:color="auto"/>
        <w:left w:val="none" w:sz="0" w:space="0" w:color="auto"/>
        <w:bottom w:val="none" w:sz="0" w:space="0" w:color="auto"/>
        <w:right w:val="none" w:sz="0" w:space="0" w:color="auto"/>
      </w:divBdr>
    </w:div>
    <w:div w:id="358313837">
      <w:bodyDiv w:val="1"/>
      <w:marLeft w:val="0"/>
      <w:marRight w:val="0"/>
      <w:marTop w:val="0"/>
      <w:marBottom w:val="0"/>
      <w:divBdr>
        <w:top w:val="none" w:sz="0" w:space="0" w:color="auto"/>
        <w:left w:val="none" w:sz="0" w:space="0" w:color="auto"/>
        <w:bottom w:val="none" w:sz="0" w:space="0" w:color="auto"/>
        <w:right w:val="none" w:sz="0" w:space="0" w:color="auto"/>
      </w:divBdr>
      <w:divsChild>
        <w:div w:id="714276903">
          <w:marLeft w:val="0"/>
          <w:marRight w:val="0"/>
          <w:marTop w:val="0"/>
          <w:marBottom w:val="0"/>
          <w:divBdr>
            <w:top w:val="none" w:sz="0" w:space="0" w:color="auto"/>
            <w:left w:val="none" w:sz="0" w:space="0" w:color="auto"/>
            <w:bottom w:val="none" w:sz="0" w:space="0" w:color="auto"/>
            <w:right w:val="none" w:sz="0" w:space="0" w:color="auto"/>
          </w:divBdr>
        </w:div>
        <w:div w:id="1521823067">
          <w:marLeft w:val="0"/>
          <w:marRight w:val="0"/>
          <w:marTop w:val="0"/>
          <w:marBottom w:val="0"/>
          <w:divBdr>
            <w:top w:val="none" w:sz="0" w:space="0" w:color="auto"/>
            <w:left w:val="none" w:sz="0" w:space="0" w:color="auto"/>
            <w:bottom w:val="none" w:sz="0" w:space="0" w:color="auto"/>
            <w:right w:val="none" w:sz="0" w:space="0" w:color="auto"/>
          </w:divBdr>
        </w:div>
      </w:divsChild>
    </w:div>
    <w:div w:id="382605196">
      <w:bodyDiv w:val="1"/>
      <w:marLeft w:val="0"/>
      <w:marRight w:val="0"/>
      <w:marTop w:val="0"/>
      <w:marBottom w:val="0"/>
      <w:divBdr>
        <w:top w:val="none" w:sz="0" w:space="0" w:color="auto"/>
        <w:left w:val="none" w:sz="0" w:space="0" w:color="auto"/>
        <w:bottom w:val="none" w:sz="0" w:space="0" w:color="auto"/>
        <w:right w:val="none" w:sz="0" w:space="0" w:color="auto"/>
      </w:divBdr>
    </w:div>
    <w:div w:id="432942921">
      <w:bodyDiv w:val="1"/>
      <w:marLeft w:val="0"/>
      <w:marRight w:val="0"/>
      <w:marTop w:val="0"/>
      <w:marBottom w:val="0"/>
      <w:divBdr>
        <w:top w:val="none" w:sz="0" w:space="0" w:color="auto"/>
        <w:left w:val="none" w:sz="0" w:space="0" w:color="auto"/>
        <w:bottom w:val="none" w:sz="0" w:space="0" w:color="auto"/>
        <w:right w:val="none" w:sz="0" w:space="0" w:color="auto"/>
      </w:divBdr>
    </w:div>
    <w:div w:id="629240543">
      <w:bodyDiv w:val="1"/>
      <w:marLeft w:val="0"/>
      <w:marRight w:val="0"/>
      <w:marTop w:val="0"/>
      <w:marBottom w:val="0"/>
      <w:divBdr>
        <w:top w:val="none" w:sz="0" w:space="0" w:color="auto"/>
        <w:left w:val="none" w:sz="0" w:space="0" w:color="auto"/>
        <w:bottom w:val="none" w:sz="0" w:space="0" w:color="auto"/>
        <w:right w:val="none" w:sz="0" w:space="0" w:color="auto"/>
      </w:divBdr>
    </w:div>
    <w:div w:id="659701237">
      <w:bodyDiv w:val="1"/>
      <w:marLeft w:val="0"/>
      <w:marRight w:val="0"/>
      <w:marTop w:val="0"/>
      <w:marBottom w:val="0"/>
      <w:divBdr>
        <w:top w:val="none" w:sz="0" w:space="0" w:color="auto"/>
        <w:left w:val="none" w:sz="0" w:space="0" w:color="auto"/>
        <w:bottom w:val="none" w:sz="0" w:space="0" w:color="auto"/>
        <w:right w:val="none" w:sz="0" w:space="0" w:color="auto"/>
      </w:divBdr>
    </w:div>
    <w:div w:id="680592450">
      <w:bodyDiv w:val="1"/>
      <w:marLeft w:val="0"/>
      <w:marRight w:val="0"/>
      <w:marTop w:val="0"/>
      <w:marBottom w:val="0"/>
      <w:divBdr>
        <w:top w:val="none" w:sz="0" w:space="0" w:color="auto"/>
        <w:left w:val="none" w:sz="0" w:space="0" w:color="auto"/>
        <w:bottom w:val="none" w:sz="0" w:space="0" w:color="auto"/>
        <w:right w:val="none" w:sz="0" w:space="0" w:color="auto"/>
      </w:divBdr>
    </w:div>
    <w:div w:id="719324139">
      <w:bodyDiv w:val="1"/>
      <w:marLeft w:val="0"/>
      <w:marRight w:val="0"/>
      <w:marTop w:val="0"/>
      <w:marBottom w:val="0"/>
      <w:divBdr>
        <w:top w:val="none" w:sz="0" w:space="0" w:color="auto"/>
        <w:left w:val="none" w:sz="0" w:space="0" w:color="auto"/>
        <w:bottom w:val="none" w:sz="0" w:space="0" w:color="auto"/>
        <w:right w:val="none" w:sz="0" w:space="0" w:color="auto"/>
      </w:divBdr>
    </w:div>
    <w:div w:id="882207438">
      <w:bodyDiv w:val="1"/>
      <w:marLeft w:val="0"/>
      <w:marRight w:val="0"/>
      <w:marTop w:val="0"/>
      <w:marBottom w:val="0"/>
      <w:divBdr>
        <w:top w:val="none" w:sz="0" w:space="0" w:color="auto"/>
        <w:left w:val="none" w:sz="0" w:space="0" w:color="auto"/>
        <w:bottom w:val="none" w:sz="0" w:space="0" w:color="auto"/>
        <w:right w:val="none" w:sz="0" w:space="0" w:color="auto"/>
      </w:divBdr>
    </w:div>
    <w:div w:id="936526347">
      <w:bodyDiv w:val="1"/>
      <w:marLeft w:val="0"/>
      <w:marRight w:val="0"/>
      <w:marTop w:val="0"/>
      <w:marBottom w:val="0"/>
      <w:divBdr>
        <w:top w:val="none" w:sz="0" w:space="0" w:color="auto"/>
        <w:left w:val="none" w:sz="0" w:space="0" w:color="auto"/>
        <w:bottom w:val="none" w:sz="0" w:space="0" w:color="auto"/>
        <w:right w:val="none" w:sz="0" w:space="0" w:color="auto"/>
      </w:divBdr>
    </w:div>
    <w:div w:id="958025070">
      <w:bodyDiv w:val="1"/>
      <w:marLeft w:val="0"/>
      <w:marRight w:val="0"/>
      <w:marTop w:val="0"/>
      <w:marBottom w:val="0"/>
      <w:divBdr>
        <w:top w:val="none" w:sz="0" w:space="0" w:color="auto"/>
        <w:left w:val="none" w:sz="0" w:space="0" w:color="auto"/>
        <w:bottom w:val="none" w:sz="0" w:space="0" w:color="auto"/>
        <w:right w:val="none" w:sz="0" w:space="0" w:color="auto"/>
      </w:divBdr>
    </w:div>
    <w:div w:id="1031613531">
      <w:bodyDiv w:val="1"/>
      <w:marLeft w:val="0"/>
      <w:marRight w:val="0"/>
      <w:marTop w:val="0"/>
      <w:marBottom w:val="0"/>
      <w:divBdr>
        <w:top w:val="none" w:sz="0" w:space="0" w:color="auto"/>
        <w:left w:val="none" w:sz="0" w:space="0" w:color="auto"/>
        <w:bottom w:val="none" w:sz="0" w:space="0" w:color="auto"/>
        <w:right w:val="none" w:sz="0" w:space="0" w:color="auto"/>
      </w:divBdr>
      <w:divsChild>
        <w:div w:id="1595238023">
          <w:marLeft w:val="0"/>
          <w:marRight w:val="0"/>
          <w:marTop w:val="0"/>
          <w:marBottom w:val="0"/>
          <w:divBdr>
            <w:top w:val="none" w:sz="0" w:space="0" w:color="auto"/>
            <w:left w:val="none" w:sz="0" w:space="0" w:color="auto"/>
            <w:bottom w:val="none" w:sz="0" w:space="0" w:color="auto"/>
            <w:right w:val="none" w:sz="0" w:space="0" w:color="auto"/>
          </w:divBdr>
        </w:div>
        <w:div w:id="1997026643">
          <w:marLeft w:val="0"/>
          <w:marRight w:val="0"/>
          <w:marTop w:val="0"/>
          <w:marBottom w:val="0"/>
          <w:divBdr>
            <w:top w:val="none" w:sz="0" w:space="0" w:color="auto"/>
            <w:left w:val="none" w:sz="0" w:space="0" w:color="auto"/>
            <w:bottom w:val="none" w:sz="0" w:space="0" w:color="auto"/>
            <w:right w:val="none" w:sz="0" w:space="0" w:color="auto"/>
          </w:divBdr>
        </w:div>
      </w:divsChild>
    </w:div>
    <w:div w:id="1257059930">
      <w:bodyDiv w:val="1"/>
      <w:marLeft w:val="0"/>
      <w:marRight w:val="0"/>
      <w:marTop w:val="0"/>
      <w:marBottom w:val="0"/>
      <w:divBdr>
        <w:top w:val="none" w:sz="0" w:space="0" w:color="auto"/>
        <w:left w:val="none" w:sz="0" w:space="0" w:color="auto"/>
        <w:bottom w:val="none" w:sz="0" w:space="0" w:color="auto"/>
        <w:right w:val="none" w:sz="0" w:space="0" w:color="auto"/>
      </w:divBdr>
    </w:div>
    <w:div w:id="1384863955">
      <w:bodyDiv w:val="1"/>
      <w:marLeft w:val="0"/>
      <w:marRight w:val="0"/>
      <w:marTop w:val="0"/>
      <w:marBottom w:val="0"/>
      <w:divBdr>
        <w:top w:val="none" w:sz="0" w:space="0" w:color="auto"/>
        <w:left w:val="none" w:sz="0" w:space="0" w:color="auto"/>
        <w:bottom w:val="none" w:sz="0" w:space="0" w:color="auto"/>
        <w:right w:val="none" w:sz="0" w:space="0" w:color="auto"/>
      </w:divBdr>
    </w:div>
    <w:div w:id="1910269054">
      <w:bodyDiv w:val="1"/>
      <w:marLeft w:val="0"/>
      <w:marRight w:val="0"/>
      <w:marTop w:val="0"/>
      <w:marBottom w:val="0"/>
      <w:divBdr>
        <w:top w:val="none" w:sz="0" w:space="0" w:color="auto"/>
        <w:left w:val="none" w:sz="0" w:space="0" w:color="auto"/>
        <w:bottom w:val="none" w:sz="0" w:space="0" w:color="auto"/>
        <w:right w:val="none" w:sz="0" w:space="0" w:color="auto"/>
      </w:divBdr>
      <w:divsChild>
        <w:div w:id="43797252">
          <w:marLeft w:val="0"/>
          <w:marRight w:val="0"/>
          <w:marTop w:val="0"/>
          <w:marBottom w:val="0"/>
          <w:divBdr>
            <w:top w:val="none" w:sz="0" w:space="0" w:color="auto"/>
            <w:left w:val="none" w:sz="0" w:space="0" w:color="auto"/>
            <w:bottom w:val="none" w:sz="0" w:space="0" w:color="auto"/>
            <w:right w:val="none" w:sz="0" w:space="0" w:color="auto"/>
          </w:divBdr>
          <w:divsChild>
            <w:div w:id="847408519">
              <w:marLeft w:val="0"/>
              <w:marRight w:val="0"/>
              <w:marTop w:val="0"/>
              <w:marBottom w:val="0"/>
              <w:divBdr>
                <w:top w:val="none" w:sz="0" w:space="0" w:color="auto"/>
                <w:left w:val="none" w:sz="0" w:space="0" w:color="auto"/>
                <w:bottom w:val="none" w:sz="0" w:space="0" w:color="auto"/>
                <w:right w:val="none" w:sz="0" w:space="0" w:color="auto"/>
              </w:divBdr>
            </w:div>
          </w:divsChild>
        </w:div>
        <w:div w:id="90971987">
          <w:marLeft w:val="0"/>
          <w:marRight w:val="0"/>
          <w:marTop w:val="0"/>
          <w:marBottom w:val="0"/>
          <w:divBdr>
            <w:top w:val="none" w:sz="0" w:space="0" w:color="auto"/>
            <w:left w:val="none" w:sz="0" w:space="0" w:color="auto"/>
            <w:bottom w:val="none" w:sz="0" w:space="0" w:color="auto"/>
            <w:right w:val="none" w:sz="0" w:space="0" w:color="auto"/>
          </w:divBdr>
        </w:div>
        <w:div w:id="123428857">
          <w:marLeft w:val="0"/>
          <w:marRight w:val="0"/>
          <w:marTop w:val="0"/>
          <w:marBottom w:val="0"/>
          <w:divBdr>
            <w:top w:val="none" w:sz="0" w:space="0" w:color="auto"/>
            <w:left w:val="none" w:sz="0" w:space="0" w:color="auto"/>
            <w:bottom w:val="none" w:sz="0" w:space="0" w:color="auto"/>
            <w:right w:val="none" w:sz="0" w:space="0" w:color="auto"/>
          </w:divBdr>
        </w:div>
        <w:div w:id="759563358">
          <w:marLeft w:val="0"/>
          <w:marRight w:val="0"/>
          <w:marTop w:val="0"/>
          <w:marBottom w:val="0"/>
          <w:divBdr>
            <w:top w:val="none" w:sz="0" w:space="0" w:color="auto"/>
            <w:left w:val="none" w:sz="0" w:space="0" w:color="auto"/>
            <w:bottom w:val="none" w:sz="0" w:space="0" w:color="auto"/>
            <w:right w:val="none" w:sz="0" w:space="0" w:color="auto"/>
          </w:divBdr>
        </w:div>
        <w:div w:id="1817213178">
          <w:marLeft w:val="0"/>
          <w:marRight w:val="0"/>
          <w:marTop w:val="0"/>
          <w:marBottom w:val="0"/>
          <w:divBdr>
            <w:top w:val="none" w:sz="0" w:space="0" w:color="auto"/>
            <w:left w:val="none" w:sz="0" w:space="0" w:color="auto"/>
            <w:bottom w:val="none" w:sz="0" w:space="0" w:color="auto"/>
            <w:right w:val="none" w:sz="0" w:space="0" w:color="auto"/>
          </w:divBdr>
        </w:div>
      </w:divsChild>
    </w:div>
    <w:div w:id="201826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jpeg"/></Relationships>
</file>

<file path=word/_rels/footnotes.xml.rels><?xml version="1.0" encoding="UTF-8" standalone="yes"?>
<Relationships xmlns="http://schemas.openxmlformats.org/package/2006/relationships"><Relationship Id="rId1" Type="http://schemas.openxmlformats.org/officeDocument/2006/relationships/hyperlink" Target="https://numelyo.bm-lyon.fr/f_view/BML:BML_00GOO0100137001100694582"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155EA1-A193-42CF-8D00-FD10C46C0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38</Pages>
  <Words>4907</Words>
  <Characters>26990</Characters>
  <Application>Microsoft Office Word</Application>
  <DocSecurity>0</DocSecurity>
  <Lines>224</Lines>
  <Paragraphs>63</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31834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daniel.droixhe@swedhs.org</dc:creator>
  <cp:keywords/>
  <dc:description/>
  <cp:lastModifiedBy>daniel.droixhe@swedhs.org</cp:lastModifiedBy>
  <cp:revision>4</cp:revision>
  <cp:lastPrinted>2023-09-29T13:44:00Z</cp:lastPrinted>
  <dcterms:created xsi:type="dcterms:W3CDTF">2024-02-06T09:51:00Z</dcterms:created>
  <dcterms:modified xsi:type="dcterms:W3CDTF">2024-02-09T17:55:00Z</dcterms:modified>
</cp:coreProperties>
</file>