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5D0D2" w14:textId="184BA6D7" w:rsidR="001A7F23" w:rsidRPr="00FA22ED" w:rsidRDefault="001A7F23" w:rsidP="001A7F23">
      <w:pPr>
        <w:rPr>
          <w:rFonts w:ascii="Arial" w:hAnsi="Arial" w:cs="Arial"/>
          <w:b/>
          <w:bCs/>
          <w:lang w:val="en-GB"/>
        </w:rPr>
      </w:pPr>
      <w:r>
        <w:rPr>
          <w:rFonts w:ascii="Arial" w:hAnsi="Arial" w:cs="Arial"/>
          <w:b/>
          <w:bCs/>
          <w:lang w:val="en-GB"/>
        </w:rPr>
        <w:t xml:space="preserve">Appendix - </w:t>
      </w:r>
      <w:r w:rsidRPr="00FA22ED">
        <w:rPr>
          <w:rFonts w:ascii="Arial" w:hAnsi="Arial" w:cs="Arial"/>
          <w:b/>
          <w:bCs/>
          <w:lang w:val="en-US"/>
        </w:rPr>
        <w:t>Monitoring plot-level tropical forest canopy structure with automated crown segmentation from low-cost drone imagery</w:t>
      </w:r>
      <w:r>
        <w:rPr>
          <w:rFonts w:ascii="Arial" w:hAnsi="Arial" w:cs="Arial"/>
          <w:b/>
          <w:bCs/>
          <w:lang w:val="en-GB"/>
        </w:rPr>
        <w:t xml:space="preserve"> </w:t>
      </w:r>
    </w:p>
    <w:p w14:paraId="0E27A722" w14:textId="224385AA" w:rsidR="003F50C1" w:rsidRDefault="001A7F23" w:rsidP="001A7F23">
      <w:pPr>
        <w:jc w:val="both"/>
        <w:rPr>
          <w:rFonts w:ascii="Arial" w:hAnsi="Arial" w:cs="Arial"/>
          <w:b/>
          <w:bCs/>
          <w:sz w:val="22"/>
          <w:szCs w:val="22"/>
          <w:u w:val="single"/>
        </w:rPr>
      </w:pPr>
      <w:r w:rsidRPr="00026D32">
        <w:rPr>
          <w:rFonts w:ascii="Arial" w:hAnsi="Arial" w:cs="Arial"/>
          <w:b/>
          <w:bCs/>
          <w:sz w:val="22"/>
          <w:szCs w:val="22"/>
          <w:u w:val="single"/>
        </w:rPr>
        <w:t>Appendix</w:t>
      </w:r>
    </w:p>
    <w:p w14:paraId="222943AE" w14:textId="2BC5DF32" w:rsidR="003F50C1" w:rsidRDefault="001A5CDE" w:rsidP="001A7F23">
      <w:pPr>
        <w:jc w:val="both"/>
        <w:rPr>
          <w:rFonts w:ascii="Arial" w:hAnsi="Arial" w:cs="Arial"/>
          <w:b/>
          <w:bCs/>
          <w:sz w:val="22"/>
          <w:szCs w:val="22"/>
          <w:u w:val="single"/>
        </w:rPr>
      </w:pPr>
      <w:r>
        <w:rPr>
          <w:rFonts w:ascii="Arial" w:hAnsi="Arial" w:cs="Arial"/>
          <w:b/>
          <w:bCs/>
          <w:noProof/>
          <w:sz w:val="22"/>
          <w:szCs w:val="22"/>
        </w:rPr>
        <w:drawing>
          <wp:inline distT="0" distB="0" distL="0" distR="0" wp14:anchorId="0C539360" wp14:editId="5BB8B7FB">
            <wp:extent cx="5758180" cy="4942205"/>
            <wp:effectExtent l="0" t="0" r="0" b="0"/>
            <wp:docPr id="200683969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8180" cy="4942205"/>
                    </a:xfrm>
                    <a:prstGeom prst="rect">
                      <a:avLst/>
                    </a:prstGeom>
                    <a:noFill/>
                    <a:ln>
                      <a:noFill/>
                    </a:ln>
                  </pic:spPr>
                </pic:pic>
              </a:graphicData>
            </a:graphic>
          </wp:inline>
        </w:drawing>
      </w:r>
    </w:p>
    <w:p w14:paraId="63CF3E9F" w14:textId="296821C2" w:rsidR="003F50C1" w:rsidRDefault="003F50C1" w:rsidP="003F50C1">
      <w:pPr>
        <w:jc w:val="both"/>
        <w:rPr>
          <w:rFonts w:ascii="Arial" w:hAnsi="Arial" w:cs="Arial"/>
          <w:b/>
          <w:bCs/>
          <w:sz w:val="20"/>
          <w:szCs w:val="20"/>
          <w:lang w:val="en-GB"/>
        </w:rPr>
      </w:pPr>
      <w:r w:rsidRPr="003F50C1">
        <w:rPr>
          <w:rFonts w:ascii="Arial" w:hAnsi="Arial" w:cs="Arial"/>
          <w:b/>
          <w:bCs/>
          <w:sz w:val="20"/>
          <w:szCs w:val="20"/>
          <w:lang w:val="en-GB"/>
        </w:rPr>
        <w:t xml:space="preserve">Supp. Fig. 1 Field-based crown delineation workflow using </w:t>
      </w:r>
      <w:proofErr w:type="spellStart"/>
      <w:r w:rsidRPr="003F50C1">
        <w:rPr>
          <w:rFonts w:ascii="Arial" w:hAnsi="Arial" w:cs="Arial"/>
          <w:b/>
          <w:bCs/>
          <w:sz w:val="20"/>
          <w:szCs w:val="20"/>
          <w:lang w:val="en-GB"/>
        </w:rPr>
        <w:t>QField</w:t>
      </w:r>
      <w:proofErr w:type="spellEnd"/>
      <w:r w:rsidRPr="003F50C1">
        <w:rPr>
          <w:rFonts w:ascii="Arial" w:hAnsi="Arial" w:cs="Arial"/>
          <w:b/>
          <w:bCs/>
          <w:sz w:val="20"/>
          <w:szCs w:val="20"/>
          <w:lang w:val="en-GB"/>
        </w:rPr>
        <w:t xml:space="preserve">. (a) Overview of the drone </w:t>
      </w:r>
      <w:proofErr w:type="spellStart"/>
      <w:r w:rsidRPr="003F50C1">
        <w:rPr>
          <w:rFonts w:ascii="Arial" w:hAnsi="Arial" w:cs="Arial"/>
          <w:b/>
          <w:bCs/>
          <w:sz w:val="20"/>
          <w:szCs w:val="20"/>
          <w:lang w:val="en-GB"/>
        </w:rPr>
        <w:t>orthomosaic</w:t>
      </w:r>
      <w:proofErr w:type="spellEnd"/>
      <w:r w:rsidRPr="003F50C1">
        <w:rPr>
          <w:rFonts w:ascii="Arial" w:hAnsi="Arial" w:cs="Arial"/>
          <w:b/>
          <w:bCs/>
          <w:sz w:val="20"/>
          <w:szCs w:val="20"/>
          <w:lang w:val="en-GB"/>
        </w:rPr>
        <w:t xml:space="preserve"> with pre-delineated tree crowns (green polygons) displayed on a tablet in the field. (b) Field team navigating to a target tree while consulting the </w:t>
      </w:r>
      <w:proofErr w:type="spellStart"/>
      <w:r w:rsidRPr="003F50C1">
        <w:rPr>
          <w:rFonts w:ascii="Arial" w:hAnsi="Arial" w:cs="Arial"/>
          <w:b/>
          <w:bCs/>
          <w:sz w:val="20"/>
          <w:szCs w:val="20"/>
          <w:lang w:val="en-GB"/>
        </w:rPr>
        <w:t>orthomosaic</w:t>
      </w:r>
      <w:proofErr w:type="spellEnd"/>
      <w:r w:rsidRPr="003F50C1">
        <w:rPr>
          <w:rFonts w:ascii="Arial" w:hAnsi="Arial" w:cs="Arial"/>
          <w:b/>
          <w:bCs/>
          <w:sz w:val="20"/>
          <w:szCs w:val="20"/>
          <w:lang w:val="en-GB"/>
        </w:rPr>
        <w:t xml:space="preserve"> on a tablet. (c) Close-up view of a target tree crown </w:t>
      </w:r>
      <w:r w:rsidR="0023684E" w:rsidRPr="0023684E">
        <w:rPr>
          <w:rFonts w:ascii="Arial" w:hAnsi="Arial" w:cs="Arial"/>
          <w:b/>
          <w:bCs/>
          <w:sz w:val="20"/>
          <w:szCs w:val="20"/>
          <w:lang w:val="en-GB"/>
        </w:rPr>
        <w:t xml:space="preserve">prior to </w:t>
      </w:r>
      <w:r w:rsidRPr="003F50C1">
        <w:rPr>
          <w:rFonts w:ascii="Arial" w:hAnsi="Arial" w:cs="Arial"/>
          <w:b/>
          <w:bCs/>
          <w:sz w:val="20"/>
          <w:szCs w:val="20"/>
          <w:lang w:val="en-GB"/>
        </w:rPr>
        <w:t xml:space="preserve">field verification. (d) Manual refinement of the crown boundary directly on the </w:t>
      </w:r>
      <w:proofErr w:type="spellStart"/>
      <w:r w:rsidRPr="003F50C1">
        <w:rPr>
          <w:rFonts w:ascii="Arial" w:hAnsi="Arial" w:cs="Arial"/>
          <w:b/>
          <w:bCs/>
          <w:sz w:val="20"/>
          <w:szCs w:val="20"/>
          <w:lang w:val="en-GB"/>
        </w:rPr>
        <w:t>orthomosaic</w:t>
      </w:r>
      <w:proofErr w:type="spellEnd"/>
      <w:r w:rsidRPr="003F50C1">
        <w:rPr>
          <w:rFonts w:ascii="Arial" w:hAnsi="Arial" w:cs="Arial"/>
          <w:b/>
          <w:bCs/>
          <w:sz w:val="20"/>
          <w:szCs w:val="20"/>
          <w:lang w:val="en-GB"/>
        </w:rPr>
        <w:t xml:space="preserve"> using </w:t>
      </w:r>
      <w:proofErr w:type="spellStart"/>
      <w:r w:rsidRPr="003F50C1">
        <w:rPr>
          <w:rFonts w:ascii="Arial" w:hAnsi="Arial" w:cs="Arial"/>
          <w:b/>
          <w:bCs/>
          <w:sz w:val="20"/>
          <w:szCs w:val="20"/>
          <w:lang w:val="en-GB"/>
        </w:rPr>
        <w:t>QField</w:t>
      </w:r>
      <w:proofErr w:type="spellEnd"/>
      <w:r w:rsidRPr="003F50C1">
        <w:rPr>
          <w:rFonts w:ascii="Arial" w:hAnsi="Arial" w:cs="Arial"/>
          <w:b/>
          <w:bCs/>
          <w:sz w:val="20"/>
          <w:szCs w:val="20"/>
          <w:lang w:val="en-GB"/>
        </w:rPr>
        <w:t>, with the edited polygon shown in red.</w:t>
      </w:r>
    </w:p>
    <w:p w14:paraId="50FA4D2A" w14:textId="77777777" w:rsidR="001008AD" w:rsidRDefault="001008AD" w:rsidP="003F50C1">
      <w:pPr>
        <w:jc w:val="both"/>
        <w:rPr>
          <w:rFonts w:ascii="Arial" w:hAnsi="Arial" w:cs="Arial"/>
          <w:b/>
          <w:bCs/>
          <w:sz w:val="20"/>
          <w:szCs w:val="20"/>
          <w:lang w:val="en-GB"/>
        </w:rPr>
      </w:pPr>
    </w:p>
    <w:p w14:paraId="1910CBB5" w14:textId="77777777" w:rsidR="001008AD" w:rsidRDefault="001008AD" w:rsidP="003F50C1">
      <w:pPr>
        <w:jc w:val="both"/>
        <w:rPr>
          <w:rFonts w:ascii="Arial" w:hAnsi="Arial" w:cs="Arial"/>
          <w:b/>
          <w:bCs/>
          <w:sz w:val="20"/>
          <w:szCs w:val="20"/>
          <w:lang w:val="en-GB"/>
        </w:rPr>
      </w:pPr>
    </w:p>
    <w:p w14:paraId="6D2C993D" w14:textId="77777777" w:rsidR="001008AD" w:rsidRDefault="001008AD" w:rsidP="003F50C1">
      <w:pPr>
        <w:jc w:val="both"/>
        <w:rPr>
          <w:rFonts w:ascii="Arial" w:hAnsi="Arial" w:cs="Arial"/>
          <w:b/>
          <w:bCs/>
          <w:sz w:val="20"/>
          <w:szCs w:val="20"/>
          <w:lang w:val="en-GB"/>
        </w:rPr>
      </w:pPr>
    </w:p>
    <w:p w14:paraId="049CD762" w14:textId="77777777" w:rsidR="001008AD" w:rsidRDefault="001008AD" w:rsidP="003F50C1">
      <w:pPr>
        <w:jc w:val="both"/>
        <w:rPr>
          <w:rFonts w:ascii="Arial" w:hAnsi="Arial" w:cs="Arial"/>
          <w:b/>
          <w:bCs/>
          <w:sz w:val="20"/>
          <w:szCs w:val="20"/>
          <w:lang w:val="en-GB"/>
        </w:rPr>
      </w:pPr>
    </w:p>
    <w:p w14:paraId="5A3258CE" w14:textId="77777777" w:rsidR="001008AD" w:rsidRDefault="001008AD" w:rsidP="003F50C1">
      <w:pPr>
        <w:jc w:val="both"/>
        <w:rPr>
          <w:rFonts w:ascii="Arial" w:hAnsi="Arial" w:cs="Arial"/>
          <w:b/>
          <w:bCs/>
          <w:sz w:val="20"/>
          <w:szCs w:val="20"/>
          <w:lang w:val="en-GB"/>
        </w:rPr>
      </w:pPr>
    </w:p>
    <w:p w14:paraId="1B9B513D" w14:textId="77777777" w:rsidR="001008AD" w:rsidRDefault="001008AD" w:rsidP="003F50C1">
      <w:pPr>
        <w:jc w:val="both"/>
        <w:rPr>
          <w:rFonts w:ascii="Arial" w:hAnsi="Arial" w:cs="Arial"/>
          <w:b/>
          <w:bCs/>
          <w:sz w:val="20"/>
          <w:szCs w:val="20"/>
          <w:lang w:val="en-GB"/>
        </w:rPr>
      </w:pPr>
    </w:p>
    <w:p w14:paraId="782542B8" w14:textId="77777777" w:rsidR="001008AD" w:rsidRDefault="001008AD" w:rsidP="003F50C1">
      <w:pPr>
        <w:jc w:val="both"/>
        <w:rPr>
          <w:rFonts w:ascii="Arial" w:hAnsi="Arial" w:cs="Arial"/>
          <w:b/>
          <w:bCs/>
          <w:sz w:val="20"/>
          <w:szCs w:val="20"/>
          <w:lang w:val="en-GB"/>
        </w:rPr>
      </w:pPr>
    </w:p>
    <w:p w14:paraId="11121448" w14:textId="77777777" w:rsidR="001008AD" w:rsidRDefault="001008AD" w:rsidP="003F50C1">
      <w:pPr>
        <w:jc w:val="both"/>
        <w:rPr>
          <w:rFonts w:ascii="Arial" w:hAnsi="Arial" w:cs="Arial"/>
          <w:b/>
          <w:bCs/>
          <w:sz w:val="20"/>
          <w:szCs w:val="20"/>
          <w:lang w:val="en-GB"/>
        </w:rPr>
      </w:pPr>
    </w:p>
    <w:p w14:paraId="7D6C25E8" w14:textId="77777777" w:rsidR="00D5456E" w:rsidRDefault="00D5456E" w:rsidP="00D5456E">
      <w:pPr>
        <w:jc w:val="center"/>
        <w:rPr>
          <w:rFonts w:ascii="Arial" w:hAnsi="Arial" w:cs="Arial"/>
          <w:b/>
          <w:bCs/>
          <w:sz w:val="20"/>
          <w:szCs w:val="20"/>
          <w:lang w:val="en-GB"/>
        </w:rPr>
      </w:pPr>
      <w:r>
        <w:rPr>
          <w:rFonts w:ascii="Arial" w:hAnsi="Arial" w:cs="Arial"/>
          <w:b/>
          <w:bCs/>
          <w:noProof/>
          <w:sz w:val="20"/>
          <w:szCs w:val="20"/>
          <w:lang w:val="en-GB"/>
        </w:rPr>
        <w:lastRenderedPageBreak/>
        <w:drawing>
          <wp:inline distT="0" distB="0" distL="0" distR="0" wp14:anchorId="7C506472" wp14:editId="5A865EDC">
            <wp:extent cx="5092861" cy="2912613"/>
            <wp:effectExtent l="0" t="0" r="0" b="2540"/>
            <wp:docPr id="1053744066" name="Image 5" descr="Une image contenant texte, diagramme, Tracé,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44066" name="Image 5" descr="Une image contenant texte, diagramme, Tracé, ligne&#10;&#10;Le contenu généré par l’IA peut êtr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00495" cy="2916979"/>
                    </a:xfrm>
                    <a:prstGeom prst="rect">
                      <a:avLst/>
                    </a:prstGeom>
                    <a:noFill/>
                    <a:ln>
                      <a:noFill/>
                    </a:ln>
                  </pic:spPr>
                </pic:pic>
              </a:graphicData>
            </a:graphic>
          </wp:inline>
        </w:drawing>
      </w:r>
    </w:p>
    <w:p w14:paraId="38F724ED" w14:textId="7D2B6F44" w:rsidR="00D5456E" w:rsidRPr="00D5456E" w:rsidRDefault="00D5456E" w:rsidP="00D5456E">
      <w:pPr>
        <w:jc w:val="both"/>
        <w:rPr>
          <w:rFonts w:ascii="Arial" w:hAnsi="Arial" w:cs="Arial"/>
          <w:b/>
          <w:bCs/>
          <w:sz w:val="20"/>
          <w:szCs w:val="20"/>
          <w:lang w:val="en-GB"/>
        </w:rPr>
      </w:pPr>
      <w:r w:rsidRPr="00D5456E">
        <w:rPr>
          <w:rFonts w:ascii="Arial" w:hAnsi="Arial" w:cs="Arial"/>
          <w:b/>
          <w:bCs/>
          <w:sz w:val="20"/>
          <w:szCs w:val="20"/>
          <w:lang w:val="en-GB"/>
        </w:rPr>
        <w:t xml:space="preserve">Supp. Fig. </w:t>
      </w:r>
      <w:r>
        <w:rPr>
          <w:rFonts w:ascii="Arial" w:hAnsi="Arial" w:cs="Arial"/>
          <w:b/>
          <w:bCs/>
          <w:sz w:val="20"/>
          <w:szCs w:val="20"/>
          <w:lang w:val="en-GB"/>
        </w:rPr>
        <w:t>2</w:t>
      </w:r>
      <w:r w:rsidRPr="00D5456E">
        <w:rPr>
          <w:rFonts w:ascii="Arial" w:hAnsi="Arial" w:cs="Arial"/>
          <w:b/>
          <w:bCs/>
          <w:sz w:val="20"/>
          <w:szCs w:val="20"/>
          <w:lang w:val="en-GB"/>
        </w:rPr>
        <w:t>. Distribution of Intersection over Union (</w:t>
      </w:r>
      <w:proofErr w:type="spellStart"/>
      <w:r w:rsidRPr="00D5456E">
        <w:rPr>
          <w:rFonts w:ascii="Arial" w:hAnsi="Arial" w:cs="Arial"/>
          <w:b/>
          <w:bCs/>
          <w:sz w:val="20"/>
          <w:szCs w:val="20"/>
          <w:lang w:val="en-GB"/>
        </w:rPr>
        <w:t>IoU</w:t>
      </w:r>
      <w:proofErr w:type="spellEnd"/>
      <w:r w:rsidRPr="00D5456E">
        <w:rPr>
          <w:rFonts w:ascii="Arial" w:hAnsi="Arial" w:cs="Arial"/>
          <w:b/>
          <w:bCs/>
          <w:sz w:val="20"/>
          <w:szCs w:val="20"/>
          <w:lang w:val="en-GB"/>
        </w:rPr>
        <w:t xml:space="preserve">) values between the field-delineated crowns and their best-matching photo-interpreted crown across plots. </w:t>
      </w:r>
      <w:proofErr w:type="spellStart"/>
      <w:r w:rsidRPr="00D5456E">
        <w:rPr>
          <w:rFonts w:ascii="Arial" w:hAnsi="Arial" w:cs="Arial"/>
          <w:b/>
          <w:bCs/>
          <w:sz w:val="20"/>
          <w:szCs w:val="20"/>
          <w:lang w:val="en-GB"/>
        </w:rPr>
        <w:t>IoU</w:t>
      </w:r>
      <w:proofErr w:type="spellEnd"/>
      <w:r w:rsidRPr="00D5456E">
        <w:rPr>
          <w:rFonts w:ascii="Arial" w:hAnsi="Arial" w:cs="Arial"/>
          <w:b/>
          <w:bCs/>
          <w:sz w:val="20"/>
          <w:szCs w:val="20"/>
          <w:lang w:val="en-GB"/>
        </w:rPr>
        <w:t xml:space="preserve"> was computed for each field-delineated crown as the ratio of the intersection area to the union area with the most overlapping photo-interpreted crown.</w:t>
      </w:r>
    </w:p>
    <w:p w14:paraId="3957EEAD" w14:textId="77777777" w:rsidR="00D5456E" w:rsidRDefault="00D5456E" w:rsidP="003F50C1">
      <w:pPr>
        <w:jc w:val="both"/>
        <w:rPr>
          <w:rFonts w:ascii="Arial" w:hAnsi="Arial" w:cs="Arial"/>
          <w:b/>
          <w:bCs/>
          <w:sz w:val="20"/>
          <w:szCs w:val="20"/>
          <w:lang w:val="en-GB"/>
        </w:rPr>
      </w:pPr>
    </w:p>
    <w:p w14:paraId="1E30B2FF" w14:textId="37FB28C5" w:rsidR="001008AD" w:rsidRDefault="001008AD" w:rsidP="003F50C1">
      <w:pPr>
        <w:jc w:val="both"/>
        <w:rPr>
          <w:rFonts w:ascii="Arial" w:hAnsi="Arial" w:cs="Arial"/>
          <w:b/>
          <w:bCs/>
          <w:sz w:val="20"/>
          <w:szCs w:val="20"/>
          <w:lang w:val="en-GB"/>
        </w:rPr>
      </w:pPr>
      <w:r>
        <w:rPr>
          <w:rFonts w:ascii="Arial" w:hAnsi="Arial" w:cs="Arial"/>
          <w:b/>
          <w:bCs/>
          <w:noProof/>
          <w:sz w:val="20"/>
          <w:szCs w:val="20"/>
          <w:lang w:val="en-GB"/>
        </w:rPr>
        <w:drawing>
          <wp:inline distT="0" distB="0" distL="0" distR="0" wp14:anchorId="2D6FE8FB" wp14:editId="20CCDA24">
            <wp:extent cx="5752465" cy="2876550"/>
            <wp:effectExtent l="0" t="0" r="635" b="0"/>
            <wp:docPr id="52727227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2465" cy="2876550"/>
                    </a:xfrm>
                    <a:prstGeom prst="rect">
                      <a:avLst/>
                    </a:prstGeom>
                    <a:noFill/>
                    <a:ln>
                      <a:noFill/>
                    </a:ln>
                  </pic:spPr>
                </pic:pic>
              </a:graphicData>
            </a:graphic>
          </wp:inline>
        </w:drawing>
      </w:r>
    </w:p>
    <w:p w14:paraId="669D84D5" w14:textId="0E9AD815" w:rsidR="00D5456E" w:rsidRDefault="001008AD" w:rsidP="00D5456E">
      <w:pPr>
        <w:jc w:val="both"/>
        <w:rPr>
          <w:rFonts w:ascii="Arial" w:hAnsi="Arial" w:cs="Arial"/>
          <w:b/>
          <w:bCs/>
          <w:sz w:val="20"/>
          <w:szCs w:val="20"/>
          <w:lang w:val="en-GB"/>
        </w:rPr>
      </w:pPr>
      <w:r w:rsidRPr="001008AD">
        <w:rPr>
          <w:rFonts w:ascii="Arial" w:hAnsi="Arial" w:cs="Arial"/>
          <w:b/>
          <w:bCs/>
          <w:sz w:val="20"/>
          <w:szCs w:val="20"/>
          <w:lang w:val="en-GB"/>
        </w:rPr>
        <w:t xml:space="preserve">Supp. Fig. </w:t>
      </w:r>
      <w:r w:rsidR="00D5456E">
        <w:rPr>
          <w:rFonts w:ascii="Arial" w:hAnsi="Arial" w:cs="Arial"/>
          <w:b/>
          <w:bCs/>
          <w:sz w:val="20"/>
          <w:szCs w:val="20"/>
          <w:lang w:val="en-GB"/>
        </w:rPr>
        <w:t>3</w:t>
      </w:r>
      <w:r w:rsidRPr="001008AD">
        <w:rPr>
          <w:rFonts w:ascii="Arial" w:hAnsi="Arial" w:cs="Arial"/>
          <w:b/>
          <w:bCs/>
          <w:sz w:val="20"/>
          <w:szCs w:val="20"/>
          <w:lang w:val="en-GB"/>
        </w:rPr>
        <w:t xml:space="preserve">. Illustration of the benefit of multi-date photointerpretation for individual tree crown delineation in the Luki Biosphere Reserve. The same crowns (orange polygons) are shown on two </w:t>
      </w:r>
      <w:proofErr w:type="spellStart"/>
      <w:r w:rsidRPr="001008AD">
        <w:rPr>
          <w:rFonts w:ascii="Arial" w:hAnsi="Arial" w:cs="Arial"/>
          <w:b/>
          <w:bCs/>
          <w:sz w:val="20"/>
          <w:szCs w:val="20"/>
          <w:lang w:val="en-GB"/>
        </w:rPr>
        <w:t>orthomosaics</w:t>
      </w:r>
      <w:proofErr w:type="spellEnd"/>
      <w:r w:rsidRPr="001008AD">
        <w:rPr>
          <w:rFonts w:ascii="Arial" w:hAnsi="Arial" w:cs="Arial"/>
          <w:b/>
          <w:bCs/>
          <w:sz w:val="20"/>
          <w:szCs w:val="20"/>
          <w:lang w:val="en-GB"/>
        </w:rPr>
        <w:t xml:space="preserve"> acquired at different dates: (a) 04 May 2023, where the dense and homogeneous canopy makes crown boundaries difficult to distinguish, and (b) 01 November 2023, where contrasting colorimetry driven by differential phenological activity and changes in acquisition conditions reveals canopy structure more clearly, facilitating crown boundary delineation.</w:t>
      </w:r>
    </w:p>
    <w:p w14:paraId="6C8163BF" w14:textId="1B19C940" w:rsidR="001A7F23" w:rsidRDefault="001A7F23" w:rsidP="003F50C1">
      <w:pPr>
        <w:jc w:val="both"/>
        <w:rPr>
          <w:rFonts w:ascii="Arial" w:hAnsi="Arial" w:cs="Arial"/>
          <w:sz w:val="18"/>
          <w:szCs w:val="18"/>
          <w:lang w:val="en-GB"/>
        </w:rPr>
      </w:pPr>
      <w:r>
        <w:rPr>
          <w:rFonts w:ascii="Arial" w:hAnsi="Arial" w:cs="Arial"/>
          <w:noProof/>
          <w:sz w:val="18"/>
          <w:szCs w:val="18"/>
          <w:lang w:val="en-GB"/>
        </w:rPr>
        <w:lastRenderedPageBreak/>
        <w:drawing>
          <wp:inline distT="0" distB="0" distL="0" distR="0" wp14:anchorId="68808645" wp14:editId="3EBA6B55">
            <wp:extent cx="5602147" cy="5390191"/>
            <wp:effectExtent l="0" t="0" r="0" b="1270"/>
            <wp:docPr id="1820169610" name="Image 27" descr="Une image contenant cart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69610" name="Image 27" descr="Une image contenant carte, capture d’écran&#10;&#10;Le contenu généré par l’IA peut être incorrect."/>
                    <pic:cNvPicPr>
                      <a:picLocks noChangeAspect="1" noChangeArrowheads="1"/>
                    </pic:cNvPicPr>
                  </pic:nvPicPr>
                  <pic:blipFill rotWithShape="1">
                    <a:blip r:embed="rId7">
                      <a:extLst>
                        <a:ext uri="{28A0092B-C50C-407E-A947-70E740481C1C}">
                          <a14:useLocalDpi xmlns:a14="http://schemas.microsoft.com/office/drawing/2010/main" val="0"/>
                        </a:ext>
                      </a:extLst>
                    </a:blip>
                    <a:srcRect l="20121" r="21425"/>
                    <a:stretch>
                      <a:fillRect/>
                    </a:stretch>
                  </pic:blipFill>
                  <pic:spPr bwMode="auto">
                    <a:xfrm>
                      <a:off x="0" y="0"/>
                      <a:ext cx="5609398" cy="5397167"/>
                    </a:xfrm>
                    <a:prstGeom prst="rect">
                      <a:avLst/>
                    </a:prstGeom>
                    <a:noFill/>
                    <a:ln>
                      <a:noFill/>
                    </a:ln>
                    <a:extLst>
                      <a:ext uri="{53640926-AAD7-44D8-BBD7-CCE9431645EC}">
                        <a14:shadowObscured xmlns:a14="http://schemas.microsoft.com/office/drawing/2010/main"/>
                      </a:ext>
                    </a:extLst>
                  </pic:spPr>
                </pic:pic>
              </a:graphicData>
            </a:graphic>
          </wp:inline>
        </w:drawing>
      </w:r>
    </w:p>
    <w:p w14:paraId="32E4D911" w14:textId="77777777" w:rsidR="00E00CAA" w:rsidRDefault="00E00CAA" w:rsidP="001A7F23">
      <w:pPr>
        <w:jc w:val="both"/>
        <w:rPr>
          <w:rFonts w:ascii="Arial" w:hAnsi="Arial" w:cs="Arial"/>
          <w:b/>
          <w:bCs/>
          <w:sz w:val="18"/>
          <w:szCs w:val="18"/>
          <w:lang w:val="en-GB"/>
        </w:rPr>
      </w:pPr>
      <w:r w:rsidRPr="00E00CAA">
        <w:rPr>
          <w:rFonts w:ascii="Arial" w:hAnsi="Arial" w:cs="Arial"/>
          <w:b/>
          <w:bCs/>
          <w:sz w:val="18"/>
          <w:szCs w:val="18"/>
          <w:lang w:val="en-GB"/>
        </w:rPr>
        <w:t>Supp. Fig. 4. Effect of the smoothing parameter in Detectree2 post-processing on crown geometry. Three individual crowns are shown at three smoothing levels: 0 (no smoothing, retaining pixel-level noise artifacts), 0.1 (low smoothing), and the value used in this study. The figure illustrates that the smoothing step reduces geometric noise at crown boundaries without substantially altering the overall crown shape or shape index.</w:t>
      </w:r>
    </w:p>
    <w:p w14:paraId="386514D0" w14:textId="2FA04787" w:rsidR="001A7F23" w:rsidRDefault="001A7F23" w:rsidP="001A7F23">
      <w:pPr>
        <w:jc w:val="both"/>
        <w:rPr>
          <w:rFonts w:ascii="Arial" w:hAnsi="Arial" w:cs="Arial"/>
          <w:b/>
          <w:bCs/>
          <w:sz w:val="18"/>
          <w:szCs w:val="18"/>
          <w:lang w:val="en-US"/>
        </w:rPr>
      </w:pPr>
      <w:r w:rsidRPr="00633B13">
        <w:rPr>
          <w:rFonts w:ascii="Arial" w:hAnsi="Arial" w:cs="Arial"/>
          <w:b/>
          <w:bCs/>
          <w:noProof/>
          <w:sz w:val="18"/>
          <w:szCs w:val="18"/>
        </w:rPr>
        <w:drawing>
          <wp:inline distT="0" distB="0" distL="0" distR="0" wp14:anchorId="50451CEA" wp14:editId="06731ECB">
            <wp:extent cx="5760720" cy="1830070"/>
            <wp:effectExtent l="0" t="0" r="0" b="0"/>
            <wp:docPr id="1028" name="Picture 4" descr="Une image contenant silhouette&#10;&#10;Le contenu généré par l’IA peut être incorrect.">
              <a:extLst xmlns:a="http://schemas.openxmlformats.org/drawingml/2006/main">
                <a:ext uri="{FF2B5EF4-FFF2-40B4-BE49-F238E27FC236}">
                  <a16:creationId xmlns:a16="http://schemas.microsoft.com/office/drawing/2014/main" id="{6D9BCECA-E3E7-F097-0B1A-3A30F9D7F7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Une image contenant silhouette&#10;&#10;Le contenu généré par l’IA peut être incorrect.">
                      <a:extLst>
                        <a:ext uri="{FF2B5EF4-FFF2-40B4-BE49-F238E27FC236}">
                          <a16:creationId xmlns:a16="http://schemas.microsoft.com/office/drawing/2014/main" id="{6D9BCECA-E3E7-F097-0B1A-3A30F9D7F72F}"/>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830070"/>
                    </a:xfrm>
                    <a:prstGeom prst="rect">
                      <a:avLst/>
                    </a:prstGeom>
                    <a:noFill/>
                  </pic:spPr>
                </pic:pic>
              </a:graphicData>
            </a:graphic>
          </wp:inline>
        </w:drawing>
      </w:r>
    </w:p>
    <w:p w14:paraId="18DC52EC" w14:textId="43215080" w:rsidR="001A7F23" w:rsidRPr="00633B13" w:rsidRDefault="001A7F23" w:rsidP="001A7F23">
      <w:pPr>
        <w:jc w:val="both"/>
        <w:rPr>
          <w:rFonts w:ascii="Arial" w:hAnsi="Arial" w:cs="Arial"/>
          <w:sz w:val="18"/>
          <w:szCs w:val="18"/>
          <w:lang w:val="en-GB"/>
        </w:rPr>
      </w:pPr>
      <w:r w:rsidRPr="00633B13">
        <w:rPr>
          <w:rFonts w:ascii="Arial" w:hAnsi="Arial" w:cs="Arial"/>
          <w:b/>
          <w:bCs/>
          <w:sz w:val="18"/>
          <w:szCs w:val="18"/>
          <w:lang w:val="en-US"/>
        </w:rPr>
        <w:t xml:space="preserve">Supp. Fig. </w:t>
      </w:r>
      <w:r w:rsidR="00D5456E">
        <w:rPr>
          <w:rFonts w:ascii="Arial" w:hAnsi="Arial" w:cs="Arial"/>
          <w:b/>
          <w:bCs/>
          <w:sz w:val="18"/>
          <w:szCs w:val="18"/>
          <w:lang w:val="en-US"/>
        </w:rPr>
        <w:t>5</w:t>
      </w:r>
      <w:r w:rsidRPr="00633B13">
        <w:rPr>
          <w:rFonts w:ascii="Arial" w:hAnsi="Arial" w:cs="Arial"/>
          <w:b/>
          <w:bCs/>
          <w:sz w:val="18"/>
          <w:szCs w:val="18"/>
          <w:lang w:val="en-US"/>
        </w:rPr>
        <w:t>. Example of shape index (circularity index) derived from segments produced by the Detectree2SAM ITC model, ranging from the simplest to the most complex shape.</w:t>
      </w:r>
      <w:r w:rsidRPr="00633B13">
        <w:rPr>
          <w:rFonts w:ascii="Arial" w:hAnsi="Arial" w:cs="Arial"/>
          <w:sz w:val="18"/>
          <w:szCs w:val="18"/>
          <w:lang w:val="en-GB"/>
        </w:rPr>
        <w:t> </w:t>
      </w:r>
    </w:p>
    <w:p w14:paraId="5765D5AA" w14:textId="77777777" w:rsidR="001A7F23" w:rsidRPr="00B36697" w:rsidRDefault="001A7F23" w:rsidP="001A7F23">
      <w:pPr>
        <w:jc w:val="both"/>
        <w:rPr>
          <w:rFonts w:ascii="Arial" w:hAnsi="Arial" w:cs="Arial"/>
          <w:sz w:val="18"/>
          <w:szCs w:val="18"/>
          <w:lang w:val="en-GB"/>
        </w:rPr>
      </w:pPr>
    </w:p>
    <w:tbl>
      <w:tblPr>
        <w:tblW w:w="9335" w:type="dxa"/>
        <w:tblCellMar>
          <w:top w:w="15" w:type="dxa"/>
          <w:left w:w="15" w:type="dxa"/>
          <w:bottom w:w="15" w:type="dxa"/>
          <w:right w:w="15" w:type="dxa"/>
        </w:tblCellMar>
        <w:tblLook w:val="04A0" w:firstRow="1" w:lastRow="0" w:firstColumn="1" w:lastColumn="0" w:noHBand="0" w:noVBand="1"/>
      </w:tblPr>
      <w:tblGrid>
        <w:gridCol w:w="4828"/>
        <w:gridCol w:w="1765"/>
        <w:gridCol w:w="1371"/>
        <w:gridCol w:w="1371"/>
      </w:tblGrid>
      <w:tr w:rsidR="001A7F23" w:rsidRPr="00E00CAA" w14:paraId="6293EC5D" w14:textId="77777777" w:rsidTr="00B046EE">
        <w:trPr>
          <w:trHeight w:val="279"/>
          <w:tblHeader/>
        </w:trPr>
        <w:tc>
          <w:tcPr>
            <w:tcW w:w="0" w:type="auto"/>
            <w:gridSpan w:val="4"/>
            <w:tcBorders>
              <w:top w:val="nil"/>
              <w:left w:val="nil"/>
              <w:bottom w:val="nil"/>
              <w:right w:val="nil"/>
            </w:tcBorders>
            <w:tcMar>
              <w:top w:w="75" w:type="dxa"/>
              <w:left w:w="75" w:type="dxa"/>
              <w:bottom w:w="75" w:type="dxa"/>
              <w:right w:w="75" w:type="dxa"/>
            </w:tcMar>
            <w:vAlign w:val="center"/>
            <w:hideMark/>
          </w:tcPr>
          <w:p w14:paraId="78C2C1DB" w14:textId="77777777" w:rsidR="001A7F23" w:rsidRPr="004472A0" w:rsidRDefault="001A7F23" w:rsidP="00B046EE">
            <w:pPr>
              <w:jc w:val="both"/>
              <w:rPr>
                <w:rFonts w:ascii="Arial" w:hAnsi="Arial" w:cs="Arial"/>
                <w:b/>
                <w:bCs/>
                <w:sz w:val="18"/>
                <w:szCs w:val="18"/>
                <w:lang w:val="en-GB"/>
              </w:rPr>
            </w:pPr>
            <w:r w:rsidRPr="004472A0">
              <w:rPr>
                <w:rFonts w:ascii="Arial" w:hAnsi="Arial" w:cs="Arial"/>
                <w:b/>
                <w:bCs/>
                <w:sz w:val="18"/>
                <w:szCs w:val="18"/>
                <w:lang w:val="en-GB"/>
              </w:rPr>
              <w:lastRenderedPageBreak/>
              <w:t>Supp. Table. 1. Median and standard deviation for each metric and model</w:t>
            </w:r>
          </w:p>
        </w:tc>
      </w:tr>
      <w:tr w:rsidR="001A7F23" w:rsidRPr="009F035F" w14:paraId="0909ADE6" w14:textId="77777777" w:rsidTr="00B046EE">
        <w:trPr>
          <w:trHeight w:val="285"/>
          <w:tblHeader/>
        </w:trPr>
        <w:tc>
          <w:tcPr>
            <w:tcW w:w="0" w:type="auto"/>
            <w:tcBorders>
              <w:top w:val="nil"/>
              <w:bottom w:val="single" w:sz="12" w:space="0" w:color="DDDDDD"/>
            </w:tcBorders>
            <w:tcMar>
              <w:top w:w="75" w:type="dxa"/>
              <w:left w:w="75" w:type="dxa"/>
              <w:bottom w:w="75" w:type="dxa"/>
              <w:right w:w="75" w:type="dxa"/>
            </w:tcMar>
            <w:vAlign w:val="bottom"/>
            <w:hideMark/>
          </w:tcPr>
          <w:p w14:paraId="5FDF84B9" w14:textId="77777777" w:rsidR="001A7F23" w:rsidRPr="009F035F" w:rsidRDefault="001A7F23" w:rsidP="00B046EE">
            <w:pPr>
              <w:jc w:val="both"/>
              <w:rPr>
                <w:rFonts w:ascii="Arial" w:hAnsi="Arial" w:cs="Arial"/>
                <w:b/>
                <w:bCs/>
                <w:sz w:val="18"/>
                <w:szCs w:val="18"/>
              </w:rPr>
            </w:pPr>
            <w:proofErr w:type="spellStart"/>
            <w:r w:rsidRPr="009F035F">
              <w:rPr>
                <w:rFonts w:ascii="Arial" w:hAnsi="Arial" w:cs="Arial"/>
                <w:b/>
                <w:bCs/>
                <w:sz w:val="18"/>
                <w:szCs w:val="18"/>
              </w:rPr>
              <w:t>Metric</w:t>
            </w:r>
            <w:proofErr w:type="spellEnd"/>
          </w:p>
        </w:tc>
        <w:tc>
          <w:tcPr>
            <w:tcW w:w="0" w:type="auto"/>
            <w:tcBorders>
              <w:top w:val="nil"/>
              <w:bottom w:val="single" w:sz="12" w:space="0" w:color="DDDDDD"/>
            </w:tcBorders>
            <w:tcMar>
              <w:top w:w="75" w:type="dxa"/>
              <w:left w:w="75" w:type="dxa"/>
              <w:bottom w:w="75" w:type="dxa"/>
              <w:right w:w="75" w:type="dxa"/>
            </w:tcMar>
            <w:vAlign w:val="bottom"/>
            <w:hideMark/>
          </w:tcPr>
          <w:p w14:paraId="1CF39E5A" w14:textId="77777777" w:rsidR="001A7F23" w:rsidRPr="009F035F" w:rsidRDefault="001A7F23" w:rsidP="00B046EE">
            <w:pPr>
              <w:jc w:val="both"/>
              <w:rPr>
                <w:rFonts w:ascii="Arial" w:hAnsi="Arial" w:cs="Arial"/>
                <w:b/>
                <w:bCs/>
                <w:sz w:val="18"/>
                <w:szCs w:val="18"/>
              </w:rPr>
            </w:pPr>
            <w:r w:rsidRPr="009F035F">
              <w:rPr>
                <w:rFonts w:ascii="Arial" w:hAnsi="Arial" w:cs="Arial"/>
                <w:b/>
                <w:bCs/>
                <w:sz w:val="18"/>
                <w:szCs w:val="18"/>
              </w:rPr>
              <w:t>Model</w:t>
            </w:r>
          </w:p>
        </w:tc>
        <w:tc>
          <w:tcPr>
            <w:tcW w:w="0" w:type="auto"/>
            <w:tcBorders>
              <w:top w:val="nil"/>
              <w:bottom w:val="single" w:sz="12" w:space="0" w:color="DDDDDD"/>
            </w:tcBorders>
            <w:tcMar>
              <w:top w:w="75" w:type="dxa"/>
              <w:left w:w="75" w:type="dxa"/>
              <w:bottom w:w="75" w:type="dxa"/>
              <w:right w:w="75" w:type="dxa"/>
            </w:tcMar>
            <w:vAlign w:val="bottom"/>
            <w:hideMark/>
          </w:tcPr>
          <w:p w14:paraId="490EA0D0" w14:textId="77777777" w:rsidR="001A7F23" w:rsidRPr="009F035F" w:rsidRDefault="001A7F23" w:rsidP="00B046EE">
            <w:pPr>
              <w:jc w:val="both"/>
              <w:rPr>
                <w:rFonts w:ascii="Arial" w:hAnsi="Arial" w:cs="Arial"/>
                <w:b/>
                <w:bCs/>
                <w:sz w:val="18"/>
                <w:szCs w:val="18"/>
              </w:rPr>
            </w:pPr>
            <w:r w:rsidRPr="009F035F">
              <w:rPr>
                <w:rFonts w:ascii="Arial" w:hAnsi="Arial" w:cs="Arial"/>
                <w:b/>
                <w:bCs/>
                <w:sz w:val="18"/>
                <w:szCs w:val="18"/>
              </w:rPr>
              <w:t>Median</w:t>
            </w:r>
          </w:p>
        </w:tc>
        <w:tc>
          <w:tcPr>
            <w:tcW w:w="0" w:type="auto"/>
            <w:tcBorders>
              <w:top w:val="nil"/>
              <w:bottom w:val="single" w:sz="12" w:space="0" w:color="DDDDDD"/>
            </w:tcBorders>
            <w:tcMar>
              <w:top w:w="75" w:type="dxa"/>
              <w:left w:w="75" w:type="dxa"/>
              <w:bottom w:w="75" w:type="dxa"/>
              <w:right w:w="75" w:type="dxa"/>
            </w:tcMar>
            <w:vAlign w:val="bottom"/>
            <w:hideMark/>
          </w:tcPr>
          <w:p w14:paraId="513C154B" w14:textId="77777777" w:rsidR="001A7F23" w:rsidRPr="009F035F" w:rsidRDefault="001A7F23" w:rsidP="00B046EE">
            <w:pPr>
              <w:jc w:val="both"/>
              <w:rPr>
                <w:rFonts w:ascii="Arial" w:hAnsi="Arial" w:cs="Arial"/>
                <w:b/>
                <w:bCs/>
                <w:sz w:val="18"/>
                <w:szCs w:val="18"/>
              </w:rPr>
            </w:pPr>
            <w:r w:rsidRPr="009F035F">
              <w:rPr>
                <w:rFonts w:ascii="Arial" w:hAnsi="Arial" w:cs="Arial"/>
                <w:b/>
                <w:bCs/>
                <w:sz w:val="18"/>
                <w:szCs w:val="18"/>
              </w:rPr>
              <w:t>SD</w:t>
            </w:r>
          </w:p>
        </w:tc>
      </w:tr>
      <w:tr w:rsidR="001A7F23" w:rsidRPr="009F035F" w14:paraId="1D2BFE19" w14:textId="77777777" w:rsidTr="00B046EE">
        <w:trPr>
          <w:trHeight w:val="329"/>
        </w:trPr>
        <w:tc>
          <w:tcPr>
            <w:tcW w:w="0" w:type="auto"/>
            <w:vMerge w:val="restart"/>
            <w:tcBorders>
              <w:top w:val="single" w:sz="6" w:space="0" w:color="DDDDDD"/>
            </w:tcBorders>
            <w:shd w:val="clear" w:color="auto" w:fill="F9F9F9"/>
            <w:tcMar>
              <w:top w:w="75" w:type="dxa"/>
              <w:left w:w="75" w:type="dxa"/>
              <w:bottom w:w="75" w:type="dxa"/>
              <w:right w:w="75" w:type="dxa"/>
            </w:tcMar>
            <w:hideMark/>
          </w:tcPr>
          <w:p w14:paraId="53610740" w14:textId="77777777" w:rsidR="001A7F23" w:rsidRPr="009F035F" w:rsidRDefault="001A7F23" w:rsidP="00B046EE">
            <w:pPr>
              <w:jc w:val="both"/>
              <w:rPr>
                <w:rFonts w:ascii="Arial" w:hAnsi="Arial" w:cs="Arial"/>
                <w:b/>
                <w:bCs/>
                <w:sz w:val="18"/>
                <w:szCs w:val="18"/>
              </w:rPr>
            </w:pPr>
            <w:r w:rsidRPr="009F035F">
              <w:rPr>
                <w:rFonts w:ascii="Arial" w:hAnsi="Arial" w:cs="Arial"/>
                <w:b/>
                <w:bCs/>
                <w:sz w:val="18"/>
                <w:szCs w:val="18"/>
              </w:rPr>
              <w:t>Crown Area (m²)</w:t>
            </w:r>
          </w:p>
        </w:tc>
        <w:tc>
          <w:tcPr>
            <w:tcW w:w="0" w:type="auto"/>
            <w:tcBorders>
              <w:top w:val="single" w:sz="6" w:space="0" w:color="DDDDDD"/>
            </w:tcBorders>
            <w:shd w:val="clear" w:color="auto" w:fill="F9F9F9"/>
            <w:tcMar>
              <w:top w:w="75" w:type="dxa"/>
              <w:left w:w="75" w:type="dxa"/>
              <w:bottom w:w="75" w:type="dxa"/>
              <w:right w:w="75" w:type="dxa"/>
            </w:tcMar>
            <w:hideMark/>
          </w:tcPr>
          <w:p w14:paraId="4C601304"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D2S</w:t>
            </w:r>
          </w:p>
        </w:tc>
        <w:tc>
          <w:tcPr>
            <w:tcW w:w="0" w:type="auto"/>
            <w:tcBorders>
              <w:top w:val="single" w:sz="6" w:space="0" w:color="DDDDDD"/>
            </w:tcBorders>
            <w:shd w:val="clear" w:color="auto" w:fill="F9F9F9"/>
            <w:tcMar>
              <w:top w:w="75" w:type="dxa"/>
              <w:left w:w="75" w:type="dxa"/>
              <w:bottom w:w="75" w:type="dxa"/>
              <w:right w:w="75" w:type="dxa"/>
            </w:tcMar>
            <w:hideMark/>
          </w:tcPr>
          <w:p w14:paraId="1CC66875"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26.27</w:t>
            </w:r>
          </w:p>
        </w:tc>
        <w:tc>
          <w:tcPr>
            <w:tcW w:w="0" w:type="auto"/>
            <w:tcBorders>
              <w:top w:val="single" w:sz="6" w:space="0" w:color="DDDDDD"/>
            </w:tcBorders>
            <w:shd w:val="clear" w:color="auto" w:fill="F9F9F9"/>
            <w:tcMar>
              <w:top w:w="75" w:type="dxa"/>
              <w:left w:w="75" w:type="dxa"/>
              <w:bottom w:w="75" w:type="dxa"/>
              <w:right w:w="75" w:type="dxa"/>
            </w:tcMar>
            <w:hideMark/>
          </w:tcPr>
          <w:p w14:paraId="02A2087B"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83.38</w:t>
            </w:r>
          </w:p>
        </w:tc>
      </w:tr>
      <w:tr w:rsidR="001A7F23" w:rsidRPr="009F035F" w14:paraId="73A99345" w14:textId="77777777" w:rsidTr="00B046EE">
        <w:trPr>
          <w:trHeight w:val="100"/>
        </w:trPr>
        <w:tc>
          <w:tcPr>
            <w:tcW w:w="0" w:type="auto"/>
            <w:vMerge/>
            <w:tcBorders>
              <w:top w:val="single" w:sz="6" w:space="0" w:color="DDDDDD"/>
            </w:tcBorders>
            <w:vAlign w:val="center"/>
            <w:hideMark/>
          </w:tcPr>
          <w:p w14:paraId="3BBFCD64"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tcMar>
              <w:top w:w="75" w:type="dxa"/>
              <w:left w:w="75" w:type="dxa"/>
              <w:bottom w:w="75" w:type="dxa"/>
              <w:right w:w="75" w:type="dxa"/>
            </w:tcMar>
            <w:hideMark/>
          </w:tcPr>
          <w:p w14:paraId="48374AAC"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Detectree2</w:t>
            </w:r>
          </w:p>
        </w:tc>
        <w:tc>
          <w:tcPr>
            <w:tcW w:w="0" w:type="auto"/>
            <w:tcBorders>
              <w:top w:val="single" w:sz="6" w:space="0" w:color="DDDDDD"/>
            </w:tcBorders>
            <w:tcMar>
              <w:top w:w="75" w:type="dxa"/>
              <w:left w:w="75" w:type="dxa"/>
              <w:bottom w:w="75" w:type="dxa"/>
              <w:right w:w="75" w:type="dxa"/>
            </w:tcMar>
            <w:hideMark/>
          </w:tcPr>
          <w:p w14:paraId="0C387E0E"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45.07</w:t>
            </w:r>
          </w:p>
        </w:tc>
        <w:tc>
          <w:tcPr>
            <w:tcW w:w="0" w:type="auto"/>
            <w:tcBorders>
              <w:top w:val="single" w:sz="6" w:space="0" w:color="DDDDDD"/>
            </w:tcBorders>
            <w:tcMar>
              <w:top w:w="75" w:type="dxa"/>
              <w:left w:w="75" w:type="dxa"/>
              <w:bottom w:w="75" w:type="dxa"/>
              <w:right w:w="75" w:type="dxa"/>
            </w:tcMar>
            <w:hideMark/>
          </w:tcPr>
          <w:p w14:paraId="6E48A331"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94.19</w:t>
            </w:r>
          </w:p>
        </w:tc>
      </w:tr>
      <w:tr w:rsidR="001A7F23" w:rsidRPr="009F035F" w14:paraId="0C194ACE" w14:textId="77777777" w:rsidTr="00B046EE">
        <w:trPr>
          <w:trHeight w:val="100"/>
        </w:trPr>
        <w:tc>
          <w:tcPr>
            <w:tcW w:w="0" w:type="auto"/>
            <w:vMerge/>
            <w:tcBorders>
              <w:top w:val="single" w:sz="6" w:space="0" w:color="DDDDDD"/>
            </w:tcBorders>
            <w:shd w:val="clear" w:color="auto" w:fill="F9F9F9"/>
            <w:vAlign w:val="center"/>
            <w:hideMark/>
          </w:tcPr>
          <w:p w14:paraId="4B83C3AA"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shd w:val="clear" w:color="auto" w:fill="F9F9F9"/>
            <w:tcMar>
              <w:top w:w="75" w:type="dxa"/>
              <w:left w:w="75" w:type="dxa"/>
              <w:bottom w:w="75" w:type="dxa"/>
              <w:right w:w="75" w:type="dxa"/>
            </w:tcMar>
            <w:hideMark/>
          </w:tcPr>
          <w:p w14:paraId="18F62581"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SAM</w:t>
            </w:r>
          </w:p>
        </w:tc>
        <w:tc>
          <w:tcPr>
            <w:tcW w:w="0" w:type="auto"/>
            <w:tcBorders>
              <w:top w:val="single" w:sz="6" w:space="0" w:color="DDDDDD"/>
            </w:tcBorders>
            <w:shd w:val="clear" w:color="auto" w:fill="F9F9F9"/>
            <w:tcMar>
              <w:top w:w="75" w:type="dxa"/>
              <w:left w:w="75" w:type="dxa"/>
              <w:bottom w:w="75" w:type="dxa"/>
              <w:right w:w="75" w:type="dxa"/>
            </w:tcMar>
            <w:hideMark/>
          </w:tcPr>
          <w:p w14:paraId="36098A0D"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44.67</w:t>
            </w:r>
          </w:p>
        </w:tc>
        <w:tc>
          <w:tcPr>
            <w:tcW w:w="0" w:type="auto"/>
            <w:tcBorders>
              <w:top w:val="single" w:sz="6" w:space="0" w:color="DDDDDD"/>
            </w:tcBorders>
            <w:shd w:val="clear" w:color="auto" w:fill="F9F9F9"/>
            <w:tcMar>
              <w:top w:w="75" w:type="dxa"/>
              <w:left w:w="75" w:type="dxa"/>
              <w:bottom w:w="75" w:type="dxa"/>
              <w:right w:w="75" w:type="dxa"/>
            </w:tcMar>
            <w:hideMark/>
          </w:tcPr>
          <w:p w14:paraId="2701D371"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107.53</w:t>
            </w:r>
          </w:p>
        </w:tc>
      </w:tr>
      <w:tr w:rsidR="001A7F23" w:rsidRPr="009F035F" w14:paraId="32509C65" w14:textId="77777777" w:rsidTr="00B046EE">
        <w:trPr>
          <w:trHeight w:val="329"/>
        </w:trPr>
        <w:tc>
          <w:tcPr>
            <w:tcW w:w="0" w:type="auto"/>
            <w:vMerge w:val="restart"/>
            <w:tcBorders>
              <w:top w:val="single" w:sz="6" w:space="0" w:color="DDDDDD"/>
            </w:tcBorders>
            <w:tcMar>
              <w:top w:w="75" w:type="dxa"/>
              <w:left w:w="75" w:type="dxa"/>
              <w:bottom w:w="75" w:type="dxa"/>
              <w:right w:w="75" w:type="dxa"/>
            </w:tcMar>
            <w:hideMark/>
          </w:tcPr>
          <w:p w14:paraId="41576F84" w14:textId="77777777" w:rsidR="001A7F23" w:rsidRPr="009F035F" w:rsidRDefault="001A7F23" w:rsidP="00B046EE">
            <w:pPr>
              <w:jc w:val="both"/>
              <w:rPr>
                <w:rFonts w:ascii="Arial" w:hAnsi="Arial" w:cs="Arial"/>
                <w:b/>
                <w:bCs/>
                <w:sz w:val="18"/>
                <w:szCs w:val="18"/>
              </w:rPr>
            </w:pPr>
            <w:r w:rsidRPr="009F035F">
              <w:rPr>
                <w:rFonts w:ascii="Arial" w:hAnsi="Arial" w:cs="Arial"/>
                <w:b/>
                <w:bCs/>
                <w:sz w:val="18"/>
                <w:szCs w:val="18"/>
              </w:rPr>
              <w:t>Shape Index (SI)</w:t>
            </w:r>
          </w:p>
        </w:tc>
        <w:tc>
          <w:tcPr>
            <w:tcW w:w="0" w:type="auto"/>
            <w:tcBorders>
              <w:top w:val="single" w:sz="6" w:space="0" w:color="DDDDDD"/>
            </w:tcBorders>
            <w:tcMar>
              <w:top w:w="75" w:type="dxa"/>
              <w:left w:w="75" w:type="dxa"/>
              <w:bottom w:w="75" w:type="dxa"/>
              <w:right w:w="75" w:type="dxa"/>
            </w:tcMar>
            <w:hideMark/>
          </w:tcPr>
          <w:p w14:paraId="525DFB03"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D2S</w:t>
            </w:r>
          </w:p>
        </w:tc>
        <w:tc>
          <w:tcPr>
            <w:tcW w:w="0" w:type="auto"/>
            <w:tcBorders>
              <w:top w:val="single" w:sz="6" w:space="0" w:color="DDDDDD"/>
            </w:tcBorders>
            <w:tcMar>
              <w:top w:w="75" w:type="dxa"/>
              <w:left w:w="75" w:type="dxa"/>
              <w:bottom w:w="75" w:type="dxa"/>
              <w:right w:w="75" w:type="dxa"/>
            </w:tcMar>
            <w:hideMark/>
          </w:tcPr>
          <w:p w14:paraId="7A7376AE"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0.88</w:t>
            </w:r>
          </w:p>
        </w:tc>
        <w:tc>
          <w:tcPr>
            <w:tcW w:w="0" w:type="auto"/>
            <w:tcBorders>
              <w:top w:val="single" w:sz="6" w:space="0" w:color="DDDDDD"/>
            </w:tcBorders>
            <w:tcMar>
              <w:top w:w="75" w:type="dxa"/>
              <w:left w:w="75" w:type="dxa"/>
              <w:bottom w:w="75" w:type="dxa"/>
              <w:right w:w="75" w:type="dxa"/>
            </w:tcMar>
            <w:hideMark/>
          </w:tcPr>
          <w:p w14:paraId="3A9CF430"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0.08</w:t>
            </w:r>
          </w:p>
        </w:tc>
      </w:tr>
      <w:tr w:rsidR="001A7F23" w:rsidRPr="009F035F" w14:paraId="175E8151" w14:textId="77777777" w:rsidTr="00B046EE">
        <w:trPr>
          <w:trHeight w:val="100"/>
        </w:trPr>
        <w:tc>
          <w:tcPr>
            <w:tcW w:w="0" w:type="auto"/>
            <w:vMerge/>
            <w:tcBorders>
              <w:top w:val="single" w:sz="6" w:space="0" w:color="DDDDDD"/>
            </w:tcBorders>
            <w:shd w:val="clear" w:color="auto" w:fill="F9F9F9"/>
            <w:vAlign w:val="center"/>
            <w:hideMark/>
          </w:tcPr>
          <w:p w14:paraId="598CA90E"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shd w:val="clear" w:color="auto" w:fill="F9F9F9"/>
            <w:tcMar>
              <w:top w:w="75" w:type="dxa"/>
              <w:left w:w="75" w:type="dxa"/>
              <w:bottom w:w="75" w:type="dxa"/>
              <w:right w:w="75" w:type="dxa"/>
            </w:tcMar>
            <w:hideMark/>
          </w:tcPr>
          <w:p w14:paraId="043E5A2D"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Detectree2</w:t>
            </w:r>
          </w:p>
        </w:tc>
        <w:tc>
          <w:tcPr>
            <w:tcW w:w="0" w:type="auto"/>
            <w:tcBorders>
              <w:top w:val="single" w:sz="6" w:space="0" w:color="DDDDDD"/>
            </w:tcBorders>
            <w:shd w:val="clear" w:color="auto" w:fill="F9F9F9"/>
            <w:tcMar>
              <w:top w:w="75" w:type="dxa"/>
              <w:left w:w="75" w:type="dxa"/>
              <w:bottom w:w="75" w:type="dxa"/>
              <w:right w:w="75" w:type="dxa"/>
            </w:tcMar>
            <w:hideMark/>
          </w:tcPr>
          <w:p w14:paraId="67162CE3"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0.94</w:t>
            </w:r>
          </w:p>
        </w:tc>
        <w:tc>
          <w:tcPr>
            <w:tcW w:w="0" w:type="auto"/>
            <w:tcBorders>
              <w:top w:val="single" w:sz="6" w:space="0" w:color="DDDDDD"/>
            </w:tcBorders>
            <w:shd w:val="clear" w:color="auto" w:fill="F9F9F9"/>
            <w:tcMar>
              <w:top w:w="75" w:type="dxa"/>
              <w:left w:w="75" w:type="dxa"/>
              <w:bottom w:w="75" w:type="dxa"/>
              <w:right w:w="75" w:type="dxa"/>
            </w:tcMar>
            <w:hideMark/>
          </w:tcPr>
          <w:p w14:paraId="58C4F7AD"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0.05</w:t>
            </w:r>
          </w:p>
        </w:tc>
      </w:tr>
      <w:tr w:rsidR="001A7F23" w:rsidRPr="009F035F" w14:paraId="52BAD648" w14:textId="77777777" w:rsidTr="00B046EE">
        <w:trPr>
          <w:trHeight w:val="100"/>
        </w:trPr>
        <w:tc>
          <w:tcPr>
            <w:tcW w:w="0" w:type="auto"/>
            <w:vMerge/>
            <w:tcBorders>
              <w:top w:val="single" w:sz="6" w:space="0" w:color="DDDDDD"/>
            </w:tcBorders>
            <w:vAlign w:val="center"/>
            <w:hideMark/>
          </w:tcPr>
          <w:p w14:paraId="1F93AF42"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tcMar>
              <w:top w:w="75" w:type="dxa"/>
              <w:left w:w="75" w:type="dxa"/>
              <w:bottom w:w="75" w:type="dxa"/>
              <w:right w:w="75" w:type="dxa"/>
            </w:tcMar>
            <w:hideMark/>
          </w:tcPr>
          <w:p w14:paraId="7FB73E9B"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SAM</w:t>
            </w:r>
          </w:p>
        </w:tc>
        <w:tc>
          <w:tcPr>
            <w:tcW w:w="0" w:type="auto"/>
            <w:tcBorders>
              <w:top w:val="single" w:sz="6" w:space="0" w:color="DDDDDD"/>
            </w:tcBorders>
            <w:tcMar>
              <w:top w:w="75" w:type="dxa"/>
              <w:left w:w="75" w:type="dxa"/>
              <w:bottom w:w="75" w:type="dxa"/>
              <w:right w:w="75" w:type="dxa"/>
            </w:tcMar>
            <w:hideMark/>
          </w:tcPr>
          <w:p w14:paraId="33E9B306"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0.90</w:t>
            </w:r>
          </w:p>
        </w:tc>
        <w:tc>
          <w:tcPr>
            <w:tcW w:w="0" w:type="auto"/>
            <w:tcBorders>
              <w:top w:val="single" w:sz="6" w:space="0" w:color="DDDDDD"/>
            </w:tcBorders>
            <w:tcMar>
              <w:top w:w="75" w:type="dxa"/>
              <w:left w:w="75" w:type="dxa"/>
              <w:bottom w:w="75" w:type="dxa"/>
              <w:right w:w="75" w:type="dxa"/>
            </w:tcMar>
            <w:hideMark/>
          </w:tcPr>
          <w:p w14:paraId="2785CA9E"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0.07</w:t>
            </w:r>
          </w:p>
        </w:tc>
      </w:tr>
      <w:tr w:rsidR="001A7F23" w:rsidRPr="009F035F" w14:paraId="2F14A627" w14:textId="77777777" w:rsidTr="00B046EE">
        <w:trPr>
          <w:trHeight w:val="329"/>
        </w:trPr>
        <w:tc>
          <w:tcPr>
            <w:tcW w:w="0" w:type="auto"/>
            <w:vMerge w:val="restart"/>
            <w:tcBorders>
              <w:top w:val="single" w:sz="6" w:space="0" w:color="DDDDDD"/>
            </w:tcBorders>
            <w:shd w:val="clear" w:color="auto" w:fill="F9F9F9"/>
            <w:tcMar>
              <w:top w:w="75" w:type="dxa"/>
              <w:left w:w="75" w:type="dxa"/>
              <w:bottom w:w="75" w:type="dxa"/>
              <w:right w:w="75" w:type="dxa"/>
            </w:tcMar>
            <w:hideMark/>
          </w:tcPr>
          <w:p w14:paraId="64BB5B8D" w14:textId="77777777" w:rsidR="001A7F23" w:rsidRPr="009F035F" w:rsidRDefault="001A7F23" w:rsidP="00B046EE">
            <w:pPr>
              <w:jc w:val="both"/>
              <w:rPr>
                <w:rFonts w:ascii="Arial" w:hAnsi="Arial" w:cs="Arial"/>
                <w:b/>
                <w:bCs/>
                <w:sz w:val="18"/>
                <w:szCs w:val="18"/>
              </w:rPr>
            </w:pPr>
            <w:r w:rsidRPr="009F035F">
              <w:rPr>
                <w:rFonts w:ascii="Arial" w:hAnsi="Arial" w:cs="Arial"/>
                <w:b/>
                <w:bCs/>
                <w:sz w:val="18"/>
                <w:szCs w:val="18"/>
              </w:rPr>
              <w:t>Median Crown Area (Top 20)</w:t>
            </w:r>
          </w:p>
        </w:tc>
        <w:tc>
          <w:tcPr>
            <w:tcW w:w="0" w:type="auto"/>
            <w:tcBorders>
              <w:top w:val="single" w:sz="6" w:space="0" w:color="DDDDDD"/>
            </w:tcBorders>
            <w:shd w:val="clear" w:color="auto" w:fill="F9F9F9"/>
            <w:tcMar>
              <w:top w:w="75" w:type="dxa"/>
              <w:left w:w="75" w:type="dxa"/>
              <w:bottom w:w="75" w:type="dxa"/>
              <w:right w:w="75" w:type="dxa"/>
            </w:tcMar>
            <w:hideMark/>
          </w:tcPr>
          <w:p w14:paraId="02B4106F"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D2S</w:t>
            </w:r>
          </w:p>
        </w:tc>
        <w:tc>
          <w:tcPr>
            <w:tcW w:w="0" w:type="auto"/>
            <w:tcBorders>
              <w:top w:val="single" w:sz="6" w:space="0" w:color="DDDDDD"/>
            </w:tcBorders>
            <w:shd w:val="clear" w:color="auto" w:fill="F9F9F9"/>
            <w:tcMar>
              <w:top w:w="75" w:type="dxa"/>
              <w:left w:w="75" w:type="dxa"/>
              <w:bottom w:w="75" w:type="dxa"/>
              <w:right w:w="75" w:type="dxa"/>
            </w:tcMar>
            <w:hideMark/>
          </w:tcPr>
          <w:p w14:paraId="50E72E7E"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173.87</w:t>
            </w:r>
          </w:p>
        </w:tc>
        <w:tc>
          <w:tcPr>
            <w:tcW w:w="0" w:type="auto"/>
            <w:tcBorders>
              <w:top w:val="single" w:sz="6" w:space="0" w:color="DDDDDD"/>
            </w:tcBorders>
            <w:shd w:val="clear" w:color="auto" w:fill="F9F9F9"/>
            <w:tcMar>
              <w:top w:w="75" w:type="dxa"/>
              <w:left w:w="75" w:type="dxa"/>
              <w:bottom w:w="75" w:type="dxa"/>
              <w:right w:w="75" w:type="dxa"/>
            </w:tcMar>
            <w:hideMark/>
          </w:tcPr>
          <w:p w14:paraId="4FEF6C25"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55.28</w:t>
            </w:r>
          </w:p>
        </w:tc>
      </w:tr>
      <w:tr w:rsidR="001A7F23" w:rsidRPr="009F035F" w14:paraId="62CD2194" w14:textId="77777777" w:rsidTr="00B046EE">
        <w:trPr>
          <w:trHeight w:val="100"/>
        </w:trPr>
        <w:tc>
          <w:tcPr>
            <w:tcW w:w="0" w:type="auto"/>
            <w:vMerge/>
            <w:tcBorders>
              <w:top w:val="single" w:sz="6" w:space="0" w:color="DDDDDD"/>
            </w:tcBorders>
            <w:vAlign w:val="center"/>
            <w:hideMark/>
          </w:tcPr>
          <w:p w14:paraId="4636F06C"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tcMar>
              <w:top w:w="75" w:type="dxa"/>
              <w:left w:w="75" w:type="dxa"/>
              <w:bottom w:w="75" w:type="dxa"/>
              <w:right w:w="75" w:type="dxa"/>
            </w:tcMar>
            <w:hideMark/>
          </w:tcPr>
          <w:p w14:paraId="44B2394C"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Detectree2</w:t>
            </w:r>
          </w:p>
        </w:tc>
        <w:tc>
          <w:tcPr>
            <w:tcW w:w="0" w:type="auto"/>
            <w:tcBorders>
              <w:top w:val="single" w:sz="6" w:space="0" w:color="DDDDDD"/>
            </w:tcBorders>
            <w:tcMar>
              <w:top w:w="75" w:type="dxa"/>
              <w:left w:w="75" w:type="dxa"/>
              <w:bottom w:w="75" w:type="dxa"/>
              <w:right w:w="75" w:type="dxa"/>
            </w:tcMar>
            <w:hideMark/>
          </w:tcPr>
          <w:p w14:paraId="044CFF31"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199.14</w:t>
            </w:r>
          </w:p>
        </w:tc>
        <w:tc>
          <w:tcPr>
            <w:tcW w:w="0" w:type="auto"/>
            <w:tcBorders>
              <w:top w:val="single" w:sz="6" w:space="0" w:color="DDDDDD"/>
            </w:tcBorders>
            <w:tcMar>
              <w:top w:w="75" w:type="dxa"/>
              <w:left w:w="75" w:type="dxa"/>
              <w:bottom w:w="75" w:type="dxa"/>
              <w:right w:w="75" w:type="dxa"/>
            </w:tcMar>
            <w:hideMark/>
          </w:tcPr>
          <w:p w14:paraId="18E6A177"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63.20</w:t>
            </w:r>
          </w:p>
        </w:tc>
      </w:tr>
      <w:tr w:rsidR="001A7F23" w:rsidRPr="009F035F" w14:paraId="5E40CCA8" w14:textId="77777777" w:rsidTr="00B046EE">
        <w:trPr>
          <w:trHeight w:val="100"/>
        </w:trPr>
        <w:tc>
          <w:tcPr>
            <w:tcW w:w="0" w:type="auto"/>
            <w:vMerge/>
            <w:tcBorders>
              <w:top w:val="single" w:sz="6" w:space="0" w:color="DDDDDD"/>
            </w:tcBorders>
            <w:shd w:val="clear" w:color="auto" w:fill="F9F9F9"/>
            <w:vAlign w:val="center"/>
            <w:hideMark/>
          </w:tcPr>
          <w:p w14:paraId="728E1250"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shd w:val="clear" w:color="auto" w:fill="F9F9F9"/>
            <w:tcMar>
              <w:top w:w="75" w:type="dxa"/>
              <w:left w:w="75" w:type="dxa"/>
              <w:bottom w:w="75" w:type="dxa"/>
              <w:right w:w="75" w:type="dxa"/>
            </w:tcMar>
            <w:hideMark/>
          </w:tcPr>
          <w:p w14:paraId="4F618850"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SAM</w:t>
            </w:r>
          </w:p>
        </w:tc>
        <w:tc>
          <w:tcPr>
            <w:tcW w:w="0" w:type="auto"/>
            <w:tcBorders>
              <w:top w:val="single" w:sz="6" w:space="0" w:color="DDDDDD"/>
            </w:tcBorders>
            <w:shd w:val="clear" w:color="auto" w:fill="F9F9F9"/>
            <w:tcMar>
              <w:top w:w="75" w:type="dxa"/>
              <w:left w:w="75" w:type="dxa"/>
              <w:bottom w:w="75" w:type="dxa"/>
              <w:right w:w="75" w:type="dxa"/>
            </w:tcMar>
            <w:hideMark/>
          </w:tcPr>
          <w:p w14:paraId="6BB74BA3"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182.35</w:t>
            </w:r>
          </w:p>
        </w:tc>
        <w:tc>
          <w:tcPr>
            <w:tcW w:w="0" w:type="auto"/>
            <w:tcBorders>
              <w:top w:val="single" w:sz="6" w:space="0" w:color="DDDDDD"/>
            </w:tcBorders>
            <w:shd w:val="clear" w:color="auto" w:fill="F9F9F9"/>
            <w:tcMar>
              <w:top w:w="75" w:type="dxa"/>
              <w:left w:w="75" w:type="dxa"/>
              <w:bottom w:w="75" w:type="dxa"/>
              <w:right w:w="75" w:type="dxa"/>
            </w:tcMar>
            <w:hideMark/>
          </w:tcPr>
          <w:p w14:paraId="71DD9F9A"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59.52</w:t>
            </w:r>
          </w:p>
        </w:tc>
      </w:tr>
      <w:tr w:rsidR="001A7F23" w:rsidRPr="009F035F" w14:paraId="6A781F6E" w14:textId="77777777" w:rsidTr="00B046EE">
        <w:trPr>
          <w:trHeight w:val="329"/>
        </w:trPr>
        <w:tc>
          <w:tcPr>
            <w:tcW w:w="0" w:type="auto"/>
            <w:vMerge w:val="restart"/>
            <w:tcBorders>
              <w:top w:val="single" w:sz="6" w:space="0" w:color="DDDDDD"/>
            </w:tcBorders>
            <w:tcMar>
              <w:top w:w="75" w:type="dxa"/>
              <w:left w:w="75" w:type="dxa"/>
              <w:bottom w:w="75" w:type="dxa"/>
              <w:right w:w="75" w:type="dxa"/>
            </w:tcMar>
            <w:hideMark/>
          </w:tcPr>
          <w:p w14:paraId="76F830A7" w14:textId="77777777" w:rsidR="001A7F23" w:rsidRPr="009F035F" w:rsidRDefault="001A7F23" w:rsidP="00B046EE">
            <w:pPr>
              <w:jc w:val="both"/>
              <w:rPr>
                <w:rFonts w:ascii="Arial" w:hAnsi="Arial" w:cs="Arial"/>
                <w:b/>
                <w:bCs/>
                <w:sz w:val="18"/>
                <w:szCs w:val="18"/>
              </w:rPr>
            </w:pPr>
            <w:r w:rsidRPr="009F035F">
              <w:rPr>
                <w:rFonts w:ascii="Arial" w:hAnsi="Arial" w:cs="Arial"/>
                <w:b/>
                <w:bCs/>
                <w:sz w:val="18"/>
                <w:szCs w:val="18"/>
              </w:rPr>
              <w:t>Sum Crown Area (Top 20)</w:t>
            </w:r>
          </w:p>
        </w:tc>
        <w:tc>
          <w:tcPr>
            <w:tcW w:w="0" w:type="auto"/>
            <w:tcBorders>
              <w:top w:val="single" w:sz="6" w:space="0" w:color="DDDDDD"/>
            </w:tcBorders>
            <w:tcMar>
              <w:top w:w="75" w:type="dxa"/>
              <w:left w:w="75" w:type="dxa"/>
              <w:bottom w:w="75" w:type="dxa"/>
              <w:right w:w="75" w:type="dxa"/>
            </w:tcMar>
            <w:hideMark/>
          </w:tcPr>
          <w:p w14:paraId="2A6F7EE4"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D2S</w:t>
            </w:r>
          </w:p>
        </w:tc>
        <w:tc>
          <w:tcPr>
            <w:tcW w:w="0" w:type="auto"/>
            <w:tcBorders>
              <w:top w:val="single" w:sz="6" w:space="0" w:color="DDDDDD"/>
            </w:tcBorders>
            <w:tcMar>
              <w:top w:w="75" w:type="dxa"/>
              <w:left w:w="75" w:type="dxa"/>
              <w:bottom w:w="75" w:type="dxa"/>
              <w:right w:w="75" w:type="dxa"/>
            </w:tcMar>
            <w:hideMark/>
          </w:tcPr>
          <w:p w14:paraId="1263AD00"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4296.77</w:t>
            </w:r>
          </w:p>
        </w:tc>
        <w:tc>
          <w:tcPr>
            <w:tcW w:w="0" w:type="auto"/>
            <w:tcBorders>
              <w:top w:val="single" w:sz="6" w:space="0" w:color="DDDDDD"/>
            </w:tcBorders>
            <w:tcMar>
              <w:top w:w="75" w:type="dxa"/>
              <w:left w:w="75" w:type="dxa"/>
              <w:bottom w:w="75" w:type="dxa"/>
              <w:right w:w="75" w:type="dxa"/>
            </w:tcMar>
            <w:hideMark/>
          </w:tcPr>
          <w:p w14:paraId="14F08702"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1275.99</w:t>
            </w:r>
          </w:p>
        </w:tc>
      </w:tr>
      <w:tr w:rsidR="001A7F23" w:rsidRPr="009F035F" w14:paraId="43EB14E2" w14:textId="77777777" w:rsidTr="00B046EE">
        <w:trPr>
          <w:trHeight w:val="100"/>
        </w:trPr>
        <w:tc>
          <w:tcPr>
            <w:tcW w:w="0" w:type="auto"/>
            <w:vMerge/>
            <w:tcBorders>
              <w:top w:val="single" w:sz="6" w:space="0" w:color="DDDDDD"/>
            </w:tcBorders>
            <w:shd w:val="clear" w:color="auto" w:fill="F9F9F9"/>
            <w:vAlign w:val="center"/>
            <w:hideMark/>
          </w:tcPr>
          <w:p w14:paraId="1D5AB8A6"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shd w:val="clear" w:color="auto" w:fill="F9F9F9"/>
            <w:tcMar>
              <w:top w:w="75" w:type="dxa"/>
              <w:left w:w="75" w:type="dxa"/>
              <w:bottom w:w="75" w:type="dxa"/>
              <w:right w:w="75" w:type="dxa"/>
            </w:tcMar>
            <w:hideMark/>
          </w:tcPr>
          <w:p w14:paraId="3C6A6B2E"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Detectree2</w:t>
            </w:r>
          </w:p>
        </w:tc>
        <w:tc>
          <w:tcPr>
            <w:tcW w:w="0" w:type="auto"/>
            <w:tcBorders>
              <w:top w:val="single" w:sz="6" w:space="0" w:color="DDDDDD"/>
            </w:tcBorders>
            <w:shd w:val="clear" w:color="auto" w:fill="F9F9F9"/>
            <w:tcMar>
              <w:top w:w="75" w:type="dxa"/>
              <w:left w:w="75" w:type="dxa"/>
              <w:bottom w:w="75" w:type="dxa"/>
              <w:right w:w="75" w:type="dxa"/>
            </w:tcMar>
            <w:hideMark/>
          </w:tcPr>
          <w:p w14:paraId="599EAA5D"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4826.78</w:t>
            </w:r>
          </w:p>
        </w:tc>
        <w:tc>
          <w:tcPr>
            <w:tcW w:w="0" w:type="auto"/>
            <w:tcBorders>
              <w:top w:val="single" w:sz="6" w:space="0" w:color="DDDDDD"/>
            </w:tcBorders>
            <w:shd w:val="clear" w:color="auto" w:fill="F9F9F9"/>
            <w:tcMar>
              <w:top w:w="75" w:type="dxa"/>
              <w:left w:w="75" w:type="dxa"/>
              <w:bottom w:w="75" w:type="dxa"/>
              <w:right w:w="75" w:type="dxa"/>
            </w:tcMar>
            <w:hideMark/>
          </w:tcPr>
          <w:p w14:paraId="36FA85C8"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1301.45</w:t>
            </w:r>
          </w:p>
        </w:tc>
      </w:tr>
      <w:tr w:rsidR="001A7F23" w:rsidRPr="009F035F" w14:paraId="258A1ED3" w14:textId="77777777" w:rsidTr="00B046EE">
        <w:trPr>
          <w:trHeight w:val="100"/>
        </w:trPr>
        <w:tc>
          <w:tcPr>
            <w:tcW w:w="0" w:type="auto"/>
            <w:vMerge/>
            <w:tcBorders>
              <w:top w:val="single" w:sz="6" w:space="0" w:color="DDDDDD"/>
            </w:tcBorders>
            <w:vAlign w:val="center"/>
            <w:hideMark/>
          </w:tcPr>
          <w:p w14:paraId="2C8D0A07"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tcMar>
              <w:top w:w="75" w:type="dxa"/>
              <w:left w:w="75" w:type="dxa"/>
              <w:bottom w:w="75" w:type="dxa"/>
              <w:right w:w="75" w:type="dxa"/>
            </w:tcMar>
            <w:hideMark/>
          </w:tcPr>
          <w:p w14:paraId="39C685E9"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SAM</w:t>
            </w:r>
          </w:p>
        </w:tc>
        <w:tc>
          <w:tcPr>
            <w:tcW w:w="0" w:type="auto"/>
            <w:tcBorders>
              <w:top w:val="single" w:sz="6" w:space="0" w:color="DDDDDD"/>
            </w:tcBorders>
            <w:tcMar>
              <w:top w:w="75" w:type="dxa"/>
              <w:left w:w="75" w:type="dxa"/>
              <w:bottom w:w="75" w:type="dxa"/>
              <w:right w:w="75" w:type="dxa"/>
            </w:tcMar>
            <w:hideMark/>
          </w:tcPr>
          <w:p w14:paraId="100C0D8B"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4623.39</w:t>
            </w:r>
          </w:p>
        </w:tc>
        <w:tc>
          <w:tcPr>
            <w:tcW w:w="0" w:type="auto"/>
            <w:tcBorders>
              <w:top w:val="single" w:sz="6" w:space="0" w:color="DDDDDD"/>
            </w:tcBorders>
            <w:tcMar>
              <w:top w:w="75" w:type="dxa"/>
              <w:left w:w="75" w:type="dxa"/>
              <w:bottom w:w="75" w:type="dxa"/>
              <w:right w:w="75" w:type="dxa"/>
            </w:tcMar>
            <w:hideMark/>
          </w:tcPr>
          <w:p w14:paraId="3970556E"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1400.16</w:t>
            </w:r>
          </w:p>
        </w:tc>
      </w:tr>
      <w:tr w:rsidR="001A7F23" w:rsidRPr="009F035F" w14:paraId="6B119ABA" w14:textId="77777777" w:rsidTr="00B046EE">
        <w:trPr>
          <w:trHeight w:val="329"/>
        </w:trPr>
        <w:tc>
          <w:tcPr>
            <w:tcW w:w="0" w:type="auto"/>
            <w:vMerge w:val="restart"/>
            <w:tcBorders>
              <w:top w:val="single" w:sz="6" w:space="0" w:color="DDDDDD"/>
            </w:tcBorders>
            <w:shd w:val="clear" w:color="auto" w:fill="F9F9F9"/>
            <w:tcMar>
              <w:top w:w="75" w:type="dxa"/>
              <w:left w:w="75" w:type="dxa"/>
              <w:bottom w:w="75" w:type="dxa"/>
              <w:right w:w="75" w:type="dxa"/>
            </w:tcMar>
            <w:hideMark/>
          </w:tcPr>
          <w:p w14:paraId="3ECD5187" w14:textId="77777777" w:rsidR="001A7F23" w:rsidRPr="009F035F" w:rsidRDefault="001A7F23" w:rsidP="00B046EE">
            <w:pPr>
              <w:jc w:val="both"/>
              <w:rPr>
                <w:rFonts w:ascii="Arial" w:hAnsi="Arial" w:cs="Arial"/>
                <w:b/>
                <w:bCs/>
                <w:sz w:val="18"/>
                <w:szCs w:val="18"/>
                <w:lang w:val="en-GB"/>
              </w:rPr>
            </w:pPr>
            <w:r w:rsidRPr="009F035F">
              <w:rPr>
                <w:rFonts w:ascii="Arial" w:hAnsi="Arial" w:cs="Arial"/>
                <w:b/>
                <w:bCs/>
                <w:sz w:val="18"/>
                <w:szCs w:val="18"/>
                <w:lang w:val="en-GB"/>
              </w:rPr>
              <w:t>Canopy Crown Density (</w:t>
            </w:r>
            <w:proofErr w:type="spellStart"/>
            <w:r w:rsidRPr="009F035F">
              <w:rPr>
                <w:rFonts w:ascii="Arial" w:hAnsi="Arial" w:cs="Arial"/>
                <w:b/>
                <w:bCs/>
                <w:sz w:val="18"/>
                <w:szCs w:val="18"/>
                <w:lang w:val="en-GB"/>
              </w:rPr>
              <w:t>ind</w:t>
            </w:r>
            <w:proofErr w:type="spellEnd"/>
            <w:r w:rsidRPr="009F035F">
              <w:rPr>
                <w:rFonts w:ascii="Arial" w:hAnsi="Arial" w:cs="Arial"/>
                <w:b/>
                <w:bCs/>
                <w:sz w:val="18"/>
                <w:szCs w:val="18"/>
                <w:lang w:val="en-GB"/>
              </w:rPr>
              <w:t>/ha)</w:t>
            </w:r>
          </w:p>
        </w:tc>
        <w:tc>
          <w:tcPr>
            <w:tcW w:w="0" w:type="auto"/>
            <w:tcBorders>
              <w:top w:val="single" w:sz="6" w:space="0" w:color="DDDDDD"/>
            </w:tcBorders>
            <w:shd w:val="clear" w:color="auto" w:fill="F9F9F9"/>
            <w:tcMar>
              <w:top w:w="75" w:type="dxa"/>
              <w:left w:w="75" w:type="dxa"/>
              <w:bottom w:w="75" w:type="dxa"/>
              <w:right w:w="75" w:type="dxa"/>
            </w:tcMar>
            <w:hideMark/>
          </w:tcPr>
          <w:p w14:paraId="65BD8FD1"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D2S</w:t>
            </w:r>
          </w:p>
        </w:tc>
        <w:tc>
          <w:tcPr>
            <w:tcW w:w="0" w:type="auto"/>
            <w:tcBorders>
              <w:top w:val="single" w:sz="6" w:space="0" w:color="DDDDDD"/>
            </w:tcBorders>
            <w:shd w:val="clear" w:color="auto" w:fill="F9F9F9"/>
            <w:tcMar>
              <w:top w:w="75" w:type="dxa"/>
              <w:left w:w="75" w:type="dxa"/>
              <w:bottom w:w="75" w:type="dxa"/>
              <w:right w:w="75" w:type="dxa"/>
            </w:tcMar>
            <w:hideMark/>
          </w:tcPr>
          <w:p w14:paraId="344334B8"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130.00</w:t>
            </w:r>
          </w:p>
        </w:tc>
        <w:tc>
          <w:tcPr>
            <w:tcW w:w="0" w:type="auto"/>
            <w:tcBorders>
              <w:top w:val="single" w:sz="6" w:space="0" w:color="DDDDDD"/>
            </w:tcBorders>
            <w:shd w:val="clear" w:color="auto" w:fill="F9F9F9"/>
            <w:tcMar>
              <w:top w:w="75" w:type="dxa"/>
              <w:left w:w="75" w:type="dxa"/>
              <w:bottom w:w="75" w:type="dxa"/>
              <w:right w:w="75" w:type="dxa"/>
            </w:tcMar>
            <w:hideMark/>
          </w:tcPr>
          <w:p w14:paraId="114A50FC"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45.13</w:t>
            </w:r>
          </w:p>
        </w:tc>
      </w:tr>
      <w:tr w:rsidR="001A7F23" w:rsidRPr="009F035F" w14:paraId="0C2D6A29" w14:textId="77777777" w:rsidTr="00B046EE">
        <w:trPr>
          <w:trHeight w:val="100"/>
        </w:trPr>
        <w:tc>
          <w:tcPr>
            <w:tcW w:w="0" w:type="auto"/>
            <w:vMerge/>
            <w:tcBorders>
              <w:top w:val="single" w:sz="6" w:space="0" w:color="DDDDDD"/>
            </w:tcBorders>
            <w:vAlign w:val="center"/>
            <w:hideMark/>
          </w:tcPr>
          <w:p w14:paraId="1D69C0D7"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tcMar>
              <w:top w:w="75" w:type="dxa"/>
              <w:left w:w="75" w:type="dxa"/>
              <w:bottom w:w="75" w:type="dxa"/>
              <w:right w:w="75" w:type="dxa"/>
            </w:tcMar>
            <w:hideMark/>
          </w:tcPr>
          <w:p w14:paraId="7D17C7E7"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Detectree2</w:t>
            </w:r>
          </w:p>
        </w:tc>
        <w:tc>
          <w:tcPr>
            <w:tcW w:w="0" w:type="auto"/>
            <w:tcBorders>
              <w:top w:val="single" w:sz="6" w:space="0" w:color="DDDDDD"/>
            </w:tcBorders>
            <w:tcMar>
              <w:top w:w="75" w:type="dxa"/>
              <w:left w:w="75" w:type="dxa"/>
              <w:bottom w:w="75" w:type="dxa"/>
              <w:right w:w="75" w:type="dxa"/>
            </w:tcMar>
            <w:hideMark/>
          </w:tcPr>
          <w:p w14:paraId="145CD3EB"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112.00</w:t>
            </w:r>
          </w:p>
        </w:tc>
        <w:tc>
          <w:tcPr>
            <w:tcW w:w="0" w:type="auto"/>
            <w:tcBorders>
              <w:top w:val="single" w:sz="6" w:space="0" w:color="DDDDDD"/>
            </w:tcBorders>
            <w:tcMar>
              <w:top w:w="75" w:type="dxa"/>
              <w:left w:w="75" w:type="dxa"/>
              <w:bottom w:w="75" w:type="dxa"/>
              <w:right w:w="75" w:type="dxa"/>
            </w:tcMar>
            <w:hideMark/>
          </w:tcPr>
          <w:p w14:paraId="483AA088"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35.86</w:t>
            </w:r>
          </w:p>
        </w:tc>
      </w:tr>
      <w:tr w:rsidR="001A7F23" w:rsidRPr="009F035F" w14:paraId="3DABB4B6" w14:textId="77777777" w:rsidTr="00B046EE">
        <w:trPr>
          <w:trHeight w:val="100"/>
        </w:trPr>
        <w:tc>
          <w:tcPr>
            <w:tcW w:w="0" w:type="auto"/>
            <w:vMerge/>
            <w:tcBorders>
              <w:top w:val="single" w:sz="6" w:space="0" w:color="DDDDDD"/>
            </w:tcBorders>
            <w:shd w:val="clear" w:color="auto" w:fill="F9F9F9"/>
            <w:vAlign w:val="center"/>
            <w:hideMark/>
          </w:tcPr>
          <w:p w14:paraId="454E57D3" w14:textId="77777777" w:rsidR="001A7F23" w:rsidRPr="009F035F" w:rsidRDefault="001A7F23" w:rsidP="00B046EE">
            <w:pPr>
              <w:jc w:val="both"/>
              <w:rPr>
                <w:rFonts w:ascii="Arial" w:hAnsi="Arial" w:cs="Arial"/>
                <w:b/>
                <w:bCs/>
                <w:sz w:val="18"/>
                <w:szCs w:val="18"/>
              </w:rPr>
            </w:pPr>
          </w:p>
        </w:tc>
        <w:tc>
          <w:tcPr>
            <w:tcW w:w="0" w:type="auto"/>
            <w:tcBorders>
              <w:top w:val="single" w:sz="6" w:space="0" w:color="DDDDDD"/>
            </w:tcBorders>
            <w:shd w:val="clear" w:color="auto" w:fill="F9F9F9"/>
            <w:tcMar>
              <w:top w:w="75" w:type="dxa"/>
              <w:left w:w="75" w:type="dxa"/>
              <w:bottom w:w="75" w:type="dxa"/>
              <w:right w:w="75" w:type="dxa"/>
            </w:tcMar>
            <w:hideMark/>
          </w:tcPr>
          <w:p w14:paraId="698C0494"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SAM</w:t>
            </w:r>
          </w:p>
        </w:tc>
        <w:tc>
          <w:tcPr>
            <w:tcW w:w="0" w:type="auto"/>
            <w:tcBorders>
              <w:top w:val="single" w:sz="6" w:space="0" w:color="DDDDDD"/>
            </w:tcBorders>
            <w:shd w:val="clear" w:color="auto" w:fill="F9F9F9"/>
            <w:tcMar>
              <w:top w:w="75" w:type="dxa"/>
              <w:left w:w="75" w:type="dxa"/>
              <w:bottom w:w="75" w:type="dxa"/>
              <w:right w:w="75" w:type="dxa"/>
            </w:tcMar>
            <w:hideMark/>
          </w:tcPr>
          <w:p w14:paraId="3B98942F"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78.00</w:t>
            </w:r>
          </w:p>
        </w:tc>
        <w:tc>
          <w:tcPr>
            <w:tcW w:w="0" w:type="auto"/>
            <w:tcBorders>
              <w:top w:val="single" w:sz="6" w:space="0" w:color="DDDDDD"/>
            </w:tcBorders>
            <w:shd w:val="clear" w:color="auto" w:fill="F9F9F9"/>
            <w:tcMar>
              <w:top w:w="75" w:type="dxa"/>
              <w:left w:w="75" w:type="dxa"/>
              <w:bottom w:w="75" w:type="dxa"/>
              <w:right w:w="75" w:type="dxa"/>
            </w:tcMar>
            <w:hideMark/>
          </w:tcPr>
          <w:p w14:paraId="6779908F" w14:textId="77777777" w:rsidR="001A7F23" w:rsidRPr="009F035F" w:rsidRDefault="001A7F23" w:rsidP="00B046EE">
            <w:pPr>
              <w:jc w:val="both"/>
              <w:rPr>
                <w:rFonts w:ascii="Arial" w:hAnsi="Arial" w:cs="Arial"/>
                <w:sz w:val="18"/>
                <w:szCs w:val="18"/>
              </w:rPr>
            </w:pPr>
            <w:r w:rsidRPr="009F035F">
              <w:rPr>
                <w:rFonts w:ascii="Arial" w:hAnsi="Arial" w:cs="Arial"/>
                <w:sz w:val="18"/>
                <w:szCs w:val="18"/>
              </w:rPr>
              <w:t>29.27</w:t>
            </w:r>
          </w:p>
        </w:tc>
      </w:tr>
    </w:tbl>
    <w:p w14:paraId="6F29B9B1" w14:textId="77777777" w:rsidR="001A7F23" w:rsidRPr="001A7F23" w:rsidRDefault="001A7F23">
      <w:pPr>
        <w:rPr>
          <w:lang w:val="en-GB"/>
        </w:rPr>
      </w:pPr>
    </w:p>
    <w:sectPr w:rsidR="001A7F23" w:rsidRPr="001A7F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F23"/>
    <w:rsid w:val="00012AB4"/>
    <w:rsid w:val="001008AD"/>
    <w:rsid w:val="001A5CDE"/>
    <w:rsid w:val="001A7F23"/>
    <w:rsid w:val="0023684E"/>
    <w:rsid w:val="002B0AC8"/>
    <w:rsid w:val="003F50C1"/>
    <w:rsid w:val="004B1367"/>
    <w:rsid w:val="008354B2"/>
    <w:rsid w:val="00C42593"/>
    <w:rsid w:val="00D5456E"/>
    <w:rsid w:val="00E00CAA"/>
    <w:rsid w:val="00E738B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6DFFF"/>
  <w15:chartTrackingRefBased/>
  <w15:docId w15:val="{5DAB5140-581C-49F1-A7F1-81B6242D4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F23"/>
  </w:style>
  <w:style w:type="paragraph" w:styleId="Titre1">
    <w:name w:val="heading 1"/>
    <w:basedOn w:val="Normal"/>
    <w:next w:val="Normal"/>
    <w:link w:val="Titre1Car"/>
    <w:uiPriority w:val="9"/>
    <w:qFormat/>
    <w:rsid w:val="001A7F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A7F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A7F2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A7F2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A7F2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A7F2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A7F2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A7F2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A7F2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7F2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A7F2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A7F2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A7F2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A7F2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A7F2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7F2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7F2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7F23"/>
    <w:rPr>
      <w:rFonts w:eastAsiaTheme="majorEastAsia" w:cstheme="majorBidi"/>
      <w:color w:val="272727" w:themeColor="text1" w:themeTint="D8"/>
    </w:rPr>
  </w:style>
  <w:style w:type="paragraph" w:styleId="Titre">
    <w:name w:val="Title"/>
    <w:basedOn w:val="Normal"/>
    <w:next w:val="Normal"/>
    <w:link w:val="TitreCar"/>
    <w:uiPriority w:val="10"/>
    <w:qFormat/>
    <w:rsid w:val="001A7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7F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7F2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A7F2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7F23"/>
    <w:pPr>
      <w:spacing w:before="160"/>
      <w:jc w:val="center"/>
    </w:pPr>
    <w:rPr>
      <w:i/>
      <w:iCs/>
      <w:color w:val="404040" w:themeColor="text1" w:themeTint="BF"/>
    </w:rPr>
  </w:style>
  <w:style w:type="character" w:customStyle="1" w:styleId="CitationCar">
    <w:name w:val="Citation Car"/>
    <w:basedOn w:val="Policepardfaut"/>
    <w:link w:val="Citation"/>
    <w:uiPriority w:val="29"/>
    <w:rsid w:val="001A7F23"/>
    <w:rPr>
      <w:i/>
      <w:iCs/>
      <w:color w:val="404040" w:themeColor="text1" w:themeTint="BF"/>
    </w:rPr>
  </w:style>
  <w:style w:type="paragraph" w:styleId="Paragraphedeliste">
    <w:name w:val="List Paragraph"/>
    <w:basedOn w:val="Normal"/>
    <w:uiPriority w:val="34"/>
    <w:qFormat/>
    <w:rsid w:val="001A7F23"/>
    <w:pPr>
      <w:ind w:left="720"/>
      <w:contextualSpacing/>
    </w:pPr>
  </w:style>
  <w:style w:type="character" w:styleId="Accentuationintense">
    <w:name w:val="Intense Emphasis"/>
    <w:basedOn w:val="Policepardfaut"/>
    <w:uiPriority w:val="21"/>
    <w:qFormat/>
    <w:rsid w:val="001A7F23"/>
    <w:rPr>
      <w:i/>
      <w:iCs/>
      <w:color w:val="0F4761" w:themeColor="accent1" w:themeShade="BF"/>
    </w:rPr>
  </w:style>
  <w:style w:type="paragraph" w:styleId="Citationintense">
    <w:name w:val="Intense Quote"/>
    <w:basedOn w:val="Normal"/>
    <w:next w:val="Normal"/>
    <w:link w:val="CitationintenseCar"/>
    <w:uiPriority w:val="30"/>
    <w:qFormat/>
    <w:rsid w:val="001A7F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A7F23"/>
    <w:rPr>
      <w:i/>
      <w:iCs/>
      <w:color w:val="0F4761" w:themeColor="accent1" w:themeShade="BF"/>
    </w:rPr>
  </w:style>
  <w:style w:type="character" w:styleId="Rfrenceintense">
    <w:name w:val="Intense Reference"/>
    <w:basedOn w:val="Policepardfaut"/>
    <w:uiPriority w:val="32"/>
    <w:qFormat/>
    <w:rsid w:val="001A7F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406</Words>
  <Characters>2237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Plumacker</dc:creator>
  <cp:keywords/>
  <dc:description/>
  <cp:lastModifiedBy>antoine Plumacker</cp:lastModifiedBy>
  <cp:revision>5</cp:revision>
  <dcterms:created xsi:type="dcterms:W3CDTF">2025-10-02T12:20:00Z</dcterms:created>
  <dcterms:modified xsi:type="dcterms:W3CDTF">2026-03-17T11:28:00Z</dcterms:modified>
</cp:coreProperties>
</file>