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FFA5E" w14:textId="2735E056" w:rsidR="00AB7123" w:rsidRPr="00AB7123" w:rsidRDefault="00C61ED2" w:rsidP="00AB7123">
      <w:pPr>
        <w:pStyle w:val="Corpsdetexte"/>
        <w:spacing w:before="121"/>
        <w:rPr>
          <w:b/>
          <w:bCs/>
          <w:sz w:val="24"/>
          <w:szCs w:val="24"/>
        </w:rPr>
      </w:pPr>
      <w:r>
        <w:rPr>
          <w:b/>
          <w:bCs/>
          <w:sz w:val="24"/>
          <w:szCs w:val="24"/>
        </w:rPr>
        <w:t xml:space="preserve">Le </w:t>
      </w:r>
      <w:r w:rsidR="00D82EFF">
        <w:rPr>
          <w:b/>
          <w:bCs/>
          <w:sz w:val="24"/>
          <w:szCs w:val="24"/>
        </w:rPr>
        <w:t>bassin</w:t>
      </w:r>
      <w:r>
        <w:rPr>
          <w:b/>
          <w:bCs/>
          <w:sz w:val="24"/>
          <w:szCs w:val="24"/>
        </w:rPr>
        <w:t xml:space="preserve"> carrier d’Ourthe-Amblève au fil du </w:t>
      </w:r>
      <w:r w:rsidR="009C15E2">
        <w:rPr>
          <w:b/>
          <w:bCs/>
          <w:sz w:val="24"/>
          <w:szCs w:val="24"/>
        </w:rPr>
        <w:t xml:space="preserve">long </w:t>
      </w:r>
      <w:r>
        <w:rPr>
          <w:b/>
          <w:bCs/>
          <w:sz w:val="24"/>
          <w:szCs w:val="24"/>
        </w:rPr>
        <w:t>XIX</w:t>
      </w:r>
      <w:r w:rsidRPr="00D82EFF">
        <w:rPr>
          <w:b/>
          <w:bCs/>
          <w:sz w:val="24"/>
          <w:szCs w:val="24"/>
          <w:vertAlign w:val="superscript"/>
        </w:rPr>
        <w:t>e</w:t>
      </w:r>
      <w:r>
        <w:rPr>
          <w:b/>
          <w:bCs/>
          <w:sz w:val="24"/>
          <w:szCs w:val="24"/>
        </w:rPr>
        <w:t xml:space="preserve"> siècle : entre mutation industrielle</w:t>
      </w:r>
      <w:r w:rsidR="00D82EFF">
        <w:rPr>
          <w:b/>
          <w:bCs/>
          <w:sz w:val="24"/>
          <w:szCs w:val="24"/>
        </w:rPr>
        <w:t xml:space="preserve">, développement infrastructurel et </w:t>
      </w:r>
      <w:r>
        <w:rPr>
          <w:b/>
          <w:bCs/>
          <w:sz w:val="24"/>
          <w:szCs w:val="24"/>
        </w:rPr>
        <w:t>transformation du paysage</w:t>
      </w:r>
    </w:p>
    <w:p w14:paraId="21AB99F0" w14:textId="77777777" w:rsidR="00CB3DD1" w:rsidRDefault="00CB3DD1" w:rsidP="00AB7123">
      <w:pPr>
        <w:jc w:val="both"/>
      </w:pPr>
    </w:p>
    <w:p w14:paraId="36430D62" w14:textId="35C3F4F5" w:rsidR="008E5864" w:rsidRDefault="008E5864" w:rsidP="00AB7123">
      <w:pPr>
        <w:jc w:val="both"/>
      </w:pPr>
      <w:r>
        <w:t>Antoine Baudry</w:t>
      </w:r>
    </w:p>
    <w:p w14:paraId="4619EDCE" w14:textId="77777777" w:rsidR="008E5864" w:rsidRDefault="008E5864" w:rsidP="00AB7123">
      <w:pPr>
        <w:jc w:val="both"/>
      </w:pPr>
    </w:p>
    <w:p w14:paraId="7F8C76A2" w14:textId="178CC5D1" w:rsidR="00D82EFF" w:rsidRDefault="00D82EFF" w:rsidP="00D82EFF">
      <w:pPr>
        <w:jc w:val="both"/>
      </w:pPr>
      <w:r>
        <w:t>L’Ourthe-Amblève est une région du sud-est de la Belgique. Elle est largement définie par les vallées de ces deux rivières</w:t>
      </w:r>
      <w:r w:rsidRPr="00EB7405">
        <w:t xml:space="preserve"> </w:t>
      </w:r>
      <w:r>
        <w:t xml:space="preserve">qui serpentent au sud de Liège où elles aboutissent dans la Meuse en tant qu’affluent et sous-affluent. Au Moyen Âge et sous l’Ancien Régime, ce territoire rural vit essentiellement de l’agriculture, de la sylviculture et du travail du minerai de fer. Incapables de rivaliser avec les progrès techniques de la sidérurgie liégeoise, </w:t>
      </w:r>
      <w:r w:rsidRPr="00485E57">
        <w:t>forges et hauts-fourneaux établis le long des cours d’eau ferment néanmoins leurs portes dans la première moitié du XIX</w:t>
      </w:r>
      <w:r w:rsidRPr="00485E57">
        <w:rPr>
          <w:vertAlign w:val="superscript"/>
        </w:rPr>
        <w:t>e</w:t>
      </w:r>
      <w:r>
        <w:t> </w:t>
      </w:r>
      <w:r w:rsidRPr="00485E57">
        <w:t xml:space="preserve">siècle. C’est au cours de cette période-charnière qu’émerge une exploitation </w:t>
      </w:r>
      <w:r>
        <w:t xml:space="preserve">industrielle </w:t>
      </w:r>
      <w:r w:rsidRPr="00485E57">
        <w:t>de la pierre</w:t>
      </w:r>
      <w:r>
        <w:t xml:space="preserve">. L’épicentre de ce phénomène se situe sur </w:t>
      </w:r>
      <w:r w:rsidRPr="00485E57">
        <w:t xml:space="preserve">les communes de </w:t>
      </w:r>
      <w:r w:rsidRPr="00A32BC5">
        <w:t>Comblain-au-Pont, Sprimont, Aywaille et Esneux</w:t>
      </w:r>
      <w:r w:rsidRPr="00485E57">
        <w:t xml:space="preserve">, où les premières </w:t>
      </w:r>
      <w:r>
        <w:t>« </w:t>
      </w:r>
      <w:r w:rsidRPr="00485E57">
        <w:t>grandes</w:t>
      </w:r>
      <w:r>
        <w:t> »</w:t>
      </w:r>
      <w:r w:rsidRPr="00485E57">
        <w:t xml:space="preserve"> carrières voient le jour vers 1835-1845. </w:t>
      </w:r>
      <w:r w:rsidR="009A64D9">
        <w:t>Le secteur, en constante évolution tout au long du siècle, compte plus d’une centaine de carrières et sites industriels à la veille de la Première Guerre mondiale, et embauche près de 3 500 ouvriers. Cette mutation industrielle s’accompagne de divers aménagements infrastructurels majeurs – canal de l’Ourthe, réseau ferroviaire, routes empierrées – et entraine une transformation importante des</w:t>
      </w:r>
      <w:r w:rsidR="006A38F8">
        <w:t xml:space="preserve"> villages et des</w:t>
      </w:r>
      <w:r w:rsidR="009A64D9">
        <w:t xml:space="preserve"> paysages – minéralisation des flancs de vallée</w:t>
      </w:r>
      <w:r w:rsidR="006A38F8">
        <w:t xml:space="preserve">, implantation de maisons ouvrières, concentration </w:t>
      </w:r>
      <w:r w:rsidR="00F35C66">
        <w:t xml:space="preserve">de zones de stockage et de </w:t>
      </w:r>
      <w:r w:rsidR="006A38F8">
        <w:t>pôles industriels en divers points, etc. La présent</w:t>
      </w:r>
      <w:r w:rsidR="00AF2C0E">
        <w:t>e</w:t>
      </w:r>
      <w:r w:rsidR="006A38F8">
        <w:t xml:space="preserve"> communication entend mettre en perspective ces transformations du long XIX</w:t>
      </w:r>
      <w:r w:rsidR="006A38F8" w:rsidRPr="006A38F8">
        <w:rPr>
          <w:vertAlign w:val="superscript"/>
        </w:rPr>
        <w:t>e</w:t>
      </w:r>
      <w:r w:rsidR="006A38F8">
        <w:t xml:space="preserve"> siècle avec </w:t>
      </w:r>
      <w:r w:rsidR="005A1B52">
        <w:t xml:space="preserve">l’essor de </w:t>
      </w:r>
      <w:r w:rsidR="006A38F8">
        <w:t>l’industrie régionale.</w:t>
      </w:r>
    </w:p>
    <w:p w14:paraId="62DAD836" w14:textId="77777777" w:rsidR="00D82EFF" w:rsidRDefault="00D82EFF" w:rsidP="00D82EFF">
      <w:pPr>
        <w:jc w:val="both"/>
      </w:pPr>
    </w:p>
    <w:sectPr w:rsidR="00D82EF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53BEB" w14:textId="77777777" w:rsidR="00091C7F" w:rsidRDefault="00091C7F" w:rsidP="00D82EFF">
      <w:pPr>
        <w:spacing w:after="0" w:line="240" w:lineRule="auto"/>
      </w:pPr>
      <w:r>
        <w:separator/>
      </w:r>
    </w:p>
  </w:endnote>
  <w:endnote w:type="continuationSeparator" w:id="0">
    <w:p w14:paraId="22A821D9" w14:textId="77777777" w:rsidR="00091C7F" w:rsidRDefault="00091C7F" w:rsidP="00D82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C4C6B" w14:textId="77777777" w:rsidR="00091C7F" w:rsidRDefault="00091C7F" w:rsidP="00D82EFF">
      <w:pPr>
        <w:spacing w:after="0" w:line="240" w:lineRule="auto"/>
      </w:pPr>
      <w:r>
        <w:separator/>
      </w:r>
    </w:p>
  </w:footnote>
  <w:footnote w:type="continuationSeparator" w:id="0">
    <w:p w14:paraId="3CE110A8" w14:textId="77777777" w:rsidR="00091C7F" w:rsidRDefault="00091C7F" w:rsidP="00D82E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77"/>
    <w:rsid w:val="000041B2"/>
    <w:rsid w:val="00091C7F"/>
    <w:rsid w:val="002008EB"/>
    <w:rsid w:val="00233980"/>
    <w:rsid w:val="00256803"/>
    <w:rsid w:val="003C0077"/>
    <w:rsid w:val="00445465"/>
    <w:rsid w:val="005A1B52"/>
    <w:rsid w:val="006A38F8"/>
    <w:rsid w:val="007061D8"/>
    <w:rsid w:val="007B72A3"/>
    <w:rsid w:val="007E6C48"/>
    <w:rsid w:val="008523AF"/>
    <w:rsid w:val="008B334B"/>
    <w:rsid w:val="008E5864"/>
    <w:rsid w:val="009A64D9"/>
    <w:rsid w:val="009C15E2"/>
    <w:rsid w:val="00AB7123"/>
    <w:rsid w:val="00AF2C0E"/>
    <w:rsid w:val="00C61ED2"/>
    <w:rsid w:val="00CB3DD1"/>
    <w:rsid w:val="00D82EFF"/>
    <w:rsid w:val="00F03A55"/>
    <w:rsid w:val="00F35C66"/>
    <w:rsid w:val="00F82BAB"/>
    <w:rsid w:val="00FC519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5A26"/>
  <w15:chartTrackingRefBased/>
  <w15:docId w15:val="{8C46959A-7781-4D8C-A966-CE50652A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C00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3C00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3C007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3C007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re5">
    <w:name w:val="heading 5"/>
    <w:basedOn w:val="Normal"/>
    <w:next w:val="Normal"/>
    <w:link w:val="Titre5Car"/>
    <w:uiPriority w:val="9"/>
    <w:semiHidden/>
    <w:unhideWhenUsed/>
    <w:qFormat/>
    <w:rsid w:val="003C0077"/>
    <w:pPr>
      <w:keepNext/>
      <w:keepLines/>
      <w:spacing w:before="80" w:after="40"/>
      <w:outlineLvl w:val="4"/>
    </w:pPr>
    <w:rPr>
      <w:rFonts w:asciiTheme="minorHAnsi" w:eastAsiaTheme="majorEastAsia" w:hAnsiTheme="minorHAnsi" w:cstheme="majorBidi"/>
      <w:color w:val="2F5496" w:themeColor="accent1" w:themeShade="BF"/>
    </w:rPr>
  </w:style>
  <w:style w:type="paragraph" w:styleId="Titre6">
    <w:name w:val="heading 6"/>
    <w:basedOn w:val="Normal"/>
    <w:next w:val="Normal"/>
    <w:link w:val="Titre6Car"/>
    <w:uiPriority w:val="9"/>
    <w:semiHidden/>
    <w:unhideWhenUsed/>
    <w:qFormat/>
    <w:rsid w:val="003C007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3C0077"/>
    <w:pPr>
      <w:keepNext/>
      <w:keepLines/>
      <w:spacing w:before="40" w:after="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3C0077"/>
    <w:pPr>
      <w:keepNext/>
      <w:keepLines/>
      <w:spacing w:after="0"/>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3C0077"/>
    <w:pPr>
      <w:keepNext/>
      <w:keepLines/>
      <w:spacing w:after="0"/>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C007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3C007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3C0077"/>
    <w:rPr>
      <w:rFonts w:asciiTheme="minorHAnsi" w:eastAsiaTheme="majorEastAsia" w:hAnsiTheme="minorHAnsi" w:cstheme="majorBidi"/>
      <w:color w:val="2F5496" w:themeColor="accent1" w:themeShade="BF"/>
      <w:sz w:val="28"/>
      <w:szCs w:val="28"/>
    </w:rPr>
  </w:style>
  <w:style w:type="character" w:customStyle="1" w:styleId="Titre4Car">
    <w:name w:val="Titre 4 Car"/>
    <w:basedOn w:val="Policepardfaut"/>
    <w:link w:val="Titre4"/>
    <w:uiPriority w:val="9"/>
    <w:semiHidden/>
    <w:rsid w:val="003C0077"/>
    <w:rPr>
      <w:rFonts w:asciiTheme="minorHAnsi" w:eastAsiaTheme="majorEastAsia" w:hAnsiTheme="minorHAnsi" w:cstheme="majorBidi"/>
      <w:i/>
      <w:iCs/>
      <w:color w:val="2F5496" w:themeColor="accent1" w:themeShade="BF"/>
    </w:rPr>
  </w:style>
  <w:style w:type="character" w:customStyle="1" w:styleId="Titre5Car">
    <w:name w:val="Titre 5 Car"/>
    <w:basedOn w:val="Policepardfaut"/>
    <w:link w:val="Titre5"/>
    <w:uiPriority w:val="9"/>
    <w:semiHidden/>
    <w:rsid w:val="003C0077"/>
    <w:rPr>
      <w:rFonts w:asciiTheme="minorHAnsi" w:eastAsiaTheme="majorEastAsia" w:hAnsiTheme="minorHAnsi" w:cstheme="majorBidi"/>
      <w:color w:val="2F5496" w:themeColor="accent1" w:themeShade="BF"/>
    </w:rPr>
  </w:style>
  <w:style w:type="character" w:customStyle="1" w:styleId="Titre6Car">
    <w:name w:val="Titre 6 Car"/>
    <w:basedOn w:val="Policepardfaut"/>
    <w:link w:val="Titre6"/>
    <w:uiPriority w:val="9"/>
    <w:semiHidden/>
    <w:rsid w:val="003C0077"/>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3C0077"/>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3C0077"/>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3C0077"/>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3C0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C007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C007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C0077"/>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3C0077"/>
    <w:pPr>
      <w:spacing w:before="160"/>
      <w:jc w:val="center"/>
    </w:pPr>
    <w:rPr>
      <w:i/>
      <w:iCs/>
      <w:color w:val="404040" w:themeColor="text1" w:themeTint="BF"/>
    </w:rPr>
  </w:style>
  <w:style w:type="character" w:customStyle="1" w:styleId="CitationCar">
    <w:name w:val="Citation Car"/>
    <w:basedOn w:val="Policepardfaut"/>
    <w:link w:val="Citation"/>
    <w:uiPriority w:val="29"/>
    <w:rsid w:val="003C0077"/>
    <w:rPr>
      <w:i/>
      <w:iCs/>
      <w:color w:val="404040" w:themeColor="text1" w:themeTint="BF"/>
    </w:rPr>
  </w:style>
  <w:style w:type="paragraph" w:styleId="Paragraphedeliste">
    <w:name w:val="List Paragraph"/>
    <w:basedOn w:val="Normal"/>
    <w:uiPriority w:val="34"/>
    <w:qFormat/>
    <w:rsid w:val="003C0077"/>
    <w:pPr>
      <w:ind w:left="720"/>
      <w:contextualSpacing/>
    </w:pPr>
  </w:style>
  <w:style w:type="character" w:styleId="Accentuationintense">
    <w:name w:val="Intense Emphasis"/>
    <w:basedOn w:val="Policepardfaut"/>
    <w:uiPriority w:val="21"/>
    <w:qFormat/>
    <w:rsid w:val="003C0077"/>
    <w:rPr>
      <w:i/>
      <w:iCs/>
      <w:color w:val="2F5496" w:themeColor="accent1" w:themeShade="BF"/>
    </w:rPr>
  </w:style>
  <w:style w:type="paragraph" w:styleId="Citationintense">
    <w:name w:val="Intense Quote"/>
    <w:basedOn w:val="Normal"/>
    <w:next w:val="Normal"/>
    <w:link w:val="CitationintenseCar"/>
    <w:uiPriority w:val="30"/>
    <w:qFormat/>
    <w:rsid w:val="003C00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3C0077"/>
    <w:rPr>
      <w:i/>
      <w:iCs/>
      <w:color w:val="2F5496" w:themeColor="accent1" w:themeShade="BF"/>
    </w:rPr>
  </w:style>
  <w:style w:type="character" w:styleId="Rfrenceintense">
    <w:name w:val="Intense Reference"/>
    <w:basedOn w:val="Policepardfaut"/>
    <w:uiPriority w:val="32"/>
    <w:qFormat/>
    <w:rsid w:val="003C0077"/>
    <w:rPr>
      <w:b/>
      <w:bCs/>
      <w:smallCaps/>
      <w:color w:val="2F5496" w:themeColor="accent1" w:themeShade="BF"/>
      <w:spacing w:val="5"/>
    </w:rPr>
  </w:style>
  <w:style w:type="paragraph" w:styleId="Corpsdetexte">
    <w:name w:val="Body Text"/>
    <w:basedOn w:val="Normal"/>
    <w:link w:val="CorpsdetexteCar"/>
    <w:uiPriority w:val="1"/>
    <w:qFormat/>
    <w:rsid w:val="00AB7123"/>
    <w:pPr>
      <w:widowControl w:val="0"/>
      <w:autoSpaceDE w:val="0"/>
      <w:autoSpaceDN w:val="0"/>
      <w:spacing w:after="0" w:line="240" w:lineRule="auto"/>
    </w:pPr>
    <w:rPr>
      <w:rFonts w:eastAsia="Times New Roman"/>
      <w:kern w:val="0"/>
      <w:sz w:val="22"/>
      <w:lang w:val="fr-FR"/>
      <w14:ligatures w14:val="none"/>
    </w:rPr>
  </w:style>
  <w:style w:type="character" w:customStyle="1" w:styleId="CorpsdetexteCar">
    <w:name w:val="Corps de texte Car"/>
    <w:basedOn w:val="Policepardfaut"/>
    <w:link w:val="Corpsdetexte"/>
    <w:uiPriority w:val="1"/>
    <w:rsid w:val="00AB7123"/>
    <w:rPr>
      <w:rFonts w:eastAsia="Times New Roman"/>
      <w:kern w:val="0"/>
      <w:sz w:val="22"/>
      <w:lang w:val="fr-FR"/>
      <w14:ligatures w14:val="none"/>
    </w:rPr>
  </w:style>
  <w:style w:type="paragraph" w:styleId="Notedebasdepage">
    <w:name w:val="footnote text"/>
    <w:basedOn w:val="Normal"/>
    <w:link w:val="NotedebasdepageCar"/>
    <w:uiPriority w:val="99"/>
    <w:unhideWhenUsed/>
    <w:rsid w:val="00D82EFF"/>
    <w:pPr>
      <w:spacing w:after="0" w:line="240" w:lineRule="auto"/>
    </w:pPr>
    <w:rPr>
      <w:sz w:val="20"/>
      <w:szCs w:val="20"/>
    </w:rPr>
  </w:style>
  <w:style w:type="character" w:customStyle="1" w:styleId="NotedebasdepageCar">
    <w:name w:val="Note de bas de page Car"/>
    <w:basedOn w:val="Policepardfaut"/>
    <w:link w:val="Notedebasdepage"/>
    <w:uiPriority w:val="99"/>
    <w:rsid w:val="00D82EFF"/>
    <w:rPr>
      <w:sz w:val="20"/>
      <w:szCs w:val="20"/>
    </w:rPr>
  </w:style>
  <w:style w:type="character" w:styleId="Appelnotedebasdep">
    <w:name w:val="footnote reference"/>
    <w:basedOn w:val="Policepardfaut"/>
    <w:uiPriority w:val="99"/>
    <w:semiHidden/>
    <w:unhideWhenUsed/>
    <w:rsid w:val="00D82E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267</Words>
  <Characters>1469</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Baudry</dc:creator>
  <cp:keywords/>
  <dc:description/>
  <cp:lastModifiedBy>Antoine Baudry</cp:lastModifiedBy>
  <cp:revision>9</cp:revision>
  <dcterms:created xsi:type="dcterms:W3CDTF">2026-04-01T12:28:00Z</dcterms:created>
  <dcterms:modified xsi:type="dcterms:W3CDTF">2026-04-01T13:55:00Z</dcterms:modified>
</cp:coreProperties>
</file>