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43B8" w14:textId="77777777" w:rsidR="00AC31CF" w:rsidRPr="00AC31CF" w:rsidRDefault="00AC31CF" w:rsidP="00FA662B">
      <w:pPr>
        <w:pStyle w:val="Title"/>
        <w:spacing w:after="0"/>
        <w:ind w:firstLine="0"/>
        <w:jc w:val="center"/>
        <w:rPr>
          <w:b/>
          <w:szCs w:val="24"/>
        </w:rPr>
      </w:pPr>
      <w:r w:rsidRPr="00AC31CF">
        <w:rPr>
          <w:b/>
          <w:szCs w:val="24"/>
        </w:rPr>
        <w:t>Dynamic and Image Variation Archive (DIVA-Face):</w:t>
      </w:r>
    </w:p>
    <w:p w14:paraId="127B90B9" w14:textId="0DE8EFD4" w:rsidR="00666ED3" w:rsidRDefault="00AC31CF" w:rsidP="00FA662B">
      <w:pPr>
        <w:pStyle w:val="Title"/>
        <w:spacing w:after="0"/>
        <w:ind w:firstLine="0"/>
        <w:jc w:val="center"/>
        <w:rPr>
          <w:b/>
          <w:bCs/>
        </w:rPr>
      </w:pPr>
      <w:r w:rsidRPr="65CADE4E">
        <w:rPr>
          <w:b/>
          <w:bCs/>
        </w:rPr>
        <w:t xml:space="preserve">A novel controlled </w:t>
      </w:r>
      <w:r w:rsidR="00806A62" w:rsidRPr="65CADE4E">
        <w:rPr>
          <w:b/>
          <w:bCs/>
        </w:rPr>
        <w:t xml:space="preserve">facial </w:t>
      </w:r>
      <w:r w:rsidRPr="65CADE4E">
        <w:rPr>
          <w:b/>
          <w:bCs/>
        </w:rPr>
        <w:t xml:space="preserve">stimuli set </w:t>
      </w:r>
    </w:p>
    <w:p w14:paraId="11A7ECBC" w14:textId="77777777" w:rsidR="00FA662B" w:rsidRPr="00FA662B" w:rsidRDefault="00FA662B" w:rsidP="00145ACE">
      <w:pPr>
        <w:ind w:firstLine="0"/>
      </w:pPr>
    </w:p>
    <w:p w14:paraId="273CACC1" w14:textId="43EE7AA9" w:rsidR="00666ED3" w:rsidRPr="00FD690A" w:rsidRDefault="00666ED3" w:rsidP="00FA662B">
      <w:pPr>
        <w:ind w:firstLine="0"/>
        <w:jc w:val="center"/>
        <w:rPr>
          <w:rFonts w:cs="Calibri"/>
          <w:lang w:val="en-GB"/>
        </w:rPr>
      </w:pPr>
      <w:r w:rsidRPr="000605B5">
        <w:rPr>
          <w:rFonts w:cs="Calibri"/>
          <w:lang w:val="en-GB"/>
        </w:rPr>
        <w:t>Wenrui Li</w:t>
      </w:r>
      <w:r w:rsidRPr="000605B5">
        <w:rPr>
          <w:rFonts w:cs="Calibri" w:hint="eastAsia"/>
          <w:lang w:val="en-GB"/>
        </w:rPr>
        <w:t>*</w:t>
      </w:r>
      <w:r w:rsidRPr="000605B5">
        <w:rPr>
          <w:rFonts w:cs="Calibri"/>
          <w:vertAlign w:val="superscript"/>
          <w:lang w:val="en-GB"/>
        </w:rPr>
        <w:t>1</w:t>
      </w:r>
      <w:r w:rsidRPr="000605B5">
        <w:rPr>
          <w:rFonts w:cs="Calibri"/>
          <w:lang w:val="en-GB"/>
        </w:rPr>
        <w:t xml:space="preserve">, </w:t>
      </w:r>
      <w:r w:rsidRPr="00FB7EEA">
        <w:rPr>
          <w:rFonts w:cs="Calibri"/>
        </w:rPr>
        <w:t>Raphaël Legrand</w:t>
      </w:r>
      <w:r>
        <w:rPr>
          <w:rFonts w:cs="Calibri" w:hint="eastAsia"/>
        </w:rPr>
        <w:t>*</w:t>
      </w:r>
      <w:r w:rsidRPr="00FB7EEA">
        <w:rPr>
          <w:rFonts w:cs="Calibri"/>
          <w:vertAlign w:val="superscript"/>
        </w:rPr>
        <w:t>1,2</w:t>
      </w:r>
      <w:r>
        <w:rPr>
          <w:rFonts w:cs="Calibri"/>
        </w:rPr>
        <w:t xml:space="preserve">, </w:t>
      </w:r>
      <w:r w:rsidR="00FF6885">
        <w:rPr>
          <w:rFonts w:cs="Calibri"/>
        </w:rPr>
        <w:t>William Daro</w:t>
      </w:r>
      <w:r w:rsidR="00FF6885" w:rsidRPr="00FD690A">
        <w:rPr>
          <w:rFonts w:cs="Calibri"/>
          <w:vertAlign w:val="superscript"/>
          <w:lang w:val="en-GB"/>
        </w:rPr>
        <w:t>1</w:t>
      </w:r>
      <w:r w:rsidR="00FF6885">
        <w:rPr>
          <w:rFonts w:cs="Calibri"/>
        </w:rPr>
        <w:t xml:space="preserve">, </w:t>
      </w:r>
      <w:r w:rsidRPr="00FB7EEA">
        <w:rPr>
          <w:rFonts w:cs="Calibri"/>
        </w:rPr>
        <w:t>and</w:t>
      </w:r>
      <w:r w:rsidRPr="00FD690A">
        <w:rPr>
          <w:rFonts w:cs="Calibri"/>
          <w:lang w:val="en-GB"/>
        </w:rPr>
        <w:t xml:space="preserve"> Christel Devue</w:t>
      </w:r>
      <w:r w:rsidRPr="00FD690A">
        <w:rPr>
          <w:rFonts w:cs="Calibri"/>
          <w:vertAlign w:val="superscript"/>
          <w:lang w:val="en-GB"/>
        </w:rPr>
        <w:t>1</w:t>
      </w:r>
    </w:p>
    <w:p w14:paraId="5DBC2447" w14:textId="77777777" w:rsidR="00666ED3" w:rsidRPr="00FB7EEA" w:rsidRDefault="00666ED3" w:rsidP="00FA662B">
      <w:pPr>
        <w:ind w:firstLine="0"/>
        <w:jc w:val="center"/>
        <w:rPr>
          <w:rFonts w:cs="Calibri"/>
          <w:i/>
        </w:rPr>
      </w:pPr>
      <w:r w:rsidRPr="00FB7EEA">
        <w:rPr>
          <w:rFonts w:cs="Calibri"/>
          <w:iCs/>
          <w:vertAlign w:val="superscript"/>
        </w:rPr>
        <w:t>1</w:t>
      </w:r>
      <w:r w:rsidRPr="00FB7EEA">
        <w:rPr>
          <w:rFonts w:cs="Calibri"/>
          <w:i/>
          <w:vertAlign w:val="superscript"/>
        </w:rPr>
        <w:t xml:space="preserve"> </w:t>
      </w:r>
      <w:r w:rsidRPr="00FB7EEA">
        <w:rPr>
          <w:rFonts w:cs="Calibri"/>
          <w:iCs/>
        </w:rPr>
        <w:t>Psychology and Neuroscience of Cognition Research Unit, University of Liège, Belgium</w:t>
      </w:r>
    </w:p>
    <w:p w14:paraId="4F75ACC0" w14:textId="79D9426E" w:rsidR="00666ED3" w:rsidRPr="00FB7EEA" w:rsidRDefault="00666ED3" w:rsidP="00FA662B">
      <w:pPr>
        <w:ind w:firstLine="0"/>
        <w:jc w:val="center"/>
        <w:rPr>
          <w:rFonts w:cs="Calibri"/>
          <w:i/>
        </w:rPr>
      </w:pPr>
      <w:r w:rsidRPr="00FB7EEA">
        <w:rPr>
          <w:rFonts w:cs="Calibri"/>
          <w:iCs/>
          <w:vertAlign w:val="superscript"/>
        </w:rPr>
        <w:t>2</w:t>
      </w:r>
      <w:r w:rsidRPr="00FB7EEA">
        <w:rPr>
          <w:rFonts w:cs="Calibri"/>
          <w:iCs/>
        </w:rPr>
        <w:t xml:space="preserve"> GIGA-CRC Human Imaging, University of Liège</w:t>
      </w:r>
    </w:p>
    <w:p w14:paraId="2EBCB505" w14:textId="68EE751F" w:rsidR="00666ED3" w:rsidRDefault="00423EB6" w:rsidP="00FA662B">
      <w:pPr>
        <w:jc w:val="center"/>
      </w:pPr>
      <w:r w:rsidRPr="005E34CB">
        <w:t>* Contributed equally to the work</w:t>
      </w:r>
    </w:p>
    <w:p w14:paraId="2995CC56" w14:textId="77777777" w:rsidR="00FA662B" w:rsidRPr="00FA662B" w:rsidRDefault="00FA662B" w:rsidP="00FA662B">
      <w:pPr>
        <w:jc w:val="center"/>
      </w:pPr>
    </w:p>
    <w:p w14:paraId="18795BC8" w14:textId="710DB6CB" w:rsidR="00666ED3" w:rsidRPr="00FB7EEA" w:rsidRDefault="00666ED3" w:rsidP="00FA662B">
      <w:pPr>
        <w:ind w:firstLine="0"/>
        <w:jc w:val="center"/>
        <w:rPr>
          <w:rFonts w:cs="Calibri"/>
        </w:rPr>
      </w:pPr>
      <w:r w:rsidRPr="00FB7EEA">
        <w:rPr>
          <w:rFonts w:cs="Calibri"/>
          <w:b/>
        </w:rPr>
        <w:t>Author Note</w:t>
      </w:r>
    </w:p>
    <w:p w14:paraId="02C2CEC4" w14:textId="77777777" w:rsidR="00666ED3" w:rsidRDefault="00666ED3" w:rsidP="00FA662B">
      <w:pPr>
        <w:rPr>
          <w:rFonts w:cs="Calibri"/>
          <w:lang w:val="fr-BE"/>
        </w:rPr>
      </w:pPr>
      <w:r w:rsidRPr="006520E1">
        <w:rPr>
          <w:rFonts w:cs="Calibri"/>
          <w:lang w:val="fr-BE"/>
        </w:rPr>
        <w:t>Wenrui Li</w:t>
      </w:r>
      <w:r>
        <w:rPr>
          <w:rFonts w:cs="Calibri" w:hint="eastAsia"/>
          <w:lang w:val="fr-BE"/>
        </w:rPr>
        <w:t xml:space="preserve"> </w:t>
      </w:r>
      <w:hyperlink r:id="rId7" w:history="1">
        <w:r w:rsidRPr="00AE1B5E">
          <w:rPr>
            <w:rStyle w:val="Hyperlink"/>
            <w:rFonts w:cs="Calibri"/>
            <w:lang w:val="fr-BE"/>
          </w:rPr>
          <w:t>https://orcid.org/0009-0008-3900-5200</w:t>
        </w:r>
      </w:hyperlink>
      <w:r>
        <w:rPr>
          <w:rFonts w:cs="Calibri" w:hint="eastAsia"/>
          <w:lang w:val="fr-BE"/>
        </w:rPr>
        <w:t xml:space="preserve"> </w:t>
      </w:r>
    </w:p>
    <w:p w14:paraId="0682F725" w14:textId="77777777" w:rsidR="00666ED3" w:rsidRDefault="00666ED3" w:rsidP="00FA662B">
      <w:pPr>
        <w:rPr>
          <w:rFonts w:cs="Calibri"/>
        </w:rPr>
      </w:pPr>
      <w:r w:rsidRPr="00FB7EEA">
        <w:rPr>
          <w:rFonts w:cs="Calibri"/>
        </w:rPr>
        <w:t>Raphaël Legrand</w:t>
      </w:r>
      <w:r>
        <w:rPr>
          <w:rFonts w:cs="Calibri" w:hint="eastAsia"/>
        </w:rPr>
        <w:t xml:space="preserve"> </w:t>
      </w:r>
      <w:hyperlink r:id="rId8" w:history="1">
        <w:r w:rsidRPr="00AE1B5E">
          <w:rPr>
            <w:rStyle w:val="Hyperlink"/>
            <w:rFonts w:cs="Calibri"/>
          </w:rPr>
          <w:t>https://orcid.org/0009-0004-3979-508X</w:t>
        </w:r>
      </w:hyperlink>
      <w:r>
        <w:rPr>
          <w:rFonts w:cs="Calibri" w:hint="eastAsia"/>
        </w:rPr>
        <w:t xml:space="preserve"> </w:t>
      </w:r>
    </w:p>
    <w:p w14:paraId="694FF3EC" w14:textId="77777777" w:rsidR="00666ED3" w:rsidRPr="000605B5" w:rsidRDefault="00666ED3" w:rsidP="00FA662B">
      <w:pPr>
        <w:rPr>
          <w:rFonts w:cs="Calibri"/>
          <w:lang w:val="fr-BE"/>
        </w:rPr>
      </w:pPr>
      <w:r w:rsidRPr="000605B5">
        <w:rPr>
          <w:rFonts w:cs="Calibri"/>
          <w:lang w:val="fr-BE"/>
        </w:rPr>
        <w:t xml:space="preserve">Christel Devue </w:t>
      </w:r>
      <w:hyperlink r:id="rId9" w:history="1">
        <w:r w:rsidRPr="000605B5">
          <w:rPr>
            <w:rStyle w:val="Hyperlink"/>
            <w:rFonts w:cs="Calibri"/>
            <w:lang w:val="fr-BE"/>
          </w:rPr>
          <w:t>https://orcid.org/0000-0001-7349-226X</w:t>
        </w:r>
      </w:hyperlink>
      <w:r w:rsidRPr="000605B5">
        <w:rPr>
          <w:rFonts w:cs="Calibri" w:hint="eastAsia"/>
          <w:lang w:val="fr-BE"/>
        </w:rPr>
        <w:t xml:space="preserve"> </w:t>
      </w:r>
    </w:p>
    <w:p w14:paraId="2BE84A6B" w14:textId="02F10962" w:rsidR="00666ED3" w:rsidRPr="00313AAC" w:rsidRDefault="00666ED3" w:rsidP="00FA662B">
      <w:pPr>
        <w:rPr>
          <w:rFonts w:cs="Calibri"/>
          <w:lang w:val="en-GB"/>
        </w:rPr>
      </w:pPr>
      <w:r w:rsidRPr="00FB7EEA">
        <w:rPr>
          <w:rFonts w:cs="Calibri"/>
        </w:rPr>
        <w:t>Correspondence should be addressed to Christel Devue</w:t>
      </w:r>
      <w:r>
        <w:rPr>
          <w:rFonts w:cs="Calibri" w:hint="eastAsia"/>
        </w:rPr>
        <w:t xml:space="preserve"> (</w:t>
      </w:r>
      <w:hyperlink r:id="rId10" w:history="1">
        <w:r w:rsidRPr="00075AE8">
          <w:rPr>
            <w:rStyle w:val="Hyperlink"/>
            <w:rFonts w:cs="Calibri"/>
            <w:lang w:val="en-GB"/>
          </w:rPr>
          <w:t>cdevue@uliege.be</w:t>
        </w:r>
      </w:hyperlink>
      <w:r>
        <w:rPr>
          <w:rFonts w:hint="eastAsia"/>
        </w:rPr>
        <w:t>)</w:t>
      </w:r>
      <w:r w:rsidRPr="00FB7EEA">
        <w:rPr>
          <w:rFonts w:cs="Calibri"/>
        </w:rPr>
        <w:t xml:space="preserve">, University of Liège, Psychology and Neuroscience of Cognition Research Unit, </w:t>
      </w:r>
      <w:r w:rsidRPr="00FB7EEA">
        <w:rPr>
          <w:rFonts w:cs="Calibri"/>
          <w:lang w:val="en-GB"/>
        </w:rPr>
        <w:t xml:space="preserve">Place de </w:t>
      </w:r>
      <w:proofErr w:type="spellStart"/>
      <w:r w:rsidRPr="00FB7EEA">
        <w:rPr>
          <w:rFonts w:cs="Calibri"/>
          <w:lang w:val="en-GB"/>
        </w:rPr>
        <w:t>Orateurs</w:t>
      </w:r>
      <w:proofErr w:type="spellEnd"/>
      <w:r w:rsidRPr="00FB7EEA">
        <w:rPr>
          <w:rFonts w:cs="Calibri"/>
          <w:lang w:val="en-GB"/>
        </w:rPr>
        <w:t>, 2 (B32), 4000 Liège, Belgium.</w:t>
      </w:r>
      <w:r w:rsidR="006A7202">
        <w:rPr>
          <w:rFonts w:cs="Calibri" w:hint="eastAsia"/>
          <w:lang w:val="en-GB"/>
        </w:rPr>
        <w:t xml:space="preserve"> Tel: </w:t>
      </w:r>
      <w:r w:rsidR="006A7202" w:rsidRPr="006A7202">
        <w:rPr>
          <w:rFonts w:cs="Calibri"/>
        </w:rPr>
        <w:t>+32 4 3669282</w:t>
      </w:r>
    </w:p>
    <w:p w14:paraId="01B9F325" w14:textId="5770BC30" w:rsidR="00A70CF0" w:rsidRDefault="00A70CF0" w:rsidP="00FA662B">
      <w:r w:rsidRPr="00A70CF0">
        <w:t xml:space="preserve">Additional illustrations of the material, validation data and access request documents are available from </w:t>
      </w:r>
      <w:hyperlink r:id="rId11" w:history="1">
        <w:r w:rsidRPr="005B47ED">
          <w:rPr>
            <w:rStyle w:val="Hyperlink"/>
          </w:rPr>
          <w:t>https://doi.org/10.58119/ULG/EFLCIJ</w:t>
        </w:r>
      </w:hyperlink>
      <w:r>
        <w:rPr>
          <w:rFonts w:hint="eastAsia"/>
        </w:rPr>
        <w:t>.</w:t>
      </w:r>
    </w:p>
    <w:p w14:paraId="198BE3EC" w14:textId="0DD60A1F" w:rsidR="00423EB6" w:rsidRDefault="00423EB6" w:rsidP="00FA662B">
      <w:pPr>
        <w:rPr>
          <w:rFonts w:hint="eastAsia"/>
        </w:rPr>
      </w:pPr>
      <w:r w:rsidRPr="00774AE0">
        <w:t xml:space="preserve">The pre-registration of hypotheses and analyses plan are visible at </w:t>
      </w:r>
      <w:hyperlink r:id="rId12" w:history="1">
        <w:r w:rsidR="00A70CF0" w:rsidRPr="005B47ED">
          <w:rPr>
            <w:rStyle w:val="Hyperlink"/>
          </w:rPr>
          <w:t>https://doi.org/10.17605/OSF.IO/V3ZAX</w:t>
        </w:r>
      </w:hyperlink>
      <w:r w:rsidRPr="00774AE0">
        <w:t xml:space="preserve">. Aggregated data are available at </w:t>
      </w:r>
      <w:hyperlink r:id="rId13" w:history="1">
        <w:r w:rsidR="00694E26" w:rsidRPr="00942E70">
          <w:rPr>
            <w:rStyle w:val="Hyperlink"/>
          </w:rPr>
          <w:t>https://osf.io/wezxs/?view_only=ba18fa36bfd3492f83e018e6dc4d5407</w:t>
        </w:r>
      </w:hyperlink>
      <w:r w:rsidRPr="00774AE0">
        <w:t xml:space="preserve">. </w:t>
      </w:r>
      <w:r w:rsidRPr="00487A41">
        <w:t>We posted a draft of our manuscript on the preprint server of the OSF</w:t>
      </w:r>
      <w:r>
        <w:rPr>
          <w:rFonts w:hint="eastAsia"/>
        </w:rPr>
        <w:t xml:space="preserve"> under the</w:t>
      </w:r>
      <w:r w:rsidRPr="00774AE0">
        <w:t xml:space="preserve"> following </w:t>
      </w:r>
      <w:r w:rsidR="009C740B">
        <w:rPr>
          <w:rFonts w:hint="eastAsia"/>
        </w:rPr>
        <w:t xml:space="preserve">link </w:t>
      </w:r>
      <w:hyperlink r:id="rId14" w:history="1">
        <w:r w:rsidR="009C740B" w:rsidRPr="000F50C6">
          <w:rPr>
            <w:rStyle w:val="Hyperlink"/>
          </w:rPr>
          <w:t>https://</w:t>
        </w:r>
        <w:r w:rsidR="009C740B" w:rsidRPr="000F50C6">
          <w:rPr>
            <w:rStyle w:val="Hyperlink"/>
          </w:rPr>
          <w:t>osf.io/preprints/psyarxiv/nbm5h_v1</w:t>
        </w:r>
      </w:hyperlink>
      <w:r w:rsidR="009C740B">
        <w:rPr>
          <w:rFonts w:hint="eastAsia"/>
        </w:rPr>
        <w:t xml:space="preserve"> on the 13th of July, 2026.</w:t>
      </w:r>
    </w:p>
    <w:p w14:paraId="61EDA308" w14:textId="12269E65" w:rsidR="00B76924" w:rsidRDefault="00666ED3" w:rsidP="00FA662B">
      <w:r w:rsidRPr="00FD690A">
        <w:rPr>
          <w:rFonts w:cs="Calibri"/>
          <w:b/>
        </w:rPr>
        <w:lastRenderedPageBreak/>
        <w:t>Word count</w:t>
      </w:r>
      <w:r w:rsidRPr="000F09D6">
        <w:rPr>
          <w:rFonts w:cs="Calibri"/>
          <w:b/>
        </w:rPr>
        <w:t>:</w:t>
      </w:r>
      <w:r w:rsidRPr="000F09D6">
        <w:rPr>
          <w:rFonts w:cs="Calibri"/>
        </w:rPr>
        <w:t xml:space="preserve"> </w:t>
      </w:r>
      <w:r w:rsidR="000F09D6" w:rsidRPr="000F09D6">
        <w:rPr>
          <w:rFonts w:cs="Calibri" w:hint="eastAsia"/>
        </w:rPr>
        <w:t>5,</w:t>
      </w:r>
      <w:r w:rsidR="000F09D6">
        <w:rPr>
          <w:rFonts w:cs="Calibri"/>
        </w:rPr>
        <w:t>245</w:t>
      </w:r>
      <w:r w:rsidR="00FF3D44" w:rsidRPr="000F09D6">
        <w:rPr>
          <w:rFonts w:cs="Calibri" w:hint="eastAsia"/>
        </w:rPr>
        <w:t xml:space="preserve"> </w:t>
      </w:r>
      <w:r w:rsidRPr="000F09D6">
        <w:rPr>
          <w:rFonts w:cs="Calibri"/>
        </w:rPr>
        <w:t>(excluding</w:t>
      </w:r>
      <w:r w:rsidRPr="00FD690A">
        <w:rPr>
          <w:rFonts w:cs="Calibri"/>
        </w:rPr>
        <w:t xml:space="preserve"> title, references, author affiliations, </w:t>
      </w:r>
      <w:r w:rsidR="000F09D6">
        <w:rPr>
          <w:rFonts w:cs="Calibri"/>
        </w:rPr>
        <w:t>declarations</w:t>
      </w:r>
      <w:r w:rsidRPr="00FD690A">
        <w:rPr>
          <w:rFonts w:cs="Calibri"/>
        </w:rPr>
        <w:t>, figure captions, and abstract).</w:t>
      </w:r>
      <w:bookmarkStart w:id="0" w:name="_Hlk201065839"/>
    </w:p>
    <w:bookmarkEnd w:id="0"/>
    <w:p w14:paraId="2A5CC24D" w14:textId="12269E65" w:rsidR="00655447" w:rsidRDefault="00655447" w:rsidP="00F75E87">
      <w:pPr>
        <w:spacing w:after="120" w:line="360" w:lineRule="auto"/>
      </w:pPr>
      <w:r>
        <w:br w:type="page"/>
      </w:r>
    </w:p>
    <w:p w14:paraId="1BDE3BD9" w14:textId="4EB5B900" w:rsidR="00774AE0" w:rsidRPr="001C103B" w:rsidRDefault="00861FB9" w:rsidP="00D10726">
      <w:pPr>
        <w:ind w:firstLine="0"/>
        <w:jc w:val="center"/>
        <w:rPr>
          <w:b/>
          <w:bCs/>
        </w:rPr>
      </w:pPr>
      <w:r w:rsidRPr="001C103B">
        <w:rPr>
          <w:rFonts w:hint="eastAsia"/>
          <w:b/>
          <w:bCs/>
        </w:rPr>
        <w:lastRenderedPageBreak/>
        <w:t>Abstract</w:t>
      </w:r>
    </w:p>
    <w:p w14:paraId="30CBBA05" w14:textId="1DFF9F81" w:rsidR="006F05DB" w:rsidRDefault="006F4D2F" w:rsidP="00D10726">
      <w:r>
        <w:t>Understanding how humans learn</w:t>
      </w:r>
      <w:r w:rsidR="00806A62">
        <w:t>,</w:t>
      </w:r>
      <w:r>
        <w:t xml:space="preserve"> recognize</w:t>
      </w:r>
      <w:r w:rsidR="00806A62">
        <w:t xml:space="preserve"> or otherwise process</w:t>
      </w:r>
      <w:r>
        <w:t xml:space="preserve"> unfamiliar faces requires stimulus materials that balance experimental control with ecological validity. Although face learning research has highlighted the importance of within-person variability, most existing </w:t>
      </w:r>
      <w:r w:rsidR="007C7572">
        <w:t>studies</w:t>
      </w:r>
      <w:r>
        <w:t xml:space="preserve"> rely on static </w:t>
      </w:r>
      <w:r w:rsidR="00806A62">
        <w:t xml:space="preserve">ambient </w:t>
      </w:r>
      <w:r>
        <w:t xml:space="preserve">images </w:t>
      </w:r>
      <w:r w:rsidR="00F75E87">
        <w:t xml:space="preserve">or </w:t>
      </w:r>
      <w:r>
        <w:t xml:space="preserve">do not systematically disentangle appearance-based variability from other display-related factors. Here, we introduce the Dynamic and Image Variation Archive (DIVA-Face), a video-based face database designed to </w:t>
      </w:r>
      <w:r w:rsidR="00F75E87">
        <w:t>fill this gap</w:t>
      </w:r>
      <w:r>
        <w:t>.</w:t>
      </w:r>
      <w:r w:rsidR="007C7572">
        <w:t xml:space="preserve"> </w:t>
      </w:r>
      <w:r>
        <w:t>The database comprises 8,064 video clips and 2,016 still images of eight actresses recorded under tightly controlled conditions. Each identity is presented across orthogonally manipulated appearance dimensions, including hairstyle (</w:t>
      </w:r>
      <w:r w:rsidR="00F75E87">
        <w:t xml:space="preserve">via </w:t>
      </w:r>
      <w:r>
        <w:t xml:space="preserve">six </w:t>
      </w:r>
      <w:r w:rsidR="00806A62">
        <w:t xml:space="preserve">distinct </w:t>
      </w:r>
      <w:r>
        <w:t>wigs</w:t>
      </w:r>
      <w:r w:rsidR="00F75E87">
        <w:t>—hair down or up—</w:t>
      </w:r>
      <w:r>
        <w:t>and one balaclava), makeup (lipstick</w:t>
      </w:r>
      <w:r w:rsidR="00F75E87">
        <w:t xml:space="preserve"> present or absent</w:t>
      </w:r>
      <w:r>
        <w:t xml:space="preserve">), </w:t>
      </w:r>
      <w:r w:rsidR="00F75E87">
        <w:t xml:space="preserve">and </w:t>
      </w:r>
      <w:r>
        <w:t>accessor</w:t>
      </w:r>
      <w:r w:rsidR="00F75E87">
        <w:t>y</w:t>
      </w:r>
      <w:r>
        <w:t xml:space="preserve"> (glasses</w:t>
      </w:r>
      <w:r w:rsidR="00F75E87">
        <w:t xml:space="preserve"> present or absent</w:t>
      </w:r>
      <w:r>
        <w:t>)</w:t>
      </w:r>
      <w:r w:rsidR="00F75E87">
        <w:t>, giving 28 distinct combinations. Each appearance combination was captured under three</w:t>
      </w:r>
      <w:r>
        <w:t xml:space="preserve"> lighting direction</w:t>
      </w:r>
      <w:r w:rsidR="00F75E87">
        <w:t xml:space="preserve">s, </w:t>
      </w:r>
      <w:r w:rsidR="00A025BC">
        <w:t>while performing</w:t>
      </w:r>
      <w:r w:rsidR="00F75E87">
        <w:t xml:space="preserve"> twelve </w:t>
      </w:r>
      <w:r>
        <w:t>dynamic facial actions</w:t>
      </w:r>
      <w:r w:rsidR="00FD0ED2">
        <w:t xml:space="preserve"> for videos,</w:t>
      </w:r>
      <w:r w:rsidR="00F75E87">
        <w:t xml:space="preserve"> or </w:t>
      </w:r>
      <w:r w:rsidR="00A025BC">
        <w:t xml:space="preserve">posing with </w:t>
      </w:r>
      <w:r w:rsidR="00F75E87">
        <w:t>three head orientation</w:t>
      </w:r>
      <w:r w:rsidR="00A025BC">
        <w:t>s</w:t>
      </w:r>
      <w:r w:rsidR="00F75E87">
        <w:t xml:space="preserve"> for photographs</w:t>
      </w:r>
      <w:r>
        <w:t>. All recordings were made against a uniform green-screen background, allowing flexible manipulation of contextual information for future applications.</w:t>
      </w:r>
      <w:r w:rsidR="00956436">
        <w:t xml:space="preserve"> </w:t>
      </w:r>
      <w:r>
        <w:t xml:space="preserve">To validate the usability of the database, we conducted a preregistered proof-of-concept experiment using an incidental face learning paradigm with a subset of the stimuli. Results </w:t>
      </w:r>
      <w:r w:rsidR="00806A62">
        <w:t xml:space="preserve">show </w:t>
      </w:r>
      <w:r>
        <w:t>reliable effects of appearance manipulations</w:t>
      </w:r>
      <w:r w:rsidR="00806A62">
        <w:t xml:space="preserve"> on recognition performance</w:t>
      </w:r>
      <w:r>
        <w:t>, even under online testing conditions. These findings confirm that the database supports controlled behavioral investigations of unfamiliar face learning.</w:t>
      </w:r>
      <w:r w:rsidR="007C7572">
        <w:t xml:space="preserve"> </w:t>
      </w:r>
      <w:r>
        <w:t xml:space="preserve">The database is </w:t>
      </w:r>
      <w:r w:rsidR="00806A62">
        <w:t xml:space="preserve">also suited </w:t>
      </w:r>
      <w:r>
        <w:t xml:space="preserve">for behavioral, </w:t>
      </w:r>
      <w:r>
        <w:lastRenderedPageBreak/>
        <w:t xml:space="preserve">social-cognitive, and computational </w:t>
      </w:r>
      <w:r w:rsidR="00D8442E">
        <w:t>investigations beyond face learning</w:t>
      </w:r>
      <w:r>
        <w:t>, and is openly available to promote reproducibility and cross-disciplinary integration.</w:t>
      </w:r>
    </w:p>
    <w:p w14:paraId="7296DA3F" w14:textId="77777777" w:rsidR="00C95B33" w:rsidRDefault="00C95B33" w:rsidP="00D10726"/>
    <w:p w14:paraId="1983F1AD" w14:textId="5F8BBBD3" w:rsidR="00A34B8D" w:rsidRPr="00A84668" w:rsidRDefault="006F05DB" w:rsidP="00D10726">
      <w:pPr>
        <w:ind w:firstLine="0"/>
      </w:pPr>
      <w:r w:rsidRPr="65CADE4E">
        <w:rPr>
          <w:b/>
          <w:bCs/>
          <w:i/>
          <w:iCs/>
        </w:rPr>
        <w:t>Keywords:</w:t>
      </w:r>
      <w:r w:rsidR="00A84668">
        <w:t xml:space="preserve"> face learning,</w:t>
      </w:r>
      <w:r w:rsidR="00202B59">
        <w:t xml:space="preserve"> face processing,</w:t>
      </w:r>
      <w:r w:rsidR="00A84668">
        <w:t xml:space="preserve"> facial appearance, experimental material, dynamic stimuli.</w:t>
      </w:r>
    </w:p>
    <w:p w14:paraId="4E8B75EB" w14:textId="77777777" w:rsidR="00A34B8D" w:rsidRDefault="00A34B8D" w:rsidP="002A7E3F">
      <w:pPr>
        <w:spacing w:after="120" w:line="360" w:lineRule="auto"/>
      </w:pPr>
      <w:r>
        <w:br w:type="page"/>
      </w:r>
    </w:p>
    <w:p w14:paraId="66E7BA7D" w14:textId="439889F8" w:rsidR="006F05DB" w:rsidRPr="003977BF" w:rsidRDefault="004226A3" w:rsidP="00D10726">
      <w:pPr>
        <w:pStyle w:val="Title"/>
        <w:spacing w:after="0"/>
        <w:ind w:firstLine="0"/>
        <w:jc w:val="center"/>
        <w:rPr>
          <w:b/>
          <w:bCs/>
        </w:rPr>
      </w:pPr>
      <w:r w:rsidRPr="7D8DC728">
        <w:rPr>
          <w:b/>
          <w:bCs/>
        </w:rPr>
        <w:lastRenderedPageBreak/>
        <w:t>Dynamic and Image Variation Archive (DIVA-Face):</w:t>
      </w:r>
      <w:r w:rsidR="00442D3D" w:rsidRPr="7D8DC728">
        <w:rPr>
          <w:b/>
          <w:bCs/>
        </w:rPr>
        <w:t xml:space="preserve"> </w:t>
      </w:r>
      <w:r w:rsidRPr="7D8DC728">
        <w:rPr>
          <w:b/>
          <w:bCs/>
        </w:rPr>
        <w:t>A novel controlled</w:t>
      </w:r>
      <w:r w:rsidR="00442D3D" w:rsidRPr="7D8DC728">
        <w:rPr>
          <w:b/>
          <w:bCs/>
        </w:rPr>
        <w:t xml:space="preserve"> facial</w:t>
      </w:r>
      <w:r w:rsidRPr="7D8DC728">
        <w:rPr>
          <w:b/>
          <w:bCs/>
        </w:rPr>
        <w:t xml:space="preserve"> stimuli set </w:t>
      </w:r>
    </w:p>
    <w:p w14:paraId="431B2C4B" w14:textId="0C2F8AFA" w:rsidR="005E18B8" w:rsidRDefault="00E15E35" w:rsidP="00D10726">
      <w:r>
        <w:t xml:space="preserve">Face </w:t>
      </w:r>
      <w:r w:rsidR="00D8442E">
        <w:t xml:space="preserve">processing in general, and face </w:t>
      </w:r>
      <w:r>
        <w:t>recognition</w:t>
      </w:r>
      <w:r w:rsidR="00D8442E">
        <w:t xml:space="preserve"> in particular,</w:t>
      </w:r>
      <w:r>
        <w:t xml:space="preserve"> play a crucial role in effective social interactions (Avery et al., 2016; </w:t>
      </w:r>
      <w:proofErr w:type="spellStart"/>
      <w:r>
        <w:t>Engfors</w:t>
      </w:r>
      <w:proofErr w:type="spellEnd"/>
      <w:r>
        <w:t xml:space="preserve"> et al., 2024). </w:t>
      </w:r>
      <w:r w:rsidR="005E18B8">
        <w:t xml:space="preserve">Humans are remarkably proficient at recognizing familiar faces. Once a face has been learned, recognition </w:t>
      </w:r>
      <w:r w:rsidR="00D8442E">
        <w:t xml:space="preserve">may </w:t>
      </w:r>
      <w:r w:rsidR="005E18B8">
        <w:t>remain robust across time, changes in appearance, and viewing conditions—even after years (</w:t>
      </w:r>
      <w:proofErr w:type="spellStart"/>
      <w:r w:rsidR="005E18B8">
        <w:t>Bahrick</w:t>
      </w:r>
      <w:proofErr w:type="spellEnd"/>
      <w:r w:rsidR="005E18B8">
        <w:t xml:space="preserve"> et al., 1975; Ritchie et al., 2015</w:t>
      </w:r>
      <w:r w:rsidR="00D8442E">
        <w:t>; but see Devue, Wride, &amp; Grimshaw, 2019</w:t>
      </w:r>
      <w:r w:rsidR="005E18B8">
        <w:t>). In contrast, the recognition of unfamiliar faces is relatively fragile: performance is highly sensitive to changes in appearance, viewpoint, and context, and even multiple encounters often fail to produce stable identity representations (Baker et al., 2017; Bruce et al., 1999; Liu et al., 2015; Young</w:t>
      </w:r>
      <w:r w:rsidR="001658CB">
        <w:t xml:space="preserve"> &amp; Burton</w:t>
      </w:r>
      <w:r w:rsidR="005E18B8">
        <w:t xml:space="preserve">, 2017). This </w:t>
      </w:r>
      <w:r w:rsidR="00407EA1">
        <w:t>asym</w:t>
      </w:r>
      <w:r w:rsidR="00553704">
        <w:t>m</w:t>
      </w:r>
      <w:r w:rsidR="00407EA1">
        <w:t>etry</w:t>
      </w:r>
      <w:r w:rsidR="00D8442E">
        <w:t xml:space="preserve"> </w:t>
      </w:r>
      <w:r w:rsidR="005E18B8">
        <w:t xml:space="preserve">between familiar and unfamiliar face recognition </w:t>
      </w:r>
      <w:r w:rsidR="002A7E3F">
        <w:t xml:space="preserve">performance </w:t>
      </w:r>
      <w:r w:rsidR="005E18B8">
        <w:t>highlights the central role of face learning in enabling reliable person identification.</w:t>
      </w:r>
    </w:p>
    <w:p w14:paraId="6AF07ECC" w14:textId="5FE5CB4F" w:rsidR="00E15E35" w:rsidRDefault="00E15E35" w:rsidP="00D10726">
      <w:r>
        <w:t xml:space="preserve">A dominant theoretical view </w:t>
      </w:r>
      <w:r w:rsidR="0020749A">
        <w:t xml:space="preserve">holds </w:t>
      </w:r>
      <w:r>
        <w:t>that face learning involves building a stable identity representation by integrating information across multiple encounters</w:t>
      </w:r>
      <w:r w:rsidR="00835E44">
        <w:t xml:space="preserve"> </w:t>
      </w:r>
      <w:r w:rsidR="00B4151D">
        <w:t xml:space="preserve">(Bruce &amp; Young, 1986; Burton, 2013). </w:t>
      </w:r>
      <w:r w:rsidR="0020749A">
        <w:t>From this perspective</w:t>
      </w:r>
      <w:r w:rsidR="00B4151D">
        <w:t xml:space="preserve">, learning </w:t>
      </w:r>
      <w:r w:rsidR="006C4E47">
        <w:t>reflects</w:t>
      </w:r>
      <w:r w:rsidR="00B4151D">
        <w:t xml:space="preserve"> the integration—or averaging—of variable instances of the same </w:t>
      </w:r>
      <w:r w:rsidR="0020749A">
        <w:t>individual</w:t>
      </w:r>
      <w:r w:rsidR="006C4E47">
        <w:t xml:space="preserve">, </w:t>
      </w:r>
      <w:r w:rsidR="00835E44">
        <w:t xml:space="preserve">thereby </w:t>
      </w:r>
      <w:r w:rsidR="0020749A">
        <w:t xml:space="preserve">enabling </w:t>
      </w:r>
      <w:r w:rsidR="00B4151D">
        <w:t>observers to extract identity-diagnostic information while discounting incidental</w:t>
      </w:r>
      <w:r w:rsidR="0020749A">
        <w:t>,</w:t>
      </w:r>
      <w:r w:rsidR="00B4151D">
        <w:t xml:space="preserve"> image-specific features. Consistent with this </w:t>
      </w:r>
      <w:r w:rsidR="006C4E47">
        <w:t>account</w:t>
      </w:r>
      <w:r w:rsidR="00B4151D">
        <w:t xml:space="preserve">, a large body of laboratory research </w:t>
      </w:r>
      <w:r w:rsidR="0020749A">
        <w:t>shows</w:t>
      </w:r>
      <w:r w:rsidR="00B4151D">
        <w:t xml:space="preserve"> that exposure to </w:t>
      </w:r>
      <w:r w:rsidR="00341067">
        <w:t>highly variable images</w:t>
      </w:r>
      <w:r w:rsidR="00B4151D">
        <w:t>—</w:t>
      </w:r>
      <w:r w:rsidR="0020749A">
        <w:t>differing</w:t>
      </w:r>
      <w:r w:rsidR="00B4151D">
        <w:t xml:space="preserve"> in hairstyle, </w:t>
      </w:r>
      <w:r w:rsidR="00341067">
        <w:t>accessories, expression, viewpoint, quality, background or</w:t>
      </w:r>
      <w:r w:rsidR="00B4151D">
        <w:t xml:space="preserve"> </w:t>
      </w:r>
      <w:r w:rsidR="00341067">
        <w:t>camera lens</w:t>
      </w:r>
      <w:r w:rsidR="00B4151D">
        <w:t xml:space="preserve">—can improve subsequent recognition performance relative to exposure to </w:t>
      </w:r>
      <w:r w:rsidR="0020749A">
        <w:t>less variable images</w:t>
      </w:r>
      <w:r w:rsidR="00B4151D">
        <w:t xml:space="preserve"> (</w:t>
      </w:r>
      <w:r w:rsidR="00FD5E90">
        <w:t xml:space="preserve">Baker et al., 2017; Kho et al., 2025; </w:t>
      </w:r>
      <w:r w:rsidR="00B4151D">
        <w:t xml:space="preserve">Liu et al., 2015; Murphy et al., 2015; Ritchie &amp; Burton, 2017). </w:t>
      </w:r>
      <w:r>
        <w:t xml:space="preserve">However, </w:t>
      </w:r>
      <w:r w:rsidR="006C4E47">
        <w:t xml:space="preserve">this </w:t>
      </w:r>
      <w:r w:rsidR="006C4E47">
        <w:lastRenderedPageBreak/>
        <w:t>advantage is not uniform: effects</w:t>
      </w:r>
      <w:r>
        <w:t xml:space="preserve"> can be modest </w:t>
      </w:r>
      <w:r w:rsidR="006C4E47">
        <w:t>or absent under certain conditions or populations</w:t>
      </w:r>
      <w:r>
        <w:t xml:space="preserve"> (e.g.</w:t>
      </w:r>
      <w:r w:rsidR="006C4E47">
        <w:t xml:space="preserve"> </w:t>
      </w:r>
      <w:r>
        <w:t>Baker et al., 2017</w:t>
      </w:r>
      <w:r w:rsidR="006C4E47">
        <w:t>; Ritchie &amp; Burton, 2017</w:t>
      </w:r>
      <w:r>
        <w:t>)</w:t>
      </w:r>
      <w:r w:rsidR="006C4E47">
        <w:t xml:space="preserve">, and other findings </w:t>
      </w:r>
      <w:r w:rsidR="00492C39">
        <w:t xml:space="preserve">suggest </w:t>
      </w:r>
      <w:r>
        <w:t>that stability in appearance may also support</w:t>
      </w:r>
      <w:r w:rsidR="00341067">
        <w:t xml:space="preserve"> early</w:t>
      </w:r>
      <w:r>
        <w:t xml:space="preserve"> </w:t>
      </w:r>
      <w:r w:rsidR="006C4E47">
        <w:t xml:space="preserve">stages of </w:t>
      </w:r>
      <w:r>
        <w:t>learning</w:t>
      </w:r>
      <w:r w:rsidR="00341067">
        <w:t xml:space="preserve"> </w:t>
      </w:r>
      <w:r w:rsidR="00492C39">
        <w:t>(Devue &amp; de Sena, 2023)</w:t>
      </w:r>
      <w:r w:rsidR="00C10B18">
        <w:t xml:space="preserve">. </w:t>
      </w:r>
      <w:r w:rsidR="00835E44">
        <w:t xml:space="preserve">Taken together, these findings suggest that variability is not uniformly beneficial, highlighting </w:t>
      </w:r>
      <w:r w:rsidR="006C4E47">
        <w:t>the need to isolate specific sources of variation and examine how they interact with learning context. In this regard</w:t>
      </w:r>
      <w:r>
        <w:t xml:space="preserve">, Devue and de Sena (2023) proposed a </w:t>
      </w:r>
      <w:r w:rsidR="00C20FD5">
        <w:t xml:space="preserve">cost-efficient </w:t>
      </w:r>
      <w:r w:rsidR="006C4E47">
        <w:t xml:space="preserve">account of </w:t>
      </w:r>
      <w:r w:rsidR="00C20FD5">
        <w:t xml:space="preserve">face learning </w:t>
      </w:r>
      <w:r w:rsidR="006C4E47">
        <w:t xml:space="preserve">in which familiarity emerges through the </w:t>
      </w:r>
      <w:r w:rsidR="00C20FD5">
        <w:t xml:space="preserve">parsimonious </w:t>
      </w:r>
      <w:r w:rsidR="00341067">
        <w:t xml:space="preserve">extraction </w:t>
      </w:r>
      <w:r w:rsidR="00C20FD5">
        <w:t xml:space="preserve">of diagnostic facial features </w:t>
      </w:r>
      <w:r w:rsidR="00835E44">
        <w:t>following</w:t>
      </w:r>
      <w:r w:rsidR="006C4E47">
        <w:t xml:space="preserve"> </w:t>
      </w:r>
      <w:r w:rsidR="00C20FD5">
        <w:t xml:space="preserve">a coarse-to-fine </w:t>
      </w:r>
      <w:r w:rsidR="00492C39">
        <w:t>encoding</w:t>
      </w:r>
      <w:r w:rsidR="006C4E47">
        <w:t xml:space="preserve"> process</w:t>
      </w:r>
      <w:r w:rsidR="00835E44">
        <w:t xml:space="preserve">. </w:t>
      </w:r>
      <w:r w:rsidR="002A7E3F">
        <w:t>This process would be modulated by idiosyncratic facial characteristics such as a person’s tendency to change their facial appearance across e</w:t>
      </w:r>
      <w:r w:rsidR="00100BC6">
        <w:t>n</w:t>
      </w:r>
      <w:r w:rsidR="002A7E3F">
        <w:t xml:space="preserve">counters. </w:t>
      </w:r>
      <w:r w:rsidR="00835E44">
        <w:t>This framework</w:t>
      </w:r>
      <w:r w:rsidR="006C4E47">
        <w:t xml:space="preserve"> </w:t>
      </w:r>
      <w:r w:rsidR="00100BC6">
        <w:t xml:space="preserve">therefore </w:t>
      </w:r>
      <w:r w:rsidR="006C4E47">
        <w:t>explicitly motivat</w:t>
      </w:r>
      <w:r w:rsidR="00835E44">
        <w:t>es</w:t>
      </w:r>
      <w:r>
        <w:t xml:space="preserve"> </w:t>
      </w:r>
      <w:r w:rsidR="00540075">
        <w:t xml:space="preserve">the </w:t>
      </w:r>
      <w:r w:rsidR="006C4E47">
        <w:t>development</w:t>
      </w:r>
      <w:r w:rsidR="00540075">
        <w:t xml:space="preserve"> of</w:t>
      </w:r>
      <w:r>
        <w:t xml:space="preserve"> controlled materials to</w:t>
      </w:r>
      <w:r w:rsidR="00540075">
        <w:t xml:space="preserve"> isola</w:t>
      </w:r>
      <w:r w:rsidR="00407EA1">
        <w:t>te different types of variation</w:t>
      </w:r>
      <w:r w:rsidR="00100BC6">
        <w:t>, including facial appearance, in order to</w:t>
      </w:r>
      <w:r>
        <w:t xml:space="preserve"> </w:t>
      </w:r>
      <w:r w:rsidR="006C4E47">
        <w:t xml:space="preserve">determine </w:t>
      </w:r>
      <w:r>
        <w:t xml:space="preserve">which </w:t>
      </w:r>
      <w:r w:rsidR="00540075">
        <w:t>ones</w:t>
      </w:r>
      <w:r>
        <w:t xml:space="preserve"> matter, when, and why.</w:t>
      </w:r>
    </w:p>
    <w:p w14:paraId="59426DE7" w14:textId="0171C49A" w:rsidR="00744B4D" w:rsidRDefault="00835E44" w:rsidP="00D10726">
      <w:r>
        <w:t>Addressing this challenge</w:t>
      </w:r>
      <w:r w:rsidR="00C10B18">
        <w:t xml:space="preserve">, </w:t>
      </w:r>
      <w:r w:rsidR="002A7E3F">
        <w:t xml:space="preserve">while </w:t>
      </w:r>
      <w:r w:rsidR="00A42C17">
        <w:t>bridg</w:t>
      </w:r>
      <w:r w:rsidR="00C10B18">
        <w:t>ing</w:t>
      </w:r>
      <w:r w:rsidR="00A42C17">
        <w:t xml:space="preserve"> the gap between laboratory findings and real-world face learning</w:t>
      </w:r>
      <w:r w:rsidR="002A7E3F">
        <w:t>,</w:t>
      </w:r>
      <w:r w:rsidR="00E20F24">
        <w:t xml:space="preserve"> requires </w:t>
      </w:r>
      <w:r w:rsidR="00C10B18">
        <w:t xml:space="preserve">facial stimuli that combine ecological </w:t>
      </w:r>
      <w:r w:rsidR="00407EA1">
        <w:t>validi</w:t>
      </w:r>
      <w:r w:rsidR="00C10B18">
        <w:t xml:space="preserve">ty with tight experimental control. </w:t>
      </w:r>
      <w:r w:rsidR="00E20F24">
        <w:t xml:space="preserve">To </w:t>
      </w:r>
      <w:r>
        <w:t>this end</w:t>
      </w:r>
      <w:r w:rsidR="00744B4D">
        <w:t xml:space="preserve">, we </w:t>
      </w:r>
      <w:r w:rsidR="00407EA1">
        <w:t>developed</w:t>
      </w:r>
      <w:r w:rsidR="00E20F24">
        <w:t xml:space="preserve"> </w:t>
      </w:r>
      <w:r w:rsidR="00C10B18">
        <w:t xml:space="preserve">the </w:t>
      </w:r>
      <w:r w:rsidR="00F71D4B">
        <w:t>Dynamic and Image Variation Archive (DIVA-Face)</w:t>
      </w:r>
      <w:r w:rsidR="00EE0F0D">
        <w:t xml:space="preserve">, </w:t>
      </w:r>
      <w:r w:rsidR="00C10B18">
        <w:t xml:space="preserve">a stimulus database that systematically manipulates appearance variability while </w:t>
      </w:r>
      <w:r w:rsidR="00A81647">
        <w:t>controlling</w:t>
      </w:r>
      <w:r w:rsidR="00C10B18">
        <w:t xml:space="preserve"> display conditions</w:t>
      </w:r>
      <w:r w:rsidR="00EC0AFB">
        <w:t>. I</w:t>
      </w:r>
      <w:r w:rsidR="00C10B18">
        <w:t xml:space="preserve">mportantly, </w:t>
      </w:r>
      <w:r w:rsidR="00E20F24">
        <w:t>the database includes</w:t>
      </w:r>
      <w:r w:rsidR="00C10B18">
        <w:t xml:space="preserve"> dynamic information</w:t>
      </w:r>
      <w:r w:rsidR="00EC0AFB">
        <w:t xml:space="preserve"> </w:t>
      </w:r>
      <w:r w:rsidR="00407EA1">
        <w:t>through</w:t>
      </w:r>
      <w:r w:rsidR="00EC0AFB">
        <w:t xml:space="preserve"> short video clips</w:t>
      </w:r>
      <w:r w:rsidR="00A81647">
        <w:t xml:space="preserve"> that </w:t>
      </w:r>
      <w:r w:rsidR="00E20F24">
        <w:t>more closely</w:t>
      </w:r>
      <w:r w:rsidR="00A81647">
        <w:t xml:space="preserve"> approximate</w:t>
      </w:r>
      <w:r w:rsidR="00C10B18">
        <w:t xml:space="preserve"> everyday encounters</w:t>
      </w:r>
      <w:r w:rsidR="00EC0AFB">
        <w:t xml:space="preserve"> than static images</w:t>
      </w:r>
      <w:r w:rsidR="00C10B18">
        <w:t>.</w:t>
      </w:r>
      <w:r w:rsidR="00EC0AFB">
        <w:t xml:space="preserve"> </w:t>
      </w:r>
      <w:r w:rsidR="00C7582A">
        <w:t xml:space="preserve">These </w:t>
      </w:r>
      <w:r w:rsidR="00E20F24">
        <w:t>clips capture</w:t>
      </w:r>
      <w:r w:rsidR="00A81647">
        <w:t xml:space="preserve"> </w:t>
      </w:r>
      <w:r w:rsidR="00C7582A">
        <w:t xml:space="preserve">natural </w:t>
      </w:r>
      <w:r w:rsidR="00A81647">
        <w:t xml:space="preserve">head and facial </w:t>
      </w:r>
      <w:r w:rsidR="00C7582A">
        <w:t>movements</w:t>
      </w:r>
      <w:r w:rsidR="00A81647">
        <w:t xml:space="preserve"> as well as hand gestures</w:t>
      </w:r>
      <w:r w:rsidR="00C7582A">
        <w:t xml:space="preserve">, providing rich temporal and motion cues. Such dynamic information has been shown to </w:t>
      </w:r>
      <w:r w:rsidR="00E20F24">
        <w:t xml:space="preserve">facilitate </w:t>
      </w:r>
      <w:r w:rsidR="00C7582A">
        <w:t xml:space="preserve">identity learning and recognition, </w:t>
      </w:r>
      <w:r w:rsidR="00E20F24">
        <w:t>th</w:t>
      </w:r>
      <w:r w:rsidR="00407EA1">
        <w:t>e</w:t>
      </w:r>
      <w:r w:rsidR="00E20F24">
        <w:t xml:space="preserve">reby </w:t>
      </w:r>
      <w:r w:rsidR="00E20F24">
        <w:lastRenderedPageBreak/>
        <w:t>enhancing</w:t>
      </w:r>
      <w:r w:rsidR="00C7582A">
        <w:t xml:space="preserve"> the ecological validity and </w:t>
      </w:r>
      <w:r w:rsidR="00BE2533">
        <w:t xml:space="preserve">the practical </w:t>
      </w:r>
      <w:r w:rsidR="00C7582A">
        <w:t xml:space="preserve">applicability of the database </w:t>
      </w:r>
      <w:r w:rsidR="00BE2533">
        <w:t>in</w:t>
      </w:r>
      <w:r w:rsidR="00C7582A">
        <w:t xml:space="preserve"> experimental and applied contexts (</w:t>
      </w:r>
      <w:r w:rsidR="00D07BF4">
        <w:t>e.g., Knight &amp; Johnston, 1997; Lander &amp; Davies, 2007; O’Toole et al., 2002</w:t>
      </w:r>
      <w:r w:rsidR="00C7582A">
        <w:t>).</w:t>
      </w:r>
    </w:p>
    <w:p w14:paraId="7B7E9F74" w14:textId="4CB7EBDE" w:rsidR="00744B4D" w:rsidRDefault="00A81647" w:rsidP="00D10726">
      <w:r>
        <w:t xml:space="preserve">Concretely, </w:t>
      </w:r>
      <w:r w:rsidR="00DE4298">
        <w:t xml:space="preserve">the </w:t>
      </w:r>
      <w:r w:rsidR="00F71D4B">
        <w:t xml:space="preserve">DIVA-Face </w:t>
      </w:r>
      <w:r w:rsidR="00744B4D">
        <w:t xml:space="preserve">consists of </w:t>
      </w:r>
      <w:r>
        <w:t xml:space="preserve">8,064 </w:t>
      </w:r>
      <w:r w:rsidR="00744B4D">
        <w:t xml:space="preserve">videos and </w:t>
      </w:r>
      <w:r>
        <w:t xml:space="preserve">2,016 </w:t>
      </w:r>
      <w:r w:rsidR="00744B4D">
        <w:t xml:space="preserve">still images of eight actresses </w:t>
      </w:r>
      <w:r>
        <w:t xml:space="preserve">captured </w:t>
      </w:r>
      <w:r w:rsidR="00744B4D">
        <w:t xml:space="preserve">under systematically controlled appearance and </w:t>
      </w:r>
      <w:r>
        <w:t xml:space="preserve">viewing </w:t>
      </w:r>
      <w:r w:rsidR="00744B4D">
        <w:t xml:space="preserve">conditions. Each identity </w:t>
      </w:r>
      <w:r w:rsidR="001A67F5">
        <w:t xml:space="preserve">was recorded </w:t>
      </w:r>
      <w:r w:rsidR="00B56360">
        <w:t>while wearing</w:t>
      </w:r>
      <w:r w:rsidR="001A67F5">
        <w:t xml:space="preserve"> a balaclava covering </w:t>
      </w:r>
      <w:r w:rsidR="00407EA1">
        <w:t xml:space="preserve">the </w:t>
      </w:r>
      <w:r w:rsidR="001A67F5">
        <w:t>hair and ears</w:t>
      </w:r>
      <w:r w:rsidR="00407EA1">
        <w:t xml:space="preserve"> and paired </w:t>
      </w:r>
      <w:r w:rsidR="001A67F5">
        <w:t xml:space="preserve">with </w:t>
      </w:r>
      <w:r w:rsidR="00744B4D">
        <w:t xml:space="preserve">six different wigs. </w:t>
      </w:r>
      <w:r w:rsidR="00882578">
        <w:t>From th</w:t>
      </w:r>
      <w:r w:rsidR="00B56360">
        <w:t>ese elements</w:t>
      </w:r>
      <w:r w:rsidR="00882578">
        <w:t xml:space="preserve">, a </w:t>
      </w:r>
      <w:r w:rsidR="001A67F5">
        <w:t xml:space="preserve">standardized </w:t>
      </w:r>
      <w:r w:rsidR="00B56360">
        <w:t>set</w:t>
      </w:r>
      <w:r w:rsidR="001A67F5">
        <w:t xml:space="preserve"> of 28 appearances was created</w:t>
      </w:r>
      <w:r w:rsidR="00B56360">
        <w:t>,</w:t>
      </w:r>
      <w:r w:rsidR="00882578">
        <w:t xml:space="preserve"> incorporating</w:t>
      </w:r>
      <w:r w:rsidR="00744B4D">
        <w:t xml:space="preserve"> no addition</w:t>
      </w:r>
      <w:r w:rsidR="00882578">
        <w:t>al features</w:t>
      </w:r>
      <w:r w:rsidR="00744B4D">
        <w:t>, lipstick, glasses, both lipstick and glasses</w:t>
      </w:r>
      <w:r w:rsidR="001A67F5">
        <w:t xml:space="preserve">, </w:t>
      </w:r>
      <w:r w:rsidR="00882578">
        <w:t xml:space="preserve">or </w:t>
      </w:r>
      <w:r w:rsidR="00B56360">
        <w:t xml:space="preserve">a low ponytail secured with </w:t>
      </w:r>
      <w:r w:rsidR="001A67F5">
        <w:t xml:space="preserve">a </w:t>
      </w:r>
      <w:r w:rsidR="00882578">
        <w:t>hair tie</w:t>
      </w:r>
      <w:r w:rsidR="00744B4D">
        <w:t xml:space="preserve">. Each </w:t>
      </w:r>
      <w:r w:rsidR="00882578">
        <w:t>appearance</w:t>
      </w:r>
      <w:r w:rsidR="00744B4D">
        <w:t xml:space="preserve"> was </w:t>
      </w:r>
      <w:r w:rsidR="00882578">
        <w:t xml:space="preserve">recorded </w:t>
      </w:r>
      <w:r w:rsidR="00744B4D">
        <w:t xml:space="preserve">while the actress performed twelve distinct actions under three different lighting directions (frontal, leftward, and rightward). </w:t>
      </w:r>
      <w:r>
        <w:t>T</w:t>
      </w:r>
      <w:r w:rsidR="00744B4D">
        <w:t>hree photo</w:t>
      </w:r>
      <w:r w:rsidR="00B56360">
        <w:t>graphs</w:t>
      </w:r>
      <w:r w:rsidR="00744B4D">
        <w:t xml:space="preserve"> were also taken from different angles (frontal, ¾ left, and ¾ right)</w:t>
      </w:r>
      <w:r>
        <w:t xml:space="preserve"> </w:t>
      </w:r>
      <w:r w:rsidR="00B56360">
        <w:t>for every</w:t>
      </w:r>
      <w:r>
        <w:t xml:space="preserve"> combination of appearance and lighting</w:t>
      </w:r>
      <w:r w:rsidR="00744B4D">
        <w:t>.</w:t>
      </w:r>
    </w:p>
    <w:p w14:paraId="21CEE2F3" w14:textId="50C45CA3" w:rsidR="006362B6" w:rsidRDefault="00744B4D" w:rsidP="00D10726">
      <w:r>
        <w:t xml:space="preserve">The selection and grouping of wigs and actresses were based on two pretests </w:t>
      </w:r>
      <w:r w:rsidR="00B56360">
        <w:t xml:space="preserve">designed </w:t>
      </w:r>
      <w:r>
        <w:t xml:space="preserve">to ensure balanced visual characteristics and minimize confounds. </w:t>
      </w:r>
      <w:r w:rsidR="00B56360">
        <w:t>In</w:t>
      </w:r>
      <w:r>
        <w:t xml:space="preserve"> the wig pretest, participants rated </w:t>
      </w:r>
      <w:r w:rsidR="00B56360">
        <w:t>the</w:t>
      </w:r>
      <w:r>
        <w:t xml:space="preserve"> distinctiveness and pairwise similarity</w:t>
      </w:r>
      <w:r w:rsidR="007D3BA5">
        <w:t xml:space="preserve"> of </w:t>
      </w:r>
      <w:r w:rsidR="00407EA1">
        <w:t>26</w:t>
      </w:r>
      <w:r w:rsidR="007D3BA5">
        <w:t xml:space="preserve"> wigs</w:t>
      </w:r>
      <w:r>
        <w:t xml:space="preserve">. </w:t>
      </w:r>
      <w:r w:rsidR="007D3BA5">
        <w:t>Based on th</w:t>
      </w:r>
      <w:r w:rsidR="00B56360">
        <w:t>ese ratings</w:t>
      </w:r>
      <w:r w:rsidR="007D3BA5">
        <w:t>, f</w:t>
      </w:r>
      <w:r>
        <w:t xml:space="preserve">our groups of six wigs </w:t>
      </w:r>
      <w:r w:rsidR="00B56360">
        <w:t xml:space="preserve">were created to </w:t>
      </w:r>
      <w:r>
        <w:t xml:space="preserve">balance average similarity </w:t>
      </w:r>
      <w:r w:rsidR="00661AB4">
        <w:t xml:space="preserve">(i.e. three </w:t>
      </w:r>
      <w:r w:rsidR="00B56360">
        <w:t xml:space="preserve">relatively </w:t>
      </w:r>
      <w:r w:rsidR="00661AB4">
        <w:t xml:space="preserve">similar </w:t>
      </w:r>
      <w:r w:rsidR="007D3BA5">
        <w:t xml:space="preserve">and three </w:t>
      </w:r>
      <w:r w:rsidR="00B56360">
        <w:t>more distinct hairstyle</w:t>
      </w:r>
      <w:r w:rsidR="00407EA1">
        <w:t>s</w:t>
      </w:r>
      <w:r w:rsidR="00B56360">
        <w:t xml:space="preserve"> per</w:t>
      </w:r>
      <w:r w:rsidR="007D3BA5">
        <w:t xml:space="preserve"> group</w:t>
      </w:r>
      <w:r w:rsidR="00661AB4">
        <w:t>)</w:t>
      </w:r>
      <w:r w:rsidR="007D3BA5">
        <w:t>,</w:t>
      </w:r>
      <w:r>
        <w:t xml:space="preserve"> </w:t>
      </w:r>
      <w:r w:rsidR="007D3BA5">
        <w:t xml:space="preserve">average </w:t>
      </w:r>
      <w:r>
        <w:t>distinctiveness</w:t>
      </w:r>
      <w:r w:rsidR="007D3BA5">
        <w:t xml:space="preserve"> (i.e. including two wigs with higher distinctiveness ratings per group),</w:t>
      </w:r>
      <w:r w:rsidR="00837B10">
        <w:t xml:space="preserve"> </w:t>
      </w:r>
      <w:r w:rsidR="007D3BA5">
        <w:t xml:space="preserve">while </w:t>
      </w:r>
      <w:r w:rsidR="00B56360">
        <w:t>maintaining a</w:t>
      </w:r>
      <w:r w:rsidR="00661AB4">
        <w:t xml:space="preserve"> balanced </w:t>
      </w:r>
      <w:r w:rsidR="007D3BA5">
        <w:t xml:space="preserve">range </w:t>
      </w:r>
      <w:r w:rsidR="00661AB4">
        <w:t xml:space="preserve">of </w:t>
      </w:r>
      <w:r w:rsidR="0AD503CD">
        <w:t xml:space="preserve">hair lengths and styles </w:t>
      </w:r>
      <w:r w:rsidR="007D3BA5">
        <w:t xml:space="preserve">within </w:t>
      </w:r>
      <w:r w:rsidR="00BE2533">
        <w:t xml:space="preserve">each </w:t>
      </w:r>
      <w:r w:rsidR="007D3BA5">
        <w:t>group</w:t>
      </w:r>
      <w:r>
        <w:t xml:space="preserve">. </w:t>
      </w:r>
      <w:r w:rsidR="00B56360">
        <w:t>In</w:t>
      </w:r>
      <w:r>
        <w:t xml:space="preserve"> the actress pretest, </w:t>
      </w:r>
      <w:r w:rsidR="00BE2533">
        <w:t>independent</w:t>
      </w:r>
      <w:r w:rsidR="00B8002D">
        <w:t xml:space="preserve"> judges rated </w:t>
      </w:r>
      <w:r w:rsidR="00B56360">
        <w:t xml:space="preserve">the </w:t>
      </w:r>
      <w:r w:rsidR="00B8002D">
        <w:t xml:space="preserve">similarity and distinctiveness of </w:t>
      </w:r>
      <w:r w:rsidR="00E46A8A">
        <w:t>twelve</w:t>
      </w:r>
      <w:r>
        <w:t xml:space="preserve"> actresses</w:t>
      </w:r>
      <w:r w:rsidR="00B56360">
        <w:t>’ facial features</w:t>
      </w:r>
      <w:r w:rsidR="007D3BA5">
        <w:t xml:space="preserve">. Four </w:t>
      </w:r>
      <w:r w:rsidR="00B8002D">
        <w:t>actresses</w:t>
      </w:r>
      <w:r>
        <w:t xml:space="preserve"> </w:t>
      </w:r>
      <w:r w:rsidR="00B56360">
        <w:t xml:space="preserve">with extreme scores </w:t>
      </w:r>
      <w:r>
        <w:t>were excluded</w:t>
      </w:r>
      <w:r w:rsidR="00B56360">
        <w:t>,</w:t>
      </w:r>
      <w:r>
        <w:t xml:space="preserve"> and the </w:t>
      </w:r>
      <w:r>
        <w:lastRenderedPageBreak/>
        <w:t xml:space="preserve">remaining eight were paired into four groups matched </w:t>
      </w:r>
      <w:r w:rsidR="007D3BA5">
        <w:t xml:space="preserve">on </w:t>
      </w:r>
      <w:r>
        <w:t xml:space="preserve">both dimensions. </w:t>
      </w:r>
      <w:r w:rsidR="001A67F5">
        <w:t>Each</w:t>
      </w:r>
      <w:r w:rsidR="00B8002D">
        <w:t xml:space="preserve"> wig set was then assigned to a </w:t>
      </w:r>
      <w:r w:rsidR="001A67F5">
        <w:t>pair of actresses</w:t>
      </w:r>
      <w:r w:rsidR="00B8002D">
        <w:t>, who were</w:t>
      </w:r>
      <w:r w:rsidR="00E94A8B">
        <w:t xml:space="preserve"> both</w:t>
      </w:r>
      <w:r w:rsidR="001A67F5">
        <w:t xml:space="preserve"> filmed and photographed </w:t>
      </w:r>
      <w:r w:rsidR="00B8002D">
        <w:t xml:space="preserve">under </w:t>
      </w:r>
      <w:r w:rsidR="001A67F5">
        <w:t xml:space="preserve">the conditions described above. </w:t>
      </w:r>
      <w:r>
        <w:t xml:space="preserve">Within each pair, the actresses can serve as each other’s target and foil, enabling controlled comparisons </w:t>
      </w:r>
      <w:r w:rsidR="00B8002D">
        <w:t xml:space="preserve">both </w:t>
      </w:r>
      <w:r>
        <w:t>within and across groups.</w:t>
      </w:r>
      <w:r w:rsidR="00BA74A7">
        <w:t xml:space="preserve"> </w:t>
      </w:r>
      <w:r w:rsidR="00BE2533">
        <w:t>Overall</w:t>
      </w:r>
      <w:r w:rsidR="00E94A8B">
        <w:t>, the</w:t>
      </w:r>
      <w:r>
        <w:t xml:space="preserve"> database allows researchers to manipulate multiple sources of appearance variability—including hairstyle, makeup, accessories, lighting, and movement—while maintaining internal consistency across identities and conditions.</w:t>
      </w:r>
    </w:p>
    <w:p w14:paraId="07DD2409" w14:textId="028BAA9F" w:rsidR="00BA74A7" w:rsidRDefault="00BA74A7" w:rsidP="00D10726">
      <w:r>
        <w:t xml:space="preserve">To validate the usability and experimental flexibility of the database, we conducted a study </w:t>
      </w:r>
      <w:r w:rsidR="0050593A">
        <w:t xml:space="preserve">using </w:t>
      </w:r>
      <w:r>
        <w:t xml:space="preserve">a subset of the </w:t>
      </w:r>
      <w:r w:rsidR="0050593A">
        <w:t xml:space="preserve">stimuli </w:t>
      </w:r>
      <w:r>
        <w:t xml:space="preserve">in an incidental face learning paradigm. The aim was to </w:t>
      </w:r>
      <w:r w:rsidR="00F53DD1">
        <w:t xml:space="preserve">test </w:t>
      </w:r>
      <w:r>
        <w:t xml:space="preserve">whether controlled appearance variability in </w:t>
      </w:r>
      <w:r w:rsidR="0050593A">
        <w:t xml:space="preserve">these </w:t>
      </w:r>
      <w:r>
        <w:t xml:space="preserve">video-based stimuli would </w:t>
      </w:r>
      <w:r w:rsidR="0050593A">
        <w:t xml:space="preserve">yield the </w:t>
      </w:r>
      <w:r>
        <w:t>expected patterns of face</w:t>
      </w:r>
      <w:r w:rsidR="00B1164D">
        <w:t xml:space="preserve"> </w:t>
      </w:r>
      <w:r>
        <w:t>recognition performance under</w:t>
      </w:r>
      <w:r w:rsidR="0050593A">
        <w:t xml:space="preserve"> </w:t>
      </w:r>
      <w:r>
        <w:t>standardized conditions. The study design and analysis plan were preregistered on the Open Science Framework (</w:t>
      </w:r>
      <w:hyperlink r:id="rId15">
        <w:r w:rsidR="00B1164D" w:rsidRPr="6EAF557D">
          <w:rPr>
            <w:rStyle w:val="Hyperlink"/>
          </w:rPr>
          <w:t>https://osf.io/wezxs/</w:t>
        </w:r>
      </w:hyperlink>
      <w:r w:rsidR="00B1164D">
        <w:t>)</w:t>
      </w:r>
      <w:r>
        <w:t xml:space="preserve">. </w:t>
      </w:r>
      <w:r w:rsidR="0050593A">
        <w:t>The r</w:t>
      </w:r>
      <w:r>
        <w:t xml:space="preserve">esults </w:t>
      </w:r>
      <w:r w:rsidR="0050593A">
        <w:t xml:space="preserve">provide </w:t>
      </w:r>
      <w:r w:rsidR="00407EA1">
        <w:t>empirical</w:t>
      </w:r>
      <w:r w:rsidR="0050593A">
        <w:t xml:space="preserve"> evidence </w:t>
      </w:r>
      <w:r>
        <w:t xml:space="preserve">that the database </w:t>
      </w:r>
      <w:r w:rsidR="00BE2533">
        <w:t>supports controlled manipulations of facial appearance and enables rigorous</w:t>
      </w:r>
      <w:r>
        <w:t xml:space="preserve"> behavioral investigations of face learning and recognition.</w:t>
      </w:r>
    </w:p>
    <w:p w14:paraId="6E07DB8C" w14:textId="365C8F12" w:rsidR="004226A3" w:rsidRDefault="23C4AAA5" w:rsidP="00D10726">
      <w:pPr>
        <w:pStyle w:val="Heading1"/>
        <w:jc w:val="center"/>
      </w:pPr>
      <w:r>
        <w:t xml:space="preserve">Database </w:t>
      </w:r>
      <w:r w:rsidR="008C25B9">
        <w:t>development</w:t>
      </w:r>
    </w:p>
    <w:p w14:paraId="7B7D6858" w14:textId="35577D5A" w:rsidR="004226A3" w:rsidRDefault="0025694E" w:rsidP="00D10726">
      <w:r>
        <w:t>Elements of</w:t>
      </w:r>
      <w:r w:rsidR="00956436">
        <w:t xml:space="preserve"> the database </w:t>
      </w:r>
      <w:r>
        <w:t>were selected and</w:t>
      </w:r>
      <w:r w:rsidR="00956436">
        <w:t xml:space="preserve"> acquired </w:t>
      </w:r>
      <w:r w:rsidR="004226A3">
        <w:t xml:space="preserve">in </w:t>
      </w:r>
      <w:r w:rsidR="00821A9E">
        <w:t>three</w:t>
      </w:r>
      <w:r w:rsidR="00BE05CF">
        <w:t xml:space="preserve"> </w:t>
      </w:r>
      <w:r w:rsidR="004226A3">
        <w:t>stages</w:t>
      </w:r>
      <w:r w:rsidR="00956436">
        <w:t xml:space="preserve"> before </w:t>
      </w:r>
      <w:r>
        <w:t xml:space="preserve">the final standardization of obtained </w:t>
      </w:r>
      <w:r w:rsidR="00956436">
        <w:t>videos</w:t>
      </w:r>
      <w:r>
        <w:t xml:space="preserve"> and images</w:t>
      </w:r>
      <w:r w:rsidR="004226A3">
        <w:t xml:space="preserve">. First, a pretest was conducted to </w:t>
      </w:r>
      <w:r w:rsidR="00BE05CF">
        <w:t xml:space="preserve">select 24 </w:t>
      </w:r>
      <w:r w:rsidR="004226A3">
        <w:t>wigs</w:t>
      </w:r>
      <w:r w:rsidR="00BE05CF">
        <w:t xml:space="preserve"> amongst a set of 26 and group them </w:t>
      </w:r>
      <w:r w:rsidR="004226A3">
        <w:t xml:space="preserve">into four groups of six. </w:t>
      </w:r>
      <w:r w:rsidR="00BE05CF">
        <w:t>Second</w:t>
      </w:r>
      <w:r w:rsidR="004226A3">
        <w:t xml:space="preserve">, </w:t>
      </w:r>
      <w:r w:rsidR="00BE05CF">
        <w:t xml:space="preserve">a </w:t>
      </w:r>
      <w:r w:rsidR="004226A3">
        <w:t xml:space="preserve">pretest was conducted to </w:t>
      </w:r>
      <w:r w:rsidR="00BE05CF">
        <w:t xml:space="preserve">select eight women amongst twelve, and </w:t>
      </w:r>
      <w:r w:rsidR="004226A3">
        <w:t>form four pairs of actresses</w:t>
      </w:r>
      <w:r w:rsidR="00BE05CF">
        <w:t>. Third, a set of wigs was assigned to e</w:t>
      </w:r>
      <w:r w:rsidR="004226A3">
        <w:t xml:space="preserve">ach pair </w:t>
      </w:r>
      <w:r w:rsidR="00BE05CF">
        <w:t>of actresses</w:t>
      </w:r>
      <w:r w:rsidR="004226A3">
        <w:t xml:space="preserve">, ensuring that each </w:t>
      </w:r>
      <w:r w:rsidR="004226A3">
        <w:lastRenderedPageBreak/>
        <w:t xml:space="preserve">pair was associated with a distinct and idiosyncratic range of </w:t>
      </w:r>
      <w:r w:rsidR="00BE05CF">
        <w:t>variations in hairstyle</w:t>
      </w:r>
      <w:r w:rsidR="004226A3">
        <w:t>.</w:t>
      </w:r>
      <w:r w:rsidR="00BE05CF">
        <w:t xml:space="preserve"> </w:t>
      </w:r>
      <w:r w:rsidR="00821A9E">
        <w:t>E</w:t>
      </w:r>
      <w:r w:rsidR="004226A3">
        <w:t xml:space="preserve">ach actress was </w:t>
      </w:r>
      <w:r w:rsidR="00821A9E">
        <w:t xml:space="preserve">then </w:t>
      </w:r>
      <w:r w:rsidR="004226A3">
        <w:t>filmed and photographed under every presentation condition.</w:t>
      </w:r>
    </w:p>
    <w:p w14:paraId="7870BE7B" w14:textId="77777777" w:rsidR="004A5D29" w:rsidRDefault="004A5D29" w:rsidP="00D10726"/>
    <w:p w14:paraId="114947B4" w14:textId="77777777" w:rsidR="004A5D29" w:rsidRDefault="004A5D29" w:rsidP="004A5D29">
      <w:pPr>
        <w:ind w:firstLine="0"/>
        <w:rPr>
          <w:b/>
          <w:bCs/>
        </w:rPr>
      </w:pPr>
      <w:r w:rsidRPr="39D360CB">
        <w:rPr>
          <w:b/>
          <w:bCs/>
        </w:rPr>
        <w:t>Table 1</w:t>
      </w:r>
    </w:p>
    <w:p w14:paraId="43506DC0" w14:textId="77777777" w:rsidR="004A5D29" w:rsidRPr="00301F9D" w:rsidRDefault="004A5D29" w:rsidP="004A5D29">
      <w:pPr>
        <w:ind w:firstLine="0"/>
        <w:rPr>
          <w:i/>
          <w:iCs/>
        </w:rPr>
      </w:pPr>
      <w:r w:rsidRPr="00301F9D">
        <w:rPr>
          <w:i/>
          <w:iCs/>
        </w:rPr>
        <w:t>Mean pairwise similarity and distinctiveness ratings for wig groups and actress pairs.</w:t>
      </w:r>
    </w:p>
    <w:tbl>
      <w:tblPr>
        <w:tblW w:w="0" w:type="auto"/>
        <w:jc w:val="center"/>
        <w:tblLook w:val="06A0" w:firstRow="1" w:lastRow="0" w:firstColumn="1" w:lastColumn="0" w:noHBand="1" w:noVBand="1"/>
      </w:tblPr>
      <w:tblGrid>
        <w:gridCol w:w="1837"/>
        <w:gridCol w:w="1837"/>
        <w:gridCol w:w="1837"/>
        <w:gridCol w:w="1837"/>
      </w:tblGrid>
      <w:tr w:rsidR="004A5D29" w14:paraId="4C658117" w14:textId="77777777" w:rsidTr="00E204E7">
        <w:trPr>
          <w:trHeight w:val="154"/>
          <w:jc w:val="center"/>
        </w:trPr>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center"/>
          </w:tcPr>
          <w:p w14:paraId="7F8F42C7" w14:textId="77777777" w:rsidR="004A5D29" w:rsidRDefault="004A5D29" w:rsidP="00E204E7">
            <w:pPr>
              <w:spacing w:after="120" w:line="240" w:lineRule="auto"/>
              <w:ind w:firstLine="0"/>
              <w:jc w:val="center"/>
              <w:rPr>
                <w:rFonts w:ascii="Calibri" w:eastAsia="等线" w:hAnsi="Calibri"/>
                <w:b/>
                <w:bCs/>
                <w:color w:val="000000" w:themeColor="text1"/>
              </w:rPr>
            </w:pPr>
            <w:r w:rsidRPr="39D360CB">
              <w:rPr>
                <w:rFonts w:ascii="Calibri" w:eastAsia="等线" w:hAnsi="Calibri"/>
                <w:b/>
                <w:bCs/>
                <w:color w:val="000000" w:themeColor="text1"/>
              </w:rPr>
              <w:t>Category</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3601B8F1" w14:textId="77777777" w:rsidR="004A5D29" w:rsidRDefault="004A5D29" w:rsidP="00E204E7">
            <w:pPr>
              <w:spacing w:after="120" w:line="240" w:lineRule="auto"/>
              <w:ind w:firstLine="0"/>
              <w:jc w:val="center"/>
              <w:rPr>
                <w:rFonts w:ascii="Calibri" w:eastAsia="等线" w:hAnsi="Calibri"/>
                <w:b/>
                <w:bCs/>
                <w:color w:val="000000" w:themeColor="text1"/>
              </w:rPr>
            </w:pPr>
            <w:r w:rsidRPr="39D360CB">
              <w:rPr>
                <w:rFonts w:ascii="Calibri" w:eastAsia="等线" w:hAnsi="Calibri"/>
                <w:b/>
                <w:bCs/>
                <w:color w:val="000000" w:themeColor="text1"/>
              </w:rPr>
              <w:t>Group</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7B20B7B6" w14:textId="77777777" w:rsidR="004A5D29" w:rsidRDefault="004A5D29" w:rsidP="00E204E7">
            <w:pPr>
              <w:spacing w:after="120" w:line="240" w:lineRule="auto"/>
              <w:ind w:firstLine="0"/>
              <w:jc w:val="center"/>
              <w:rPr>
                <w:rFonts w:ascii="Calibri" w:eastAsia="等线" w:hAnsi="Calibri"/>
                <w:b/>
                <w:bCs/>
                <w:color w:val="000000" w:themeColor="text1"/>
              </w:rPr>
            </w:pPr>
            <w:r w:rsidRPr="39D360CB">
              <w:rPr>
                <w:rFonts w:ascii="Calibri" w:eastAsia="等线" w:hAnsi="Calibri"/>
                <w:b/>
                <w:bCs/>
                <w:color w:val="000000" w:themeColor="text1"/>
              </w:rPr>
              <w:t>Pairwise similarity</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3134A9DE" w14:textId="77777777" w:rsidR="004A5D29" w:rsidRDefault="004A5D29" w:rsidP="00E204E7">
            <w:pPr>
              <w:spacing w:after="120" w:line="240" w:lineRule="auto"/>
              <w:ind w:firstLine="0"/>
              <w:jc w:val="center"/>
              <w:rPr>
                <w:rFonts w:ascii="Calibri" w:eastAsia="等线" w:hAnsi="Calibri"/>
                <w:b/>
                <w:bCs/>
                <w:color w:val="000000" w:themeColor="text1"/>
              </w:rPr>
            </w:pPr>
            <w:r w:rsidRPr="39D360CB">
              <w:rPr>
                <w:rFonts w:ascii="Calibri" w:eastAsia="等线" w:hAnsi="Calibri"/>
                <w:b/>
                <w:bCs/>
                <w:color w:val="000000" w:themeColor="text1"/>
              </w:rPr>
              <w:t>Distinctiveness</w:t>
            </w:r>
          </w:p>
        </w:tc>
      </w:tr>
      <w:tr w:rsidR="004A5D29" w14:paraId="215A889D" w14:textId="77777777" w:rsidTr="00E204E7">
        <w:trPr>
          <w:trHeight w:val="406"/>
          <w:jc w:val="center"/>
        </w:trPr>
        <w:tc>
          <w:tcPr>
            <w:tcW w:w="1837" w:type="dxa"/>
            <w:vMerge w:val="restart"/>
            <w:tcBorders>
              <w:top w:val="single" w:sz="4" w:space="0" w:color="auto"/>
              <w:left w:val="single" w:sz="4" w:space="0" w:color="auto"/>
              <w:bottom w:val="single" w:sz="4" w:space="0" w:color="000000" w:themeColor="text1"/>
              <w:right w:val="single" w:sz="4" w:space="0" w:color="auto"/>
            </w:tcBorders>
            <w:shd w:val="clear" w:color="auto" w:fill="DDEBF7"/>
            <w:tcMar>
              <w:top w:w="15" w:type="dxa"/>
              <w:left w:w="15" w:type="dxa"/>
              <w:right w:w="15" w:type="dxa"/>
            </w:tcMar>
            <w:vAlign w:val="center"/>
          </w:tcPr>
          <w:p w14:paraId="6D162838" w14:textId="77777777" w:rsidR="004A5D29" w:rsidRDefault="004A5D29" w:rsidP="00E204E7">
            <w:pPr>
              <w:spacing w:after="120" w:line="240" w:lineRule="auto"/>
              <w:ind w:firstLine="0"/>
              <w:jc w:val="center"/>
              <w:rPr>
                <w:rFonts w:ascii="Calibri" w:eastAsia="等线" w:hAnsi="Calibri"/>
                <w:b/>
                <w:bCs/>
                <w:color w:val="000000" w:themeColor="text1"/>
              </w:rPr>
            </w:pPr>
            <w:r w:rsidRPr="39D360CB">
              <w:rPr>
                <w:rFonts w:ascii="Calibri" w:eastAsia="等线" w:hAnsi="Calibri"/>
                <w:b/>
                <w:bCs/>
                <w:color w:val="000000" w:themeColor="text1"/>
              </w:rPr>
              <w:t>Wig groups</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0611D685"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1</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755F6EA0"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4.64 ± 1.78</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6923E6CF"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4.04 ± 0.78</w:t>
            </w:r>
          </w:p>
        </w:tc>
      </w:tr>
      <w:tr w:rsidR="004A5D29" w14:paraId="5FF26CD5" w14:textId="77777777" w:rsidTr="00E204E7">
        <w:trPr>
          <w:trHeight w:val="154"/>
          <w:jc w:val="center"/>
        </w:trPr>
        <w:tc>
          <w:tcPr>
            <w:tcW w:w="1837" w:type="dxa"/>
            <w:vMerge/>
            <w:tcBorders>
              <w:left w:val="single" w:sz="0" w:space="0" w:color="auto"/>
              <w:right w:val="single" w:sz="0" w:space="0" w:color="auto"/>
            </w:tcBorders>
            <w:vAlign w:val="center"/>
          </w:tcPr>
          <w:p w14:paraId="2937BAB7" w14:textId="77777777" w:rsidR="004A5D29" w:rsidRDefault="004A5D29" w:rsidP="00E204E7">
            <w:pPr>
              <w:spacing w:line="240" w:lineRule="auto"/>
              <w:jc w:val="center"/>
            </w:pPr>
          </w:p>
        </w:tc>
        <w:tc>
          <w:tcPr>
            <w:tcW w:w="1837" w:type="dxa"/>
            <w:tcBorders>
              <w:top w:val="single" w:sz="4" w:space="0" w:color="auto"/>
              <w:left w:val="nil"/>
              <w:bottom w:val="single" w:sz="4" w:space="0" w:color="auto"/>
              <w:right w:val="single" w:sz="4" w:space="0" w:color="auto"/>
            </w:tcBorders>
            <w:shd w:val="clear" w:color="auto" w:fill="DDEBF7"/>
            <w:tcMar>
              <w:top w:w="15" w:type="dxa"/>
              <w:left w:w="15" w:type="dxa"/>
              <w:right w:w="15" w:type="dxa"/>
            </w:tcMar>
            <w:vAlign w:val="bottom"/>
          </w:tcPr>
          <w:p w14:paraId="5A02C37D"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2</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3712776A"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4.19 ± 1.86</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5A7BF1A7"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3.63 ± 1.07</w:t>
            </w:r>
          </w:p>
        </w:tc>
      </w:tr>
      <w:tr w:rsidR="004A5D29" w14:paraId="1DFA7433" w14:textId="77777777" w:rsidTr="00E204E7">
        <w:trPr>
          <w:trHeight w:val="154"/>
          <w:jc w:val="center"/>
        </w:trPr>
        <w:tc>
          <w:tcPr>
            <w:tcW w:w="1837" w:type="dxa"/>
            <w:vMerge/>
            <w:tcBorders>
              <w:left w:val="single" w:sz="0" w:space="0" w:color="auto"/>
              <w:right w:val="single" w:sz="0" w:space="0" w:color="auto"/>
            </w:tcBorders>
            <w:vAlign w:val="center"/>
          </w:tcPr>
          <w:p w14:paraId="7246070F" w14:textId="77777777" w:rsidR="004A5D29" w:rsidRDefault="004A5D29" w:rsidP="00E204E7">
            <w:pPr>
              <w:spacing w:line="240" w:lineRule="auto"/>
              <w:jc w:val="center"/>
            </w:pPr>
          </w:p>
        </w:tc>
        <w:tc>
          <w:tcPr>
            <w:tcW w:w="1837" w:type="dxa"/>
            <w:tcBorders>
              <w:top w:val="single" w:sz="4" w:space="0" w:color="auto"/>
              <w:left w:val="nil"/>
              <w:bottom w:val="single" w:sz="4" w:space="0" w:color="auto"/>
              <w:right w:val="single" w:sz="4" w:space="0" w:color="auto"/>
            </w:tcBorders>
            <w:shd w:val="clear" w:color="auto" w:fill="DDEBF7"/>
            <w:tcMar>
              <w:top w:w="15" w:type="dxa"/>
              <w:left w:w="15" w:type="dxa"/>
              <w:right w:w="15" w:type="dxa"/>
            </w:tcMar>
            <w:vAlign w:val="bottom"/>
          </w:tcPr>
          <w:p w14:paraId="0389C8EF"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3</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57EE1D50"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4.47 ± 1.58</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64E77182"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3.88 ± 0.60</w:t>
            </w:r>
          </w:p>
        </w:tc>
      </w:tr>
      <w:tr w:rsidR="004A5D29" w14:paraId="676C39D7" w14:textId="77777777" w:rsidTr="00E204E7">
        <w:trPr>
          <w:trHeight w:val="154"/>
          <w:jc w:val="center"/>
        </w:trPr>
        <w:tc>
          <w:tcPr>
            <w:tcW w:w="1837" w:type="dxa"/>
            <w:vMerge/>
            <w:tcBorders>
              <w:left w:val="single" w:sz="0" w:space="0" w:color="auto"/>
              <w:bottom w:val="single" w:sz="0" w:space="0" w:color="000000" w:themeColor="text1"/>
              <w:right w:val="single" w:sz="0" w:space="0" w:color="auto"/>
            </w:tcBorders>
            <w:vAlign w:val="center"/>
          </w:tcPr>
          <w:p w14:paraId="2C48988D" w14:textId="77777777" w:rsidR="004A5D29" w:rsidRDefault="004A5D29" w:rsidP="00E204E7">
            <w:pPr>
              <w:spacing w:line="240" w:lineRule="auto"/>
              <w:jc w:val="center"/>
            </w:pPr>
          </w:p>
        </w:tc>
        <w:tc>
          <w:tcPr>
            <w:tcW w:w="1837" w:type="dxa"/>
            <w:tcBorders>
              <w:top w:val="single" w:sz="4" w:space="0" w:color="auto"/>
              <w:left w:val="nil"/>
              <w:bottom w:val="single" w:sz="4" w:space="0" w:color="auto"/>
              <w:right w:val="single" w:sz="4" w:space="0" w:color="auto"/>
            </w:tcBorders>
            <w:shd w:val="clear" w:color="auto" w:fill="DDEBF7"/>
            <w:tcMar>
              <w:top w:w="15" w:type="dxa"/>
              <w:left w:w="15" w:type="dxa"/>
              <w:right w:w="15" w:type="dxa"/>
            </w:tcMar>
            <w:vAlign w:val="bottom"/>
          </w:tcPr>
          <w:p w14:paraId="781132C2"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46D53F00"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4.18 ± 1.21</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7DDECD05"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3.84 ± 0.39</w:t>
            </w:r>
          </w:p>
        </w:tc>
      </w:tr>
      <w:tr w:rsidR="004A5D29" w14:paraId="4678F958" w14:textId="77777777" w:rsidTr="00E204E7">
        <w:trPr>
          <w:trHeight w:val="356"/>
          <w:jc w:val="center"/>
        </w:trPr>
        <w:tc>
          <w:tcPr>
            <w:tcW w:w="1837" w:type="dxa"/>
            <w:vMerge w:val="restart"/>
            <w:tcBorders>
              <w:top w:val="nil"/>
              <w:left w:val="single" w:sz="4" w:space="0" w:color="auto"/>
              <w:bottom w:val="single" w:sz="4" w:space="0" w:color="000000" w:themeColor="text1"/>
              <w:right w:val="single" w:sz="4" w:space="0" w:color="auto"/>
            </w:tcBorders>
            <w:shd w:val="clear" w:color="auto" w:fill="DDEBF7"/>
            <w:tcMar>
              <w:top w:w="15" w:type="dxa"/>
              <w:left w:w="15" w:type="dxa"/>
              <w:right w:w="15" w:type="dxa"/>
            </w:tcMar>
            <w:vAlign w:val="center"/>
          </w:tcPr>
          <w:p w14:paraId="3DF3E537" w14:textId="77777777" w:rsidR="004A5D29" w:rsidRDefault="004A5D29" w:rsidP="00E204E7">
            <w:pPr>
              <w:spacing w:after="120" w:line="240" w:lineRule="auto"/>
              <w:ind w:firstLine="0"/>
              <w:jc w:val="center"/>
              <w:rPr>
                <w:rFonts w:ascii="Calibri" w:eastAsia="等线" w:hAnsi="Calibri"/>
                <w:b/>
                <w:bCs/>
                <w:color w:val="000000" w:themeColor="text1"/>
              </w:rPr>
            </w:pPr>
            <w:r w:rsidRPr="39D360CB">
              <w:rPr>
                <w:rFonts w:ascii="Calibri" w:eastAsia="等线" w:hAnsi="Calibri"/>
                <w:b/>
                <w:bCs/>
                <w:color w:val="000000" w:themeColor="text1"/>
              </w:rPr>
              <w:t>Actress pai</w:t>
            </w:r>
            <w:r>
              <w:rPr>
                <w:rFonts w:ascii="Calibri" w:eastAsia="等线" w:hAnsi="Calibri" w:hint="eastAsia"/>
                <w:b/>
                <w:bCs/>
                <w:color w:val="000000" w:themeColor="text1"/>
              </w:rPr>
              <w:t>r</w:t>
            </w:r>
            <w:r w:rsidRPr="39D360CB">
              <w:rPr>
                <w:rFonts w:ascii="Calibri" w:eastAsia="等线" w:hAnsi="Calibri"/>
                <w:b/>
                <w:bCs/>
                <w:color w:val="000000" w:themeColor="text1"/>
              </w:rPr>
              <w:t>s</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50AD4F56"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1</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23C986B6"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4.27</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0541C040"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3.02</w:t>
            </w:r>
          </w:p>
        </w:tc>
      </w:tr>
      <w:tr w:rsidR="004A5D29" w14:paraId="670AD8E7" w14:textId="77777777" w:rsidTr="00E204E7">
        <w:trPr>
          <w:trHeight w:val="154"/>
          <w:jc w:val="center"/>
        </w:trPr>
        <w:tc>
          <w:tcPr>
            <w:tcW w:w="1837" w:type="dxa"/>
            <w:vMerge/>
            <w:tcBorders>
              <w:left w:val="single" w:sz="0" w:space="0" w:color="auto"/>
              <w:right w:val="single" w:sz="0" w:space="0" w:color="auto"/>
            </w:tcBorders>
            <w:vAlign w:val="center"/>
          </w:tcPr>
          <w:p w14:paraId="2A02713F" w14:textId="77777777" w:rsidR="004A5D29" w:rsidRDefault="004A5D29" w:rsidP="00E204E7">
            <w:pPr>
              <w:spacing w:line="240" w:lineRule="auto"/>
              <w:jc w:val="center"/>
            </w:pPr>
          </w:p>
        </w:tc>
        <w:tc>
          <w:tcPr>
            <w:tcW w:w="1837" w:type="dxa"/>
            <w:tcBorders>
              <w:top w:val="single" w:sz="4" w:space="0" w:color="auto"/>
              <w:left w:val="nil"/>
              <w:bottom w:val="single" w:sz="4" w:space="0" w:color="auto"/>
              <w:right w:val="single" w:sz="4" w:space="0" w:color="auto"/>
            </w:tcBorders>
            <w:shd w:val="clear" w:color="auto" w:fill="DDEBF7"/>
            <w:tcMar>
              <w:top w:w="15" w:type="dxa"/>
              <w:left w:w="15" w:type="dxa"/>
              <w:right w:w="15" w:type="dxa"/>
            </w:tcMar>
            <w:vAlign w:val="bottom"/>
          </w:tcPr>
          <w:p w14:paraId="3ABF5448"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2</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59111231"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5.66</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7EF3B8F0"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4.32</w:t>
            </w:r>
          </w:p>
        </w:tc>
      </w:tr>
      <w:tr w:rsidR="004A5D29" w14:paraId="04A04471" w14:textId="77777777" w:rsidTr="00E204E7">
        <w:trPr>
          <w:trHeight w:val="154"/>
          <w:jc w:val="center"/>
        </w:trPr>
        <w:tc>
          <w:tcPr>
            <w:tcW w:w="1837" w:type="dxa"/>
            <w:vMerge/>
            <w:tcBorders>
              <w:left w:val="single" w:sz="0" w:space="0" w:color="auto"/>
              <w:right w:val="single" w:sz="0" w:space="0" w:color="auto"/>
            </w:tcBorders>
            <w:vAlign w:val="center"/>
          </w:tcPr>
          <w:p w14:paraId="263010BA" w14:textId="77777777" w:rsidR="004A5D29" w:rsidRDefault="004A5D29" w:rsidP="00E204E7">
            <w:pPr>
              <w:spacing w:line="240" w:lineRule="auto"/>
              <w:jc w:val="center"/>
            </w:pPr>
          </w:p>
        </w:tc>
        <w:tc>
          <w:tcPr>
            <w:tcW w:w="1837" w:type="dxa"/>
            <w:tcBorders>
              <w:top w:val="single" w:sz="4" w:space="0" w:color="auto"/>
              <w:left w:val="nil"/>
              <w:bottom w:val="single" w:sz="4" w:space="0" w:color="auto"/>
              <w:right w:val="single" w:sz="4" w:space="0" w:color="auto"/>
            </w:tcBorders>
            <w:shd w:val="clear" w:color="auto" w:fill="DDEBF7"/>
            <w:tcMar>
              <w:top w:w="15" w:type="dxa"/>
              <w:left w:w="15" w:type="dxa"/>
              <w:right w:w="15" w:type="dxa"/>
            </w:tcMar>
            <w:vAlign w:val="bottom"/>
          </w:tcPr>
          <w:p w14:paraId="1CFE7E3F"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3</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6A3E0615"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4.16</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687C539B"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3.43</w:t>
            </w:r>
          </w:p>
        </w:tc>
      </w:tr>
      <w:tr w:rsidR="004A5D29" w14:paraId="3C7F0795" w14:textId="77777777" w:rsidTr="00E204E7">
        <w:trPr>
          <w:trHeight w:val="154"/>
          <w:jc w:val="center"/>
        </w:trPr>
        <w:tc>
          <w:tcPr>
            <w:tcW w:w="1837" w:type="dxa"/>
            <w:vMerge/>
            <w:tcBorders>
              <w:left w:val="single" w:sz="0" w:space="0" w:color="auto"/>
              <w:bottom w:val="single" w:sz="0" w:space="0" w:color="000000" w:themeColor="text1"/>
              <w:right w:val="single" w:sz="0" w:space="0" w:color="auto"/>
            </w:tcBorders>
            <w:vAlign w:val="center"/>
          </w:tcPr>
          <w:p w14:paraId="136E6271" w14:textId="77777777" w:rsidR="004A5D29" w:rsidRDefault="004A5D29" w:rsidP="00E204E7">
            <w:pPr>
              <w:spacing w:line="240" w:lineRule="auto"/>
              <w:jc w:val="center"/>
            </w:pPr>
          </w:p>
        </w:tc>
        <w:tc>
          <w:tcPr>
            <w:tcW w:w="1837" w:type="dxa"/>
            <w:tcBorders>
              <w:top w:val="single" w:sz="4" w:space="0" w:color="auto"/>
              <w:left w:val="nil"/>
              <w:bottom w:val="single" w:sz="4" w:space="0" w:color="auto"/>
              <w:right w:val="single" w:sz="4" w:space="0" w:color="auto"/>
            </w:tcBorders>
            <w:shd w:val="clear" w:color="auto" w:fill="DDEBF7"/>
            <w:tcMar>
              <w:top w:w="15" w:type="dxa"/>
              <w:left w:w="15" w:type="dxa"/>
              <w:right w:w="15" w:type="dxa"/>
            </w:tcMar>
            <w:vAlign w:val="bottom"/>
          </w:tcPr>
          <w:p w14:paraId="0CC35628"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3CCCEC7C"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4.86</w:t>
            </w:r>
          </w:p>
        </w:tc>
        <w:tc>
          <w:tcPr>
            <w:tcW w:w="1837" w:type="dxa"/>
            <w:tcBorders>
              <w:top w:val="single" w:sz="4" w:space="0" w:color="auto"/>
              <w:left w:val="single" w:sz="4" w:space="0" w:color="auto"/>
              <w:bottom w:val="single" w:sz="4" w:space="0" w:color="auto"/>
              <w:right w:val="single" w:sz="4" w:space="0" w:color="auto"/>
            </w:tcBorders>
            <w:shd w:val="clear" w:color="auto" w:fill="DDEBF7"/>
            <w:tcMar>
              <w:top w:w="15" w:type="dxa"/>
              <w:left w:w="15" w:type="dxa"/>
              <w:right w:w="15" w:type="dxa"/>
            </w:tcMar>
            <w:vAlign w:val="bottom"/>
          </w:tcPr>
          <w:p w14:paraId="1C99347B" w14:textId="77777777" w:rsidR="004A5D29" w:rsidRPr="00301F9D" w:rsidRDefault="004A5D29" w:rsidP="00E204E7">
            <w:pPr>
              <w:spacing w:after="120" w:line="240" w:lineRule="auto"/>
              <w:ind w:firstLine="0"/>
              <w:jc w:val="center"/>
              <w:rPr>
                <w:rFonts w:ascii="Calibri" w:eastAsia="等线" w:hAnsi="Calibri"/>
                <w:color w:val="000000" w:themeColor="text1"/>
              </w:rPr>
            </w:pPr>
            <w:r w:rsidRPr="00301F9D">
              <w:rPr>
                <w:rFonts w:ascii="Calibri" w:eastAsia="等线" w:hAnsi="Calibri"/>
                <w:color w:val="000000" w:themeColor="text1"/>
              </w:rPr>
              <w:t>4.32</w:t>
            </w:r>
          </w:p>
        </w:tc>
      </w:tr>
    </w:tbl>
    <w:p w14:paraId="7052C21B" w14:textId="77777777" w:rsidR="004A5D29" w:rsidRDefault="004A5D29" w:rsidP="004A5D29">
      <w:r w:rsidRPr="00F55761">
        <w:rPr>
          <w:rFonts w:hint="eastAsia"/>
          <w:i/>
          <w:iCs/>
        </w:rPr>
        <w:t>Note</w:t>
      </w:r>
      <w:r w:rsidRPr="00F55761">
        <w:rPr>
          <w:i/>
          <w:iCs/>
        </w:rPr>
        <w:t>s</w:t>
      </w:r>
      <w:r w:rsidRPr="00F55761">
        <w:rPr>
          <w:rFonts w:hint="eastAsia"/>
          <w:i/>
          <w:iCs/>
        </w:rPr>
        <w:t>.</w:t>
      </w:r>
      <w:r w:rsidRPr="00F55761">
        <w:rPr>
          <w:rFonts w:hint="eastAsia"/>
          <w:b/>
          <w:bCs/>
        </w:rPr>
        <w:t xml:space="preserve"> </w:t>
      </w:r>
      <w:r w:rsidRPr="00F55761">
        <w:t>Ratings</w:t>
      </w:r>
      <w:r w:rsidRPr="00301F9D">
        <w:t xml:space="preserve"> were collected on 7-point Likert scales</w:t>
      </w:r>
      <w:r>
        <w:rPr>
          <w:rFonts w:hint="eastAsia"/>
        </w:rPr>
        <w:t xml:space="preserve"> </w:t>
      </w:r>
      <w:r w:rsidRPr="002F1F4C">
        <w:t>(</w:t>
      </w:r>
      <w:r>
        <w:t>1 = Very similar, 7 = Very different; 1 = Not at all distinctive, 7 = Very distinctive)</w:t>
      </w:r>
      <w:r w:rsidRPr="00301F9D">
        <w:t xml:space="preserve">. </w:t>
      </w:r>
      <w:r>
        <w:t xml:space="preserve">Similarity values for each wig group </w:t>
      </w:r>
      <w:r w:rsidRPr="007929E6">
        <w:t>represent</w:t>
      </w:r>
      <w:r>
        <w:t xml:space="preserve"> the mean</w:t>
      </w:r>
      <w:r w:rsidRPr="007929E6">
        <w:t xml:space="preserve"> </w:t>
      </w:r>
      <w:r>
        <w:t>of the pairwise similarity ratings for all 15 possible pairs of the six wigs within that group, allowing standard deviations to be reported as a meaningful index of dispersion. Similarity values for each actress pair represent the average of each of the two actress’s mean pairwise similarity with the seven other actresses in the database. Distinctiveness values represent the mean of the individual distinctiveness scores for the items within each group or pair</w:t>
      </w:r>
      <w:r w:rsidRPr="007929E6">
        <w:t>.</w:t>
      </w:r>
      <w:r>
        <w:t xml:space="preserve"> Raw ratings are visible at </w:t>
      </w:r>
      <w:hyperlink r:id="rId16" w:history="1">
        <w:r w:rsidRPr="005B47ED">
          <w:rPr>
            <w:rStyle w:val="Hyperlink"/>
          </w:rPr>
          <w:t>https://doi.org/10.58119/ULG/EFLCIJ</w:t>
        </w:r>
      </w:hyperlink>
      <w:r>
        <w:t>.</w:t>
      </w:r>
    </w:p>
    <w:p w14:paraId="0C265E74" w14:textId="2829E889" w:rsidR="001637CE" w:rsidRDefault="00BE05CF" w:rsidP="00D10726">
      <w:r w:rsidRPr="7D104545">
        <w:rPr>
          <w:b/>
          <w:bCs/>
        </w:rPr>
        <w:lastRenderedPageBreak/>
        <w:t xml:space="preserve">1. </w:t>
      </w:r>
      <w:r w:rsidR="00570981" w:rsidRPr="7D104545">
        <w:rPr>
          <w:b/>
          <w:bCs/>
        </w:rPr>
        <w:t>Wig selection.</w:t>
      </w:r>
      <w:r w:rsidR="00570981">
        <w:t xml:space="preserve"> </w:t>
      </w:r>
      <w:r w:rsidR="004226A3">
        <w:t xml:space="preserve">Twenty-six synthetic wigs </w:t>
      </w:r>
      <w:r w:rsidR="00F82A77">
        <w:t>spanning</w:t>
      </w:r>
      <w:r>
        <w:t xml:space="preserve"> a natural range of color</w:t>
      </w:r>
      <w:r w:rsidR="00F82A77">
        <w:t>s</w:t>
      </w:r>
      <w:r>
        <w:t xml:space="preserve"> and hairstyle </w:t>
      </w:r>
      <w:r w:rsidR="004226A3">
        <w:t xml:space="preserve">were purchased </w:t>
      </w:r>
      <w:r>
        <w:t>online</w:t>
      </w:r>
      <w:r w:rsidR="004226A3">
        <w:t xml:space="preserve">. </w:t>
      </w:r>
      <w:r w:rsidR="00F82A77">
        <w:t>All wigs were photographed on</w:t>
      </w:r>
      <w:r w:rsidR="001637CE">
        <w:t xml:space="preserve"> the same actress—</w:t>
      </w:r>
      <w:r w:rsidR="00F82A77">
        <w:t>who was not included in the subsequent</w:t>
      </w:r>
      <w:r w:rsidR="00D73B7F">
        <w:t xml:space="preserve"> step</w:t>
      </w:r>
      <w:r w:rsidR="00F82A77">
        <w:t>s</w:t>
      </w:r>
      <w:r w:rsidR="001637CE">
        <w:t>—with a neutral expression, from three viewing angles (</w:t>
      </w:r>
      <w:r w:rsidR="00D055B8">
        <w:t xml:space="preserve">left-facing, </w:t>
      </w:r>
      <w:r w:rsidR="001637CE">
        <w:t xml:space="preserve">frontal, </w:t>
      </w:r>
      <w:r w:rsidR="00D055B8" w:rsidRPr="00A85652">
        <w:t xml:space="preserve">and </w:t>
      </w:r>
      <w:r w:rsidR="515CCBC5" w:rsidRPr="00A85652">
        <w:t>right</w:t>
      </w:r>
      <w:r w:rsidR="00D055B8" w:rsidRPr="00A85652">
        <w:t>-facing</w:t>
      </w:r>
      <w:r w:rsidR="001637CE">
        <w:t>), against a neutral background</w:t>
      </w:r>
      <w:r w:rsidR="004F2FA9">
        <w:rPr>
          <w:rStyle w:val="FootnoteReference"/>
        </w:rPr>
        <w:footnoteReference w:id="1"/>
      </w:r>
      <w:r>
        <w:t>.</w:t>
      </w:r>
      <w:r w:rsidR="001637CE">
        <w:t xml:space="preserve"> All images were cropped and resized to 338</w:t>
      </w:r>
      <w:r w:rsidR="00D72145">
        <w:t xml:space="preserve"> </w:t>
      </w:r>
      <w:r w:rsidR="001637CE">
        <w:t>x</w:t>
      </w:r>
      <w:r w:rsidR="00D72145">
        <w:t xml:space="preserve"> </w:t>
      </w:r>
      <w:r w:rsidR="001637CE">
        <w:t>450</w:t>
      </w:r>
      <w:r w:rsidR="00F82A77">
        <w:t xml:space="preserve"> </w:t>
      </w:r>
      <w:r w:rsidR="001637CE">
        <w:t>p</w:t>
      </w:r>
      <w:r w:rsidR="00F82A77">
        <w:t>ixels.</w:t>
      </w:r>
    </w:p>
    <w:p w14:paraId="00CBA158" w14:textId="6F8DA5F3" w:rsidR="00C35AA2" w:rsidRDefault="00BE05CF" w:rsidP="00D10726">
      <w:r>
        <w:t>T</w:t>
      </w:r>
      <w:r w:rsidR="004226A3">
        <w:t xml:space="preserve">wenty-four independent judges recruited </w:t>
      </w:r>
      <w:r w:rsidR="00F82A77">
        <w:t>via</w:t>
      </w:r>
      <w:r w:rsidR="004226A3">
        <w:t xml:space="preserve"> th</w:t>
      </w:r>
      <w:r w:rsidR="004226A3" w:rsidRPr="00A85652">
        <w:rPr>
          <w:color w:val="000000" w:themeColor="text1"/>
        </w:rPr>
        <w:t xml:space="preserve">e Prolific </w:t>
      </w:r>
      <w:r w:rsidR="00F82A77" w:rsidRPr="00A85652">
        <w:rPr>
          <w:color w:val="000000" w:themeColor="text1"/>
        </w:rPr>
        <w:t>p</w:t>
      </w:r>
      <w:r w:rsidR="004226A3">
        <w:t>latform</w:t>
      </w:r>
      <w:r w:rsidR="001637CE">
        <w:t xml:space="preserve"> </w:t>
      </w:r>
      <w:r w:rsidR="004226A3">
        <w:t xml:space="preserve">rated the pairwise similarity </w:t>
      </w:r>
      <w:r w:rsidR="001637CE">
        <w:t xml:space="preserve">of all possible </w:t>
      </w:r>
      <w:r w:rsidR="00F82A77">
        <w:t xml:space="preserve">wig </w:t>
      </w:r>
      <w:r w:rsidR="001637CE">
        <w:t xml:space="preserve">pairs </w:t>
      </w:r>
      <w:r w:rsidR="00763919">
        <w:t xml:space="preserve">(1 = </w:t>
      </w:r>
      <w:r w:rsidR="00BA6097">
        <w:t xml:space="preserve">Very </w:t>
      </w:r>
      <w:r w:rsidR="00763919">
        <w:t xml:space="preserve">similar, 7 = </w:t>
      </w:r>
      <w:r w:rsidR="00BA6097">
        <w:t>Very different</w:t>
      </w:r>
      <w:r w:rsidR="00763919">
        <w:t xml:space="preserve">) </w:t>
      </w:r>
      <w:r w:rsidR="004226A3">
        <w:t xml:space="preserve">and </w:t>
      </w:r>
      <w:r w:rsidR="001637CE">
        <w:t xml:space="preserve">the </w:t>
      </w:r>
      <w:r w:rsidR="004226A3">
        <w:t xml:space="preserve">distinctiveness of each wig </w:t>
      </w:r>
      <w:r w:rsidR="001637CE">
        <w:t xml:space="preserve">(1 </w:t>
      </w:r>
      <w:r w:rsidR="00763919">
        <w:t xml:space="preserve">= Not at all distinctive </w:t>
      </w:r>
      <w:r w:rsidR="001637CE">
        <w:t xml:space="preserve">=, 7 = </w:t>
      </w:r>
      <w:r w:rsidR="00BA6097">
        <w:t xml:space="preserve">Very </w:t>
      </w:r>
      <w:r w:rsidR="001637CE">
        <w:t>distinctive)</w:t>
      </w:r>
      <w:r w:rsidR="004226A3">
        <w:t xml:space="preserve"> </w:t>
      </w:r>
      <w:r w:rsidR="00A85652">
        <w:t xml:space="preserve">using seven-point Likert scales. </w:t>
      </w:r>
      <w:r w:rsidR="00C35AA2">
        <w:t xml:space="preserve">One </w:t>
      </w:r>
      <w:r w:rsidR="008D3135">
        <w:t>judge</w:t>
      </w:r>
      <w:r w:rsidR="00C35AA2">
        <w:t xml:space="preserve"> was excluded for failing </w:t>
      </w:r>
      <w:r w:rsidR="00F82A77">
        <w:t>two</w:t>
      </w:r>
      <w:r w:rsidR="00C35AA2">
        <w:t xml:space="preserve"> of the four attention checks interspersed throughout the trials. </w:t>
      </w:r>
      <w:r w:rsidR="001637CE">
        <w:t xml:space="preserve">For similarity ratings, </w:t>
      </w:r>
      <w:r w:rsidR="00F82A77">
        <w:t xml:space="preserve">pairs of </w:t>
      </w:r>
      <w:r w:rsidR="001637CE">
        <w:t xml:space="preserve">wigs were displayed on two rows, </w:t>
      </w:r>
      <w:r w:rsidR="00F82A77">
        <w:t>each represented by</w:t>
      </w:r>
      <w:r w:rsidR="001637CE">
        <w:t xml:space="preserve"> three images </w:t>
      </w:r>
      <w:r w:rsidR="00D055B8">
        <w:t xml:space="preserve">with a different </w:t>
      </w:r>
      <w:r w:rsidR="00A85652">
        <w:t>viewing angle</w:t>
      </w:r>
      <w:r w:rsidR="00C35AA2">
        <w:t>. For distinctiveness ratings</w:t>
      </w:r>
      <w:r w:rsidR="00F2720E">
        <w:t>, a single</w:t>
      </w:r>
      <w:r w:rsidR="00C35AA2">
        <w:t xml:space="preserve"> wig was </w:t>
      </w:r>
      <w:r w:rsidR="00F2720E">
        <w:t>present</w:t>
      </w:r>
      <w:r w:rsidR="00C35AA2">
        <w:t xml:space="preserve">ed at </w:t>
      </w:r>
      <w:r w:rsidR="00F2720E">
        <w:t xml:space="preserve">a </w:t>
      </w:r>
      <w:r w:rsidR="00C35AA2">
        <w:t xml:space="preserve">time, </w:t>
      </w:r>
      <w:r w:rsidR="00F2720E">
        <w:t>using</w:t>
      </w:r>
      <w:r w:rsidR="00C35AA2">
        <w:t xml:space="preserve"> the same three images.</w:t>
      </w:r>
    </w:p>
    <w:p w14:paraId="7822C0D5" w14:textId="6F9292E6" w:rsidR="0081755B" w:rsidRDefault="005C2B43" w:rsidP="00D10726">
      <w:r>
        <w:t>Ratings were averaged at the item-level (i.e. wig pair</w:t>
      </w:r>
      <w:r w:rsidR="0045144D">
        <w:t xml:space="preserve"> or individual wig</w:t>
      </w:r>
      <w:r>
        <w:t xml:space="preserve">). </w:t>
      </w:r>
      <w:r w:rsidR="004226A3">
        <w:t>Based on these ratings,</w:t>
      </w:r>
      <w:r w:rsidR="00A04582">
        <w:t xml:space="preserve"> two wigs were excluded and</w:t>
      </w:r>
      <w:r w:rsidR="004226A3">
        <w:t xml:space="preserve"> four groups of </w:t>
      </w:r>
      <w:r w:rsidR="00A04582">
        <w:t xml:space="preserve">six </w:t>
      </w:r>
      <w:r w:rsidR="004226A3">
        <w:t xml:space="preserve">wigs were </w:t>
      </w:r>
      <w:r w:rsidR="00F2720E">
        <w:t>constructed under several</w:t>
      </w:r>
      <w:r w:rsidR="00C35AA2">
        <w:t xml:space="preserve"> constraints</w:t>
      </w:r>
      <w:r w:rsidR="004226A3">
        <w:t>.</w:t>
      </w:r>
      <w:r w:rsidR="00C35AA2">
        <w:t xml:space="preserve"> </w:t>
      </w:r>
      <w:r w:rsidR="00D055B8">
        <w:t xml:space="preserve">Each group included three wigs that were similar in color, length, and hairstyle (see </w:t>
      </w:r>
      <w:r w:rsidR="00D055B8" w:rsidRPr="0ACBFD51">
        <w:rPr>
          <w:b/>
          <w:bCs/>
        </w:rPr>
        <w:t>Figure 1</w:t>
      </w:r>
      <w:r w:rsidR="00821A9E" w:rsidRPr="0ACBFD51">
        <w:rPr>
          <w:b/>
          <w:bCs/>
        </w:rPr>
        <w:t>A</w:t>
      </w:r>
      <w:r w:rsidR="00D055B8">
        <w:t xml:space="preserve">, left), and three wigs that differed markedly in these characteristics, including one among the most distinctive, while ensuring that similar wigs within a group remained clearly distinguishable from their counterparts in other </w:t>
      </w:r>
      <w:r w:rsidR="00D055B8">
        <w:lastRenderedPageBreak/>
        <w:t xml:space="preserve">groups. </w:t>
      </w:r>
      <w:r w:rsidR="00F2720E">
        <w:t>In addition</w:t>
      </w:r>
      <w:r w:rsidR="00C35AA2">
        <w:t xml:space="preserve">, each group </w:t>
      </w:r>
      <w:r w:rsidR="00F2720E">
        <w:t>contained</w:t>
      </w:r>
      <w:r w:rsidR="00C35AA2">
        <w:t xml:space="preserve"> at least </w:t>
      </w:r>
      <w:r w:rsidR="00F82A77">
        <w:t>four</w:t>
      </w:r>
      <w:r w:rsidR="00F2720E">
        <w:t xml:space="preserve"> wigs </w:t>
      </w:r>
      <w:r w:rsidR="00F82A77">
        <w:t xml:space="preserve">long enough to be tied up and </w:t>
      </w:r>
      <w:r w:rsidR="00C35AA2">
        <w:t xml:space="preserve">one </w:t>
      </w:r>
      <w:r w:rsidR="00F2720E">
        <w:t xml:space="preserve">that was </w:t>
      </w:r>
      <w:r w:rsidR="00C35AA2">
        <w:t>too short to be tied up</w:t>
      </w:r>
      <w:r w:rsidR="00F82A77">
        <w:t xml:space="preserve">. </w:t>
      </w:r>
      <w:r w:rsidR="00F2720E">
        <w:t>Finally</w:t>
      </w:r>
      <w:r w:rsidR="00F82A77">
        <w:t>, wigs</w:t>
      </w:r>
      <w:r w:rsidR="00F2720E">
        <w:t xml:space="preserve"> were grouped to achieve the best possible balance across groups in terms of mean </w:t>
      </w:r>
      <w:r w:rsidR="0045144D">
        <w:t xml:space="preserve">within-group </w:t>
      </w:r>
      <w:r w:rsidR="001637CE">
        <w:t xml:space="preserve">pairwise similarity </w:t>
      </w:r>
      <w:r w:rsidR="00F82A77">
        <w:t xml:space="preserve">and </w:t>
      </w:r>
      <w:r w:rsidR="00F2720E">
        <w:t xml:space="preserve">mean </w:t>
      </w:r>
      <w:r w:rsidR="00F82A77">
        <w:t xml:space="preserve">distinctiveness </w:t>
      </w:r>
      <w:r w:rsidR="001637CE">
        <w:t xml:space="preserve">(see </w:t>
      </w:r>
      <w:r w:rsidR="001637CE" w:rsidRPr="0ACBFD51">
        <w:rPr>
          <w:b/>
          <w:bCs/>
        </w:rPr>
        <w:t>Table 1</w:t>
      </w:r>
      <w:r w:rsidR="001637CE">
        <w:t>).</w:t>
      </w:r>
    </w:p>
    <w:p w14:paraId="08CBE23B" w14:textId="7C992745" w:rsidR="00A85652" w:rsidRDefault="00A85652" w:rsidP="00D10726">
      <w:r w:rsidRPr="00AE1A76">
        <w:rPr>
          <w:b/>
          <w:bCs/>
        </w:rPr>
        <w:t xml:space="preserve">2. </w:t>
      </w:r>
      <w:r w:rsidRPr="39D360CB">
        <w:rPr>
          <w:b/>
          <w:bCs/>
        </w:rPr>
        <w:t>Actress selection.</w:t>
      </w:r>
      <w:r>
        <w:t xml:space="preserve"> Twelve Caucasian women between eighteen and thirty years old were recruited as candidates for the database. Each provided frontal, left-facing, and right-facing facial pictures with a neutral expression, which were evaluated by thirty independent judges recruited via Prolific. Each judge </w:t>
      </w:r>
      <w:r w:rsidR="00F10815">
        <w:t>r</w:t>
      </w:r>
      <w:r>
        <w:t xml:space="preserve">ated the pairwise similarity and individual distinctiveness of the twelve faces with the same Likert scales as above. Each model was presented by means of its three images (resized at 235x280 pixels), which were cropped and in which a gray field replaced external features (similar to what remains visible on </w:t>
      </w:r>
      <w:r w:rsidRPr="39D360CB">
        <w:rPr>
          <w:b/>
          <w:bCs/>
        </w:rPr>
        <w:t>Figure 1B</w:t>
      </w:r>
      <w:r>
        <w:t xml:space="preserve">). Eight </w:t>
      </w:r>
      <w:r w:rsidR="008D3135">
        <w:t>judge</w:t>
      </w:r>
      <w:r>
        <w:t>s were excluded for failing two or more of the six attention checks interspersed throughout the ratings.</w:t>
      </w:r>
    </w:p>
    <w:p w14:paraId="4735C3DA" w14:textId="77777777" w:rsidR="00EB793B" w:rsidRDefault="00A85652" w:rsidP="00D10726">
      <w:r>
        <w:t xml:space="preserve">Similar to the procedure used for wig selection and grouping, we selected four pairs of faces with equivalent average pairwise similarity and distinctiveness ratings, based on Z-scores. Two pairs of faces (Pairs 2 and 4) were considered “easily distinguishable” because of their higher average distinctiveness, while the remaining two pairs were relatively more difficult to distinguish due to slightly lower distinctiveness and higher pairwise similarity (see </w:t>
      </w:r>
      <w:r w:rsidRPr="0ACBFD51">
        <w:rPr>
          <w:b/>
          <w:bCs/>
        </w:rPr>
        <w:t xml:space="preserve">Table </w:t>
      </w:r>
      <w:r>
        <w:rPr>
          <w:rFonts w:hint="eastAsia"/>
          <w:b/>
          <w:bCs/>
        </w:rPr>
        <w:t>1</w:t>
      </w:r>
      <w:r>
        <w:t>).</w:t>
      </w:r>
    </w:p>
    <w:p w14:paraId="35EAF99B" w14:textId="10527A98" w:rsidR="00A85652" w:rsidRDefault="00A85652" w:rsidP="00D10726">
      <w:r w:rsidRPr="39D360CB">
        <w:rPr>
          <w:b/>
          <w:bCs/>
        </w:rPr>
        <w:t>3. Image and video acquisition.</w:t>
      </w:r>
      <w:r>
        <w:t xml:space="preserve"> All actresses were filmed and photographed using a Panasonic Lumix DC-FZ81 digital camera in a standardized studio setup installed in a small, windowless room (</w:t>
      </w:r>
      <w:r w:rsidR="008D3135">
        <w:t xml:space="preserve">see </w:t>
      </w:r>
      <w:r w:rsidRPr="52DD8CB6">
        <w:rPr>
          <w:b/>
          <w:bCs/>
        </w:rPr>
        <w:t>Figure 1C</w:t>
      </w:r>
      <w:r>
        <w:t xml:space="preserve">). A chair was placed in front of a green </w:t>
      </w:r>
      <w:r>
        <w:lastRenderedPageBreak/>
        <w:t>screen, about one meter from the camera, which was adjusted to each actress's eye level. Two studio lights with reflective umbrellas were positioned on either side of the chair, and a central light was mounted above the camera. Overhead fluorescent lights remained on to maintain consistent ambient illumination throughout the recording sessions. Red “x” markings, adjusted to each actress’s eye level, were placed on the equipment to guide ¾ head orientation and corresponding straight gaze direction.</w:t>
      </w:r>
    </w:p>
    <w:p w14:paraId="47DF3F2A" w14:textId="0EF84B86" w:rsidR="004A5D29" w:rsidRDefault="004A5D29" w:rsidP="004A5D29">
      <w:r>
        <w:t xml:space="preserve">Each </w:t>
      </w:r>
      <w:r>
        <w:rPr>
          <w:rFonts w:hint="eastAsia"/>
        </w:rPr>
        <w:t xml:space="preserve">wig </w:t>
      </w:r>
      <w:r>
        <w:t xml:space="preserve">group was assigned to </w:t>
      </w:r>
      <w:r>
        <w:rPr>
          <w:rFonts w:hint="eastAsia"/>
        </w:rPr>
        <w:t>one</w:t>
      </w:r>
      <w:r>
        <w:t xml:space="preserve"> actress</w:t>
      </w:r>
      <w:r>
        <w:rPr>
          <w:rFonts w:hint="eastAsia"/>
        </w:rPr>
        <w:t xml:space="preserve"> pair such that actresses with higher facial distinctiveness were paired with less distinctive wig groups, and vice versa. This </w:t>
      </w:r>
      <w:r>
        <w:t>assignment</w:t>
      </w:r>
      <w:r>
        <w:rPr>
          <w:rFonts w:hint="eastAsia"/>
        </w:rPr>
        <w:t xml:space="preserve"> helped balance the overall distinctiveness of the appearance conditions across actresses.</w:t>
      </w:r>
    </w:p>
    <w:p w14:paraId="667611F1" w14:textId="7E0D1D7E" w:rsidR="004A5D29" w:rsidRDefault="004A5D29" w:rsidP="004A5D29">
      <w:r>
        <w:t xml:space="preserve">Each actress was captured in 28 different appearance conditions, wearing the same light grey hoodie. Each condition consisted of standardized combinations of four accessories, the last three being present or absent: wigs (or balaclava that concealed hair), lipstick, glasses and/or hair tie (see </w:t>
      </w:r>
      <w:r w:rsidRPr="52DD8CB6">
        <w:rPr>
          <w:b/>
          <w:bCs/>
        </w:rPr>
        <w:t>Figure 1C</w:t>
      </w:r>
      <w:r>
        <w:t xml:space="preserve">). The same black framed glasses and the same red lipstick were used for all actresses, to create visual variations in appearance while keeping these features non distinctive or diagnostic of identity. To optimize </w:t>
      </w:r>
      <w:r>
        <w:rPr>
          <w:rFonts w:hint="eastAsia"/>
        </w:rPr>
        <w:t>appearance variability while keeping the number of recording conditions manageable</w:t>
      </w:r>
      <w:r>
        <w:t xml:space="preserve"> (i.e. video and image acquisition took a total of approximately </w:t>
      </w:r>
      <w:r>
        <w:rPr>
          <w:rFonts w:hint="eastAsia"/>
        </w:rPr>
        <w:t>8</w:t>
      </w:r>
      <w:r>
        <w:t xml:space="preserve"> hours per actress)</w:t>
      </w:r>
      <w:r>
        <w:rPr>
          <w:rFonts w:hint="eastAsia"/>
        </w:rPr>
        <w:t xml:space="preserve">, </w:t>
      </w:r>
      <w:r w:rsidRPr="00B0210B">
        <w:t xml:space="preserve">hairstyle and makeup were combined according to </w:t>
      </w:r>
      <w:r>
        <w:t>the following</w:t>
      </w:r>
      <w:r w:rsidRPr="00B0210B">
        <w:t xml:space="preserve"> predefined pairing strategy. For each actress, four of the six wigs were assigned to hairstyle manipulations</w:t>
      </w:r>
      <w:r>
        <w:t xml:space="preserve"> (i.e. four wigs with longer hair, and excluding the most distinctive one)</w:t>
      </w:r>
      <w:r w:rsidRPr="00B0210B">
        <w:t xml:space="preserve">. These four wigs formed two pairs </w:t>
      </w:r>
      <w:r>
        <w:t>that were visually similar once tied up.</w:t>
      </w:r>
      <w:r w:rsidRPr="00B0210B">
        <w:t xml:space="preserve"> </w:t>
      </w:r>
      <w:r>
        <w:t xml:space="preserve">Therefore, to </w:t>
      </w:r>
      <w:r>
        <w:lastRenderedPageBreak/>
        <w:t>maximize visual variations, within</w:t>
      </w:r>
      <w:r w:rsidRPr="00B0210B">
        <w:t xml:space="preserve"> one pair, one wig was recorded with hair down and lipstick, whereas the other was recorded with hair tied up and lipstick. Within the second pair, one wig was recorded with hair down and no lipstick, whereas the other was recorded with hair tied up and no lipstick. The remaining two wigs were always recorded with hair down and were not used in the hairstyle manipulation.</w:t>
      </w:r>
    </w:p>
    <w:p w14:paraId="583156E5" w14:textId="3DD31090" w:rsidR="004A5D29" w:rsidRDefault="004A5D29" w:rsidP="004A5D29">
      <w:r>
        <w:t xml:space="preserve">For each appearance condition, actresses were captured under three different lighting conditions to vary facial shadow distribution: frontal (all lights on), left (lights three, four, and five off), and right (lights one, two, and three off). In each combination of appearance and lighting, three pictures were first taken, showing the actress with a neutral expression, with the head and gaze oriented ¾ leftwards, frontally, or ¾ rightwards. </w:t>
      </w:r>
      <w:r>
        <w:rPr>
          <w:rFonts w:hint="eastAsia"/>
        </w:rPr>
        <w:t xml:space="preserve">Following the photographs, actresses were filmed performing </w:t>
      </w:r>
      <w:r>
        <w:t xml:space="preserve">the following </w:t>
      </w:r>
      <w:r>
        <w:rPr>
          <w:rFonts w:hint="eastAsia"/>
        </w:rPr>
        <w:t>twelve standardized gestures</w:t>
      </w:r>
      <w:r>
        <w:t>,</w:t>
      </w:r>
      <w:r>
        <w:rPr>
          <w:rFonts w:hint="eastAsia"/>
        </w:rPr>
        <w:t xml:space="preserve"> selected to cover a broad range of natural head, facial, and upper-body movements</w:t>
      </w:r>
      <w:r>
        <w:t xml:space="preserve">: </w:t>
      </w:r>
      <w:r>
        <w:rPr>
          <w:rFonts w:hint="eastAsia"/>
        </w:rPr>
        <w:t>head rotations</w:t>
      </w:r>
      <w:r>
        <w:t xml:space="preserve"> (x or y axis)</w:t>
      </w:r>
      <w:r>
        <w:rPr>
          <w:rFonts w:hint="eastAsia"/>
        </w:rPr>
        <w:t xml:space="preserve">, </w:t>
      </w:r>
      <w:r>
        <w:t xml:space="preserve">head tilt, </w:t>
      </w:r>
      <w:r>
        <w:rPr>
          <w:rFonts w:hint="eastAsia"/>
        </w:rPr>
        <w:t xml:space="preserve">self-directed hand actions (hair </w:t>
      </w:r>
      <w:r>
        <w:t>ar</w:t>
      </w:r>
      <w:r>
        <w:rPr>
          <w:rFonts w:hint="eastAsia"/>
        </w:rPr>
        <w:t xml:space="preserve">ranging, nose </w:t>
      </w:r>
      <w:r>
        <w:t xml:space="preserve">or chin </w:t>
      </w:r>
      <w:r>
        <w:rPr>
          <w:rFonts w:hint="eastAsia"/>
        </w:rPr>
        <w:t>scratching</w:t>
      </w:r>
      <w:r>
        <w:t>, tear wiping</w:t>
      </w:r>
      <w:r>
        <w:rPr>
          <w:rFonts w:hint="eastAsia"/>
        </w:rPr>
        <w:t xml:space="preserve">), </w:t>
      </w:r>
      <w:r>
        <w:t>sentence utterance (frontal or ¾ view)</w:t>
      </w:r>
      <w:r>
        <w:rPr>
          <w:rFonts w:hint="eastAsia"/>
        </w:rPr>
        <w:t xml:space="preserve">, </w:t>
      </w:r>
      <w:r>
        <w:t xml:space="preserve">waving and </w:t>
      </w:r>
      <w:r>
        <w:rPr>
          <w:rFonts w:hint="eastAsia"/>
        </w:rPr>
        <w:t>greeting</w:t>
      </w:r>
      <w:r>
        <w:t xml:space="preserve"> (frontal or ¾ view)</w:t>
      </w:r>
      <w:r>
        <w:rPr>
          <w:rFonts w:hint="eastAsia"/>
        </w:rPr>
        <w:t>, and facial expression</w:t>
      </w:r>
      <w:r>
        <w:t xml:space="preserve"> (open mouth smiling)</w:t>
      </w:r>
      <w:r>
        <w:rPr>
          <w:rFonts w:hint="eastAsia"/>
        </w:rPr>
        <w:t>.</w:t>
      </w:r>
      <w:r>
        <w:t xml:space="preserve"> </w:t>
      </w:r>
      <w:r>
        <w:rPr>
          <w:rFonts w:hint="eastAsia"/>
        </w:rPr>
        <w:t xml:space="preserve">During filming, the experimenter verbally announced each gesture while a metronome provided a constant temporal rhythm to guide its </w:t>
      </w:r>
      <w:r>
        <w:t>execution within approximately a count of four</w:t>
      </w:r>
      <w:r>
        <w:rPr>
          <w:rFonts w:hint="eastAsia"/>
        </w:rPr>
        <w:t xml:space="preserve">. </w:t>
      </w:r>
      <w:r>
        <w:t>A</w:t>
      </w:r>
      <w:r>
        <w:rPr>
          <w:rFonts w:hint="eastAsia"/>
        </w:rPr>
        <w:t xml:space="preserve">ll recordings were subsequently edited to a standardized duration of 4 s </w:t>
      </w:r>
      <w:r>
        <w:t>per action (see below)</w:t>
      </w:r>
      <w:r>
        <w:rPr>
          <w:rFonts w:hint="eastAsia"/>
        </w:rPr>
        <w:t>.</w:t>
      </w:r>
    </w:p>
    <w:p w14:paraId="652F39F4" w14:textId="5FFAE214" w:rsidR="004A5D29" w:rsidRDefault="004A5D29" w:rsidP="004A5D29"/>
    <w:p w14:paraId="36C01174" w14:textId="77777777" w:rsidR="004A5D29" w:rsidRDefault="004A5D29" w:rsidP="004A5D29">
      <w:pPr>
        <w:rPr>
          <w:lang w:val="en-GB"/>
        </w:rPr>
      </w:pPr>
    </w:p>
    <w:p w14:paraId="3C1A948B" w14:textId="77777777" w:rsidR="004A5D29" w:rsidRPr="004A5D29" w:rsidRDefault="004A5D29" w:rsidP="00D10726">
      <w:pPr>
        <w:ind w:firstLine="0"/>
        <w:rPr>
          <w:b/>
          <w:bCs/>
          <w:lang w:val="en-GB"/>
        </w:rPr>
      </w:pPr>
    </w:p>
    <w:p w14:paraId="751E3FE8" w14:textId="610FF443" w:rsidR="004226A3" w:rsidRDefault="001F2F3D" w:rsidP="00D10726">
      <w:pPr>
        <w:ind w:firstLine="0"/>
        <w:rPr>
          <w:b/>
          <w:bCs/>
        </w:rPr>
      </w:pPr>
      <w:r w:rsidRPr="7D104545">
        <w:rPr>
          <w:b/>
          <w:bCs/>
        </w:rPr>
        <w:lastRenderedPageBreak/>
        <w:t xml:space="preserve">Figure </w:t>
      </w:r>
      <w:r w:rsidR="00C35AA2" w:rsidRPr="7D104545">
        <w:rPr>
          <w:b/>
          <w:bCs/>
        </w:rPr>
        <w:t>1</w:t>
      </w:r>
    </w:p>
    <w:p w14:paraId="644298BD" w14:textId="35EFDCBE" w:rsidR="00A35033" w:rsidRDefault="00821A9E" w:rsidP="00D10726">
      <w:pPr>
        <w:ind w:firstLine="0"/>
        <w:rPr>
          <w:i/>
          <w:iCs/>
        </w:rPr>
      </w:pPr>
      <w:r w:rsidRPr="7D104545">
        <w:rPr>
          <w:i/>
          <w:iCs/>
        </w:rPr>
        <w:t xml:space="preserve">Procedure used for the database creation and </w:t>
      </w:r>
      <w:r w:rsidR="0002295B" w:rsidRPr="7D104545">
        <w:rPr>
          <w:i/>
          <w:iCs/>
        </w:rPr>
        <w:t>sample</w:t>
      </w:r>
      <w:r w:rsidRPr="7D104545">
        <w:rPr>
          <w:i/>
          <w:iCs/>
        </w:rPr>
        <w:t xml:space="preserve"> of resulting stimuli</w:t>
      </w:r>
      <w:r w:rsidR="001F2F3D" w:rsidRPr="7D104545">
        <w:rPr>
          <w:i/>
          <w:iCs/>
        </w:rPr>
        <w:t>.</w:t>
      </w:r>
    </w:p>
    <w:p w14:paraId="2D57F61A" w14:textId="4C20C526" w:rsidR="00E85A1D" w:rsidRDefault="004F1DE0" w:rsidP="00D10726">
      <w:pPr>
        <w:ind w:firstLine="0"/>
        <w:rPr>
          <w:i/>
          <w:iCs/>
        </w:rPr>
      </w:pPr>
      <w:r>
        <w:rPr>
          <w:iCs/>
          <w:noProof/>
          <w:lang w:val="fr-BE" w:eastAsia="fr-BE"/>
        </w:rPr>
        <w:pict w14:anchorId="743C4F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pt;height:573.3pt">
            <v:imagedata r:id="rId17" o:title="Figure 1_FINAL"/>
          </v:shape>
        </w:pict>
      </w:r>
    </w:p>
    <w:p w14:paraId="27E9B69E" w14:textId="393F1C22" w:rsidR="004226A3" w:rsidRPr="001F2A23" w:rsidRDefault="547ECE87" w:rsidP="00D10726">
      <w:pPr>
        <w:ind w:firstLine="0"/>
      </w:pPr>
      <w:r w:rsidRPr="004A5D29">
        <w:rPr>
          <w:i/>
          <w:iCs/>
        </w:rPr>
        <w:lastRenderedPageBreak/>
        <w:t>Note</w:t>
      </w:r>
      <w:r w:rsidR="58222323" w:rsidRPr="004A5D29">
        <w:rPr>
          <w:i/>
          <w:iCs/>
        </w:rPr>
        <w:t>s</w:t>
      </w:r>
      <w:r w:rsidRPr="004A5D29">
        <w:rPr>
          <w:i/>
          <w:iCs/>
        </w:rPr>
        <w:t>.</w:t>
      </w:r>
      <w:r w:rsidRPr="004A5D29">
        <w:t xml:space="preserve"> </w:t>
      </w:r>
      <w:r w:rsidR="420DBA23" w:rsidRPr="004A5D29">
        <w:t xml:space="preserve">A. </w:t>
      </w:r>
      <w:r w:rsidR="00823147" w:rsidRPr="004A5D29">
        <w:t>The</w:t>
      </w:r>
      <w:r w:rsidR="00823147">
        <w:t xml:space="preserve"> set of </w:t>
      </w:r>
      <w:r w:rsidR="00BE1CAD">
        <w:t xml:space="preserve">24 </w:t>
      </w:r>
      <w:r w:rsidR="00823147">
        <w:t>wigs is</w:t>
      </w:r>
      <w:r w:rsidR="008D3135">
        <w:t xml:space="preserve"> split into four distinct groups. </w:t>
      </w:r>
      <w:r w:rsidR="1B17F6AF">
        <w:t>Each group</w:t>
      </w:r>
      <w:r w:rsidR="008D3135">
        <w:t xml:space="preserve"> </w:t>
      </w:r>
      <w:r w:rsidR="1B17F6AF">
        <w:t xml:space="preserve">includes three highly similar </w:t>
      </w:r>
      <w:r w:rsidR="008D3135">
        <w:t>wigs</w:t>
      </w:r>
      <w:r w:rsidR="333F80F5">
        <w:t xml:space="preserve"> (left)</w:t>
      </w:r>
      <w:r w:rsidR="008D3135">
        <w:t xml:space="preserve"> and three </w:t>
      </w:r>
      <w:r w:rsidR="378AA2F7">
        <w:t xml:space="preserve">that </w:t>
      </w:r>
      <w:r w:rsidR="45EEB0D8">
        <w:t>differ</w:t>
      </w:r>
      <w:r w:rsidR="00823147">
        <w:t xml:space="preserve"> from those</w:t>
      </w:r>
      <w:r w:rsidR="45EEB0D8">
        <w:t xml:space="preserve"> </w:t>
      </w:r>
      <w:r w:rsidR="378AA2F7">
        <w:t xml:space="preserve">in color, length </w:t>
      </w:r>
      <w:r w:rsidR="214FFB3E">
        <w:t>and/or style</w:t>
      </w:r>
      <w:r w:rsidR="45EEB0D8">
        <w:t>,</w:t>
      </w:r>
      <w:r w:rsidR="214FFB3E">
        <w:t xml:space="preserve"> </w:t>
      </w:r>
      <w:r w:rsidR="00BE1CAD">
        <w:t>and which include</w:t>
      </w:r>
      <w:r w:rsidR="378AA2F7">
        <w:t xml:space="preserve"> one of the most distinctive wigs and one shorter wig (right)</w:t>
      </w:r>
      <w:r w:rsidR="1B17F6AF">
        <w:t>.</w:t>
      </w:r>
      <w:r w:rsidR="49BDD0CC">
        <w:t xml:space="preserve"> </w:t>
      </w:r>
      <w:r w:rsidR="45EEB0D8">
        <w:t xml:space="preserve">The model’s face was blurred to protect </w:t>
      </w:r>
      <w:r w:rsidR="45EEB0D8" w:rsidRPr="008D3135">
        <w:t xml:space="preserve">her privacy but remained visible to independent judges during the rating phase. </w:t>
      </w:r>
      <w:r w:rsidR="49BDD0CC" w:rsidRPr="008D3135">
        <w:t xml:space="preserve">In the database, each </w:t>
      </w:r>
      <w:r w:rsidR="45EEB0D8" w:rsidRPr="008D3135">
        <w:t xml:space="preserve">wig </w:t>
      </w:r>
      <w:r w:rsidR="49BDD0CC" w:rsidRPr="008D3135">
        <w:t>group is assigned to a different pair of actresses.</w:t>
      </w:r>
      <w:r w:rsidR="45EEB0D8" w:rsidRPr="008D3135">
        <w:t xml:space="preserve"> </w:t>
      </w:r>
      <w:r w:rsidR="420DBA23" w:rsidRPr="008D3135">
        <w:t xml:space="preserve">B. </w:t>
      </w:r>
      <w:r w:rsidR="008D3135" w:rsidRPr="008D3135">
        <w:t>E</w:t>
      </w:r>
      <w:r w:rsidR="5365CBD9" w:rsidRPr="008D3135">
        <w:t xml:space="preserve">ight actresses were paired into four groups based on </w:t>
      </w:r>
      <w:r w:rsidR="008D3135" w:rsidRPr="008D3135">
        <w:t>average</w:t>
      </w:r>
      <w:r w:rsidR="5365CBD9" w:rsidRPr="008D3135">
        <w:t xml:space="preserve"> perceived similarity </w:t>
      </w:r>
      <w:r w:rsidR="00823147">
        <w:t xml:space="preserve">with the others </w:t>
      </w:r>
      <w:r w:rsidR="5365CBD9" w:rsidRPr="008D3135">
        <w:t xml:space="preserve">and distinctiveness. Within each pair, the two actresses </w:t>
      </w:r>
      <w:r w:rsidR="00823147">
        <w:t>may</w:t>
      </w:r>
      <w:r w:rsidR="5365CBD9" w:rsidRPr="008D3135">
        <w:t xml:space="preserve"> serve as each other's target and foil in face-learning experiments.</w:t>
      </w:r>
      <w:r w:rsidR="420DBA23" w:rsidRPr="008D3135">
        <w:t xml:space="preserve"> C.</w:t>
      </w:r>
      <w:r w:rsidR="2949F069" w:rsidRPr="008D3135">
        <w:t xml:space="preserve"> Each actress was recorded under systematically controlled appearance conditions, including six wigs</w:t>
      </w:r>
      <w:r w:rsidR="008D3135" w:rsidRPr="008D3135">
        <w:t xml:space="preserve"> (hair down or up)</w:t>
      </w:r>
      <w:r w:rsidR="2949F069" w:rsidRPr="008D3135">
        <w:t xml:space="preserve"> and one balaclava, with or without lipstick and/or glasses, under three lighting directions. Standardized videos of 12 actions and reference photographs from</w:t>
      </w:r>
      <w:r w:rsidR="008D3135">
        <w:t xml:space="preserve"> three viewing angles were </w:t>
      </w:r>
      <w:r w:rsidR="2949F069" w:rsidRPr="008D3135">
        <w:t xml:space="preserve">acquired for every </w:t>
      </w:r>
      <w:r w:rsidR="008D3135">
        <w:t>combination of appearance and lighting</w:t>
      </w:r>
      <w:r w:rsidR="420DBA23" w:rsidRPr="008D3135">
        <w:t>.</w:t>
      </w:r>
    </w:p>
    <w:p w14:paraId="088E6481" w14:textId="5C17A050" w:rsidR="00222184" w:rsidRDefault="00222184" w:rsidP="004A5D29">
      <w:pPr>
        <w:ind w:firstLine="0"/>
        <w:jc w:val="both"/>
      </w:pPr>
    </w:p>
    <w:p w14:paraId="35B3FA7A" w14:textId="5E4C48A4" w:rsidR="0073500F" w:rsidRPr="005648EF" w:rsidRDefault="47C00E68" w:rsidP="00D10726">
      <w:r w:rsidRPr="52DD8CB6">
        <w:rPr>
          <w:b/>
          <w:bCs/>
        </w:rPr>
        <w:t xml:space="preserve">4. </w:t>
      </w:r>
      <w:r w:rsidR="1594F3D9" w:rsidRPr="52DD8CB6">
        <w:rPr>
          <w:b/>
          <w:bCs/>
        </w:rPr>
        <w:t xml:space="preserve">Material </w:t>
      </w:r>
      <w:r w:rsidR="06E3BB80" w:rsidRPr="52DD8CB6">
        <w:rPr>
          <w:b/>
          <w:bCs/>
        </w:rPr>
        <w:t>standardization</w:t>
      </w:r>
      <w:r w:rsidR="2C5B7C6D" w:rsidRPr="52DD8CB6">
        <w:rPr>
          <w:b/>
          <w:bCs/>
        </w:rPr>
        <w:t>.</w:t>
      </w:r>
      <w:r w:rsidR="1594F3D9">
        <w:t xml:space="preserve"> First, we used DaVinci Resolve</w:t>
      </w:r>
      <w:r w:rsidR="4A46ACEB">
        <w:t xml:space="preserve"> </w:t>
      </w:r>
      <w:r w:rsidR="00CE34DF">
        <w:rPr>
          <w:rFonts w:hint="eastAsia"/>
        </w:rPr>
        <w:t xml:space="preserve">Studio 18.6 </w:t>
      </w:r>
      <w:r w:rsidR="4A46ACEB" w:rsidRPr="00681587">
        <w:t>(</w:t>
      </w:r>
      <w:r w:rsidR="00CE34DF" w:rsidRPr="00CE34DF">
        <w:t>Blackmagic Design, Melbourne, Australia</w:t>
      </w:r>
      <w:r w:rsidR="4A46ACEB">
        <w:t>)</w:t>
      </w:r>
      <w:r w:rsidR="1594F3D9">
        <w:t xml:space="preserve"> to </w:t>
      </w:r>
      <w:r w:rsidR="040D3666">
        <w:t xml:space="preserve">separate the 12 different gestures </w:t>
      </w:r>
      <w:r w:rsidR="1594F3D9">
        <w:t xml:space="preserve">into 4-second clips </w:t>
      </w:r>
      <w:r w:rsidR="040D3666">
        <w:t>each</w:t>
      </w:r>
      <w:r w:rsidR="1594F3D9">
        <w:t xml:space="preserve">. Additional editing included occasionally </w:t>
      </w:r>
      <w:r w:rsidR="00D87DB9">
        <w:t xml:space="preserve">slightly </w:t>
      </w:r>
      <w:r w:rsidR="1594F3D9">
        <w:t xml:space="preserve">speeding up or slowing down some clips to ensure that each video was exactly 4 seconds long. We </w:t>
      </w:r>
      <w:r w:rsidR="32080F15">
        <w:t xml:space="preserve">obtained a total of </w:t>
      </w:r>
      <w:r w:rsidR="6EE27E42">
        <w:t>8</w:t>
      </w:r>
      <w:r w:rsidR="32080F15">
        <w:t>,</w:t>
      </w:r>
      <w:r w:rsidR="6EE27E42">
        <w:t>064</w:t>
      </w:r>
      <w:r w:rsidR="1594F3D9">
        <w:t xml:space="preserve"> clips</w:t>
      </w:r>
      <w:r w:rsidR="32080F15">
        <w:t xml:space="preserve"> (i.e. 8 actresses x 28 appearances x 3 lightings x 12 gestures)</w:t>
      </w:r>
      <w:r w:rsidR="1594F3D9">
        <w:t xml:space="preserve">. Then, we used </w:t>
      </w:r>
      <w:proofErr w:type="spellStart"/>
      <w:r w:rsidR="1594F3D9" w:rsidRPr="00F5278D">
        <w:t>CapCut</w:t>
      </w:r>
      <w:proofErr w:type="spellEnd"/>
      <w:r w:rsidR="4A46ACEB" w:rsidRPr="00681587">
        <w:t xml:space="preserve"> </w:t>
      </w:r>
      <w:r w:rsidR="00F5278D" w:rsidRPr="00681587">
        <w:t xml:space="preserve">5.5.0 </w:t>
      </w:r>
      <w:r w:rsidR="4A46ACEB" w:rsidRPr="00681587">
        <w:t>(</w:t>
      </w:r>
      <w:r w:rsidR="00F5278D" w:rsidRPr="00681587">
        <w:t>ByteDance Ltd., Beijing, China</w:t>
      </w:r>
      <w:r w:rsidR="4A46ACEB" w:rsidRPr="00F5278D">
        <w:t>)</w:t>
      </w:r>
      <w:r w:rsidR="1594F3D9">
        <w:t xml:space="preserve"> to crop all clips to a 4:3 ratio with a black background, and saved them in .mp4 format with a resolution of 960 x 540</w:t>
      </w:r>
      <w:r w:rsidR="32080F15">
        <w:t xml:space="preserve"> pixels.</w:t>
      </w:r>
      <w:r w:rsidR="1594F3D9">
        <w:t xml:space="preserve"> </w:t>
      </w:r>
      <w:r w:rsidR="004B55D9" w:rsidRPr="004B55D9">
        <w:t>To ensure consistent framing across all video clips</w:t>
      </w:r>
      <w:r w:rsidR="00681587">
        <w:t xml:space="preserve"> while preserving </w:t>
      </w:r>
      <w:r w:rsidR="003051EC">
        <w:lastRenderedPageBreak/>
        <w:t xml:space="preserve">hairstyle </w:t>
      </w:r>
      <w:r w:rsidR="00681587">
        <w:t>information</w:t>
      </w:r>
      <w:r w:rsidR="004B55D9" w:rsidRPr="004B55D9">
        <w:t>, cropping was standardized</w:t>
      </w:r>
      <w:r w:rsidR="003051EC">
        <w:t xml:space="preserve"> using fixed vertical landmarks</w:t>
      </w:r>
      <w:r w:rsidR="004B55D9" w:rsidRPr="004B55D9">
        <w:t>. A small</w:t>
      </w:r>
      <w:r w:rsidR="003051EC">
        <w:t xml:space="preserve">, </w:t>
      </w:r>
      <w:r w:rsidR="004B55D9" w:rsidRPr="004B55D9">
        <w:t xml:space="preserve">consistent amount of space was retained above the head, </w:t>
      </w:r>
      <w:r w:rsidR="003051EC">
        <w:t>and</w:t>
      </w:r>
      <w:r w:rsidR="004B55D9" w:rsidRPr="004B55D9">
        <w:t xml:space="preserve"> the lower boundary was aligned with </w:t>
      </w:r>
      <w:r w:rsidR="00681587">
        <w:t xml:space="preserve">the </w:t>
      </w:r>
      <w:r w:rsidR="003051EC">
        <w:t xml:space="preserve">upper edge </w:t>
      </w:r>
      <w:r w:rsidR="00681587">
        <w:t>of a</w:t>
      </w:r>
      <w:r w:rsidR="003051EC">
        <w:t xml:space="preserve"> large</w:t>
      </w:r>
      <w:r w:rsidR="004B55D9" w:rsidRPr="004B55D9">
        <w:t xml:space="preserve"> circular emblem </w:t>
      </w:r>
      <w:r w:rsidR="00681587">
        <w:t>printed</w:t>
      </w:r>
      <w:r w:rsidR="003051EC">
        <w:t xml:space="preserve"> centrally</w:t>
      </w:r>
      <w:r w:rsidR="00681587">
        <w:t xml:space="preserve"> </w:t>
      </w:r>
      <w:r w:rsidR="004B55D9" w:rsidRPr="004B55D9">
        <w:t>on the front of the grey hoodie worn by all actresses</w:t>
      </w:r>
      <w:r w:rsidR="003051EC">
        <w:t>, thereby excluding the emblem from the final videos</w:t>
      </w:r>
      <w:r w:rsidR="004B55D9" w:rsidRPr="004B55D9">
        <w:t>.</w:t>
      </w:r>
    </w:p>
    <w:p w14:paraId="6BD6F147" w14:textId="6CFC4229" w:rsidR="007A78F8" w:rsidRPr="007A78F8" w:rsidRDefault="004E4F45" w:rsidP="00D10726">
      <w:pPr>
        <w:jc w:val="both"/>
        <w:rPr>
          <w:rFonts w:eastAsia="Aptos" w:cstheme="minorHAnsi"/>
          <w:lang w:eastAsia="en-US"/>
        </w:rPr>
      </w:pPr>
      <w:r w:rsidRPr="00D70B0B">
        <w:rPr>
          <w:bCs/>
        </w:rPr>
        <w:t xml:space="preserve">All </w:t>
      </w:r>
      <w:r w:rsidRPr="004E4F45">
        <w:rPr>
          <w:rFonts w:eastAsia="Aptos" w:cstheme="minorHAnsi"/>
          <w:lang w:eastAsia="en-US"/>
        </w:rPr>
        <w:t>p</w:t>
      </w:r>
      <w:r w:rsidR="007A78F8" w:rsidRPr="004E4F45">
        <w:rPr>
          <w:rFonts w:eastAsia="Aptos" w:cstheme="minorHAnsi"/>
          <w:lang w:eastAsia="en-US"/>
        </w:rPr>
        <w:t>ictures</w:t>
      </w:r>
      <w:r w:rsidRPr="004E4F45">
        <w:rPr>
          <w:rFonts w:eastAsia="Aptos" w:cstheme="minorHAnsi"/>
          <w:lang w:eastAsia="en-US"/>
        </w:rPr>
        <w:t xml:space="preserve">, </w:t>
      </w:r>
      <w:r w:rsidRPr="004E4F45">
        <w:t>2,016 in number (i.e. 8 actresses x 28 appearances x 3 lightings x 3 orientations),</w:t>
      </w:r>
      <w:r w:rsidR="007A78F8" w:rsidRPr="007A78F8">
        <w:rPr>
          <w:rFonts w:eastAsia="Aptos" w:cstheme="minorHAnsi"/>
          <w:lang w:eastAsia="en-US"/>
        </w:rPr>
        <w:t xml:space="preserve"> were cropped </w:t>
      </w:r>
      <w:r w:rsidR="002F5407">
        <w:rPr>
          <w:rFonts w:eastAsia="Aptos" w:cstheme="minorHAnsi"/>
          <w:lang w:eastAsia="en-US"/>
        </w:rPr>
        <w:t xml:space="preserve">and framed in a standardized manner, </w:t>
      </w:r>
      <w:r w:rsidR="00E92337">
        <w:rPr>
          <w:rFonts w:eastAsia="Aptos" w:cstheme="minorHAnsi"/>
          <w:lang w:eastAsia="en-US"/>
        </w:rPr>
        <w:t>using</w:t>
      </w:r>
      <w:r w:rsidR="00E92337" w:rsidRPr="007A78F8">
        <w:rPr>
          <w:rFonts w:eastAsia="Aptos" w:cstheme="minorHAnsi"/>
          <w:lang w:eastAsia="en-US"/>
        </w:rPr>
        <w:t xml:space="preserve"> </w:t>
      </w:r>
      <w:r w:rsidR="007A78F8" w:rsidRPr="007A78F8">
        <w:rPr>
          <w:rFonts w:eastAsia="Aptos" w:cstheme="minorHAnsi"/>
          <w:lang w:eastAsia="en-US"/>
        </w:rPr>
        <w:t>GIMP (version 2.10.34)</w:t>
      </w:r>
      <w:r w:rsidR="00E92337">
        <w:rPr>
          <w:rFonts w:eastAsia="Aptos" w:cstheme="minorHAnsi"/>
          <w:lang w:eastAsia="en-US"/>
        </w:rPr>
        <w:t xml:space="preserve">, with </w:t>
      </w:r>
      <w:r w:rsidR="007A78F8" w:rsidRPr="007A78F8">
        <w:rPr>
          <w:rFonts w:eastAsia="Aptos" w:cstheme="minorHAnsi"/>
          <w:lang w:eastAsia="en-US"/>
        </w:rPr>
        <w:t>a fixed 1:1.3 aspect ratio</w:t>
      </w:r>
      <w:r w:rsidR="002F5407">
        <w:rPr>
          <w:rFonts w:eastAsia="Aptos" w:cstheme="minorHAnsi"/>
          <w:lang w:eastAsia="en-US"/>
        </w:rPr>
        <w:t xml:space="preserve"> and using the same vertical landmarks as for videos</w:t>
      </w:r>
      <w:r w:rsidR="007A78F8" w:rsidRPr="007A78F8">
        <w:rPr>
          <w:rFonts w:eastAsia="Aptos" w:cstheme="minorHAnsi"/>
          <w:lang w:eastAsia="en-US"/>
        </w:rPr>
        <w:t xml:space="preserve">. The frame was centered on the actress' nose for frontal images, and on their camera-facing pupil for side-view images. </w:t>
      </w:r>
      <w:r w:rsidR="0001716C" w:rsidRPr="0001716C">
        <w:rPr>
          <w:rFonts w:eastAsia="Aptos" w:cstheme="minorHAnsi"/>
          <w:lang w:eastAsia="en-US"/>
        </w:rPr>
        <w:t xml:space="preserve">Pictures were </w:t>
      </w:r>
      <w:r w:rsidR="005972C8">
        <w:rPr>
          <w:rFonts w:eastAsia="Aptos" w:cstheme="minorHAnsi"/>
          <w:lang w:eastAsia="en-US"/>
        </w:rPr>
        <w:t xml:space="preserve">then </w:t>
      </w:r>
      <w:r w:rsidR="0001716C" w:rsidRPr="0001716C">
        <w:rPr>
          <w:rFonts w:eastAsia="Aptos" w:cstheme="minorHAnsi"/>
          <w:lang w:eastAsia="en-US"/>
        </w:rPr>
        <w:t>exported in BMP format.</w:t>
      </w:r>
    </w:p>
    <w:p w14:paraId="422C6874" w14:textId="3E6E9BE7" w:rsidR="002E09D0" w:rsidRDefault="007A78F8" w:rsidP="00D10726">
      <w:pPr>
        <w:jc w:val="both"/>
      </w:pPr>
      <w:r w:rsidRPr="007A78F8">
        <w:rPr>
          <w:rFonts w:eastAsia="Aptos" w:cstheme="minorHAnsi"/>
          <w:lang w:eastAsia="en-US"/>
        </w:rPr>
        <w:t xml:space="preserve">After editing, each actress was represented in 1,008 video clips and 252 pictures. </w:t>
      </w:r>
      <w:r w:rsidR="00EE5C13">
        <w:t xml:space="preserve">A sample of appearance conditions including variation in lighting, hairstyle and accessories is shown on </w:t>
      </w:r>
      <w:r w:rsidR="00EE5C13">
        <w:rPr>
          <w:b/>
          <w:bCs/>
        </w:rPr>
        <w:t>F</w:t>
      </w:r>
      <w:r w:rsidR="00EE5C13" w:rsidRPr="007A78F8">
        <w:rPr>
          <w:b/>
          <w:bCs/>
        </w:rPr>
        <w:t xml:space="preserve">igure </w:t>
      </w:r>
      <w:r w:rsidR="00EE5C13">
        <w:rPr>
          <w:b/>
          <w:bCs/>
        </w:rPr>
        <w:t>1C</w:t>
      </w:r>
      <w:r w:rsidR="00EE5C13">
        <w:t>.</w:t>
      </w:r>
    </w:p>
    <w:p w14:paraId="20CF05AC" w14:textId="77777777" w:rsidR="002E09D0" w:rsidRDefault="002E09D0" w:rsidP="00D10726">
      <w:pPr>
        <w:jc w:val="both"/>
        <w:rPr>
          <w:b/>
        </w:rPr>
      </w:pPr>
      <w:r w:rsidRPr="004451CA">
        <w:rPr>
          <w:b/>
        </w:rPr>
        <w:t xml:space="preserve">5. Database </w:t>
      </w:r>
      <w:r>
        <w:rPr>
          <w:b/>
        </w:rPr>
        <w:t>accessibility</w:t>
      </w:r>
    </w:p>
    <w:p w14:paraId="64A52D9D" w14:textId="471A4652" w:rsidR="003F3AFB" w:rsidRDefault="003F3AFB" w:rsidP="00D10726">
      <w:pPr>
        <w:jc w:val="both"/>
      </w:pPr>
      <w:r>
        <w:t>The DIVA-Face database is hosted on the ULiège Dataverse repository (</w:t>
      </w:r>
      <w:hyperlink r:id="rId18" w:history="1">
        <w:r w:rsidR="000457A0" w:rsidRPr="00942E70">
          <w:rPr>
            <w:rStyle w:val="Hyperlink"/>
          </w:rPr>
          <w:t>https://doi.org/10.58119/ULG/EFLCIJ</w:t>
        </w:r>
      </w:hyperlink>
      <w:r>
        <w:t>). The repository includes a detailed description of the database</w:t>
      </w:r>
      <w:r w:rsidR="00971404">
        <w:t xml:space="preserve"> and its content (README documentation)</w:t>
      </w:r>
      <w:r>
        <w:t>, metadata, wig and actress pretest</w:t>
      </w:r>
      <w:r w:rsidR="00971404">
        <w:t>s’</w:t>
      </w:r>
      <w:r>
        <w:t xml:space="preserve"> data, and a preview of the image and video materials. These resources allow researchers to inspect the database structure and evaluate its suitability for their research purposes.</w:t>
      </w:r>
    </w:p>
    <w:p w14:paraId="16D8D9A0" w14:textId="4B43997F" w:rsidR="007C759A" w:rsidRDefault="003F3AFB" w:rsidP="00D10726">
      <w:pPr>
        <w:rPr>
          <w:rFonts w:eastAsia="Aptos" w:cstheme="minorHAnsi"/>
          <w:bCs/>
          <w:lang w:eastAsia="en-US"/>
        </w:rPr>
      </w:pPr>
      <w:r>
        <w:t xml:space="preserve">Because the database contains identifiable recordings of human actresses, the full-resolution images and videos are not available for unrestricted public download. This </w:t>
      </w:r>
      <w:r>
        <w:lastRenderedPageBreak/>
        <w:t xml:space="preserve">restriction was implemented to protect </w:t>
      </w:r>
      <w:r w:rsidR="00B64A2F">
        <w:t>the actresses’ image</w:t>
      </w:r>
      <w:r>
        <w:t xml:space="preserve"> and to ensure that the materials are used exclusively for </w:t>
      </w:r>
      <w:r w:rsidR="00B64A2F">
        <w:t>non-commercial</w:t>
      </w:r>
      <w:r>
        <w:t xml:space="preserve"> scientific research, in accordance with the informed consent provided by the actresses.</w:t>
      </w:r>
      <w:r>
        <w:rPr>
          <w:rFonts w:hint="eastAsia"/>
        </w:rPr>
        <w:t xml:space="preserve"> </w:t>
      </w:r>
      <w:r>
        <w:t>Researchers wishing to access the complete database may submit a request through the Dataverse repository</w:t>
      </w:r>
      <w:r w:rsidR="001F168D">
        <w:rPr>
          <w:rFonts w:hint="eastAsia"/>
        </w:rPr>
        <w:t xml:space="preserve"> (Li et al., 2025)</w:t>
      </w:r>
      <w:r>
        <w:t>. Access will be granted for non-commercial scientific research following acceptance of the database terms of use.</w:t>
      </w:r>
    </w:p>
    <w:p w14:paraId="59796E74" w14:textId="3E3F29D9" w:rsidR="00570981" w:rsidRPr="00763919" w:rsidRDefault="007C759A" w:rsidP="00D10726">
      <w:pPr>
        <w:ind w:firstLine="0"/>
        <w:jc w:val="center"/>
      </w:pPr>
      <w:r w:rsidRPr="7D104545">
        <w:rPr>
          <w:rFonts w:eastAsia="Aptos"/>
          <w:b/>
          <w:bCs/>
          <w:lang w:eastAsia="en-US"/>
        </w:rPr>
        <w:t xml:space="preserve">Empirical </w:t>
      </w:r>
      <w:r w:rsidR="00D96A5A">
        <w:rPr>
          <w:rFonts w:eastAsia="Aptos"/>
          <w:b/>
          <w:bCs/>
          <w:lang w:eastAsia="en-US"/>
        </w:rPr>
        <w:t>use</w:t>
      </w:r>
      <w:r w:rsidR="00D96A5A" w:rsidRPr="7D104545">
        <w:rPr>
          <w:rFonts w:eastAsia="Aptos"/>
          <w:b/>
          <w:bCs/>
          <w:lang w:eastAsia="en-US"/>
        </w:rPr>
        <w:t xml:space="preserve"> </w:t>
      </w:r>
      <w:r w:rsidRPr="7D104545">
        <w:rPr>
          <w:rFonts w:eastAsia="Aptos"/>
          <w:b/>
          <w:bCs/>
          <w:lang w:eastAsia="en-US"/>
        </w:rPr>
        <w:t>of the database</w:t>
      </w:r>
    </w:p>
    <w:p w14:paraId="002FD1F0" w14:textId="402D31C7" w:rsidR="007A78F8" w:rsidRDefault="007C759A" w:rsidP="00D10726">
      <w:r>
        <w:t>W</w:t>
      </w:r>
      <w:r w:rsidR="007A78F8">
        <w:t xml:space="preserve">e designed </w:t>
      </w:r>
      <w:r w:rsidR="00FF6885">
        <w:t>an incidental face learning task</w:t>
      </w:r>
      <w:r>
        <w:t xml:space="preserve">, </w:t>
      </w:r>
      <w:r w:rsidR="00D96A5A">
        <w:t xml:space="preserve">to illustrate one way of using </w:t>
      </w:r>
      <w:r w:rsidR="007A78F8">
        <w:t xml:space="preserve">the newly constructed material. Our aim was to investigate the specific role of </w:t>
      </w:r>
      <w:r>
        <w:t xml:space="preserve">variability in </w:t>
      </w:r>
      <w:r w:rsidR="007A78F8">
        <w:t xml:space="preserve">appearance </w:t>
      </w:r>
      <w:r w:rsidR="000208A5">
        <w:t xml:space="preserve">(stable vs. variable) </w:t>
      </w:r>
      <w:r>
        <w:t xml:space="preserve">on </w:t>
      </w:r>
      <w:r w:rsidR="007A78F8">
        <w:t>face learning</w:t>
      </w:r>
      <w:r w:rsidR="00B314D5">
        <w:t>, and how appearance may interact with exposure</w:t>
      </w:r>
      <w:r w:rsidR="000208A5">
        <w:t xml:space="preserve">, </w:t>
      </w:r>
      <w:r w:rsidR="000208A5" w:rsidRPr="00896310">
        <w:t xml:space="preserve">which was manipulated via the number of videos seen by participants (i.e. 3, 6, 9 or 12 videos; for more details, see also Li et al., </w:t>
      </w:r>
      <w:r w:rsidR="00896310" w:rsidRPr="00896310">
        <w:t>2026/under review</w:t>
      </w:r>
      <w:r w:rsidR="000208A5" w:rsidRPr="00896310">
        <w:rPr>
          <w:lang w:val="en-GB"/>
        </w:rPr>
        <w:t>, in which an explicit learning procedure was used in a series of experiments using a similar methods as here</w:t>
      </w:r>
      <w:r w:rsidR="000208A5" w:rsidRPr="00896310">
        <w:t xml:space="preserve">). </w:t>
      </w:r>
      <w:r w:rsidR="007A78F8" w:rsidRPr="00896310">
        <w:t>Study design and analyses plans were preregistered on the Open Science Framework prior</w:t>
      </w:r>
      <w:r w:rsidR="007A78F8">
        <w:t xml:space="preserve"> to data collection (</w:t>
      </w:r>
      <w:r>
        <w:t xml:space="preserve">the </w:t>
      </w:r>
      <w:r w:rsidR="007A78F8">
        <w:t xml:space="preserve">preregistration and data </w:t>
      </w:r>
      <w:r>
        <w:t>are visible at</w:t>
      </w:r>
      <w:r w:rsidR="007A78F8">
        <w:t xml:space="preserve"> </w:t>
      </w:r>
      <w:hyperlink r:id="rId19">
        <w:r w:rsidR="007A78F8" w:rsidRPr="7D104545">
          <w:rPr>
            <w:rStyle w:val="Hyperlink"/>
          </w:rPr>
          <w:t>https://osf.io/wezxs/?view_only=ba18fa36bfd3492f83e018e6dc4d5407</w:t>
        </w:r>
      </w:hyperlink>
      <w:r w:rsidR="007A78F8">
        <w:t>).</w:t>
      </w:r>
    </w:p>
    <w:p w14:paraId="5085738E" w14:textId="4260B22C" w:rsidR="007A78F8" w:rsidRDefault="003152D0" w:rsidP="00D10726">
      <w:r w:rsidRPr="7D104545">
        <w:rPr>
          <w:b/>
          <w:bCs/>
        </w:rPr>
        <w:t>Participants</w:t>
      </w:r>
      <w:r>
        <w:t xml:space="preserve">. </w:t>
      </w:r>
      <w:r w:rsidR="007A78F8">
        <w:t xml:space="preserve">Sample size estimation was conducted using an a priori power analysis in G*Power (version 3.1). Based on previous findings (Devue &amp; de Sena, 2023; Reedy &amp; Devue, 2019), an effect size of </w:t>
      </w:r>
      <w:r w:rsidR="007A78F8" w:rsidRPr="7D104545">
        <w:rPr>
          <w:i/>
          <w:iCs/>
        </w:rPr>
        <w:t>d</w:t>
      </w:r>
      <w:r w:rsidR="007A78F8">
        <w:t xml:space="preserve"> = 0.25 was estimated for the simple effects of appearance within four learning groups. To test these effects in each group, while accounting for Type I error rates, a Bonferroni correction for multiple comparisons was applied, setting the significance threshold at .0125 (.05/4). To achieve a power of .8, a </w:t>
      </w:r>
      <w:r w:rsidR="007A78F8">
        <w:lastRenderedPageBreak/>
        <w:t xml:space="preserve">total of 182 participants were required; raised to 184 participants, spread equally </w:t>
      </w:r>
      <w:r w:rsidR="00B314D5">
        <w:t>across</w:t>
      </w:r>
      <w:r w:rsidR="007A78F8">
        <w:t xml:space="preserve"> four </w:t>
      </w:r>
      <w:r w:rsidR="00BC1003">
        <w:rPr>
          <w:rFonts w:hint="eastAsia"/>
        </w:rPr>
        <w:t>learning</w:t>
      </w:r>
      <w:r w:rsidR="00BC1003">
        <w:t xml:space="preserve"> </w:t>
      </w:r>
      <w:r w:rsidR="007A78F8">
        <w:t>groups (</w:t>
      </w:r>
      <w:r w:rsidR="00FD7B66">
        <w:t>N</w:t>
      </w:r>
      <w:r w:rsidR="007A78F8">
        <w:t xml:space="preserve"> = 46).</w:t>
      </w:r>
    </w:p>
    <w:p w14:paraId="760E1C9E" w14:textId="61D6FF2D" w:rsidR="003152D0" w:rsidRPr="00832F1B" w:rsidRDefault="007A78F8" w:rsidP="00D10726">
      <w:pPr>
        <w:rPr>
          <w:rFonts w:eastAsia="等线" w:cs="Calibri"/>
        </w:rPr>
      </w:pPr>
      <w:r w:rsidRPr="00D425AF">
        <w:rPr>
          <w:rFonts w:cs="Calibri"/>
        </w:rPr>
        <w:t>We recruited 187 right-handed Caucasian participants aged between 18 and 50 years old (</w:t>
      </w:r>
      <w:r w:rsidRPr="00D425AF">
        <w:rPr>
          <w:rFonts w:cs="Calibri"/>
          <w:i/>
          <w:iCs/>
        </w:rPr>
        <w:t>M</w:t>
      </w:r>
      <w:r w:rsidRPr="00D425AF">
        <w:rPr>
          <w:rFonts w:cs="Calibri"/>
          <w:vertAlign w:val="subscript"/>
        </w:rPr>
        <w:t>age</w:t>
      </w:r>
      <w:r w:rsidRPr="00D425AF">
        <w:rPr>
          <w:rFonts w:cs="Calibri"/>
        </w:rPr>
        <w:t xml:space="preserve"> = 35.6</w:t>
      </w:r>
      <w:r>
        <w:rPr>
          <w:rFonts w:cs="Calibri"/>
        </w:rPr>
        <w:t xml:space="preserve"> </w:t>
      </w:r>
      <w:r w:rsidRPr="009C4F00">
        <w:rPr>
          <w:rFonts w:ascii="Symbol" w:eastAsia="Symbol" w:hAnsi="Symbol" w:cs="Symbol"/>
        </w:rPr>
        <w:t></w:t>
      </w:r>
      <w:r w:rsidRPr="00714A6A">
        <w:rPr>
          <w:rFonts w:ascii="Calibri" w:eastAsia="等线" w:hAnsi="Calibri" w:cs="Calibri"/>
        </w:rPr>
        <w:t xml:space="preserve"> </w:t>
      </w:r>
      <w:r w:rsidRPr="00D425AF">
        <w:rPr>
          <w:rFonts w:cs="Calibri"/>
        </w:rPr>
        <w:t>8.57; 98 men, 84 women and 4 non-binary)</w:t>
      </w:r>
      <w:r>
        <w:rPr>
          <w:rFonts w:cs="Calibri"/>
        </w:rPr>
        <w:t xml:space="preserve"> through two online data collection platforms: Prolific (</w:t>
      </w:r>
      <w:r w:rsidRPr="00FA54CB">
        <w:rPr>
          <w:rFonts w:cs="Calibri"/>
          <w:i/>
          <w:iCs/>
        </w:rPr>
        <w:t>N</w:t>
      </w:r>
      <w:r>
        <w:rPr>
          <w:rFonts w:cs="Calibri"/>
        </w:rPr>
        <w:t xml:space="preserve"> = 110; </w:t>
      </w:r>
      <w:hyperlink r:id="rId20" w:history="1">
        <w:r w:rsidRPr="008C17F3">
          <w:rPr>
            <w:rStyle w:val="Hyperlink"/>
            <w:rFonts w:cs="Calibri"/>
          </w:rPr>
          <w:t>https://www.prolific.com/</w:t>
        </w:r>
      </w:hyperlink>
      <w:r>
        <w:rPr>
          <w:rFonts w:cs="Calibri"/>
        </w:rPr>
        <w:t>) and Testable minds (</w:t>
      </w:r>
      <w:r w:rsidRPr="00FA54CB">
        <w:rPr>
          <w:rFonts w:cs="Calibri"/>
          <w:i/>
          <w:iCs/>
        </w:rPr>
        <w:t>N</w:t>
      </w:r>
      <w:r>
        <w:rPr>
          <w:rFonts w:cs="Calibri" w:hint="eastAsia"/>
        </w:rPr>
        <w:t xml:space="preserve"> </w:t>
      </w:r>
      <w:r>
        <w:rPr>
          <w:rFonts w:cs="Calibri"/>
        </w:rPr>
        <w:t>=</w:t>
      </w:r>
      <w:r>
        <w:rPr>
          <w:rFonts w:cs="Calibri" w:hint="eastAsia"/>
        </w:rPr>
        <w:t xml:space="preserve"> </w:t>
      </w:r>
      <w:r>
        <w:rPr>
          <w:rFonts w:cs="Calibri"/>
        </w:rPr>
        <w:t xml:space="preserve">77; </w:t>
      </w:r>
      <w:hyperlink r:id="rId21" w:history="1">
        <w:r w:rsidRPr="008C17F3">
          <w:rPr>
            <w:rStyle w:val="Hyperlink"/>
            <w:rFonts w:cs="Calibri"/>
          </w:rPr>
          <w:t>https://minds.testable.org/</w:t>
        </w:r>
      </w:hyperlink>
      <w:r>
        <w:rPr>
          <w:rFonts w:cs="Calibri"/>
        </w:rPr>
        <w:t>)</w:t>
      </w:r>
      <w:r w:rsidRPr="00D425AF">
        <w:rPr>
          <w:rFonts w:cs="Calibri"/>
        </w:rPr>
        <w:t>.</w:t>
      </w:r>
      <w:r w:rsidRPr="006F034D">
        <w:t xml:space="preserve"> </w:t>
      </w:r>
      <w:r w:rsidRPr="006F034D">
        <w:rPr>
          <w:rFonts w:cs="Calibri"/>
        </w:rPr>
        <w:t xml:space="preserve">Due to platforms intricacies, the final sample comprised 48 participants in Group 1 and 47 participants in Group 2 instead of the 46 </w:t>
      </w:r>
      <w:r>
        <w:rPr>
          <w:rFonts w:cs="Calibri"/>
        </w:rPr>
        <w:t>planned</w:t>
      </w:r>
      <w:r w:rsidRPr="006F034D">
        <w:rPr>
          <w:rFonts w:cs="Calibri"/>
        </w:rPr>
        <w:t>.</w:t>
      </w:r>
      <w:r>
        <w:rPr>
          <w:rFonts w:cs="Calibri"/>
        </w:rPr>
        <w:t xml:space="preserve"> </w:t>
      </w:r>
      <w:r w:rsidRPr="0023591E">
        <w:rPr>
          <w:rFonts w:cs="Calibri"/>
        </w:rPr>
        <w:t xml:space="preserve">The proportion of participants from each platform was comparable in all groups (i.e. </w:t>
      </w:r>
      <w:r>
        <w:rPr>
          <w:rFonts w:cs="Calibri"/>
        </w:rPr>
        <w:t>27 to 29</w:t>
      </w:r>
      <w:r w:rsidRPr="0023591E">
        <w:rPr>
          <w:rFonts w:cs="Calibri"/>
        </w:rPr>
        <w:t xml:space="preserve"> and </w:t>
      </w:r>
      <w:r>
        <w:rPr>
          <w:rFonts w:cs="Calibri"/>
        </w:rPr>
        <w:t xml:space="preserve">19 to </w:t>
      </w:r>
      <w:r w:rsidRPr="0023591E">
        <w:rPr>
          <w:rFonts w:cs="Calibri"/>
        </w:rPr>
        <w:t>20, respectively)</w:t>
      </w:r>
      <w:r>
        <w:rPr>
          <w:rFonts w:cs="Calibri"/>
        </w:rPr>
        <w:t>. T</w:t>
      </w:r>
      <w:r w:rsidRPr="00D425AF">
        <w:rPr>
          <w:rFonts w:cs="Calibri"/>
        </w:rPr>
        <w:t>hey all had normal or corrected to normal vision, spoke English as a first language and lived in English</w:t>
      </w:r>
      <w:r>
        <w:rPr>
          <w:rFonts w:cs="Calibri"/>
        </w:rPr>
        <w:noBreakHyphen/>
      </w:r>
      <w:r w:rsidRPr="00D425AF">
        <w:rPr>
          <w:rFonts w:cs="Calibri"/>
        </w:rPr>
        <w:t>speaking countries (United Kingdom, Ireland or United States).</w:t>
      </w:r>
      <w:r>
        <w:rPr>
          <w:rFonts w:cs="Calibri"/>
        </w:rPr>
        <w:t xml:space="preserve"> </w:t>
      </w:r>
      <w:r w:rsidRPr="00944D8E">
        <w:rPr>
          <w:rFonts w:cs="Calibri"/>
        </w:rPr>
        <w:t>We had planned to exclude subjects who failed two or more of three attention checks randomly presented during the recognition test or those with a mean response time two standard deviations below the sample’s mean. No participants had to be excluded.</w:t>
      </w:r>
      <w:r w:rsidRPr="00D425AF">
        <w:rPr>
          <w:rFonts w:cs="Calibri"/>
        </w:rPr>
        <w:t xml:space="preserve"> The study </w:t>
      </w:r>
      <w:r w:rsidRPr="00D425AF">
        <w:rPr>
          <w:rFonts w:eastAsia="等线" w:cs="Calibri"/>
        </w:rPr>
        <w:t>was approved by the local psychology ethics committee and participants all provided informed consent before taking part.</w:t>
      </w:r>
    </w:p>
    <w:p w14:paraId="68848FE7" w14:textId="0D049763" w:rsidR="00D902B2" w:rsidRDefault="0D53086E" w:rsidP="00D10726">
      <w:r w:rsidRPr="52DD8CB6">
        <w:rPr>
          <w:b/>
          <w:bCs/>
        </w:rPr>
        <w:t>Material.</w:t>
      </w:r>
      <w:r>
        <w:t xml:space="preserve"> </w:t>
      </w:r>
      <w:r w:rsidR="2F1D2DC9">
        <w:t xml:space="preserve">For the current experiment, a subset of the database </w:t>
      </w:r>
      <w:r w:rsidR="002504F9">
        <w:t xml:space="preserve">consisting </w:t>
      </w:r>
      <w:r w:rsidR="2F1D2DC9">
        <w:t xml:space="preserve">of 96 video clips </w:t>
      </w:r>
      <w:r w:rsidR="51E19E50">
        <w:t xml:space="preserve">of four actresses </w:t>
      </w:r>
      <w:r w:rsidR="6D35C19F">
        <w:t xml:space="preserve">(i.e. one from each </w:t>
      </w:r>
      <w:r w:rsidR="00F4371C">
        <w:t xml:space="preserve">of the four </w:t>
      </w:r>
      <w:r w:rsidR="6D35C19F">
        <w:t>pair</w:t>
      </w:r>
      <w:r w:rsidR="00F4371C">
        <w:t>s</w:t>
      </w:r>
      <w:r w:rsidR="6D35C19F">
        <w:t xml:space="preserve"> of faces visible on </w:t>
      </w:r>
      <w:r w:rsidR="6D35C19F" w:rsidRPr="52DD8CB6">
        <w:rPr>
          <w:b/>
          <w:bCs/>
        </w:rPr>
        <w:t>Figure 1B</w:t>
      </w:r>
      <w:r w:rsidR="6D35C19F">
        <w:t xml:space="preserve">) </w:t>
      </w:r>
      <w:r w:rsidR="00F4371C">
        <w:t>were used in the learning phase.</w:t>
      </w:r>
      <w:r w:rsidR="002504F9">
        <w:t xml:space="preserve"> There were 12 videos with a stable appearance and 12 with a variable appearance per actress, selected so as to </w:t>
      </w:r>
      <w:r w:rsidR="00C95B33">
        <w:rPr>
          <w:rFonts w:hint="eastAsia"/>
        </w:rPr>
        <w:t>p</w:t>
      </w:r>
      <w:r w:rsidR="00C61666">
        <w:rPr>
          <w:rFonts w:hint="eastAsia"/>
        </w:rPr>
        <w:t xml:space="preserve">rovide </w:t>
      </w:r>
      <w:r w:rsidR="003474F2">
        <w:t>systematic</w:t>
      </w:r>
      <w:r w:rsidR="00C61666">
        <w:rPr>
          <w:rFonts w:hint="eastAsia"/>
        </w:rPr>
        <w:t xml:space="preserve"> variation in lighting and facial movements, while sampling the range of appearance </w:t>
      </w:r>
      <w:r w:rsidR="003474F2">
        <w:t>manipulations</w:t>
      </w:r>
      <w:r w:rsidR="00C61666">
        <w:rPr>
          <w:rFonts w:hint="eastAsia"/>
        </w:rPr>
        <w:t xml:space="preserve"> (e.g., wigs, glasses, and lipstick) </w:t>
      </w:r>
      <w:r w:rsidR="00C4406C">
        <w:t>available</w:t>
      </w:r>
      <w:r w:rsidR="00C4406C">
        <w:rPr>
          <w:rFonts w:hint="eastAsia"/>
        </w:rPr>
        <w:t xml:space="preserve"> </w:t>
      </w:r>
      <w:r w:rsidR="00C61666">
        <w:rPr>
          <w:rFonts w:hint="eastAsia"/>
        </w:rPr>
        <w:t>in the v</w:t>
      </w:r>
      <w:r w:rsidR="00C4406C">
        <w:rPr>
          <w:rFonts w:hint="eastAsia"/>
        </w:rPr>
        <w:t>aria</w:t>
      </w:r>
      <w:r w:rsidR="00C61666">
        <w:rPr>
          <w:rFonts w:hint="eastAsia"/>
        </w:rPr>
        <w:t xml:space="preserve">ble </w:t>
      </w:r>
      <w:r w:rsidR="00C61666">
        <w:rPr>
          <w:rFonts w:hint="eastAsia"/>
        </w:rPr>
        <w:lastRenderedPageBreak/>
        <w:t>condition</w:t>
      </w:r>
      <w:r w:rsidR="002504F9">
        <w:t>.</w:t>
      </w:r>
      <w:r w:rsidR="00C4406C">
        <w:rPr>
          <w:rFonts w:hint="eastAsia"/>
        </w:rPr>
        <w:t xml:space="preserve"> </w:t>
      </w:r>
      <w:r w:rsidR="00D902B2">
        <w:t>A</w:t>
      </w:r>
      <w:r w:rsidR="00D902B2" w:rsidRPr="005648EF">
        <w:rPr>
          <w:rFonts w:hint="eastAsia"/>
        </w:rPr>
        <w:t xml:space="preserve">ny visible blemishes such as pimples, moles or other </w:t>
      </w:r>
      <w:r w:rsidR="00D902B2">
        <w:t>non-</w:t>
      </w:r>
      <w:r w:rsidR="00D902B2" w:rsidRPr="005648EF">
        <w:rPr>
          <w:rFonts w:hint="eastAsia"/>
        </w:rPr>
        <w:t xml:space="preserve">facial features that could serve as </w:t>
      </w:r>
      <w:r w:rsidR="00D902B2">
        <w:t xml:space="preserve">superficial learning </w:t>
      </w:r>
      <w:r w:rsidR="00D902B2" w:rsidRPr="005648EF">
        <w:rPr>
          <w:rFonts w:hint="eastAsia"/>
        </w:rPr>
        <w:t xml:space="preserve">cues were removed </w:t>
      </w:r>
      <w:r w:rsidR="00C95B33">
        <w:t>with</w:t>
      </w:r>
      <w:r w:rsidR="00D902B2" w:rsidRPr="005648EF">
        <w:rPr>
          <w:rFonts w:hint="eastAsia"/>
        </w:rPr>
        <w:t xml:space="preserve"> </w:t>
      </w:r>
      <w:r w:rsidR="00D902B2" w:rsidRPr="00446DEA">
        <w:rPr>
          <w:rFonts w:hint="eastAsia"/>
        </w:rPr>
        <w:t>Adobe Premier Pro 2025</w:t>
      </w:r>
      <w:r w:rsidR="00D902B2">
        <w:rPr>
          <w:rFonts w:hint="eastAsia"/>
        </w:rPr>
        <w:t xml:space="preserve"> </w:t>
      </w:r>
      <w:r w:rsidR="00D902B2" w:rsidRPr="005A133B">
        <w:t>(Adobe Inc., San Jose, CA, USA)</w:t>
      </w:r>
      <w:r w:rsidR="00D902B2" w:rsidRPr="00446DEA">
        <w:rPr>
          <w:rFonts w:hint="eastAsia"/>
        </w:rPr>
        <w:t>.</w:t>
      </w:r>
    </w:p>
    <w:p w14:paraId="04305CCD" w14:textId="77777777" w:rsidR="004A5D29" w:rsidRDefault="004A5D29" w:rsidP="00D10726"/>
    <w:p w14:paraId="1D7329E9" w14:textId="77777777" w:rsidR="004A5D29" w:rsidRDefault="004A5D29" w:rsidP="004A5D29">
      <w:pPr>
        <w:ind w:firstLine="0"/>
      </w:pPr>
      <w:r w:rsidRPr="52DD8CB6">
        <w:rPr>
          <w:b/>
          <w:bCs/>
        </w:rPr>
        <w:t xml:space="preserve">Figure </w:t>
      </w:r>
      <w:r>
        <w:rPr>
          <w:rFonts w:hint="eastAsia"/>
          <w:b/>
          <w:bCs/>
        </w:rPr>
        <w:t>2</w:t>
      </w:r>
    </w:p>
    <w:p w14:paraId="661B9421" w14:textId="77777777" w:rsidR="004A5D29" w:rsidRDefault="004A5D29" w:rsidP="004A5D29">
      <w:pPr>
        <w:ind w:firstLine="0"/>
      </w:pPr>
      <w:r>
        <w:rPr>
          <w:i/>
          <w:iCs/>
        </w:rPr>
        <w:t>Illustration of materials</w:t>
      </w:r>
      <w:r>
        <w:rPr>
          <w:rFonts w:hint="eastAsia"/>
          <w:i/>
          <w:iCs/>
        </w:rPr>
        <w:t xml:space="preserve"> used in the learning phase and </w:t>
      </w:r>
      <w:r>
        <w:rPr>
          <w:i/>
          <w:iCs/>
        </w:rPr>
        <w:t xml:space="preserve">in the </w:t>
      </w:r>
      <w:r>
        <w:rPr>
          <w:rFonts w:hint="eastAsia"/>
          <w:i/>
          <w:iCs/>
        </w:rPr>
        <w:t>recognition test.</w:t>
      </w:r>
    </w:p>
    <w:p w14:paraId="4B0E9094" w14:textId="77777777" w:rsidR="004A5D29" w:rsidRDefault="004A5D29" w:rsidP="004A5D29">
      <w:pPr>
        <w:ind w:firstLine="0"/>
        <w:jc w:val="center"/>
      </w:pPr>
      <w:r>
        <w:rPr>
          <w:noProof/>
          <w:lang w:val="fr-BE" w:eastAsia="fr-BE"/>
        </w:rPr>
        <w:drawing>
          <wp:inline distT="0" distB="0" distL="0" distR="0" wp14:anchorId="465F213C" wp14:editId="4A8ACCC5">
            <wp:extent cx="5618280" cy="1731003"/>
            <wp:effectExtent l="0" t="0" r="0" b="3175"/>
            <wp:docPr id="8510163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16390" name="Picture 85101639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55635" cy="1742512"/>
                    </a:xfrm>
                    <a:prstGeom prst="rect">
                      <a:avLst/>
                    </a:prstGeom>
                  </pic:spPr>
                </pic:pic>
              </a:graphicData>
            </a:graphic>
          </wp:inline>
        </w:drawing>
      </w:r>
    </w:p>
    <w:p w14:paraId="624BC7BD" w14:textId="67C5B611" w:rsidR="004A5D29" w:rsidRDefault="004A5D29" w:rsidP="004A5D29">
      <w:r w:rsidRPr="52DD8CB6">
        <w:rPr>
          <w:i/>
          <w:iCs/>
        </w:rPr>
        <w:t>Note</w:t>
      </w:r>
      <w:r>
        <w:rPr>
          <w:i/>
          <w:iCs/>
        </w:rPr>
        <w:t>s</w:t>
      </w:r>
      <w:r w:rsidRPr="52DD8CB6">
        <w:rPr>
          <w:i/>
          <w:iCs/>
        </w:rPr>
        <w:t>.</w:t>
      </w:r>
      <w:r>
        <w:t xml:space="preserve"> </w:t>
      </w:r>
      <w:r>
        <w:rPr>
          <w:rFonts w:hint="eastAsia"/>
        </w:rPr>
        <w:t>A. E</w:t>
      </w:r>
      <w:r w:rsidRPr="00700882">
        <w:t xml:space="preserve">xamples of </w:t>
      </w:r>
      <w:r>
        <w:t xml:space="preserve">appearances (stable, top row, variable, bottom row) used </w:t>
      </w:r>
      <w:r w:rsidRPr="00700882">
        <w:t>during the learning phase</w:t>
      </w:r>
      <w:r>
        <w:t xml:space="preserve"> (stimuli were video clips rather than static images)</w:t>
      </w:r>
      <w:r w:rsidRPr="00700882">
        <w:t>.</w:t>
      </w:r>
      <w:r>
        <w:rPr>
          <w:rFonts w:hint="eastAsia"/>
        </w:rPr>
        <w:t xml:space="preserve"> </w:t>
      </w:r>
      <w:r>
        <w:t>In the stable condition, the actress</w:t>
      </w:r>
      <w:r>
        <w:rPr>
          <w:rFonts w:hint="eastAsia"/>
        </w:rPr>
        <w:t xml:space="preserve"> maintained the same </w:t>
      </w:r>
      <w:r>
        <w:t xml:space="preserve">appearance across videos </w:t>
      </w:r>
      <w:r>
        <w:rPr>
          <w:rFonts w:hint="eastAsia"/>
        </w:rPr>
        <w:t>(</w:t>
      </w:r>
      <w:r>
        <w:t>hair down, no makeup or glasses</w:t>
      </w:r>
      <w:r>
        <w:rPr>
          <w:rFonts w:hint="eastAsia"/>
        </w:rPr>
        <w:t>), whereas i</w:t>
      </w:r>
      <w:r>
        <w:t xml:space="preserve">n the variable condition, appearance </w:t>
      </w:r>
      <w:r>
        <w:rPr>
          <w:rFonts w:hint="eastAsia"/>
        </w:rPr>
        <w:t xml:space="preserve">varied across videos through </w:t>
      </w:r>
      <w:r>
        <w:t>changes in wig</w:t>
      </w:r>
      <w:r>
        <w:rPr>
          <w:rFonts w:hint="eastAsia"/>
        </w:rPr>
        <w:t>s</w:t>
      </w:r>
      <w:r>
        <w:t>, hairstyle</w:t>
      </w:r>
      <w:r>
        <w:rPr>
          <w:rFonts w:hint="eastAsia"/>
        </w:rPr>
        <w:t>s</w:t>
      </w:r>
      <w:r>
        <w:t xml:space="preserve">, glasses and makeup. In both conditions, lighting </w:t>
      </w:r>
      <w:r>
        <w:rPr>
          <w:rFonts w:hint="eastAsia"/>
        </w:rPr>
        <w:t>and gesture</w:t>
      </w:r>
      <w:r>
        <w:t>s performed</w:t>
      </w:r>
      <w:r>
        <w:rPr>
          <w:rFonts w:hint="eastAsia"/>
        </w:rPr>
        <w:t xml:space="preserve"> varied </w:t>
      </w:r>
      <w:r>
        <w:t xml:space="preserve">systematically </w:t>
      </w:r>
      <w:r>
        <w:rPr>
          <w:rFonts w:hint="eastAsia"/>
        </w:rPr>
        <w:t>across videos.</w:t>
      </w:r>
      <w:r>
        <w:t xml:space="preserve"> </w:t>
      </w:r>
      <w:r>
        <w:rPr>
          <w:rFonts w:hint="eastAsia"/>
        </w:rPr>
        <w:t xml:space="preserve">B. </w:t>
      </w:r>
      <w:r>
        <w:t xml:space="preserve">Example of stimuli </w:t>
      </w:r>
      <w:r w:rsidRPr="00700882">
        <w:t xml:space="preserve">used in the recognition test. Test images were created from </w:t>
      </w:r>
      <w:r>
        <w:rPr>
          <w:rFonts w:hint="eastAsia"/>
        </w:rPr>
        <w:t>pictures</w:t>
      </w:r>
      <w:r w:rsidRPr="00700882">
        <w:t xml:space="preserve"> of actresses wearing a balaclava, allowing </w:t>
      </w:r>
      <w:r>
        <w:t>the removal of peripheral information</w:t>
      </w:r>
      <w:r w:rsidRPr="00700882">
        <w:t xml:space="preserve">. </w:t>
      </w:r>
      <w:r>
        <w:t>Head orientation and lighting varied systematically across pictures of actresses in both conditions.</w:t>
      </w:r>
    </w:p>
    <w:p w14:paraId="13480298" w14:textId="77777777" w:rsidR="004A5D29" w:rsidRDefault="004A5D29" w:rsidP="004A5D29"/>
    <w:p w14:paraId="51A40FA2" w14:textId="5042B503" w:rsidR="00D902B2" w:rsidRDefault="00F4371C" w:rsidP="00D10726">
      <w:r>
        <w:lastRenderedPageBreak/>
        <w:t xml:space="preserve">Test materials consisted of </w:t>
      </w:r>
      <w:r w:rsidR="2F1D2DC9">
        <w:t xml:space="preserve">72 pictures </w:t>
      </w:r>
      <w:r w:rsidR="51E19E50">
        <w:t xml:space="preserve">of </w:t>
      </w:r>
      <w:r w:rsidR="00B604D1">
        <w:t xml:space="preserve">the </w:t>
      </w:r>
      <w:r w:rsidR="51E19E50">
        <w:t xml:space="preserve">eight actresses </w:t>
      </w:r>
      <w:r>
        <w:t>(i.e.</w:t>
      </w:r>
      <w:r w:rsidR="00D902B2">
        <w:t xml:space="preserve"> four</w:t>
      </w:r>
      <w:r>
        <w:t xml:space="preserve"> learned target</w:t>
      </w:r>
      <w:r w:rsidR="00A671EB">
        <w:t>s</w:t>
      </w:r>
      <w:r>
        <w:t xml:space="preserve"> and their counterpart</w:t>
      </w:r>
      <w:r w:rsidR="00D902B2">
        <w:t>s</w:t>
      </w:r>
      <w:r>
        <w:t>)</w:t>
      </w:r>
      <w:r w:rsidR="00780ABD">
        <w:t xml:space="preserve">. </w:t>
      </w:r>
      <w:r w:rsidR="00780ABD" w:rsidRPr="0054359A">
        <w:t xml:space="preserve">There were </w:t>
      </w:r>
      <w:r w:rsidR="00780ABD" w:rsidRPr="0054359A">
        <w:rPr>
          <w:rFonts w:hint="eastAsia"/>
        </w:rPr>
        <w:t>9</w:t>
      </w:r>
      <w:r w:rsidR="00780ABD" w:rsidRPr="0054359A">
        <w:t xml:space="preserve"> pictures per identity (combining three lightings and three head orientations)</w:t>
      </w:r>
      <w:r w:rsidR="00780ABD">
        <w:t>,</w:t>
      </w:r>
      <w:r w:rsidR="00B604D1">
        <w:t xml:space="preserve"> with no glasses or lipstick</w:t>
      </w:r>
      <w:r w:rsidR="00780ABD">
        <w:t xml:space="preserve">, </w:t>
      </w:r>
      <w:r w:rsidR="002504F9">
        <w:t xml:space="preserve">and </w:t>
      </w:r>
      <w:r w:rsidR="00780ABD">
        <w:t>in which they all wore the same</w:t>
      </w:r>
      <w:r w:rsidR="00D902B2" w:rsidRPr="00546003">
        <w:t xml:space="preserve"> balaclava that completely concealed their natural hair</w:t>
      </w:r>
      <w:r w:rsidR="00D902B2">
        <w:rPr>
          <w:rFonts w:hint="eastAsia"/>
        </w:rPr>
        <w:t xml:space="preserve"> (see </w:t>
      </w:r>
      <w:r w:rsidR="00D902B2" w:rsidRPr="00F4371C">
        <w:rPr>
          <w:b/>
          <w:bCs/>
        </w:rPr>
        <w:t xml:space="preserve">Figure </w:t>
      </w:r>
      <w:r w:rsidR="00D902B2">
        <w:rPr>
          <w:b/>
          <w:bCs/>
        </w:rPr>
        <w:t>1</w:t>
      </w:r>
      <w:r w:rsidR="00D902B2" w:rsidRPr="00F4371C">
        <w:rPr>
          <w:b/>
          <w:bCs/>
        </w:rPr>
        <w:t>B</w:t>
      </w:r>
      <w:r w:rsidR="00D902B2">
        <w:rPr>
          <w:rFonts w:hint="eastAsia"/>
        </w:rPr>
        <w:t>)</w:t>
      </w:r>
      <w:r w:rsidR="00D902B2" w:rsidRPr="00546003">
        <w:t>. This ensured that recognition performance primarily relied on facial identity rather than hairstyle cues.</w:t>
      </w:r>
      <w:r w:rsidR="00D902B2">
        <w:rPr>
          <w:rFonts w:hint="eastAsia"/>
        </w:rPr>
        <w:t xml:space="preserve"> </w:t>
      </w:r>
      <w:r w:rsidR="00D902B2" w:rsidRPr="00A466B7">
        <w:t>The pictures were cropped</w:t>
      </w:r>
      <w:r w:rsidR="00D902B2">
        <w:t xml:space="preserve"> with a square frame around the opening of the balaclava, and resized at 300x300 pixels. The balaclava and background were covered with a black field (see </w:t>
      </w:r>
      <w:r w:rsidR="00D902B2" w:rsidRPr="00D902B2">
        <w:rPr>
          <w:b/>
        </w:rPr>
        <w:t>Figure 2B</w:t>
      </w:r>
      <w:r w:rsidR="00D902B2">
        <w:t>)</w:t>
      </w:r>
      <w:r w:rsidR="2F1D2DC9" w:rsidRPr="0054359A">
        <w:t xml:space="preserve">. </w:t>
      </w:r>
      <w:r w:rsidR="00B604D1">
        <w:t>Any b</w:t>
      </w:r>
      <w:r w:rsidR="00A671EB">
        <w:t>lemishes were also removed using Gimp</w:t>
      </w:r>
      <w:r w:rsidR="00B604D1">
        <w:t xml:space="preserve"> (</w:t>
      </w:r>
      <w:r w:rsidR="00B604D1" w:rsidRPr="007A78F8">
        <w:rPr>
          <w:rFonts w:eastAsia="Aptos" w:cstheme="minorHAnsi"/>
          <w:lang w:eastAsia="en-US"/>
        </w:rPr>
        <w:t>version 2.10.34)</w:t>
      </w:r>
      <w:r w:rsidR="00B604D1">
        <w:rPr>
          <w:rFonts w:eastAsia="Aptos" w:cstheme="minorHAnsi"/>
          <w:lang w:eastAsia="en-US"/>
        </w:rPr>
        <w:t>.</w:t>
      </w:r>
    </w:p>
    <w:p w14:paraId="06BC7E47" w14:textId="737BAF29" w:rsidR="00780ABD" w:rsidRDefault="00780ABD" w:rsidP="00D10726">
      <w:r w:rsidRPr="52DD8CB6">
        <w:rPr>
          <w:b/>
          <w:bCs/>
        </w:rPr>
        <w:t xml:space="preserve">Procedure. </w:t>
      </w:r>
      <w:r>
        <w:t xml:space="preserve">The experiment was programmed with </w:t>
      </w:r>
      <w:proofErr w:type="spellStart"/>
      <w:r>
        <w:t>PsychoPy</w:t>
      </w:r>
      <w:proofErr w:type="spellEnd"/>
      <w:r>
        <w:t xml:space="preserve"> and was accessed through the online platform </w:t>
      </w:r>
      <w:proofErr w:type="spellStart"/>
      <w:r>
        <w:t>Pavlovia</w:t>
      </w:r>
      <w:proofErr w:type="spellEnd"/>
      <w:r>
        <w:t xml:space="preserve">. </w:t>
      </w:r>
      <w:r w:rsidRPr="008B5FC8">
        <w:t>Before starting the experiment, participants were instructed to complete the task in a quiet environment, alone, using a computer (rather than a mobile device), and to avoid interruptions during testing.</w:t>
      </w:r>
      <w:r w:rsidR="005C0E80">
        <w:t xml:space="preserve"> All stimuli and instructions were presented on a </w:t>
      </w:r>
      <w:r w:rsidR="006E68BC">
        <w:t xml:space="preserve">middle </w:t>
      </w:r>
      <w:r w:rsidR="005C0E80">
        <w:t xml:space="preserve">gray background </w:t>
      </w:r>
      <w:r w:rsidR="0054653C">
        <w:t xml:space="preserve">to </w:t>
      </w:r>
      <w:proofErr w:type="spellStart"/>
      <w:r w:rsidR="00F62F63">
        <w:t>minimise</w:t>
      </w:r>
      <w:proofErr w:type="spellEnd"/>
      <w:r w:rsidR="005C0E80">
        <w:t xml:space="preserve"> </w:t>
      </w:r>
      <w:r w:rsidR="0054653C">
        <w:t>eyestrain</w:t>
      </w:r>
      <w:r w:rsidR="005C0E80">
        <w:t>.</w:t>
      </w:r>
    </w:p>
    <w:p w14:paraId="7D030A74" w14:textId="55557D3B" w:rsidR="00F62F63" w:rsidRPr="0075123C" w:rsidRDefault="00F62F63" w:rsidP="00D10726">
      <w:r>
        <w:rPr>
          <w:i/>
          <w:iCs/>
        </w:rPr>
        <w:t>Incidental l</w:t>
      </w:r>
      <w:r w:rsidRPr="52DD8CB6">
        <w:rPr>
          <w:i/>
          <w:iCs/>
        </w:rPr>
        <w:t xml:space="preserve">earning phase. </w:t>
      </w:r>
      <w:r>
        <w:t>Participants viewed the faces of four women, two of whom had a stable appearance and two a variable appearance (</w:t>
      </w:r>
      <w:r w:rsidRPr="52DD8CB6">
        <w:rPr>
          <w:b/>
          <w:bCs/>
        </w:rPr>
        <w:t xml:space="preserve">Figure </w:t>
      </w:r>
      <w:r>
        <w:rPr>
          <w:rFonts w:hint="eastAsia"/>
          <w:b/>
          <w:bCs/>
        </w:rPr>
        <w:t>2A</w:t>
      </w:r>
      <w:r>
        <w:t xml:space="preserve">). In the stable condition, each video of the actress displayed her in the same constant appearance condition, with hair down, no make-up nor glasses. In the variable condition, appearance varied in each video clip based on hairstyle and combinations of the three other features (makeup, lipstick, hair tie). In both conditions, display conditions (lighting and performed gesture) varied consistently across videos. This ensured that both types of faces were seen in rich but controlled conditions, and that the two categories of faces </w:t>
      </w:r>
      <w:r>
        <w:lastRenderedPageBreak/>
        <w:t>only differed in terms of physical appearance.</w:t>
      </w:r>
      <w:r>
        <w:rPr>
          <w:rFonts w:hint="eastAsia"/>
        </w:rPr>
        <w:t xml:space="preserve"> </w:t>
      </w:r>
      <w:r>
        <w:t>The assignment of stable and variable appearance was randomly determined for specific pairs of actresses at the beginning of the experiment.</w:t>
      </w:r>
    </w:p>
    <w:p w14:paraId="06C7D40B" w14:textId="1A46F119" w:rsidR="00832F1B" w:rsidRPr="0075123C" w:rsidRDefault="2F1D2DC9" w:rsidP="00D10726">
      <w:r>
        <w:t xml:space="preserve">Participants were </w:t>
      </w:r>
      <w:r w:rsidR="00D16B61" w:rsidRPr="00D16B61">
        <w:t>pseudo-randomly assigned</w:t>
      </w:r>
      <w:r>
        <w:t xml:space="preserve"> to one of four </w:t>
      </w:r>
      <w:r w:rsidR="00BC1003">
        <w:rPr>
          <w:rFonts w:hint="eastAsia"/>
        </w:rPr>
        <w:t>learning</w:t>
      </w:r>
      <w:r w:rsidR="00D16B61">
        <w:rPr>
          <w:rFonts w:hint="eastAsia"/>
        </w:rPr>
        <w:t xml:space="preserve"> </w:t>
      </w:r>
      <w:r>
        <w:t>groups</w:t>
      </w:r>
      <w:r w:rsidR="003A5510">
        <w:t xml:space="preserve"> by signing up to one </w:t>
      </w:r>
      <w:r w:rsidR="006F1A55">
        <w:t xml:space="preserve">out of four </w:t>
      </w:r>
      <w:r w:rsidR="003A5510">
        <w:t xml:space="preserve">versions of our experiment advertised on the testing platforms, with </w:t>
      </w:r>
      <w:r w:rsidR="000C048A">
        <w:t>the constraint that participating in one version precluded participation in another</w:t>
      </w:r>
      <w:r w:rsidR="00F62F63">
        <w:t xml:space="preserve"> and a set number of authorized participant per version</w:t>
      </w:r>
      <w:r>
        <w:t xml:space="preserve">. </w:t>
      </w:r>
      <w:r w:rsidR="003A5510">
        <w:t xml:space="preserve">Participants in </w:t>
      </w:r>
      <w:r>
        <w:t>Group 1 viewed three video clips per actress (12 videos</w:t>
      </w:r>
      <w:r w:rsidR="0C49CBCB">
        <w:t xml:space="preserve"> in</w:t>
      </w:r>
      <w:r>
        <w:t xml:space="preserve"> total), </w:t>
      </w:r>
      <w:r w:rsidR="003A5510">
        <w:t xml:space="preserve">those in </w:t>
      </w:r>
      <w:r>
        <w:t>Group 2 six clips per actress (24</w:t>
      </w:r>
      <w:r w:rsidR="0C49CBCB">
        <w:t xml:space="preserve"> in</w:t>
      </w:r>
      <w:r>
        <w:t xml:space="preserve"> total), </w:t>
      </w:r>
      <w:r w:rsidR="003A5510">
        <w:t xml:space="preserve">those in </w:t>
      </w:r>
      <w:r>
        <w:t xml:space="preserve">Group 3 nine clips (36 </w:t>
      </w:r>
      <w:r w:rsidR="0C49CBCB">
        <w:t xml:space="preserve">in </w:t>
      </w:r>
      <w:r>
        <w:t xml:space="preserve">total), and </w:t>
      </w:r>
      <w:r w:rsidR="003A5510">
        <w:t xml:space="preserve">those in </w:t>
      </w:r>
      <w:r>
        <w:t xml:space="preserve">Group 4 </w:t>
      </w:r>
      <w:r w:rsidR="003A5510">
        <w:t>saw</w:t>
      </w:r>
      <w:r>
        <w:t xml:space="preserve"> twelve clips per actress (48 total; encompassing all twelve gestures). </w:t>
      </w:r>
      <w:r w:rsidR="007D4F75">
        <w:t>The exposure to</w:t>
      </w:r>
      <w:r w:rsidR="3930D59D">
        <w:t xml:space="preserve"> individual identities </w:t>
      </w:r>
      <w:r>
        <w:t xml:space="preserve">was </w:t>
      </w:r>
      <w:r w:rsidR="3930D59D">
        <w:t xml:space="preserve">interspersed and organized via distinct learning </w:t>
      </w:r>
      <w:r>
        <w:t>episodes</w:t>
      </w:r>
      <w:r w:rsidR="3930D59D">
        <w:t xml:space="preserve"> of 12 videos</w:t>
      </w:r>
      <w:r w:rsidR="000C048A">
        <w:t xml:space="preserve"> each</w:t>
      </w:r>
      <w:r w:rsidR="3930D59D">
        <w:t>. Within e</w:t>
      </w:r>
      <w:r>
        <w:t xml:space="preserve">ach </w:t>
      </w:r>
      <w:r w:rsidR="000C048A">
        <w:t xml:space="preserve">learning </w:t>
      </w:r>
      <w:r w:rsidR="3930D59D">
        <w:t>episode, one actress was presented via a subset of three consecutive 4-second video clips</w:t>
      </w:r>
      <w:r w:rsidR="000C048A">
        <w:t xml:space="preserve">, each preceded by a 500 </w:t>
      </w:r>
      <w:proofErr w:type="spellStart"/>
      <w:r w:rsidR="000C048A">
        <w:t>ms</w:t>
      </w:r>
      <w:proofErr w:type="spellEnd"/>
      <w:r w:rsidR="000C048A">
        <w:t xml:space="preserve"> fixation cross. The </w:t>
      </w:r>
      <w:r>
        <w:t xml:space="preserve">four actresses </w:t>
      </w:r>
      <w:r w:rsidR="007D4F75">
        <w:t xml:space="preserve">appeared </w:t>
      </w:r>
      <w:r>
        <w:t>in a random order</w:t>
      </w:r>
      <w:r w:rsidR="000C048A">
        <w:t xml:space="preserve"> within a </w:t>
      </w:r>
      <w:r w:rsidR="00F62F63">
        <w:t xml:space="preserve">given </w:t>
      </w:r>
      <w:r w:rsidR="000C048A">
        <w:t>learning episode</w:t>
      </w:r>
      <w:r>
        <w:t>.</w:t>
      </w:r>
      <w:r w:rsidR="3930D59D">
        <w:t xml:space="preserve"> The total number of episodes seen varied as a function of group (i.e. from one to four).</w:t>
      </w:r>
    </w:p>
    <w:p w14:paraId="3B1E6B8F" w14:textId="0C73A8DD" w:rsidR="00832F1B" w:rsidRPr="0075123C" w:rsidRDefault="2F1D2DC9" w:rsidP="00D10726">
      <w:r>
        <w:t xml:space="preserve">To ensure that appearance variability alone distinguished the two </w:t>
      </w:r>
      <w:r w:rsidR="00B3351B">
        <w:t xml:space="preserve">appearance </w:t>
      </w:r>
      <w:r>
        <w:t xml:space="preserve">conditions, video selection was pseudo-randomized. Within each episode, all </w:t>
      </w:r>
      <w:r w:rsidR="000C048A">
        <w:t xml:space="preserve">four </w:t>
      </w:r>
      <w:r>
        <w:t xml:space="preserve">actresses were presented in the same </w:t>
      </w:r>
      <w:r w:rsidR="000C048A">
        <w:t xml:space="preserve">viewing </w:t>
      </w:r>
      <w:r>
        <w:t>conditions</w:t>
      </w:r>
      <w:r w:rsidR="007D4F75">
        <w:t>,</w:t>
      </w:r>
      <w:r>
        <w:t xml:space="preserve"> </w:t>
      </w:r>
      <w:r w:rsidR="00B3351B">
        <w:t xml:space="preserve">unique to </w:t>
      </w:r>
      <w:r w:rsidR="00F62F63">
        <w:t>that</w:t>
      </w:r>
      <w:r w:rsidR="00B3351B">
        <w:t xml:space="preserve"> episode </w:t>
      </w:r>
      <w:r>
        <w:t xml:space="preserve">(i.e., </w:t>
      </w:r>
      <w:r w:rsidR="000C048A">
        <w:t>a combination of three distinct</w:t>
      </w:r>
      <w:r w:rsidR="00B3351B">
        <w:t xml:space="preserve"> lighting and</w:t>
      </w:r>
      <w:r w:rsidR="000C048A">
        <w:t xml:space="preserve"> </w:t>
      </w:r>
      <w:r>
        <w:t>gesture</w:t>
      </w:r>
      <w:r w:rsidR="000C048A">
        <w:t>s</w:t>
      </w:r>
      <w:r>
        <w:t>). Between episodes, participants were informed that they would see the same four faces again in a randomized order.</w:t>
      </w:r>
    </w:p>
    <w:p w14:paraId="19112451" w14:textId="26B9EA24" w:rsidR="00832F1B" w:rsidRPr="0075123C" w:rsidRDefault="2F1D2DC9" w:rsidP="00D10726">
      <w:r>
        <w:t xml:space="preserve">To enhance ecological validity, an incidental learning paradigm was employed. </w:t>
      </w:r>
      <w:r w:rsidR="00B3351B">
        <w:t xml:space="preserve">Participants were not informed that they would </w:t>
      </w:r>
      <w:r w:rsidR="006F1A55">
        <w:t xml:space="preserve">later </w:t>
      </w:r>
      <w:r w:rsidR="00B3351B">
        <w:t xml:space="preserve">have to </w:t>
      </w:r>
      <w:r w:rsidR="006F1A55">
        <w:t>recognize</w:t>
      </w:r>
      <w:r w:rsidR="00B3351B">
        <w:t xml:space="preserve"> the faces. </w:t>
      </w:r>
      <w:r w:rsidR="00B3351B">
        <w:lastRenderedPageBreak/>
        <w:t xml:space="preserve">Instead, they </w:t>
      </w:r>
      <w:r>
        <w:t xml:space="preserve">were </w:t>
      </w:r>
      <w:r w:rsidR="3930D59D">
        <w:t>asked to rate</w:t>
      </w:r>
      <w:r>
        <w:t xml:space="preserve"> </w:t>
      </w:r>
      <w:r w:rsidR="00B3351B">
        <w:t xml:space="preserve">actresses’ </w:t>
      </w:r>
      <w:r>
        <w:t>friendliness, boldness and intelligence</w:t>
      </w:r>
      <w:r w:rsidR="00B3351B">
        <w:t xml:space="preserve"> after each three-video subset</w:t>
      </w:r>
      <w:r>
        <w:t xml:space="preserve">, using visual analog scales ranging from 0 to 100. </w:t>
      </w:r>
    </w:p>
    <w:p w14:paraId="71CDD039" w14:textId="2CE5C313" w:rsidR="00832F1B" w:rsidRPr="00F6130D" w:rsidRDefault="2F1D2DC9" w:rsidP="00D10726">
      <w:pPr>
        <w:jc w:val="both"/>
        <w:rPr>
          <w:rFonts w:ascii="Calibri" w:hAnsi="Calibri" w:cs="Calibri"/>
        </w:rPr>
      </w:pPr>
      <w:r w:rsidRPr="52DD8CB6">
        <w:rPr>
          <w:i/>
          <w:iCs/>
        </w:rPr>
        <w:t>Recognition test.</w:t>
      </w:r>
      <w:r>
        <w:t xml:space="preserve"> </w:t>
      </w:r>
      <w:r w:rsidRPr="52DD8CB6">
        <w:rPr>
          <w:rFonts w:ascii="Calibri" w:hAnsi="Calibri" w:cs="Calibri"/>
        </w:rPr>
        <w:t>Following the learning phase, participants completed an old/new recognition task in which they indicated whether each presented face had been rated during the previous phase of the experiment</w:t>
      </w:r>
      <w:r w:rsidR="005C0E80">
        <w:rPr>
          <w:rFonts w:ascii="Calibri" w:hAnsi="Calibri" w:cs="Calibri"/>
        </w:rPr>
        <w:t xml:space="preserve"> </w:t>
      </w:r>
      <w:r w:rsidR="006F1A55">
        <w:rPr>
          <w:rFonts w:ascii="Calibri" w:hAnsi="Calibri" w:cs="Calibri"/>
        </w:rPr>
        <w:t>or not</w:t>
      </w:r>
      <w:r w:rsidRPr="52DD8CB6">
        <w:rPr>
          <w:rFonts w:ascii="Calibri" w:hAnsi="Calibri" w:cs="Calibri"/>
        </w:rPr>
        <w:t>.</w:t>
      </w:r>
      <w:r w:rsidR="00B734EC">
        <w:rPr>
          <w:rFonts w:ascii="Calibri" w:hAnsi="Calibri" w:cs="Calibri" w:hint="eastAsia"/>
        </w:rPr>
        <w:t xml:space="preserve"> </w:t>
      </w:r>
      <w:r w:rsidR="00B734EC" w:rsidRPr="00B734EC">
        <w:rPr>
          <w:rFonts w:ascii="Calibri" w:hAnsi="Calibri" w:cs="Calibri"/>
        </w:rPr>
        <w:t xml:space="preserve">Participants were instructed to respond as accurately </w:t>
      </w:r>
      <w:r w:rsidR="006F1A55">
        <w:rPr>
          <w:rFonts w:ascii="Calibri" w:hAnsi="Calibri" w:cs="Calibri"/>
        </w:rPr>
        <w:t xml:space="preserve">and as fast </w:t>
      </w:r>
      <w:r w:rsidR="00B734EC" w:rsidRPr="00B734EC">
        <w:rPr>
          <w:rFonts w:ascii="Calibri" w:hAnsi="Calibri" w:cs="Calibri"/>
        </w:rPr>
        <w:t xml:space="preserve">as possible by </w:t>
      </w:r>
      <w:r w:rsidRPr="52DD8CB6">
        <w:rPr>
          <w:rFonts w:ascii="Calibri" w:hAnsi="Calibri" w:cs="Calibri"/>
        </w:rPr>
        <w:t>using the “1” and “2” keys on the keyboard, with key assignment counterbalanced across participants. A</w:t>
      </w:r>
      <w:r w:rsidR="00F752F3">
        <w:rPr>
          <w:rFonts w:ascii="Calibri" w:hAnsi="Calibri" w:cs="Calibri"/>
        </w:rPr>
        <w:t xml:space="preserve"> </w:t>
      </w:r>
      <w:r w:rsidRPr="52DD8CB6">
        <w:rPr>
          <w:rFonts w:ascii="Calibri" w:hAnsi="Calibri" w:cs="Calibri"/>
        </w:rPr>
        <w:t xml:space="preserve">total of 72 trials were presented across three blocks of 24 trials. The stimuli consisted of eight identities (the four learned faces and their four paired foils), each presented three times per block in </w:t>
      </w:r>
      <w:r w:rsidR="005C0E80">
        <w:rPr>
          <w:rFonts w:ascii="Calibri" w:hAnsi="Calibri" w:cs="Calibri"/>
        </w:rPr>
        <w:t xml:space="preserve">a </w:t>
      </w:r>
      <w:r w:rsidRPr="52DD8CB6">
        <w:rPr>
          <w:rFonts w:ascii="Calibri" w:hAnsi="Calibri" w:cs="Calibri"/>
        </w:rPr>
        <w:t>randomized order: once under each lighting condition and once under each face orientation, with the association between lighting and orientation counterbalanced across blocks. Participants were allowed to take a short break between blocks.</w:t>
      </w:r>
    </w:p>
    <w:p w14:paraId="7FBA0F11" w14:textId="2F163D14" w:rsidR="00832F1B" w:rsidRDefault="2F1D2DC9" w:rsidP="00D10726">
      <w:pPr>
        <w:jc w:val="both"/>
        <w:rPr>
          <w:rFonts w:ascii="Calibri" w:hAnsi="Calibri" w:cs="Calibri"/>
        </w:rPr>
      </w:pPr>
      <w:r w:rsidRPr="52DD8CB6">
        <w:rPr>
          <w:rFonts w:ascii="Calibri" w:hAnsi="Calibri" w:cs="Calibri"/>
        </w:rPr>
        <w:t>Each trial began with a 1000</w:t>
      </w:r>
      <w:r w:rsidR="005C0E80">
        <w:rPr>
          <w:rFonts w:ascii="Calibri" w:hAnsi="Calibri" w:cs="Calibri"/>
        </w:rPr>
        <w:t xml:space="preserve"> </w:t>
      </w:r>
      <w:proofErr w:type="spellStart"/>
      <w:r w:rsidR="005C0E80">
        <w:rPr>
          <w:rFonts w:ascii="Calibri" w:hAnsi="Calibri" w:cs="Calibri"/>
        </w:rPr>
        <w:t>ms</w:t>
      </w:r>
      <w:proofErr w:type="spellEnd"/>
      <w:r w:rsidRPr="52DD8CB6">
        <w:rPr>
          <w:rFonts w:ascii="Calibri" w:hAnsi="Calibri" w:cs="Calibri"/>
        </w:rPr>
        <w:t xml:space="preserve"> fixation cross, followed by a face image displaying only the internal facial features for 3 seconds. If no response was provided during this interval, the image was replaced by a screen reminding participants of the response keys, which remained visible until a response was made. Each block also included one attention check instructing participants to press a specific digit key.</w:t>
      </w:r>
    </w:p>
    <w:p w14:paraId="169FA3A8" w14:textId="7FF4D2CA" w:rsidR="00535784" w:rsidRPr="007A78F8" w:rsidRDefault="00535784" w:rsidP="00535784">
      <w:r w:rsidRPr="00535784">
        <w:rPr>
          <w:b/>
          <w:bCs/>
        </w:rPr>
        <w:t>Open Practices Statement</w:t>
      </w:r>
      <w:r w:rsidRPr="00535784">
        <w:rPr>
          <w:rFonts w:hint="eastAsia"/>
          <w:b/>
          <w:bCs/>
        </w:rPr>
        <w:t xml:space="preserve">. </w:t>
      </w:r>
      <w:r w:rsidRPr="00535784">
        <w:t>We provide the following information in accordance with TOP guidelines. We preregistered the study design and analyses plan prior to data collection on the Open Science Framework (</w:t>
      </w:r>
      <w:hyperlink r:id="rId23" w:history="1">
        <w:r w:rsidRPr="00535784">
          <w:rPr>
            <w:rStyle w:val="Hyperlink"/>
          </w:rPr>
          <w:t>https://osf.io/v3zax</w:t>
        </w:r>
      </w:hyperlink>
      <w:r w:rsidRPr="00535784">
        <w:t xml:space="preserve">). The aggregated data, analysis files, </w:t>
      </w:r>
      <w:r w:rsidR="005B409A">
        <w:t xml:space="preserve">and </w:t>
      </w:r>
      <w:r w:rsidRPr="00535784">
        <w:t xml:space="preserve">programming code for </w:t>
      </w:r>
      <w:r w:rsidRPr="00535784">
        <w:rPr>
          <w:rFonts w:hint="eastAsia"/>
        </w:rPr>
        <w:t xml:space="preserve">the </w:t>
      </w:r>
      <w:r w:rsidRPr="00535784">
        <w:t xml:space="preserve">experiment are available at </w:t>
      </w:r>
      <w:hyperlink r:id="rId24" w:history="1">
        <w:r w:rsidRPr="00535784">
          <w:rPr>
            <w:rStyle w:val="Hyperlink"/>
          </w:rPr>
          <w:t>https://osf.io/wezxs/?view_only=ba18fa36bfd3492f83e018e6dc4d5407</w:t>
        </w:r>
      </w:hyperlink>
      <w:r w:rsidRPr="00535784">
        <w:t xml:space="preserve">. The full stimuli database </w:t>
      </w:r>
      <w:r w:rsidRPr="00535784">
        <w:rPr>
          <w:rFonts w:hint="eastAsia"/>
        </w:rPr>
        <w:t xml:space="preserve">is </w:t>
      </w:r>
      <w:r w:rsidRPr="00535784">
        <w:t xml:space="preserve">visible at </w:t>
      </w:r>
      <w:hyperlink r:id="rId25" w:history="1">
        <w:r w:rsidRPr="00535784">
          <w:rPr>
            <w:rStyle w:val="Hyperlink"/>
          </w:rPr>
          <w:t>https://doi.org/10.58119/ULG/EFLCIJ</w:t>
        </w:r>
      </w:hyperlink>
      <w:r w:rsidRPr="00535784">
        <w:t>.</w:t>
      </w:r>
    </w:p>
    <w:p w14:paraId="53A3E394" w14:textId="1DE4131F" w:rsidR="003152D0" w:rsidRDefault="15254372" w:rsidP="00D10726">
      <w:pPr>
        <w:pStyle w:val="Heading1"/>
        <w:jc w:val="center"/>
      </w:pPr>
      <w:r>
        <w:t>Results</w:t>
      </w:r>
    </w:p>
    <w:p w14:paraId="243610D0" w14:textId="5E896E28" w:rsidR="00E47FBE" w:rsidRDefault="15254372" w:rsidP="00D10726">
      <w:pPr>
        <w:jc w:val="both"/>
        <w:rPr>
          <w:rFonts w:ascii="Times New Roman" w:eastAsia="Times New Roman" w:hAnsi="Times New Roman" w:cs="Times New Roman"/>
          <w:kern w:val="0"/>
          <w:lang w:eastAsia="fr-BE"/>
          <w14:ligatures w14:val="none"/>
        </w:rPr>
      </w:pPr>
      <w:r w:rsidRPr="00C95B33">
        <w:t xml:space="preserve">Sensitivity </w:t>
      </w:r>
      <w:r w:rsidRPr="00C95B33">
        <w:rPr>
          <w:i/>
          <w:iCs/>
        </w:rPr>
        <w:t>d’</w:t>
      </w:r>
      <w:r w:rsidRPr="00C95B33">
        <w:t xml:space="preserve"> was calculated in each </w:t>
      </w:r>
      <w:r w:rsidR="007930B6" w:rsidRPr="00C95B33">
        <w:t xml:space="preserve">learning </w:t>
      </w:r>
      <w:r w:rsidRPr="00C95B33">
        <w:t xml:space="preserve">group </w:t>
      </w:r>
      <w:r w:rsidR="008A6964" w:rsidRPr="00C95B33">
        <w:rPr>
          <w:rFonts w:hint="eastAsia"/>
        </w:rPr>
        <w:t xml:space="preserve">using </w:t>
      </w:r>
      <w:r w:rsidRPr="00C95B33">
        <w:t>mean hit rate</w:t>
      </w:r>
      <w:r w:rsidR="007930B6" w:rsidRPr="00C95B33">
        <w:t>s</w:t>
      </w:r>
      <w:r w:rsidR="00F60F7F" w:rsidRPr="00C95B33">
        <w:t xml:space="preserve"> </w:t>
      </w:r>
      <w:r w:rsidR="00C45063" w:rsidRPr="00C95B33">
        <w:rPr>
          <w:rFonts w:hint="eastAsia"/>
        </w:rPr>
        <w:t xml:space="preserve">and false </w:t>
      </w:r>
      <w:r w:rsidR="00C45063" w:rsidRPr="00C95B33">
        <w:t>alarm</w:t>
      </w:r>
      <w:r w:rsidR="00C45063" w:rsidRPr="00C95B33">
        <w:rPr>
          <w:rFonts w:hint="eastAsia"/>
        </w:rPr>
        <w:t xml:space="preserve"> rates computed separately for each </w:t>
      </w:r>
      <w:r w:rsidR="00F60F7F" w:rsidRPr="00C95B33">
        <w:t>appearance condition</w:t>
      </w:r>
      <w:r w:rsidR="00F5022D" w:rsidRPr="00C95B33">
        <w:rPr>
          <w:rStyle w:val="FootnoteReference"/>
        </w:rPr>
        <w:footnoteReference w:id="2"/>
      </w:r>
      <w:r w:rsidR="00C45063" w:rsidRPr="00C95B33">
        <w:rPr>
          <w:rFonts w:hint="eastAsia"/>
        </w:rPr>
        <w:t xml:space="preserve">, </w:t>
      </w:r>
      <w:r w:rsidR="00C45063" w:rsidRPr="00C95B33">
        <w:t>with false-alarm rates calculated from the corresponding foil identities</w:t>
      </w:r>
      <w:r w:rsidR="00C45063" w:rsidRPr="00C95B33">
        <w:rPr>
          <w:rFonts w:hint="eastAsia"/>
        </w:rPr>
        <w:t>.</w:t>
      </w:r>
      <w:r w:rsidR="007930B6" w:rsidRPr="00F60F7F">
        <w:t xml:space="preserve"> </w:t>
      </w:r>
      <w:r w:rsidRPr="007930B6">
        <w:t>The</w:t>
      </w:r>
      <w:r>
        <w:t xml:space="preserve"> distribution of the </w:t>
      </w:r>
      <w:r w:rsidRPr="52DD8CB6">
        <w:rPr>
          <w:i/>
          <w:iCs/>
        </w:rPr>
        <w:t>d’</w:t>
      </w:r>
      <w:r>
        <w:t xml:space="preserve"> within each group is displayed in </w:t>
      </w:r>
      <w:r w:rsidRPr="00F60F7F">
        <w:rPr>
          <w:b/>
          <w:bCs/>
        </w:rPr>
        <w:t xml:space="preserve">Figure </w:t>
      </w:r>
      <w:r w:rsidR="00100226" w:rsidRPr="00F60F7F">
        <w:rPr>
          <w:b/>
          <w:bCs/>
        </w:rPr>
        <w:t>3</w:t>
      </w:r>
      <w:r>
        <w:t xml:space="preserve">. </w:t>
      </w:r>
      <w:r w:rsidRPr="00131D50">
        <w:t>A two-way mixed analysis of variance (ANOVA) was conducted on d’ with Appearance (stable, variable) as a within-subject factor and Learning group (Group 1, 2, 3, 4) as a between-subject factor. All the assumptions for the use of the mixed ANOVA were met, except for the equality of variances. Levene’s tests revealed significant variance differences for both stable</w:t>
      </w:r>
      <w:r w:rsidR="206938EB">
        <w:t>,</w:t>
      </w:r>
      <w:r w:rsidRPr="00131D50">
        <w:t xml:space="preserve"> </w:t>
      </w:r>
      <w:r w:rsidRPr="52DD8CB6">
        <w:rPr>
          <w:i/>
          <w:iCs/>
        </w:rPr>
        <w:t>F</w:t>
      </w:r>
      <w:r w:rsidRPr="00131D50">
        <w:t xml:space="preserve">(3,183) = 4.237, </w:t>
      </w:r>
      <w:r w:rsidRPr="52DD8CB6">
        <w:rPr>
          <w:i/>
          <w:iCs/>
        </w:rPr>
        <w:t>p</w:t>
      </w:r>
      <w:r w:rsidRPr="00131D50">
        <w:t xml:space="preserve"> =</w:t>
      </w:r>
      <w:r w:rsidR="65ECE6A9">
        <w:rPr>
          <w:rFonts w:hint="eastAsia"/>
        </w:rPr>
        <w:t xml:space="preserve"> </w:t>
      </w:r>
      <w:r w:rsidRPr="00131D50">
        <w:t>.006</w:t>
      </w:r>
      <w:r w:rsidR="206938EB">
        <w:t>,</w:t>
      </w:r>
      <w:r w:rsidRPr="00131D50">
        <w:t xml:space="preserve"> and variable</w:t>
      </w:r>
      <w:r w:rsidR="00F60F7F">
        <w:t>,</w:t>
      </w:r>
      <w:r w:rsidRPr="00131D50">
        <w:t xml:space="preserve"> </w:t>
      </w:r>
      <w:r w:rsidRPr="52DD8CB6">
        <w:rPr>
          <w:i/>
          <w:iCs/>
        </w:rPr>
        <w:t>F</w:t>
      </w:r>
      <w:r w:rsidRPr="00131D50">
        <w:t xml:space="preserve">(3,183) = 3.596, </w:t>
      </w:r>
      <w:r w:rsidRPr="52DD8CB6">
        <w:rPr>
          <w:i/>
          <w:iCs/>
        </w:rPr>
        <w:t>p</w:t>
      </w:r>
      <w:r>
        <w:rPr>
          <w:rFonts w:hint="eastAsia"/>
        </w:rPr>
        <w:t xml:space="preserve"> </w:t>
      </w:r>
      <w:r w:rsidRPr="00131D50">
        <w:t>=</w:t>
      </w:r>
      <w:r w:rsidR="65ECE6A9">
        <w:rPr>
          <w:rFonts w:hint="eastAsia"/>
        </w:rPr>
        <w:t xml:space="preserve"> </w:t>
      </w:r>
      <w:r w:rsidRPr="00131D50">
        <w:t>.015</w:t>
      </w:r>
      <w:r w:rsidR="00F60F7F">
        <w:t>,</w:t>
      </w:r>
      <w:r w:rsidRPr="00131D50">
        <w:t xml:space="preserve"> conditions. However, since the differences between the variances were fairly small, the sample size high and the groups almost equilibrated, we chose to rely on the tests’ robustness. The ANOVA, and the simple effects analyses following it up, were interpreted with the Bonferroni-corrected significance criterion (</w:t>
      </w:r>
      <w:r w:rsidRPr="52DD8CB6">
        <w:rPr>
          <w:i/>
          <w:iCs/>
        </w:rPr>
        <w:t>α</w:t>
      </w:r>
      <w:r>
        <w:rPr>
          <w:rFonts w:hint="eastAsia"/>
        </w:rPr>
        <w:t xml:space="preserve"> </w:t>
      </w:r>
      <w:r w:rsidRPr="00131D50">
        <w:t>=</w:t>
      </w:r>
      <w:r>
        <w:rPr>
          <w:rFonts w:hint="eastAsia"/>
        </w:rPr>
        <w:t xml:space="preserve"> </w:t>
      </w:r>
      <w:r w:rsidRPr="00131D50">
        <w:t>.0125).</w:t>
      </w:r>
      <w:r w:rsidRPr="002F6297">
        <w:rPr>
          <w:rFonts w:ascii="Times New Roman" w:eastAsia="Times New Roman" w:hAnsi="Times New Roman" w:cs="Times New Roman"/>
          <w:kern w:val="0"/>
          <w:lang w:eastAsia="fr-BE"/>
          <w14:ligatures w14:val="none"/>
        </w:rPr>
        <w:t xml:space="preserve"> </w:t>
      </w:r>
    </w:p>
    <w:p w14:paraId="492FBB54" w14:textId="0A2B625D" w:rsidR="00E47FBE" w:rsidRDefault="15254372" w:rsidP="00D10726">
      <w:pPr>
        <w:jc w:val="both"/>
        <w:rPr>
          <w:rFonts w:eastAsia="Times New Roman" w:cs="Times New Roman"/>
          <w:kern w:val="0"/>
          <w:lang w:eastAsia="fr-BE"/>
          <w14:ligatures w14:val="none"/>
        </w:rPr>
      </w:pPr>
      <w:r w:rsidRPr="008A647E">
        <w:rPr>
          <w:rFonts w:eastAsia="Times New Roman" w:cs="Times New Roman"/>
          <w:kern w:val="0"/>
          <w:lang w:eastAsia="fr-BE"/>
          <w14:ligatures w14:val="none"/>
        </w:rPr>
        <w:t xml:space="preserve">A </w:t>
      </w:r>
      <w:r w:rsidR="00645071">
        <w:rPr>
          <w:rFonts w:cs="Times New Roman" w:hint="eastAsia"/>
          <w:kern w:val="0"/>
          <w14:ligatures w14:val="none"/>
        </w:rPr>
        <w:t>significant</w:t>
      </w:r>
      <w:r w:rsidRPr="008A647E">
        <w:rPr>
          <w:rFonts w:eastAsia="Times New Roman" w:cs="Times New Roman"/>
          <w:kern w:val="0"/>
          <w:lang w:eastAsia="fr-BE"/>
          <w14:ligatures w14:val="none"/>
        </w:rPr>
        <w:t xml:space="preserve"> main effect of Learning group (i.e., increased exposure) was </w:t>
      </w:r>
      <w:r w:rsidR="00645071">
        <w:rPr>
          <w:rFonts w:cs="Times New Roman" w:hint="eastAsia"/>
          <w:kern w:val="0"/>
          <w14:ligatures w14:val="none"/>
        </w:rPr>
        <w:t>observed,</w:t>
      </w:r>
      <w:r w:rsidR="00645071" w:rsidRPr="008A647E">
        <w:rPr>
          <w:rFonts w:eastAsia="Times New Roman" w:cs="Times New Roman"/>
          <w:kern w:val="0"/>
          <w:lang w:eastAsia="fr-BE"/>
          <w14:ligatures w14:val="none"/>
        </w:rPr>
        <w:t xml:space="preserve"> </w:t>
      </w:r>
      <w:r w:rsidRPr="52DD8CB6">
        <w:rPr>
          <w:rFonts w:eastAsia="Times New Roman" w:cs="Times New Roman"/>
          <w:i/>
          <w:iCs/>
          <w:kern w:val="0"/>
          <w:lang w:eastAsia="fr-BE"/>
          <w14:ligatures w14:val="none"/>
        </w:rPr>
        <w:t>F</w:t>
      </w:r>
      <w:r w:rsidRPr="008A647E">
        <w:rPr>
          <w:rFonts w:eastAsia="Times New Roman" w:cs="Times New Roman"/>
          <w:kern w:val="0"/>
          <w:lang w:eastAsia="fr-BE"/>
          <w14:ligatures w14:val="none"/>
        </w:rPr>
        <w:t xml:space="preserve">(3,183) = 7.891, </w:t>
      </w:r>
      <w:r w:rsidRPr="52DD8CB6">
        <w:rPr>
          <w:rFonts w:eastAsia="Times New Roman" w:cs="Times New Roman"/>
          <w:i/>
          <w:iCs/>
          <w:kern w:val="0"/>
          <w:lang w:eastAsia="fr-BE"/>
          <w14:ligatures w14:val="none"/>
        </w:rPr>
        <w:t>p</w:t>
      </w:r>
      <w:r w:rsidRPr="008A647E">
        <w:rPr>
          <w:rFonts w:eastAsia="Times New Roman" w:cs="Times New Roman"/>
          <w:kern w:val="0"/>
          <w:lang w:eastAsia="fr-BE"/>
          <w14:ligatures w14:val="none"/>
        </w:rPr>
        <w:t xml:space="preserve"> &lt; .001, </w:t>
      </w:r>
      <w:r w:rsidRPr="52DD8CB6">
        <w:rPr>
          <w:rFonts w:eastAsia="Times New Roman" w:cs="Times New Roman"/>
          <w:i/>
          <w:iCs/>
          <w:kern w:val="0"/>
          <w:lang w:eastAsia="fr-BE"/>
          <w14:ligatures w14:val="none"/>
        </w:rPr>
        <w:t>η</w:t>
      </w:r>
      <w:r w:rsidRPr="52DD8CB6">
        <w:rPr>
          <w:rFonts w:eastAsia="Times New Roman" w:cs="Times New Roman"/>
          <w:i/>
          <w:iCs/>
          <w:kern w:val="0"/>
          <w:vertAlign w:val="subscript"/>
          <w:lang w:eastAsia="fr-BE"/>
          <w14:ligatures w14:val="none"/>
        </w:rPr>
        <w:t>p</w:t>
      </w:r>
      <w:r w:rsidRPr="52DD8CB6">
        <w:rPr>
          <w:rFonts w:eastAsia="Times New Roman" w:cs="Times New Roman"/>
          <w:i/>
          <w:iCs/>
          <w:kern w:val="0"/>
          <w:vertAlign w:val="superscript"/>
          <w:lang w:eastAsia="fr-BE"/>
          <w14:ligatures w14:val="none"/>
        </w:rPr>
        <w:t>2</w:t>
      </w:r>
      <w:r w:rsidRPr="008A647E">
        <w:rPr>
          <w:rFonts w:eastAsia="Times New Roman" w:cs="Times New Roman"/>
          <w:kern w:val="0"/>
          <w:lang w:eastAsia="fr-BE"/>
          <w14:ligatures w14:val="none"/>
        </w:rPr>
        <w:t xml:space="preserve"> = 0.115, suggesting that sensitivity to the inner features of </w:t>
      </w:r>
      <w:r w:rsidRPr="008A647E">
        <w:rPr>
          <w:rFonts w:eastAsia="Times New Roman" w:cs="Times New Roman"/>
          <w:kern w:val="0"/>
          <w:lang w:eastAsia="fr-BE"/>
          <w14:ligatures w14:val="none"/>
        </w:rPr>
        <w:lastRenderedPageBreak/>
        <w:t>the target faces increased with additional exposure (</w:t>
      </w:r>
      <w:r w:rsidRPr="52DD8CB6">
        <w:rPr>
          <w:rFonts w:eastAsia="Times New Roman" w:cs="Times New Roman"/>
          <w:i/>
          <w:iCs/>
          <w:kern w:val="0"/>
          <w:lang w:eastAsia="fr-BE"/>
          <w14:ligatures w14:val="none"/>
        </w:rPr>
        <w:t>M</w:t>
      </w:r>
      <w:r w:rsidRPr="003F7885">
        <w:rPr>
          <w:rFonts w:eastAsia="Times New Roman" w:cs="Times New Roman"/>
          <w:kern w:val="0"/>
          <w:vertAlign w:val="subscript"/>
          <w:lang w:eastAsia="fr-BE"/>
          <w14:ligatures w14:val="none"/>
        </w:rPr>
        <w:t>group1</w:t>
      </w:r>
      <w:r w:rsidRPr="008A647E">
        <w:rPr>
          <w:rFonts w:eastAsia="Times New Roman" w:cs="Times New Roman"/>
          <w:kern w:val="0"/>
          <w:lang w:eastAsia="fr-BE"/>
          <w14:ligatures w14:val="none"/>
        </w:rPr>
        <w:t xml:space="preserve"> = 0.625</w:t>
      </w:r>
      <w:r>
        <w:rPr>
          <w:rFonts w:eastAsia="Times New Roman" w:cs="Times New Roman"/>
          <w:kern w:val="0"/>
          <w:lang w:eastAsia="fr-BE"/>
          <w14:ligatures w14:val="none"/>
        </w:rPr>
        <w:t xml:space="preserve"> </w:t>
      </w:r>
      <w:r w:rsidRPr="009C4F00">
        <w:rPr>
          <w:rFonts w:ascii="Symbol" w:eastAsia="Symbol" w:hAnsi="Symbol" w:cs="Symbol"/>
        </w:rPr>
        <w:t></w:t>
      </w:r>
      <w:r w:rsidRPr="00E51798">
        <w:rPr>
          <w:rFonts w:ascii="Calibri" w:eastAsia="等线" w:hAnsi="Calibri" w:cs="Calibri"/>
        </w:rPr>
        <w:t xml:space="preserve"> </w:t>
      </w:r>
      <w:r w:rsidRPr="008A647E">
        <w:rPr>
          <w:rFonts w:eastAsia="Times New Roman" w:cs="Times New Roman"/>
          <w:kern w:val="0"/>
          <w:lang w:eastAsia="fr-BE"/>
          <w14:ligatures w14:val="none"/>
        </w:rPr>
        <w:t xml:space="preserve">1.16; </w:t>
      </w:r>
      <w:r w:rsidRPr="52DD8CB6">
        <w:rPr>
          <w:rFonts w:eastAsia="Times New Roman" w:cs="Times New Roman"/>
          <w:i/>
          <w:iCs/>
          <w:kern w:val="0"/>
          <w:lang w:eastAsia="fr-BE"/>
          <w14:ligatures w14:val="none"/>
        </w:rPr>
        <w:t>M</w:t>
      </w:r>
      <w:r w:rsidRPr="00E51798">
        <w:rPr>
          <w:rFonts w:eastAsia="Times New Roman" w:cs="Times New Roman"/>
          <w:kern w:val="0"/>
          <w:vertAlign w:val="subscript"/>
          <w:lang w:eastAsia="fr-BE"/>
          <w14:ligatures w14:val="none"/>
        </w:rPr>
        <w:t>group2</w:t>
      </w:r>
      <w:r>
        <w:rPr>
          <w:rFonts w:cs="Times New Roman"/>
          <w:kern w:val="0"/>
          <w14:ligatures w14:val="none"/>
        </w:rPr>
        <w:t xml:space="preserve"> </w:t>
      </w:r>
      <w:r w:rsidRPr="008A647E">
        <w:rPr>
          <w:rFonts w:eastAsia="Times New Roman" w:cs="Times New Roman"/>
          <w:kern w:val="0"/>
          <w:lang w:eastAsia="fr-BE"/>
          <w14:ligatures w14:val="none"/>
        </w:rPr>
        <w:t>=</w:t>
      </w:r>
      <w:r>
        <w:rPr>
          <w:rFonts w:cs="Times New Roman"/>
          <w:kern w:val="0"/>
          <w14:ligatures w14:val="none"/>
        </w:rPr>
        <w:t xml:space="preserve"> </w:t>
      </w:r>
      <w:r w:rsidRPr="008A647E">
        <w:rPr>
          <w:rFonts w:eastAsia="Times New Roman" w:cs="Times New Roman"/>
          <w:kern w:val="0"/>
          <w:lang w:eastAsia="fr-BE"/>
          <w14:ligatures w14:val="none"/>
        </w:rPr>
        <w:t>1.443</w:t>
      </w:r>
      <w:r>
        <w:rPr>
          <w:rFonts w:cs="Times New Roman"/>
          <w:kern w:val="0"/>
          <w14:ligatures w14:val="none"/>
        </w:rPr>
        <w:t xml:space="preserve"> </w:t>
      </w:r>
      <w:r w:rsidRPr="009C4F00">
        <w:rPr>
          <w:rFonts w:ascii="Symbol" w:eastAsia="Symbol" w:hAnsi="Symbol" w:cs="Symbol"/>
        </w:rPr>
        <w:t></w:t>
      </w:r>
      <w:r>
        <w:rPr>
          <w:rFonts w:cs="Times New Roman"/>
          <w:kern w:val="0"/>
          <w14:ligatures w14:val="none"/>
        </w:rPr>
        <w:t xml:space="preserve"> </w:t>
      </w:r>
      <w:r w:rsidRPr="008A647E">
        <w:rPr>
          <w:rFonts w:eastAsia="Times New Roman" w:cs="Times New Roman"/>
          <w:kern w:val="0"/>
          <w:lang w:eastAsia="fr-BE"/>
          <w14:ligatures w14:val="none"/>
        </w:rPr>
        <w:t xml:space="preserve">1.54; </w:t>
      </w:r>
      <w:r w:rsidRPr="52DD8CB6">
        <w:rPr>
          <w:rFonts w:eastAsia="Times New Roman" w:cs="Times New Roman"/>
          <w:i/>
          <w:iCs/>
          <w:kern w:val="0"/>
          <w:lang w:eastAsia="fr-BE"/>
          <w14:ligatures w14:val="none"/>
        </w:rPr>
        <w:t>M</w:t>
      </w:r>
      <w:r w:rsidRPr="00E51798">
        <w:rPr>
          <w:rFonts w:eastAsia="Times New Roman" w:cs="Times New Roman"/>
          <w:kern w:val="0"/>
          <w:vertAlign w:val="subscript"/>
          <w:lang w:eastAsia="fr-BE"/>
          <w14:ligatures w14:val="none"/>
        </w:rPr>
        <w:t>group3</w:t>
      </w:r>
      <w:r w:rsidRPr="008A647E">
        <w:rPr>
          <w:rFonts w:eastAsia="Times New Roman" w:cs="Times New Roman"/>
          <w:kern w:val="0"/>
          <w:lang w:eastAsia="fr-BE"/>
          <w14:ligatures w14:val="none"/>
        </w:rPr>
        <w:t xml:space="preserve"> = 1.557</w:t>
      </w:r>
      <w:r>
        <w:rPr>
          <w:rFonts w:eastAsia="Times New Roman" w:cs="Times New Roman"/>
          <w:kern w:val="0"/>
          <w:lang w:eastAsia="fr-BE"/>
          <w14:ligatures w14:val="none"/>
        </w:rPr>
        <w:t xml:space="preserve"> </w:t>
      </w:r>
      <w:r w:rsidRPr="009C4F00">
        <w:rPr>
          <w:rFonts w:ascii="Symbol" w:eastAsia="Symbol" w:hAnsi="Symbol" w:cs="Symbol"/>
        </w:rPr>
        <w:t></w:t>
      </w:r>
      <w:r w:rsidRPr="00E51798">
        <w:rPr>
          <w:rFonts w:eastAsia="Times New Roman" w:cs="Times New Roman"/>
          <w:kern w:val="0"/>
          <w:lang w:eastAsia="fr-BE"/>
          <w14:ligatures w14:val="none"/>
        </w:rPr>
        <w:t xml:space="preserve"> </w:t>
      </w:r>
      <w:r w:rsidRPr="008A647E">
        <w:rPr>
          <w:rFonts w:eastAsia="Times New Roman" w:cs="Times New Roman"/>
          <w:kern w:val="0"/>
          <w:lang w:eastAsia="fr-BE"/>
          <w14:ligatures w14:val="none"/>
        </w:rPr>
        <w:t xml:space="preserve">1.66; </w:t>
      </w:r>
      <w:r w:rsidRPr="52DD8CB6">
        <w:rPr>
          <w:rFonts w:eastAsia="Times New Roman" w:cs="Times New Roman"/>
          <w:i/>
          <w:iCs/>
          <w:kern w:val="0"/>
          <w:lang w:eastAsia="fr-BE"/>
          <w14:ligatures w14:val="none"/>
        </w:rPr>
        <w:t>M</w:t>
      </w:r>
      <w:r w:rsidRPr="00E51798">
        <w:rPr>
          <w:rFonts w:eastAsia="Times New Roman" w:cs="Times New Roman"/>
          <w:kern w:val="0"/>
          <w:vertAlign w:val="subscript"/>
          <w:lang w:eastAsia="fr-BE"/>
          <w14:ligatures w14:val="none"/>
        </w:rPr>
        <w:t>group4</w:t>
      </w:r>
      <w:r w:rsidRPr="008A647E">
        <w:rPr>
          <w:rFonts w:eastAsia="Times New Roman" w:cs="Times New Roman"/>
          <w:kern w:val="0"/>
          <w:lang w:eastAsia="fr-BE"/>
          <w14:ligatures w14:val="none"/>
        </w:rPr>
        <w:t xml:space="preserve"> = 1.877</w:t>
      </w:r>
      <w:r>
        <w:rPr>
          <w:rFonts w:eastAsia="Times New Roman" w:cs="Times New Roman"/>
          <w:kern w:val="0"/>
          <w:lang w:eastAsia="fr-BE"/>
          <w14:ligatures w14:val="none"/>
        </w:rPr>
        <w:t xml:space="preserve"> </w:t>
      </w:r>
      <w:r w:rsidRPr="009C4F00">
        <w:rPr>
          <w:rFonts w:ascii="Symbol" w:eastAsia="Symbol" w:hAnsi="Symbol" w:cs="Symbol"/>
        </w:rPr>
        <w:t></w:t>
      </w:r>
      <w:r w:rsidRPr="00E51798">
        <w:rPr>
          <w:rFonts w:ascii="Calibri" w:eastAsia="等线" w:hAnsi="Calibri" w:cs="Calibri"/>
        </w:rPr>
        <w:t xml:space="preserve"> </w:t>
      </w:r>
      <w:r w:rsidRPr="008A647E">
        <w:rPr>
          <w:rFonts w:eastAsia="Times New Roman" w:cs="Times New Roman"/>
          <w:kern w:val="0"/>
          <w:lang w:eastAsia="fr-BE"/>
          <w14:ligatures w14:val="none"/>
        </w:rPr>
        <w:t xml:space="preserve">1.69). </w:t>
      </w:r>
      <w:r w:rsidR="00100226" w:rsidRPr="00100226">
        <w:rPr>
          <w:rFonts w:eastAsia="Times New Roman" w:cs="Times New Roman"/>
          <w:kern w:val="0"/>
          <w:lang w:eastAsia="fr-BE"/>
          <w14:ligatures w14:val="none"/>
        </w:rPr>
        <w:t xml:space="preserve">A linear contrast confirmed </w:t>
      </w:r>
      <w:r w:rsidR="00645071">
        <w:rPr>
          <w:rFonts w:asciiTheme="minorEastAsia" w:hAnsiTheme="minorEastAsia" w:cs="Times New Roman" w:hint="eastAsia"/>
          <w:kern w:val="0"/>
          <w14:ligatures w14:val="none"/>
        </w:rPr>
        <w:t>that</w:t>
      </w:r>
      <w:r w:rsidR="00645071">
        <w:rPr>
          <w:rFonts w:cs="Times New Roman" w:hint="eastAsia"/>
          <w:kern w:val="0"/>
          <w14:ligatures w14:val="none"/>
        </w:rPr>
        <w:t xml:space="preserve"> </w:t>
      </w:r>
      <w:r w:rsidR="00100226" w:rsidRPr="00100226">
        <w:rPr>
          <w:rFonts w:eastAsia="Times New Roman" w:cs="Times New Roman"/>
          <w:kern w:val="0"/>
          <w:lang w:eastAsia="fr-BE"/>
          <w14:ligatures w14:val="none"/>
        </w:rPr>
        <w:t xml:space="preserve">sensitivity </w:t>
      </w:r>
      <w:r w:rsidR="00645071">
        <w:rPr>
          <w:rFonts w:cs="Times New Roman"/>
          <w:kern w:val="0"/>
          <w14:ligatures w14:val="none"/>
        </w:rPr>
        <w:t>increased</w:t>
      </w:r>
      <w:r w:rsidR="00645071">
        <w:rPr>
          <w:rFonts w:cs="Times New Roman" w:hint="eastAsia"/>
          <w:kern w:val="0"/>
          <w14:ligatures w14:val="none"/>
        </w:rPr>
        <w:t xml:space="preserve"> linearly </w:t>
      </w:r>
      <w:r w:rsidR="00100226" w:rsidRPr="00100226">
        <w:rPr>
          <w:rFonts w:eastAsia="Times New Roman" w:cs="Times New Roman"/>
          <w:kern w:val="0"/>
          <w:lang w:eastAsia="fr-BE"/>
          <w14:ligatures w14:val="none"/>
        </w:rPr>
        <w:t xml:space="preserve">across </w:t>
      </w:r>
      <w:r w:rsidR="00C22B9E">
        <w:rPr>
          <w:rFonts w:asciiTheme="minorEastAsia" w:hAnsiTheme="minorEastAsia" w:cs="Times New Roman" w:hint="eastAsia"/>
          <w:kern w:val="0"/>
          <w14:ligatures w14:val="none"/>
        </w:rPr>
        <w:t>learning</w:t>
      </w:r>
      <w:r w:rsidR="00C22B9E">
        <w:rPr>
          <w:rFonts w:cs="Times New Roman" w:hint="eastAsia"/>
          <w:kern w:val="0"/>
          <w14:ligatures w14:val="none"/>
        </w:rPr>
        <w:t xml:space="preserve"> groups</w:t>
      </w:r>
      <w:r w:rsidR="00100226" w:rsidRPr="00100226">
        <w:rPr>
          <w:rFonts w:eastAsia="Times New Roman" w:cs="Times New Roman"/>
          <w:kern w:val="0"/>
          <w:lang w:eastAsia="fr-BE"/>
          <w14:ligatures w14:val="none"/>
        </w:rPr>
        <w:t xml:space="preserve">, </w:t>
      </w:r>
      <w:r w:rsidR="00100226" w:rsidRPr="00F60F7F">
        <w:rPr>
          <w:rFonts w:eastAsia="Times New Roman" w:cs="Times New Roman"/>
          <w:i/>
          <w:kern w:val="0"/>
          <w:lang w:eastAsia="fr-BE"/>
          <w14:ligatures w14:val="none"/>
        </w:rPr>
        <w:t>t</w:t>
      </w:r>
      <w:r w:rsidR="00100226" w:rsidRPr="00100226">
        <w:rPr>
          <w:rFonts w:eastAsia="Times New Roman" w:cs="Times New Roman"/>
          <w:kern w:val="0"/>
          <w:lang w:eastAsia="fr-BE"/>
          <w14:ligatures w14:val="none"/>
        </w:rPr>
        <w:t>(18</w:t>
      </w:r>
      <w:r w:rsidR="00C22B9E">
        <w:rPr>
          <w:rFonts w:cs="Times New Roman" w:hint="eastAsia"/>
          <w:kern w:val="0"/>
          <w14:ligatures w14:val="none"/>
        </w:rPr>
        <w:t>3</w:t>
      </w:r>
      <w:r w:rsidR="00100226" w:rsidRPr="00100226">
        <w:rPr>
          <w:rFonts w:eastAsia="Times New Roman" w:cs="Times New Roman"/>
          <w:kern w:val="0"/>
          <w:lang w:eastAsia="fr-BE"/>
          <w14:ligatures w14:val="none"/>
        </w:rPr>
        <w:t xml:space="preserve">) = </w:t>
      </w:r>
      <w:r w:rsidR="00C22B9E">
        <w:rPr>
          <w:rFonts w:cs="Times New Roman" w:hint="eastAsia"/>
          <w:kern w:val="0"/>
          <w14:ligatures w14:val="none"/>
        </w:rPr>
        <w:t>4.542</w:t>
      </w:r>
      <w:r w:rsidR="00100226" w:rsidRPr="00100226">
        <w:rPr>
          <w:rFonts w:eastAsia="Times New Roman" w:cs="Times New Roman"/>
          <w:kern w:val="0"/>
          <w:lang w:eastAsia="fr-BE"/>
          <w14:ligatures w14:val="none"/>
        </w:rPr>
        <w:t xml:space="preserve">, </w:t>
      </w:r>
      <w:r w:rsidR="00100226" w:rsidRPr="00F60F7F">
        <w:rPr>
          <w:rFonts w:eastAsia="Times New Roman" w:cs="Times New Roman"/>
          <w:i/>
          <w:kern w:val="0"/>
          <w:lang w:eastAsia="fr-BE"/>
          <w14:ligatures w14:val="none"/>
        </w:rPr>
        <w:t>p</w:t>
      </w:r>
      <w:r w:rsidR="00100226" w:rsidRPr="00100226">
        <w:rPr>
          <w:rFonts w:eastAsia="Times New Roman" w:cs="Times New Roman"/>
          <w:kern w:val="0"/>
          <w:lang w:eastAsia="fr-BE"/>
          <w14:ligatures w14:val="none"/>
        </w:rPr>
        <w:t xml:space="preserve"> &lt; .001</w:t>
      </w:r>
      <w:r w:rsidR="00645071">
        <w:rPr>
          <w:rFonts w:cs="Times New Roman" w:hint="eastAsia"/>
          <w:kern w:val="0"/>
          <w14:ligatures w14:val="none"/>
        </w:rPr>
        <w:t>,</w:t>
      </w:r>
      <w:r w:rsidR="00100226" w:rsidRPr="00100226">
        <w:rPr>
          <w:rFonts w:eastAsia="Times New Roman" w:cs="Times New Roman"/>
          <w:kern w:val="0"/>
          <w:lang w:eastAsia="fr-BE"/>
          <w14:ligatures w14:val="none"/>
        </w:rPr>
        <w:t xml:space="preserve"> </w:t>
      </w:r>
      <w:r w:rsidR="00645071" w:rsidRPr="00645071">
        <w:rPr>
          <w:rFonts w:eastAsia="Times New Roman" w:cs="Times New Roman"/>
          <w:kern w:val="0"/>
          <w:lang w:eastAsia="fr-BE"/>
          <w14:ligatures w14:val="none"/>
        </w:rPr>
        <w:t xml:space="preserve">whereas quadratic and cubic trends were not significant (both </w:t>
      </w:r>
      <w:proofErr w:type="spellStart"/>
      <w:r w:rsidR="00645071" w:rsidRPr="00F60F7F">
        <w:rPr>
          <w:rFonts w:eastAsia="Times New Roman" w:cs="Times New Roman"/>
          <w:i/>
          <w:kern w:val="0"/>
          <w:lang w:eastAsia="fr-BE"/>
          <w14:ligatures w14:val="none"/>
        </w:rPr>
        <w:t>p</w:t>
      </w:r>
      <w:r w:rsidR="00645071" w:rsidRPr="00645071">
        <w:rPr>
          <w:rFonts w:eastAsia="Times New Roman" w:cs="Times New Roman"/>
          <w:kern w:val="0"/>
          <w:lang w:eastAsia="fr-BE"/>
          <w14:ligatures w14:val="none"/>
        </w:rPr>
        <w:t>s</w:t>
      </w:r>
      <w:proofErr w:type="spellEnd"/>
      <w:r w:rsidR="00645071" w:rsidRPr="00645071">
        <w:rPr>
          <w:rFonts w:eastAsia="Times New Roman" w:cs="Times New Roman"/>
          <w:kern w:val="0"/>
          <w:lang w:eastAsia="fr-BE"/>
          <w14:ligatures w14:val="none"/>
        </w:rPr>
        <w:t>&gt;.10</w:t>
      </w:r>
      <w:r w:rsidR="00100226" w:rsidRPr="00100226">
        <w:rPr>
          <w:rFonts w:eastAsia="Times New Roman" w:cs="Times New Roman"/>
          <w:kern w:val="0"/>
          <w:lang w:eastAsia="fr-BE"/>
          <w14:ligatures w14:val="none"/>
        </w:rPr>
        <w:t>).</w:t>
      </w:r>
      <w:r w:rsidR="00F60F7F">
        <w:rPr>
          <w:rFonts w:eastAsia="Times New Roman" w:cs="Times New Roman"/>
          <w:kern w:val="0"/>
          <w:lang w:eastAsia="fr-BE"/>
          <w14:ligatures w14:val="none"/>
        </w:rPr>
        <w:t xml:space="preserve"> </w:t>
      </w:r>
      <w:r w:rsidRPr="008A647E">
        <w:rPr>
          <w:rFonts w:eastAsia="Times New Roman" w:cs="Times New Roman"/>
          <w:kern w:val="0"/>
          <w:lang w:eastAsia="fr-BE"/>
          <w14:ligatures w14:val="none"/>
        </w:rPr>
        <w:t>A significant main effect of Appearance was also found</w:t>
      </w:r>
      <w:r w:rsidR="00F60F7F">
        <w:rPr>
          <w:rFonts w:eastAsia="Times New Roman" w:cs="Times New Roman"/>
          <w:kern w:val="0"/>
          <w:lang w:eastAsia="fr-BE"/>
          <w14:ligatures w14:val="none"/>
        </w:rPr>
        <w:t>,</w:t>
      </w:r>
      <w:r w:rsidRPr="008A647E">
        <w:rPr>
          <w:rFonts w:eastAsia="Times New Roman" w:cs="Times New Roman"/>
          <w:kern w:val="0"/>
          <w:lang w:eastAsia="fr-BE"/>
          <w14:ligatures w14:val="none"/>
        </w:rPr>
        <w:t xml:space="preserve"> </w:t>
      </w:r>
      <w:r w:rsidRPr="52DD8CB6">
        <w:rPr>
          <w:rFonts w:eastAsia="Times New Roman" w:cs="Times New Roman"/>
          <w:i/>
          <w:iCs/>
          <w:kern w:val="0"/>
          <w:lang w:eastAsia="fr-BE"/>
          <w14:ligatures w14:val="none"/>
        </w:rPr>
        <w:t>F</w:t>
      </w:r>
      <w:r w:rsidRPr="008A647E">
        <w:rPr>
          <w:rFonts w:eastAsia="Times New Roman" w:cs="Times New Roman"/>
          <w:kern w:val="0"/>
          <w:lang w:eastAsia="fr-BE"/>
          <w14:ligatures w14:val="none"/>
        </w:rPr>
        <w:t xml:space="preserve">(1, 183) = 13.942, </w:t>
      </w:r>
      <w:r w:rsidRPr="52DD8CB6">
        <w:rPr>
          <w:rFonts w:eastAsia="Times New Roman" w:cs="Times New Roman"/>
          <w:i/>
          <w:iCs/>
          <w:kern w:val="0"/>
          <w:lang w:eastAsia="fr-BE"/>
          <w14:ligatures w14:val="none"/>
        </w:rPr>
        <w:t>p</w:t>
      </w:r>
      <w:r w:rsidRPr="008A647E">
        <w:rPr>
          <w:rFonts w:eastAsia="Times New Roman" w:cs="Times New Roman"/>
          <w:kern w:val="0"/>
          <w:lang w:eastAsia="fr-BE"/>
          <w14:ligatures w14:val="none"/>
        </w:rPr>
        <w:t xml:space="preserve"> &lt; .001, η</w:t>
      </w:r>
      <w:r w:rsidRPr="00E51798">
        <w:rPr>
          <w:rFonts w:eastAsia="Times New Roman" w:cs="Times New Roman"/>
          <w:kern w:val="0"/>
          <w:vertAlign w:val="subscript"/>
          <w:lang w:eastAsia="fr-BE"/>
          <w14:ligatures w14:val="none"/>
        </w:rPr>
        <w:t>p</w:t>
      </w:r>
      <w:r w:rsidRPr="00E51798">
        <w:rPr>
          <w:rFonts w:eastAsia="Times New Roman" w:cs="Times New Roman"/>
          <w:kern w:val="0"/>
          <w:vertAlign w:val="superscript"/>
          <w:lang w:eastAsia="fr-BE"/>
          <w14:ligatures w14:val="none"/>
        </w:rPr>
        <w:t>2</w:t>
      </w:r>
      <w:r w:rsidRPr="008A647E">
        <w:rPr>
          <w:rFonts w:eastAsia="Times New Roman" w:cs="Times New Roman"/>
          <w:kern w:val="0"/>
          <w:lang w:eastAsia="fr-BE"/>
          <w14:ligatures w14:val="none"/>
        </w:rPr>
        <w:t xml:space="preserve"> = 0.071, with an overall sensitivity advantage for Stable faces</w:t>
      </w:r>
      <w:r w:rsidR="00F60F7F">
        <w:rPr>
          <w:rFonts w:eastAsia="Times New Roman" w:cs="Times New Roman"/>
          <w:kern w:val="0"/>
          <w:lang w:eastAsia="fr-BE"/>
          <w14:ligatures w14:val="none"/>
        </w:rPr>
        <w:t xml:space="preserve"> compared to variable ones</w:t>
      </w:r>
      <w:r w:rsidRPr="008A647E">
        <w:rPr>
          <w:rFonts w:eastAsia="Times New Roman" w:cs="Times New Roman"/>
          <w:kern w:val="0"/>
          <w:lang w:eastAsia="fr-BE"/>
          <w14:ligatures w14:val="none"/>
        </w:rPr>
        <w:t xml:space="preserve"> (</w:t>
      </w:r>
      <w:proofErr w:type="spellStart"/>
      <w:r w:rsidRPr="52DD8CB6">
        <w:rPr>
          <w:rFonts w:eastAsia="Times New Roman" w:cs="Times New Roman"/>
          <w:i/>
          <w:iCs/>
          <w:kern w:val="0"/>
          <w:lang w:eastAsia="fr-BE"/>
          <w14:ligatures w14:val="none"/>
        </w:rPr>
        <w:t>M</w:t>
      </w:r>
      <w:r w:rsidRPr="00EB4B2F">
        <w:rPr>
          <w:rFonts w:eastAsia="Times New Roman" w:cs="Times New Roman"/>
          <w:kern w:val="0"/>
          <w:vertAlign w:val="subscript"/>
          <w:lang w:eastAsia="fr-BE"/>
          <w14:ligatures w14:val="none"/>
        </w:rPr>
        <w:t>stable</w:t>
      </w:r>
      <w:proofErr w:type="spellEnd"/>
      <w:r w:rsidRPr="008A647E">
        <w:rPr>
          <w:rFonts w:eastAsia="Times New Roman" w:cs="Times New Roman"/>
          <w:kern w:val="0"/>
          <w:lang w:eastAsia="fr-BE"/>
          <w14:ligatures w14:val="none"/>
        </w:rPr>
        <w:t xml:space="preserve"> = 1.58</w:t>
      </w:r>
      <w:r>
        <w:rPr>
          <w:rFonts w:eastAsia="Times New Roman" w:cs="Times New Roman"/>
          <w:kern w:val="0"/>
          <w:lang w:eastAsia="fr-BE"/>
          <w14:ligatures w14:val="none"/>
        </w:rPr>
        <w:t xml:space="preserve"> </w:t>
      </w:r>
      <w:r w:rsidRPr="009C4F00">
        <w:rPr>
          <w:rFonts w:ascii="Symbol" w:eastAsia="Symbol" w:hAnsi="Symbol" w:cs="Symbol"/>
        </w:rPr>
        <w:t></w:t>
      </w:r>
      <w:r w:rsidRPr="00EB4B2F">
        <w:rPr>
          <w:rFonts w:ascii="Calibri" w:eastAsia="等线" w:hAnsi="Calibri" w:cs="Calibri"/>
        </w:rPr>
        <w:t xml:space="preserve"> </w:t>
      </w:r>
      <w:r w:rsidRPr="008A647E">
        <w:rPr>
          <w:rFonts w:eastAsia="Times New Roman" w:cs="Times New Roman"/>
          <w:kern w:val="0"/>
          <w:lang w:eastAsia="fr-BE"/>
          <w14:ligatures w14:val="none"/>
        </w:rPr>
        <w:t xml:space="preserve">1.64; </w:t>
      </w:r>
      <w:proofErr w:type="spellStart"/>
      <w:r w:rsidRPr="52DD8CB6">
        <w:rPr>
          <w:rFonts w:eastAsia="Times New Roman" w:cs="Times New Roman"/>
          <w:i/>
          <w:iCs/>
          <w:kern w:val="0"/>
          <w:lang w:eastAsia="fr-BE"/>
          <w14:ligatures w14:val="none"/>
        </w:rPr>
        <w:t>M</w:t>
      </w:r>
      <w:r w:rsidRPr="00EB4B2F">
        <w:rPr>
          <w:rFonts w:eastAsia="Times New Roman" w:cs="Times New Roman"/>
          <w:kern w:val="0"/>
          <w:vertAlign w:val="subscript"/>
          <w:lang w:eastAsia="fr-BE"/>
          <w14:ligatures w14:val="none"/>
        </w:rPr>
        <w:t>variable</w:t>
      </w:r>
      <w:proofErr w:type="spellEnd"/>
      <w:r w:rsidRPr="008A647E">
        <w:rPr>
          <w:rFonts w:eastAsia="Times New Roman" w:cs="Times New Roman"/>
          <w:kern w:val="0"/>
          <w:lang w:eastAsia="fr-BE"/>
          <w14:ligatures w14:val="none"/>
        </w:rPr>
        <w:t xml:space="preserve"> = 1.16</w:t>
      </w:r>
      <w:r>
        <w:rPr>
          <w:rFonts w:eastAsia="Times New Roman" w:cs="Times New Roman"/>
          <w:kern w:val="0"/>
          <w:lang w:eastAsia="fr-BE"/>
          <w14:ligatures w14:val="none"/>
        </w:rPr>
        <w:t xml:space="preserve"> </w:t>
      </w:r>
      <w:r w:rsidRPr="009C4F00">
        <w:rPr>
          <w:rFonts w:ascii="Symbol" w:eastAsia="Symbol" w:hAnsi="Symbol" w:cs="Symbol"/>
        </w:rPr>
        <w:t></w:t>
      </w:r>
      <w:r w:rsidRPr="00D73654">
        <w:rPr>
          <w:rFonts w:ascii="Calibri" w:eastAsia="等线" w:hAnsi="Calibri" w:cs="Calibri"/>
        </w:rPr>
        <w:t xml:space="preserve"> </w:t>
      </w:r>
      <w:r w:rsidRPr="008A647E">
        <w:rPr>
          <w:rFonts w:eastAsia="Times New Roman" w:cs="Times New Roman"/>
          <w:kern w:val="0"/>
          <w:lang w:eastAsia="fr-BE"/>
          <w14:ligatures w14:val="none"/>
        </w:rPr>
        <w:t xml:space="preserve">1.51). </w:t>
      </w:r>
      <w:r w:rsidR="000B0F2F">
        <w:rPr>
          <w:rFonts w:cs="Times New Roman" w:hint="eastAsia"/>
          <w:kern w:val="0"/>
          <w14:ligatures w14:val="none"/>
        </w:rPr>
        <w:t>T</w:t>
      </w:r>
      <w:r w:rsidRPr="008A647E">
        <w:rPr>
          <w:rFonts w:eastAsia="Times New Roman" w:cs="Times New Roman"/>
          <w:kern w:val="0"/>
          <w:lang w:eastAsia="fr-BE"/>
          <w14:ligatures w14:val="none"/>
        </w:rPr>
        <w:t>he interaction between Appearance and Learning group was not significant</w:t>
      </w:r>
      <w:r w:rsidR="00F60F7F">
        <w:rPr>
          <w:rFonts w:eastAsia="Times New Roman" w:cs="Times New Roman"/>
          <w:kern w:val="0"/>
          <w:lang w:eastAsia="fr-BE"/>
          <w14:ligatures w14:val="none"/>
        </w:rPr>
        <w:t>,</w:t>
      </w:r>
      <w:r w:rsidRPr="008A647E">
        <w:rPr>
          <w:rFonts w:eastAsia="Times New Roman" w:cs="Times New Roman"/>
          <w:kern w:val="0"/>
          <w:lang w:eastAsia="fr-BE"/>
          <w14:ligatures w14:val="none"/>
        </w:rPr>
        <w:t xml:space="preserve"> </w:t>
      </w:r>
      <w:r w:rsidRPr="52DD8CB6">
        <w:rPr>
          <w:rFonts w:eastAsia="Times New Roman" w:cs="Times New Roman"/>
          <w:i/>
          <w:iCs/>
          <w:kern w:val="0"/>
          <w:lang w:eastAsia="fr-BE"/>
          <w14:ligatures w14:val="none"/>
        </w:rPr>
        <w:t>F</w:t>
      </w:r>
      <w:r w:rsidRPr="008A647E">
        <w:rPr>
          <w:rFonts w:eastAsia="Times New Roman" w:cs="Times New Roman"/>
          <w:kern w:val="0"/>
          <w:lang w:eastAsia="fr-BE"/>
          <w14:ligatures w14:val="none"/>
        </w:rPr>
        <w:t xml:space="preserve">(3, 183) = 0.631, </w:t>
      </w:r>
      <w:r w:rsidRPr="52DD8CB6">
        <w:rPr>
          <w:rFonts w:eastAsia="Times New Roman" w:cs="Times New Roman"/>
          <w:i/>
          <w:iCs/>
          <w:kern w:val="0"/>
          <w:lang w:eastAsia="fr-BE"/>
          <w14:ligatures w14:val="none"/>
        </w:rPr>
        <w:t>p</w:t>
      </w:r>
      <w:r w:rsidRPr="008A647E">
        <w:rPr>
          <w:rFonts w:eastAsia="Times New Roman" w:cs="Times New Roman"/>
          <w:kern w:val="0"/>
          <w:lang w:eastAsia="fr-BE"/>
          <w14:ligatures w14:val="none"/>
        </w:rPr>
        <w:t xml:space="preserve"> = .596, </w:t>
      </w:r>
      <w:r w:rsidRPr="52DD8CB6">
        <w:rPr>
          <w:rFonts w:eastAsia="Times New Roman" w:cs="Times New Roman"/>
          <w:i/>
          <w:iCs/>
          <w:kern w:val="0"/>
          <w:lang w:eastAsia="fr-BE"/>
          <w14:ligatures w14:val="none"/>
        </w:rPr>
        <w:t>η</w:t>
      </w:r>
      <w:r w:rsidRPr="52DD8CB6">
        <w:rPr>
          <w:rFonts w:eastAsia="Times New Roman" w:cs="Times New Roman"/>
          <w:i/>
          <w:iCs/>
          <w:kern w:val="0"/>
          <w:vertAlign w:val="subscript"/>
          <w:lang w:eastAsia="fr-BE"/>
          <w14:ligatures w14:val="none"/>
        </w:rPr>
        <w:t>p</w:t>
      </w:r>
      <w:r w:rsidRPr="52DD8CB6">
        <w:rPr>
          <w:rFonts w:eastAsia="Times New Roman" w:cs="Times New Roman"/>
          <w:i/>
          <w:iCs/>
          <w:kern w:val="0"/>
          <w:vertAlign w:val="superscript"/>
          <w:lang w:eastAsia="fr-BE"/>
          <w14:ligatures w14:val="none"/>
        </w:rPr>
        <w:t>2</w:t>
      </w:r>
      <w:r w:rsidRPr="008A647E">
        <w:rPr>
          <w:rFonts w:eastAsia="Times New Roman" w:cs="Times New Roman"/>
          <w:kern w:val="0"/>
          <w:lang w:eastAsia="fr-BE"/>
          <w14:ligatures w14:val="none"/>
        </w:rPr>
        <w:t xml:space="preserve"> = 0.01.</w:t>
      </w:r>
    </w:p>
    <w:p w14:paraId="0C9A5903" w14:textId="77777777" w:rsidR="00535784" w:rsidRDefault="00535784" w:rsidP="00535784">
      <w:pPr>
        <w:ind w:firstLine="0"/>
        <w:rPr>
          <w:b/>
          <w:bCs/>
        </w:rPr>
      </w:pPr>
      <w:r w:rsidRPr="52DD8CB6">
        <w:rPr>
          <w:b/>
          <w:bCs/>
        </w:rPr>
        <w:t xml:space="preserve">Figure </w:t>
      </w:r>
      <w:r>
        <w:rPr>
          <w:rFonts w:hint="eastAsia"/>
          <w:b/>
          <w:bCs/>
        </w:rPr>
        <w:t>3</w:t>
      </w:r>
    </w:p>
    <w:p w14:paraId="185579B2" w14:textId="77777777" w:rsidR="00535784" w:rsidRPr="008B0E24" w:rsidRDefault="00535784" w:rsidP="00535784">
      <w:pPr>
        <w:ind w:firstLine="0"/>
        <w:rPr>
          <w:rFonts w:cs="Times New Roman"/>
          <w:kern w:val="0"/>
          <w14:ligatures w14:val="none"/>
        </w:rPr>
      </w:pPr>
      <w:r w:rsidRPr="52DD8CB6">
        <w:rPr>
          <w:i/>
          <w:iCs/>
        </w:rPr>
        <w:t>Violin plots of sensitivity d', split by appearance and learning group</w:t>
      </w:r>
      <w:r>
        <w:t>.</w:t>
      </w:r>
    </w:p>
    <w:p w14:paraId="222A5E95" w14:textId="77777777" w:rsidR="00535784" w:rsidRPr="00E47FBE" w:rsidRDefault="00535784" w:rsidP="00535784">
      <w:pPr>
        <w:ind w:firstLine="0"/>
        <w:jc w:val="center"/>
        <w:rPr>
          <w:rFonts w:cs="Times New Roman"/>
          <w:kern w:val="0"/>
          <w14:ligatures w14:val="none"/>
        </w:rPr>
      </w:pPr>
      <w:r>
        <w:rPr>
          <w:noProof/>
          <w:lang w:val="fr-BE" w:eastAsia="fr-BE"/>
        </w:rPr>
        <w:drawing>
          <wp:inline distT="0" distB="0" distL="0" distR="0" wp14:anchorId="6A71185C" wp14:editId="0FC07EDB">
            <wp:extent cx="3735237" cy="3137402"/>
            <wp:effectExtent l="0" t="0" r="0" b="6350"/>
            <wp:docPr id="827297510" name="Image 2" descr="Une image contenant texte, croquis, diagramme, dessi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297510" name="Image 2" descr="Une image contenant texte, croquis, diagramme, dessin&#10;&#10;Le contenu généré par l’IA peut êtr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37580" cy="3139370"/>
                    </a:xfrm>
                    <a:prstGeom prst="rect">
                      <a:avLst/>
                    </a:prstGeom>
                    <a:noFill/>
                    <a:ln>
                      <a:noFill/>
                    </a:ln>
                  </pic:spPr>
                </pic:pic>
              </a:graphicData>
            </a:graphic>
          </wp:inline>
        </w:drawing>
      </w:r>
    </w:p>
    <w:p w14:paraId="3D693DB6" w14:textId="10CD9723" w:rsidR="00535784" w:rsidRDefault="00535784" w:rsidP="00535784">
      <w:pPr>
        <w:jc w:val="both"/>
      </w:pPr>
      <w:r w:rsidRPr="52DD8CB6">
        <w:rPr>
          <w:i/>
          <w:iCs/>
        </w:rPr>
        <w:t>Note</w:t>
      </w:r>
      <w:r>
        <w:rPr>
          <w:i/>
          <w:iCs/>
        </w:rPr>
        <w:t>s</w:t>
      </w:r>
      <w:r w:rsidRPr="52DD8CB6">
        <w:rPr>
          <w:i/>
          <w:iCs/>
        </w:rPr>
        <w:t>.</w:t>
      </w:r>
      <w:r>
        <w:t xml:space="preserve"> Squares indicate condition means, with 95% confidence intervals represented as error bars. Box plots display interquartile ranges (IQRs), with medians </w:t>
      </w:r>
      <w:r>
        <w:lastRenderedPageBreak/>
        <w:t>marked by dark horizontal lines. Whiskers extend to values within 1.5 times the IQR, and points beyond these limits indicate outliers. Violin shapes depict the distribution density, with individual datapoints overall as semi-transparent dots. Although learning group is a between-subject factor, means were connected by lines to aid interpretation. Outliers were retained due to the large sample size.</w:t>
      </w:r>
    </w:p>
    <w:p w14:paraId="3A2BE219" w14:textId="77777777" w:rsidR="00535784" w:rsidRDefault="00535784" w:rsidP="00535784">
      <w:pPr>
        <w:jc w:val="both"/>
        <w:rPr>
          <w:rFonts w:eastAsia="Times New Roman" w:cs="Times New Roman"/>
          <w:kern w:val="0"/>
          <w:lang w:eastAsia="fr-BE"/>
          <w14:ligatures w14:val="none"/>
        </w:rPr>
      </w:pPr>
    </w:p>
    <w:p w14:paraId="47324F18" w14:textId="427A6C90" w:rsidR="00E47FBE" w:rsidRDefault="15254372" w:rsidP="00D10726">
      <w:pPr>
        <w:jc w:val="both"/>
        <w:rPr>
          <w:rFonts w:eastAsia="Times New Roman" w:cs="Times New Roman"/>
          <w:kern w:val="0"/>
          <w:lang w:eastAsia="fr-BE"/>
          <w14:ligatures w14:val="none"/>
        </w:rPr>
      </w:pPr>
      <w:r w:rsidRPr="00132E27">
        <w:rPr>
          <w:rFonts w:eastAsia="Times New Roman" w:cs="Times New Roman"/>
          <w:kern w:val="0"/>
          <w:lang w:eastAsia="fr-BE"/>
          <w14:ligatures w14:val="none"/>
        </w:rPr>
        <w:t xml:space="preserve">Simple effects of Appearance in each group were tested with Student’s </w:t>
      </w:r>
      <w:r w:rsidRPr="52DD8CB6">
        <w:rPr>
          <w:rFonts w:eastAsia="Times New Roman" w:cs="Times New Roman"/>
          <w:i/>
          <w:iCs/>
          <w:kern w:val="0"/>
          <w:lang w:eastAsia="fr-BE"/>
          <w14:ligatures w14:val="none"/>
        </w:rPr>
        <w:t>t</w:t>
      </w:r>
      <w:r w:rsidRPr="00132E27">
        <w:rPr>
          <w:rFonts w:eastAsia="Times New Roman" w:cs="Times New Roman"/>
          <w:kern w:val="0"/>
          <w:lang w:eastAsia="fr-BE"/>
          <w14:ligatures w14:val="none"/>
        </w:rPr>
        <w:t xml:space="preserve"> tests for paired samples. No significant differences were found in Group 1</w:t>
      </w:r>
      <w:r w:rsidR="005F4669">
        <w:rPr>
          <w:rFonts w:cs="Times New Roman" w:hint="eastAsia"/>
          <w:kern w:val="0"/>
          <w14:ligatures w14:val="none"/>
        </w:rPr>
        <w:t>,</w:t>
      </w:r>
      <w:r w:rsidRPr="00132E27">
        <w:rPr>
          <w:rFonts w:eastAsia="Times New Roman" w:cs="Times New Roman"/>
          <w:kern w:val="0"/>
          <w:lang w:eastAsia="fr-BE"/>
          <w14:ligatures w14:val="none"/>
        </w:rPr>
        <w:t xml:space="preserve"> </w:t>
      </w:r>
      <w:r w:rsidRPr="52DD8CB6">
        <w:rPr>
          <w:rFonts w:eastAsia="Times New Roman" w:cs="Times New Roman"/>
          <w:i/>
          <w:iCs/>
          <w:kern w:val="0"/>
          <w:lang w:eastAsia="fr-BE"/>
          <w14:ligatures w14:val="none"/>
        </w:rPr>
        <w:t>t</w:t>
      </w:r>
      <w:r w:rsidRPr="00132E27">
        <w:rPr>
          <w:rFonts w:eastAsia="Times New Roman" w:cs="Times New Roman"/>
          <w:kern w:val="0"/>
          <w:lang w:eastAsia="fr-BE"/>
          <w14:ligatures w14:val="none"/>
        </w:rPr>
        <w:t xml:space="preserve">(47) = 1.774, </w:t>
      </w:r>
      <w:r w:rsidRPr="52DD8CB6">
        <w:rPr>
          <w:rFonts w:eastAsia="Times New Roman" w:cs="Times New Roman"/>
          <w:i/>
          <w:iCs/>
          <w:kern w:val="0"/>
          <w:lang w:eastAsia="fr-BE"/>
          <w14:ligatures w14:val="none"/>
        </w:rPr>
        <w:t>p</w:t>
      </w:r>
      <w:r w:rsidRPr="00132E27">
        <w:rPr>
          <w:rFonts w:eastAsia="Times New Roman" w:cs="Times New Roman"/>
          <w:kern w:val="0"/>
          <w:lang w:eastAsia="fr-BE"/>
          <w14:ligatures w14:val="none"/>
        </w:rPr>
        <w:t xml:space="preserve"> = .083, </w:t>
      </w:r>
      <w:r w:rsidRPr="52DD8CB6">
        <w:rPr>
          <w:rFonts w:eastAsia="Times New Roman" w:cs="Times New Roman"/>
          <w:i/>
          <w:iCs/>
          <w:kern w:val="0"/>
          <w:lang w:eastAsia="fr-BE"/>
          <w14:ligatures w14:val="none"/>
        </w:rPr>
        <w:t>d</w:t>
      </w:r>
      <w:r w:rsidR="2203048C">
        <w:rPr>
          <w:rFonts w:cs="Times New Roman"/>
          <w:kern w:val="0"/>
          <w14:ligatures w14:val="none"/>
        </w:rPr>
        <w:t xml:space="preserve"> </w:t>
      </w:r>
      <w:r w:rsidRPr="00132E27">
        <w:rPr>
          <w:rFonts w:eastAsia="Times New Roman" w:cs="Times New Roman"/>
          <w:kern w:val="0"/>
          <w:lang w:eastAsia="fr-BE"/>
          <w14:ligatures w14:val="none"/>
        </w:rPr>
        <w:t>=</w:t>
      </w:r>
      <w:r w:rsidR="2203048C">
        <w:rPr>
          <w:rFonts w:cs="Times New Roman"/>
          <w:kern w:val="0"/>
          <w14:ligatures w14:val="none"/>
        </w:rPr>
        <w:t xml:space="preserve"> </w:t>
      </w:r>
      <w:r w:rsidRPr="00132E27">
        <w:rPr>
          <w:rFonts w:eastAsia="Times New Roman" w:cs="Times New Roman"/>
          <w:kern w:val="0"/>
          <w:lang w:eastAsia="fr-BE"/>
          <w14:ligatures w14:val="none"/>
        </w:rPr>
        <w:t>0.256</w:t>
      </w:r>
      <w:r>
        <w:rPr>
          <w:rFonts w:eastAsia="Times New Roman" w:cs="Times New Roman"/>
          <w:kern w:val="0"/>
          <w:lang w:eastAsia="fr-BE"/>
          <w14:ligatures w14:val="none"/>
        </w:rPr>
        <w:t xml:space="preserve">, </w:t>
      </w:r>
      <w:r w:rsidR="37ABF023" w:rsidRPr="52DD8CB6">
        <w:rPr>
          <w:rFonts w:ascii="Calibri" w:hAnsi="Calibri" w:cs="Calibri"/>
        </w:rPr>
        <w:t>95% CI</w:t>
      </w:r>
      <w:r>
        <w:rPr>
          <w:rFonts w:eastAsia="Times New Roman" w:cs="Times New Roman"/>
          <w:kern w:val="0"/>
          <w:lang w:eastAsia="fr-BE"/>
          <w14:ligatures w14:val="none"/>
        </w:rPr>
        <w:t xml:space="preserve"> = [-0.033, 0.542]</w:t>
      </w:r>
      <w:r w:rsidRPr="00132E27">
        <w:rPr>
          <w:rFonts w:eastAsia="Times New Roman" w:cs="Times New Roman"/>
          <w:kern w:val="0"/>
          <w:lang w:eastAsia="fr-BE"/>
          <w14:ligatures w14:val="none"/>
        </w:rPr>
        <w:t>, Group 3</w:t>
      </w:r>
      <w:r w:rsidR="005F4669">
        <w:rPr>
          <w:rFonts w:cs="Times New Roman" w:hint="eastAsia"/>
          <w:kern w:val="0"/>
          <w14:ligatures w14:val="none"/>
        </w:rPr>
        <w:t>,</w:t>
      </w:r>
      <w:r w:rsidRPr="00132E27">
        <w:rPr>
          <w:rFonts w:eastAsia="Times New Roman" w:cs="Times New Roman"/>
          <w:kern w:val="0"/>
          <w:lang w:eastAsia="fr-BE"/>
          <w14:ligatures w14:val="none"/>
        </w:rPr>
        <w:t xml:space="preserve"> </w:t>
      </w:r>
      <w:r w:rsidRPr="52DD8CB6">
        <w:rPr>
          <w:rFonts w:eastAsia="Times New Roman" w:cs="Times New Roman"/>
          <w:i/>
          <w:iCs/>
          <w:kern w:val="0"/>
          <w:lang w:eastAsia="fr-BE"/>
          <w14:ligatures w14:val="none"/>
        </w:rPr>
        <w:t>t</w:t>
      </w:r>
      <w:r w:rsidRPr="00132E27">
        <w:rPr>
          <w:rFonts w:eastAsia="Times New Roman" w:cs="Times New Roman"/>
          <w:kern w:val="0"/>
          <w:lang w:eastAsia="fr-BE"/>
          <w14:ligatures w14:val="none"/>
        </w:rPr>
        <w:t xml:space="preserve">(45) = 0.928, </w:t>
      </w:r>
      <w:r w:rsidRPr="52DD8CB6">
        <w:rPr>
          <w:rFonts w:eastAsia="Times New Roman" w:cs="Times New Roman"/>
          <w:i/>
          <w:iCs/>
          <w:kern w:val="0"/>
          <w:lang w:eastAsia="fr-BE"/>
          <w14:ligatures w14:val="none"/>
        </w:rPr>
        <w:t>p</w:t>
      </w:r>
      <w:r w:rsidRPr="00132E27">
        <w:rPr>
          <w:rFonts w:eastAsia="Times New Roman" w:cs="Times New Roman"/>
          <w:kern w:val="0"/>
          <w:lang w:eastAsia="fr-BE"/>
          <w14:ligatures w14:val="none"/>
        </w:rPr>
        <w:t xml:space="preserve"> = .359, </w:t>
      </w:r>
      <w:r w:rsidRPr="52DD8CB6">
        <w:rPr>
          <w:rFonts w:eastAsia="Times New Roman" w:cs="Times New Roman"/>
          <w:i/>
          <w:iCs/>
          <w:kern w:val="0"/>
          <w:lang w:eastAsia="fr-BE"/>
          <w14:ligatures w14:val="none"/>
        </w:rPr>
        <w:t>d</w:t>
      </w:r>
      <w:r w:rsidRPr="00132E27">
        <w:rPr>
          <w:rFonts w:eastAsia="Times New Roman" w:cs="Times New Roman"/>
          <w:kern w:val="0"/>
          <w:lang w:eastAsia="fr-BE"/>
          <w14:ligatures w14:val="none"/>
        </w:rPr>
        <w:t xml:space="preserve"> = 0.137</w:t>
      </w:r>
      <w:r>
        <w:rPr>
          <w:rFonts w:eastAsia="Times New Roman" w:cs="Times New Roman"/>
          <w:kern w:val="0"/>
          <w:lang w:eastAsia="fr-BE"/>
          <w14:ligatures w14:val="none"/>
        </w:rPr>
        <w:t xml:space="preserve">, </w:t>
      </w:r>
      <w:r w:rsidR="542349DC" w:rsidRPr="52DD8CB6">
        <w:rPr>
          <w:rFonts w:ascii="Calibri" w:hAnsi="Calibri" w:cs="Calibri"/>
        </w:rPr>
        <w:t>95% CI</w:t>
      </w:r>
      <w:r w:rsidR="2203048C">
        <w:rPr>
          <w:rFonts w:cs="Times New Roman"/>
          <w:kern w:val="0"/>
          <w14:ligatures w14:val="none"/>
        </w:rPr>
        <w:t xml:space="preserve"> </w:t>
      </w:r>
      <w:r>
        <w:rPr>
          <w:rFonts w:eastAsia="Times New Roman" w:cs="Times New Roman"/>
          <w:kern w:val="0"/>
          <w:lang w:eastAsia="fr-BE"/>
          <w14:ligatures w14:val="none"/>
        </w:rPr>
        <w:t>=</w:t>
      </w:r>
      <w:r w:rsidR="2203048C">
        <w:rPr>
          <w:rFonts w:cs="Times New Roman"/>
          <w:kern w:val="0"/>
          <w14:ligatures w14:val="none"/>
        </w:rPr>
        <w:t xml:space="preserve"> </w:t>
      </w:r>
      <w:r>
        <w:rPr>
          <w:rFonts w:eastAsia="Times New Roman" w:cs="Times New Roman"/>
          <w:kern w:val="0"/>
          <w:lang w:eastAsia="fr-BE"/>
          <w14:ligatures w14:val="none"/>
        </w:rPr>
        <w:t>[</w:t>
      </w:r>
      <w:r w:rsidR="00E47FBE">
        <w:rPr>
          <w:rFonts w:eastAsia="Times New Roman" w:cs="Times New Roman"/>
          <w:kern w:val="0"/>
          <w:lang w:eastAsia="fr-BE"/>
          <w14:ligatures w14:val="none"/>
        </w:rPr>
        <w:noBreakHyphen/>
      </w:r>
      <w:r>
        <w:rPr>
          <w:rFonts w:eastAsia="Times New Roman" w:cs="Times New Roman"/>
          <w:kern w:val="0"/>
          <w:lang w:eastAsia="fr-BE"/>
          <w14:ligatures w14:val="none"/>
        </w:rPr>
        <w:t>0.154, 0.426]</w:t>
      </w:r>
      <w:r w:rsidRPr="00132E27">
        <w:rPr>
          <w:rFonts w:eastAsia="Times New Roman" w:cs="Times New Roman"/>
          <w:kern w:val="0"/>
          <w:lang w:eastAsia="fr-BE"/>
          <w14:ligatures w14:val="none"/>
        </w:rPr>
        <w:t xml:space="preserve"> or Group 4</w:t>
      </w:r>
      <w:r w:rsidR="005F4669">
        <w:rPr>
          <w:rFonts w:cs="Times New Roman" w:hint="eastAsia"/>
          <w:kern w:val="0"/>
          <w14:ligatures w14:val="none"/>
        </w:rPr>
        <w:t xml:space="preserve">, </w:t>
      </w:r>
      <w:r w:rsidRPr="52DD8CB6">
        <w:rPr>
          <w:rFonts w:eastAsia="Times New Roman" w:cs="Times New Roman"/>
          <w:i/>
          <w:iCs/>
          <w:kern w:val="0"/>
          <w:lang w:eastAsia="fr-BE"/>
          <w14:ligatures w14:val="none"/>
        </w:rPr>
        <w:t>t</w:t>
      </w:r>
      <w:r w:rsidRPr="00132E27">
        <w:rPr>
          <w:rFonts w:eastAsia="Times New Roman" w:cs="Times New Roman"/>
          <w:kern w:val="0"/>
          <w:lang w:eastAsia="fr-BE"/>
          <w14:ligatures w14:val="none"/>
        </w:rPr>
        <w:t xml:space="preserve">(45) = 1.981, </w:t>
      </w:r>
      <w:r w:rsidRPr="52DD8CB6">
        <w:rPr>
          <w:rFonts w:eastAsia="Times New Roman" w:cs="Times New Roman"/>
          <w:i/>
          <w:iCs/>
          <w:kern w:val="0"/>
          <w:lang w:eastAsia="fr-BE"/>
          <w14:ligatures w14:val="none"/>
        </w:rPr>
        <w:t>p</w:t>
      </w:r>
      <w:r w:rsidRPr="00132E27">
        <w:rPr>
          <w:rFonts w:eastAsia="Times New Roman" w:cs="Times New Roman"/>
          <w:kern w:val="0"/>
          <w:lang w:eastAsia="fr-BE"/>
          <w14:ligatures w14:val="none"/>
        </w:rPr>
        <w:t xml:space="preserve"> = .054, </w:t>
      </w:r>
      <w:r w:rsidRPr="52DD8CB6">
        <w:rPr>
          <w:rFonts w:eastAsia="Times New Roman" w:cs="Times New Roman"/>
          <w:i/>
          <w:iCs/>
          <w:kern w:val="0"/>
          <w:lang w:eastAsia="fr-BE"/>
          <w14:ligatures w14:val="none"/>
        </w:rPr>
        <w:t>d</w:t>
      </w:r>
      <w:r w:rsidRPr="00132E27">
        <w:rPr>
          <w:rFonts w:eastAsia="Times New Roman" w:cs="Times New Roman"/>
          <w:kern w:val="0"/>
          <w:lang w:eastAsia="fr-BE"/>
          <w14:ligatures w14:val="none"/>
        </w:rPr>
        <w:t xml:space="preserve"> = 0.292</w:t>
      </w:r>
      <w:r>
        <w:rPr>
          <w:rFonts w:eastAsia="Times New Roman" w:cs="Times New Roman"/>
          <w:kern w:val="0"/>
          <w:lang w:eastAsia="fr-BE"/>
          <w14:ligatures w14:val="none"/>
        </w:rPr>
        <w:t xml:space="preserve">, </w:t>
      </w:r>
      <w:r w:rsidR="2203048C" w:rsidRPr="52DD8CB6">
        <w:rPr>
          <w:rFonts w:ascii="Calibri" w:hAnsi="Calibri" w:cs="Calibri"/>
        </w:rPr>
        <w:t>95% CI</w:t>
      </w:r>
      <w:r w:rsidR="2203048C">
        <w:rPr>
          <w:rFonts w:eastAsia="Times New Roman" w:cs="Times New Roman"/>
          <w:kern w:val="0"/>
          <w:lang w:eastAsia="fr-BE"/>
          <w14:ligatures w14:val="none"/>
        </w:rPr>
        <w:t xml:space="preserve"> </w:t>
      </w:r>
      <w:r>
        <w:rPr>
          <w:rFonts w:eastAsia="Times New Roman" w:cs="Times New Roman"/>
          <w:kern w:val="0"/>
          <w:lang w:eastAsia="fr-BE"/>
          <w14:ligatures w14:val="none"/>
        </w:rPr>
        <w:t>=</w:t>
      </w:r>
      <w:r w:rsidR="2203048C">
        <w:rPr>
          <w:rFonts w:cs="Times New Roman"/>
          <w:kern w:val="0"/>
          <w14:ligatures w14:val="none"/>
        </w:rPr>
        <w:t xml:space="preserve"> </w:t>
      </w:r>
      <w:r>
        <w:rPr>
          <w:rFonts w:eastAsia="Times New Roman" w:cs="Times New Roman"/>
          <w:kern w:val="0"/>
          <w:lang w:eastAsia="fr-BE"/>
          <w14:ligatures w14:val="none"/>
        </w:rPr>
        <w:t>[</w:t>
      </w:r>
      <w:r w:rsidR="00E47FBE">
        <w:rPr>
          <w:rFonts w:eastAsia="Times New Roman" w:cs="Times New Roman"/>
          <w:kern w:val="0"/>
          <w:lang w:eastAsia="fr-BE"/>
          <w14:ligatures w14:val="none"/>
        </w:rPr>
        <w:noBreakHyphen/>
      </w:r>
      <w:r>
        <w:rPr>
          <w:rFonts w:eastAsia="Times New Roman" w:cs="Times New Roman"/>
          <w:kern w:val="0"/>
          <w:lang w:eastAsia="fr-BE"/>
          <w14:ligatures w14:val="none"/>
        </w:rPr>
        <w:t>0.005,</w:t>
      </w:r>
      <w:r w:rsidR="2203048C">
        <w:rPr>
          <w:rFonts w:cs="Times New Roman"/>
          <w:kern w:val="0"/>
          <w14:ligatures w14:val="none"/>
        </w:rPr>
        <w:t xml:space="preserve"> </w:t>
      </w:r>
      <w:r>
        <w:rPr>
          <w:rFonts w:eastAsia="Times New Roman" w:cs="Times New Roman"/>
          <w:kern w:val="0"/>
          <w:lang w:eastAsia="fr-BE"/>
          <w14:ligatures w14:val="none"/>
        </w:rPr>
        <w:t>0.586]</w:t>
      </w:r>
      <w:r w:rsidRPr="00132E27">
        <w:rPr>
          <w:rFonts w:eastAsia="Times New Roman" w:cs="Times New Roman"/>
          <w:kern w:val="0"/>
          <w:lang w:eastAsia="fr-BE"/>
          <w14:ligatures w14:val="none"/>
        </w:rPr>
        <w:t>. A significant difference was found in Group 2</w:t>
      </w:r>
      <w:r w:rsidR="005F4669">
        <w:rPr>
          <w:rFonts w:cs="Times New Roman" w:hint="eastAsia"/>
          <w:kern w:val="0"/>
          <w14:ligatures w14:val="none"/>
        </w:rPr>
        <w:t>,</w:t>
      </w:r>
      <w:r w:rsidRPr="00132E27">
        <w:rPr>
          <w:rFonts w:eastAsia="Times New Roman" w:cs="Times New Roman"/>
          <w:kern w:val="0"/>
          <w:lang w:eastAsia="fr-BE"/>
          <w14:ligatures w14:val="none"/>
        </w:rPr>
        <w:t xml:space="preserve"> </w:t>
      </w:r>
      <w:r w:rsidRPr="52DD8CB6">
        <w:rPr>
          <w:rFonts w:eastAsia="Times New Roman" w:cs="Times New Roman"/>
          <w:i/>
          <w:iCs/>
          <w:kern w:val="0"/>
          <w:lang w:eastAsia="fr-BE"/>
          <w14:ligatures w14:val="none"/>
        </w:rPr>
        <w:t>t</w:t>
      </w:r>
      <w:r w:rsidRPr="00132E27">
        <w:rPr>
          <w:rFonts w:eastAsia="Times New Roman" w:cs="Times New Roman"/>
          <w:kern w:val="0"/>
          <w:lang w:eastAsia="fr-BE"/>
          <w14:ligatures w14:val="none"/>
        </w:rPr>
        <w:t xml:space="preserve">(46) = 2.837, </w:t>
      </w:r>
      <w:r w:rsidRPr="52DD8CB6">
        <w:rPr>
          <w:rFonts w:eastAsia="Times New Roman" w:cs="Times New Roman"/>
          <w:i/>
          <w:iCs/>
          <w:kern w:val="0"/>
          <w:lang w:eastAsia="fr-BE"/>
          <w14:ligatures w14:val="none"/>
        </w:rPr>
        <w:t>p</w:t>
      </w:r>
      <w:r w:rsidR="2203048C">
        <w:rPr>
          <w:rFonts w:cs="Times New Roman"/>
          <w:kern w:val="0"/>
          <w14:ligatures w14:val="none"/>
        </w:rPr>
        <w:t xml:space="preserve"> </w:t>
      </w:r>
      <w:r w:rsidRPr="00132E27">
        <w:rPr>
          <w:rFonts w:eastAsia="Times New Roman" w:cs="Times New Roman"/>
          <w:kern w:val="0"/>
          <w:lang w:eastAsia="fr-BE"/>
          <w14:ligatures w14:val="none"/>
        </w:rPr>
        <w:t>=</w:t>
      </w:r>
      <w:r w:rsidR="2203048C">
        <w:rPr>
          <w:rFonts w:cs="Times New Roman"/>
          <w:kern w:val="0"/>
          <w14:ligatures w14:val="none"/>
        </w:rPr>
        <w:t xml:space="preserve"> </w:t>
      </w:r>
      <w:r w:rsidRPr="00132E27">
        <w:rPr>
          <w:rFonts w:eastAsia="Times New Roman" w:cs="Times New Roman"/>
          <w:kern w:val="0"/>
          <w:lang w:eastAsia="fr-BE"/>
          <w14:ligatures w14:val="none"/>
        </w:rPr>
        <w:t xml:space="preserve">.007, </w:t>
      </w:r>
      <w:r w:rsidRPr="52DD8CB6">
        <w:rPr>
          <w:rFonts w:eastAsia="Times New Roman" w:cs="Times New Roman"/>
          <w:i/>
          <w:iCs/>
          <w:kern w:val="0"/>
          <w:lang w:eastAsia="fr-BE"/>
          <w14:ligatures w14:val="none"/>
        </w:rPr>
        <w:t>d</w:t>
      </w:r>
      <w:r w:rsidR="2203048C">
        <w:rPr>
          <w:rFonts w:cs="Times New Roman"/>
          <w:kern w:val="0"/>
          <w14:ligatures w14:val="none"/>
        </w:rPr>
        <w:t xml:space="preserve"> </w:t>
      </w:r>
      <w:r w:rsidRPr="00132E27">
        <w:rPr>
          <w:rFonts w:eastAsia="Times New Roman" w:cs="Times New Roman"/>
          <w:kern w:val="0"/>
          <w:lang w:eastAsia="fr-BE"/>
          <w14:ligatures w14:val="none"/>
        </w:rPr>
        <w:t>=</w:t>
      </w:r>
      <w:r w:rsidR="2203048C">
        <w:rPr>
          <w:rFonts w:cs="Times New Roman"/>
          <w:kern w:val="0"/>
          <w14:ligatures w14:val="none"/>
        </w:rPr>
        <w:t xml:space="preserve"> </w:t>
      </w:r>
      <w:r w:rsidRPr="00132E27">
        <w:rPr>
          <w:rFonts w:eastAsia="Times New Roman" w:cs="Times New Roman"/>
          <w:kern w:val="0"/>
          <w:lang w:eastAsia="fr-BE"/>
          <w14:ligatures w14:val="none"/>
        </w:rPr>
        <w:t>0.414</w:t>
      </w:r>
      <w:r>
        <w:rPr>
          <w:rFonts w:eastAsia="Times New Roman" w:cs="Times New Roman"/>
          <w:kern w:val="0"/>
          <w:lang w:eastAsia="fr-BE"/>
          <w14:ligatures w14:val="none"/>
        </w:rPr>
        <w:t xml:space="preserve">, </w:t>
      </w:r>
      <w:r w:rsidR="2203048C" w:rsidRPr="52DD8CB6">
        <w:rPr>
          <w:rFonts w:ascii="Calibri" w:hAnsi="Calibri" w:cs="Calibri"/>
        </w:rPr>
        <w:t>95% CI</w:t>
      </w:r>
      <w:r w:rsidR="2203048C">
        <w:rPr>
          <w:rFonts w:eastAsia="Times New Roman" w:cs="Times New Roman"/>
          <w:kern w:val="0"/>
          <w:lang w:eastAsia="fr-BE"/>
          <w14:ligatures w14:val="none"/>
        </w:rPr>
        <w:t xml:space="preserve"> </w:t>
      </w:r>
      <w:r>
        <w:rPr>
          <w:rFonts w:eastAsia="Times New Roman" w:cs="Times New Roman"/>
          <w:kern w:val="0"/>
          <w:lang w:eastAsia="fr-BE"/>
          <w14:ligatures w14:val="none"/>
        </w:rPr>
        <w:t>= [0.114, 0.710]</w:t>
      </w:r>
      <w:r w:rsidRPr="00132E27">
        <w:rPr>
          <w:rFonts w:eastAsia="Times New Roman" w:cs="Times New Roman"/>
          <w:kern w:val="0"/>
          <w:lang w:eastAsia="fr-BE"/>
          <w14:ligatures w14:val="none"/>
        </w:rPr>
        <w:t>, where Stable faces (</w:t>
      </w:r>
      <w:proofErr w:type="spellStart"/>
      <w:r w:rsidRPr="52DD8CB6">
        <w:rPr>
          <w:rFonts w:eastAsia="Times New Roman" w:cs="Times New Roman"/>
          <w:i/>
          <w:iCs/>
          <w:kern w:val="0"/>
          <w:lang w:eastAsia="fr-BE"/>
          <w14:ligatures w14:val="none"/>
        </w:rPr>
        <w:t>M</w:t>
      </w:r>
      <w:r w:rsidRPr="00791F6C">
        <w:rPr>
          <w:rFonts w:eastAsia="Times New Roman" w:cs="Times New Roman"/>
          <w:kern w:val="0"/>
          <w:vertAlign w:val="subscript"/>
          <w:lang w:eastAsia="fr-BE"/>
          <w14:ligatures w14:val="none"/>
        </w:rPr>
        <w:t>stable</w:t>
      </w:r>
      <w:proofErr w:type="spellEnd"/>
      <w:r w:rsidRPr="00791F6C">
        <w:rPr>
          <w:rFonts w:eastAsia="Times New Roman" w:cs="Times New Roman"/>
          <w:kern w:val="0"/>
          <w:vertAlign w:val="subscript"/>
          <w:lang w:eastAsia="fr-BE"/>
          <w14:ligatures w14:val="none"/>
        </w:rPr>
        <w:t xml:space="preserve"> – Group 2</w:t>
      </w:r>
      <w:r w:rsidRPr="00132E27">
        <w:rPr>
          <w:rFonts w:eastAsia="Times New Roman" w:cs="Times New Roman"/>
          <w:kern w:val="0"/>
          <w:lang w:eastAsia="fr-BE"/>
          <w14:ligatures w14:val="none"/>
        </w:rPr>
        <w:t xml:space="preserve"> = 1.767</w:t>
      </w:r>
      <w:r>
        <w:rPr>
          <w:rFonts w:eastAsia="Times New Roman" w:cs="Times New Roman"/>
          <w:kern w:val="0"/>
          <w:lang w:eastAsia="fr-BE"/>
          <w14:ligatures w14:val="none"/>
        </w:rPr>
        <w:t xml:space="preserve"> </w:t>
      </w:r>
      <w:r w:rsidRPr="009C4F00">
        <w:rPr>
          <w:rFonts w:ascii="Symbol" w:eastAsia="Symbol" w:hAnsi="Symbol" w:cs="Symbol"/>
        </w:rPr>
        <w:t></w:t>
      </w:r>
      <w:r w:rsidRPr="00791F6C">
        <w:rPr>
          <w:rFonts w:ascii="Calibri" w:eastAsia="等线" w:hAnsi="Calibri" w:cs="Calibri"/>
        </w:rPr>
        <w:t xml:space="preserve"> </w:t>
      </w:r>
      <w:r w:rsidRPr="00132E27">
        <w:rPr>
          <w:rFonts w:eastAsia="Times New Roman" w:cs="Times New Roman"/>
          <w:kern w:val="0"/>
          <w:lang w:eastAsia="fr-BE"/>
          <w14:ligatures w14:val="none"/>
        </w:rPr>
        <w:t>1.671) were recognized significantly better than Variable ones (</w:t>
      </w:r>
      <w:proofErr w:type="spellStart"/>
      <w:r w:rsidRPr="52DD8CB6">
        <w:rPr>
          <w:rFonts w:eastAsia="Times New Roman" w:cs="Times New Roman"/>
          <w:i/>
          <w:iCs/>
          <w:kern w:val="0"/>
          <w:lang w:eastAsia="fr-BE"/>
          <w14:ligatures w14:val="none"/>
        </w:rPr>
        <w:t>M</w:t>
      </w:r>
      <w:r w:rsidRPr="00791F6C">
        <w:rPr>
          <w:rFonts w:eastAsia="Times New Roman" w:cs="Times New Roman"/>
          <w:kern w:val="0"/>
          <w:vertAlign w:val="subscript"/>
          <w:lang w:eastAsia="fr-BE"/>
          <w14:ligatures w14:val="none"/>
        </w:rPr>
        <w:t>variable</w:t>
      </w:r>
      <w:proofErr w:type="spellEnd"/>
      <w:r w:rsidRPr="00791F6C">
        <w:rPr>
          <w:rFonts w:eastAsia="Times New Roman" w:cs="Times New Roman"/>
          <w:kern w:val="0"/>
          <w:vertAlign w:val="subscript"/>
          <w:lang w:eastAsia="fr-BE"/>
          <w14:ligatures w14:val="none"/>
        </w:rPr>
        <w:t xml:space="preserve"> – Group 2</w:t>
      </w:r>
      <w:r w:rsidRPr="00132E27">
        <w:rPr>
          <w:rFonts w:eastAsia="Times New Roman" w:cs="Times New Roman"/>
          <w:kern w:val="0"/>
          <w:lang w:eastAsia="fr-BE"/>
          <w14:ligatures w14:val="none"/>
        </w:rPr>
        <w:t xml:space="preserve"> = 1.119</w:t>
      </w:r>
      <w:r>
        <w:rPr>
          <w:rFonts w:eastAsia="Times New Roman" w:cs="Times New Roman"/>
          <w:kern w:val="0"/>
          <w:lang w:eastAsia="fr-BE"/>
          <w14:ligatures w14:val="none"/>
        </w:rPr>
        <w:t xml:space="preserve"> </w:t>
      </w:r>
      <w:r w:rsidRPr="009C4F00">
        <w:rPr>
          <w:rFonts w:ascii="Symbol" w:eastAsia="Symbol" w:hAnsi="Symbol" w:cs="Symbol"/>
        </w:rPr>
        <w:t></w:t>
      </w:r>
      <w:r w:rsidRPr="00791F6C">
        <w:rPr>
          <w:rFonts w:ascii="Calibri" w:eastAsia="等线" w:hAnsi="Calibri" w:cs="Calibri"/>
        </w:rPr>
        <w:t xml:space="preserve"> </w:t>
      </w:r>
      <w:r w:rsidRPr="00132E27">
        <w:rPr>
          <w:rFonts w:eastAsia="Times New Roman" w:cs="Times New Roman"/>
          <w:kern w:val="0"/>
          <w:lang w:eastAsia="fr-BE"/>
          <w14:ligatures w14:val="none"/>
        </w:rPr>
        <w:t>1.336).</w:t>
      </w:r>
    </w:p>
    <w:p w14:paraId="6B754614" w14:textId="7A0B885A" w:rsidR="0004604E" w:rsidRDefault="0004604E" w:rsidP="00D10726">
      <w:pPr>
        <w:jc w:val="both"/>
        <w:rPr>
          <w:rFonts w:eastAsia="Times New Roman" w:cs="Times New Roman"/>
          <w:kern w:val="0"/>
          <w:lang w:eastAsia="fr-BE"/>
          <w14:ligatures w14:val="none"/>
        </w:rPr>
      </w:pPr>
      <w:r w:rsidRPr="00132E27">
        <w:rPr>
          <w:rFonts w:eastAsia="Times New Roman" w:cs="Times New Roman"/>
          <w:kern w:val="0"/>
          <w:lang w:eastAsia="fr-BE"/>
          <w14:ligatures w14:val="none"/>
        </w:rPr>
        <w:t xml:space="preserve">To probe these results further, </w:t>
      </w:r>
      <w:r>
        <w:rPr>
          <w:rFonts w:eastAsia="Times New Roman" w:cs="Times New Roman"/>
          <w:kern w:val="0"/>
          <w:lang w:eastAsia="fr-BE"/>
          <w14:ligatures w14:val="none"/>
        </w:rPr>
        <w:t xml:space="preserve">and as comparing all possible pairs of independent groups would not be meaningful, we examined linear contrasts separately for stable and variable faces. </w:t>
      </w:r>
      <w:r w:rsidRPr="00132E27">
        <w:rPr>
          <w:rFonts w:eastAsia="Times New Roman" w:cs="Times New Roman"/>
          <w:kern w:val="0"/>
          <w:lang w:eastAsia="fr-BE"/>
          <w14:ligatures w14:val="none"/>
        </w:rPr>
        <w:t>Following Armstrong (2016)’s recommendations on exploratory analyses, these tests were interpreted with the classic significance criterion (</w:t>
      </w:r>
      <w:r w:rsidRPr="52DD8CB6">
        <w:rPr>
          <w:rFonts w:eastAsia="Times New Roman" w:cs="Times New Roman"/>
          <w:i/>
          <w:iCs/>
          <w:kern w:val="0"/>
          <w:lang w:eastAsia="fr-BE"/>
          <w14:ligatures w14:val="none"/>
        </w:rPr>
        <w:t>α</w:t>
      </w:r>
      <w:r w:rsidRPr="00132E27">
        <w:rPr>
          <w:rFonts w:eastAsia="Times New Roman" w:cs="Times New Roman"/>
          <w:kern w:val="0"/>
          <w:lang w:eastAsia="fr-BE"/>
          <w14:ligatures w14:val="none"/>
        </w:rPr>
        <w:t xml:space="preserve"> = .05). Significant linear trends were found for both Stable</w:t>
      </w:r>
      <w:r>
        <w:rPr>
          <w:rFonts w:cs="Times New Roman" w:hint="eastAsia"/>
          <w:kern w:val="0"/>
          <w14:ligatures w14:val="none"/>
        </w:rPr>
        <w:t xml:space="preserve">, </w:t>
      </w:r>
      <w:r w:rsidRPr="52DD8CB6">
        <w:rPr>
          <w:rFonts w:eastAsia="Times New Roman" w:cs="Times New Roman"/>
          <w:i/>
          <w:iCs/>
          <w:kern w:val="0"/>
          <w:lang w:eastAsia="fr-BE"/>
          <w14:ligatures w14:val="none"/>
        </w:rPr>
        <w:t>t</w:t>
      </w:r>
      <w:r w:rsidRPr="00132E27">
        <w:rPr>
          <w:rFonts w:eastAsia="Times New Roman" w:cs="Times New Roman"/>
          <w:kern w:val="0"/>
          <w:lang w:eastAsia="fr-BE"/>
          <w14:ligatures w14:val="none"/>
        </w:rPr>
        <w:t xml:space="preserve">(183) = 3.718, </w:t>
      </w:r>
      <w:r w:rsidRPr="52DD8CB6">
        <w:rPr>
          <w:rFonts w:eastAsia="Times New Roman" w:cs="Times New Roman"/>
          <w:i/>
          <w:iCs/>
          <w:kern w:val="0"/>
          <w:lang w:eastAsia="fr-BE"/>
          <w14:ligatures w14:val="none"/>
        </w:rPr>
        <w:t>p</w:t>
      </w:r>
      <w:r>
        <w:rPr>
          <w:rFonts w:cs="Times New Roman"/>
          <w:kern w:val="0"/>
          <w14:ligatures w14:val="none"/>
        </w:rPr>
        <w:t xml:space="preserve"> </w:t>
      </w:r>
      <w:r w:rsidRPr="00132E27">
        <w:rPr>
          <w:rFonts w:eastAsia="Times New Roman" w:cs="Times New Roman"/>
          <w:kern w:val="0"/>
          <w:lang w:eastAsia="fr-BE"/>
          <w14:ligatures w14:val="none"/>
        </w:rPr>
        <w:t>&lt;</w:t>
      </w:r>
      <w:r>
        <w:rPr>
          <w:rFonts w:cs="Times New Roman"/>
          <w:kern w:val="0"/>
          <w14:ligatures w14:val="none"/>
        </w:rPr>
        <w:t xml:space="preserve"> </w:t>
      </w:r>
      <w:r w:rsidRPr="00132E27">
        <w:rPr>
          <w:rFonts w:eastAsia="Times New Roman" w:cs="Times New Roman"/>
          <w:kern w:val="0"/>
          <w:lang w:eastAsia="fr-BE"/>
          <w14:ligatures w14:val="none"/>
        </w:rPr>
        <w:t>.001</w:t>
      </w:r>
      <w:r>
        <w:rPr>
          <w:rFonts w:cs="Times New Roman" w:hint="eastAsia"/>
          <w:kern w:val="0"/>
          <w14:ligatures w14:val="none"/>
        </w:rPr>
        <w:t>,</w:t>
      </w:r>
      <w:r w:rsidRPr="00132E27">
        <w:rPr>
          <w:rFonts w:eastAsia="Times New Roman" w:cs="Times New Roman"/>
          <w:kern w:val="0"/>
          <w:lang w:eastAsia="fr-BE"/>
          <w14:ligatures w14:val="none"/>
        </w:rPr>
        <w:t xml:space="preserve"> and Variable</w:t>
      </w:r>
      <w:r>
        <w:rPr>
          <w:rFonts w:cs="Times New Roman" w:hint="eastAsia"/>
          <w:kern w:val="0"/>
          <w14:ligatures w14:val="none"/>
        </w:rPr>
        <w:t xml:space="preserve"> </w:t>
      </w:r>
      <w:r w:rsidRPr="00132E27">
        <w:rPr>
          <w:rFonts w:eastAsia="Times New Roman" w:cs="Times New Roman"/>
          <w:kern w:val="0"/>
          <w:lang w:eastAsia="fr-BE"/>
          <w14:ligatures w14:val="none"/>
        </w:rPr>
        <w:t>faces</w:t>
      </w:r>
      <w:r>
        <w:rPr>
          <w:rFonts w:cs="Times New Roman" w:hint="eastAsia"/>
          <w:kern w:val="0"/>
          <w14:ligatures w14:val="none"/>
        </w:rPr>
        <w:t xml:space="preserve">, </w:t>
      </w:r>
      <w:r w:rsidRPr="52DD8CB6">
        <w:rPr>
          <w:rFonts w:eastAsia="Times New Roman" w:cs="Times New Roman"/>
          <w:i/>
          <w:iCs/>
          <w:kern w:val="0"/>
          <w:lang w:eastAsia="fr-BE"/>
          <w14:ligatures w14:val="none"/>
        </w:rPr>
        <w:t>t</w:t>
      </w:r>
      <w:r w:rsidRPr="00132E27">
        <w:rPr>
          <w:rFonts w:eastAsia="Times New Roman" w:cs="Times New Roman"/>
          <w:kern w:val="0"/>
          <w:lang w:eastAsia="fr-BE"/>
          <w14:ligatures w14:val="none"/>
        </w:rPr>
        <w:t xml:space="preserve">(183) = 4.130, </w:t>
      </w:r>
      <w:r w:rsidRPr="52DD8CB6">
        <w:rPr>
          <w:rFonts w:eastAsia="Times New Roman" w:cs="Times New Roman"/>
          <w:i/>
          <w:iCs/>
          <w:kern w:val="0"/>
          <w:lang w:eastAsia="fr-BE"/>
          <w14:ligatures w14:val="none"/>
        </w:rPr>
        <w:t>p</w:t>
      </w:r>
      <w:r w:rsidRPr="00132E27">
        <w:rPr>
          <w:rFonts w:eastAsia="Times New Roman" w:cs="Times New Roman"/>
          <w:kern w:val="0"/>
          <w:lang w:eastAsia="fr-BE"/>
          <w14:ligatures w14:val="none"/>
        </w:rPr>
        <w:t xml:space="preserve"> &lt; .001</w:t>
      </w:r>
      <w:r>
        <w:rPr>
          <w:rFonts w:eastAsia="Times New Roman" w:cs="Times New Roman"/>
          <w:kern w:val="0"/>
          <w:lang w:eastAsia="fr-BE"/>
          <w14:ligatures w14:val="none"/>
        </w:rPr>
        <w:t>, confirming that they both benefited from additional exposure</w:t>
      </w:r>
      <w:r w:rsidRPr="00132E27">
        <w:rPr>
          <w:rFonts w:eastAsia="Times New Roman" w:cs="Times New Roman"/>
          <w:kern w:val="0"/>
          <w:lang w:eastAsia="fr-BE"/>
          <w14:ligatures w14:val="none"/>
        </w:rPr>
        <w:t>.</w:t>
      </w:r>
    </w:p>
    <w:p w14:paraId="0AA713CC" w14:textId="19DB4C23" w:rsidR="00916E69" w:rsidRDefault="003B5B71" w:rsidP="00D10726">
      <w:pPr>
        <w:pStyle w:val="Heading1"/>
        <w:jc w:val="center"/>
      </w:pPr>
      <w:r>
        <w:t>General discussion</w:t>
      </w:r>
    </w:p>
    <w:p w14:paraId="4C1FF8EA" w14:textId="71DCF042" w:rsidR="005D5859" w:rsidRDefault="000319CA" w:rsidP="00D10726">
      <w:r>
        <w:t>This paper</w:t>
      </w:r>
      <w:r w:rsidR="6F19AFDF">
        <w:t xml:space="preserve"> introduces </w:t>
      </w:r>
      <w:r>
        <w:t xml:space="preserve">the </w:t>
      </w:r>
      <w:r w:rsidR="1F527273">
        <w:t xml:space="preserve">Dynamic and Image Variation Archive (DIVA-Face) database </w:t>
      </w:r>
      <w:r w:rsidR="6F19AFDF">
        <w:t xml:space="preserve">that systematically manipulates multiple </w:t>
      </w:r>
      <w:r>
        <w:t xml:space="preserve">aspects of </w:t>
      </w:r>
      <w:r w:rsidR="00E4139D">
        <w:t>within-person variability</w:t>
      </w:r>
      <w:r w:rsidR="6F19AFDF">
        <w:t xml:space="preserve"> </w:t>
      </w:r>
      <w:r w:rsidR="6F19AFDF">
        <w:lastRenderedPageBreak/>
        <w:t xml:space="preserve">while preserving ecological validity. By incorporating controlled variations in </w:t>
      </w:r>
      <w:r w:rsidR="00B53048">
        <w:t xml:space="preserve">identity, </w:t>
      </w:r>
      <w:r w:rsidR="6F19AFDF">
        <w:t>hairstyle, lipstick, glasses, lighting</w:t>
      </w:r>
      <w:r w:rsidR="00E4139D">
        <w:t>, gestures and poses</w:t>
      </w:r>
      <w:r w:rsidR="6F19AFDF">
        <w:t xml:space="preserve">, the database enables researchers to isolate </w:t>
      </w:r>
      <w:r w:rsidR="00E4139D">
        <w:t xml:space="preserve">each of those individual factors in </w:t>
      </w:r>
      <w:r w:rsidR="00007A49">
        <w:t>experimental or applied psychological</w:t>
      </w:r>
      <w:r w:rsidR="00E94343">
        <w:t>, neuroscientific</w:t>
      </w:r>
      <w:r w:rsidR="00007A49">
        <w:t>,</w:t>
      </w:r>
      <w:r w:rsidR="00E94343">
        <w:t xml:space="preserve"> </w:t>
      </w:r>
      <w:r w:rsidR="00007A49">
        <w:t xml:space="preserve">or modelling </w:t>
      </w:r>
      <w:r w:rsidR="00E94343">
        <w:t xml:space="preserve">studies </w:t>
      </w:r>
      <w:r w:rsidR="00E4139D">
        <w:t xml:space="preserve">revolving around </w:t>
      </w:r>
      <w:r w:rsidR="00B53048">
        <w:t>the</w:t>
      </w:r>
      <w:r w:rsidR="00E4139D">
        <w:t xml:space="preserve"> processing</w:t>
      </w:r>
      <w:r w:rsidR="00B53048">
        <w:t xml:space="preserve"> of faces</w:t>
      </w:r>
      <w:r w:rsidR="00007A49">
        <w:t>,</w:t>
      </w:r>
      <w:r w:rsidR="00B53048">
        <w:t xml:space="preserve"> or complex stimuli categories more broadly</w:t>
      </w:r>
      <w:r w:rsidR="00E4139D">
        <w:t xml:space="preserve">. </w:t>
      </w:r>
      <w:r w:rsidR="6F19AFDF">
        <w:t xml:space="preserve">A key contribution of the database is </w:t>
      </w:r>
      <w:r w:rsidR="00E4139D">
        <w:t>its focus on facial appearance, offering 28 distinct realistic combinations</w:t>
      </w:r>
      <w:r>
        <w:t xml:space="preserve"> of appearances</w:t>
      </w:r>
      <w:r w:rsidR="00E4139D">
        <w:t xml:space="preserve"> per actress, and </w:t>
      </w:r>
      <w:r w:rsidR="6F19AFDF">
        <w:t xml:space="preserve">the inclusion of dynamic information. The video clips capture natural facial and head movements, temporal continuity, and motion cues that are characteristic of real-world face </w:t>
      </w:r>
      <w:r w:rsidR="00DC0F2E">
        <w:t>exposure</w:t>
      </w:r>
      <w:r w:rsidR="6F19AFDF">
        <w:t>. Such dynamic information is absent from static image sets and is known to support identity learning and recognition</w:t>
      </w:r>
      <w:r w:rsidR="00DC0F2E">
        <w:t xml:space="preserve"> (</w:t>
      </w:r>
      <w:r w:rsidR="009D79DC">
        <w:rPr>
          <w:rFonts w:hint="eastAsia"/>
        </w:rPr>
        <w:t xml:space="preserve">Lander </w:t>
      </w:r>
      <w:r w:rsidR="00801C30">
        <w:rPr>
          <w:rFonts w:hint="eastAsia"/>
        </w:rPr>
        <w:t>&amp;</w:t>
      </w:r>
      <w:r w:rsidR="009D79DC">
        <w:rPr>
          <w:rFonts w:hint="eastAsia"/>
        </w:rPr>
        <w:t xml:space="preserve"> Bruce, 2003;</w:t>
      </w:r>
      <w:r w:rsidR="00B42CCB">
        <w:rPr>
          <w:rFonts w:hint="eastAsia"/>
        </w:rPr>
        <w:t xml:space="preserve"> </w:t>
      </w:r>
      <w:r w:rsidR="00801C30">
        <w:rPr>
          <w:rFonts w:hint="eastAsia"/>
        </w:rPr>
        <w:t xml:space="preserve">see also </w:t>
      </w:r>
      <w:r w:rsidR="00D20DF5">
        <w:rPr>
          <w:rFonts w:hint="eastAsia"/>
        </w:rPr>
        <w:t xml:space="preserve">Dobs et al., 2018; </w:t>
      </w:r>
      <w:r w:rsidR="00B42CCB">
        <w:rPr>
          <w:rFonts w:hint="eastAsia"/>
        </w:rPr>
        <w:t>Xiao et al., 2014</w:t>
      </w:r>
      <w:r w:rsidR="00DC0F2E">
        <w:t>)</w:t>
      </w:r>
      <w:r w:rsidR="6F19AFDF">
        <w:t xml:space="preserve">, making the present database particularly well suited for bridging laboratory research and </w:t>
      </w:r>
      <w:r w:rsidR="00DC0F2E">
        <w:t xml:space="preserve">real-world </w:t>
      </w:r>
      <w:r w:rsidR="6F19AFDF">
        <w:t xml:space="preserve">face </w:t>
      </w:r>
      <w:r w:rsidR="00DC0F2E">
        <w:t>processing</w:t>
      </w:r>
      <w:r w:rsidR="6F19AFDF">
        <w:t>.</w:t>
      </w:r>
    </w:p>
    <w:p w14:paraId="505A73E5" w14:textId="106D8701" w:rsidR="00E94343" w:rsidRDefault="00E94343" w:rsidP="00D10726">
      <w:r>
        <w:t xml:space="preserve">A central feature of the database is also its use of a </w:t>
      </w:r>
      <w:r w:rsidRPr="00644ED4">
        <w:rPr>
          <w:bCs/>
        </w:rPr>
        <w:t xml:space="preserve">uniform green-screen </w:t>
      </w:r>
      <w:r w:rsidRPr="00C95B33">
        <w:rPr>
          <w:bCs/>
        </w:rPr>
        <w:t>background</w:t>
      </w:r>
      <w:r w:rsidRPr="00C95B33">
        <w:t xml:space="preserve">. This not only provides a consistent background environment across all stimuli </w:t>
      </w:r>
      <w:r w:rsidR="00443A0B" w:rsidRPr="00C95B33">
        <w:rPr>
          <w:rFonts w:hint="eastAsia"/>
        </w:rPr>
        <w:t>t</w:t>
      </w:r>
      <w:r w:rsidR="00443A0B" w:rsidRPr="00C95B33">
        <w:t>hereby maximizing experimental control, but also maximizes flexibility for future applications.</w:t>
      </w:r>
      <w:r w:rsidR="00443A0B" w:rsidRPr="00C95B33">
        <w:rPr>
          <w:rFonts w:hint="eastAsia"/>
        </w:rPr>
        <w:t xml:space="preserve"> </w:t>
      </w:r>
      <w:r w:rsidRPr="00C95B33">
        <w:t>Indeed</w:t>
      </w:r>
      <w:r>
        <w:t xml:space="preserve">, thanks to the green-screen recordings, the background </w:t>
      </w:r>
      <w:r w:rsidR="000C2785">
        <w:t xml:space="preserve">can easily be substituted </w:t>
      </w:r>
      <w:r>
        <w:t xml:space="preserve">with customized environments, enabling investigations of contextual effects on face processing or </w:t>
      </w:r>
      <w:r w:rsidR="000C2785">
        <w:t xml:space="preserve">the </w:t>
      </w:r>
      <w:r>
        <w:t xml:space="preserve">embedding the faces in </w:t>
      </w:r>
      <w:r w:rsidR="00FE3B32">
        <w:t>environments</w:t>
      </w:r>
      <w:r>
        <w:t xml:space="preserve"> that further increase ecological validity. This feature supports applications in virtual and augmented reality, human–computer interaction, and social robotics, where identity processing often occurs in dynamic and context-dependent settings.</w:t>
      </w:r>
    </w:p>
    <w:p w14:paraId="5C739649" w14:textId="5A8CE4B1" w:rsidR="005D5859" w:rsidRDefault="00DC0F2E" w:rsidP="00D10726">
      <w:r>
        <w:lastRenderedPageBreak/>
        <w:t xml:space="preserve">We also provided </w:t>
      </w:r>
      <w:r w:rsidR="00FE3B32">
        <w:t>an example of application for</w:t>
      </w:r>
      <w:r>
        <w:t xml:space="preserve"> </w:t>
      </w:r>
      <w:r w:rsidR="006D6A4B">
        <w:t>DIVA-Face</w:t>
      </w:r>
      <w:r w:rsidR="00FE3B32">
        <w:t>, in the form of an</w:t>
      </w:r>
      <w:r w:rsidR="0061275C">
        <w:t xml:space="preserve"> </w:t>
      </w:r>
      <w:r w:rsidR="005D5859">
        <w:t xml:space="preserve">incidental face learning experiment </w:t>
      </w:r>
      <w:r w:rsidR="00FE3B32">
        <w:t>which included</w:t>
      </w:r>
      <w:r>
        <w:t xml:space="preserve"> </w:t>
      </w:r>
      <w:r w:rsidR="005D5859">
        <w:t xml:space="preserve">a controlled subset of stimuli. The primary aim of this study was to assess whether </w:t>
      </w:r>
      <w:r>
        <w:t xml:space="preserve">the manipulation of factors controlled in the </w:t>
      </w:r>
      <w:r w:rsidR="005D5859">
        <w:t>database would elicit reliable and theoretically meaningful effects</w:t>
      </w:r>
      <w:r w:rsidR="00390551">
        <w:t xml:space="preserve"> on face learning</w:t>
      </w:r>
      <w:r w:rsidR="005D5859">
        <w:t>. As expected, recognition performance increased with exposure, demonstrating a robust experience-dependent improvement in unfamiliar face learning</w:t>
      </w:r>
      <w:r>
        <w:t xml:space="preserve"> consistent with previous literature (</w:t>
      </w:r>
      <w:r w:rsidR="001C2E01">
        <w:rPr>
          <w:rFonts w:hint="eastAsia"/>
        </w:rPr>
        <w:t>Baker &amp; Mondloch, 2023</w:t>
      </w:r>
      <w:r w:rsidR="00B271EA">
        <w:rPr>
          <w:rFonts w:hint="eastAsia"/>
        </w:rPr>
        <w:t xml:space="preserve">; </w:t>
      </w:r>
      <w:r w:rsidR="000209EC">
        <w:rPr>
          <w:rFonts w:hint="eastAsia"/>
        </w:rPr>
        <w:t xml:space="preserve">Dowsett et al., 2016; </w:t>
      </w:r>
      <w:r w:rsidR="006E02E6">
        <w:rPr>
          <w:rFonts w:hint="eastAsia"/>
        </w:rPr>
        <w:t xml:space="preserve">Matthews &amp; Mondloch, 2018; </w:t>
      </w:r>
      <w:r w:rsidR="00B271EA">
        <w:rPr>
          <w:rFonts w:hint="eastAsia"/>
        </w:rPr>
        <w:t>Matthews et al., 2024</w:t>
      </w:r>
      <w:r>
        <w:t>)</w:t>
      </w:r>
      <w:r w:rsidR="0EF1BED7">
        <w:t xml:space="preserve">. In addition, the advantage observed for stable learning materials is consistent with a </w:t>
      </w:r>
      <w:r w:rsidR="79B5D083">
        <w:t>growing body of evidence suggesting that appearance variability is not universally beneficial and that stable appearance conditions can, under some circumstances, support face learning as effectively as highly variable conditions</w:t>
      </w:r>
      <w:r w:rsidR="56ED8BD5">
        <w:t xml:space="preserve"> (e.g., </w:t>
      </w:r>
      <w:r w:rsidR="579562E6">
        <w:t xml:space="preserve">adults in </w:t>
      </w:r>
      <w:r w:rsidR="56ED8BD5">
        <w:t xml:space="preserve">Baker et al., 2017; </w:t>
      </w:r>
      <w:r>
        <w:t xml:space="preserve">Devue &amp; de Sena, 2023; Moore et al., 2024; </w:t>
      </w:r>
      <w:r w:rsidR="56ED8BD5">
        <w:t>Ritchie &amp; Burton, 2017)</w:t>
      </w:r>
      <w:r w:rsidR="005D5859">
        <w:t xml:space="preserve">. Importantly, these effects emerged in an online testing environment, across different recruitment platforms, and under incidental learning conditions. The robustness of the observed learning patterns—despite heterogeneous </w:t>
      </w:r>
      <w:r>
        <w:t xml:space="preserve">populations, </w:t>
      </w:r>
      <w:r w:rsidR="005D5859">
        <w:t>hardware and uncontrolled viewing settings—provides strong empirical support for the reliability and experimental usability of the database.</w:t>
      </w:r>
    </w:p>
    <w:p w14:paraId="4F60B06F" w14:textId="5371C615" w:rsidR="00E960CC" w:rsidRPr="00E960CC" w:rsidRDefault="00E960CC" w:rsidP="00D10726">
      <w:r>
        <w:t xml:space="preserve">Despite its strengths, several limitations of the database should be acknowledged. The current version only includes young Caucasian females, which may limit generalization to other genders, age groups, or ethnic backgrounds. Future extensions could expand the diversity of identities represented and include additional </w:t>
      </w:r>
      <w:r>
        <w:lastRenderedPageBreak/>
        <w:t>features such as synchronized audio, a more</w:t>
      </w:r>
      <w:r w:rsidR="00644ED4">
        <w:rPr>
          <w:rFonts w:hint="eastAsia"/>
        </w:rPr>
        <w:t xml:space="preserve"> </w:t>
      </w:r>
      <w:r>
        <w:t>diverse range of emotional expressions or camera perspectives.</w:t>
      </w:r>
    </w:p>
    <w:p w14:paraId="4B4F34BB" w14:textId="358D9607" w:rsidR="005D5859" w:rsidRDefault="00E960CC" w:rsidP="00D10726">
      <w:r>
        <w:t xml:space="preserve">Finally, manipulating </w:t>
      </w:r>
      <w:r w:rsidR="005D5859">
        <w:t xml:space="preserve">appearance </w:t>
      </w:r>
      <w:r>
        <w:t xml:space="preserve">by means of wigs </w:t>
      </w:r>
      <w:r w:rsidR="005D5859">
        <w:t>raises concerns about ecological validity. However, pretest results demonstrated that the wigs fell within a moderate range of distinctiveness.</w:t>
      </w:r>
      <w:r>
        <w:t xml:space="preserve"> </w:t>
      </w:r>
      <w:r w:rsidR="00AC31CF">
        <w:t>Importantly</w:t>
      </w:r>
      <w:r w:rsidR="005D5859">
        <w:t xml:space="preserve">, the </w:t>
      </w:r>
      <w:r>
        <w:t xml:space="preserve">natural hair of the </w:t>
      </w:r>
      <w:r w:rsidR="005D5859">
        <w:t>actress</w:t>
      </w:r>
      <w:r>
        <w:t xml:space="preserve"> wearing wigs for </w:t>
      </w:r>
      <w:r w:rsidR="00901F12">
        <w:t>the wig</w:t>
      </w:r>
      <w:r>
        <w:t xml:space="preserve"> pretest</w:t>
      </w:r>
      <w:r w:rsidR="0061275C">
        <w:t xml:space="preserve"> (i.e. brown hair with blond highlights)</w:t>
      </w:r>
      <w:r>
        <w:t xml:space="preserve"> </w:t>
      </w:r>
      <w:r w:rsidR="005D5859">
        <w:t xml:space="preserve">received higher distinctiveness ratings than most wigs, indicating that </w:t>
      </w:r>
      <w:r w:rsidR="00901F12">
        <w:t>wigs themselves do not necessarily create implausible or salient appearances</w:t>
      </w:r>
      <w:r w:rsidR="005D5859">
        <w:t xml:space="preserve">. </w:t>
      </w:r>
      <w:r w:rsidR="0061275C">
        <w:t xml:space="preserve">This concern can also be alleviated by the fact that most of us are regularly exposed to people—actors or otherwise—changing their appearance via wigs. </w:t>
      </w:r>
      <w:r w:rsidR="00901F12">
        <w:t>The use of wigs</w:t>
      </w:r>
      <w:r w:rsidR="005D5859">
        <w:t xml:space="preserve"> allowed</w:t>
      </w:r>
      <w:r w:rsidR="00901F12">
        <w:t xml:space="preserve"> a</w:t>
      </w:r>
      <w:r w:rsidR="005D5859">
        <w:t xml:space="preserve"> systematic control over hairstyle variability </w:t>
      </w:r>
      <w:r w:rsidR="00901F12">
        <w:t xml:space="preserve">within a single session of </w:t>
      </w:r>
      <w:r w:rsidR="0061275C">
        <w:t>image</w:t>
      </w:r>
      <w:r w:rsidR="00901F12">
        <w:t xml:space="preserve"> acquisition, keeping all other facial information constant</w:t>
      </w:r>
      <w:r w:rsidR="005D5859">
        <w:t xml:space="preserve">. </w:t>
      </w:r>
      <w:r w:rsidR="00901F12">
        <w:t>Crucially, it also permitted to create pairs of identities with different facial features but identical peripheral features</w:t>
      </w:r>
      <w:r w:rsidR="0061275C">
        <w:t>, providing materials that could for example be extremely valuable in forensic settings</w:t>
      </w:r>
      <w:r w:rsidR="00901F12">
        <w:t xml:space="preserve">. </w:t>
      </w:r>
      <w:r w:rsidR="005D5859">
        <w:t xml:space="preserve">This balance between experimental control and ecological realism is </w:t>
      </w:r>
      <w:r w:rsidR="00901F12">
        <w:t xml:space="preserve">therefore </w:t>
      </w:r>
      <w:r w:rsidR="005D5859">
        <w:t xml:space="preserve">a defining strength of the database and ensures that appearance manipulations do not introduce </w:t>
      </w:r>
      <w:r w:rsidR="00662FA4">
        <w:t xml:space="preserve">other uncontrolled </w:t>
      </w:r>
      <w:r w:rsidR="005D5859">
        <w:t>visual artifacts.</w:t>
      </w:r>
      <w:r w:rsidR="00901F12" w:rsidRPr="00901F12">
        <w:t xml:space="preserve"> </w:t>
      </w:r>
      <w:r w:rsidR="00662FA4">
        <w:t>As noted above, d</w:t>
      </w:r>
      <w:r w:rsidR="00901F12">
        <w:t xml:space="preserve">istinctiveness and similarity ratings for individual wigs are available for researchers willing to select </w:t>
      </w:r>
      <w:r w:rsidR="004E1E88">
        <w:t>those</w:t>
      </w:r>
      <w:r w:rsidR="00901F12">
        <w:t xml:space="preserve"> that best suits their needs.</w:t>
      </w:r>
    </w:p>
    <w:p w14:paraId="57856257" w14:textId="7A2FA4DD" w:rsidR="00916E69" w:rsidRDefault="00F302C7" w:rsidP="00D10726">
      <w:pPr>
        <w:pStyle w:val="Heading1"/>
        <w:jc w:val="center"/>
      </w:pPr>
      <w:r>
        <w:rPr>
          <w:rFonts w:hint="eastAsia"/>
        </w:rPr>
        <w:t>Conclusion</w:t>
      </w:r>
    </w:p>
    <w:p w14:paraId="06E802C3" w14:textId="745044E9" w:rsidR="006619B8" w:rsidRDefault="00645005" w:rsidP="00D10726">
      <w:r>
        <w:t xml:space="preserve">In conclusion, DIVA-Face provides a comprehensive, well-controlled, and ecologically valid resource for </w:t>
      </w:r>
      <w:r w:rsidR="00EC377A">
        <w:t>applications that involve</w:t>
      </w:r>
      <w:r w:rsidR="0010320E">
        <w:t xml:space="preserve"> studying face processing or more </w:t>
      </w:r>
      <w:r w:rsidR="0010320E">
        <w:lastRenderedPageBreak/>
        <w:t>broadly, the processing of complex visual stimuli</w:t>
      </w:r>
      <w:r>
        <w:t xml:space="preserve">. </w:t>
      </w:r>
      <w:r w:rsidR="0010320E">
        <w:t>Our face learning</w:t>
      </w:r>
      <w:r>
        <w:t xml:space="preserve"> experiment demonstrates that the stimuli reliably elicit theoretically grounded learning effects, supporting the scientific utility of the database. By combining dynamic recordings, systematic appearance manipulations, and flexible green-screen design, this resource is uniquely positioned to advance research on person perception across behavioral,</w:t>
      </w:r>
      <w:r w:rsidR="0010320E">
        <w:t xml:space="preserve"> neuroscientific,</w:t>
      </w:r>
      <w:r>
        <w:t xml:space="preserve"> and applied domains. Open access to the stimuli and metadata is intended to promote reproducibility, facilitate methodological integration, and support large-scale, cross-disciplinary investigations.</w:t>
      </w:r>
    </w:p>
    <w:p w14:paraId="30745137" w14:textId="77777777" w:rsidR="006619B8" w:rsidRDefault="006619B8" w:rsidP="00D10726"/>
    <w:p w14:paraId="331B35FD" w14:textId="651EF6FA" w:rsidR="00924389" w:rsidRPr="00924389" w:rsidRDefault="00924389" w:rsidP="00D10726"/>
    <w:p w14:paraId="5091C6E9" w14:textId="5DAFC5AD" w:rsidR="006619B8" w:rsidRDefault="006B13B5" w:rsidP="00D10726">
      <w:pPr>
        <w:pStyle w:val="Heading1"/>
        <w:jc w:val="center"/>
      </w:pPr>
      <w:r w:rsidRPr="006B13B5">
        <w:t>Declaration</w:t>
      </w:r>
      <w:r w:rsidR="00C84452">
        <w:rPr>
          <w:rFonts w:hint="eastAsia"/>
        </w:rPr>
        <w:t>s</w:t>
      </w:r>
    </w:p>
    <w:p w14:paraId="154D72EA" w14:textId="56F44532" w:rsidR="006B13B5" w:rsidRPr="00CE3B3A" w:rsidRDefault="00C84452" w:rsidP="00653234">
      <w:pPr>
        <w:ind w:firstLine="0"/>
      </w:pPr>
      <w:r w:rsidRPr="00CE3B3A">
        <w:rPr>
          <w:rFonts w:hint="eastAsia"/>
          <w:b/>
          <w:bCs/>
        </w:rPr>
        <w:t>Funding</w:t>
      </w:r>
      <w:r w:rsidR="00CE3B3A">
        <w:rPr>
          <w:rFonts w:hint="eastAsia"/>
          <w:b/>
          <w:bCs/>
        </w:rPr>
        <w:t xml:space="preserve">: </w:t>
      </w:r>
      <w:r w:rsidR="00CE3B3A" w:rsidRPr="00CE3B3A">
        <w:t>Special Funds for Research (Wallonia-Brussels Federation) allocated to the University of Liège</w:t>
      </w:r>
      <w:r w:rsidR="00CE3B3A">
        <w:rPr>
          <w:rFonts w:hint="eastAsia"/>
        </w:rPr>
        <w:t>.</w:t>
      </w:r>
    </w:p>
    <w:p w14:paraId="6AD98234" w14:textId="15898BD2" w:rsidR="00C84452" w:rsidRPr="007E3355" w:rsidRDefault="00C84452" w:rsidP="00653234">
      <w:pPr>
        <w:ind w:firstLine="0"/>
      </w:pPr>
      <w:r w:rsidRPr="00CE3B3A">
        <w:rPr>
          <w:rFonts w:hint="eastAsia"/>
          <w:b/>
          <w:bCs/>
        </w:rPr>
        <w:t>Conflicts of interest</w:t>
      </w:r>
      <w:r w:rsidR="00CE3B3A">
        <w:rPr>
          <w:rFonts w:hint="eastAsia"/>
          <w:b/>
          <w:bCs/>
        </w:rPr>
        <w:t xml:space="preserve">: </w:t>
      </w:r>
      <w:r w:rsidR="007E3355" w:rsidRPr="007E3355">
        <w:rPr>
          <w:rFonts w:hint="eastAsia"/>
        </w:rPr>
        <w:t>The</w:t>
      </w:r>
      <w:r w:rsidR="007E3355">
        <w:rPr>
          <w:rFonts w:hint="eastAsia"/>
        </w:rPr>
        <w:t xml:space="preserve"> authors have no conflicts of interest to declare.</w:t>
      </w:r>
    </w:p>
    <w:p w14:paraId="25BFA72E" w14:textId="79510EAC" w:rsidR="00C84452" w:rsidRPr="007E3355" w:rsidRDefault="00C84452" w:rsidP="00653234">
      <w:pPr>
        <w:ind w:firstLine="0"/>
      </w:pPr>
      <w:r w:rsidRPr="007E3355">
        <w:rPr>
          <w:rFonts w:hint="eastAsia"/>
          <w:b/>
          <w:bCs/>
        </w:rPr>
        <w:t>Ethics approval</w:t>
      </w:r>
      <w:r w:rsidR="007E3355" w:rsidRPr="007E3355">
        <w:rPr>
          <w:rFonts w:hint="eastAsia"/>
          <w:b/>
          <w:bCs/>
        </w:rPr>
        <w:t xml:space="preserve">: </w:t>
      </w:r>
      <w:r w:rsidR="007E3355" w:rsidRPr="007E3355">
        <w:t xml:space="preserve">The study was approved by the local psychology ethics committee </w:t>
      </w:r>
      <w:r w:rsidR="007E3355">
        <w:rPr>
          <w:rFonts w:hint="eastAsia"/>
        </w:rPr>
        <w:t xml:space="preserve">of </w:t>
      </w:r>
      <w:r w:rsidR="00361B71">
        <w:t xml:space="preserve">the </w:t>
      </w:r>
      <w:r w:rsidR="007E3355" w:rsidRPr="00CE3B3A">
        <w:t>University of Liège</w:t>
      </w:r>
      <w:r w:rsidR="007E3355">
        <w:rPr>
          <w:rFonts w:hint="eastAsia"/>
        </w:rPr>
        <w:t xml:space="preserve">. </w:t>
      </w:r>
    </w:p>
    <w:p w14:paraId="0C24ED41" w14:textId="09741555" w:rsidR="00C84452" w:rsidRDefault="00361B71" w:rsidP="00653234">
      <w:pPr>
        <w:ind w:firstLine="0"/>
      </w:pPr>
      <w:r>
        <w:rPr>
          <w:rFonts w:hint="eastAsia"/>
          <w:b/>
          <w:bCs/>
        </w:rPr>
        <w:t>Consent to participa</w:t>
      </w:r>
      <w:r w:rsidR="00C84452" w:rsidRPr="007E3355">
        <w:rPr>
          <w:rFonts w:hint="eastAsia"/>
          <w:b/>
          <w:bCs/>
        </w:rPr>
        <w:t>t</w:t>
      </w:r>
      <w:r>
        <w:rPr>
          <w:b/>
          <w:bCs/>
        </w:rPr>
        <w:t>e</w:t>
      </w:r>
      <w:r w:rsidR="007E3355" w:rsidRPr="007E3355">
        <w:rPr>
          <w:rFonts w:hint="eastAsia"/>
          <w:b/>
          <w:bCs/>
        </w:rPr>
        <w:t>:</w:t>
      </w:r>
      <w:r w:rsidR="007E3355">
        <w:rPr>
          <w:rFonts w:hint="eastAsia"/>
        </w:rPr>
        <w:t xml:space="preserve"> All actresses and </w:t>
      </w:r>
      <w:r w:rsidR="007E3355" w:rsidRPr="007E3355">
        <w:t>participants provided informed consent before taking part</w:t>
      </w:r>
      <w:r w:rsidR="007E3355">
        <w:rPr>
          <w:rFonts w:hint="eastAsia"/>
        </w:rPr>
        <w:t xml:space="preserve"> </w:t>
      </w:r>
      <w:r>
        <w:t xml:space="preserve">to </w:t>
      </w:r>
      <w:r w:rsidR="007E3355">
        <w:rPr>
          <w:rFonts w:hint="eastAsia"/>
        </w:rPr>
        <w:t>this study.</w:t>
      </w:r>
    </w:p>
    <w:p w14:paraId="4C4E5664" w14:textId="17B66EB4" w:rsidR="00C84452" w:rsidRPr="007E3355" w:rsidRDefault="00C84452" w:rsidP="00653234">
      <w:pPr>
        <w:ind w:firstLine="0"/>
      </w:pPr>
      <w:r w:rsidRPr="007E3355">
        <w:rPr>
          <w:rFonts w:hint="eastAsia"/>
          <w:b/>
          <w:bCs/>
        </w:rPr>
        <w:t>Consent for publication</w:t>
      </w:r>
      <w:r w:rsidR="007E3355">
        <w:rPr>
          <w:rFonts w:hint="eastAsia"/>
          <w:b/>
          <w:bCs/>
        </w:rPr>
        <w:t xml:space="preserve">: </w:t>
      </w:r>
      <w:r w:rsidR="007E3355">
        <w:rPr>
          <w:rFonts w:hint="eastAsia"/>
        </w:rPr>
        <w:t>All actresses and participants gave informed consent for the</w:t>
      </w:r>
      <w:r w:rsidR="00361B71">
        <w:t xml:space="preserve"> use and</w:t>
      </w:r>
      <w:r w:rsidR="007E3355">
        <w:rPr>
          <w:rFonts w:hint="eastAsia"/>
        </w:rPr>
        <w:t xml:space="preserve"> publication of </w:t>
      </w:r>
      <w:r w:rsidR="00361B71">
        <w:t xml:space="preserve">images for non-commercial research purposes, or for </w:t>
      </w:r>
      <w:r w:rsidR="00361B71">
        <w:rPr>
          <w:rFonts w:hint="eastAsia"/>
        </w:rPr>
        <w:t>sharing</w:t>
      </w:r>
      <w:r w:rsidR="007E3355">
        <w:rPr>
          <w:rFonts w:hint="eastAsia"/>
        </w:rPr>
        <w:t xml:space="preserve"> anonymized data</w:t>
      </w:r>
      <w:r w:rsidR="00361B71">
        <w:t>, respectively</w:t>
      </w:r>
      <w:r w:rsidR="00495EBA">
        <w:rPr>
          <w:rFonts w:hint="eastAsia"/>
        </w:rPr>
        <w:t>.</w:t>
      </w:r>
    </w:p>
    <w:p w14:paraId="0E9D85F7" w14:textId="01E51FC9" w:rsidR="00C84452" w:rsidRDefault="00C84452" w:rsidP="00653234">
      <w:pPr>
        <w:ind w:firstLine="0"/>
      </w:pPr>
      <w:r w:rsidRPr="00495EBA">
        <w:rPr>
          <w:rFonts w:hint="eastAsia"/>
          <w:b/>
          <w:bCs/>
        </w:rPr>
        <w:lastRenderedPageBreak/>
        <w:t>Availability of data and materials</w:t>
      </w:r>
      <w:r w:rsidR="00495EBA" w:rsidRPr="00495EBA">
        <w:rPr>
          <w:rFonts w:hint="eastAsia"/>
          <w:b/>
          <w:bCs/>
        </w:rPr>
        <w:t>:</w:t>
      </w:r>
      <w:r w:rsidR="00495EBA">
        <w:rPr>
          <w:rFonts w:hint="eastAsia"/>
        </w:rPr>
        <w:t xml:space="preserve"> At </w:t>
      </w:r>
      <w:hyperlink r:id="rId27" w:history="1">
        <w:r w:rsidR="00663E24" w:rsidRPr="00BE309B">
          <w:rPr>
            <w:rStyle w:val="Hyperlink"/>
          </w:rPr>
          <w:t>https://osf.io/wezxs/?view_only=ba18fa36bfd3492f83e018e6dc4d5407</w:t>
        </w:r>
      </w:hyperlink>
      <w:r w:rsidR="00663E24">
        <w:rPr>
          <w:rFonts w:hint="eastAsia"/>
        </w:rPr>
        <w:t xml:space="preserve"> and </w:t>
      </w:r>
      <w:hyperlink r:id="rId28" w:history="1">
        <w:r w:rsidR="00663E24" w:rsidRPr="005B47ED">
          <w:rPr>
            <w:rStyle w:val="Hyperlink"/>
          </w:rPr>
          <w:t>https://doi.org/10.58119/ULG/EFLCIJ</w:t>
        </w:r>
      </w:hyperlink>
    </w:p>
    <w:p w14:paraId="259F788D" w14:textId="585B880F" w:rsidR="00C84452" w:rsidRPr="00495EBA" w:rsidRDefault="00C84452" w:rsidP="00653234">
      <w:pPr>
        <w:ind w:firstLine="0"/>
        <w:rPr>
          <w:b/>
          <w:bCs/>
        </w:rPr>
      </w:pPr>
      <w:r w:rsidRPr="00495EBA">
        <w:rPr>
          <w:rFonts w:hint="eastAsia"/>
          <w:b/>
          <w:bCs/>
        </w:rPr>
        <w:t>Code availability</w:t>
      </w:r>
      <w:r w:rsidR="00495EBA">
        <w:rPr>
          <w:rFonts w:hint="eastAsia"/>
          <w:b/>
          <w:bCs/>
        </w:rPr>
        <w:t xml:space="preserve">: </w:t>
      </w:r>
      <w:r w:rsidR="00495EBA" w:rsidRPr="00495EBA">
        <w:rPr>
          <w:rFonts w:hint="eastAsia"/>
        </w:rPr>
        <w:t>At</w:t>
      </w:r>
      <w:r w:rsidR="00BA61B4">
        <w:rPr>
          <w:rFonts w:hint="eastAsia"/>
        </w:rPr>
        <w:t xml:space="preserve"> </w:t>
      </w:r>
      <w:hyperlink r:id="rId29" w:history="1">
        <w:r w:rsidR="00BA61B4" w:rsidRPr="00BE309B">
          <w:rPr>
            <w:rStyle w:val="Hyperlink"/>
          </w:rPr>
          <w:t>https://osf.io/wezxs/?view_only=ba18fa36bfd3492f83e018e6dc4d5407</w:t>
        </w:r>
      </w:hyperlink>
    </w:p>
    <w:p w14:paraId="21FFA190" w14:textId="72108313" w:rsidR="008A7AF1" w:rsidRDefault="00495EBA" w:rsidP="00653234">
      <w:pPr>
        <w:ind w:firstLine="0"/>
        <w:rPr>
          <w:lang w:val="en-GB"/>
        </w:rPr>
      </w:pPr>
      <w:r w:rsidRPr="009863E9">
        <w:rPr>
          <w:rFonts w:hint="eastAsia"/>
          <w:b/>
          <w:bCs/>
        </w:rPr>
        <w:t>Authors</w:t>
      </w:r>
      <w:r w:rsidRPr="009863E9">
        <w:rPr>
          <w:b/>
          <w:bCs/>
        </w:rPr>
        <w:t>’</w:t>
      </w:r>
      <w:r w:rsidRPr="009863E9">
        <w:rPr>
          <w:rFonts w:hint="eastAsia"/>
          <w:b/>
          <w:bCs/>
        </w:rPr>
        <w:t xml:space="preserve"> contributions</w:t>
      </w:r>
      <w:r>
        <w:rPr>
          <w:rFonts w:hint="eastAsia"/>
        </w:rPr>
        <w:t xml:space="preserve"> Wenrui Li:</w:t>
      </w:r>
      <w:r w:rsidRPr="00EB62A1">
        <w:t xml:space="preserve"> </w:t>
      </w:r>
      <w:r>
        <w:t>Conceptualization</w:t>
      </w:r>
      <w:r>
        <w:rPr>
          <w:rFonts w:hint="eastAsia"/>
        </w:rPr>
        <w:t xml:space="preserve">, </w:t>
      </w:r>
      <w:r w:rsidRPr="00D437A5">
        <w:rPr>
          <w:lang w:val="en-GB"/>
        </w:rPr>
        <w:t>Data curation</w:t>
      </w:r>
      <w:r>
        <w:rPr>
          <w:rFonts w:hint="eastAsia"/>
          <w:lang w:val="en-GB"/>
        </w:rPr>
        <w:t xml:space="preserve">, </w:t>
      </w:r>
      <w:r w:rsidRPr="00D437A5">
        <w:rPr>
          <w:lang w:val="en-GB"/>
        </w:rPr>
        <w:t>Formal analysis</w:t>
      </w:r>
      <w:r>
        <w:rPr>
          <w:rFonts w:hint="eastAsia"/>
          <w:lang w:val="en-GB"/>
        </w:rPr>
        <w:t xml:space="preserve">, </w:t>
      </w:r>
      <w:r w:rsidRPr="00D437A5">
        <w:rPr>
          <w:lang w:val="en-GB"/>
        </w:rPr>
        <w:t>Investigation</w:t>
      </w:r>
      <w:r>
        <w:rPr>
          <w:rFonts w:hint="eastAsia"/>
          <w:lang w:val="en-GB"/>
        </w:rPr>
        <w:t xml:space="preserve">, </w:t>
      </w:r>
      <w:r w:rsidRPr="00D437A5">
        <w:rPr>
          <w:lang w:val="en-GB"/>
        </w:rPr>
        <w:t>Methodology</w:t>
      </w:r>
      <w:r>
        <w:rPr>
          <w:rFonts w:hint="eastAsia"/>
          <w:lang w:val="en-GB"/>
        </w:rPr>
        <w:t xml:space="preserve">, </w:t>
      </w:r>
      <w:r w:rsidRPr="00D437A5">
        <w:rPr>
          <w:lang w:val="en-GB"/>
        </w:rPr>
        <w:t>Project administration</w:t>
      </w:r>
      <w:r>
        <w:rPr>
          <w:rFonts w:hint="eastAsia"/>
          <w:lang w:val="en-GB"/>
        </w:rPr>
        <w:t>,</w:t>
      </w:r>
      <w:r w:rsidRPr="00EB62A1">
        <w:rPr>
          <w:lang w:val="en-GB"/>
        </w:rPr>
        <w:t xml:space="preserve"> </w:t>
      </w:r>
      <w:r w:rsidRPr="00D437A5">
        <w:rPr>
          <w:lang w:val="en-GB"/>
        </w:rPr>
        <w:t>Resources</w:t>
      </w:r>
      <w:r>
        <w:rPr>
          <w:rFonts w:hint="eastAsia"/>
          <w:lang w:val="en-GB"/>
        </w:rPr>
        <w:t xml:space="preserve">, </w:t>
      </w:r>
      <w:r w:rsidRPr="00D437A5">
        <w:rPr>
          <w:lang w:val="en-GB"/>
        </w:rPr>
        <w:t>Software</w:t>
      </w:r>
      <w:r>
        <w:rPr>
          <w:rFonts w:hint="eastAsia"/>
          <w:lang w:val="en-GB"/>
        </w:rPr>
        <w:t xml:space="preserve">, </w:t>
      </w:r>
      <w:r w:rsidRPr="00D437A5">
        <w:rPr>
          <w:lang w:val="en-GB"/>
        </w:rPr>
        <w:t>Visualization</w:t>
      </w:r>
      <w:r>
        <w:rPr>
          <w:rFonts w:hint="eastAsia"/>
          <w:lang w:val="en-GB"/>
        </w:rPr>
        <w:t xml:space="preserve">, </w:t>
      </w:r>
      <w:r w:rsidRPr="00D437A5">
        <w:rPr>
          <w:lang w:val="en-GB"/>
        </w:rPr>
        <w:t>Writing – original draft</w:t>
      </w:r>
      <w:r w:rsidR="00E55176">
        <w:rPr>
          <w:lang w:val="en-GB"/>
        </w:rPr>
        <w:t xml:space="preserve">, </w:t>
      </w:r>
      <w:r w:rsidR="00E55176">
        <w:t>Writing - Review &amp;</w:t>
      </w:r>
      <w:r w:rsidR="00E55176">
        <w:rPr>
          <w:rFonts w:hint="eastAsia"/>
        </w:rPr>
        <w:t xml:space="preserve"> </w:t>
      </w:r>
      <w:r w:rsidR="00E55176">
        <w:t>Editing</w:t>
      </w:r>
      <w:r>
        <w:rPr>
          <w:rFonts w:hint="eastAsia"/>
          <w:lang w:val="en-GB"/>
        </w:rPr>
        <w:t xml:space="preserve">. </w:t>
      </w:r>
    </w:p>
    <w:p w14:paraId="13625F6B" w14:textId="0737B02E" w:rsidR="008A7AF1" w:rsidRDefault="00495EBA" w:rsidP="00653234">
      <w:pPr>
        <w:ind w:firstLine="0"/>
        <w:rPr>
          <w:lang w:val="en-GB"/>
        </w:rPr>
      </w:pPr>
      <w:r w:rsidRPr="00FB7EEA">
        <w:rPr>
          <w:rFonts w:cs="Calibri"/>
        </w:rPr>
        <w:t>Raphaël Legrand</w:t>
      </w:r>
      <w:r>
        <w:rPr>
          <w:rFonts w:cs="Calibri" w:hint="eastAsia"/>
        </w:rPr>
        <w:t xml:space="preserve">: </w:t>
      </w:r>
      <w:r w:rsidRPr="00D437A5">
        <w:rPr>
          <w:lang w:val="en-GB"/>
        </w:rPr>
        <w:t>Conceptualization</w:t>
      </w:r>
      <w:r>
        <w:rPr>
          <w:rFonts w:hint="eastAsia"/>
          <w:lang w:val="en-GB"/>
        </w:rPr>
        <w:t xml:space="preserve">, </w:t>
      </w:r>
      <w:r w:rsidRPr="00D437A5">
        <w:rPr>
          <w:lang w:val="en-GB"/>
        </w:rPr>
        <w:t>Data curation</w:t>
      </w:r>
      <w:r>
        <w:rPr>
          <w:rFonts w:hint="eastAsia"/>
          <w:lang w:val="en-GB"/>
        </w:rPr>
        <w:t xml:space="preserve">, </w:t>
      </w:r>
      <w:r w:rsidRPr="00D437A5">
        <w:rPr>
          <w:lang w:val="en-GB"/>
        </w:rPr>
        <w:t>Formal analysis</w:t>
      </w:r>
      <w:r>
        <w:rPr>
          <w:rFonts w:hint="eastAsia"/>
          <w:lang w:val="en-GB"/>
        </w:rPr>
        <w:t xml:space="preserve">, </w:t>
      </w:r>
      <w:r w:rsidRPr="00D437A5">
        <w:rPr>
          <w:lang w:val="en-GB"/>
        </w:rPr>
        <w:t>Investigation</w:t>
      </w:r>
      <w:r>
        <w:rPr>
          <w:rFonts w:hint="eastAsia"/>
          <w:lang w:val="en-GB"/>
        </w:rPr>
        <w:t xml:space="preserve">, </w:t>
      </w:r>
      <w:r w:rsidRPr="00D437A5">
        <w:rPr>
          <w:lang w:val="en-GB"/>
        </w:rPr>
        <w:t>Methodology</w:t>
      </w:r>
      <w:r>
        <w:rPr>
          <w:rFonts w:hint="eastAsia"/>
          <w:lang w:val="en-GB"/>
        </w:rPr>
        <w:t xml:space="preserve">, </w:t>
      </w:r>
      <w:r w:rsidR="00E55176" w:rsidRPr="00D437A5">
        <w:rPr>
          <w:lang w:val="en-GB"/>
        </w:rPr>
        <w:t>Project administration</w:t>
      </w:r>
      <w:r w:rsidR="00E55176">
        <w:rPr>
          <w:rFonts w:hint="eastAsia"/>
          <w:lang w:val="en-GB"/>
        </w:rPr>
        <w:t>,</w:t>
      </w:r>
      <w:r w:rsidR="00E55176" w:rsidRPr="00EB62A1">
        <w:rPr>
          <w:lang w:val="en-GB"/>
        </w:rPr>
        <w:t xml:space="preserve"> </w:t>
      </w:r>
      <w:r w:rsidRPr="00D437A5">
        <w:rPr>
          <w:lang w:val="en-GB"/>
        </w:rPr>
        <w:t>Resources</w:t>
      </w:r>
      <w:r>
        <w:rPr>
          <w:rFonts w:hint="eastAsia"/>
          <w:lang w:val="en-GB"/>
        </w:rPr>
        <w:t xml:space="preserve">, </w:t>
      </w:r>
      <w:r w:rsidR="00E55176" w:rsidRPr="00D437A5">
        <w:rPr>
          <w:lang w:val="en-GB"/>
        </w:rPr>
        <w:t>Software</w:t>
      </w:r>
      <w:r w:rsidR="00E55176">
        <w:rPr>
          <w:rFonts w:hint="eastAsia"/>
          <w:lang w:val="en-GB"/>
        </w:rPr>
        <w:t xml:space="preserve">, </w:t>
      </w:r>
      <w:r w:rsidRPr="00D437A5">
        <w:rPr>
          <w:lang w:val="en-GB"/>
        </w:rPr>
        <w:t>Visualization</w:t>
      </w:r>
      <w:r>
        <w:rPr>
          <w:rFonts w:hint="eastAsia"/>
          <w:lang w:val="en-GB"/>
        </w:rPr>
        <w:t xml:space="preserve">, </w:t>
      </w:r>
      <w:r w:rsidRPr="00D437A5">
        <w:rPr>
          <w:lang w:val="en-GB"/>
        </w:rPr>
        <w:t>Writing – original draft</w:t>
      </w:r>
      <w:r w:rsidR="00E55176">
        <w:rPr>
          <w:lang w:val="en-GB"/>
        </w:rPr>
        <w:t xml:space="preserve">, </w:t>
      </w:r>
      <w:r w:rsidR="00E55176">
        <w:t>Writing - Review &amp;</w:t>
      </w:r>
      <w:r w:rsidR="00E55176">
        <w:rPr>
          <w:rFonts w:hint="eastAsia"/>
        </w:rPr>
        <w:t xml:space="preserve"> </w:t>
      </w:r>
      <w:r w:rsidR="00E55176">
        <w:t>Editing</w:t>
      </w:r>
      <w:r>
        <w:rPr>
          <w:rFonts w:hint="eastAsia"/>
          <w:lang w:val="en-GB"/>
        </w:rPr>
        <w:t xml:space="preserve">. </w:t>
      </w:r>
    </w:p>
    <w:p w14:paraId="454325F3" w14:textId="454D4911" w:rsidR="008A7AF1" w:rsidRDefault="00495EBA" w:rsidP="00653234">
      <w:pPr>
        <w:ind w:firstLine="0"/>
      </w:pPr>
      <w:r>
        <w:rPr>
          <w:rFonts w:cs="Calibri"/>
        </w:rPr>
        <w:t>William Daro</w:t>
      </w:r>
      <w:r>
        <w:rPr>
          <w:rFonts w:hint="eastAsia"/>
        </w:rPr>
        <w:t xml:space="preserve">: </w:t>
      </w:r>
      <w:r>
        <w:t>Conceptualization</w:t>
      </w:r>
      <w:r>
        <w:rPr>
          <w:rFonts w:hint="eastAsia"/>
        </w:rPr>
        <w:t xml:space="preserve">, </w:t>
      </w:r>
      <w:r w:rsidRPr="00D437A5">
        <w:rPr>
          <w:lang w:val="en-GB"/>
        </w:rPr>
        <w:t>Methodology</w:t>
      </w:r>
      <w:r>
        <w:rPr>
          <w:rFonts w:hint="eastAsia"/>
          <w:lang w:val="en-GB"/>
        </w:rPr>
        <w:t>,</w:t>
      </w:r>
      <w:r w:rsidRPr="00B03F9C">
        <w:rPr>
          <w:lang w:val="en-GB"/>
        </w:rPr>
        <w:t xml:space="preserve"> </w:t>
      </w:r>
      <w:r w:rsidRPr="00D437A5">
        <w:rPr>
          <w:lang w:val="en-GB"/>
        </w:rPr>
        <w:t>Resources</w:t>
      </w:r>
      <w:r w:rsidR="00E55176">
        <w:rPr>
          <w:lang w:val="en-GB"/>
        </w:rPr>
        <w:t xml:space="preserve">, </w:t>
      </w:r>
      <w:r w:rsidR="00E55176" w:rsidRPr="00D437A5">
        <w:rPr>
          <w:lang w:val="en-GB"/>
        </w:rPr>
        <w:t>Software</w:t>
      </w:r>
      <w:r>
        <w:rPr>
          <w:rFonts w:hint="eastAsia"/>
          <w:lang w:val="en-GB"/>
        </w:rPr>
        <w:t>.</w:t>
      </w:r>
    </w:p>
    <w:p w14:paraId="79B2835D" w14:textId="57B3E29E" w:rsidR="00495EBA" w:rsidRDefault="00495EBA" w:rsidP="00653234">
      <w:pPr>
        <w:ind w:firstLine="0"/>
      </w:pPr>
      <w:r>
        <w:rPr>
          <w:rFonts w:hint="eastAsia"/>
        </w:rPr>
        <w:t xml:space="preserve">Christel Devue: </w:t>
      </w:r>
      <w:r w:rsidR="00E55176">
        <w:t>Funding acquisition</w:t>
      </w:r>
      <w:r w:rsidR="00E55176">
        <w:rPr>
          <w:rFonts w:hint="eastAsia"/>
        </w:rPr>
        <w:t xml:space="preserve">, </w:t>
      </w:r>
      <w:r>
        <w:t xml:space="preserve">Conceptualization, </w:t>
      </w:r>
      <w:r w:rsidR="00E55176" w:rsidRPr="00D437A5">
        <w:rPr>
          <w:lang w:val="en-GB"/>
        </w:rPr>
        <w:t>Data curation</w:t>
      </w:r>
      <w:r w:rsidR="00E55176">
        <w:rPr>
          <w:rFonts w:hint="eastAsia"/>
          <w:lang w:val="en-GB"/>
        </w:rPr>
        <w:t xml:space="preserve">, </w:t>
      </w:r>
      <w:r w:rsidR="00E55176" w:rsidRPr="00D437A5">
        <w:rPr>
          <w:lang w:val="en-GB"/>
        </w:rPr>
        <w:t>Formal analysis</w:t>
      </w:r>
      <w:r w:rsidR="00E55176">
        <w:rPr>
          <w:rFonts w:hint="eastAsia"/>
          <w:lang w:val="en-GB"/>
        </w:rPr>
        <w:t xml:space="preserve">, </w:t>
      </w:r>
      <w:r w:rsidR="00E55176" w:rsidRPr="00D437A5">
        <w:rPr>
          <w:lang w:val="en-GB"/>
        </w:rPr>
        <w:t>Investigation</w:t>
      </w:r>
      <w:r w:rsidR="00E55176">
        <w:rPr>
          <w:rFonts w:hint="eastAsia"/>
          <w:lang w:val="en-GB"/>
        </w:rPr>
        <w:t>,</w:t>
      </w:r>
      <w:r w:rsidR="00E55176">
        <w:rPr>
          <w:lang w:val="en-GB"/>
        </w:rPr>
        <w:t xml:space="preserve"> </w:t>
      </w:r>
      <w:r>
        <w:rPr>
          <w:rFonts w:hint="eastAsia"/>
        </w:rPr>
        <w:t>Methodology,</w:t>
      </w:r>
      <w:r>
        <w:t xml:space="preserve"> </w:t>
      </w:r>
      <w:r w:rsidR="00E55176" w:rsidRPr="00D437A5">
        <w:rPr>
          <w:lang w:val="en-GB"/>
        </w:rPr>
        <w:t>Project administration</w:t>
      </w:r>
      <w:r w:rsidR="00E55176">
        <w:rPr>
          <w:rFonts w:hint="eastAsia"/>
          <w:lang w:val="en-GB"/>
        </w:rPr>
        <w:t>,</w:t>
      </w:r>
      <w:r w:rsidR="00E55176" w:rsidRPr="00EB62A1">
        <w:rPr>
          <w:lang w:val="en-GB"/>
        </w:rPr>
        <w:t xml:space="preserve"> </w:t>
      </w:r>
      <w:r>
        <w:t>Resources,</w:t>
      </w:r>
      <w:r>
        <w:rPr>
          <w:rFonts w:hint="eastAsia"/>
        </w:rPr>
        <w:t xml:space="preserve"> </w:t>
      </w:r>
      <w:r>
        <w:t>Supervision,</w:t>
      </w:r>
      <w:r>
        <w:rPr>
          <w:rFonts w:hint="eastAsia"/>
        </w:rPr>
        <w:t xml:space="preserve"> Validation, </w:t>
      </w:r>
      <w:r>
        <w:t>Visualization,</w:t>
      </w:r>
      <w:r>
        <w:rPr>
          <w:rFonts w:hint="eastAsia"/>
        </w:rPr>
        <w:t xml:space="preserve"> </w:t>
      </w:r>
      <w:r>
        <w:t>Writing - Review &amp;</w:t>
      </w:r>
      <w:r>
        <w:rPr>
          <w:rFonts w:hint="eastAsia"/>
        </w:rPr>
        <w:t xml:space="preserve"> </w:t>
      </w:r>
      <w:r>
        <w:t>Editing</w:t>
      </w:r>
      <w:r>
        <w:rPr>
          <w:rFonts w:hint="eastAsia"/>
        </w:rPr>
        <w:t>.</w:t>
      </w:r>
    </w:p>
    <w:p w14:paraId="03B32FE2" w14:textId="5B1FB9D8" w:rsidR="009D6780" w:rsidRDefault="009D6780" w:rsidP="009D6780">
      <w:r w:rsidRPr="7D104545">
        <w:rPr>
          <w:b/>
          <w:bCs/>
        </w:rPr>
        <w:t>Acknowledgements:</w:t>
      </w:r>
      <w:r>
        <w:t xml:space="preserve"> </w:t>
      </w:r>
      <w:r w:rsidRPr="006619B8">
        <w:t>The authors would like to express their sincere gratitude to the actress who participated in the wig pretest and to all actresses who took part in the actress selection pretest. We are especially grateful to the eight actresses whose participation made t</w:t>
      </w:r>
      <w:r w:rsidR="0084649D">
        <w:t>he DIVA-Face database possible.</w:t>
      </w:r>
    </w:p>
    <w:p w14:paraId="1EBD5D07" w14:textId="77777777" w:rsidR="009D6780" w:rsidRDefault="009D6780" w:rsidP="00653234">
      <w:pPr>
        <w:ind w:firstLine="0"/>
      </w:pPr>
    </w:p>
    <w:p w14:paraId="7B6C4395" w14:textId="07816931" w:rsidR="00C84452" w:rsidRPr="006B13B5" w:rsidRDefault="00C84452" w:rsidP="00495EBA">
      <w:pPr>
        <w:ind w:firstLine="0"/>
      </w:pPr>
    </w:p>
    <w:p w14:paraId="04C0B475" w14:textId="600641EE" w:rsidR="003A45D7" w:rsidRDefault="003A45D7" w:rsidP="00FB2694">
      <w:pPr>
        <w:pStyle w:val="Heading1"/>
        <w:spacing w:after="120"/>
        <w:jc w:val="center"/>
      </w:pPr>
      <w:r>
        <w:rPr>
          <w:rFonts w:hint="eastAsia"/>
        </w:rPr>
        <w:lastRenderedPageBreak/>
        <w:t>References</w:t>
      </w:r>
    </w:p>
    <w:p w14:paraId="2E04C857" w14:textId="2A9AFD5E" w:rsidR="00437FB0" w:rsidRDefault="00437FB0" w:rsidP="00FB2694">
      <w:pPr>
        <w:spacing w:after="120"/>
        <w:ind w:left="720" w:hanging="720"/>
      </w:pPr>
      <w:bookmarkStart w:id="1" w:name="_Hlk212022768"/>
      <w:r w:rsidRPr="003B0E9F">
        <w:t xml:space="preserve">Avery, S. N., VanDerKlok, R. M., Heckers, S., &amp; Blackford, J. U. (2016). Impaired face recognition is associated with social inhibition. </w:t>
      </w:r>
      <w:r w:rsidRPr="003B0E9F">
        <w:rPr>
          <w:i/>
          <w:iCs/>
        </w:rPr>
        <w:t>Psychiatry research, 236,</w:t>
      </w:r>
      <w:r w:rsidRPr="003B0E9F">
        <w:t xml:space="preserve"> 53–57. </w:t>
      </w:r>
      <w:hyperlink r:id="rId30" w:history="1">
        <w:r w:rsidRPr="003B0E9F">
          <w:rPr>
            <w:rStyle w:val="Hyperlink"/>
          </w:rPr>
          <w:t>https://doi.org/10.1016/j.psychres.2015.12.035</w:t>
        </w:r>
      </w:hyperlink>
    </w:p>
    <w:p w14:paraId="1ECE07DE" w14:textId="5DAAAF44" w:rsidR="00992992" w:rsidRDefault="00992992" w:rsidP="00FB2694">
      <w:pPr>
        <w:spacing w:after="120"/>
        <w:ind w:left="720" w:hanging="720"/>
      </w:pPr>
      <w:proofErr w:type="spellStart"/>
      <w:r w:rsidRPr="00992992">
        <w:t>Bahrick</w:t>
      </w:r>
      <w:proofErr w:type="spellEnd"/>
      <w:r w:rsidRPr="00992992">
        <w:t xml:space="preserve">, H. P., </w:t>
      </w:r>
      <w:proofErr w:type="spellStart"/>
      <w:r w:rsidRPr="00992992">
        <w:t>Bahrick</w:t>
      </w:r>
      <w:proofErr w:type="spellEnd"/>
      <w:r w:rsidRPr="00992992">
        <w:t xml:space="preserve">, P. O., &amp; Wittlinger, R. P. (1975). Fifty Years of Memory for Names and Faces: A Cross-Sectional Approach. </w:t>
      </w:r>
      <w:r w:rsidRPr="00992992">
        <w:rPr>
          <w:i/>
          <w:iCs/>
        </w:rPr>
        <w:t>Journal of Experimental Psychology: General</w:t>
      </w:r>
      <w:r w:rsidRPr="00992992">
        <w:t xml:space="preserve">, </w:t>
      </w:r>
      <w:r w:rsidRPr="00992992">
        <w:rPr>
          <w:i/>
          <w:iCs/>
        </w:rPr>
        <w:t>104</w:t>
      </w:r>
      <w:r w:rsidRPr="00992992">
        <w:t xml:space="preserve">(1), 54–75. </w:t>
      </w:r>
      <w:hyperlink r:id="rId31" w:history="1">
        <w:r w:rsidRPr="00C80284">
          <w:rPr>
            <w:rStyle w:val="Hyperlink"/>
          </w:rPr>
          <w:t>http://doi.org/10.1037/0096-3445.104.1.54</w:t>
        </w:r>
      </w:hyperlink>
    </w:p>
    <w:p w14:paraId="4AC02459" w14:textId="5D3F3507" w:rsidR="00FC10BF" w:rsidRPr="00FC10BF" w:rsidRDefault="00FC10BF" w:rsidP="00FB2694">
      <w:pPr>
        <w:autoSpaceDE w:val="0"/>
        <w:autoSpaceDN w:val="0"/>
        <w:spacing w:after="120"/>
        <w:ind w:left="709" w:hanging="720"/>
        <w:rPr>
          <w:rFonts w:cs="Calibri"/>
        </w:rPr>
      </w:pPr>
      <w:r w:rsidRPr="00785A0D">
        <w:rPr>
          <w:rFonts w:cs="Calibri"/>
        </w:rPr>
        <w:t xml:space="preserve">Baker, K. A., Laurence, S., &amp; Mondloch, C. J. (2017). How does a newly encountered face become familiar? The effect of within-person variability on adults’ and children’s perception of identity. </w:t>
      </w:r>
      <w:r w:rsidRPr="00785A0D">
        <w:rPr>
          <w:rFonts w:cs="Calibri"/>
          <w:i/>
          <w:iCs/>
        </w:rPr>
        <w:t>Cognition</w:t>
      </w:r>
      <w:r w:rsidRPr="00785A0D">
        <w:rPr>
          <w:rFonts w:cs="Calibri"/>
        </w:rPr>
        <w:t xml:space="preserve">, </w:t>
      </w:r>
      <w:r w:rsidRPr="00785A0D">
        <w:rPr>
          <w:rFonts w:cs="Calibri"/>
          <w:i/>
          <w:iCs/>
        </w:rPr>
        <w:t>161</w:t>
      </w:r>
      <w:r w:rsidRPr="00785A0D">
        <w:rPr>
          <w:rFonts w:cs="Calibri"/>
        </w:rPr>
        <w:t xml:space="preserve">, 19–30. </w:t>
      </w:r>
      <w:hyperlink r:id="rId32" w:tgtFrame="_new" w:history="1">
        <w:r w:rsidRPr="00785A0D">
          <w:rPr>
            <w:rStyle w:val="Hyperlink"/>
            <w:rFonts w:cs="Calibri"/>
          </w:rPr>
          <w:t>https://doi.org/10.1016/j.cognition.2016.12.012</w:t>
        </w:r>
      </w:hyperlink>
    </w:p>
    <w:p w14:paraId="70DDE5E3" w14:textId="446F9E6D" w:rsidR="008D4C7B" w:rsidRDefault="008D4C7B" w:rsidP="00FB2694">
      <w:pPr>
        <w:spacing w:after="120"/>
        <w:ind w:left="720" w:hanging="720"/>
      </w:pPr>
      <w:r w:rsidRPr="008D4C7B">
        <w:t xml:space="preserve">Baker, K. A., &amp; Mondloch, C. J. (2023). Unfamiliar face matching ability predicts the slope of face learning. </w:t>
      </w:r>
      <w:r w:rsidRPr="008D4C7B">
        <w:rPr>
          <w:i/>
          <w:iCs/>
        </w:rPr>
        <w:t>Scientific Reports, 13</w:t>
      </w:r>
      <w:r w:rsidRPr="008D4C7B">
        <w:t>(1), 5248. https://doi.org/10.1038/s41598-023-32244-w</w:t>
      </w:r>
    </w:p>
    <w:p w14:paraId="751801D4" w14:textId="5EC2C3C9" w:rsidR="007932CD" w:rsidRDefault="007932CD" w:rsidP="00FB2694">
      <w:pPr>
        <w:spacing w:after="120"/>
        <w:ind w:left="720" w:hanging="720"/>
      </w:pPr>
      <w:r w:rsidRPr="007932CD">
        <w:t xml:space="preserve">Bruce, V., Henderson, Z., Greenwood, K., Hancock, P. J. B., Burton, A. M., &amp; Miller, P. (1999). Verification of face identities from images captured on video. </w:t>
      </w:r>
      <w:r w:rsidRPr="007932CD">
        <w:rPr>
          <w:i/>
          <w:iCs/>
        </w:rPr>
        <w:t>Journal of Experimental Psychology: Applied</w:t>
      </w:r>
      <w:r w:rsidRPr="007932CD">
        <w:t xml:space="preserve">, </w:t>
      </w:r>
      <w:r w:rsidRPr="007932CD">
        <w:rPr>
          <w:i/>
          <w:iCs/>
        </w:rPr>
        <w:t>5</w:t>
      </w:r>
      <w:r w:rsidRPr="007932CD">
        <w:t xml:space="preserve">(4), 339–360. </w:t>
      </w:r>
      <w:hyperlink r:id="rId33" w:history="1">
        <w:r w:rsidRPr="00C80284">
          <w:rPr>
            <w:rStyle w:val="Hyperlink"/>
          </w:rPr>
          <w:t>http://doi.org/10.1037/1076-898X.5.4.339</w:t>
        </w:r>
      </w:hyperlink>
    </w:p>
    <w:p w14:paraId="08530BBC" w14:textId="2B41ED36" w:rsidR="009702B7" w:rsidRDefault="009702B7" w:rsidP="00FB2694">
      <w:pPr>
        <w:spacing w:after="120"/>
        <w:ind w:left="720" w:hanging="720"/>
      </w:pPr>
      <w:r w:rsidRPr="009702B7">
        <w:lastRenderedPageBreak/>
        <w:t>Bruce, V., &amp; Young, A. (1986). Understanding face recognition. </w:t>
      </w:r>
      <w:r w:rsidRPr="009702B7">
        <w:rPr>
          <w:i/>
          <w:iCs/>
        </w:rPr>
        <w:t>British journal of psychology (London, England: 1953)</w:t>
      </w:r>
      <w:r w:rsidRPr="009702B7">
        <w:t>,</w:t>
      </w:r>
      <w:r>
        <w:rPr>
          <w:rFonts w:hint="eastAsia"/>
        </w:rPr>
        <w:t xml:space="preserve"> </w:t>
      </w:r>
      <w:r w:rsidRPr="009702B7">
        <w:rPr>
          <w:i/>
          <w:iCs/>
        </w:rPr>
        <w:t>77 (Pt 3)</w:t>
      </w:r>
      <w:r w:rsidRPr="009702B7">
        <w:t xml:space="preserve">, 305–327. </w:t>
      </w:r>
      <w:hyperlink r:id="rId34" w:history="1">
        <w:r w:rsidRPr="00C80284">
          <w:rPr>
            <w:rStyle w:val="Hyperlink"/>
          </w:rPr>
          <w:t>https://doi.org/10.1111/j.2044-8295.1986.tb02199.x</w:t>
        </w:r>
      </w:hyperlink>
    </w:p>
    <w:p w14:paraId="5B54C35F" w14:textId="4ED845C0" w:rsidR="00CA41D0" w:rsidRPr="000605B5" w:rsidRDefault="00CA41D0" w:rsidP="00FB2694">
      <w:pPr>
        <w:spacing w:after="120"/>
        <w:ind w:left="720" w:hanging="720"/>
        <w:rPr>
          <w:lang w:val="fr-BE"/>
        </w:rPr>
      </w:pPr>
      <w:r w:rsidRPr="00CA41D0">
        <w:t xml:space="preserve">Burton, A. M., Kramer, R. S., Ritchie, K. L., &amp; Jenkins, R. (2016). Identity from variation: Representations of faces derived from multiple instances. </w:t>
      </w:r>
      <w:r w:rsidRPr="000605B5">
        <w:rPr>
          <w:i/>
          <w:iCs/>
          <w:lang w:val="fr-BE"/>
        </w:rPr>
        <w:t>Cognitive Science, 40</w:t>
      </w:r>
      <w:r w:rsidRPr="000605B5">
        <w:rPr>
          <w:lang w:val="fr-BE"/>
        </w:rPr>
        <w:t xml:space="preserve">(1), 202–223. </w:t>
      </w:r>
      <w:hyperlink r:id="rId35" w:history="1">
        <w:r w:rsidRPr="000605B5">
          <w:rPr>
            <w:rStyle w:val="Hyperlink"/>
            <w:lang w:val="fr-BE"/>
          </w:rPr>
          <w:t>https://doi.org/10.1111/cogs.12231</w:t>
        </w:r>
      </w:hyperlink>
      <w:r w:rsidRPr="000605B5">
        <w:rPr>
          <w:rFonts w:hint="eastAsia"/>
          <w:lang w:val="fr-BE"/>
        </w:rPr>
        <w:t xml:space="preserve"> </w:t>
      </w:r>
    </w:p>
    <w:p w14:paraId="416C9D77" w14:textId="79E82EB5" w:rsidR="00C20FD5" w:rsidRDefault="00C20FD5" w:rsidP="00FB2694">
      <w:pPr>
        <w:spacing w:after="120"/>
        <w:ind w:left="720" w:hanging="720"/>
      </w:pPr>
      <w:r w:rsidRPr="6EAF557D">
        <w:rPr>
          <w:lang w:val="fr-BE"/>
        </w:rPr>
        <w:t xml:space="preserve">Devue, C., &amp; de Sena, S. (2023). </w:t>
      </w:r>
      <w:r>
        <w:t xml:space="preserve">The impact of stability in appearance on the development of facial representations. </w:t>
      </w:r>
      <w:r w:rsidRPr="6EAF557D">
        <w:rPr>
          <w:i/>
          <w:iCs/>
        </w:rPr>
        <w:t>Cognition</w:t>
      </w:r>
      <w:r>
        <w:t xml:space="preserve">, 239, 105569. </w:t>
      </w:r>
      <w:hyperlink r:id="rId36">
        <w:r w:rsidRPr="6EAF557D">
          <w:rPr>
            <w:rStyle w:val="Hyperlink"/>
          </w:rPr>
          <w:t>https://doi.org/10.1016/j.cognition.2023.105569</w:t>
        </w:r>
      </w:hyperlink>
      <w:r>
        <w:t xml:space="preserve"> </w:t>
      </w:r>
    </w:p>
    <w:p w14:paraId="5FAC188A" w14:textId="5615B8E7" w:rsidR="1A6BCE32" w:rsidRDefault="1A6BCE32" w:rsidP="00FB2694">
      <w:pPr>
        <w:spacing w:after="120"/>
        <w:ind w:left="720" w:hanging="720"/>
        <w:rPr>
          <w:rStyle w:val="Hyperlink"/>
          <w:color w:val="467886"/>
        </w:rPr>
      </w:pPr>
      <w:r w:rsidRPr="6EAF557D">
        <w:rPr>
          <w:rFonts w:ascii="Calibri" w:eastAsia="Calibri" w:hAnsi="Calibri" w:cs="Calibri"/>
        </w:rPr>
        <w:t xml:space="preserve">Devue, C., Wride, A., &amp; Grimshaw, G. M. (2019). New insights on real-world human face recognition. </w:t>
      </w:r>
      <w:r w:rsidRPr="6EAF557D">
        <w:rPr>
          <w:rFonts w:ascii="Calibri" w:eastAsia="Calibri" w:hAnsi="Calibri" w:cs="Calibri"/>
          <w:i/>
          <w:iCs/>
        </w:rPr>
        <w:t>Journal of Experimental Psychology: General</w:t>
      </w:r>
      <w:r w:rsidRPr="6EAF557D">
        <w:rPr>
          <w:rFonts w:ascii="Calibri" w:eastAsia="Calibri" w:hAnsi="Calibri" w:cs="Calibri"/>
        </w:rPr>
        <w:t xml:space="preserve">, </w:t>
      </w:r>
      <w:r w:rsidRPr="6EAF557D">
        <w:rPr>
          <w:rFonts w:ascii="Calibri" w:eastAsia="Calibri" w:hAnsi="Calibri" w:cs="Calibri"/>
          <w:i/>
          <w:iCs/>
        </w:rPr>
        <w:t>148</w:t>
      </w:r>
      <w:r w:rsidRPr="6EAF557D">
        <w:rPr>
          <w:rFonts w:ascii="Calibri" w:eastAsia="Calibri" w:hAnsi="Calibri" w:cs="Calibri"/>
        </w:rPr>
        <w:t xml:space="preserve">(6), 994–1007. </w:t>
      </w:r>
      <w:hyperlink r:id="rId37" w:history="1">
        <w:r w:rsidRPr="6EAF557D">
          <w:rPr>
            <w:rStyle w:val="Hyperlink"/>
            <w:color w:val="467886"/>
          </w:rPr>
          <w:t>https://doi.org/10.1037/xge0000493</w:t>
        </w:r>
      </w:hyperlink>
    </w:p>
    <w:p w14:paraId="3F7DCB85" w14:textId="268B3042" w:rsidR="00D20DF5" w:rsidRDefault="00D20DF5" w:rsidP="00FB2694">
      <w:pPr>
        <w:spacing w:after="120"/>
        <w:ind w:left="720" w:hanging="720"/>
      </w:pPr>
      <w:r w:rsidRPr="00D20DF5">
        <w:t xml:space="preserve">Dobs, K., </w:t>
      </w:r>
      <w:proofErr w:type="spellStart"/>
      <w:r w:rsidRPr="00D20DF5">
        <w:t>Bülthoff</w:t>
      </w:r>
      <w:proofErr w:type="spellEnd"/>
      <w:r w:rsidRPr="00D20DF5">
        <w:t>, I., &amp; Schultz, J. (2018). Use and Usefulness of Dynamic Face Stimuli for Face Perception Studies-a Review of Behavioral Findings and Methodology.</w:t>
      </w:r>
      <w:r>
        <w:rPr>
          <w:rFonts w:hint="eastAsia"/>
        </w:rPr>
        <w:t xml:space="preserve"> </w:t>
      </w:r>
      <w:r w:rsidRPr="00D20DF5">
        <w:rPr>
          <w:i/>
          <w:iCs/>
        </w:rPr>
        <w:t>Frontiers in psychology</w:t>
      </w:r>
      <w:r w:rsidRPr="00D20DF5">
        <w:t>,</w:t>
      </w:r>
      <w:r>
        <w:rPr>
          <w:rFonts w:hint="eastAsia"/>
        </w:rPr>
        <w:t xml:space="preserve"> </w:t>
      </w:r>
      <w:r w:rsidRPr="00D20DF5">
        <w:rPr>
          <w:i/>
          <w:iCs/>
        </w:rPr>
        <w:t>9</w:t>
      </w:r>
      <w:r w:rsidRPr="00D20DF5">
        <w:t xml:space="preserve">, 1355. </w:t>
      </w:r>
      <w:hyperlink r:id="rId38" w:history="1">
        <w:r w:rsidRPr="00BE309B">
          <w:rPr>
            <w:rStyle w:val="Hyperlink"/>
          </w:rPr>
          <w:t>https://doi.org/10.3389/fpsyg.2018.01355</w:t>
        </w:r>
      </w:hyperlink>
      <w:r>
        <w:rPr>
          <w:rFonts w:hint="eastAsia"/>
        </w:rPr>
        <w:t xml:space="preserve"> </w:t>
      </w:r>
    </w:p>
    <w:p w14:paraId="12EB14FE" w14:textId="46F873BE" w:rsidR="000209EC" w:rsidRDefault="000209EC" w:rsidP="00FB2694">
      <w:pPr>
        <w:spacing w:after="120"/>
        <w:ind w:left="720" w:hanging="720"/>
      </w:pPr>
      <w:r w:rsidRPr="000209EC">
        <w:t>Dowsett, A. J., Sandford, A., &amp; Burton, A. M. (2016). Face learning with multiple images leads to fast acquisition of familiarity for specific individuals.</w:t>
      </w:r>
      <w:r>
        <w:rPr>
          <w:rFonts w:hint="eastAsia"/>
        </w:rPr>
        <w:t xml:space="preserve"> </w:t>
      </w:r>
      <w:r w:rsidRPr="000209EC">
        <w:rPr>
          <w:i/>
          <w:iCs/>
        </w:rPr>
        <w:t>Quarterly journal of experimental psychology (2006)</w:t>
      </w:r>
      <w:r w:rsidRPr="000209EC">
        <w:t>,</w:t>
      </w:r>
      <w:r>
        <w:rPr>
          <w:rFonts w:hint="eastAsia"/>
        </w:rPr>
        <w:t xml:space="preserve"> </w:t>
      </w:r>
      <w:r w:rsidRPr="000209EC">
        <w:rPr>
          <w:i/>
          <w:iCs/>
        </w:rPr>
        <w:t>69</w:t>
      </w:r>
      <w:r w:rsidRPr="000209EC">
        <w:t xml:space="preserve">(1), 1–10. </w:t>
      </w:r>
      <w:hyperlink r:id="rId39" w:history="1">
        <w:r w:rsidRPr="00BE309B">
          <w:rPr>
            <w:rStyle w:val="Hyperlink"/>
          </w:rPr>
          <w:t>https://doi.org/10.1080/17470218.2015.1017513</w:t>
        </w:r>
      </w:hyperlink>
      <w:r>
        <w:rPr>
          <w:rFonts w:hint="eastAsia"/>
        </w:rPr>
        <w:t xml:space="preserve"> </w:t>
      </w:r>
    </w:p>
    <w:p w14:paraId="447F9706" w14:textId="64A7C2DA" w:rsidR="00FC10BF" w:rsidRDefault="008C6DA8" w:rsidP="00FB2694">
      <w:pPr>
        <w:spacing w:after="120"/>
        <w:ind w:left="720" w:hanging="720"/>
      </w:pPr>
      <w:proofErr w:type="spellStart"/>
      <w:r w:rsidRPr="003B0E9F">
        <w:lastRenderedPageBreak/>
        <w:t>Engfors</w:t>
      </w:r>
      <w:proofErr w:type="spellEnd"/>
      <w:r w:rsidRPr="003B0E9F">
        <w:t xml:space="preserve">, L. M., Wilmer, J., Palermo, R., Gignac, G. E., Germine, L. T., &amp; Jeffery, L. (2024). Face recognition's practical relevance: Social bonds, not social butterflies. </w:t>
      </w:r>
      <w:r w:rsidRPr="003B0E9F">
        <w:rPr>
          <w:i/>
          <w:iCs/>
        </w:rPr>
        <w:t>Cognition, 250</w:t>
      </w:r>
      <w:r w:rsidRPr="003B0E9F">
        <w:t xml:space="preserve">, 105816. </w:t>
      </w:r>
      <w:hyperlink r:id="rId40" w:history="1">
        <w:r w:rsidRPr="003B0E9F">
          <w:rPr>
            <w:rStyle w:val="Hyperlink"/>
          </w:rPr>
          <w:t>https://doi.org/10.1016/j.cognition.2024.105816</w:t>
        </w:r>
      </w:hyperlink>
      <w:bookmarkEnd w:id="1"/>
    </w:p>
    <w:p w14:paraId="2D664E5C" w14:textId="4897832B" w:rsidR="000A4AC8" w:rsidRDefault="000A4AC8" w:rsidP="00FB2694">
      <w:pPr>
        <w:autoSpaceDE w:val="0"/>
        <w:autoSpaceDN w:val="0"/>
        <w:spacing w:after="120"/>
        <w:ind w:left="709" w:hanging="720"/>
        <w:rPr>
          <w:rFonts w:cs="Calibri"/>
        </w:rPr>
      </w:pPr>
      <w:r w:rsidRPr="00E433B4">
        <w:rPr>
          <w:rFonts w:cs="Calibri"/>
        </w:rPr>
        <w:t xml:space="preserve">Jeffery, L., &amp; Rhodes, G. (2011). Insights into the development of face recognition mechanisms revealed by face aftereffects. </w:t>
      </w:r>
      <w:r w:rsidRPr="00E433B4">
        <w:rPr>
          <w:rFonts w:cs="Calibri"/>
          <w:i/>
          <w:iCs/>
        </w:rPr>
        <w:t>British journal of psychology (London, England: 1953), 102</w:t>
      </w:r>
      <w:r w:rsidRPr="00E433B4">
        <w:rPr>
          <w:rFonts w:cs="Calibri"/>
        </w:rPr>
        <w:t xml:space="preserve">(4), 799–815. </w:t>
      </w:r>
      <w:hyperlink r:id="rId41" w:history="1">
        <w:r w:rsidRPr="00C5539A">
          <w:rPr>
            <w:rStyle w:val="Hyperlink"/>
            <w:rFonts w:cs="Calibri"/>
          </w:rPr>
          <w:t>https://doi.org/10.1111/j.2044-8295.2011.02066.x</w:t>
        </w:r>
      </w:hyperlink>
      <w:r>
        <w:rPr>
          <w:rFonts w:cs="Calibri" w:hint="eastAsia"/>
        </w:rPr>
        <w:t xml:space="preserve"> </w:t>
      </w:r>
    </w:p>
    <w:p w14:paraId="111B79D6" w14:textId="742A1272" w:rsidR="00F05EE7" w:rsidRPr="00F05EE7" w:rsidRDefault="00F05EE7" w:rsidP="00FB2694">
      <w:pPr>
        <w:spacing w:after="120"/>
        <w:ind w:left="720" w:hanging="720"/>
      </w:pPr>
      <w:r w:rsidRPr="00172EC0">
        <w:t xml:space="preserve">Jenkins, R., White, D., Van Montfort, X., &amp; Burton, A. M. (2011). Variability in photos of the same face. </w:t>
      </w:r>
      <w:r w:rsidRPr="00F05EE7">
        <w:rPr>
          <w:i/>
          <w:iCs/>
        </w:rPr>
        <w:t>Cognition, 121</w:t>
      </w:r>
      <w:r w:rsidRPr="00172EC0">
        <w:t xml:space="preserve">(3), 313–323. </w:t>
      </w:r>
      <w:hyperlink r:id="rId42" w:history="1">
        <w:r w:rsidRPr="004A2115">
          <w:rPr>
            <w:rStyle w:val="Hyperlink"/>
          </w:rPr>
          <w:t>https://doi.org/10.1016/j.cognition.2011.08.001</w:t>
        </w:r>
      </w:hyperlink>
      <w:r>
        <w:rPr>
          <w:rFonts w:hint="eastAsia"/>
        </w:rPr>
        <w:t xml:space="preserve"> </w:t>
      </w:r>
    </w:p>
    <w:p w14:paraId="7251EE2E" w14:textId="76FF884E" w:rsidR="00FD5E90" w:rsidRDefault="00FD5E90" w:rsidP="00FB2694">
      <w:pPr>
        <w:spacing w:after="120"/>
        <w:ind w:left="720" w:hanging="720"/>
      </w:pPr>
      <w:r w:rsidRPr="00FD5E90">
        <w:t xml:space="preserve">Kho, S. K., Keeble, D. R. T., Wong, H. K., &amp; Estudillo, A. J. (2025). Own- and other-race face learning in high and low variability. </w:t>
      </w:r>
      <w:r w:rsidRPr="00FD5E90">
        <w:rPr>
          <w:i/>
          <w:iCs/>
        </w:rPr>
        <w:t>Quarterly Journal of Experimental Psychology, 0</w:t>
      </w:r>
      <w:r w:rsidRPr="00FD5E90">
        <w:t xml:space="preserve">(0). </w:t>
      </w:r>
      <w:hyperlink r:id="rId43" w:history="1">
        <w:r w:rsidRPr="005B47ED">
          <w:rPr>
            <w:rStyle w:val="Hyperlink"/>
          </w:rPr>
          <w:t>https://doi.org/10.1177/17470218251346749</w:t>
        </w:r>
      </w:hyperlink>
      <w:r>
        <w:rPr>
          <w:rFonts w:hint="eastAsia"/>
        </w:rPr>
        <w:t xml:space="preserve"> </w:t>
      </w:r>
    </w:p>
    <w:p w14:paraId="44B400EB" w14:textId="2E77B09C" w:rsidR="00113DCB" w:rsidRDefault="00113DCB" w:rsidP="00FB2694">
      <w:pPr>
        <w:spacing w:after="120"/>
        <w:ind w:left="720" w:hanging="720"/>
      </w:pPr>
      <w:r w:rsidRPr="00113DCB">
        <w:t xml:space="preserve">Knight, B., &amp; Johnston, A. (1997). The role of movement in face recognition. </w:t>
      </w:r>
      <w:r w:rsidRPr="00113DCB">
        <w:rPr>
          <w:i/>
          <w:iCs/>
        </w:rPr>
        <w:t>Visual Cognition, 4</w:t>
      </w:r>
      <w:r w:rsidRPr="00113DCB">
        <w:t xml:space="preserve">(3), 265–273. </w:t>
      </w:r>
      <w:hyperlink r:id="rId44" w:history="1">
        <w:r w:rsidRPr="005B47ED">
          <w:rPr>
            <w:rStyle w:val="Hyperlink"/>
          </w:rPr>
          <w:t>https://doi.org/10.1080/713756764</w:t>
        </w:r>
      </w:hyperlink>
      <w:r>
        <w:rPr>
          <w:rFonts w:hint="eastAsia"/>
        </w:rPr>
        <w:t xml:space="preserve"> </w:t>
      </w:r>
    </w:p>
    <w:p w14:paraId="7457B295" w14:textId="09956E45" w:rsidR="00F05EE7" w:rsidRPr="0022331D" w:rsidRDefault="00F05EE7" w:rsidP="00FB2694">
      <w:pPr>
        <w:spacing w:after="120"/>
        <w:ind w:left="720" w:hanging="720"/>
      </w:pPr>
      <w:r w:rsidRPr="00172EC0">
        <w:t xml:space="preserve">Kramer, R. S. S., Jenkins, R., Young, A. W., &amp; Burton, A. M. (2016). Natural variability is essential to learning new faces. </w:t>
      </w:r>
      <w:r w:rsidRPr="00F05EE7">
        <w:rPr>
          <w:i/>
          <w:iCs/>
        </w:rPr>
        <w:t>Visual Cognition, 25</w:t>
      </w:r>
      <w:r w:rsidRPr="00172EC0">
        <w:t xml:space="preserve">(4–6), 470–476. </w:t>
      </w:r>
      <w:hyperlink r:id="rId45" w:history="1">
        <w:r w:rsidRPr="004A2115">
          <w:rPr>
            <w:rStyle w:val="Hyperlink"/>
          </w:rPr>
          <w:t>https://doi.org/10.1080/13506285.2016.1242522</w:t>
        </w:r>
      </w:hyperlink>
      <w:r>
        <w:rPr>
          <w:rFonts w:hint="eastAsia"/>
        </w:rPr>
        <w:t xml:space="preserve"> </w:t>
      </w:r>
    </w:p>
    <w:p w14:paraId="01CD5FFE" w14:textId="322791A7" w:rsidR="009D79DC" w:rsidRDefault="009D79DC" w:rsidP="00FB2694">
      <w:pPr>
        <w:autoSpaceDE w:val="0"/>
        <w:autoSpaceDN w:val="0"/>
        <w:spacing w:after="120"/>
        <w:ind w:left="709" w:hanging="720"/>
        <w:rPr>
          <w:rFonts w:cs="Calibri"/>
        </w:rPr>
      </w:pPr>
      <w:r w:rsidRPr="009D79DC">
        <w:rPr>
          <w:rFonts w:cs="Calibri"/>
        </w:rPr>
        <w:t xml:space="preserve">Lander, K., &amp; Bruce, V. (2003). The role of motion in learning new faces. </w:t>
      </w:r>
      <w:r w:rsidRPr="009D79DC">
        <w:rPr>
          <w:rFonts w:cs="Calibri"/>
          <w:i/>
          <w:iCs/>
        </w:rPr>
        <w:t>Visual Cognition, 10</w:t>
      </w:r>
      <w:r w:rsidRPr="009D79DC">
        <w:rPr>
          <w:rFonts w:cs="Calibri"/>
        </w:rPr>
        <w:t xml:space="preserve">(8), 897–912. </w:t>
      </w:r>
      <w:hyperlink r:id="rId46" w:history="1">
        <w:r w:rsidRPr="00BE309B">
          <w:rPr>
            <w:rStyle w:val="Hyperlink"/>
            <w:rFonts w:cs="Calibri"/>
          </w:rPr>
          <w:t>https://doi.org/10.1080/13506280344000149</w:t>
        </w:r>
      </w:hyperlink>
      <w:r>
        <w:rPr>
          <w:rFonts w:cs="Calibri" w:hint="eastAsia"/>
        </w:rPr>
        <w:t xml:space="preserve"> </w:t>
      </w:r>
    </w:p>
    <w:p w14:paraId="3B519B33" w14:textId="10ED7C7C" w:rsidR="00EB3B06" w:rsidRDefault="00EB3B06" w:rsidP="00FB2694">
      <w:pPr>
        <w:autoSpaceDE w:val="0"/>
        <w:autoSpaceDN w:val="0"/>
        <w:spacing w:after="120"/>
        <w:ind w:left="709" w:hanging="720"/>
        <w:rPr>
          <w:rFonts w:cs="Calibri"/>
        </w:rPr>
      </w:pPr>
      <w:r w:rsidRPr="00EB3B06">
        <w:rPr>
          <w:rFonts w:cs="Calibri"/>
        </w:rPr>
        <w:lastRenderedPageBreak/>
        <w:t xml:space="preserve">Lander, K., &amp; Davies, R. (2007). Exploring the role of characteristic motion when learning new faces. </w:t>
      </w:r>
      <w:r w:rsidRPr="00EB3B06">
        <w:rPr>
          <w:rFonts w:cs="Calibri"/>
          <w:i/>
          <w:iCs/>
        </w:rPr>
        <w:t>Quarterly journal of experimental psychology, 60</w:t>
      </w:r>
      <w:r w:rsidRPr="00EB3B06">
        <w:rPr>
          <w:rFonts w:cs="Calibri"/>
        </w:rPr>
        <w:t xml:space="preserve">(4), 519–526. </w:t>
      </w:r>
      <w:hyperlink r:id="rId47" w:history="1">
        <w:r w:rsidRPr="005B47ED">
          <w:rPr>
            <w:rStyle w:val="Hyperlink"/>
            <w:rFonts w:cs="Calibri"/>
          </w:rPr>
          <w:t>https://doi.org/10.1080/17470210601117559</w:t>
        </w:r>
      </w:hyperlink>
      <w:r>
        <w:rPr>
          <w:rFonts w:cs="Calibri" w:hint="eastAsia"/>
        </w:rPr>
        <w:t xml:space="preserve"> </w:t>
      </w:r>
    </w:p>
    <w:p w14:paraId="73C99ABF" w14:textId="1E1A92A5" w:rsidR="00754A9D" w:rsidRDefault="00754A9D" w:rsidP="00FB2694">
      <w:pPr>
        <w:autoSpaceDE w:val="0"/>
        <w:autoSpaceDN w:val="0"/>
        <w:spacing w:after="120"/>
        <w:ind w:left="709" w:hanging="720"/>
        <w:rPr>
          <w:rFonts w:cs="Calibri"/>
        </w:rPr>
      </w:pPr>
      <w:r w:rsidRPr="00754A9D">
        <w:rPr>
          <w:rFonts w:cs="Calibri"/>
        </w:rPr>
        <w:t xml:space="preserve">Li, W., Legrand, R., &amp; Devue, C. (2025). DIVA-Face - Dynamic and Image Variation Archive. ULiège Open Data Repository. </w:t>
      </w:r>
      <w:hyperlink r:id="rId48" w:history="1">
        <w:r w:rsidR="000457A0" w:rsidRPr="00942E70">
          <w:rPr>
            <w:rStyle w:val="Hyperlink"/>
            <w:rFonts w:cs="Calibri"/>
          </w:rPr>
          <w:t>https://doi.org/10.58119/ULG/EFLCIJ</w:t>
        </w:r>
      </w:hyperlink>
      <w:r w:rsidR="000457A0">
        <w:rPr>
          <w:rFonts w:cs="Calibri" w:hint="eastAsia"/>
        </w:rPr>
        <w:t xml:space="preserve"> </w:t>
      </w:r>
    </w:p>
    <w:p w14:paraId="019F950B" w14:textId="42E55A65" w:rsidR="002A7B53" w:rsidRDefault="002A7B53" w:rsidP="00FB2694">
      <w:pPr>
        <w:autoSpaceDE w:val="0"/>
        <w:autoSpaceDN w:val="0"/>
        <w:spacing w:after="120"/>
        <w:ind w:left="709" w:hanging="720"/>
        <w:rPr>
          <w:rFonts w:cs="Calibri"/>
        </w:rPr>
      </w:pPr>
      <w:r w:rsidRPr="002A7B53">
        <w:rPr>
          <w:rFonts w:cs="Calibri"/>
        </w:rPr>
        <w:t>Li, W., Legrand, R., &amp; Devue, C. (202</w:t>
      </w:r>
      <w:r>
        <w:rPr>
          <w:rFonts w:cs="Calibri" w:hint="eastAsia"/>
        </w:rPr>
        <w:t>6</w:t>
      </w:r>
      <w:r w:rsidRPr="002A7B53">
        <w:rPr>
          <w:rFonts w:cs="Calibri"/>
        </w:rPr>
        <w:t xml:space="preserve">, </w:t>
      </w:r>
      <w:r>
        <w:rPr>
          <w:rFonts w:cs="Calibri" w:hint="eastAsia"/>
        </w:rPr>
        <w:t>April</w:t>
      </w:r>
      <w:r w:rsidRPr="002A7B53">
        <w:rPr>
          <w:rFonts w:cs="Calibri"/>
        </w:rPr>
        <w:t xml:space="preserve"> </w:t>
      </w:r>
      <w:r>
        <w:rPr>
          <w:rFonts w:cs="Calibri" w:hint="eastAsia"/>
        </w:rPr>
        <w:t>13</w:t>
      </w:r>
      <w:r w:rsidRPr="002A7B53">
        <w:rPr>
          <w:rFonts w:cs="Calibri"/>
        </w:rPr>
        <w:t>). The role</w:t>
      </w:r>
      <w:r>
        <w:rPr>
          <w:rFonts w:cs="Calibri" w:hint="eastAsia"/>
        </w:rPr>
        <w:t xml:space="preserve"> of variability in appearance, </w:t>
      </w:r>
      <w:r w:rsidRPr="002A7B53">
        <w:rPr>
          <w:rFonts w:cs="Calibri"/>
        </w:rPr>
        <w:t>exposure and learning procedure in</w:t>
      </w:r>
      <w:r>
        <w:rPr>
          <w:rFonts w:cs="Calibri" w:hint="eastAsia"/>
        </w:rPr>
        <w:t xml:space="preserve"> </w:t>
      </w:r>
      <w:r w:rsidRPr="002A7B53">
        <w:rPr>
          <w:rFonts w:cs="Calibri"/>
        </w:rPr>
        <w:t xml:space="preserve">dynamic face learning (Version </w:t>
      </w:r>
      <w:r>
        <w:rPr>
          <w:rFonts w:cs="Calibri" w:hint="eastAsia"/>
        </w:rPr>
        <w:t>3</w:t>
      </w:r>
      <w:r w:rsidRPr="002A7B53">
        <w:rPr>
          <w:rFonts w:cs="Calibri"/>
        </w:rPr>
        <w:t>) [Preprint]. OSF Preprints.</w:t>
      </w:r>
      <w:r>
        <w:rPr>
          <w:rFonts w:cs="Calibri" w:hint="eastAsia"/>
        </w:rPr>
        <w:t xml:space="preserve"> </w:t>
      </w:r>
      <w:hyperlink r:id="rId49" w:history="1">
        <w:r w:rsidRPr="00552460">
          <w:rPr>
            <w:rStyle w:val="Hyperlink"/>
            <w:rFonts w:cs="Calibri"/>
          </w:rPr>
          <w:t>https://doi.org/10.31219/osf.io/4y9df_v</w:t>
        </w:r>
        <w:r w:rsidRPr="00552460">
          <w:rPr>
            <w:rStyle w:val="Hyperlink"/>
            <w:rFonts w:cs="Calibri" w:hint="eastAsia"/>
          </w:rPr>
          <w:t>3</w:t>
        </w:r>
      </w:hyperlink>
      <w:r>
        <w:rPr>
          <w:rFonts w:cs="Calibri" w:hint="eastAsia"/>
        </w:rPr>
        <w:t xml:space="preserve"> </w:t>
      </w:r>
    </w:p>
    <w:p w14:paraId="1EFB0C0F" w14:textId="7034B9E0" w:rsidR="00FC10BF" w:rsidRPr="00FC10BF" w:rsidRDefault="00FC10BF" w:rsidP="00FB2694">
      <w:pPr>
        <w:autoSpaceDE w:val="0"/>
        <w:autoSpaceDN w:val="0"/>
        <w:spacing w:after="120"/>
        <w:ind w:left="709" w:hanging="720"/>
        <w:rPr>
          <w:rFonts w:cs="Calibri"/>
        </w:rPr>
      </w:pPr>
      <w:r w:rsidRPr="00785A0D">
        <w:rPr>
          <w:rFonts w:cs="Calibri"/>
        </w:rPr>
        <w:t xml:space="preserve">Liu, C. H., Chen, W., &amp; Ward, J. (2015). Effects of exposure to facial expression variation in face learning and recognition. </w:t>
      </w:r>
      <w:r w:rsidRPr="00785A0D">
        <w:rPr>
          <w:rFonts w:cs="Calibri"/>
          <w:i/>
          <w:iCs/>
        </w:rPr>
        <w:t>Psychological Research</w:t>
      </w:r>
      <w:r w:rsidRPr="00785A0D">
        <w:rPr>
          <w:rFonts w:cs="Calibri"/>
        </w:rPr>
        <w:t xml:space="preserve">, </w:t>
      </w:r>
      <w:r w:rsidRPr="00785A0D">
        <w:rPr>
          <w:rFonts w:cs="Calibri"/>
          <w:i/>
          <w:iCs/>
        </w:rPr>
        <w:t>79</w:t>
      </w:r>
      <w:r w:rsidRPr="00785A0D">
        <w:rPr>
          <w:rFonts w:cs="Calibri"/>
        </w:rPr>
        <w:t xml:space="preserve">(6), 1042–1053. </w:t>
      </w:r>
      <w:hyperlink r:id="rId50" w:tgtFrame="_new" w:history="1">
        <w:r w:rsidRPr="00785A0D">
          <w:rPr>
            <w:rStyle w:val="Hyperlink"/>
            <w:rFonts w:cs="Calibri"/>
          </w:rPr>
          <w:t>https://doi.org/10.1007/s00426-014-0627-8</w:t>
        </w:r>
      </w:hyperlink>
    </w:p>
    <w:p w14:paraId="6138E762" w14:textId="726770AA" w:rsidR="000A4AC8" w:rsidRDefault="000A4AC8" w:rsidP="00FB2694">
      <w:pPr>
        <w:spacing w:after="120"/>
        <w:ind w:left="720" w:hanging="720"/>
      </w:pPr>
      <w:r w:rsidRPr="007E2D97">
        <w:t xml:space="preserve">Matthews, C. M., Davis, E. E., &amp; Mondloch, C. J. (2018). Getting to know you: The development of mechanisms underlying face learning. </w:t>
      </w:r>
      <w:r w:rsidRPr="00E433B4">
        <w:rPr>
          <w:i/>
          <w:iCs/>
        </w:rPr>
        <w:t>Journal of experimental child psychology, 167</w:t>
      </w:r>
      <w:r w:rsidRPr="007E2D97">
        <w:t xml:space="preserve">, 295–313. </w:t>
      </w:r>
      <w:hyperlink r:id="rId51" w:history="1">
        <w:r w:rsidRPr="00C5539A">
          <w:rPr>
            <w:rStyle w:val="Hyperlink"/>
          </w:rPr>
          <w:t>https://doi.org/10.1016/j.jecp.2017.10.012</w:t>
        </w:r>
      </w:hyperlink>
    </w:p>
    <w:p w14:paraId="28A60CEF" w14:textId="6B25046D" w:rsidR="00D2186C" w:rsidRDefault="00D2186C" w:rsidP="00FB2694">
      <w:pPr>
        <w:spacing w:after="120"/>
        <w:ind w:left="720" w:hanging="720"/>
      </w:pPr>
      <w:r w:rsidRPr="00D2186C">
        <w:t>Matthews, C. M., &amp; Mondloch, C. J. (2018). Finding an unfamiliar face in a line-up: Viewing multiple images of the target is beneficial on target-present trials but costly on target-absent trials.</w:t>
      </w:r>
      <w:r>
        <w:rPr>
          <w:rFonts w:hint="eastAsia"/>
        </w:rPr>
        <w:t xml:space="preserve"> </w:t>
      </w:r>
      <w:r w:rsidRPr="00D2186C">
        <w:rPr>
          <w:i/>
          <w:iCs/>
        </w:rPr>
        <w:t>British journal of psychology (London, England : 1953)</w:t>
      </w:r>
      <w:r w:rsidRPr="00D2186C">
        <w:t>,</w:t>
      </w:r>
      <w:r>
        <w:rPr>
          <w:rFonts w:hint="eastAsia"/>
        </w:rPr>
        <w:t xml:space="preserve"> </w:t>
      </w:r>
      <w:r w:rsidRPr="00D2186C">
        <w:rPr>
          <w:i/>
          <w:iCs/>
        </w:rPr>
        <w:t>109</w:t>
      </w:r>
      <w:r w:rsidRPr="00D2186C">
        <w:t xml:space="preserve">(4), 758–776. </w:t>
      </w:r>
      <w:hyperlink r:id="rId52" w:history="1">
        <w:r w:rsidRPr="00BE309B">
          <w:rPr>
            <w:rStyle w:val="Hyperlink"/>
          </w:rPr>
          <w:t>https://doi.org/10.1111/bjop.12301</w:t>
        </w:r>
      </w:hyperlink>
      <w:r>
        <w:rPr>
          <w:rFonts w:hint="eastAsia"/>
        </w:rPr>
        <w:t xml:space="preserve"> </w:t>
      </w:r>
    </w:p>
    <w:p w14:paraId="619519F0" w14:textId="4C3BAE99" w:rsidR="00B271EA" w:rsidRDefault="00B271EA" w:rsidP="00FB2694">
      <w:pPr>
        <w:spacing w:after="120"/>
        <w:ind w:left="720" w:hanging="720"/>
      </w:pPr>
      <w:r w:rsidRPr="00B271EA">
        <w:lastRenderedPageBreak/>
        <w:t>Matthews, C. M., Ritchie, K. L., Laurence, S., &amp; Mondloch, C. J. (2024). Multiple images captured from a single encounter do not promote face learning.</w:t>
      </w:r>
      <w:r>
        <w:rPr>
          <w:rFonts w:hint="eastAsia"/>
        </w:rPr>
        <w:t xml:space="preserve"> </w:t>
      </w:r>
      <w:r w:rsidRPr="00B271EA">
        <w:rPr>
          <w:i/>
          <w:iCs/>
        </w:rPr>
        <w:t>Perception</w:t>
      </w:r>
      <w:r w:rsidRPr="00B271EA">
        <w:t>,</w:t>
      </w:r>
      <w:r>
        <w:rPr>
          <w:rFonts w:hint="eastAsia"/>
        </w:rPr>
        <w:t xml:space="preserve"> </w:t>
      </w:r>
      <w:r w:rsidRPr="00B271EA">
        <w:rPr>
          <w:i/>
          <w:iCs/>
        </w:rPr>
        <w:t>53</w:t>
      </w:r>
      <w:r w:rsidRPr="00B271EA">
        <w:t xml:space="preserve">(5-6), 299–316. </w:t>
      </w:r>
      <w:hyperlink r:id="rId53" w:history="1">
        <w:r w:rsidRPr="00BE309B">
          <w:rPr>
            <w:rStyle w:val="Hyperlink"/>
          </w:rPr>
          <w:t>https://doi.org/10.1177/03010066241234034</w:t>
        </w:r>
      </w:hyperlink>
      <w:r>
        <w:rPr>
          <w:rFonts w:hint="eastAsia"/>
        </w:rPr>
        <w:t xml:space="preserve"> </w:t>
      </w:r>
    </w:p>
    <w:p w14:paraId="445E04E2" w14:textId="7011451B" w:rsidR="00E65DC0" w:rsidRDefault="00E65DC0" w:rsidP="00FB2694">
      <w:pPr>
        <w:spacing w:after="120"/>
        <w:ind w:left="720" w:hanging="720"/>
      </w:pPr>
      <w:r>
        <w:t xml:space="preserve">Mike Burton A. (2013). Why has research in face recognition progressed so slowly? The importance of variability. </w:t>
      </w:r>
      <w:r w:rsidRPr="7D104545">
        <w:rPr>
          <w:i/>
          <w:iCs/>
        </w:rPr>
        <w:t>Quarterly journal of experimental psychology (2006)</w:t>
      </w:r>
      <w:r>
        <w:t xml:space="preserve">, </w:t>
      </w:r>
      <w:r w:rsidRPr="7D104545">
        <w:rPr>
          <w:i/>
          <w:iCs/>
        </w:rPr>
        <w:t>66</w:t>
      </w:r>
      <w:r>
        <w:t xml:space="preserve">(8), 1467–1485. </w:t>
      </w:r>
      <w:hyperlink r:id="rId54">
        <w:r w:rsidRPr="7D104545">
          <w:rPr>
            <w:rStyle w:val="Hyperlink"/>
          </w:rPr>
          <w:t>https://doi.org/10.1080/17470218.2013.800125</w:t>
        </w:r>
      </w:hyperlink>
    </w:p>
    <w:p w14:paraId="118ACC52" w14:textId="3974A11E" w:rsidR="2D2B5238" w:rsidRDefault="2D2B5238" w:rsidP="00FB2694">
      <w:pPr>
        <w:spacing w:after="120"/>
        <w:ind w:left="709" w:hanging="720"/>
        <w:rPr>
          <w:rFonts w:cs="Calibri"/>
        </w:rPr>
      </w:pPr>
      <w:r w:rsidRPr="7D104545">
        <w:rPr>
          <w:rFonts w:cs="Calibri"/>
        </w:rPr>
        <w:t xml:space="preserve">Moore, K. N., Nesmith, B. L., </w:t>
      </w:r>
      <w:proofErr w:type="spellStart"/>
      <w:r w:rsidRPr="7D104545">
        <w:rPr>
          <w:rFonts w:cs="Calibri"/>
        </w:rPr>
        <w:t>Zwemer</w:t>
      </w:r>
      <w:proofErr w:type="spellEnd"/>
      <w:r w:rsidRPr="7D104545">
        <w:rPr>
          <w:rFonts w:cs="Calibri"/>
        </w:rPr>
        <w:t xml:space="preserve">, D. U., &amp; Yu, C. (2024). Search efforts and face recognition: The role of expectations of encounter and within-person variability in prospective person memory. </w:t>
      </w:r>
      <w:r w:rsidRPr="00BF5082">
        <w:rPr>
          <w:rFonts w:cs="Calibri"/>
          <w:i/>
          <w:iCs/>
        </w:rPr>
        <w:t>Cognitive Research: Principles and Implications, 9</w:t>
      </w:r>
      <w:r w:rsidRPr="7D104545">
        <w:rPr>
          <w:rFonts w:cs="Calibri"/>
        </w:rPr>
        <w:t xml:space="preserve">(1). </w:t>
      </w:r>
      <w:hyperlink r:id="rId55" w:history="1">
        <w:r w:rsidRPr="7D104545">
          <w:rPr>
            <w:rStyle w:val="Hyperlink"/>
          </w:rPr>
          <w:t>https://doi.org/10.1186/s41235-024-00590-6</w:t>
        </w:r>
      </w:hyperlink>
      <w:r w:rsidRPr="7D104545">
        <w:rPr>
          <w:rFonts w:cs="Calibri"/>
        </w:rPr>
        <w:t xml:space="preserve"> </w:t>
      </w:r>
    </w:p>
    <w:p w14:paraId="08F9BD0D" w14:textId="0B66998D" w:rsidR="000A4AC8" w:rsidRPr="000A4AC8" w:rsidRDefault="000A4AC8" w:rsidP="00FB2694">
      <w:pPr>
        <w:autoSpaceDE w:val="0"/>
        <w:autoSpaceDN w:val="0"/>
        <w:spacing w:after="120"/>
        <w:ind w:left="709" w:hanging="720"/>
        <w:rPr>
          <w:rFonts w:cs="Calibri"/>
        </w:rPr>
      </w:pPr>
      <w:r w:rsidRPr="00377641">
        <w:rPr>
          <w:rFonts w:cs="Calibri"/>
        </w:rPr>
        <w:t xml:space="preserve">Murphy, J., </w:t>
      </w:r>
      <w:proofErr w:type="spellStart"/>
      <w:r w:rsidRPr="00377641">
        <w:rPr>
          <w:rFonts w:cs="Calibri"/>
        </w:rPr>
        <w:t>Ipser</w:t>
      </w:r>
      <w:proofErr w:type="spellEnd"/>
      <w:r w:rsidRPr="00377641">
        <w:rPr>
          <w:rFonts w:cs="Calibri"/>
        </w:rPr>
        <w:t xml:space="preserve">, A., </w:t>
      </w:r>
      <w:proofErr w:type="spellStart"/>
      <w:r w:rsidRPr="00377641">
        <w:rPr>
          <w:rFonts w:cs="Calibri"/>
        </w:rPr>
        <w:t>Gaigg</w:t>
      </w:r>
      <w:proofErr w:type="spellEnd"/>
      <w:r w:rsidRPr="00377641">
        <w:rPr>
          <w:rFonts w:cs="Calibri"/>
        </w:rPr>
        <w:t xml:space="preserve">, S. B., &amp; Cook, R. (2015). Exemplar variance supports robust learning of facial identity. </w:t>
      </w:r>
      <w:r w:rsidRPr="000A4AC8">
        <w:rPr>
          <w:rFonts w:cs="Calibri"/>
          <w:i/>
          <w:iCs/>
        </w:rPr>
        <w:t>Journal of Experimental Psychology: Human Perception and Performance, 41</w:t>
      </w:r>
      <w:r w:rsidRPr="00377641">
        <w:rPr>
          <w:rFonts w:cs="Calibri"/>
        </w:rPr>
        <w:t xml:space="preserve">(3), 577–581. </w:t>
      </w:r>
      <w:hyperlink r:id="rId56" w:history="1">
        <w:r w:rsidRPr="004A2115">
          <w:rPr>
            <w:rStyle w:val="Hyperlink"/>
            <w:rFonts w:cs="Calibri"/>
          </w:rPr>
          <w:t>https://doi.org/10.1037/xhp0000049</w:t>
        </w:r>
      </w:hyperlink>
      <w:r>
        <w:rPr>
          <w:rFonts w:cs="Calibri" w:hint="eastAsia"/>
        </w:rPr>
        <w:t xml:space="preserve"> </w:t>
      </w:r>
    </w:p>
    <w:p w14:paraId="08A907B3" w14:textId="5C09FF9B" w:rsidR="00113DCB" w:rsidRDefault="00113DCB" w:rsidP="00FB2694">
      <w:pPr>
        <w:autoSpaceDE w:val="0"/>
        <w:autoSpaceDN w:val="0"/>
        <w:spacing w:after="120"/>
        <w:ind w:left="709" w:hanging="720"/>
        <w:rPr>
          <w:rFonts w:cs="Calibri"/>
        </w:rPr>
      </w:pPr>
      <w:r w:rsidRPr="00113DCB">
        <w:rPr>
          <w:rFonts w:cs="Calibri"/>
        </w:rPr>
        <w:t xml:space="preserve">O'Toole, A. J., Roark, D. A., &amp; Abdi, H. (2002). Recognizing moving faces: a psychological and neural synthesis. </w:t>
      </w:r>
      <w:r w:rsidRPr="00113DCB">
        <w:rPr>
          <w:rFonts w:cs="Calibri"/>
          <w:i/>
          <w:iCs/>
        </w:rPr>
        <w:t>Trends in cognitive sciences, 6</w:t>
      </w:r>
      <w:r w:rsidRPr="00113DCB">
        <w:rPr>
          <w:rFonts w:cs="Calibri"/>
        </w:rPr>
        <w:t xml:space="preserve">(6), 261–266. </w:t>
      </w:r>
      <w:hyperlink r:id="rId57" w:history="1">
        <w:r w:rsidRPr="005B47ED">
          <w:rPr>
            <w:rStyle w:val="Hyperlink"/>
            <w:rFonts w:cs="Calibri"/>
          </w:rPr>
          <w:t>https://doi.org/10.1016/s1364-6613(02)01908-3</w:t>
        </w:r>
      </w:hyperlink>
      <w:r>
        <w:rPr>
          <w:rFonts w:cs="Calibri" w:hint="eastAsia"/>
        </w:rPr>
        <w:t xml:space="preserve"> </w:t>
      </w:r>
    </w:p>
    <w:p w14:paraId="248794E7" w14:textId="0B103AB6" w:rsidR="00113DCB" w:rsidRDefault="00113DCB" w:rsidP="00FB2694">
      <w:pPr>
        <w:autoSpaceDE w:val="0"/>
        <w:autoSpaceDN w:val="0"/>
        <w:spacing w:after="120"/>
        <w:ind w:left="709" w:hanging="720"/>
        <w:rPr>
          <w:rFonts w:cs="Calibri"/>
        </w:rPr>
      </w:pPr>
      <w:r w:rsidRPr="00113DCB">
        <w:rPr>
          <w:rFonts w:cs="Calibri"/>
        </w:rPr>
        <w:t xml:space="preserve">Phillips, P. J., Yates, A. N., Hu, Y., Hahn, C. A., Noyes, E., Jackson, K., Cavazos, J. G., </w:t>
      </w:r>
      <w:proofErr w:type="spellStart"/>
      <w:r w:rsidRPr="00113DCB">
        <w:rPr>
          <w:rFonts w:cs="Calibri"/>
        </w:rPr>
        <w:t>Jeckeln</w:t>
      </w:r>
      <w:proofErr w:type="spellEnd"/>
      <w:r w:rsidRPr="00113DCB">
        <w:rPr>
          <w:rFonts w:cs="Calibri"/>
        </w:rPr>
        <w:t xml:space="preserve">, G., Ranjan, R., Sankaranarayanan, S., Chen, J. C., Castillo, C. D., Chellappa, R., White, D., &amp; O'Toole, A. J. (2018). Face recognition accuracy of forensic examiners, </w:t>
      </w:r>
      <w:proofErr w:type="spellStart"/>
      <w:r w:rsidRPr="00113DCB">
        <w:rPr>
          <w:rFonts w:cs="Calibri"/>
        </w:rPr>
        <w:t>superrecognizers</w:t>
      </w:r>
      <w:proofErr w:type="spellEnd"/>
      <w:r w:rsidRPr="00113DCB">
        <w:rPr>
          <w:rFonts w:cs="Calibri"/>
        </w:rPr>
        <w:t xml:space="preserve">, and face recognition algorithms. </w:t>
      </w:r>
      <w:r w:rsidRPr="00113DCB">
        <w:rPr>
          <w:rFonts w:cs="Calibri"/>
          <w:i/>
          <w:iCs/>
        </w:rPr>
        <w:t xml:space="preserve">Proceedings of the </w:t>
      </w:r>
      <w:r w:rsidRPr="00113DCB">
        <w:rPr>
          <w:rFonts w:cs="Calibri"/>
          <w:i/>
          <w:iCs/>
        </w:rPr>
        <w:lastRenderedPageBreak/>
        <w:t>National Academy of Sciences of the United States of America, 115</w:t>
      </w:r>
      <w:r w:rsidRPr="00113DCB">
        <w:rPr>
          <w:rFonts w:cs="Calibri"/>
        </w:rPr>
        <w:t xml:space="preserve">(24), 6171–6176. </w:t>
      </w:r>
      <w:hyperlink r:id="rId58" w:history="1">
        <w:r w:rsidRPr="005B47ED">
          <w:rPr>
            <w:rStyle w:val="Hyperlink"/>
            <w:rFonts w:cs="Calibri"/>
          </w:rPr>
          <w:t>https://doi.org/10.1073/pnas.1721355115</w:t>
        </w:r>
      </w:hyperlink>
      <w:r>
        <w:rPr>
          <w:rFonts w:cs="Calibri" w:hint="eastAsia"/>
        </w:rPr>
        <w:t xml:space="preserve"> </w:t>
      </w:r>
    </w:p>
    <w:p w14:paraId="605856C9" w14:textId="3D3EF33D" w:rsidR="00C37AC8" w:rsidRDefault="00C37AC8" w:rsidP="00FB2694">
      <w:pPr>
        <w:autoSpaceDE w:val="0"/>
        <w:autoSpaceDN w:val="0"/>
        <w:spacing w:after="120"/>
        <w:ind w:left="709" w:hanging="720"/>
        <w:rPr>
          <w:rFonts w:cs="Calibri"/>
        </w:rPr>
      </w:pPr>
      <w:r w:rsidRPr="00C37AC8">
        <w:rPr>
          <w:rFonts w:cs="Calibri"/>
        </w:rPr>
        <w:t xml:space="preserve">Reedy, M., &amp; Devue, C. (2019). New perspective on face learning: Stability modulates resolution of facial representations in the optimal observer. </w:t>
      </w:r>
      <w:hyperlink r:id="rId59" w:history="1">
        <w:r w:rsidRPr="005B47ED">
          <w:rPr>
            <w:rStyle w:val="Hyperlink"/>
            <w:rFonts w:cs="Calibri"/>
          </w:rPr>
          <w:t>https://doi.org/10.31219/osf.io/6s8c7</w:t>
        </w:r>
      </w:hyperlink>
      <w:r>
        <w:rPr>
          <w:rFonts w:cs="Calibri" w:hint="eastAsia"/>
        </w:rPr>
        <w:t xml:space="preserve"> </w:t>
      </w:r>
    </w:p>
    <w:p w14:paraId="45B4E970" w14:textId="35DFA8B7" w:rsidR="000A4AC8" w:rsidRPr="000A4AC8" w:rsidRDefault="000A4AC8" w:rsidP="00FB2694">
      <w:pPr>
        <w:autoSpaceDE w:val="0"/>
        <w:autoSpaceDN w:val="0"/>
        <w:spacing w:after="120"/>
        <w:ind w:left="709" w:hanging="720"/>
        <w:rPr>
          <w:rFonts w:cs="Calibri"/>
        </w:rPr>
      </w:pPr>
      <w:r w:rsidRPr="00377641">
        <w:rPr>
          <w:rFonts w:cs="Calibri"/>
        </w:rPr>
        <w:t xml:space="preserve">Ritchie, K. L., &amp; Burton, A. M. (2017). Learning faces from variability. </w:t>
      </w:r>
      <w:r w:rsidRPr="000A4AC8">
        <w:rPr>
          <w:rFonts w:cs="Calibri"/>
          <w:i/>
          <w:iCs/>
        </w:rPr>
        <w:t>Quarterly Journal of Experimental Psychology, 70</w:t>
      </w:r>
      <w:r w:rsidRPr="00377641">
        <w:rPr>
          <w:rFonts w:cs="Calibri"/>
        </w:rPr>
        <w:t xml:space="preserve">(5), 897–905. </w:t>
      </w:r>
      <w:hyperlink r:id="rId60" w:history="1">
        <w:r w:rsidRPr="004A2115">
          <w:rPr>
            <w:rStyle w:val="Hyperlink"/>
            <w:rFonts w:cs="Calibri"/>
          </w:rPr>
          <w:t>https://doi.org/10.1080/17470218.2015.1136656</w:t>
        </w:r>
      </w:hyperlink>
      <w:r>
        <w:rPr>
          <w:rFonts w:cs="Calibri" w:hint="eastAsia"/>
        </w:rPr>
        <w:t xml:space="preserve"> </w:t>
      </w:r>
    </w:p>
    <w:p w14:paraId="62F769DD" w14:textId="549DD302" w:rsidR="002C40D7" w:rsidRDefault="002C40D7" w:rsidP="00FB2694">
      <w:pPr>
        <w:spacing w:after="120"/>
        <w:ind w:left="720" w:hanging="720"/>
      </w:pPr>
      <w:r w:rsidRPr="002C40D7">
        <w:t xml:space="preserve">Ritchie, K. L., Smith, F. G., Jenkins, R., Bindemann, M., White, D., &amp; Burton, A. M. (2015). Viewers base estimates of face matching accuracy on their own familiarity: Explaining the photo-ID paradox. </w:t>
      </w:r>
      <w:r w:rsidRPr="002C40D7">
        <w:rPr>
          <w:i/>
          <w:iCs/>
        </w:rPr>
        <w:t>Cognition</w:t>
      </w:r>
      <w:r w:rsidRPr="002C40D7">
        <w:t xml:space="preserve">, </w:t>
      </w:r>
      <w:r w:rsidRPr="002C40D7">
        <w:rPr>
          <w:i/>
          <w:iCs/>
        </w:rPr>
        <w:t>141</w:t>
      </w:r>
      <w:r w:rsidRPr="002C40D7">
        <w:t xml:space="preserve">, 161–169. </w:t>
      </w:r>
      <w:hyperlink r:id="rId61" w:history="1">
        <w:r w:rsidRPr="00C80284">
          <w:rPr>
            <w:rStyle w:val="Hyperlink"/>
          </w:rPr>
          <w:t>http://doi.org/10.1016/j.cognition.2015.05.002</w:t>
        </w:r>
      </w:hyperlink>
      <w:r w:rsidRPr="002C40D7">
        <w:t xml:space="preserve"> </w:t>
      </w:r>
    </w:p>
    <w:p w14:paraId="0366BC21" w14:textId="105B445B" w:rsidR="00B42CCB" w:rsidRDefault="00B42CCB" w:rsidP="00FB2694">
      <w:pPr>
        <w:spacing w:after="120"/>
        <w:ind w:left="720" w:hanging="720"/>
      </w:pPr>
      <w:r w:rsidRPr="00B42CCB">
        <w:t xml:space="preserve">Xiao, N. G., Perrotta, S., Quinn, P. C., Wang, Z., Sun, Y. H., &amp; Lee, K. (2014). On the facilitative effects of face motion on face recognition and its development. </w:t>
      </w:r>
      <w:r w:rsidRPr="00B42CCB">
        <w:rPr>
          <w:i/>
          <w:iCs/>
        </w:rPr>
        <w:t>Frontiers in psychology, 5</w:t>
      </w:r>
      <w:r w:rsidRPr="00B42CCB">
        <w:t xml:space="preserve">, 633. </w:t>
      </w:r>
      <w:hyperlink r:id="rId62" w:history="1">
        <w:r w:rsidRPr="00BE309B">
          <w:rPr>
            <w:rStyle w:val="Hyperlink"/>
          </w:rPr>
          <w:t>https://doi.org/10.3389/fpsyg.2014.00633</w:t>
        </w:r>
      </w:hyperlink>
      <w:r>
        <w:rPr>
          <w:rFonts w:hint="eastAsia"/>
        </w:rPr>
        <w:t xml:space="preserve"> </w:t>
      </w:r>
    </w:p>
    <w:p w14:paraId="3CA90520" w14:textId="2C1D843C" w:rsidR="007932CD" w:rsidRDefault="007932CD" w:rsidP="00FB2694">
      <w:pPr>
        <w:spacing w:after="120"/>
        <w:ind w:left="720" w:hanging="720"/>
      </w:pPr>
      <w:r w:rsidRPr="007932CD">
        <w:t xml:space="preserve">Young, A. W., &amp; Burton, A. M. (2017). Recognizing Faces. </w:t>
      </w:r>
      <w:r w:rsidRPr="007932CD">
        <w:rPr>
          <w:i/>
          <w:iCs/>
        </w:rPr>
        <w:t>Current Directions in Psychological Science</w:t>
      </w:r>
      <w:r w:rsidRPr="007932CD">
        <w:t xml:space="preserve">, </w:t>
      </w:r>
      <w:r w:rsidRPr="007932CD">
        <w:rPr>
          <w:i/>
          <w:iCs/>
        </w:rPr>
        <w:t>26</w:t>
      </w:r>
      <w:r w:rsidRPr="007932CD">
        <w:t xml:space="preserve">(3), 212–217. </w:t>
      </w:r>
      <w:hyperlink r:id="rId63" w:history="1">
        <w:r w:rsidRPr="00C80284">
          <w:rPr>
            <w:rStyle w:val="Hyperlink"/>
          </w:rPr>
          <w:t>http://doi.org/10.1177/0963721416688114</w:t>
        </w:r>
      </w:hyperlink>
    </w:p>
    <w:p w14:paraId="2A0A34F7" w14:textId="55C63F80" w:rsidR="005810D2" w:rsidRPr="003A45D7" w:rsidRDefault="000A4AC8" w:rsidP="00FB2694">
      <w:pPr>
        <w:spacing w:after="120"/>
        <w:ind w:left="720" w:hanging="720"/>
      </w:pPr>
      <w:r w:rsidRPr="000A4AC8">
        <w:lastRenderedPageBreak/>
        <w:t xml:space="preserve">Zhou, X., Vyas, S., Ning, J., &amp; Moulson, M. C. (2022). Naturalistic Face Learning in Infants and Adults. </w:t>
      </w:r>
      <w:r w:rsidRPr="00C95B33">
        <w:t>Psychological science, 33</w:t>
      </w:r>
      <w:r w:rsidRPr="000A4AC8">
        <w:t>(1), 135–151.</w:t>
      </w:r>
      <w:r w:rsidR="00C95B33">
        <w:t xml:space="preserve"> </w:t>
      </w:r>
      <w:hyperlink r:id="rId64" w:history="1">
        <w:r w:rsidR="00754A9C" w:rsidRPr="00754A9C">
          <w:rPr>
            <w:rStyle w:val="Hyperlink"/>
          </w:rPr>
          <w:t>https://doi.org/10.1177/09567976211030630</w:t>
        </w:r>
      </w:hyperlink>
    </w:p>
    <w:sectPr w:rsidR="005810D2" w:rsidRPr="003A45D7" w:rsidSect="00D72CD1">
      <w:headerReference w:type="default" r:id="rId65"/>
      <w:pgSz w:w="12240" w:h="15840"/>
      <w:pgMar w:top="1440" w:right="1800" w:bottom="1440" w:left="180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86312" w14:textId="77777777" w:rsidR="00B82041" w:rsidRDefault="00B82041" w:rsidP="00450DC0">
      <w:r>
        <w:separator/>
      </w:r>
    </w:p>
  </w:endnote>
  <w:endnote w:type="continuationSeparator" w:id="0">
    <w:p w14:paraId="54A50E08" w14:textId="77777777" w:rsidR="00B82041" w:rsidRDefault="00B82041" w:rsidP="00450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1751B" w14:textId="77777777" w:rsidR="00B82041" w:rsidRDefault="00B82041" w:rsidP="00450DC0">
      <w:r>
        <w:separator/>
      </w:r>
    </w:p>
  </w:footnote>
  <w:footnote w:type="continuationSeparator" w:id="0">
    <w:p w14:paraId="18BC9A9F" w14:textId="77777777" w:rsidR="00B82041" w:rsidRDefault="00B82041" w:rsidP="00450DC0">
      <w:r>
        <w:continuationSeparator/>
      </w:r>
    </w:p>
  </w:footnote>
  <w:footnote w:id="1">
    <w:p w14:paraId="36256A5A" w14:textId="30924332" w:rsidR="00E960CC" w:rsidRPr="004F2FA9" w:rsidRDefault="00E960CC" w:rsidP="00C95B33">
      <w:pPr>
        <w:pStyle w:val="FootnoteText"/>
        <w:ind w:firstLine="0"/>
        <w:rPr>
          <w:lang w:val="en-GB"/>
        </w:rPr>
      </w:pPr>
      <w:r>
        <w:rPr>
          <w:rStyle w:val="FootnoteReference"/>
        </w:rPr>
        <w:footnoteRef/>
      </w:r>
      <w:r>
        <w:t>Photographs and ratings were also collected for the actress’ natural hair. These received ratings in the same range as the wigs in our set, suggesting that the wig are not perceptually diff</w:t>
      </w:r>
      <w:r w:rsidR="00C95B33">
        <w:t>erent on those two dimensions.</w:t>
      </w:r>
    </w:p>
  </w:footnote>
  <w:footnote w:id="2">
    <w:p w14:paraId="5953CC45" w14:textId="7DFDDA55" w:rsidR="00F5022D" w:rsidRDefault="00F5022D" w:rsidP="00C95B33">
      <w:pPr>
        <w:pStyle w:val="FootnoteText"/>
        <w:ind w:firstLine="0"/>
      </w:pPr>
      <w:r>
        <w:rPr>
          <w:rStyle w:val="FootnoteReference"/>
        </w:rPr>
        <w:footnoteRef/>
      </w:r>
      <w:r w:rsidRPr="00F5022D">
        <w:t xml:space="preserve">The preregistration specified that </w:t>
      </w:r>
      <w:r w:rsidRPr="00F5022D">
        <w:rPr>
          <w:i/>
          <w:iCs/>
        </w:rPr>
        <w:t>d′</w:t>
      </w:r>
      <w:r w:rsidRPr="00F5022D">
        <w:t xml:space="preserve"> would be calculated using mean hit rates per appearance condition and overall false</w:t>
      </w:r>
      <w:r>
        <w:rPr>
          <w:rFonts w:hint="eastAsia"/>
        </w:rPr>
        <w:t xml:space="preserve"> </w:t>
      </w:r>
      <w:r w:rsidRPr="00F5022D">
        <w:t>alarm rates. However, because each target pair (one stable, one variable) was associated with a specific pair of foils, false</w:t>
      </w:r>
      <w:r>
        <w:rPr>
          <w:rFonts w:hint="eastAsia"/>
        </w:rPr>
        <w:t xml:space="preserve"> </w:t>
      </w:r>
      <w:r w:rsidRPr="00F5022D">
        <w:t xml:space="preserve">alarm rates were instead calculated separately for the corresponding foil identities. This provides a more accurate estimate of sensitivity by ensuring that </w:t>
      </w:r>
      <w:r w:rsidRPr="00F5022D">
        <w:rPr>
          <w:i/>
          <w:iCs/>
        </w:rPr>
        <w:t>d′</w:t>
      </w:r>
      <w:r w:rsidRPr="00F5022D">
        <w:t xml:space="preserve"> reflects discrimination between each target pair and its associated foils. This deviation from the preregistration does not affect the interpretation because false</w:t>
      </w:r>
      <w:r>
        <w:rPr>
          <w:rFonts w:hint="eastAsia"/>
        </w:rPr>
        <w:t xml:space="preserve"> </w:t>
      </w:r>
      <w:r w:rsidRPr="00F5022D">
        <w:t>alarm rates did not differ across appearance conditions</w:t>
      </w:r>
      <w:r w:rsidR="00C95B3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641841"/>
      <w:docPartObj>
        <w:docPartGallery w:val="Page Numbers (Top of Page)"/>
        <w:docPartUnique/>
      </w:docPartObj>
    </w:sdtPr>
    <w:sdtEndPr>
      <w:rPr>
        <w:noProof/>
      </w:rPr>
    </w:sdtEndPr>
    <w:sdtContent>
      <w:p w14:paraId="63B9BE84" w14:textId="146E44A3" w:rsidR="00E960CC" w:rsidRDefault="00E960CC">
        <w:pPr>
          <w:pStyle w:val="Header"/>
          <w:jc w:val="right"/>
        </w:pPr>
        <w:r>
          <w:fldChar w:fldCharType="begin"/>
        </w:r>
        <w:r>
          <w:instrText xml:space="preserve"> PAGE   \* MERGEFORMAT </w:instrText>
        </w:r>
        <w:r>
          <w:fldChar w:fldCharType="separate"/>
        </w:r>
        <w:r w:rsidR="00916EAF">
          <w:rPr>
            <w:noProof/>
          </w:rPr>
          <w:t>22</w:t>
        </w:r>
        <w:r>
          <w:rPr>
            <w:noProof/>
          </w:rPr>
          <w:fldChar w:fldCharType="end"/>
        </w:r>
      </w:p>
    </w:sdtContent>
  </w:sdt>
  <w:p w14:paraId="723AC4DA" w14:textId="77777777" w:rsidR="00E960CC" w:rsidRDefault="00E960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E70"/>
    <w:rsid w:val="0000362E"/>
    <w:rsid w:val="00007A49"/>
    <w:rsid w:val="00007C83"/>
    <w:rsid w:val="00011B24"/>
    <w:rsid w:val="00011E76"/>
    <w:rsid w:val="0001716C"/>
    <w:rsid w:val="000208A5"/>
    <w:rsid w:val="000209EC"/>
    <w:rsid w:val="0002295B"/>
    <w:rsid w:val="00022BA1"/>
    <w:rsid w:val="00031676"/>
    <w:rsid w:val="000319CA"/>
    <w:rsid w:val="00032C7D"/>
    <w:rsid w:val="00041CF7"/>
    <w:rsid w:val="000457A0"/>
    <w:rsid w:val="0004604E"/>
    <w:rsid w:val="00046B9B"/>
    <w:rsid w:val="00051705"/>
    <w:rsid w:val="0005184A"/>
    <w:rsid w:val="00051C7C"/>
    <w:rsid w:val="000554A6"/>
    <w:rsid w:val="000567CA"/>
    <w:rsid w:val="000605B5"/>
    <w:rsid w:val="00065BD0"/>
    <w:rsid w:val="00070CAF"/>
    <w:rsid w:val="00073401"/>
    <w:rsid w:val="0008048F"/>
    <w:rsid w:val="00084111"/>
    <w:rsid w:val="00090104"/>
    <w:rsid w:val="00093251"/>
    <w:rsid w:val="0009359B"/>
    <w:rsid w:val="000A4AC8"/>
    <w:rsid w:val="000B03B5"/>
    <w:rsid w:val="000B0F2F"/>
    <w:rsid w:val="000B122C"/>
    <w:rsid w:val="000B28E3"/>
    <w:rsid w:val="000B3598"/>
    <w:rsid w:val="000B3806"/>
    <w:rsid w:val="000B4760"/>
    <w:rsid w:val="000B4967"/>
    <w:rsid w:val="000B50A7"/>
    <w:rsid w:val="000B623C"/>
    <w:rsid w:val="000C048A"/>
    <w:rsid w:val="000C16AA"/>
    <w:rsid w:val="000C2785"/>
    <w:rsid w:val="000C6FE1"/>
    <w:rsid w:val="000C78D5"/>
    <w:rsid w:val="000C7ED7"/>
    <w:rsid w:val="000F09D6"/>
    <w:rsid w:val="00100226"/>
    <w:rsid w:val="00100BC6"/>
    <w:rsid w:val="00101B64"/>
    <w:rsid w:val="0010320E"/>
    <w:rsid w:val="00113DCB"/>
    <w:rsid w:val="00116184"/>
    <w:rsid w:val="001162C9"/>
    <w:rsid w:val="001322D9"/>
    <w:rsid w:val="001340F7"/>
    <w:rsid w:val="001358B0"/>
    <w:rsid w:val="001369D1"/>
    <w:rsid w:val="00137FA1"/>
    <w:rsid w:val="0014587D"/>
    <w:rsid w:val="00145ACE"/>
    <w:rsid w:val="00146576"/>
    <w:rsid w:val="00150257"/>
    <w:rsid w:val="00151FDA"/>
    <w:rsid w:val="0015400D"/>
    <w:rsid w:val="00154F82"/>
    <w:rsid w:val="001553F0"/>
    <w:rsid w:val="00155525"/>
    <w:rsid w:val="001637CE"/>
    <w:rsid w:val="001658CB"/>
    <w:rsid w:val="0017134E"/>
    <w:rsid w:val="00172763"/>
    <w:rsid w:val="00184A31"/>
    <w:rsid w:val="00185976"/>
    <w:rsid w:val="0018705F"/>
    <w:rsid w:val="00192403"/>
    <w:rsid w:val="001A67F5"/>
    <w:rsid w:val="001B0CB5"/>
    <w:rsid w:val="001B3063"/>
    <w:rsid w:val="001B3197"/>
    <w:rsid w:val="001C0389"/>
    <w:rsid w:val="001C103B"/>
    <w:rsid w:val="001C1C8E"/>
    <w:rsid w:val="001C2125"/>
    <w:rsid w:val="001C2E01"/>
    <w:rsid w:val="001C459E"/>
    <w:rsid w:val="001C5F81"/>
    <w:rsid w:val="001C75A8"/>
    <w:rsid w:val="001E199D"/>
    <w:rsid w:val="001F168D"/>
    <w:rsid w:val="001F217C"/>
    <w:rsid w:val="001F2A23"/>
    <w:rsid w:val="001F2F0E"/>
    <w:rsid w:val="001F2F3D"/>
    <w:rsid w:val="001F501E"/>
    <w:rsid w:val="00202B59"/>
    <w:rsid w:val="002030AA"/>
    <w:rsid w:val="002060A3"/>
    <w:rsid w:val="0020749A"/>
    <w:rsid w:val="00213306"/>
    <w:rsid w:val="00215293"/>
    <w:rsid w:val="00217315"/>
    <w:rsid w:val="00217461"/>
    <w:rsid w:val="00222184"/>
    <w:rsid w:val="0022331D"/>
    <w:rsid w:val="002247BA"/>
    <w:rsid w:val="00232265"/>
    <w:rsid w:val="002335E2"/>
    <w:rsid w:val="002504F9"/>
    <w:rsid w:val="0025694E"/>
    <w:rsid w:val="00262398"/>
    <w:rsid w:val="00265730"/>
    <w:rsid w:val="00271482"/>
    <w:rsid w:val="002721BF"/>
    <w:rsid w:val="00276DAC"/>
    <w:rsid w:val="002813E8"/>
    <w:rsid w:val="002838B8"/>
    <w:rsid w:val="002A3E5A"/>
    <w:rsid w:val="002A528F"/>
    <w:rsid w:val="002A7B53"/>
    <w:rsid w:val="002A7E3F"/>
    <w:rsid w:val="002B16DB"/>
    <w:rsid w:val="002B7B40"/>
    <w:rsid w:val="002B7B6C"/>
    <w:rsid w:val="002C2EC7"/>
    <w:rsid w:val="002C2F99"/>
    <w:rsid w:val="002C40D7"/>
    <w:rsid w:val="002D138A"/>
    <w:rsid w:val="002D1FFD"/>
    <w:rsid w:val="002D3689"/>
    <w:rsid w:val="002D4FEC"/>
    <w:rsid w:val="002D503E"/>
    <w:rsid w:val="002D7607"/>
    <w:rsid w:val="002E09D0"/>
    <w:rsid w:val="002E0DAA"/>
    <w:rsid w:val="002E2FF5"/>
    <w:rsid w:val="002E35DB"/>
    <w:rsid w:val="002E6E95"/>
    <w:rsid w:val="002F1F4C"/>
    <w:rsid w:val="002F2B0E"/>
    <w:rsid w:val="002F5407"/>
    <w:rsid w:val="00301F9D"/>
    <w:rsid w:val="00303AAC"/>
    <w:rsid w:val="003051EC"/>
    <w:rsid w:val="00305B7A"/>
    <w:rsid w:val="00311CCC"/>
    <w:rsid w:val="00313AAC"/>
    <w:rsid w:val="003152D0"/>
    <w:rsid w:val="00316456"/>
    <w:rsid w:val="00341067"/>
    <w:rsid w:val="00344F5A"/>
    <w:rsid w:val="00345F80"/>
    <w:rsid w:val="003474F2"/>
    <w:rsid w:val="00352653"/>
    <w:rsid w:val="00361B71"/>
    <w:rsid w:val="00365A17"/>
    <w:rsid w:val="003667C0"/>
    <w:rsid w:val="00366EE2"/>
    <w:rsid w:val="00370DBE"/>
    <w:rsid w:val="00373A5D"/>
    <w:rsid w:val="003750B5"/>
    <w:rsid w:val="0038348B"/>
    <w:rsid w:val="00387B4E"/>
    <w:rsid w:val="00390551"/>
    <w:rsid w:val="00392526"/>
    <w:rsid w:val="003977BF"/>
    <w:rsid w:val="003A45D7"/>
    <w:rsid w:val="003A5510"/>
    <w:rsid w:val="003B0E9F"/>
    <w:rsid w:val="003B5B71"/>
    <w:rsid w:val="003B6454"/>
    <w:rsid w:val="003C0214"/>
    <w:rsid w:val="003C3B72"/>
    <w:rsid w:val="003D13D7"/>
    <w:rsid w:val="003D3431"/>
    <w:rsid w:val="003D3EFD"/>
    <w:rsid w:val="003D6E0A"/>
    <w:rsid w:val="003D72C7"/>
    <w:rsid w:val="003F3AFB"/>
    <w:rsid w:val="004025D5"/>
    <w:rsid w:val="00407EA1"/>
    <w:rsid w:val="004170D4"/>
    <w:rsid w:val="004226A3"/>
    <w:rsid w:val="00423EB6"/>
    <w:rsid w:val="004312AE"/>
    <w:rsid w:val="004316E8"/>
    <w:rsid w:val="00431B4B"/>
    <w:rsid w:val="00437FB0"/>
    <w:rsid w:val="00442D3D"/>
    <w:rsid w:val="00443A0B"/>
    <w:rsid w:val="004451CA"/>
    <w:rsid w:val="00446DEA"/>
    <w:rsid w:val="00450DC0"/>
    <w:rsid w:val="0045144D"/>
    <w:rsid w:val="004575BB"/>
    <w:rsid w:val="00461A2D"/>
    <w:rsid w:val="00487A41"/>
    <w:rsid w:val="00492C39"/>
    <w:rsid w:val="00495EBA"/>
    <w:rsid w:val="00496448"/>
    <w:rsid w:val="004A0917"/>
    <w:rsid w:val="004A5D29"/>
    <w:rsid w:val="004A6D3A"/>
    <w:rsid w:val="004B0270"/>
    <w:rsid w:val="004B15A7"/>
    <w:rsid w:val="004B55D9"/>
    <w:rsid w:val="004C4A16"/>
    <w:rsid w:val="004D187D"/>
    <w:rsid w:val="004E1E88"/>
    <w:rsid w:val="004E3D8D"/>
    <w:rsid w:val="004E4F45"/>
    <w:rsid w:val="004E6E4D"/>
    <w:rsid w:val="004F1DE0"/>
    <w:rsid w:val="004F2FA9"/>
    <w:rsid w:val="004F505E"/>
    <w:rsid w:val="0050267C"/>
    <w:rsid w:val="0050593A"/>
    <w:rsid w:val="00505D63"/>
    <w:rsid w:val="00505EEB"/>
    <w:rsid w:val="005176F7"/>
    <w:rsid w:val="0052379B"/>
    <w:rsid w:val="005267E6"/>
    <w:rsid w:val="00535784"/>
    <w:rsid w:val="00540075"/>
    <w:rsid w:val="00540A58"/>
    <w:rsid w:val="0054359A"/>
    <w:rsid w:val="00546003"/>
    <w:rsid w:val="0054653C"/>
    <w:rsid w:val="00547489"/>
    <w:rsid w:val="0055167C"/>
    <w:rsid w:val="00553704"/>
    <w:rsid w:val="005554AB"/>
    <w:rsid w:val="00556277"/>
    <w:rsid w:val="00556E11"/>
    <w:rsid w:val="005605A7"/>
    <w:rsid w:val="005648EF"/>
    <w:rsid w:val="005668BE"/>
    <w:rsid w:val="005707A4"/>
    <w:rsid w:val="00570981"/>
    <w:rsid w:val="00570BA3"/>
    <w:rsid w:val="00573367"/>
    <w:rsid w:val="005810D2"/>
    <w:rsid w:val="00582990"/>
    <w:rsid w:val="00582A00"/>
    <w:rsid w:val="00583560"/>
    <w:rsid w:val="00586C09"/>
    <w:rsid w:val="005935AC"/>
    <w:rsid w:val="00596BC3"/>
    <w:rsid w:val="005972C8"/>
    <w:rsid w:val="005A1037"/>
    <w:rsid w:val="005A133B"/>
    <w:rsid w:val="005A5F4D"/>
    <w:rsid w:val="005B2DB9"/>
    <w:rsid w:val="005B33D8"/>
    <w:rsid w:val="005B409A"/>
    <w:rsid w:val="005B647B"/>
    <w:rsid w:val="005C0E80"/>
    <w:rsid w:val="005C1187"/>
    <w:rsid w:val="005C2B43"/>
    <w:rsid w:val="005D0034"/>
    <w:rsid w:val="005D5859"/>
    <w:rsid w:val="005E1306"/>
    <w:rsid w:val="005E18B8"/>
    <w:rsid w:val="005E34CB"/>
    <w:rsid w:val="005F4669"/>
    <w:rsid w:val="0061275C"/>
    <w:rsid w:val="00616794"/>
    <w:rsid w:val="00617454"/>
    <w:rsid w:val="00621A54"/>
    <w:rsid w:val="00623D44"/>
    <w:rsid w:val="006322D0"/>
    <w:rsid w:val="006362B6"/>
    <w:rsid w:val="00644ED4"/>
    <w:rsid w:val="00645005"/>
    <w:rsid w:val="00645071"/>
    <w:rsid w:val="00653234"/>
    <w:rsid w:val="00655447"/>
    <w:rsid w:val="006569BB"/>
    <w:rsid w:val="00660EC3"/>
    <w:rsid w:val="006619B8"/>
    <w:rsid w:val="00661AB4"/>
    <w:rsid w:val="00662FA4"/>
    <w:rsid w:val="00663765"/>
    <w:rsid w:val="00663E24"/>
    <w:rsid w:val="00666ED3"/>
    <w:rsid w:val="00674D0D"/>
    <w:rsid w:val="00680E68"/>
    <w:rsid w:val="00681587"/>
    <w:rsid w:val="00682360"/>
    <w:rsid w:val="006838E8"/>
    <w:rsid w:val="006908A2"/>
    <w:rsid w:val="00694E26"/>
    <w:rsid w:val="006A01FE"/>
    <w:rsid w:val="006A3392"/>
    <w:rsid w:val="006A3D74"/>
    <w:rsid w:val="006A7202"/>
    <w:rsid w:val="006A7E21"/>
    <w:rsid w:val="006B13B5"/>
    <w:rsid w:val="006B483F"/>
    <w:rsid w:val="006C2D84"/>
    <w:rsid w:val="006C3A4F"/>
    <w:rsid w:val="006C4E47"/>
    <w:rsid w:val="006C5D40"/>
    <w:rsid w:val="006C6F0B"/>
    <w:rsid w:val="006D37FE"/>
    <w:rsid w:val="006D6A4B"/>
    <w:rsid w:val="006E02E6"/>
    <w:rsid w:val="006E3F4E"/>
    <w:rsid w:val="006E445C"/>
    <w:rsid w:val="006E6377"/>
    <w:rsid w:val="006E68BC"/>
    <w:rsid w:val="006F05DB"/>
    <w:rsid w:val="006F1A55"/>
    <w:rsid w:val="006F2570"/>
    <w:rsid w:val="006F4D2F"/>
    <w:rsid w:val="006F67FC"/>
    <w:rsid w:val="006F7FC7"/>
    <w:rsid w:val="00700882"/>
    <w:rsid w:val="00700E07"/>
    <w:rsid w:val="00700EFC"/>
    <w:rsid w:val="00702035"/>
    <w:rsid w:val="00703D48"/>
    <w:rsid w:val="00712198"/>
    <w:rsid w:val="00712FC1"/>
    <w:rsid w:val="007176E8"/>
    <w:rsid w:val="0073500F"/>
    <w:rsid w:val="00736221"/>
    <w:rsid w:val="00744B4D"/>
    <w:rsid w:val="0074761B"/>
    <w:rsid w:val="00751B30"/>
    <w:rsid w:val="00752348"/>
    <w:rsid w:val="00754A9C"/>
    <w:rsid w:val="00754A9D"/>
    <w:rsid w:val="00755390"/>
    <w:rsid w:val="00756269"/>
    <w:rsid w:val="00757ACF"/>
    <w:rsid w:val="00762A91"/>
    <w:rsid w:val="00763919"/>
    <w:rsid w:val="00774AE0"/>
    <w:rsid w:val="0077632E"/>
    <w:rsid w:val="007808F4"/>
    <w:rsid w:val="00780ABD"/>
    <w:rsid w:val="0078183F"/>
    <w:rsid w:val="00781CBD"/>
    <w:rsid w:val="00783FBA"/>
    <w:rsid w:val="00784B16"/>
    <w:rsid w:val="007929E6"/>
    <w:rsid w:val="007930B6"/>
    <w:rsid w:val="007932CD"/>
    <w:rsid w:val="00794232"/>
    <w:rsid w:val="00794BDF"/>
    <w:rsid w:val="007A0238"/>
    <w:rsid w:val="007A0DCD"/>
    <w:rsid w:val="007A0E43"/>
    <w:rsid w:val="007A2737"/>
    <w:rsid w:val="007A53DB"/>
    <w:rsid w:val="007A78F8"/>
    <w:rsid w:val="007B475B"/>
    <w:rsid w:val="007B7B7F"/>
    <w:rsid w:val="007C4A41"/>
    <w:rsid w:val="007C5A74"/>
    <w:rsid w:val="007C6309"/>
    <w:rsid w:val="007C7572"/>
    <w:rsid w:val="007C759A"/>
    <w:rsid w:val="007D1FBA"/>
    <w:rsid w:val="007D3BA5"/>
    <w:rsid w:val="007D4A33"/>
    <w:rsid w:val="007D4F75"/>
    <w:rsid w:val="007D5EA9"/>
    <w:rsid w:val="007D6D5E"/>
    <w:rsid w:val="007E198E"/>
    <w:rsid w:val="007E1BED"/>
    <w:rsid w:val="007E3355"/>
    <w:rsid w:val="007E3730"/>
    <w:rsid w:val="007E4057"/>
    <w:rsid w:val="007E5C6D"/>
    <w:rsid w:val="007E7AFF"/>
    <w:rsid w:val="007F2501"/>
    <w:rsid w:val="007F2F00"/>
    <w:rsid w:val="007F6403"/>
    <w:rsid w:val="007F719D"/>
    <w:rsid w:val="00801C30"/>
    <w:rsid w:val="00806A62"/>
    <w:rsid w:val="00806F18"/>
    <w:rsid w:val="0081238E"/>
    <w:rsid w:val="0081755B"/>
    <w:rsid w:val="00821A9E"/>
    <w:rsid w:val="008225E5"/>
    <w:rsid w:val="00823147"/>
    <w:rsid w:val="00827C36"/>
    <w:rsid w:val="00830EB7"/>
    <w:rsid w:val="00832F1B"/>
    <w:rsid w:val="00835E44"/>
    <w:rsid w:val="00837B10"/>
    <w:rsid w:val="00842176"/>
    <w:rsid w:val="0084597A"/>
    <w:rsid w:val="00845E2E"/>
    <w:rsid w:val="0084649D"/>
    <w:rsid w:val="00846DB4"/>
    <w:rsid w:val="0085024B"/>
    <w:rsid w:val="00853A33"/>
    <w:rsid w:val="00854B38"/>
    <w:rsid w:val="00854C29"/>
    <w:rsid w:val="00861FB9"/>
    <w:rsid w:val="00865473"/>
    <w:rsid w:val="008665D4"/>
    <w:rsid w:val="00871412"/>
    <w:rsid w:val="00871879"/>
    <w:rsid w:val="0087452D"/>
    <w:rsid w:val="0087526E"/>
    <w:rsid w:val="00882578"/>
    <w:rsid w:val="008950DF"/>
    <w:rsid w:val="00896310"/>
    <w:rsid w:val="008A3C12"/>
    <w:rsid w:val="008A3ED3"/>
    <w:rsid w:val="008A6964"/>
    <w:rsid w:val="008A71A4"/>
    <w:rsid w:val="008A7AF1"/>
    <w:rsid w:val="008B0E24"/>
    <w:rsid w:val="008B5A07"/>
    <w:rsid w:val="008B5FC8"/>
    <w:rsid w:val="008C25B9"/>
    <w:rsid w:val="008C2A88"/>
    <w:rsid w:val="008C538F"/>
    <w:rsid w:val="008C6436"/>
    <w:rsid w:val="008C6D32"/>
    <w:rsid w:val="008C6DA8"/>
    <w:rsid w:val="008D3135"/>
    <w:rsid w:val="008D4C7B"/>
    <w:rsid w:val="008E02F7"/>
    <w:rsid w:val="008E0A1C"/>
    <w:rsid w:val="008F3D9B"/>
    <w:rsid w:val="008F7D07"/>
    <w:rsid w:val="00901F12"/>
    <w:rsid w:val="009074CF"/>
    <w:rsid w:val="00916E69"/>
    <w:rsid w:val="00916EAF"/>
    <w:rsid w:val="00920DF4"/>
    <w:rsid w:val="0092184A"/>
    <w:rsid w:val="00923799"/>
    <w:rsid w:val="00924389"/>
    <w:rsid w:val="00926E8C"/>
    <w:rsid w:val="0092771E"/>
    <w:rsid w:val="009335AC"/>
    <w:rsid w:val="009402FC"/>
    <w:rsid w:val="00941DCD"/>
    <w:rsid w:val="0094569B"/>
    <w:rsid w:val="009528BF"/>
    <w:rsid w:val="009536B5"/>
    <w:rsid w:val="00956305"/>
    <w:rsid w:val="00956436"/>
    <w:rsid w:val="00961572"/>
    <w:rsid w:val="0096311F"/>
    <w:rsid w:val="009702B7"/>
    <w:rsid w:val="00971404"/>
    <w:rsid w:val="009779A2"/>
    <w:rsid w:val="0098359E"/>
    <w:rsid w:val="0098394F"/>
    <w:rsid w:val="009863E9"/>
    <w:rsid w:val="009908D3"/>
    <w:rsid w:val="00992992"/>
    <w:rsid w:val="009A541A"/>
    <w:rsid w:val="009C0B0A"/>
    <w:rsid w:val="009C4652"/>
    <w:rsid w:val="009C740B"/>
    <w:rsid w:val="009D3097"/>
    <w:rsid w:val="009D6780"/>
    <w:rsid w:val="009D79DC"/>
    <w:rsid w:val="009E1156"/>
    <w:rsid w:val="009E43A0"/>
    <w:rsid w:val="009E70F5"/>
    <w:rsid w:val="009F3EB0"/>
    <w:rsid w:val="009F59AF"/>
    <w:rsid w:val="00A025BC"/>
    <w:rsid w:val="00A03005"/>
    <w:rsid w:val="00A040A6"/>
    <w:rsid w:val="00A04582"/>
    <w:rsid w:val="00A159C4"/>
    <w:rsid w:val="00A17A5E"/>
    <w:rsid w:val="00A2498A"/>
    <w:rsid w:val="00A263B4"/>
    <w:rsid w:val="00A327E7"/>
    <w:rsid w:val="00A337B0"/>
    <w:rsid w:val="00A34B8D"/>
    <w:rsid w:val="00A35033"/>
    <w:rsid w:val="00A3ED46"/>
    <w:rsid w:val="00A42C17"/>
    <w:rsid w:val="00A46547"/>
    <w:rsid w:val="00A46553"/>
    <w:rsid w:val="00A466B7"/>
    <w:rsid w:val="00A64E49"/>
    <w:rsid w:val="00A650F0"/>
    <w:rsid w:val="00A65E81"/>
    <w:rsid w:val="00A671EB"/>
    <w:rsid w:val="00A70CF0"/>
    <w:rsid w:val="00A75CA7"/>
    <w:rsid w:val="00A81647"/>
    <w:rsid w:val="00A831F8"/>
    <w:rsid w:val="00A84668"/>
    <w:rsid w:val="00A85652"/>
    <w:rsid w:val="00A96F5D"/>
    <w:rsid w:val="00AA3327"/>
    <w:rsid w:val="00AA4229"/>
    <w:rsid w:val="00AA656A"/>
    <w:rsid w:val="00AB731B"/>
    <w:rsid w:val="00AC31CF"/>
    <w:rsid w:val="00AD139C"/>
    <w:rsid w:val="00AE115B"/>
    <w:rsid w:val="00AE117A"/>
    <w:rsid w:val="00AE1A76"/>
    <w:rsid w:val="00AF125A"/>
    <w:rsid w:val="00B0210B"/>
    <w:rsid w:val="00B03F9C"/>
    <w:rsid w:val="00B103F0"/>
    <w:rsid w:val="00B1164D"/>
    <w:rsid w:val="00B21F35"/>
    <w:rsid w:val="00B24EC9"/>
    <w:rsid w:val="00B257ED"/>
    <w:rsid w:val="00B25F06"/>
    <w:rsid w:val="00B271EA"/>
    <w:rsid w:val="00B272B4"/>
    <w:rsid w:val="00B314D5"/>
    <w:rsid w:val="00B3351B"/>
    <w:rsid w:val="00B34CB0"/>
    <w:rsid w:val="00B35EC3"/>
    <w:rsid w:val="00B4151D"/>
    <w:rsid w:val="00B42CCB"/>
    <w:rsid w:val="00B52719"/>
    <w:rsid w:val="00B53048"/>
    <w:rsid w:val="00B547E1"/>
    <w:rsid w:val="00B56360"/>
    <w:rsid w:val="00B604D1"/>
    <w:rsid w:val="00B64A2F"/>
    <w:rsid w:val="00B6668C"/>
    <w:rsid w:val="00B670C0"/>
    <w:rsid w:val="00B67E45"/>
    <w:rsid w:val="00B734EC"/>
    <w:rsid w:val="00B758DB"/>
    <w:rsid w:val="00B76924"/>
    <w:rsid w:val="00B76B6A"/>
    <w:rsid w:val="00B8002D"/>
    <w:rsid w:val="00B82041"/>
    <w:rsid w:val="00B82692"/>
    <w:rsid w:val="00B868B0"/>
    <w:rsid w:val="00B920D6"/>
    <w:rsid w:val="00BA6097"/>
    <w:rsid w:val="00BA61B4"/>
    <w:rsid w:val="00BA74A7"/>
    <w:rsid w:val="00BB2A76"/>
    <w:rsid w:val="00BB3247"/>
    <w:rsid w:val="00BB65C4"/>
    <w:rsid w:val="00BB7F70"/>
    <w:rsid w:val="00BC1003"/>
    <w:rsid w:val="00BC2AAD"/>
    <w:rsid w:val="00BD24AB"/>
    <w:rsid w:val="00BD2E03"/>
    <w:rsid w:val="00BD6309"/>
    <w:rsid w:val="00BE05CF"/>
    <w:rsid w:val="00BE06A9"/>
    <w:rsid w:val="00BE1CAD"/>
    <w:rsid w:val="00BE2533"/>
    <w:rsid w:val="00BE505A"/>
    <w:rsid w:val="00BF5082"/>
    <w:rsid w:val="00C04E43"/>
    <w:rsid w:val="00C10B18"/>
    <w:rsid w:val="00C1204C"/>
    <w:rsid w:val="00C155CE"/>
    <w:rsid w:val="00C20FD5"/>
    <w:rsid w:val="00C21903"/>
    <w:rsid w:val="00C22B9E"/>
    <w:rsid w:val="00C24F17"/>
    <w:rsid w:val="00C265FC"/>
    <w:rsid w:val="00C26E30"/>
    <w:rsid w:val="00C35AA2"/>
    <w:rsid w:val="00C37AC8"/>
    <w:rsid w:val="00C4406C"/>
    <w:rsid w:val="00C45063"/>
    <w:rsid w:val="00C5353F"/>
    <w:rsid w:val="00C61666"/>
    <w:rsid w:val="00C63426"/>
    <w:rsid w:val="00C67273"/>
    <w:rsid w:val="00C703F0"/>
    <w:rsid w:val="00C74F20"/>
    <w:rsid w:val="00C7582A"/>
    <w:rsid w:val="00C84452"/>
    <w:rsid w:val="00C869E6"/>
    <w:rsid w:val="00C94155"/>
    <w:rsid w:val="00C95B33"/>
    <w:rsid w:val="00C96D15"/>
    <w:rsid w:val="00C97B88"/>
    <w:rsid w:val="00CA1DBA"/>
    <w:rsid w:val="00CA2ACC"/>
    <w:rsid w:val="00CA41D0"/>
    <w:rsid w:val="00CA53B7"/>
    <w:rsid w:val="00CA7EFC"/>
    <w:rsid w:val="00CB44A1"/>
    <w:rsid w:val="00CC0001"/>
    <w:rsid w:val="00CC3B7A"/>
    <w:rsid w:val="00CC6156"/>
    <w:rsid w:val="00CD20A6"/>
    <w:rsid w:val="00CD2FC6"/>
    <w:rsid w:val="00CD6F12"/>
    <w:rsid w:val="00CD7F40"/>
    <w:rsid w:val="00CE06F3"/>
    <w:rsid w:val="00CE34DF"/>
    <w:rsid w:val="00CE3B3A"/>
    <w:rsid w:val="00CE5103"/>
    <w:rsid w:val="00CF3735"/>
    <w:rsid w:val="00CF7A2D"/>
    <w:rsid w:val="00D00B6C"/>
    <w:rsid w:val="00D0114D"/>
    <w:rsid w:val="00D01B90"/>
    <w:rsid w:val="00D03D7F"/>
    <w:rsid w:val="00D046D5"/>
    <w:rsid w:val="00D055B8"/>
    <w:rsid w:val="00D07BF4"/>
    <w:rsid w:val="00D10726"/>
    <w:rsid w:val="00D1465F"/>
    <w:rsid w:val="00D16B61"/>
    <w:rsid w:val="00D20764"/>
    <w:rsid w:val="00D20DF5"/>
    <w:rsid w:val="00D2186C"/>
    <w:rsid w:val="00D253EE"/>
    <w:rsid w:val="00D272F8"/>
    <w:rsid w:val="00D31678"/>
    <w:rsid w:val="00D331BD"/>
    <w:rsid w:val="00D37E16"/>
    <w:rsid w:val="00D52F0D"/>
    <w:rsid w:val="00D54F84"/>
    <w:rsid w:val="00D645E6"/>
    <w:rsid w:val="00D70B0B"/>
    <w:rsid w:val="00D7188D"/>
    <w:rsid w:val="00D72145"/>
    <w:rsid w:val="00D72CD1"/>
    <w:rsid w:val="00D73B7F"/>
    <w:rsid w:val="00D76786"/>
    <w:rsid w:val="00D806AD"/>
    <w:rsid w:val="00D8148A"/>
    <w:rsid w:val="00D82295"/>
    <w:rsid w:val="00D8442E"/>
    <w:rsid w:val="00D87DB9"/>
    <w:rsid w:val="00D902B2"/>
    <w:rsid w:val="00D904D5"/>
    <w:rsid w:val="00D96A5A"/>
    <w:rsid w:val="00DA59CB"/>
    <w:rsid w:val="00DA7D3E"/>
    <w:rsid w:val="00DC0F2E"/>
    <w:rsid w:val="00DC2A14"/>
    <w:rsid w:val="00DC369A"/>
    <w:rsid w:val="00DD1397"/>
    <w:rsid w:val="00DD2A7D"/>
    <w:rsid w:val="00DD5340"/>
    <w:rsid w:val="00DD6F53"/>
    <w:rsid w:val="00DD736A"/>
    <w:rsid w:val="00DE083E"/>
    <w:rsid w:val="00DE4298"/>
    <w:rsid w:val="00DE5A38"/>
    <w:rsid w:val="00DE5EAA"/>
    <w:rsid w:val="00DF294A"/>
    <w:rsid w:val="00E0113F"/>
    <w:rsid w:val="00E121B9"/>
    <w:rsid w:val="00E122DF"/>
    <w:rsid w:val="00E13A76"/>
    <w:rsid w:val="00E15602"/>
    <w:rsid w:val="00E15E35"/>
    <w:rsid w:val="00E20F24"/>
    <w:rsid w:val="00E21BAE"/>
    <w:rsid w:val="00E22A86"/>
    <w:rsid w:val="00E25539"/>
    <w:rsid w:val="00E32A08"/>
    <w:rsid w:val="00E32EB6"/>
    <w:rsid w:val="00E33917"/>
    <w:rsid w:val="00E34671"/>
    <w:rsid w:val="00E35CC8"/>
    <w:rsid w:val="00E4139D"/>
    <w:rsid w:val="00E42834"/>
    <w:rsid w:val="00E43CC2"/>
    <w:rsid w:val="00E456F3"/>
    <w:rsid w:val="00E46588"/>
    <w:rsid w:val="00E46A8A"/>
    <w:rsid w:val="00E47903"/>
    <w:rsid w:val="00E47B6C"/>
    <w:rsid w:val="00E47FBE"/>
    <w:rsid w:val="00E504FF"/>
    <w:rsid w:val="00E55176"/>
    <w:rsid w:val="00E556FE"/>
    <w:rsid w:val="00E57A73"/>
    <w:rsid w:val="00E602EC"/>
    <w:rsid w:val="00E61532"/>
    <w:rsid w:val="00E641FF"/>
    <w:rsid w:val="00E65DC0"/>
    <w:rsid w:val="00E65DFB"/>
    <w:rsid w:val="00E661B2"/>
    <w:rsid w:val="00E667EE"/>
    <w:rsid w:val="00E7750A"/>
    <w:rsid w:val="00E77F9E"/>
    <w:rsid w:val="00E849A4"/>
    <w:rsid w:val="00E85A1D"/>
    <w:rsid w:val="00E8754B"/>
    <w:rsid w:val="00E92337"/>
    <w:rsid w:val="00E93852"/>
    <w:rsid w:val="00E94343"/>
    <w:rsid w:val="00E94A8B"/>
    <w:rsid w:val="00E960CC"/>
    <w:rsid w:val="00E97516"/>
    <w:rsid w:val="00E9786F"/>
    <w:rsid w:val="00EA272F"/>
    <w:rsid w:val="00EA699D"/>
    <w:rsid w:val="00EB3B06"/>
    <w:rsid w:val="00EB62A1"/>
    <w:rsid w:val="00EB793B"/>
    <w:rsid w:val="00EC072C"/>
    <w:rsid w:val="00EC0AFB"/>
    <w:rsid w:val="00EC15E2"/>
    <w:rsid w:val="00EC377A"/>
    <w:rsid w:val="00ED0B90"/>
    <w:rsid w:val="00ED443A"/>
    <w:rsid w:val="00EE0F0D"/>
    <w:rsid w:val="00EE5429"/>
    <w:rsid w:val="00EE5C13"/>
    <w:rsid w:val="00F04796"/>
    <w:rsid w:val="00F05EE7"/>
    <w:rsid w:val="00F07C70"/>
    <w:rsid w:val="00F10815"/>
    <w:rsid w:val="00F12905"/>
    <w:rsid w:val="00F15FAE"/>
    <w:rsid w:val="00F2644F"/>
    <w:rsid w:val="00F26F88"/>
    <w:rsid w:val="00F27077"/>
    <w:rsid w:val="00F2720E"/>
    <w:rsid w:val="00F302C7"/>
    <w:rsid w:val="00F30357"/>
    <w:rsid w:val="00F34B13"/>
    <w:rsid w:val="00F4371C"/>
    <w:rsid w:val="00F44E70"/>
    <w:rsid w:val="00F451F3"/>
    <w:rsid w:val="00F5022D"/>
    <w:rsid w:val="00F5278D"/>
    <w:rsid w:val="00F53DD1"/>
    <w:rsid w:val="00F54882"/>
    <w:rsid w:val="00F55761"/>
    <w:rsid w:val="00F60F7F"/>
    <w:rsid w:val="00F62000"/>
    <w:rsid w:val="00F626D0"/>
    <w:rsid w:val="00F62F63"/>
    <w:rsid w:val="00F71D4B"/>
    <w:rsid w:val="00F752F3"/>
    <w:rsid w:val="00F75E87"/>
    <w:rsid w:val="00F82A77"/>
    <w:rsid w:val="00F8511D"/>
    <w:rsid w:val="00F852C6"/>
    <w:rsid w:val="00F904DC"/>
    <w:rsid w:val="00F911A9"/>
    <w:rsid w:val="00F91459"/>
    <w:rsid w:val="00F93562"/>
    <w:rsid w:val="00F935DD"/>
    <w:rsid w:val="00F956D0"/>
    <w:rsid w:val="00FA09D5"/>
    <w:rsid w:val="00FA4854"/>
    <w:rsid w:val="00FA662B"/>
    <w:rsid w:val="00FB0D39"/>
    <w:rsid w:val="00FB2694"/>
    <w:rsid w:val="00FB44E5"/>
    <w:rsid w:val="00FB7545"/>
    <w:rsid w:val="00FC10BF"/>
    <w:rsid w:val="00FC5B05"/>
    <w:rsid w:val="00FD00F1"/>
    <w:rsid w:val="00FD0ED2"/>
    <w:rsid w:val="00FD5E90"/>
    <w:rsid w:val="00FD7B66"/>
    <w:rsid w:val="00FE3B32"/>
    <w:rsid w:val="00FE498E"/>
    <w:rsid w:val="00FE7161"/>
    <w:rsid w:val="00FF3D44"/>
    <w:rsid w:val="00FF53B2"/>
    <w:rsid w:val="00FF57F6"/>
    <w:rsid w:val="00FF5BED"/>
    <w:rsid w:val="00FF6885"/>
    <w:rsid w:val="00FF6CF3"/>
    <w:rsid w:val="01871B55"/>
    <w:rsid w:val="023B0E9E"/>
    <w:rsid w:val="040D3666"/>
    <w:rsid w:val="05F4B09A"/>
    <w:rsid w:val="068F6006"/>
    <w:rsid w:val="06E3BB80"/>
    <w:rsid w:val="076C307E"/>
    <w:rsid w:val="081288BD"/>
    <w:rsid w:val="08F4E59F"/>
    <w:rsid w:val="0A1100C1"/>
    <w:rsid w:val="0ACBFD51"/>
    <w:rsid w:val="0AD503CD"/>
    <w:rsid w:val="0C49CBCB"/>
    <w:rsid w:val="0C731B51"/>
    <w:rsid w:val="0D53086E"/>
    <w:rsid w:val="0DFE7B26"/>
    <w:rsid w:val="0EA5296E"/>
    <w:rsid w:val="0EF1BED7"/>
    <w:rsid w:val="101FEB4E"/>
    <w:rsid w:val="13C1DE81"/>
    <w:rsid w:val="15254372"/>
    <w:rsid w:val="1594F3D9"/>
    <w:rsid w:val="15CB77BA"/>
    <w:rsid w:val="160492CB"/>
    <w:rsid w:val="1877686F"/>
    <w:rsid w:val="187E5B5A"/>
    <w:rsid w:val="190A0B95"/>
    <w:rsid w:val="1A6BCE32"/>
    <w:rsid w:val="1B17F6AF"/>
    <w:rsid w:val="1B3BE7A9"/>
    <w:rsid w:val="1C41AACC"/>
    <w:rsid w:val="1CE62D23"/>
    <w:rsid w:val="1D439479"/>
    <w:rsid w:val="1D9BBB98"/>
    <w:rsid w:val="1DA4D0E1"/>
    <w:rsid w:val="1F52281D"/>
    <w:rsid w:val="1F527273"/>
    <w:rsid w:val="206938EB"/>
    <w:rsid w:val="214FFB3E"/>
    <w:rsid w:val="2203048C"/>
    <w:rsid w:val="22923299"/>
    <w:rsid w:val="23C4AAA5"/>
    <w:rsid w:val="2437530D"/>
    <w:rsid w:val="24D18407"/>
    <w:rsid w:val="25B67B15"/>
    <w:rsid w:val="26173E97"/>
    <w:rsid w:val="261AE5FD"/>
    <w:rsid w:val="26972675"/>
    <w:rsid w:val="271BD9EE"/>
    <w:rsid w:val="27BF6276"/>
    <w:rsid w:val="2949F069"/>
    <w:rsid w:val="2B050096"/>
    <w:rsid w:val="2C5B7C6D"/>
    <w:rsid w:val="2CB35F0A"/>
    <w:rsid w:val="2D2B5238"/>
    <w:rsid w:val="2D438153"/>
    <w:rsid w:val="2DA79CD5"/>
    <w:rsid w:val="2F1D2DC9"/>
    <w:rsid w:val="30424C6E"/>
    <w:rsid w:val="30AA3C21"/>
    <w:rsid w:val="30F45E8D"/>
    <w:rsid w:val="32080F15"/>
    <w:rsid w:val="32BD4F72"/>
    <w:rsid w:val="32F01AB4"/>
    <w:rsid w:val="33296752"/>
    <w:rsid w:val="333F80F5"/>
    <w:rsid w:val="337BACF9"/>
    <w:rsid w:val="33BC03BC"/>
    <w:rsid w:val="342D2C6D"/>
    <w:rsid w:val="345733E9"/>
    <w:rsid w:val="34656309"/>
    <w:rsid w:val="348B0503"/>
    <w:rsid w:val="35E0AD2C"/>
    <w:rsid w:val="367F9CD2"/>
    <w:rsid w:val="378AA2F7"/>
    <w:rsid w:val="37ABF023"/>
    <w:rsid w:val="37D904BB"/>
    <w:rsid w:val="3876CCA6"/>
    <w:rsid w:val="3930D59D"/>
    <w:rsid w:val="39CA322D"/>
    <w:rsid w:val="39D360CB"/>
    <w:rsid w:val="3D0238B7"/>
    <w:rsid w:val="3E135DB3"/>
    <w:rsid w:val="3E8FEA96"/>
    <w:rsid w:val="3F6D9DBB"/>
    <w:rsid w:val="3FAD0DA6"/>
    <w:rsid w:val="40880204"/>
    <w:rsid w:val="40D2A774"/>
    <w:rsid w:val="420DBA23"/>
    <w:rsid w:val="425F1A1D"/>
    <w:rsid w:val="435F4532"/>
    <w:rsid w:val="4459E279"/>
    <w:rsid w:val="448D9B50"/>
    <w:rsid w:val="45EEB0D8"/>
    <w:rsid w:val="47C00E68"/>
    <w:rsid w:val="47DCC337"/>
    <w:rsid w:val="47E2490E"/>
    <w:rsid w:val="49BDD0CC"/>
    <w:rsid w:val="4A46ACEB"/>
    <w:rsid w:val="4A97ED9F"/>
    <w:rsid w:val="4AB9C747"/>
    <w:rsid w:val="4B70CF2F"/>
    <w:rsid w:val="4C14378B"/>
    <w:rsid w:val="4C586309"/>
    <w:rsid w:val="4D1CA7F4"/>
    <w:rsid w:val="4D68412C"/>
    <w:rsid w:val="4DC420A6"/>
    <w:rsid w:val="4EAD0A1D"/>
    <w:rsid w:val="4F21E2BD"/>
    <w:rsid w:val="4F4FED9D"/>
    <w:rsid w:val="4FBA8D52"/>
    <w:rsid w:val="50018A91"/>
    <w:rsid w:val="50E5EB76"/>
    <w:rsid w:val="515CCBC5"/>
    <w:rsid w:val="51E19E50"/>
    <w:rsid w:val="52DD8CB6"/>
    <w:rsid w:val="534584DE"/>
    <w:rsid w:val="5365CBD9"/>
    <w:rsid w:val="542349DC"/>
    <w:rsid w:val="547ECE87"/>
    <w:rsid w:val="553C3342"/>
    <w:rsid w:val="56C1CF94"/>
    <w:rsid w:val="56ED8BD5"/>
    <w:rsid w:val="57848610"/>
    <w:rsid w:val="579562E6"/>
    <w:rsid w:val="57B1BDA6"/>
    <w:rsid w:val="57FFB97A"/>
    <w:rsid w:val="58170228"/>
    <w:rsid w:val="58222323"/>
    <w:rsid w:val="5837D792"/>
    <w:rsid w:val="589F905F"/>
    <w:rsid w:val="5B7BB050"/>
    <w:rsid w:val="5BDFE8D5"/>
    <w:rsid w:val="5CEF220F"/>
    <w:rsid w:val="5D0FC6D9"/>
    <w:rsid w:val="5EE8FB53"/>
    <w:rsid w:val="60039B92"/>
    <w:rsid w:val="602B5D8F"/>
    <w:rsid w:val="614980C2"/>
    <w:rsid w:val="63656031"/>
    <w:rsid w:val="64851299"/>
    <w:rsid w:val="651BE299"/>
    <w:rsid w:val="654A846A"/>
    <w:rsid w:val="65CADE4E"/>
    <w:rsid w:val="65ECE6A9"/>
    <w:rsid w:val="6741C4BE"/>
    <w:rsid w:val="683065A3"/>
    <w:rsid w:val="683AB4C2"/>
    <w:rsid w:val="6841BB13"/>
    <w:rsid w:val="69C02A3E"/>
    <w:rsid w:val="6B2A8636"/>
    <w:rsid w:val="6B55C200"/>
    <w:rsid w:val="6D35C19F"/>
    <w:rsid w:val="6E05C135"/>
    <w:rsid w:val="6E6219CF"/>
    <w:rsid w:val="6EAF557D"/>
    <w:rsid w:val="6EB3311E"/>
    <w:rsid w:val="6EE27E42"/>
    <w:rsid w:val="6F19AFDF"/>
    <w:rsid w:val="6FFB0528"/>
    <w:rsid w:val="700A639E"/>
    <w:rsid w:val="710CBCF9"/>
    <w:rsid w:val="7173FF91"/>
    <w:rsid w:val="718E5C86"/>
    <w:rsid w:val="72FB2D98"/>
    <w:rsid w:val="73B9152F"/>
    <w:rsid w:val="74FBA919"/>
    <w:rsid w:val="7543D428"/>
    <w:rsid w:val="76D323CB"/>
    <w:rsid w:val="774F58AC"/>
    <w:rsid w:val="7765CC82"/>
    <w:rsid w:val="783435FF"/>
    <w:rsid w:val="790A7D2E"/>
    <w:rsid w:val="79B5D083"/>
    <w:rsid w:val="7A337823"/>
    <w:rsid w:val="7B201D35"/>
    <w:rsid w:val="7B2961FB"/>
    <w:rsid w:val="7BC1EE1C"/>
    <w:rsid w:val="7C265744"/>
    <w:rsid w:val="7D104545"/>
    <w:rsid w:val="7D8DC728"/>
    <w:rsid w:val="7DA266E2"/>
    <w:rsid w:val="7E5E0291"/>
    <w:rsid w:val="7FADB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C0A0E"/>
  <w15:chartTrackingRefBased/>
  <w15:docId w15:val="{51C125E9-2333-4D1C-B38E-EFCA917F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7BF"/>
    <w:pPr>
      <w:spacing w:after="0" w:line="480" w:lineRule="auto"/>
      <w:ind w:firstLine="720"/>
    </w:pPr>
  </w:style>
  <w:style w:type="paragraph" w:styleId="Heading1">
    <w:name w:val="heading 1"/>
    <w:basedOn w:val="Normal"/>
    <w:next w:val="Normal"/>
    <w:link w:val="Heading1Char"/>
    <w:uiPriority w:val="9"/>
    <w:qFormat/>
    <w:rsid w:val="003977BF"/>
    <w:pPr>
      <w:keepNext/>
      <w:keepLines/>
      <w:ind w:firstLine="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rsid w:val="00F44E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rsid w:val="00F44E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4E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4E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4E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E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E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E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7BF"/>
    <w:rPr>
      <w:rFonts w:eastAsiaTheme="majorEastAsia" w:cstheme="majorBidi"/>
      <w:b/>
      <w:color w:val="000000" w:themeColor="text1"/>
      <w:szCs w:val="40"/>
    </w:rPr>
  </w:style>
  <w:style w:type="character" w:customStyle="1" w:styleId="Heading2Char">
    <w:name w:val="Heading 2 Char"/>
    <w:basedOn w:val="DefaultParagraphFont"/>
    <w:link w:val="Heading2"/>
    <w:uiPriority w:val="9"/>
    <w:rsid w:val="00F44E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4E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4E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4E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4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E70"/>
    <w:rPr>
      <w:rFonts w:eastAsiaTheme="majorEastAsia" w:cstheme="majorBidi"/>
      <w:color w:val="272727" w:themeColor="text1" w:themeTint="D8"/>
    </w:rPr>
  </w:style>
  <w:style w:type="paragraph" w:styleId="Title">
    <w:name w:val="Title"/>
    <w:basedOn w:val="Normal"/>
    <w:next w:val="Normal"/>
    <w:link w:val="TitleChar"/>
    <w:uiPriority w:val="10"/>
    <w:qFormat/>
    <w:rsid w:val="008B5A07"/>
    <w:pPr>
      <w:spacing w:after="80"/>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8B5A07"/>
    <w:rPr>
      <w:rFonts w:eastAsiaTheme="majorEastAsia" w:cstheme="majorBidi"/>
      <w:spacing w:val="-10"/>
      <w:kern w:val="28"/>
      <w:szCs w:val="56"/>
    </w:rPr>
  </w:style>
  <w:style w:type="paragraph" w:styleId="Subtitle">
    <w:name w:val="Subtitle"/>
    <w:basedOn w:val="Normal"/>
    <w:next w:val="Normal"/>
    <w:link w:val="SubtitleChar"/>
    <w:uiPriority w:val="11"/>
    <w:qFormat/>
    <w:rsid w:val="00586C09"/>
    <w:pPr>
      <w:numPr>
        <w:ilvl w:val="1"/>
      </w:numPr>
      <w:spacing w:before="240" w:after="240"/>
      <w:ind w:firstLine="720"/>
    </w:pPr>
    <w:rPr>
      <w:rFonts w:eastAsiaTheme="majorEastAsia" w:cstheme="majorBidi"/>
      <w:b/>
      <w:color w:val="000000" w:themeColor="text1"/>
      <w:spacing w:val="15"/>
      <w:sz w:val="22"/>
      <w:szCs w:val="28"/>
    </w:rPr>
  </w:style>
  <w:style w:type="character" w:customStyle="1" w:styleId="SubtitleChar">
    <w:name w:val="Subtitle Char"/>
    <w:basedOn w:val="DefaultParagraphFont"/>
    <w:link w:val="Subtitle"/>
    <w:uiPriority w:val="11"/>
    <w:rsid w:val="00586C09"/>
    <w:rPr>
      <w:rFonts w:eastAsiaTheme="majorEastAsia" w:cstheme="majorBidi"/>
      <w:b/>
      <w:color w:val="000000" w:themeColor="text1"/>
      <w:spacing w:val="15"/>
      <w:sz w:val="22"/>
      <w:szCs w:val="28"/>
    </w:rPr>
  </w:style>
  <w:style w:type="paragraph" w:styleId="Quote">
    <w:name w:val="Quote"/>
    <w:basedOn w:val="Normal"/>
    <w:next w:val="Normal"/>
    <w:link w:val="QuoteChar"/>
    <w:uiPriority w:val="29"/>
    <w:qFormat/>
    <w:rsid w:val="00F44E70"/>
    <w:pPr>
      <w:spacing w:before="160"/>
      <w:jc w:val="center"/>
    </w:pPr>
    <w:rPr>
      <w:i/>
      <w:iCs/>
      <w:color w:val="404040" w:themeColor="text1" w:themeTint="BF"/>
    </w:rPr>
  </w:style>
  <w:style w:type="character" w:customStyle="1" w:styleId="QuoteChar">
    <w:name w:val="Quote Char"/>
    <w:basedOn w:val="DefaultParagraphFont"/>
    <w:link w:val="Quote"/>
    <w:uiPriority w:val="29"/>
    <w:rsid w:val="00F44E70"/>
    <w:rPr>
      <w:i/>
      <w:iCs/>
      <w:color w:val="404040" w:themeColor="text1" w:themeTint="BF"/>
    </w:rPr>
  </w:style>
  <w:style w:type="paragraph" w:styleId="ListParagraph">
    <w:name w:val="List Paragraph"/>
    <w:basedOn w:val="Normal"/>
    <w:uiPriority w:val="34"/>
    <w:qFormat/>
    <w:rsid w:val="00F44E70"/>
    <w:pPr>
      <w:ind w:left="720"/>
      <w:contextualSpacing/>
    </w:pPr>
  </w:style>
  <w:style w:type="character" w:styleId="IntenseEmphasis">
    <w:name w:val="Intense Emphasis"/>
    <w:basedOn w:val="DefaultParagraphFont"/>
    <w:uiPriority w:val="21"/>
    <w:qFormat/>
    <w:rsid w:val="00F44E70"/>
    <w:rPr>
      <w:i/>
      <w:iCs/>
      <w:color w:val="2F5496" w:themeColor="accent1" w:themeShade="BF"/>
    </w:rPr>
  </w:style>
  <w:style w:type="paragraph" w:styleId="IntenseQuote">
    <w:name w:val="Intense Quote"/>
    <w:basedOn w:val="Normal"/>
    <w:next w:val="Normal"/>
    <w:link w:val="IntenseQuoteChar"/>
    <w:uiPriority w:val="30"/>
    <w:qFormat/>
    <w:rsid w:val="00F44E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4E70"/>
    <w:rPr>
      <w:i/>
      <w:iCs/>
      <w:color w:val="2F5496" w:themeColor="accent1" w:themeShade="BF"/>
    </w:rPr>
  </w:style>
  <w:style w:type="character" w:styleId="IntenseReference">
    <w:name w:val="Intense Reference"/>
    <w:basedOn w:val="DefaultParagraphFont"/>
    <w:uiPriority w:val="32"/>
    <w:qFormat/>
    <w:rsid w:val="00F44E70"/>
    <w:rPr>
      <w:b/>
      <w:bCs/>
      <w:smallCaps/>
      <w:color w:val="2F5496" w:themeColor="accent1" w:themeShade="BF"/>
      <w:spacing w:val="5"/>
    </w:rPr>
  </w:style>
  <w:style w:type="paragraph" w:styleId="Header">
    <w:name w:val="header"/>
    <w:basedOn w:val="Normal"/>
    <w:link w:val="HeaderChar"/>
    <w:uiPriority w:val="99"/>
    <w:unhideWhenUsed/>
    <w:rsid w:val="00450DC0"/>
    <w:pPr>
      <w:tabs>
        <w:tab w:val="center" w:pos="4320"/>
        <w:tab w:val="right" w:pos="8640"/>
      </w:tabs>
    </w:pPr>
  </w:style>
  <w:style w:type="character" w:customStyle="1" w:styleId="HeaderChar">
    <w:name w:val="Header Char"/>
    <w:basedOn w:val="DefaultParagraphFont"/>
    <w:link w:val="Header"/>
    <w:uiPriority w:val="99"/>
    <w:rsid w:val="00450DC0"/>
  </w:style>
  <w:style w:type="paragraph" w:styleId="Footer">
    <w:name w:val="footer"/>
    <w:basedOn w:val="Normal"/>
    <w:link w:val="FooterChar"/>
    <w:uiPriority w:val="99"/>
    <w:unhideWhenUsed/>
    <w:rsid w:val="00450DC0"/>
    <w:pPr>
      <w:tabs>
        <w:tab w:val="center" w:pos="4320"/>
        <w:tab w:val="right" w:pos="8640"/>
      </w:tabs>
    </w:pPr>
  </w:style>
  <w:style w:type="character" w:customStyle="1" w:styleId="FooterChar">
    <w:name w:val="Footer Char"/>
    <w:basedOn w:val="DefaultParagraphFont"/>
    <w:link w:val="Footer"/>
    <w:uiPriority w:val="99"/>
    <w:rsid w:val="00450DC0"/>
  </w:style>
  <w:style w:type="character" w:styleId="Hyperlink">
    <w:name w:val="Hyperlink"/>
    <w:basedOn w:val="DefaultParagraphFont"/>
    <w:uiPriority w:val="99"/>
    <w:unhideWhenUsed/>
    <w:rsid w:val="00B76924"/>
    <w:rPr>
      <w:color w:val="0563C1" w:themeColor="hyperlink"/>
      <w:u w:val="single"/>
    </w:rPr>
  </w:style>
  <w:style w:type="character" w:customStyle="1" w:styleId="UnresolvedMention1">
    <w:name w:val="Unresolved Mention1"/>
    <w:basedOn w:val="DefaultParagraphFont"/>
    <w:uiPriority w:val="99"/>
    <w:semiHidden/>
    <w:unhideWhenUsed/>
    <w:rsid w:val="00B76924"/>
    <w:rPr>
      <w:color w:val="605E5C"/>
      <w:shd w:val="clear" w:color="auto" w:fill="E1DFDD"/>
    </w:rPr>
  </w:style>
  <w:style w:type="paragraph" w:styleId="NoSpacing">
    <w:name w:val="No Spacing"/>
    <w:aliases w:val="figures"/>
    <w:next w:val="Footer"/>
    <w:uiPriority w:val="1"/>
    <w:qFormat/>
    <w:rsid w:val="00861FB9"/>
    <w:pPr>
      <w:spacing w:after="0" w:line="240" w:lineRule="auto"/>
    </w:pPr>
    <w:rPr>
      <w:sz w:val="16"/>
    </w:rPr>
  </w:style>
  <w:style w:type="table" w:styleId="GridTable1Light">
    <w:name w:val="Grid Table 1 Light"/>
    <w:basedOn w:val="TableNormal"/>
    <w:uiPriority w:val="46"/>
    <w:rsid w:val="0057098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570981"/>
    <w:rPr>
      <w:sz w:val="16"/>
      <w:szCs w:val="16"/>
    </w:rPr>
  </w:style>
  <w:style w:type="paragraph" w:styleId="CommentText">
    <w:name w:val="annotation text"/>
    <w:basedOn w:val="Normal"/>
    <w:link w:val="CommentTextChar"/>
    <w:uiPriority w:val="99"/>
    <w:unhideWhenUsed/>
    <w:rsid w:val="00570981"/>
    <w:pPr>
      <w:spacing w:after="160"/>
    </w:pPr>
    <w:rPr>
      <w:rFonts w:eastAsiaTheme="minorHAnsi"/>
      <w:sz w:val="20"/>
      <w:szCs w:val="20"/>
      <w:lang w:val="fr-BE" w:eastAsia="en-US"/>
    </w:rPr>
  </w:style>
  <w:style w:type="character" w:customStyle="1" w:styleId="CommentTextChar">
    <w:name w:val="Comment Text Char"/>
    <w:basedOn w:val="DefaultParagraphFont"/>
    <w:link w:val="CommentText"/>
    <w:uiPriority w:val="99"/>
    <w:rsid w:val="00570981"/>
    <w:rPr>
      <w:rFonts w:eastAsiaTheme="minorHAnsi"/>
      <w:sz w:val="20"/>
      <w:szCs w:val="20"/>
      <w:lang w:val="fr-BE" w:eastAsia="en-US"/>
    </w:rPr>
  </w:style>
  <w:style w:type="paragraph" w:styleId="CommentSubject">
    <w:name w:val="annotation subject"/>
    <w:basedOn w:val="CommentText"/>
    <w:next w:val="CommentText"/>
    <w:link w:val="CommentSubjectChar"/>
    <w:uiPriority w:val="99"/>
    <w:semiHidden/>
    <w:unhideWhenUsed/>
    <w:rsid w:val="00DE083E"/>
    <w:pPr>
      <w:spacing w:after="0" w:line="240" w:lineRule="auto"/>
    </w:pPr>
    <w:rPr>
      <w:rFonts w:eastAsiaTheme="minorEastAsia"/>
      <w:b/>
      <w:bCs/>
      <w:lang w:val="en-US" w:eastAsia="zh-CN"/>
    </w:rPr>
  </w:style>
  <w:style w:type="character" w:customStyle="1" w:styleId="CommentSubjectChar">
    <w:name w:val="Comment Subject Char"/>
    <w:basedOn w:val="CommentTextChar"/>
    <w:link w:val="CommentSubject"/>
    <w:uiPriority w:val="99"/>
    <w:semiHidden/>
    <w:rsid w:val="00DE083E"/>
    <w:rPr>
      <w:rFonts w:eastAsiaTheme="minorHAnsi"/>
      <w:b/>
      <w:bCs/>
      <w:sz w:val="20"/>
      <w:szCs w:val="20"/>
      <w:lang w:val="fr-BE" w:eastAsia="en-US"/>
    </w:rPr>
  </w:style>
  <w:style w:type="table" w:styleId="TableGrid">
    <w:name w:val="Table Grid"/>
    <w:basedOn w:val="TableNormal"/>
    <w:uiPriority w:val="39"/>
    <w:rsid w:val="004226A3"/>
    <w:pPr>
      <w:spacing w:after="0" w:line="240" w:lineRule="auto"/>
    </w:pPr>
    <w:rPr>
      <w:rFonts w:eastAsiaTheme="minorHAnsi"/>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05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5B5"/>
    <w:rPr>
      <w:rFonts w:ascii="Segoe UI" w:hAnsi="Segoe UI" w:cs="Segoe UI"/>
      <w:sz w:val="18"/>
      <w:szCs w:val="18"/>
    </w:rPr>
  </w:style>
  <w:style w:type="paragraph" w:styleId="Revision">
    <w:name w:val="Revision"/>
    <w:hidden/>
    <w:uiPriority w:val="99"/>
    <w:semiHidden/>
    <w:rsid w:val="007D5EA9"/>
    <w:pPr>
      <w:spacing w:after="0" w:line="240" w:lineRule="auto"/>
    </w:pPr>
  </w:style>
  <w:style w:type="character" w:customStyle="1" w:styleId="UnresolvedMention2">
    <w:name w:val="Unresolved Mention2"/>
    <w:basedOn w:val="DefaultParagraphFont"/>
    <w:uiPriority w:val="99"/>
    <w:semiHidden/>
    <w:unhideWhenUsed/>
    <w:rsid w:val="00D7188D"/>
    <w:rPr>
      <w:color w:val="605E5C"/>
      <w:shd w:val="clear" w:color="auto" w:fill="E1DFDD"/>
    </w:rPr>
  </w:style>
  <w:style w:type="paragraph" w:styleId="FootnoteText">
    <w:name w:val="footnote text"/>
    <w:basedOn w:val="Normal"/>
    <w:link w:val="FootnoteTextChar"/>
    <w:uiPriority w:val="99"/>
    <w:semiHidden/>
    <w:unhideWhenUsed/>
    <w:rsid w:val="004F2FA9"/>
    <w:pPr>
      <w:spacing w:line="240" w:lineRule="auto"/>
    </w:pPr>
    <w:rPr>
      <w:sz w:val="20"/>
      <w:szCs w:val="20"/>
    </w:rPr>
  </w:style>
  <w:style w:type="character" w:customStyle="1" w:styleId="FootnoteTextChar">
    <w:name w:val="Footnote Text Char"/>
    <w:basedOn w:val="DefaultParagraphFont"/>
    <w:link w:val="FootnoteText"/>
    <w:uiPriority w:val="99"/>
    <w:semiHidden/>
    <w:rsid w:val="004F2FA9"/>
    <w:rPr>
      <w:sz w:val="20"/>
      <w:szCs w:val="20"/>
    </w:rPr>
  </w:style>
  <w:style w:type="character" w:styleId="FootnoteReference">
    <w:name w:val="footnote reference"/>
    <w:basedOn w:val="DefaultParagraphFont"/>
    <w:uiPriority w:val="99"/>
    <w:semiHidden/>
    <w:unhideWhenUsed/>
    <w:rsid w:val="004F2FA9"/>
    <w:rPr>
      <w:vertAlign w:val="superscript"/>
    </w:rPr>
  </w:style>
  <w:style w:type="character" w:customStyle="1" w:styleId="UnresolvedMention3">
    <w:name w:val="Unresolved Mention3"/>
    <w:basedOn w:val="DefaultParagraphFont"/>
    <w:uiPriority w:val="99"/>
    <w:semiHidden/>
    <w:unhideWhenUsed/>
    <w:rsid w:val="00754A9C"/>
    <w:rPr>
      <w:color w:val="605E5C"/>
      <w:shd w:val="clear" w:color="auto" w:fill="E1DFDD"/>
    </w:rPr>
  </w:style>
  <w:style w:type="paragraph" w:styleId="EndnoteText">
    <w:name w:val="endnote text"/>
    <w:basedOn w:val="Normal"/>
    <w:link w:val="EndnoteTextChar"/>
    <w:uiPriority w:val="99"/>
    <w:semiHidden/>
    <w:unhideWhenUsed/>
    <w:rsid w:val="00007C83"/>
    <w:pPr>
      <w:spacing w:line="240" w:lineRule="auto"/>
    </w:pPr>
    <w:rPr>
      <w:sz w:val="20"/>
      <w:szCs w:val="20"/>
    </w:rPr>
  </w:style>
  <w:style w:type="character" w:customStyle="1" w:styleId="EndnoteTextChar">
    <w:name w:val="Endnote Text Char"/>
    <w:basedOn w:val="DefaultParagraphFont"/>
    <w:link w:val="EndnoteText"/>
    <w:uiPriority w:val="99"/>
    <w:semiHidden/>
    <w:rsid w:val="00007C83"/>
    <w:rPr>
      <w:sz w:val="20"/>
      <w:szCs w:val="20"/>
    </w:rPr>
  </w:style>
  <w:style w:type="character" w:styleId="EndnoteReference">
    <w:name w:val="endnote reference"/>
    <w:basedOn w:val="DefaultParagraphFont"/>
    <w:uiPriority w:val="99"/>
    <w:semiHidden/>
    <w:unhideWhenUsed/>
    <w:rsid w:val="00007C83"/>
    <w:rPr>
      <w:vertAlign w:val="superscript"/>
    </w:rPr>
  </w:style>
  <w:style w:type="character" w:styleId="FollowedHyperlink">
    <w:name w:val="FollowedHyperlink"/>
    <w:basedOn w:val="DefaultParagraphFont"/>
    <w:uiPriority w:val="99"/>
    <w:semiHidden/>
    <w:unhideWhenUsed/>
    <w:rsid w:val="005B409A"/>
    <w:rPr>
      <w:color w:val="954F72" w:themeColor="followedHyperlink"/>
      <w:u w:val="single"/>
    </w:rPr>
  </w:style>
  <w:style w:type="character" w:styleId="UnresolvedMention">
    <w:name w:val="Unresolved Mention"/>
    <w:basedOn w:val="DefaultParagraphFont"/>
    <w:uiPriority w:val="99"/>
    <w:semiHidden/>
    <w:unhideWhenUsed/>
    <w:rsid w:val="004F1D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22709">
      <w:bodyDiv w:val="1"/>
      <w:marLeft w:val="0"/>
      <w:marRight w:val="0"/>
      <w:marTop w:val="0"/>
      <w:marBottom w:val="0"/>
      <w:divBdr>
        <w:top w:val="none" w:sz="0" w:space="0" w:color="auto"/>
        <w:left w:val="none" w:sz="0" w:space="0" w:color="auto"/>
        <w:bottom w:val="none" w:sz="0" w:space="0" w:color="auto"/>
        <w:right w:val="none" w:sz="0" w:space="0" w:color="auto"/>
      </w:divBdr>
      <w:divsChild>
        <w:div w:id="1264413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s://minds.testable.org/" TargetMode="External"/><Relationship Id="rId34" Type="http://schemas.openxmlformats.org/officeDocument/2006/relationships/hyperlink" Target="https://doi.org/10.1111/j.2044-8295.1986.tb02199.x" TargetMode="External"/><Relationship Id="rId42" Type="http://schemas.openxmlformats.org/officeDocument/2006/relationships/hyperlink" Target="https://doi.org/10.1016/j.cognition.2011.08.001" TargetMode="External"/><Relationship Id="rId47" Type="http://schemas.openxmlformats.org/officeDocument/2006/relationships/hyperlink" Target="https://doi.org/10.1080/17470210601117559" TargetMode="External"/><Relationship Id="rId50" Type="http://schemas.openxmlformats.org/officeDocument/2006/relationships/hyperlink" Target="https://doi.org/10.1007/s00426-014-0627-8" TargetMode="External"/><Relationship Id="rId55" Type="http://schemas.openxmlformats.org/officeDocument/2006/relationships/hyperlink" Target="https://doi.org/10.1186/s41235-024-00590-6" TargetMode="External"/><Relationship Id="rId63" Type="http://schemas.openxmlformats.org/officeDocument/2006/relationships/hyperlink" Target="http://doi.org/10.1177/0963721416688114" TargetMode="External"/><Relationship Id="rId7" Type="http://schemas.openxmlformats.org/officeDocument/2006/relationships/hyperlink" Target="https://orcid.org/0009-0008-3900-5200" TargetMode="External"/><Relationship Id="rId2" Type="http://schemas.openxmlformats.org/officeDocument/2006/relationships/styles" Target="styles.xml"/><Relationship Id="rId16" Type="http://schemas.openxmlformats.org/officeDocument/2006/relationships/hyperlink" Target="https://doi.org/10.58119/ULG/EFLCIJ" TargetMode="External"/><Relationship Id="rId29" Type="http://schemas.openxmlformats.org/officeDocument/2006/relationships/hyperlink" Target="https://osf.io/wezxs/?view_only=ba18fa36bfd3492f83e018e6dc4d5407" TargetMode="External"/><Relationship Id="rId11" Type="http://schemas.openxmlformats.org/officeDocument/2006/relationships/hyperlink" Target="https://doi.org/10.58119/ULG/EFLCIJ" TargetMode="External"/><Relationship Id="rId24" Type="http://schemas.openxmlformats.org/officeDocument/2006/relationships/hyperlink" Target="https://osf.io/wezxs/?view_only=ba18fa36bfd3492f83e018e6dc4d5407" TargetMode="External"/><Relationship Id="rId32" Type="http://schemas.openxmlformats.org/officeDocument/2006/relationships/hyperlink" Target="https://doi.org/10.1016/j.cognition.2016.12.012" TargetMode="External"/><Relationship Id="rId37" Type="http://schemas.openxmlformats.org/officeDocument/2006/relationships/hyperlink" Target="https://doi.org/10.1037/xge0000493" TargetMode="External"/><Relationship Id="rId40" Type="http://schemas.openxmlformats.org/officeDocument/2006/relationships/hyperlink" Target="https://doi.org/10.1016/j.cognition.2024.105816" TargetMode="External"/><Relationship Id="rId45" Type="http://schemas.openxmlformats.org/officeDocument/2006/relationships/hyperlink" Target="https://doi.org/10.1080/13506285.2016.1242522" TargetMode="External"/><Relationship Id="rId53" Type="http://schemas.openxmlformats.org/officeDocument/2006/relationships/hyperlink" Target="https://doi.org/10.1177/03010066241234034" TargetMode="External"/><Relationship Id="rId58" Type="http://schemas.openxmlformats.org/officeDocument/2006/relationships/hyperlink" Target="https://doi.org/10.1073/pnas.1721355115"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doi.org/10.1016/j.cognition.2015.05.002" TargetMode="External"/><Relationship Id="rId19" Type="http://schemas.openxmlformats.org/officeDocument/2006/relationships/hyperlink" Target="https://osf.io/wezxs/?view_only=ba18fa36bfd3492f83e018e6dc4d5407" TargetMode="External"/><Relationship Id="rId14" Type="http://schemas.openxmlformats.org/officeDocument/2006/relationships/hyperlink" Target="https://osf.io/preprints/psyarxiv/nbm5h_v1" TargetMode="External"/><Relationship Id="rId22" Type="http://schemas.openxmlformats.org/officeDocument/2006/relationships/image" Target="media/image2.png"/><Relationship Id="rId27" Type="http://schemas.openxmlformats.org/officeDocument/2006/relationships/hyperlink" Target="https://osf.io/wezxs/?view_only=ba18fa36bfd3492f83e018e6dc4d5407" TargetMode="External"/><Relationship Id="rId30" Type="http://schemas.openxmlformats.org/officeDocument/2006/relationships/hyperlink" Target="https://doi.org/10.1016/j.psychres.2015.12.035" TargetMode="External"/><Relationship Id="rId35" Type="http://schemas.openxmlformats.org/officeDocument/2006/relationships/hyperlink" Target="https://doi.org/10.1111/cogs.12231" TargetMode="External"/><Relationship Id="rId43" Type="http://schemas.openxmlformats.org/officeDocument/2006/relationships/hyperlink" Target="https://doi.org/10.1177/17470218251346749" TargetMode="External"/><Relationship Id="rId48" Type="http://schemas.openxmlformats.org/officeDocument/2006/relationships/hyperlink" Target="https://doi.org/10.58119/ULG/EFLCIJ" TargetMode="External"/><Relationship Id="rId56" Type="http://schemas.openxmlformats.org/officeDocument/2006/relationships/hyperlink" Target="https://doi.org/10.1037/xhp0000049" TargetMode="External"/><Relationship Id="rId64" Type="http://schemas.openxmlformats.org/officeDocument/2006/relationships/hyperlink" Target="https://doi.org/10.1177/09567976211030630" TargetMode="External"/><Relationship Id="rId8" Type="http://schemas.openxmlformats.org/officeDocument/2006/relationships/hyperlink" Target="https://orcid.org/0009-0004-3979-508X" TargetMode="External"/><Relationship Id="rId51" Type="http://schemas.openxmlformats.org/officeDocument/2006/relationships/hyperlink" Target="https://doi.org/10.1016/j.jecp.2017.10.012" TargetMode="External"/><Relationship Id="rId3" Type="http://schemas.openxmlformats.org/officeDocument/2006/relationships/settings" Target="settings.xml"/><Relationship Id="rId12" Type="http://schemas.openxmlformats.org/officeDocument/2006/relationships/hyperlink" Target="https://doi.org/10.17605/OSF.IO/V3ZAX" TargetMode="External"/><Relationship Id="rId17" Type="http://schemas.openxmlformats.org/officeDocument/2006/relationships/image" Target="media/image1.png"/><Relationship Id="rId25" Type="http://schemas.openxmlformats.org/officeDocument/2006/relationships/hyperlink" Target="https://doi.org/10.58119/ULG/EFLCIJ" TargetMode="External"/><Relationship Id="rId33" Type="http://schemas.openxmlformats.org/officeDocument/2006/relationships/hyperlink" Target="http://doi.org/10.1037/1076-898X.5.4.339" TargetMode="External"/><Relationship Id="rId38" Type="http://schemas.openxmlformats.org/officeDocument/2006/relationships/hyperlink" Target="https://doi.org/10.3389/fpsyg.2018.01355" TargetMode="External"/><Relationship Id="rId46" Type="http://schemas.openxmlformats.org/officeDocument/2006/relationships/hyperlink" Target="https://doi.org/10.1080/13506280344000149" TargetMode="External"/><Relationship Id="rId59" Type="http://schemas.openxmlformats.org/officeDocument/2006/relationships/hyperlink" Target="https://doi.org/10.31219/osf.io/6s8c7" TargetMode="External"/><Relationship Id="rId67" Type="http://schemas.openxmlformats.org/officeDocument/2006/relationships/theme" Target="theme/theme1.xml"/><Relationship Id="rId20" Type="http://schemas.openxmlformats.org/officeDocument/2006/relationships/hyperlink" Target="https://www.prolific.com/" TargetMode="External"/><Relationship Id="rId41" Type="http://schemas.openxmlformats.org/officeDocument/2006/relationships/hyperlink" Target="https://doi.org/10.1111/j.2044-8295.2011.02066.x" TargetMode="External"/><Relationship Id="rId54" Type="http://schemas.openxmlformats.org/officeDocument/2006/relationships/hyperlink" Target="https://doi.org/10.1080/17470218.2013.800125" TargetMode="External"/><Relationship Id="rId62" Type="http://schemas.openxmlformats.org/officeDocument/2006/relationships/hyperlink" Target="https://doi.org/10.3389/fpsyg.2014.00633"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osf.io/wezxs/" TargetMode="External"/><Relationship Id="rId23" Type="http://schemas.openxmlformats.org/officeDocument/2006/relationships/hyperlink" Target="https://osf.io/v3zax" TargetMode="External"/><Relationship Id="rId28" Type="http://schemas.openxmlformats.org/officeDocument/2006/relationships/hyperlink" Target="https://doi.org/10.58119/ULG/EFLCIJ" TargetMode="External"/><Relationship Id="rId36" Type="http://schemas.openxmlformats.org/officeDocument/2006/relationships/hyperlink" Target="https://doi.org/10.1016/j.cognition.2023.105569" TargetMode="External"/><Relationship Id="rId49" Type="http://schemas.openxmlformats.org/officeDocument/2006/relationships/hyperlink" Target="https://doi.org/10.31219/osf.io/4y9df_v3" TargetMode="External"/><Relationship Id="rId57" Type="http://schemas.openxmlformats.org/officeDocument/2006/relationships/hyperlink" Target="https://doi.org/10.1016/s1364-6613(02)01908-3" TargetMode="External"/><Relationship Id="rId10" Type="http://schemas.openxmlformats.org/officeDocument/2006/relationships/hyperlink" Target="mailto:cdevue@uliege.be" TargetMode="External"/><Relationship Id="rId31" Type="http://schemas.openxmlformats.org/officeDocument/2006/relationships/hyperlink" Target="http://doi.org/10.1037/0096-3445.104.1.54" TargetMode="External"/><Relationship Id="rId44" Type="http://schemas.openxmlformats.org/officeDocument/2006/relationships/hyperlink" Target="https://doi.org/10.1080/713756764" TargetMode="External"/><Relationship Id="rId52" Type="http://schemas.openxmlformats.org/officeDocument/2006/relationships/hyperlink" Target="https://doi.org/10.1111/bjop.12301" TargetMode="External"/><Relationship Id="rId60" Type="http://schemas.openxmlformats.org/officeDocument/2006/relationships/hyperlink" Target="https://doi.org/10.1080/17470218.2015.1136656"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rcid.org/0000-0001-7349-226X" TargetMode="External"/><Relationship Id="rId13" Type="http://schemas.openxmlformats.org/officeDocument/2006/relationships/hyperlink" Target="https://osf.io/wezxs/?view_only=ba18fa36bfd3492f83e018e6dc4d5407" TargetMode="External"/><Relationship Id="rId18" Type="http://schemas.openxmlformats.org/officeDocument/2006/relationships/hyperlink" Target="https://doi.org/10.58119/ULG/EFLCIJ" TargetMode="External"/><Relationship Id="rId39" Type="http://schemas.openxmlformats.org/officeDocument/2006/relationships/hyperlink" Target="https://doi.org/10.1080/17470218.2015.1017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D0E70-541D-4B37-A6F5-B161F7375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7654</Words>
  <Characters>47000</Characters>
  <Application>Microsoft Office Word</Application>
  <DocSecurity>0</DocSecurity>
  <Lines>796</Lines>
  <Paragraphs>267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Wenrui Li</dc:creator>
  <cp:keywords/>
  <dc:description/>
  <cp:lastModifiedBy>Wenrui Li</cp:lastModifiedBy>
  <cp:revision>3</cp:revision>
  <cp:lastPrinted>2026-07-13T08:29:00Z</cp:lastPrinted>
  <dcterms:created xsi:type="dcterms:W3CDTF">2026-07-13T08:31:00Z</dcterms:created>
  <dcterms:modified xsi:type="dcterms:W3CDTF">2026-07-13T09:06:00Z</dcterms:modified>
</cp:coreProperties>
</file>