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CF233" w14:textId="53E6DF0C" w:rsidR="00901701" w:rsidRPr="00871CF1" w:rsidRDefault="009642FD" w:rsidP="00E71F12">
      <w:pPr>
        <w:pStyle w:val="PubliManuscript"/>
        <w:spacing w:after="0" w:line="240" w:lineRule="auto"/>
        <w:ind w:firstLine="0"/>
        <w:jc w:val="center"/>
        <w:rPr>
          <w:b/>
          <w:color w:val="auto"/>
          <w:szCs w:val="22"/>
        </w:rPr>
      </w:pPr>
      <w:r w:rsidRPr="00871CF1">
        <w:rPr>
          <w:b/>
          <w:color w:val="auto"/>
          <w:szCs w:val="22"/>
        </w:rPr>
        <w:t>Agroecological transitions reveal trade-offs and synergies among ecosystem services</w:t>
      </w:r>
    </w:p>
    <w:p w14:paraId="5173E670" w14:textId="77777777" w:rsidR="00AA4794" w:rsidRPr="00871CF1" w:rsidRDefault="00AA4794" w:rsidP="00BC61AE">
      <w:pPr>
        <w:pStyle w:val="PubliManuscript"/>
        <w:spacing w:after="0" w:line="240" w:lineRule="auto"/>
        <w:ind w:firstLine="0"/>
        <w:jc w:val="center"/>
        <w:rPr>
          <w:bCs/>
          <w:color w:val="auto"/>
          <w:szCs w:val="22"/>
        </w:rPr>
      </w:pPr>
    </w:p>
    <w:p w14:paraId="5ABF4E04" w14:textId="087B0EA5" w:rsidR="00BC61AE" w:rsidRPr="00871CF1" w:rsidRDefault="00BC61AE" w:rsidP="00BC61AE">
      <w:pPr>
        <w:jc w:val="center"/>
        <w:rPr>
          <w:rFonts w:ascii="Times New Roman" w:hAnsi="Times New Roman"/>
          <w:color w:val="auto"/>
          <w:szCs w:val="22"/>
          <w:vertAlign w:val="superscript"/>
        </w:rPr>
      </w:pPr>
      <w:r w:rsidRPr="00871CF1">
        <w:rPr>
          <w:rFonts w:ascii="Times New Roman" w:hAnsi="Times New Roman"/>
          <w:color w:val="auto"/>
          <w:szCs w:val="22"/>
        </w:rPr>
        <w:t>Mathieu Delandmeter</w:t>
      </w:r>
      <w:r w:rsidRPr="00871CF1">
        <w:rPr>
          <w:rFonts w:ascii="Times New Roman" w:hAnsi="Times New Roman"/>
          <w:color w:val="auto"/>
          <w:szCs w:val="22"/>
          <w:vertAlign w:val="superscript"/>
        </w:rPr>
        <w:t>1</w:t>
      </w:r>
      <w:r w:rsidR="003C3AC3" w:rsidRPr="00871CF1">
        <w:rPr>
          <w:rFonts w:ascii="Times New Roman" w:hAnsi="Times New Roman"/>
          <w:color w:val="auto"/>
          <w:szCs w:val="22"/>
          <w:vertAlign w:val="superscript"/>
        </w:rPr>
        <w:t>,2</w:t>
      </w:r>
      <w:r w:rsidRPr="00871CF1">
        <w:rPr>
          <w:rFonts w:ascii="Times New Roman" w:hAnsi="Times New Roman"/>
          <w:color w:val="auto"/>
          <w:szCs w:val="22"/>
          <w:vertAlign w:val="superscript"/>
        </w:rPr>
        <w:t>*</w:t>
      </w:r>
      <w:r w:rsidRPr="00871CF1">
        <w:rPr>
          <w:rFonts w:ascii="Times New Roman" w:hAnsi="Times New Roman"/>
          <w:color w:val="auto"/>
          <w:szCs w:val="22"/>
        </w:rPr>
        <w:t xml:space="preserve">, </w:t>
      </w:r>
      <w:r w:rsidR="00956361" w:rsidRPr="00871CF1">
        <w:rPr>
          <w:rFonts w:ascii="Times New Roman" w:hAnsi="Times New Roman"/>
          <w:color w:val="auto"/>
          <w:szCs w:val="22"/>
        </w:rPr>
        <w:t>Bruno Basso</w:t>
      </w:r>
      <w:r w:rsidR="00956361" w:rsidRPr="00871CF1">
        <w:rPr>
          <w:rFonts w:ascii="Times New Roman" w:hAnsi="Times New Roman"/>
          <w:color w:val="auto"/>
          <w:szCs w:val="22"/>
          <w:vertAlign w:val="superscript"/>
        </w:rPr>
        <w:t>2</w:t>
      </w:r>
      <w:r w:rsidR="007052EB" w:rsidRPr="00871CF1">
        <w:rPr>
          <w:rFonts w:ascii="Times New Roman" w:hAnsi="Times New Roman"/>
          <w:color w:val="auto"/>
          <w:szCs w:val="22"/>
          <w:vertAlign w:val="superscript"/>
        </w:rPr>
        <w:t>,3</w:t>
      </w:r>
      <w:r w:rsidRPr="00871CF1">
        <w:rPr>
          <w:rFonts w:ascii="Times New Roman" w:hAnsi="Times New Roman"/>
          <w:color w:val="auto"/>
          <w:szCs w:val="22"/>
        </w:rPr>
        <w:t>,</w:t>
      </w:r>
      <w:r w:rsidR="00956361" w:rsidRPr="00871CF1">
        <w:rPr>
          <w:rFonts w:ascii="Times New Roman" w:hAnsi="Times New Roman"/>
          <w:color w:val="auto"/>
          <w:szCs w:val="22"/>
        </w:rPr>
        <w:t xml:space="preserve"> </w:t>
      </w:r>
      <w:r w:rsidRPr="00871CF1">
        <w:rPr>
          <w:rFonts w:ascii="Times New Roman" w:hAnsi="Times New Roman"/>
          <w:color w:val="auto"/>
          <w:szCs w:val="22"/>
        </w:rPr>
        <w:t>Jérôme Bindelle</w:t>
      </w:r>
      <w:r w:rsidR="007052EB" w:rsidRPr="00871CF1">
        <w:rPr>
          <w:rFonts w:ascii="Times New Roman" w:hAnsi="Times New Roman"/>
          <w:color w:val="auto"/>
          <w:szCs w:val="22"/>
          <w:vertAlign w:val="superscript"/>
        </w:rPr>
        <w:t>4</w:t>
      </w:r>
      <w:r w:rsidRPr="00871CF1">
        <w:rPr>
          <w:rFonts w:ascii="Times New Roman" w:hAnsi="Times New Roman"/>
          <w:color w:val="auto"/>
          <w:szCs w:val="22"/>
        </w:rPr>
        <w:t>, Benjamin Dumont</w:t>
      </w:r>
      <w:r w:rsidRPr="00871CF1">
        <w:rPr>
          <w:rFonts w:ascii="Times New Roman" w:hAnsi="Times New Roman"/>
          <w:color w:val="auto"/>
          <w:szCs w:val="22"/>
          <w:vertAlign w:val="superscript"/>
        </w:rPr>
        <w:t>1</w:t>
      </w:r>
    </w:p>
    <w:p w14:paraId="7820CC23" w14:textId="0792320D" w:rsidR="00BC61AE" w:rsidRPr="00871CF1" w:rsidRDefault="00336007" w:rsidP="00BC61AE">
      <w:pPr>
        <w:jc w:val="both"/>
        <w:rPr>
          <w:rFonts w:ascii="Times New Roman" w:hAnsi="Times New Roman"/>
          <w:color w:val="auto"/>
          <w:szCs w:val="22"/>
        </w:rPr>
      </w:pPr>
      <w:r w:rsidRPr="00871CF1">
        <w:rPr>
          <w:rFonts w:ascii="Times New Roman" w:hAnsi="Times New Roman"/>
          <w:color w:val="auto"/>
          <w:szCs w:val="22"/>
          <w:vertAlign w:val="superscript"/>
        </w:rPr>
        <w:t>1</w:t>
      </w:r>
      <w:r w:rsidRPr="00871CF1">
        <w:rPr>
          <w:rFonts w:ascii="Times New Roman" w:hAnsi="Times New Roman"/>
          <w:color w:val="auto"/>
          <w:szCs w:val="22"/>
        </w:rPr>
        <w:t xml:space="preserve"> Liege </w:t>
      </w:r>
      <w:r w:rsidR="00BC61AE" w:rsidRPr="00871CF1">
        <w:rPr>
          <w:rFonts w:ascii="Times New Roman" w:hAnsi="Times New Roman"/>
          <w:color w:val="auto"/>
          <w:szCs w:val="22"/>
        </w:rPr>
        <w:t xml:space="preserve">University, Gembloux </w:t>
      </w:r>
      <w:proofErr w:type="spellStart"/>
      <w:r w:rsidR="00BC61AE" w:rsidRPr="00871CF1">
        <w:rPr>
          <w:rFonts w:ascii="Times New Roman" w:hAnsi="Times New Roman"/>
          <w:color w:val="auto"/>
          <w:szCs w:val="22"/>
        </w:rPr>
        <w:t>Agro</w:t>
      </w:r>
      <w:proofErr w:type="spellEnd"/>
      <w:r w:rsidR="00BC61AE" w:rsidRPr="00871CF1">
        <w:rPr>
          <w:rFonts w:ascii="Times New Roman" w:hAnsi="Times New Roman"/>
          <w:color w:val="auto"/>
          <w:szCs w:val="22"/>
        </w:rPr>
        <w:t>-Bio Tech, TERRA Teaching and Research Centre, Plant Sciences/Crop Science, Gembloux, Belgium</w:t>
      </w:r>
    </w:p>
    <w:p w14:paraId="2F4D5487" w14:textId="58060027" w:rsidR="004353DA" w:rsidRPr="00871CF1" w:rsidRDefault="004353DA" w:rsidP="00BC61AE">
      <w:pPr>
        <w:jc w:val="both"/>
        <w:rPr>
          <w:rFonts w:ascii="Times New Roman" w:hAnsi="Times New Roman"/>
          <w:color w:val="auto"/>
          <w:szCs w:val="22"/>
        </w:rPr>
      </w:pPr>
      <w:r w:rsidRPr="00871CF1">
        <w:rPr>
          <w:rFonts w:ascii="Times New Roman" w:hAnsi="Times New Roman"/>
          <w:color w:val="auto"/>
          <w:szCs w:val="22"/>
          <w:vertAlign w:val="superscript"/>
        </w:rPr>
        <w:t>2</w:t>
      </w:r>
      <w:r w:rsidRPr="00871CF1">
        <w:rPr>
          <w:rFonts w:ascii="Times New Roman" w:hAnsi="Times New Roman"/>
          <w:color w:val="auto"/>
          <w:szCs w:val="22"/>
        </w:rPr>
        <w:t xml:space="preserve"> Dept. Earth and Environmental Sciences, Michigan State University, East Lansing, MI 48823, USA</w:t>
      </w:r>
    </w:p>
    <w:p w14:paraId="3F3EDD25" w14:textId="024D351F" w:rsidR="00685049" w:rsidRPr="00871CF1" w:rsidRDefault="00E747D0" w:rsidP="00BC61AE">
      <w:pPr>
        <w:jc w:val="both"/>
        <w:rPr>
          <w:rFonts w:ascii="Times New Roman" w:hAnsi="Times New Roman"/>
          <w:color w:val="auto"/>
          <w:szCs w:val="22"/>
        </w:rPr>
      </w:pPr>
      <w:r w:rsidRPr="00871CF1">
        <w:rPr>
          <w:rFonts w:ascii="Times New Roman" w:hAnsi="Times New Roman"/>
          <w:color w:val="auto"/>
          <w:szCs w:val="22"/>
          <w:vertAlign w:val="superscript"/>
        </w:rPr>
        <w:t>3</w:t>
      </w:r>
      <w:r w:rsidRPr="00871CF1">
        <w:rPr>
          <w:rFonts w:ascii="Times New Roman" w:hAnsi="Times New Roman"/>
          <w:color w:val="auto"/>
          <w:szCs w:val="22"/>
        </w:rPr>
        <w:t xml:space="preserve"> </w:t>
      </w:r>
      <w:r w:rsidR="00685049" w:rsidRPr="00871CF1">
        <w:rPr>
          <w:rFonts w:ascii="Times New Roman" w:hAnsi="Times New Roman"/>
          <w:color w:val="auto"/>
          <w:szCs w:val="22"/>
        </w:rPr>
        <w:t>W.K. Kellogg Biological Station, Michigan State University, Hickory Corners, MI 49060, USA</w:t>
      </w:r>
    </w:p>
    <w:p w14:paraId="1D444F02" w14:textId="6D397901" w:rsidR="00BC61AE" w:rsidRPr="00871CF1" w:rsidRDefault="0064538E" w:rsidP="00BC61AE">
      <w:pPr>
        <w:jc w:val="both"/>
        <w:rPr>
          <w:rFonts w:ascii="Times New Roman" w:hAnsi="Times New Roman"/>
          <w:color w:val="auto"/>
          <w:szCs w:val="22"/>
        </w:rPr>
      </w:pPr>
      <w:r w:rsidRPr="00871CF1">
        <w:rPr>
          <w:rFonts w:ascii="Times New Roman" w:hAnsi="Times New Roman"/>
          <w:color w:val="auto"/>
          <w:szCs w:val="22"/>
          <w:vertAlign w:val="superscript"/>
        </w:rPr>
        <w:t>4</w:t>
      </w:r>
      <w:r w:rsidR="00353A5C" w:rsidRPr="00871CF1">
        <w:rPr>
          <w:rFonts w:ascii="Times New Roman" w:hAnsi="Times New Roman"/>
          <w:color w:val="auto"/>
          <w:szCs w:val="22"/>
        </w:rPr>
        <w:t xml:space="preserve"> </w:t>
      </w:r>
      <w:r w:rsidR="00066B5D" w:rsidRPr="00871CF1">
        <w:rPr>
          <w:rFonts w:ascii="Times New Roman" w:hAnsi="Times New Roman"/>
          <w:color w:val="auto"/>
          <w:szCs w:val="22"/>
        </w:rPr>
        <w:t xml:space="preserve">Liege </w:t>
      </w:r>
      <w:r w:rsidR="00BC61AE" w:rsidRPr="00871CF1">
        <w:rPr>
          <w:rFonts w:ascii="Times New Roman" w:hAnsi="Times New Roman"/>
          <w:color w:val="auto"/>
          <w:szCs w:val="22"/>
        </w:rPr>
        <w:t xml:space="preserve">University, Gembloux </w:t>
      </w:r>
      <w:proofErr w:type="spellStart"/>
      <w:r w:rsidR="00BC61AE" w:rsidRPr="00871CF1">
        <w:rPr>
          <w:rFonts w:ascii="Times New Roman" w:hAnsi="Times New Roman"/>
          <w:color w:val="auto"/>
          <w:szCs w:val="22"/>
        </w:rPr>
        <w:t>Agro</w:t>
      </w:r>
      <w:proofErr w:type="spellEnd"/>
      <w:r w:rsidR="00BC61AE" w:rsidRPr="00871CF1">
        <w:rPr>
          <w:rFonts w:ascii="Times New Roman" w:hAnsi="Times New Roman"/>
          <w:color w:val="auto"/>
          <w:szCs w:val="22"/>
        </w:rPr>
        <w:t>-Bio Tech, TERRA Teaching and Research Centre, Animal Sciences, Gembloux, Belgium</w:t>
      </w:r>
    </w:p>
    <w:p w14:paraId="4A259D32" w14:textId="3B866802" w:rsidR="003404F5" w:rsidRPr="00871CF1" w:rsidRDefault="00402180" w:rsidP="006703B9">
      <w:pPr>
        <w:pStyle w:val="PubliManuscript"/>
        <w:spacing w:after="0" w:line="240" w:lineRule="auto"/>
        <w:ind w:firstLine="0"/>
        <w:jc w:val="left"/>
        <w:rPr>
          <w:b/>
          <w:color w:val="auto"/>
          <w:szCs w:val="22"/>
          <w:lang w:val="fr-BE"/>
        </w:rPr>
      </w:pPr>
      <w:r w:rsidRPr="00871CF1">
        <w:rPr>
          <w:color w:val="auto"/>
          <w:szCs w:val="22"/>
          <w:vertAlign w:val="superscript"/>
          <w:lang w:val="fr-BE"/>
        </w:rPr>
        <w:t>*</w:t>
      </w:r>
      <w:r w:rsidR="00AE309F" w:rsidRPr="00871CF1">
        <w:rPr>
          <w:color w:val="auto"/>
          <w:szCs w:val="22"/>
          <w:vertAlign w:val="superscript"/>
          <w:lang w:val="fr-BE"/>
        </w:rPr>
        <w:t xml:space="preserve">  </w:t>
      </w:r>
      <w:r w:rsidR="00BC61AE" w:rsidRPr="00871CF1">
        <w:rPr>
          <w:color w:val="auto"/>
          <w:szCs w:val="22"/>
          <w:lang w:val="fr-BE"/>
        </w:rPr>
        <w:t xml:space="preserve">Passage des Déportés 2, 5030 Gembloux, </w:t>
      </w:r>
      <w:proofErr w:type="spellStart"/>
      <w:r w:rsidR="00BC61AE" w:rsidRPr="00871CF1">
        <w:rPr>
          <w:color w:val="auto"/>
          <w:szCs w:val="22"/>
          <w:lang w:val="fr-BE"/>
        </w:rPr>
        <w:t>Belgium</w:t>
      </w:r>
      <w:proofErr w:type="spellEnd"/>
      <w:r w:rsidR="00BC61AE" w:rsidRPr="00871CF1">
        <w:rPr>
          <w:color w:val="auto"/>
          <w:szCs w:val="22"/>
          <w:lang w:val="fr-BE"/>
        </w:rPr>
        <w:t xml:space="preserve"> - </w:t>
      </w:r>
      <w:proofErr w:type="gramStart"/>
      <w:r w:rsidR="00BC61AE" w:rsidRPr="00871CF1">
        <w:rPr>
          <w:color w:val="auto"/>
          <w:szCs w:val="22"/>
          <w:lang w:val="fr-BE"/>
        </w:rPr>
        <w:t>@:</w:t>
      </w:r>
      <w:proofErr w:type="gramEnd"/>
      <w:r w:rsidR="00BC61AE" w:rsidRPr="00871CF1">
        <w:rPr>
          <w:color w:val="auto"/>
          <w:szCs w:val="22"/>
          <w:lang w:val="fr-BE"/>
        </w:rPr>
        <w:t xml:space="preserve"> </w:t>
      </w:r>
      <w:hyperlink r:id="rId6" w:history="1">
        <w:r w:rsidR="00506BC5" w:rsidRPr="00871CF1">
          <w:rPr>
            <w:rStyle w:val="Lienhypertexte"/>
            <w:color w:val="auto"/>
            <w:szCs w:val="22"/>
            <w:u w:val="none"/>
            <w:lang w:val="fr-BE"/>
          </w:rPr>
          <w:t>mathieu.delandmeter@gmail.com</w:t>
        </w:r>
      </w:hyperlink>
      <w:r w:rsidR="00BC61AE" w:rsidRPr="00871CF1">
        <w:rPr>
          <w:color w:val="auto"/>
          <w:szCs w:val="22"/>
          <w:lang w:val="fr-BE"/>
        </w:rPr>
        <w:t xml:space="preserve"> </w:t>
      </w:r>
    </w:p>
    <w:p w14:paraId="36D5C9F3" w14:textId="7A78B436" w:rsidR="00BC61AE" w:rsidRPr="00871CF1" w:rsidRDefault="00BC61AE" w:rsidP="00BC61AE">
      <w:pPr>
        <w:pStyle w:val="PubliManuscript"/>
        <w:spacing w:after="0" w:line="240" w:lineRule="auto"/>
        <w:ind w:firstLine="0"/>
        <w:rPr>
          <w:b/>
          <w:color w:val="auto"/>
          <w:szCs w:val="22"/>
        </w:rPr>
      </w:pPr>
      <w:r w:rsidRPr="00871CF1">
        <w:rPr>
          <w:b/>
          <w:color w:val="auto"/>
          <w:szCs w:val="22"/>
        </w:rPr>
        <w:t>Abstract</w:t>
      </w:r>
    </w:p>
    <w:p w14:paraId="0C1D3576" w14:textId="2CB6EE0B" w:rsidR="00FF1792" w:rsidRPr="00871CF1" w:rsidRDefault="000C06DF" w:rsidP="00FF1792">
      <w:pPr>
        <w:pStyle w:val="PubliManuscript"/>
        <w:spacing w:after="0" w:line="240" w:lineRule="auto"/>
        <w:ind w:firstLine="0"/>
        <w:rPr>
          <w:color w:val="auto"/>
        </w:rPr>
      </w:pPr>
      <w:r w:rsidRPr="00871CF1">
        <w:rPr>
          <w:color w:val="auto"/>
        </w:rPr>
        <w:t>The management of agroecosystems not only shapes the ecosystem services they provide</w:t>
      </w:r>
      <w:r w:rsidR="00C9163A" w:rsidRPr="00871CF1">
        <w:rPr>
          <w:color w:val="auto"/>
        </w:rPr>
        <w:t xml:space="preserve"> – e.g.,</w:t>
      </w:r>
      <w:r w:rsidR="000667BC" w:rsidRPr="00871CF1">
        <w:rPr>
          <w:color w:val="auto"/>
        </w:rPr>
        <w:t xml:space="preserve"> food production and soil carbon</w:t>
      </w:r>
      <w:r w:rsidR="00F4511A" w:rsidRPr="00871CF1">
        <w:rPr>
          <w:color w:val="auto"/>
        </w:rPr>
        <w:t xml:space="preserve"> (C)</w:t>
      </w:r>
      <w:r w:rsidR="000667BC" w:rsidRPr="00871CF1">
        <w:rPr>
          <w:color w:val="auto"/>
        </w:rPr>
        <w:t xml:space="preserve"> sequestration</w:t>
      </w:r>
      <w:r w:rsidR="00C9163A" w:rsidRPr="00871CF1">
        <w:rPr>
          <w:color w:val="auto"/>
        </w:rPr>
        <w:t xml:space="preserve"> –</w:t>
      </w:r>
      <w:r w:rsidRPr="00871CF1">
        <w:rPr>
          <w:color w:val="auto"/>
        </w:rPr>
        <w:t xml:space="preserve"> but also determines the environmental impacts they generate</w:t>
      </w:r>
      <w:r w:rsidR="00C9163A" w:rsidRPr="00871CF1">
        <w:rPr>
          <w:color w:val="auto"/>
        </w:rPr>
        <w:t xml:space="preserve"> – e.g., nitrate leaching and greenhouse gas</w:t>
      </w:r>
      <w:r w:rsidR="00AF296D" w:rsidRPr="00871CF1">
        <w:rPr>
          <w:color w:val="auto"/>
        </w:rPr>
        <w:t xml:space="preserve"> (GHG)</w:t>
      </w:r>
      <w:r w:rsidR="00C9163A" w:rsidRPr="00871CF1">
        <w:rPr>
          <w:color w:val="auto"/>
        </w:rPr>
        <w:t xml:space="preserve"> emissions.</w:t>
      </w:r>
      <w:r w:rsidR="0036586B" w:rsidRPr="00871CF1">
        <w:rPr>
          <w:color w:val="auto"/>
        </w:rPr>
        <w:t xml:space="preserve"> Here, using </w:t>
      </w:r>
      <w:r w:rsidR="00E764B2" w:rsidRPr="00871CF1">
        <w:rPr>
          <w:color w:val="auto"/>
        </w:rPr>
        <w:t xml:space="preserve">soil-crop </w:t>
      </w:r>
      <w:r w:rsidR="004245A4" w:rsidRPr="00871CF1">
        <w:rPr>
          <w:color w:val="auto"/>
        </w:rPr>
        <w:t xml:space="preserve">simulations from </w:t>
      </w:r>
      <w:r w:rsidR="004A2E7B" w:rsidRPr="00871CF1">
        <w:rPr>
          <w:color w:val="auto"/>
        </w:rPr>
        <w:t>the</w:t>
      </w:r>
      <w:r w:rsidR="004245A4" w:rsidRPr="00871CF1">
        <w:rPr>
          <w:color w:val="auto"/>
        </w:rPr>
        <w:t xml:space="preserve"> validated </w:t>
      </w:r>
      <w:r w:rsidR="004A2E7B" w:rsidRPr="00871CF1">
        <w:rPr>
          <w:color w:val="auto"/>
        </w:rPr>
        <w:t xml:space="preserve">STICS </w:t>
      </w:r>
      <w:r w:rsidR="004245A4" w:rsidRPr="00871CF1">
        <w:rPr>
          <w:color w:val="auto"/>
        </w:rPr>
        <w:t>model</w:t>
      </w:r>
      <w:r w:rsidR="0036586B" w:rsidRPr="00871CF1">
        <w:rPr>
          <w:color w:val="auto"/>
        </w:rPr>
        <w:t xml:space="preserve">, we compare eight crop rotations over 541,800 hectares in southern Belgium. </w:t>
      </w:r>
      <w:r w:rsidR="00436B97" w:rsidRPr="00871CF1">
        <w:rPr>
          <w:color w:val="auto"/>
        </w:rPr>
        <w:t xml:space="preserve">Starting from a conventional and intensive crop rotation, we examined the impacts of progressively adopting various agroecological levers in crop rotations. They range from efficiency improvements – reducing </w:t>
      </w:r>
      <w:r w:rsidR="00D65B20" w:rsidRPr="00871CF1">
        <w:rPr>
          <w:color w:val="auto"/>
        </w:rPr>
        <w:t>nitrogen (</w:t>
      </w:r>
      <w:r w:rsidR="00436B97" w:rsidRPr="00871CF1">
        <w:rPr>
          <w:color w:val="auto"/>
        </w:rPr>
        <w:t>N</w:t>
      </w:r>
      <w:r w:rsidR="00D65B20" w:rsidRPr="00871CF1">
        <w:rPr>
          <w:color w:val="auto"/>
        </w:rPr>
        <w:t>)</w:t>
      </w:r>
      <w:r w:rsidR="00436B97" w:rsidRPr="00871CF1">
        <w:rPr>
          <w:color w:val="auto"/>
        </w:rPr>
        <w:t xml:space="preserve"> fertilization, to agroecosystems redesign – increasing crop diversity and integrating pastures and livestock</w:t>
      </w:r>
      <w:r w:rsidR="00F2799A" w:rsidRPr="00871CF1">
        <w:rPr>
          <w:color w:val="auto"/>
        </w:rPr>
        <w:t xml:space="preserve"> under different modalities</w:t>
      </w:r>
      <w:r w:rsidR="00436B97" w:rsidRPr="00871CF1">
        <w:rPr>
          <w:color w:val="auto"/>
        </w:rPr>
        <w:t>.</w:t>
      </w:r>
      <w:r w:rsidR="00D65B20" w:rsidRPr="00871CF1">
        <w:rPr>
          <w:color w:val="auto"/>
        </w:rPr>
        <w:t xml:space="preserve"> R</w:t>
      </w:r>
      <w:r w:rsidR="00905C53" w:rsidRPr="00871CF1">
        <w:rPr>
          <w:color w:val="auto"/>
        </w:rPr>
        <w:t>esults show that r</w:t>
      </w:r>
      <w:r w:rsidR="00D65B20" w:rsidRPr="00871CF1">
        <w:rPr>
          <w:color w:val="auto"/>
        </w:rPr>
        <w:t>educ</w:t>
      </w:r>
      <w:r w:rsidR="00AF296D" w:rsidRPr="00871CF1">
        <w:rPr>
          <w:color w:val="auto"/>
        </w:rPr>
        <w:t xml:space="preserve">ed N fertilization lowers </w:t>
      </w:r>
      <w:r w:rsidR="00F56AAF" w:rsidRPr="00871CF1">
        <w:rPr>
          <w:color w:val="auto"/>
        </w:rPr>
        <w:t>GHG emissions and nitrate leaching, but also reduces productivity and hence soil organic carbon.</w:t>
      </w:r>
      <w:r w:rsidR="00A16501" w:rsidRPr="00871CF1">
        <w:rPr>
          <w:color w:val="auto"/>
        </w:rPr>
        <w:t xml:space="preserve"> Deeper agroecosystem transformations – crop diversification and, to a further extent, integrated crop-livestock systems (ICLS)</w:t>
      </w:r>
      <w:r w:rsidR="003F2B72" w:rsidRPr="00871CF1">
        <w:rPr>
          <w:color w:val="auto"/>
        </w:rPr>
        <w:t xml:space="preserve"> –</w:t>
      </w:r>
      <w:r w:rsidR="00A16501" w:rsidRPr="00871CF1">
        <w:rPr>
          <w:color w:val="auto"/>
        </w:rPr>
        <w:t xml:space="preserve"> </w:t>
      </w:r>
      <w:r w:rsidR="003826B8" w:rsidRPr="00871CF1">
        <w:rPr>
          <w:color w:val="auto"/>
        </w:rPr>
        <w:t xml:space="preserve">further </w:t>
      </w:r>
      <w:r w:rsidR="005E2E75" w:rsidRPr="00871CF1">
        <w:rPr>
          <w:color w:val="auto"/>
        </w:rPr>
        <w:t>amplify</w:t>
      </w:r>
      <w:r w:rsidR="005E04F8" w:rsidRPr="00871CF1">
        <w:rPr>
          <w:color w:val="auto"/>
        </w:rPr>
        <w:t xml:space="preserve"> the reductions of GHG emissions and nitrate leaching, while also </w:t>
      </w:r>
      <w:r w:rsidR="00A16501" w:rsidRPr="00871CF1">
        <w:rPr>
          <w:color w:val="auto"/>
        </w:rPr>
        <w:t>enhanc</w:t>
      </w:r>
      <w:r w:rsidR="005E04F8" w:rsidRPr="00871CF1">
        <w:rPr>
          <w:color w:val="auto"/>
        </w:rPr>
        <w:t>ing</w:t>
      </w:r>
      <w:r w:rsidR="00A16501" w:rsidRPr="00871CF1">
        <w:rPr>
          <w:color w:val="auto"/>
        </w:rPr>
        <w:t xml:space="preserve"> SOC </w:t>
      </w:r>
      <w:r w:rsidR="0024130A" w:rsidRPr="00871CF1">
        <w:rPr>
          <w:color w:val="auto"/>
        </w:rPr>
        <w:t>and increasing the stability of the productivity</w:t>
      </w:r>
      <w:r w:rsidR="00873AF1" w:rsidRPr="00871CF1">
        <w:rPr>
          <w:color w:val="auto"/>
        </w:rPr>
        <w:t>.</w:t>
      </w:r>
      <w:r w:rsidR="007E6C68" w:rsidRPr="00871CF1">
        <w:rPr>
          <w:color w:val="auto"/>
        </w:rPr>
        <w:t xml:space="preserve"> </w:t>
      </w:r>
      <w:r w:rsidR="002B1EE6" w:rsidRPr="00871CF1">
        <w:rPr>
          <w:color w:val="auto"/>
        </w:rPr>
        <w:t xml:space="preserve">While the primary environmental benefits of crop diversification stem from reduced N fertilizer use, ICLS are crucial for overcoming the traditional trade-off between </w:t>
      </w:r>
      <w:r w:rsidR="00F4511A" w:rsidRPr="00871CF1">
        <w:rPr>
          <w:color w:val="auto"/>
        </w:rPr>
        <w:t>C</w:t>
      </w:r>
      <w:r w:rsidR="002B1EE6" w:rsidRPr="00871CF1">
        <w:rPr>
          <w:color w:val="auto"/>
        </w:rPr>
        <w:t xml:space="preserve"> storage and </w:t>
      </w:r>
      <w:r w:rsidR="002D14BF" w:rsidRPr="00871CF1">
        <w:rPr>
          <w:color w:val="auto"/>
        </w:rPr>
        <w:t>N</w:t>
      </w:r>
      <w:r w:rsidR="002B1EE6" w:rsidRPr="00871CF1">
        <w:rPr>
          <w:color w:val="auto"/>
        </w:rPr>
        <w:t xml:space="preserve"> supply</w:t>
      </w:r>
      <w:r w:rsidR="002D14BF" w:rsidRPr="00871CF1">
        <w:rPr>
          <w:color w:val="auto"/>
        </w:rPr>
        <w:t>.</w:t>
      </w:r>
      <w:r w:rsidR="001F0085" w:rsidRPr="00871CF1">
        <w:rPr>
          <w:color w:val="auto"/>
        </w:rPr>
        <w:t xml:space="preserve"> </w:t>
      </w:r>
      <w:r w:rsidR="00F5599C" w:rsidRPr="00871CF1">
        <w:rPr>
          <w:color w:val="auto"/>
        </w:rPr>
        <w:t xml:space="preserve">However, the advantages of ICLS largely depend on how pastures are managed regarding to grazing or mowing practices. </w:t>
      </w:r>
      <w:r w:rsidR="00102C21" w:rsidRPr="00871CF1">
        <w:rPr>
          <w:color w:val="auto"/>
        </w:rPr>
        <w:t xml:space="preserve">Our study </w:t>
      </w:r>
      <w:r w:rsidR="003D0C99" w:rsidRPr="00871CF1">
        <w:rPr>
          <w:color w:val="auto"/>
        </w:rPr>
        <w:t>measures</w:t>
      </w:r>
      <w:r w:rsidR="00102C21" w:rsidRPr="00871CF1">
        <w:rPr>
          <w:color w:val="auto"/>
        </w:rPr>
        <w:t xml:space="preserve"> over large </w:t>
      </w:r>
      <w:proofErr w:type="spellStart"/>
      <w:r w:rsidR="00102C21" w:rsidRPr="00871CF1">
        <w:rPr>
          <w:color w:val="auto"/>
        </w:rPr>
        <w:t>spatio</w:t>
      </w:r>
      <w:proofErr w:type="spellEnd"/>
      <w:r w:rsidR="00102C21" w:rsidRPr="00871CF1">
        <w:rPr>
          <w:color w:val="auto"/>
        </w:rPr>
        <w:t>-temporal scales the trade-offs between maximizing productivity and minimizing environmental impacts</w:t>
      </w:r>
      <w:r w:rsidR="001F0085" w:rsidRPr="00871CF1">
        <w:rPr>
          <w:color w:val="auto"/>
        </w:rPr>
        <w:t xml:space="preserve">. </w:t>
      </w:r>
      <w:r w:rsidR="00FF1792" w:rsidRPr="00871CF1">
        <w:rPr>
          <w:color w:val="auto"/>
        </w:rPr>
        <w:t xml:space="preserve">By quantifying the environmental benefits and economic losses of gradually adopting these agroecological practices, </w:t>
      </w:r>
      <w:r w:rsidR="00007681" w:rsidRPr="00871CF1">
        <w:rPr>
          <w:color w:val="auto"/>
        </w:rPr>
        <w:t xml:space="preserve">it </w:t>
      </w:r>
      <w:r w:rsidR="00FF1792" w:rsidRPr="00871CF1">
        <w:rPr>
          <w:color w:val="auto"/>
        </w:rPr>
        <w:t>show</w:t>
      </w:r>
      <w:r w:rsidR="00007681" w:rsidRPr="00871CF1">
        <w:rPr>
          <w:color w:val="auto"/>
        </w:rPr>
        <w:t>s</w:t>
      </w:r>
      <w:r w:rsidR="00FF1792" w:rsidRPr="00871CF1">
        <w:rPr>
          <w:color w:val="auto"/>
        </w:rPr>
        <w:t xml:space="preserve"> that broader adoption would require financial support for farmers and/or internalizing the environmental costs of agroecosystems.</w:t>
      </w:r>
    </w:p>
    <w:p w14:paraId="6B671541" w14:textId="60DD5C8A" w:rsidR="005A094F" w:rsidRPr="00871CF1" w:rsidRDefault="005A094F" w:rsidP="00BC61AE">
      <w:pPr>
        <w:pStyle w:val="PubliManuscript"/>
        <w:spacing w:after="0" w:line="240" w:lineRule="auto"/>
        <w:ind w:firstLine="0"/>
        <w:rPr>
          <w:b/>
          <w:color w:val="auto"/>
          <w:szCs w:val="22"/>
        </w:rPr>
      </w:pPr>
      <w:r w:rsidRPr="00871CF1">
        <w:rPr>
          <w:b/>
          <w:color w:val="auto"/>
          <w:szCs w:val="22"/>
        </w:rPr>
        <w:t>Keywords</w:t>
      </w:r>
    </w:p>
    <w:p w14:paraId="7B3192B1" w14:textId="2958164B" w:rsidR="00C909FD" w:rsidRPr="00871CF1" w:rsidRDefault="00A77595" w:rsidP="00831FCC">
      <w:pPr>
        <w:pStyle w:val="PubliManuscript"/>
        <w:spacing w:after="0" w:line="240" w:lineRule="auto"/>
        <w:ind w:firstLine="0"/>
        <w:rPr>
          <w:b/>
          <w:color w:val="auto"/>
          <w:szCs w:val="22"/>
        </w:rPr>
      </w:pPr>
      <w:r w:rsidRPr="00871CF1">
        <w:rPr>
          <w:color w:val="auto"/>
          <w:szCs w:val="22"/>
        </w:rPr>
        <w:t xml:space="preserve">Agroecology; </w:t>
      </w:r>
      <w:r w:rsidR="00772319" w:rsidRPr="00871CF1">
        <w:rPr>
          <w:color w:val="auto"/>
          <w:szCs w:val="22"/>
        </w:rPr>
        <w:t xml:space="preserve">Ecosystem services; </w:t>
      </w:r>
      <w:r w:rsidRPr="00871CF1">
        <w:rPr>
          <w:color w:val="auto"/>
          <w:szCs w:val="22"/>
        </w:rPr>
        <w:t xml:space="preserve">Crop </w:t>
      </w:r>
      <w:r w:rsidR="00E847E5" w:rsidRPr="00871CF1">
        <w:rPr>
          <w:color w:val="auto"/>
          <w:szCs w:val="22"/>
        </w:rPr>
        <w:t>diversification</w:t>
      </w:r>
      <w:r w:rsidRPr="00871CF1">
        <w:rPr>
          <w:color w:val="auto"/>
          <w:szCs w:val="22"/>
        </w:rPr>
        <w:t xml:space="preserve">; Crop-livestock integration; </w:t>
      </w:r>
      <w:r w:rsidR="00BC0141" w:rsidRPr="00871CF1">
        <w:rPr>
          <w:color w:val="auto"/>
          <w:szCs w:val="22"/>
        </w:rPr>
        <w:t xml:space="preserve">Crop model; </w:t>
      </w:r>
      <w:r w:rsidR="00A52001" w:rsidRPr="00871CF1">
        <w:rPr>
          <w:color w:val="auto"/>
          <w:szCs w:val="22"/>
        </w:rPr>
        <w:t>Greenhouse gas; Nitrogen fertilization</w:t>
      </w:r>
      <w:r w:rsidR="00C909FD" w:rsidRPr="00871CF1">
        <w:rPr>
          <w:color w:val="auto"/>
          <w:szCs w:val="22"/>
        </w:rPr>
        <w:br w:type="page"/>
      </w:r>
    </w:p>
    <w:p w14:paraId="1377D755" w14:textId="2C1DAF15" w:rsidR="00B55524" w:rsidRPr="00871CF1" w:rsidRDefault="00BC61AE" w:rsidP="009C74A4">
      <w:pPr>
        <w:pStyle w:val="Publi1"/>
        <w:spacing w:line="240" w:lineRule="auto"/>
        <w:rPr>
          <w:rFonts w:cs="Times New Roman"/>
          <w:sz w:val="22"/>
          <w:szCs w:val="22"/>
        </w:rPr>
      </w:pPr>
      <w:r w:rsidRPr="00871CF1">
        <w:rPr>
          <w:rFonts w:cs="Times New Roman"/>
          <w:sz w:val="22"/>
          <w:szCs w:val="22"/>
        </w:rPr>
        <w:lastRenderedPageBreak/>
        <w:t>Introduction</w:t>
      </w:r>
    </w:p>
    <w:p w14:paraId="4E9D01AD" w14:textId="796637C3" w:rsidR="00CD3354" w:rsidRPr="00871CF1" w:rsidRDefault="00B31C18" w:rsidP="00CD3354">
      <w:pPr>
        <w:pStyle w:val="PubliManuscript"/>
        <w:rPr>
          <w:color w:val="auto"/>
        </w:rPr>
      </w:pPr>
      <w:bookmarkStart w:id="0" w:name="_Hlk226546111"/>
      <w:r w:rsidRPr="00871CF1">
        <w:rPr>
          <w:color w:val="auto"/>
        </w:rPr>
        <w:t>Agroecosystems</w:t>
      </w:r>
      <w:r w:rsidR="00C9400C" w:rsidRPr="00871CF1">
        <w:rPr>
          <w:color w:val="auto"/>
        </w:rPr>
        <w:t xml:space="preserve"> deliver multiple ecosystem services</w:t>
      </w:r>
      <w:r w:rsidR="00466B17" w:rsidRPr="00871CF1">
        <w:rPr>
          <w:color w:val="auto"/>
        </w:rPr>
        <w:t xml:space="preserve"> (ES)</w:t>
      </w:r>
      <w:r w:rsidR="00C9400C" w:rsidRPr="00871CF1">
        <w:rPr>
          <w:color w:val="auto"/>
        </w:rPr>
        <w:t xml:space="preserve">, either provisioning </w:t>
      </w:r>
      <w:r w:rsidR="006F4A97" w:rsidRPr="00871CF1">
        <w:rPr>
          <w:color w:val="auto"/>
        </w:rPr>
        <w:t xml:space="preserve">(e.g., </w:t>
      </w:r>
      <w:r w:rsidR="00D010CC" w:rsidRPr="00871CF1">
        <w:rPr>
          <w:color w:val="auto"/>
        </w:rPr>
        <w:t>food, feed, fiber and even fuel production</w:t>
      </w:r>
      <w:r w:rsidR="006A267D" w:rsidRPr="00871CF1">
        <w:rPr>
          <w:color w:val="auto"/>
        </w:rPr>
        <w:t>)</w:t>
      </w:r>
      <w:r w:rsidR="00C9400C" w:rsidRPr="00871CF1">
        <w:rPr>
          <w:color w:val="auto"/>
        </w:rPr>
        <w:t xml:space="preserve">, supporting </w:t>
      </w:r>
      <w:r w:rsidR="00F13DB1" w:rsidRPr="00871CF1">
        <w:rPr>
          <w:color w:val="auto"/>
        </w:rPr>
        <w:t xml:space="preserve">(e.g., </w:t>
      </w:r>
      <w:r w:rsidR="00553EAC" w:rsidRPr="00871CF1">
        <w:rPr>
          <w:color w:val="auto"/>
        </w:rPr>
        <w:t>nutrient cycling</w:t>
      </w:r>
      <w:r w:rsidR="00331214" w:rsidRPr="00871CF1">
        <w:rPr>
          <w:color w:val="auto"/>
        </w:rPr>
        <w:t xml:space="preserve"> and </w:t>
      </w:r>
      <w:r w:rsidR="00841D98" w:rsidRPr="00871CF1">
        <w:rPr>
          <w:color w:val="auto"/>
        </w:rPr>
        <w:t>soil fertility</w:t>
      </w:r>
      <w:r w:rsidR="00D12DF7" w:rsidRPr="00871CF1">
        <w:rPr>
          <w:color w:val="auto"/>
        </w:rPr>
        <w:t xml:space="preserve">), </w:t>
      </w:r>
      <w:r w:rsidR="00C9400C" w:rsidRPr="00871CF1">
        <w:rPr>
          <w:color w:val="auto"/>
        </w:rPr>
        <w:t xml:space="preserve">or regulating </w:t>
      </w:r>
      <w:r w:rsidR="00D12DF7" w:rsidRPr="00871CF1">
        <w:rPr>
          <w:color w:val="auto"/>
        </w:rPr>
        <w:t>(e.g.,</w:t>
      </w:r>
      <w:r w:rsidR="00C9400C" w:rsidRPr="00871CF1">
        <w:rPr>
          <w:color w:val="auto"/>
        </w:rPr>
        <w:t xml:space="preserve"> </w:t>
      </w:r>
      <w:r w:rsidR="0076410D" w:rsidRPr="00871CF1">
        <w:rPr>
          <w:color w:val="auto"/>
        </w:rPr>
        <w:t>climate change mitigation</w:t>
      </w:r>
      <w:r w:rsidR="005E540D" w:rsidRPr="00871CF1">
        <w:rPr>
          <w:color w:val="auto"/>
        </w:rPr>
        <w:t xml:space="preserve"> and</w:t>
      </w:r>
      <w:r w:rsidR="0076410D" w:rsidRPr="00871CF1">
        <w:rPr>
          <w:color w:val="auto"/>
        </w:rPr>
        <w:t xml:space="preserve"> </w:t>
      </w:r>
      <w:r w:rsidR="00B1306F" w:rsidRPr="00871CF1">
        <w:rPr>
          <w:color w:val="auto"/>
        </w:rPr>
        <w:t>pollination</w:t>
      </w:r>
      <w:r w:rsidR="002F1E79" w:rsidRPr="00871CF1">
        <w:rPr>
          <w:color w:val="auto"/>
        </w:rPr>
        <w:t xml:space="preserve">) </w:t>
      </w:r>
      <w:r w:rsidR="00B1306F" w:rsidRPr="00871CF1">
        <w:rPr>
          <w:color w:val="auto"/>
        </w:rPr>
        <w:t>(Zhang et al., 2007)</w:t>
      </w:r>
      <w:r w:rsidR="00C9400C" w:rsidRPr="00871CF1">
        <w:rPr>
          <w:color w:val="auto"/>
        </w:rPr>
        <w:t>.</w:t>
      </w:r>
      <w:r w:rsidR="0076410D" w:rsidRPr="00871CF1">
        <w:rPr>
          <w:color w:val="auto"/>
        </w:rPr>
        <w:t xml:space="preserve"> </w:t>
      </w:r>
      <w:bookmarkEnd w:id="0"/>
      <w:r w:rsidR="0076410D" w:rsidRPr="00871CF1">
        <w:rPr>
          <w:color w:val="auto"/>
        </w:rPr>
        <w:t xml:space="preserve">Yet </w:t>
      </w:r>
      <w:r w:rsidR="00DE2EDA" w:rsidRPr="00871CF1">
        <w:rPr>
          <w:color w:val="auto"/>
        </w:rPr>
        <w:t>agriculture also generate</w:t>
      </w:r>
      <w:r w:rsidR="00420C83" w:rsidRPr="00871CF1">
        <w:rPr>
          <w:color w:val="auto"/>
        </w:rPr>
        <w:t>s</w:t>
      </w:r>
      <w:r w:rsidR="00DE2EDA" w:rsidRPr="00871CF1">
        <w:rPr>
          <w:color w:val="auto"/>
        </w:rPr>
        <w:t xml:space="preserve"> dis</w:t>
      </w:r>
      <w:r w:rsidR="00701964" w:rsidRPr="00871CF1">
        <w:rPr>
          <w:color w:val="auto"/>
        </w:rPr>
        <w:t xml:space="preserve">-services, among which </w:t>
      </w:r>
      <w:r w:rsidR="004F3BF4" w:rsidRPr="00871CF1">
        <w:rPr>
          <w:color w:val="auto"/>
        </w:rPr>
        <w:t xml:space="preserve">greenhouse gas </w:t>
      </w:r>
      <w:r w:rsidR="00320A06" w:rsidRPr="00871CF1">
        <w:rPr>
          <w:color w:val="auto"/>
        </w:rPr>
        <w:t xml:space="preserve">(GHG) </w:t>
      </w:r>
      <w:r w:rsidR="004F3BF4" w:rsidRPr="00871CF1">
        <w:rPr>
          <w:color w:val="auto"/>
        </w:rPr>
        <w:t xml:space="preserve">emissions, </w:t>
      </w:r>
      <w:r w:rsidR="00701964" w:rsidRPr="00871CF1">
        <w:rPr>
          <w:color w:val="auto"/>
        </w:rPr>
        <w:t>nutrient runoff, pesticide poisoning</w:t>
      </w:r>
      <w:r w:rsidR="00324F32" w:rsidRPr="00871CF1">
        <w:rPr>
          <w:color w:val="auto"/>
        </w:rPr>
        <w:t xml:space="preserve"> or wildlife habitat loss (</w:t>
      </w:r>
      <w:r w:rsidR="00693D11" w:rsidRPr="00871CF1">
        <w:rPr>
          <w:color w:val="auto"/>
        </w:rPr>
        <w:t xml:space="preserve">Crippa et al., 2021; </w:t>
      </w:r>
      <w:r w:rsidR="00324F32" w:rsidRPr="00871CF1">
        <w:rPr>
          <w:color w:val="auto"/>
        </w:rPr>
        <w:t>Zhang et al., 2007).</w:t>
      </w:r>
      <w:r w:rsidR="00194427" w:rsidRPr="00871CF1">
        <w:rPr>
          <w:color w:val="auto"/>
        </w:rPr>
        <w:t xml:space="preserve"> These were particularly exacerbated through the specialization that agriculture has undergone over recent decades (Naylor et al., 2005; </w:t>
      </w:r>
      <w:r w:rsidR="006A0B31" w:rsidRPr="00871CF1">
        <w:rPr>
          <w:color w:val="auto"/>
        </w:rPr>
        <w:t>Foley et al., 2011</w:t>
      </w:r>
      <w:r w:rsidR="00194427" w:rsidRPr="00871CF1">
        <w:rPr>
          <w:color w:val="auto"/>
        </w:rPr>
        <w:t>).</w:t>
      </w:r>
      <w:r w:rsidR="00094417" w:rsidRPr="00871CF1">
        <w:rPr>
          <w:color w:val="auto"/>
        </w:rPr>
        <w:t xml:space="preserve"> To counteract these effects, there is growing recognition that shifting toward more diverse and intricate agricultural systems is essential for balancing food production with environmental sustainability (Barbieri et al., 2017; Gaudin et al., 2015). Strategies that enhance variation over time and space in cropping systems</w:t>
      </w:r>
      <w:r w:rsidR="00DE376B" w:rsidRPr="00871CF1">
        <w:rPr>
          <w:color w:val="auto"/>
        </w:rPr>
        <w:t xml:space="preserve"> </w:t>
      </w:r>
      <w:r w:rsidR="005B07AB" w:rsidRPr="00871CF1">
        <w:rPr>
          <w:color w:val="auto"/>
        </w:rPr>
        <w:t>include</w:t>
      </w:r>
      <w:r w:rsidR="00094417" w:rsidRPr="00871CF1">
        <w:rPr>
          <w:color w:val="auto"/>
        </w:rPr>
        <w:t xml:space="preserve"> </w:t>
      </w:r>
      <w:r w:rsidR="0076743E" w:rsidRPr="00871CF1">
        <w:rPr>
          <w:color w:val="auto"/>
        </w:rPr>
        <w:t xml:space="preserve">diversifying crop rotations, </w:t>
      </w:r>
      <w:r w:rsidR="00094417" w:rsidRPr="00871CF1">
        <w:rPr>
          <w:color w:val="auto"/>
        </w:rPr>
        <w:t xml:space="preserve">incorporating more perennial plants, maintaining soil </w:t>
      </w:r>
      <w:proofErr w:type="gramStart"/>
      <w:r w:rsidR="00094417" w:rsidRPr="00871CF1">
        <w:rPr>
          <w:color w:val="auto"/>
        </w:rPr>
        <w:t>cover</w:t>
      </w:r>
      <w:proofErr w:type="gramEnd"/>
      <w:r w:rsidR="0042375B" w:rsidRPr="00871CF1">
        <w:rPr>
          <w:color w:val="auto"/>
        </w:rPr>
        <w:t xml:space="preserve"> </w:t>
      </w:r>
      <w:r w:rsidR="00E5778E" w:rsidRPr="00871CF1">
        <w:rPr>
          <w:color w:val="auto"/>
        </w:rPr>
        <w:t>or</w:t>
      </w:r>
      <w:r w:rsidR="00094417" w:rsidRPr="00871CF1">
        <w:rPr>
          <w:color w:val="auto"/>
        </w:rPr>
        <w:t xml:space="preserve"> reducing reliance on synthetic inputs</w:t>
      </w:r>
      <w:r w:rsidR="00E05484" w:rsidRPr="00871CF1">
        <w:rPr>
          <w:color w:val="auto"/>
        </w:rPr>
        <w:t>. They</w:t>
      </w:r>
      <w:r w:rsidR="00AE6ED9" w:rsidRPr="00871CF1">
        <w:rPr>
          <w:color w:val="auto"/>
        </w:rPr>
        <w:t xml:space="preserve"> </w:t>
      </w:r>
      <w:r w:rsidR="00094417" w:rsidRPr="00871CF1">
        <w:rPr>
          <w:color w:val="auto"/>
        </w:rPr>
        <w:t>can improve how efficiently nutrients and water are used, suppress weed and disease outbreaks, and strengthen soil structure and overall health</w:t>
      </w:r>
      <w:r w:rsidR="008459F3" w:rsidRPr="00871CF1">
        <w:rPr>
          <w:color w:val="auto"/>
        </w:rPr>
        <w:t xml:space="preserve"> (Liu et al., 2022; Malisch et al., 2024)</w:t>
      </w:r>
      <w:r w:rsidR="00094417" w:rsidRPr="00871CF1">
        <w:rPr>
          <w:color w:val="auto"/>
        </w:rPr>
        <w:t>. Integrated crop-livestock systems (ICLS) capitalize on the natural interactions between plants and animals, for instance, by allowing livestock to repurpose byproducts unsuitable for human consumption</w:t>
      </w:r>
      <w:r w:rsidR="00570EC2" w:rsidRPr="00871CF1">
        <w:rPr>
          <w:color w:val="auto"/>
        </w:rPr>
        <w:t xml:space="preserve"> (</w:t>
      </w:r>
      <w:proofErr w:type="spellStart"/>
      <w:r w:rsidR="00570EC2" w:rsidRPr="00871CF1">
        <w:rPr>
          <w:color w:val="auto"/>
        </w:rPr>
        <w:t>Bonaudo</w:t>
      </w:r>
      <w:proofErr w:type="spellEnd"/>
      <w:r w:rsidR="00570EC2" w:rsidRPr="00871CF1">
        <w:rPr>
          <w:color w:val="auto"/>
        </w:rPr>
        <w:t xml:space="preserve"> et al., 2014)</w:t>
      </w:r>
      <w:r w:rsidR="00094417" w:rsidRPr="00871CF1">
        <w:rPr>
          <w:color w:val="auto"/>
        </w:rPr>
        <w:t xml:space="preserve">. These systems offer multiple ecological and economic advantages, including better nutrient recycling, more diverse income opportunities, </w:t>
      </w:r>
      <w:r w:rsidR="00CD4A66" w:rsidRPr="00871CF1">
        <w:rPr>
          <w:color w:val="auto"/>
        </w:rPr>
        <w:t>and less dependence on external inputs (</w:t>
      </w:r>
      <w:r w:rsidR="00611A68" w:rsidRPr="00871CF1">
        <w:rPr>
          <w:color w:val="auto"/>
        </w:rPr>
        <w:t>Mori et al., 2025;</w:t>
      </w:r>
      <w:r w:rsidR="004D11CA" w:rsidRPr="00871CF1">
        <w:rPr>
          <w:color w:val="auto"/>
        </w:rPr>
        <w:t xml:space="preserve"> </w:t>
      </w:r>
      <w:proofErr w:type="spellStart"/>
      <w:r w:rsidR="004D11CA" w:rsidRPr="00871CF1">
        <w:rPr>
          <w:color w:val="auto"/>
        </w:rPr>
        <w:t>Franzluebbers</w:t>
      </w:r>
      <w:proofErr w:type="spellEnd"/>
      <w:r w:rsidR="004D11CA" w:rsidRPr="00871CF1">
        <w:rPr>
          <w:color w:val="auto"/>
        </w:rPr>
        <w:t xml:space="preserve"> and Hendrickson, 2024; </w:t>
      </w:r>
      <w:r w:rsidR="00FD1F26" w:rsidRPr="00871CF1">
        <w:rPr>
          <w:color w:val="auto"/>
        </w:rPr>
        <w:t>Sekaran et al., 2021</w:t>
      </w:r>
      <w:r w:rsidR="00CD4A66" w:rsidRPr="00871CF1">
        <w:rPr>
          <w:color w:val="auto"/>
        </w:rPr>
        <w:t>)</w:t>
      </w:r>
      <w:r w:rsidR="00094417" w:rsidRPr="00871CF1">
        <w:rPr>
          <w:color w:val="auto"/>
        </w:rPr>
        <w:t>.</w:t>
      </w:r>
      <w:r w:rsidR="00ED763D" w:rsidRPr="00871CF1">
        <w:rPr>
          <w:color w:val="auto"/>
        </w:rPr>
        <w:t xml:space="preserve"> </w:t>
      </w:r>
      <w:r w:rsidR="00BD75EC" w:rsidRPr="00871CF1">
        <w:rPr>
          <w:color w:val="auto"/>
        </w:rPr>
        <w:t xml:space="preserve">However, evidence remains limited regarding the advantages and drawbacks of ICLS compared with cash-crop systems across different contexts, not only in terms of productivity but also with respect to other ES, including </w:t>
      </w:r>
      <w:r w:rsidR="005E07DF" w:rsidRPr="00871CF1">
        <w:rPr>
          <w:color w:val="auto"/>
        </w:rPr>
        <w:t>GHG</w:t>
      </w:r>
      <w:r w:rsidR="00BD75EC" w:rsidRPr="00871CF1">
        <w:rPr>
          <w:color w:val="auto"/>
        </w:rPr>
        <w:t xml:space="preserve"> emissions such as methane from livestock.</w:t>
      </w:r>
    </w:p>
    <w:p w14:paraId="254296CF" w14:textId="5C731266" w:rsidR="00251D13" w:rsidRPr="00871CF1" w:rsidRDefault="00B45E5C" w:rsidP="00B45E5C">
      <w:pPr>
        <w:pStyle w:val="PubliManuscript"/>
        <w:rPr>
          <w:color w:val="auto"/>
          <w:highlight w:val="yellow"/>
        </w:rPr>
      </w:pPr>
      <w:r w:rsidRPr="00871CF1">
        <w:rPr>
          <w:color w:val="auto"/>
        </w:rPr>
        <w:t xml:space="preserve">Management practices shape </w:t>
      </w:r>
      <w:r w:rsidR="008950C5" w:rsidRPr="00871CF1">
        <w:rPr>
          <w:color w:val="auto"/>
        </w:rPr>
        <w:t>ES</w:t>
      </w:r>
      <w:r w:rsidRPr="00871CF1">
        <w:rPr>
          <w:color w:val="auto"/>
        </w:rPr>
        <w:t>, often leading to trade-offs and synergies where the enhancement of one ES positively or negatively affects another (Power, 2010). These interactions commonly arise between provisioning services on one hand and regulating or cultural services</w:t>
      </w:r>
      <w:r w:rsidR="003B71B2" w:rsidRPr="00871CF1">
        <w:rPr>
          <w:color w:val="auto"/>
        </w:rPr>
        <w:t xml:space="preserve"> – </w:t>
      </w:r>
      <w:r w:rsidRPr="00871CF1">
        <w:rPr>
          <w:color w:val="auto"/>
        </w:rPr>
        <w:t>such as biodiversity conservation, water purification, and soil conservation</w:t>
      </w:r>
      <w:r w:rsidR="003B71B2" w:rsidRPr="00871CF1">
        <w:rPr>
          <w:color w:val="auto"/>
        </w:rPr>
        <w:t xml:space="preserve"> – </w:t>
      </w:r>
      <w:r w:rsidRPr="00871CF1">
        <w:rPr>
          <w:color w:val="auto"/>
        </w:rPr>
        <w:t xml:space="preserve">on the other (Power, 2010). </w:t>
      </w:r>
      <w:r w:rsidR="00AC4789" w:rsidRPr="00871CF1">
        <w:rPr>
          <w:color w:val="auto"/>
        </w:rPr>
        <w:t xml:space="preserve">Reviewing the literature on how ES trade-offs and synergies are assessed, Dade et al. (2019) found that most studies rely on non-mechanistic approaches – such as correlation and overlap analyses – that </w:t>
      </w:r>
      <w:r w:rsidR="00AC4789" w:rsidRPr="00871CF1">
        <w:rPr>
          <w:color w:val="auto"/>
        </w:rPr>
        <w:lastRenderedPageBreak/>
        <w:t xml:space="preserve">cannot uncover the causal drivers or underlying mechanisms shaping relationships among ES. While some controlled experiments have been conducted, they are constrained by the limited range of variables they examine and are not well suited to capturing the broader spatial scales relevant to certain ES. </w:t>
      </w:r>
      <w:r w:rsidR="00AB28AF" w:rsidRPr="00871CF1">
        <w:rPr>
          <w:color w:val="auto"/>
        </w:rPr>
        <w:t>Dade et al. (2019)</w:t>
      </w:r>
      <w:r w:rsidR="00AC4789" w:rsidRPr="00871CF1">
        <w:rPr>
          <w:color w:val="auto"/>
        </w:rPr>
        <w:t xml:space="preserve"> instead advocate for the use of mechanistic approaches, including process-based models, which are better suited to identifying and characterizing the effects of these causal drivers.</w:t>
      </w:r>
      <w:r w:rsidR="008C1CEA" w:rsidRPr="00871CF1">
        <w:rPr>
          <w:color w:val="auto"/>
        </w:rPr>
        <w:t xml:space="preserve"> </w:t>
      </w:r>
      <w:r w:rsidR="00DC0978" w:rsidRPr="00871CF1">
        <w:rPr>
          <w:color w:val="auto"/>
        </w:rPr>
        <w:t>Only a small number of such studies exist. For example, Kragt and Robertson (2014), using the APSIM biophysical farm-systems model</w:t>
      </w:r>
      <w:r w:rsidR="00A23D87" w:rsidRPr="00871CF1">
        <w:rPr>
          <w:color w:val="auto"/>
        </w:rPr>
        <w:t xml:space="preserve"> in Australia</w:t>
      </w:r>
      <w:r w:rsidR="00DC0978" w:rsidRPr="00871CF1">
        <w:rPr>
          <w:color w:val="auto"/>
        </w:rPr>
        <w:t xml:space="preserve">, show that increasing the share of perennial pastures in crop rotations can enhance </w:t>
      </w:r>
      <w:r w:rsidR="00B86191" w:rsidRPr="00871CF1">
        <w:rPr>
          <w:color w:val="auto"/>
        </w:rPr>
        <w:t>ES</w:t>
      </w:r>
      <w:r w:rsidR="00DC0978" w:rsidRPr="00871CF1">
        <w:rPr>
          <w:color w:val="auto"/>
        </w:rPr>
        <w:t xml:space="preserve"> provision, but at the expense of reduced production value for farmers. </w:t>
      </w:r>
      <w:r w:rsidR="00A23D87" w:rsidRPr="00871CF1">
        <w:rPr>
          <w:color w:val="auto"/>
        </w:rPr>
        <w:t xml:space="preserve">Another study used the </w:t>
      </w:r>
      <w:proofErr w:type="spellStart"/>
      <w:r w:rsidR="00A23D87" w:rsidRPr="00871CF1">
        <w:rPr>
          <w:color w:val="auto"/>
        </w:rPr>
        <w:t>DayCent</w:t>
      </w:r>
      <w:proofErr w:type="spellEnd"/>
      <w:r w:rsidR="00A23D87" w:rsidRPr="00871CF1">
        <w:rPr>
          <w:color w:val="auto"/>
        </w:rPr>
        <w:t xml:space="preserve"> process-based model to quantify and optimize ES from irrigated corn production systems in Colorado, USA (Nguyen et al., 2018). </w:t>
      </w:r>
      <w:r w:rsidR="00DC0978" w:rsidRPr="00871CF1">
        <w:rPr>
          <w:color w:val="auto"/>
        </w:rPr>
        <w:t xml:space="preserve">However, these studies remain scarce and typically focus on a limited number of sites, which may not be representative of larger regions. </w:t>
      </w:r>
      <w:r w:rsidR="008C1CEA" w:rsidRPr="00871CF1">
        <w:rPr>
          <w:color w:val="auto"/>
        </w:rPr>
        <w:t>It</w:t>
      </w:r>
      <w:r w:rsidRPr="00871CF1">
        <w:rPr>
          <w:color w:val="auto"/>
        </w:rPr>
        <w:t xml:space="preserve"> is crucial to assess these trade-offs and synergies in terms of their spatial and temporal scales, as well as their reversibility (Rodriguez et al., 2006). How quickly do these dynamics emerge? Are they consistent across locations, or do they depend on site-specific pedoclimatic conditions that influence the capacity to generate a given ES (Nelson et al., 2009)</w:t>
      </w:r>
      <w:r w:rsidR="00BE4F81" w:rsidRPr="00871CF1">
        <w:rPr>
          <w:color w:val="auto"/>
        </w:rPr>
        <w:t xml:space="preserve">? There is a </w:t>
      </w:r>
      <w:r w:rsidR="00F72087" w:rsidRPr="00871CF1">
        <w:rPr>
          <w:color w:val="auto"/>
        </w:rPr>
        <w:t>need for</w:t>
      </w:r>
      <w:r w:rsidR="00BE4F81" w:rsidRPr="00871CF1">
        <w:rPr>
          <w:color w:val="auto"/>
        </w:rPr>
        <w:t xml:space="preserve"> studies that explore these questions across large </w:t>
      </w:r>
      <w:proofErr w:type="spellStart"/>
      <w:r w:rsidR="00BE4F81" w:rsidRPr="00871CF1">
        <w:rPr>
          <w:color w:val="auto"/>
        </w:rPr>
        <w:t>spatio</w:t>
      </w:r>
      <w:proofErr w:type="spellEnd"/>
      <w:r w:rsidR="00BE4F81" w:rsidRPr="00871CF1">
        <w:rPr>
          <w:color w:val="auto"/>
        </w:rPr>
        <w:t xml:space="preserve">-temporal scales while maintaining a granular level of detail. Additionally, we need research that examines the individual impacts of diverse agroecological levers to better understand their role in agroecosystem performance. This would complement systemic comparisons, which can make it difficult to discern the specific drivers of </w:t>
      </w:r>
      <w:r w:rsidR="00632077" w:rsidRPr="00871CF1">
        <w:rPr>
          <w:color w:val="auto"/>
        </w:rPr>
        <w:t xml:space="preserve">ES </w:t>
      </w:r>
      <w:r w:rsidR="00BE4F81" w:rsidRPr="00871CF1">
        <w:rPr>
          <w:color w:val="auto"/>
        </w:rPr>
        <w:t>outcomes.</w:t>
      </w:r>
      <w:r w:rsidR="00D74DDC" w:rsidRPr="00871CF1">
        <w:rPr>
          <w:color w:val="auto"/>
          <w:highlight w:val="yellow"/>
        </w:rPr>
        <w:t xml:space="preserve"> </w:t>
      </w:r>
      <w:r w:rsidR="00643FE3" w:rsidRPr="00871CF1">
        <w:rPr>
          <w:color w:val="auto"/>
          <w:highlight w:val="yellow"/>
        </w:rPr>
        <w:t xml:space="preserve">  </w:t>
      </w:r>
      <w:r w:rsidR="00C56B17" w:rsidRPr="00871CF1">
        <w:rPr>
          <w:color w:val="auto"/>
          <w:highlight w:val="yellow"/>
        </w:rPr>
        <w:t xml:space="preserve"> </w:t>
      </w:r>
    </w:p>
    <w:p w14:paraId="673FD009" w14:textId="14367456" w:rsidR="00B46F0D" w:rsidRPr="00871CF1" w:rsidRDefault="00F21C69" w:rsidP="00B46F0D">
      <w:pPr>
        <w:pStyle w:val="PubliManuscript"/>
        <w:rPr>
          <w:color w:val="auto"/>
        </w:rPr>
      </w:pPr>
      <w:r w:rsidRPr="00871CF1">
        <w:rPr>
          <w:color w:val="auto"/>
        </w:rPr>
        <w:t>This study examines eight agronomic scenarios along a management gradient that progressively increases the duration and complexity of crop rotations. The scenarios range from a conventional</w:t>
      </w:r>
      <w:r w:rsidR="007C783E" w:rsidRPr="00871CF1">
        <w:rPr>
          <w:color w:val="auto"/>
        </w:rPr>
        <w:t>, intensive</w:t>
      </w:r>
      <w:r w:rsidRPr="00871CF1">
        <w:rPr>
          <w:color w:val="auto"/>
        </w:rPr>
        <w:t xml:space="preserve"> 4-year rotation dominated by cash crops to an 8-year diversified </w:t>
      </w:r>
      <w:r w:rsidR="00A7518C" w:rsidRPr="00871CF1">
        <w:rPr>
          <w:color w:val="auto"/>
        </w:rPr>
        <w:t>ICLS</w:t>
      </w:r>
      <w:r w:rsidRPr="00871CF1">
        <w:rPr>
          <w:color w:val="auto"/>
        </w:rPr>
        <w:t xml:space="preserve"> incorporating temporary pastures, either mowed or grazed, </w:t>
      </w:r>
      <w:r w:rsidR="00EB3DD2" w:rsidRPr="00871CF1">
        <w:rPr>
          <w:color w:val="auto"/>
        </w:rPr>
        <w:t xml:space="preserve">each </w:t>
      </w:r>
      <w:r w:rsidR="00B86467" w:rsidRPr="00871CF1">
        <w:rPr>
          <w:color w:val="auto"/>
        </w:rPr>
        <w:t xml:space="preserve">scenario being duplicated </w:t>
      </w:r>
      <w:r w:rsidR="00EB3DD2" w:rsidRPr="00871CF1">
        <w:rPr>
          <w:color w:val="auto"/>
        </w:rPr>
        <w:t xml:space="preserve">with two modalities: </w:t>
      </w:r>
      <w:r w:rsidRPr="00871CF1">
        <w:rPr>
          <w:color w:val="auto"/>
        </w:rPr>
        <w:t xml:space="preserve">full </w:t>
      </w:r>
      <w:r w:rsidR="00EB3DD2" w:rsidRPr="00871CF1">
        <w:rPr>
          <w:color w:val="auto"/>
        </w:rPr>
        <w:t>and</w:t>
      </w:r>
      <w:r w:rsidRPr="00871CF1">
        <w:rPr>
          <w:color w:val="auto"/>
        </w:rPr>
        <w:t xml:space="preserve"> reduced </w:t>
      </w:r>
      <w:r w:rsidR="0072444C" w:rsidRPr="00871CF1">
        <w:rPr>
          <w:color w:val="auto"/>
        </w:rPr>
        <w:t xml:space="preserve">nitrogen </w:t>
      </w:r>
      <w:r w:rsidRPr="00871CF1">
        <w:rPr>
          <w:color w:val="auto"/>
        </w:rPr>
        <w:t>fertilization</w:t>
      </w:r>
      <w:r w:rsidR="007F5131" w:rsidRPr="00871CF1">
        <w:rPr>
          <w:color w:val="auto"/>
        </w:rPr>
        <w:t xml:space="preserve"> (Fig. 1)</w:t>
      </w:r>
      <w:r w:rsidRPr="00871CF1">
        <w:rPr>
          <w:color w:val="auto"/>
        </w:rPr>
        <w:t>.</w:t>
      </w:r>
      <w:r w:rsidR="00C5584B" w:rsidRPr="00871CF1">
        <w:rPr>
          <w:color w:val="auto"/>
        </w:rPr>
        <w:t xml:space="preserve"> </w:t>
      </w:r>
      <w:r w:rsidR="00AE5AC5" w:rsidRPr="00871CF1">
        <w:rPr>
          <w:color w:val="auto"/>
        </w:rPr>
        <w:t xml:space="preserve">The </w:t>
      </w:r>
      <w:r w:rsidR="00C5584B" w:rsidRPr="00871CF1">
        <w:rPr>
          <w:color w:val="auto"/>
        </w:rPr>
        <w:t>STICS soil-crop model</w:t>
      </w:r>
      <w:r w:rsidR="00AE5AC5" w:rsidRPr="00871CF1">
        <w:rPr>
          <w:color w:val="auto"/>
        </w:rPr>
        <w:t xml:space="preserve"> was used to simulate the scenarios at a daily time step over a 24-year period</w:t>
      </w:r>
      <w:r w:rsidR="00104B67" w:rsidRPr="00871CF1">
        <w:rPr>
          <w:color w:val="auto"/>
        </w:rPr>
        <w:t xml:space="preserve">, between </w:t>
      </w:r>
      <w:r w:rsidR="00760A20" w:rsidRPr="00871CF1">
        <w:rPr>
          <w:color w:val="auto"/>
        </w:rPr>
        <w:t>1980 and 2004</w:t>
      </w:r>
      <w:r w:rsidR="00C5584B" w:rsidRPr="00871CF1">
        <w:rPr>
          <w:color w:val="auto"/>
        </w:rPr>
        <w:t>.</w:t>
      </w:r>
      <w:r w:rsidR="00CF70B5" w:rsidRPr="00871CF1">
        <w:rPr>
          <w:color w:val="auto"/>
        </w:rPr>
        <w:t xml:space="preserve"> </w:t>
      </w:r>
      <w:r w:rsidRPr="00871CF1">
        <w:rPr>
          <w:color w:val="auto"/>
        </w:rPr>
        <w:t xml:space="preserve">We </w:t>
      </w:r>
      <w:r w:rsidR="00261AF6" w:rsidRPr="00871CF1">
        <w:rPr>
          <w:color w:val="auto"/>
        </w:rPr>
        <w:t>investigate</w:t>
      </w:r>
      <w:r w:rsidR="001437E4" w:rsidRPr="00871CF1">
        <w:rPr>
          <w:color w:val="auto"/>
        </w:rPr>
        <w:t xml:space="preserve"> a wide range of </w:t>
      </w:r>
      <w:r w:rsidR="00337EE4" w:rsidRPr="00871CF1">
        <w:rPr>
          <w:color w:val="auto"/>
        </w:rPr>
        <w:t>ES</w:t>
      </w:r>
      <w:r w:rsidR="001437E4" w:rsidRPr="00871CF1">
        <w:rPr>
          <w:color w:val="auto"/>
        </w:rPr>
        <w:t xml:space="preserve">, including provisioning (productivity levels and their stability), supporting (soil carbon </w:t>
      </w:r>
      <w:r w:rsidR="001437E4" w:rsidRPr="00871CF1">
        <w:rPr>
          <w:color w:val="auto"/>
        </w:rPr>
        <w:lastRenderedPageBreak/>
        <w:t>sequestration and nitrate leaching reduction), and regulating (</w:t>
      </w:r>
      <w:r w:rsidR="00317D3B" w:rsidRPr="00871CF1">
        <w:rPr>
          <w:color w:val="auto"/>
        </w:rPr>
        <w:t>GHG</w:t>
      </w:r>
      <w:r w:rsidR="001437E4" w:rsidRPr="00871CF1">
        <w:rPr>
          <w:color w:val="auto"/>
        </w:rPr>
        <w:t xml:space="preserve"> emissions). This </w:t>
      </w:r>
      <w:r w:rsidR="00EE5EA6" w:rsidRPr="00871CF1">
        <w:rPr>
          <w:color w:val="auto"/>
        </w:rPr>
        <w:t>investigation</w:t>
      </w:r>
      <w:r w:rsidR="001437E4" w:rsidRPr="00871CF1">
        <w:rPr>
          <w:color w:val="auto"/>
        </w:rPr>
        <w:t xml:space="preserve"> covers 11,515 distinct locations across 541,800 hectares in southern Belgium (Wallonia)</w:t>
      </w:r>
      <w:r w:rsidR="005C19D3" w:rsidRPr="00871CF1">
        <w:rPr>
          <w:color w:val="auto"/>
        </w:rPr>
        <w:t xml:space="preserve">, a </w:t>
      </w:r>
      <w:r w:rsidRPr="00871CF1">
        <w:rPr>
          <w:color w:val="auto"/>
        </w:rPr>
        <w:t>region characterized by highly contrasting pedoclimatic conditions.</w:t>
      </w:r>
      <w:r w:rsidR="00B46F0D" w:rsidRPr="00871CF1">
        <w:rPr>
          <w:color w:val="auto"/>
        </w:rPr>
        <w:t xml:space="preserve"> Our objectives are to (</w:t>
      </w:r>
      <w:proofErr w:type="spellStart"/>
      <w:r w:rsidR="00B46F0D" w:rsidRPr="00871CF1">
        <w:rPr>
          <w:i/>
          <w:iCs/>
          <w:color w:val="auto"/>
        </w:rPr>
        <w:t>i</w:t>
      </w:r>
      <w:proofErr w:type="spellEnd"/>
      <w:r w:rsidR="00B46F0D" w:rsidRPr="00871CF1">
        <w:rPr>
          <w:color w:val="auto"/>
        </w:rPr>
        <w:t>) assess the effectiveness of these management strategies in delivering these ES; and (</w:t>
      </w:r>
      <w:r w:rsidR="00B46F0D" w:rsidRPr="00871CF1">
        <w:rPr>
          <w:i/>
          <w:iCs/>
          <w:color w:val="auto"/>
        </w:rPr>
        <w:t>ii</w:t>
      </w:r>
      <w:r w:rsidR="00B46F0D" w:rsidRPr="00871CF1">
        <w:rPr>
          <w:color w:val="auto"/>
        </w:rPr>
        <w:t>) examine the variability, trade-offs, and synergies among these ES across Wallonia’s diverse pedoclimatic conditions.</w:t>
      </w:r>
    </w:p>
    <w:p w14:paraId="34D03A6C" w14:textId="312B5A9C" w:rsidR="004E36E3" w:rsidRPr="00871CF1" w:rsidRDefault="00923C17" w:rsidP="001A13EC">
      <w:pPr>
        <w:pStyle w:val="PubliManuscript"/>
        <w:ind w:firstLine="0"/>
        <w:rPr>
          <w:color w:val="auto"/>
          <w:szCs w:val="22"/>
        </w:rPr>
      </w:pPr>
      <w:r w:rsidRPr="00871CF1">
        <w:rPr>
          <w:noProof/>
          <w:color w:val="auto"/>
          <w:szCs w:val="22"/>
          <w14:ligatures w14:val="standardContextual"/>
        </w:rPr>
        <w:drawing>
          <wp:inline distT="0" distB="0" distL="0" distR="0" wp14:anchorId="79711FC7" wp14:editId="3792812A">
            <wp:extent cx="5758280" cy="3840479"/>
            <wp:effectExtent l="0" t="0" r="0" b="0"/>
            <wp:docPr id="426622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2246"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8280" cy="3840479"/>
                    </a:xfrm>
                    <a:prstGeom prst="rect">
                      <a:avLst/>
                    </a:prstGeom>
                  </pic:spPr>
                </pic:pic>
              </a:graphicData>
            </a:graphic>
          </wp:inline>
        </w:drawing>
      </w:r>
    </w:p>
    <w:p w14:paraId="64D90D9E" w14:textId="099EB507" w:rsidR="00BD76A8" w:rsidRPr="00871CF1" w:rsidRDefault="00BD76A8" w:rsidP="002637A5">
      <w:pPr>
        <w:pStyle w:val="PubliManuscript"/>
        <w:spacing w:line="276" w:lineRule="auto"/>
        <w:ind w:firstLine="0"/>
        <w:rPr>
          <w:color w:val="auto"/>
          <w:szCs w:val="22"/>
        </w:rPr>
      </w:pPr>
      <w:bookmarkStart w:id="1" w:name="_Hlk214348002"/>
      <w:r w:rsidRPr="00871CF1">
        <w:rPr>
          <w:b/>
          <w:bCs/>
          <w:color w:val="auto"/>
          <w:szCs w:val="22"/>
        </w:rPr>
        <w:t>Figure 1.</w:t>
      </w:r>
      <w:r w:rsidR="003370A8" w:rsidRPr="00871CF1">
        <w:rPr>
          <w:b/>
          <w:bCs/>
          <w:color w:val="auto"/>
          <w:szCs w:val="22"/>
        </w:rPr>
        <w:t xml:space="preserve"> Agroecological levers considered in this study, and resulting </w:t>
      </w:r>
      <w:r w:rsidR="00182B9C" w:rsidRPr="00871CF1">
        <w:rPr>
          <w:b/>
          <w:bCs/>
          <w:color w:val="auto"/>
          <w:szCs w:val="22"/>
        </w:rPr>
        <w:t xml:space="preserve">crop rotations </w:t>
      </w:r>
      <w:r w:rsidR="00C65550" w:rsidRPr="00871CF1">
        <w:rPr>
          <w:b/>
          <w:bCs/>
          <w:color w:val="auto"/>
          <w:szCs w:val="22"/>
        </w:rPr>
        <w:t>which increase in duration and complexity along a</w:t>
      </w:r>
      <w:r w:rsidR="00AD388F" w:rsidRPr="00871CF1">
        <w:rPr>
          <w:b/>
          <w:bCs/>
          <w:color w:val="auto"/>
          <w:szCs w:val="22"/>
        </w:rPr>
        <w:t>n agronomic</w:t>
      </w:r>
      <w:r w:rsidR="00C65550" w:rsidRPr="00871CF1">
        <w:rPr>
          <w:b/>
          <w:bCs/>
          <w:color w:val="auto"/>
          <w:szCs w:val="22"/>
        </w:rPr>
        <w:t xml:space="preserve"> management gradient</w:t>
      </w:r>
      <w:r w:rsidR="003370A8" w:rsidRPr="00871CF1">
        <w:rPr>
          <w:b/>
          <w:bCs/>
          <w:color w:val="auto"/>
          <w:szCs w:val="22"/>
        </w:rPr>
        <w:t>.</w:t>
      </w:r>
      <w:r w:rsidR="009E56C1" w:rsidRPr="00871CF1">
        <w:rPr>
          <w:b/>
          <w:bCs/>
          <w:color w:val="auto"/>
          <w:szCs w:val="22"/>
        </w:rPr>
        <w:t xml:space="preserve"> There are four </w:t>
      </w:r>
      <w:r w:rsidR="00A742DB" w:rsidRPr="00871CF1">
        <w:rPr>
          <w:b/>
          <w:bCs/>
          <w:color w:val="auto"/>
          <w:szCs w:val="22"/>
        </w:rPr>
        <w:t xml:space="preserve">distinct </w:t>
      </w:r>
      <w:r w:rsidR="009E56C1" w:rsidRPr="00871CF1">
        <w:rPr>
          <w:b/>
          <w:bCs/>
          <w:color w:val="auto"/>
          <w:szCs w:val="22"/>
        </w:rPr>
        <w:t>crop rotations, and each one is duplicated with a reduced fertilization (RF) modality, leading to eight scenarios in total.</w:t>
      </w:r>
    </w:p>
    <w:bookmarkEnd w:id="1"/>
    <w:p w14:paraId="606A6015" w14:textId="73FD9972" w:rsidR="001C40A5" w:rsidRPr="00871CF1" w:rsidRDefault="00CD2714" w:rsidP="001C40A5">
      <w:pPr>
        <w:pStyle w:val="Publi1"/>
        <w:spacing w:line="240" w:lineRule="auto"/>
        <w:rPr>
          <w:rFonts w:cs="Times New Roman"/>
          <w:sz w:val="22"/>
          <w:szCs w:val="22"/>
        </w:rPr>
      </w:pPr>
      <w:r w:rsidRPr="00871CF1">
        <w:rPr>
          <w:rFonts w:cs="Times New Roman"/>
          <w:sz w:val="22"/>
          <w:szCs w:val="22"/>
        </w:rPr>
        <w:t>Material and Methods</w:t>
      </w:r>
    </w:p>
    <w:p w14:paraId="7ECD5E14" w14:textId="77777777" w:rsidR="001C40A5" w:rsidRPr="00871CF1" w:rsidRDefault="001C40A5" w:rsidP="001C40A5">
      <w:pPr>
        <w:pStyle w:val="PubliManuscript"/>
        <w:ind w:firstLine="0"/>
        <w:rPr>
          <w:b/>
          <w:bCs/>
          <w:color w:val="auto"/>
          <w:szCs w:val="22"/>
        </w:rPr>
      </w:pPr>
      <w:r w:rsidRPr="00871CF1">
        <w:rPr>
          <w:b/>
          <w:bCs/>
          <w:color w:val="auto"/>
          <w:szCs w:val="22"/>
        </w:rPr>
        <w:t>Study area</w:t>
      </w:r>
    </w:p>
    <w:p w14:paraId="279F3369" w14:textId="77777777" w:rsidR="001C40A5" w:rsidRPr="00871CF1" w:rsidRDefault="001C40A5" w:rsidP="001C40A5">
      <w:pPr>
        <w:pStyle w:val="PubliManuscript"/>
        <w:rPr>
          <w:color w:val="auto"/>
        </w:rPr>
      </w:pPr>
      <w:bookmarkStart w:id="2" w:name="_Hlk226626161"/>
      <w:r w:rsidRPr="00871CF1">
        <w:rPr>
          <w:color w:val="auto"/>
        </w:rPr>
        <w:t xml:space="preserve">The Walloon region has a temperate climate, marked by moderate average temperatures (around 11°C annually), persistent cloud cover, and regular but light rainfall, totaling approximately 837 mm per year. </w:t>
      </w:r>
      <w:r w:rsidRPr="00871CF1">
        <w:rPr>
          <w:color w:val="auto"/>
          <w:szCs w:val="22"/>
        </w:rPr>
        <w:t xml:space="preserve">Additional information on the spatial patterns and seasonal variation of temperature and rainfall is provided in Delandmeter et al. (2026b). </w:t>
      </w:r>
    </w:p>
    <w:p w14:paraId="35C74FCE" w14:textId="1EC9387A" w:rsidR="001C40A5" w:rsidRPr="00871CF1" w:rsidRDefault="001C40A5" w:rsidP="001C40A5">
      <w:pPr>
        <w:pStyle w:val="PubliManuscript"/>
        <w:rPr>
          <w:color w:val="auto"/>
          <w:szCs w:val="22"/>
        </w:rPr>
      </w:pPr>
      <w:r w:rsidRPr="00871CF1">
        <w:rPr>
          <w:color w:val="auto"/>
          <w:szCs w:val="22"/>
        </w:rPr>
        <w:lastRenderedPageBreak/>
        <w:t xml:space="preserve">The soil composition is varied. The northern part of the region is mainly made up of silty and sandy-loamy soils that are largely used for crop production. In the </w:t>
      </w:r>
      <w:proofErr w:type="spellStart"/>
      <w:r w:rsidRPr="00871CF1">
        <w:rPr>
          <w:color w:val="auto"/>
          <w:szCs w:val="22"/>
        </w:rPr>
        <w:t>Condroz</w:t>
      </w:r>
      <w:proofErr w:type="spellEnd"/>
      <w:r w:rsidRPr="00871CF1">
        <w:rPr>
          <w:color w:val="auto"/>
          <w:szCs w:val="22"/>
        </w:rPr>
        <w:t xml:space="preserve">, </w:t>
      </w:r>
      <w:proofErr w:type="spellStart"/>
      <w:r w:rsidRPr="00871CF1">
        <w:rPr>
          <w:color w:val="auto"/>
          <w:szCs w:val="22"/>
        </w:rPr>
        <w:t>Famenne</w:t>
      </w:r>
      <w:proofErr w:type="spellEnd"/>
      <w:r w:rsidRPr="00871CF1">
        <w:rPr>
          <w:color w:val="auto"/>
          <w:szCs w:val="22"/>
        </w:rPr>
        <w:t xml:space="preserve">, and </w:t>
      </w:r>
      <w:proofErr w:type="spellStart"/>
      <w:r w:rsidRPr="00871CF1">
        <w:rPr>
          <w:color w:val="auto"/>
          <w:szCs w:val="22"/>
        </w:rPr>
        <w:t>Calestienne</w:t>
      </w:r>
      <w:proofErr w:type="spellEnd"/>
      <w:r w:rsidRPr="00871CF1">
        <w:rPr>
          <w:color w:val="auto"/>
          <w:szCs w:val="22"/>
        </w:rPr>
        <w:t xml:space="preserve"> areas, soils are stonier and siltier, with either acidic or calcareous characteristics, and are used for a mix of agriculture, grazing, and forestry. The Belgian Ardennes are dominated by relatively poor, acidic silty or slightly stony silty soils, which are mostly used for pasture and woodland. In Belgian Lorraine, soils are more varied, including clayey and sandy-loamy types with differing levels of agricultural potential</w:t>
      </w:r>
      <w:bookmarkEnd w:id="2"/>
      <w:r w:rsidRPr="00871CF1">
        <w:rPr>
          <w:color w:val="auto"/>
          <w:szCs w:val="22"/>
        </w:rPr>
        <w:t xml:space="preserve"> (</w:t>
      </w:r>
      <w:proofErr w:type="spellStart"/>
      <w:r w:rsidRPr="00871CF1">
        <w:rPr>
          <w:color w:val="auto"/>
          <w:szCs w:val="22"/>
        </w:rPr>
        <w:t>Statbel</w:t>
      </w:r>
      <w:proofErr w:type="spellEnd"/>
      <w:r w:rsidRPr="00871CF1">
        <w:rPr>
          <w:color w:val="auto"/>
          <w:szCs w:val="22"/>
        </w:rPr>
        <w:t>, 2024). Of the utilized agricultural area in Wallonia excluding permanent grassland (as considered in this study), 40% is devoted to cereals, 24% to forage crops, 16% to industrial crops, and 10% to potatoes (</w:t>
      </w:r>
      <w:proofErr w:type="spellStart"/>
      <w:r w:rsidRPr="00871CF1">
        <w:rPr>
          <w:color w:val="auto"/>
          <w:szCs w:val="22"/>
        </w:rPr>
        <w:t>Statbel</w:t>
      </w:r>
      <w:proofErr w:type="spellEnd"/>
      <w:r w:rsidRPr="00871CF1">
        <w:rPr>
          <w:color w:val="auto"/>
          <w:szCs w:val="22"/>
        </w:rPr>
        <w:t>, 2024). 35% of all agricultural holdings in Wallonia are engaged in arable farming, 43% in cattle farming (both dairy and beef), and only 11% are mixed farms combining crops and cattle.</w:t>
      </w:r>
    </w:p>
    <w:p w14:paraId="50B90338" w14:textId="79201FA1" w:rsidR="009F4491" w:rsidRPr="00871CF1" w:rsidRDefault="00D87CA3" w:rsidP="009F4491">
      <w:pPr>
        <w:pStyle w:val="PubliManuscript"/>
        <w:ind w:firstLine="0"/>
        <w:rPr>
          <w:b/>
          <w:bCs/>
          <w:color w:val="auto"/>
        </w:rPr>
      </w:pPr>
      <w:r w:rsidRPr="00871CF1">
        <w:rPr>
          <w:b/>
          <w:bCs/>
          <w:color w:val="auto"/>
        </w:rPr>
        <w:t>Agronomic management</w:t>
      </w:r>
      <w:r w:rsidR="009F4491" w:rsidRPr="00871CF1">
        <w:rPr>
          <w:b/>
          <w:bCs/>
          <w:color w:val="auto"/>
        </w:rPr>
        <w:t xml:space="preserve"> scenarios</w:t>
      </w:r>
    </w:p>
    <w:p w14:paraId="38F08F49" w14:textId="5CD210D4" w:rsidR="009724B7" w:rsidRPr="00871CF1" w:rsidRDefault="003D6CD0" w:rsidP="00B805D5">
      <w:pPr>
        <w:pStyle w:val="PubliManuscript"/>
        <w:rPr>
          <w:color w:val="auto"/>
        </w:rPr>
      </w:pPr>
      <w:r w:rsidRPr="00871CF1">
        <w:rPr>
          <w:color w:val="auto"/>
        </w:rPr>
        <w:t xml:space="preserve">We compared eight management scenarios which gradually increase in crop diversity, duration of crop rotation, and the activation of agroecological levers such as reduced nitrogen (N) fertilization and </w:t>
      </w:r>
      <w:r w:rsidR="00FA603C" w:rsidRPr="00871CF1">
        <w:rPr>
          <w:color w:val="auto"/>
        </w:rPr>
        <w:t xml:space="preserve">grasslands, </w:t>
      </w:r>
      <w:r w:rsidRPr="00871CF1">
        <w:rPr>
          <w:color w:val="auto"/>
        </w:rPr>
        <w:t>pastures</w:t>
      </w:r>
      <w:r w:rsidR="00881CC9" w:rsidRPr="00871CF1">
        <w:rPr>
          <w:color w:val="auto"/>
        </w:rPr>
        <w:t>,</w:t>
      </w:r>
      <w:r w:rsidRPr="00871CF1">
        <w:rPr>
          <w:color w:val="auto"/>
        </w:rPr>
        <w:t xml:space="preserve"> and livestock integration.</w:t>
      </w:r>
      <w:r w:rsidR="00B805D5" w:rsidRPr="00871CF1">
        <w:rPr>
          <w:color w:val="auto"/>
        </w:rPr>
        <w:t xml:space="preserve"> </w:t>
      </w:r>
      <w:r w:rsidR="001A69F4" w:rsidRPr="00871CF1">
        <w:rPr>
          <w:color w:val="auto"/>
        </w:rPr>
        <w:t>All scenarios</w:t>
      </w:r>
      <w:r w:rsidRPr="00871CF1">
        <w:rPr>
          <w:color w:val="auto"/>
        </w:rPr>
        <w:t xml:space="preserve"> include cover crops </w:t>
      </w:r>
      <w:r w:rsidR="00013E29" w:rsidRPr="00871CF1">
        <w:rPr>
          <w:color w:val="auto"/>
        </w:rPr>
        <w:t xml:space="preserve">(mustard; </w:t>
      </w:r>
      <w:proofErr w:type="gramStart"/>
      <w:r w:rsidR="00013E29" w:rsidRPr="00871CF1">
        <w:rPr>
          <w:i/>
          <w:iCs/>
          <w:color w:val="auto"/>
        </w:rPr>
        <w:t>Sinapis</w:t>
      </w:r>
      <w:proofErr w:type="gramEnd"/>
      <w:r w:rsidR="00013E29" w:rsidRPr="00871CF1">
        <w:rPr>
          <w:i/>
          <w:iCs/>
          <w:color w:val="auto"/>
        </w:rPr>
        <w:t xml:space="preserve"> alba</w:t>
      </w:r>
      <w:r w:rsidR="00013E29" w:rsidRPr="00871CF1">
        <w:rPr>
          <w:color w:val="auto"/>
        </w:rPr>
        <w:t xml:space="preserve">) </w:t>
      </w:r>
      <w:r w:rsidR="00021FE5" w:rsidRPr="00871CF1">
        <w:rPr>
          <w:color w:val="auto"/>
        </w:rPr>
        <w:t xml:space="preserve">which are sown in </w:t>
      </w:r>
      <w:r w:rsidR="00FE7012" w:rsidRPr="00871CF1">
        <w:rPr>
          <w:color w:val="auto"/>
        </w:rPr>
        <w:t xml:space="preserve">the </w:t>
      </w:r>
      <w:r w:rsidR="00021FE5" w:rsidRPr="00871CF1">
        <w:rPr>
          <w:color w:val="auto"/>
        </w:rPr>
        <w:t xml:space="preserve">fall before </w:t>
      </w:r>
      <w:r w:rsidR="00FE7012" w:rsidRPr="00871CF1">
        <w:rPr>
          <w:color w:val="auto"/>
        </w:rPr>
        <w:t>subsequent spring crops</w:t>
      </w:r>
      <w:r w:rsidRPr="00871CF1">
        <w:rPr>
          <w:color w:val="auto"/>
        </w:rPr>
        <w:t>, complying with legal requirements</w:t>
      </w:r>
      <w:r w:rsidR="00013E29" w:rsidRPr="00871CF1">
        <w:rPr>
          <w:color w:val="auto"/>
        </w:rPr>
        <w:t>, and which are destroyed by conventional tillage</w:t>
      </w:r>
      <w:r w:rsidR="00332607" w:rsidRPr="00871CF1">
        <w:rPr>
          <w:color w:val="auto"/>
        </w:rPr>
        <w:t xml:space="preserve"> (25 cm deep, as commonly practiced in Belgium)</w:t>
      </w:r>
      <w:r w:rsidR="009F52BA" w:rsidRPr="00871CF1">
        <w:rPr>
          <w:color w:val="auto"/>
        </w:rPr>
        <w:t xml:space="preserve"> (see Fig. A1-A8</w:t>
      </w:r>
      <w:r w:rsidR="004D5449" w:rsidRPr="00871CF1">
        <w:rPr>
          <w:color w:val="auto"/>
        </w:rPr>
        <w:t xml:space="preserve"> for detailed management of each scenario</w:t>
      </w:r>
      <w:r w:rsidR="009F52BA" w:rsidRPr="00871CF1">
        <w:rPr>
          <w:color w:val="auto"/>
        </w:rPr>
        <w:t>)</w:t>
      </w:r>
      <w:r w:rsidRPr="00871CF1">
        <w:rPr>
          <w:color w:val="auto"/>
        </w:rPr>
        <w:t xml:space="preserve">. </w:t>
      </w:r>
    </w:p>
    <w:p w14:paraId="2F31F48F" w14:textId="5CC20C6A" w:rsidR="009724B7" w:rsidRPr="00871CF1" w:rsidRDefault="003D6CD0" w:rsidP="00EA3C5E">
      <w:pPr>
        <w:pStyle w:val="PubliManuscript"/>
        <w:rPr>
          <w:color w:val="auto"/>
        </w:rPr>
      </w:pPr>
      <w:r w:rsidRPr="00871CF1">
        <w:rPr>
          <w:color w:val="auto"/>
        </w:rPr>
        <w:t xml:space="preserve">The </w:t>
      </w:r>
      <w:r w:rsidRPr="00871CF1">
        <w:rPr>
          <w:i/>
          <w:iCs/>
          <w:color w:val="auto"/>
        </w:rPr>
        <w:t>Business-as-usual</w:t>
      </w:r>
      <w:r w:rsidRPr="00871CF1">
        <w:rPr>
          <w:color w:val="auto"/>
        </w:rPr>
        <w:t xml:space="preserve"> (BAU) scenario </w:t>
      </w:r>
      <w:r w:rsidR="0017186F" w:rsidRPr="00871CF1">
        <w:rPr>
          <w:color w:val="auto"/>
        </w:rPr>
        <w:t xml:space="preserve">reflects the conventional crop rotation in the </w:t>
      </w:r>
      <w:proofErr w:type="spellStart"/>
      <w:r w:rsidR="0017186F" w:rsidRPr="00871CF1">
        <w:rPr>
          <w:color w:val="auto"/>
        </w:rPr>
        <w:t>Hesbaye</w:t>
      </w:r>
      <w:proofErr w:type="spellEnd"/>
      <w:r w:rsidR="0017186F" w:rsidRPr="00871CF1">
        <w:rPr>
          <w:color w:val="auto"/>
        </w:rPr>
        <w:t xml:space="preserve"> region of Wallonia, the primary area for arable crops</w:t>
      </w:r>
      <w:r w:rsidRPr="00871CF1">
        <w:rPr>
          <w:color w:val="auto"/>
        </w:rPr>
        <w:t xml:space="preserve">. It consists of </w:t>
      </w:r>
      <w:r w:rsidR="00B42EEF" w:rsidRPr="00871CF1">
        <w:rPr>
          <w:color w:val="auto"/>
        </w:rPr>
        <w:t>a</w:t>
      </w:r>
      <w:r w:rsidRPr="00871CF1">
        <w:rPr>
          <w:color w:val="auto"/>
        </w:rPr>
        <w:t xml:space="preserve"> 4-year crop rotation composed of two cash crops, sugar beet </w:t>
      </w:r>
      <w:r w:rsidR="008176A2" w:rsidRPr="00871CF1">
        <w:rPr>
          <w:color w:val="auto"/>
        </w:rPr>
        <w:t>(</w:t>
      </w:r>
      <w:r w:rsidR="008176A2" w:rsidRPr="00871CF1">
        <w:rPr>
          <w:i/>
          <w:iCs/>
          <w:color w:val="auto"/>
        </w:rPr>
        <w:t>Beta vulgaris</w:t>
      </w:r>
      <w:r w:rsidR="008176A2" w:rsidRPr="00871CF1">
        <w:rPr>
          <w:color w:val="auto"/>
        </w:rPr>
        <w:t xml:space="preserve">) </w:t>
      </w:r>
      <w:r w:rsidRPr="00871CF1">
        <w:rPr>
          <w:color w:val="auto"/>
        </w:rPr>
        <w:t>and potato</w:t>
      </w:r>
      <w:r w:rsidR="00611BA9" w:rsidRPr="00871CF1">
        <w:rPr>
          <w:color w:val="auto"/>
        </w:rPr>
        <w:t xml:space="preserve"> (</w:t>
      </w:r>
      <w:r w:rsidR="00611BA9" w:rsidRPr="00871CF1">
        <w:rPr>
          <w:i/>
          <w:iCs/>
          <w:color w:val="auto"/>
        </w:rPr>
        <w:t>Solanum tuberosum</w:t>
      </w:r>
      <w:r w:rsidR="00611BA9" w:rsidRPr="00871CF1">
        <w:rPr>
          <w:color w:val="auto"/>
        </w:rPr>
        <w:t>)</w:t>
      </w:r>
      <w:r w:rsidRPr="00871CF1">
        <w:rPr>
          <w:color w:val="auto"/>
        </w:rPr>
        <w:t xml:space="preserve">, very common in Wallonia because of their economic value, along with </w:t>
      </w:r>
      <w:r w:rsidR="00717512" w:rsidRPr="00871CF1">
        <w:rPr>
          <w:color w:val="auto"/>
        </w:rPr>
        <w:t xml:space="preserve">winter </w:t>
      </w:r>
      <w:r w:rsidRPr="00871CF1">
        <w:rPr>
          <w:color w:val="auto"/>
        </w:rPr>
        <w:t>wheat</w:t>
      </w:r>
      <w:r w:rsidR="00800891" w:rsidRPr="00871CF1">
        <w:rPr>
          <w:color w:val="auto"/>
        </w:rPr>
        <w:t xml:space="preserve"> (</w:t>
      </w:r>
      <w:r w:rsidR="00800891" w:rsidRPr="00871CF1">
        <w:rPr>
          <w:i/>
          <w:iCs/>
          <w:color w:val="auto"/>
        </w:rPr>
        <w:t>Triticum aestivum</w:t>
      </w:r>
      <w:r w:rsidR="00800891" w:rsidRPr="00871CF1">
        <w:rPr>
          <w:color w:val="auto"/>
        </w:rPr>
        <w:t>)</w:t>
      </w:r>
      <w:r w:rsidR="00B66BB1" w:rsidRPr="00871CF1">
        <w:rPr>
          <w:color w:val="auto"/>
        </w:rPr>
        <w:t xml:space="preserve"> (Fig. 1). </w:t>
      </w:r>
      <w:r w:rsidR="00163F58" w:rsidRPr="00871CF1">
        <w:rPr>
          <w:color w:val="auto"/>
        </w:rPr>
        <w:t xml:space="preserve">In this rotation, </w:t>
      </w:r>
      <w:r w:rsidR="00F119D9" w:rsidRPr="00871CF1">
        <w:rPr>
          <w:color w:val="auto"/>
        </w:rPr>
        <w:t xml:space="preserve">as it is commonly practiced in Wallonia, </w:t>
      </w:r>
      <w:r w:rsidR="00163F58" w:rsidRPr="00871CF1">
        <w:rPr>
          <w:color w:val="auto"/>
        </w:rPr>
        <w:t xml:space="preserve">wheat straw is </w:t>
      </w:r>
      <w:r w:rsidR="00113085" w:rsidRPr="00871CF1">
        <w:rPr>
          <w:color w:val="auto"/>
        </w:rPr>
        <w:t xml:space="preserve">systemically </w:t>
      </w:r>
      <w:r w:rsidR="00163F58" w:rsidRPr="00871CF1">
        <w:rPr>
          <w:color w:val="auto"/>
        </w:rPr>
        <w:t xml:space="preserve">exported in exchange for imported </w:t>
      </w:r>
      <w:r w:rsidR="004004AC" w:rsidRPr="00871CF1">
        <w:rPr>
          <w:color w:val="auto"/>
        </w:rPr>
        <w:t xml:space="preserve">bovine </w:t>
      </w:r>
      <w:r w:rsidR="00163F58" w:rsidRPr="00871CF1">
        <w:rPr>
          <w:color w:val="auto"/>
        </w:rPr>
        <w:t>manure, considering the usual rules of exchange between specialized crop and livestock farms. Further details about this scenario are in Fig. A1.</w:t>
      </w:r>
      <w:r w:rsidR="004047EB" w:rsidRPr="00871CF1">
        <w:rPr>
          <w:color w:val="auto"/>
        </w:rPr>
        <w:t xml:space="preserve"> In this scenario, cover crop biomass is not removed but incorporated into the soil.</w:t>
      </w:r>
    </w:p>
    <w:p w14:paraId="26203EEA" w14:textId="385C1960" w:rsidR="00A617C5" w:rsidRPr="00871CF1" w:rsidRDefault="000B5538" w:rsidP="00EA3C5E">
      <w:pPr>
        <w:pStyle w:val="PubliManuscript"/>
        <w:rPr>
          <w:color w:val="auto"/>
        </w:rPr>
      </w:pPr>
      <w:r w:rsidRPr="00871CF1">
        <w:rPr>
          <w:color w:val="auto"/>
        </w:rPr>
        <w:t xml:space="preserve">The </w:t>
      </w:r>
      <w:r w:rsidRPr="00871CF1">
        <w:rPr>
          <w:i/>
          <w:iCs/>
          <w:color w:val="auto"/>
        </w:rPr>
        <w:t>Diversified</w:t>
      </w:r>
      <w:r w:rsidRPr="00871CF1">
        <w:rPr>
          <w:color w:val="auto"/>
        </w:rPr>
        <w:t xml:space="preserve"> (DIV) scenario</w:t>
      </w:r>
      <w:r w:rsidR="0028421C" w:rsidRPr="00871CF1">
        <w:rPr>
          <w:color w:val="auto"/>
        </w:rPr>
        <w:t xml:space="preserve"> is an 8-</w:t>
      </w:r>
      <w:r w:rsidR="00577689" w:rsidRPr="00871CF1">
        <w:rPr>
          <w:color w:val="auto"/>
        </w:rPr>
        <w:t xml:space="preserve">year crop rotation which adds </w:t>
      </w:r>
      <w:r w:rsidR="006316AE" w:rsidRPr="00871CF1">
        <w:rPr>
          <w:color w:val="auto"/>
        </w:rPr>
        <w:t>rapeseed</w:t>
      </w:r>
      <w:r w:rsidR="009469B9" w:rsidRPr="00871CF1">
        <w:rPr>
          <w:color w:val="auto"/>
        </w:rPr>
        <w:t xml:space="preserve"> (</w:t>
      </w:r>
      <w:r w:rsidR="009469B9" w:rsidRPr="00871CF1">
        <w:rPr>
          <w:i/>
          <w:iCs/>
          <w:color w:val="auto"/>
        </w:rPr>
        <w:t>Brassica napus</w:t>
      </w:r>
      <w:r w:rsidR="009469B9" w:rsidRPr="00871CF1">
        <w:rPr>
          <w:color w:val="auto"/>
        </w:rPr>
        <w:t>)</w:t>
      </w:r>
      <w:r w:rsidR="006316AE" w:rsidRPr="00871CF1">
        <w:rPr>
          <w:color w:val="auto"/>
        </w:rPr>
        <w:t xml:space="preserve">, </w:t>
      </w:r>
      <w:r w:rsidR="006316AE" w:rsidRPr="00871CF1">
        <w:rPr>
          <w:color w:val="auto"/>
        </w:rPr>
        <w:lastRenderedPageBreak/>
        <w:t xml:space="preserve">pea </w:t>
      </w:r>
      <w:r w:rsidR="009469B9" w:rsidRPr="00871CF1">
        <w:rPr>
          <w:color w:val="auto"/>
        </w:rPr>
        <w:t>(</w:t>
      </w:r>
      <w:r w:rsidR="009469B9" w:rsidRPr="00871CF1">
        <w:rPr>
          <w:i/>
          <w:iCs/>
          <w:color w:val="auto"/>
        </w:rPr>
        <w:t>Pisum sativum</w:t>
      </w:r>
      <w:r w:rsidR="009469B9" w:rsidRPr="00871CF1">
        <w:rPr>
          <w:color w:val="auto"/>
        </w:rPr>
        <w:t>)</w:t>
      </w:r>
      <w:r w:rsidR="009469B9" w:rsidRPr="00871CF1">
        <w:rPr>
          <w:b/>
          <w:bCs/>
          <w:i/>
          <w:iCs/>
          <w:color w:val="auto"/>
        </w:rPr>
        <w:t xml:space="preserve"> </w:t>
      </w:r>
      <w:r w:rsidR="006316AE" w:rsidRPr="00871CF1">
        <w:rPr>
          <w:color w:val="auto"/>
        </w:rPr>
        <w:t xml:space="preserve">and silage maize </w:t>
      </w:r>
      <w:r w:rsidR="009469B9" w:rsidRPr="00871CF1">
        <w:rPr>
          <w:color w:val="auto"/>
        </w:rPr>
        <w:t>(</w:t>
      </w:r>
      <w:proofErr w:type="spellStart"/>
      <w:r w:rsidR="009469B9" w:rsidRPr="00871CF1">
        <w:rPr>
          <w:i/>
          <w:iCs/>
          <w:color w:val="auto"/>
        </w:rPr>
        <w:t>Zea</w:t>
      </w:r>
      <w:proofErr w:type="spellEnd"/>
      <w:r w:rsidR="009469B9" w:rsidRPr="00871CF1">
        <w:rPr>
          <w:i/>
          <w:iCs/>
          <w:color w:val="auto"/>
        </w:rPr>
        <w:t xml:space="preserve"> mays</w:t>
      </w:r>
      <w:r w:rsidR="009469B9" w:rsidRPr="00871CF1">
        <w:rPr>
          <w:color w:val="auto"/>
        </w:rPr>
        <w:t>)</w:t>
      </w:r>
      <w:r w:rsidR="009469B9" w:rsidRPr="00871CF1">
        <w:rPr>
          <w:b/>
          <w:bCs/>
          <w:i/>
          <w:iCs/>
          <w:color w:val="auto"/>
        </w:rPr>
        <w:t xml:space="preserve"> </w:t>
      </w:r>
      <w:r w:rsidR="006316AE" w:rsidRPr="00871CF1">
        <w:rPr>
          <w:color w:val="auto"/>
        </w:rPr>
        <w:t>to the BAU scenario (Fig. 1 and Fig. A</w:t>
      </w:r>
      <w:r w:rsidR="001F6388" w:rsidRPr="00871CF1">
        <w:rPr>
          <w:color w:val="auto"/>
        </w:rPr>
        <w:t>3</w:t>
      </w:r>
      <w:r w:rsidR="006316AE" w:rsidRPr="00871CF1">
        <w:rPr>
          <w:color w:val="auto"/>
        </w:rPr>
        <w:t>).</w:t>
      </w:r>
      <w:r w:rsidR="00800FBF" w:rsidRPr="00871CF1">
        <w:rPr>
          <w:color w:val="auto"/>
        </w:rPr>
        <w:t xml:space="preserve"> </w:t>
      </w:r>
      <w:r w:rsidR="00A617C5" w:rsidRPr="00871CF1">
        <w:rPr>
          <w:color w:val="auto"/>
        </w:rPr>
        <w:t xml:space="preserve">As in the BAU scenario, </w:t>
      </w:r>
      <w:r w:rsidR="001B75F0" w:rsidRPr="00871CF1">
        <w:rPr>
          <w:color w:val="auto"/>
        </w:rPr>
        <w:t xml:space="preserve">we also have in the DIV scenario a </w:t>
      </w:r>
      <w:r w:rsidR="00935A35" w:rsidRPr="00871CF1">
        <w:rPr>
          <w:color w:val="auto"/>
        </w:rPr>
        <w:t xml:space="preserve">systematic </w:t>
      </w:r>
      <w:r w:rsidR="001B75F0" w:rsidRPr="00871CF1">
        <w:rPr>
          <w:color w:val="auto"/>
        </w:rPr>
        <w:t>wheat straw-bovine manure exchange</w:t>
      </w:r>
      <w:r w:rsidR="0065027B" w:rsidRPr="00871CF1">
        <w:rPr>
          <w:color w:val="auto"/>
        </w:rPr>
        <w:t>, as well as incorporation into the soil of cover crops</w:t>
      </w:r>
      <w:r w:rsidR="001B75F0" w:rsidRPr="00871CF1">
        <w:rPr>
          <w:color w:val="auto"/>
        </w:rPr>
        <w:t>.</w:t>
      </w:r>
      <w:r w:rsidR="009974F8" w:rsidRPr="00871CF1">
        <w:rPr>
          <w:color w:val="auto"/>
        </w:rPr>
        <w:t xml:space="preserve"> </w:t>
      </w:r>
      <w:r w:rsidR="00F85688" w:rsidRPr="00871CF1">
        <w:rPr>
          <w:color w:val="auto"/>
        </w:rPr>
        <w:t>The selection of crops used for diversification was based on Delandmeter et al. (2026</w:t>
      </w:r>
      <w:r w:rsidR="00E40766" w:rsidRPr="00871CF1">
        <w:rPr>
          <w:color w:val="auto"/>
        </w:rPr>
        <w:t>a</w:t>
      </w:r>
      <w:r w:rsidR="00F85688" w:rsidRPr="00871CF1">
        <w:rPr>
          <w:color w:val="auto"/>
        </w:rPr>
        <w:t xml:space="preserve">), who investigated this </w:t>
      </w:r>
      <w:proofErr w:type="gramStart"/>
      <w:r w:rsidR="00F85688" w:rsidRPr="00871CF1">
        <w:rPr>
          <w:color w:val="auto"/>
        </w:rPr>
        <w:t>particular scenario</w:t>
      </w:r>
      <w:proofErr w:type="gramEnd"/>
      <w:r w:rsidR="00F85688" w:rsidRPr="00871CF1">
        <w:rPr>
          <w:color w:val="auto"/>
        </w:rPr>
        <w:t xml:space="preserve"> at a single site in Gembloux, Belgium. The crop composition was designed to reflect actual Walloon land use within a single rotation while still supporting a healthy and sustainable diet through limited imports and exports (Delandmeter et al., 2026</w:t>
      </w:r>
      <w:r w:rsidR="007138C4" w:rsidRPr="00871CF1">
        <w:rPr>
          <w:color w:val="auto"/>
        </w:rPr>
        <w:t>a</w:t>
      </w:r>
      <w:r w:rsidR="00F85688" w:rsidRPr="00871CF1">
        <w:rPr>
          <w:color w:val="auto"/>
        </w:rPr>
        <w:t>).</w:t>
      </w:r>
    </w:p>
    <w:p w14:paraId="4FD4C9C9" w14:textId="39F890A7" w:rsidR="0010644E" w:rsidRPr="00871CF1" w:rsidRDefault="00A912D9" w:rsidP="00EA3C5E">
      <w:pPr>
        <w:pStyle w:val="PubliManuscript"/>
        <w:rPr>
          <w:color w:val="auto"/>
          <w:szCs w:val="22"/>
        </w:rPr>
      </w:pPr>
      <w:r w:rsidRPr="00871CF1">
        <w:rPr>
          <w:color w:val="auto"/>
        </w:rPr>
        <w:t xml:space="preserve">The </w:t>
      </w:r>
      <w:r w:rsidR="00643DAA" w:rsidRPr="00871CF1">
        <w:rPr>
          <w:i/>
          <w:iCs/>
          <w:color w:val="auto"/>
        </w:rPr>
        <w:t>Mowing</w:t>
      </w:r>
      <w:r w:rsidRPr="00871CF1">
        <w:rPr>
          <w:color w:val="auto"/>
        </w:rPr>
        <w:t xml:space="preserve"> (</w:t>
      </w:r>
      <w:r w:rsidR="00643DAA" w:rsidRPr="00871CF1">
        <w:rPr>
          <w:color w:val="auto"/>
        </w:rPr>
        <w:t>MOW</w:t>
      </w:r>
      <w:r w:rsidRPr="00871CF1">
        <w:rPr>
          <w:color w:val="auto"/>
        </w:rPr>
        <w:t xml:space="preserve">) scenario incorporates 2.5 years of temporary </w:t>
      </w:r>
      <w:r w:rsidR="00197326" w:rsidRPr="00871CF1">
        <w:rPr>
          <w:color w:val="auto"/>
        </w:rPr>
        <w:t>grasslands</w:t>
      </w:r>
      <w:r w:rsidRPr="00871CF1">
        <w:rPr>
          <w:color w:val="auto"/>
        </w:rPr>
        <w:t xml:space="preserve"> </w:t>
      </w:r>
      <w:r w:rsidR="00A90A6C" w:rsidRPr="00871CF1">
        <w:rPr>
          <w:color w:val="auto"/>
        </w:rPr>
        <w:t xml:space="preserve">(ryegrass; </w:t>
      </w:r>
      <w:proofErr w:type="spellStart"/>
      <w:r w:rsidR="00A90A6C" w:rsidRPr="00871CF1">
        <w:rPr>
          <w:i/>
          <w:iCs/>
          <w:color w:val="auto"/>
        </w:rPr>
        <w:t>Lelium</w:t>
      </w:r>
      <w:proofErr w:type="spellEnd"/>
      <w:r w:rsidR="00A90A6C" w:rsidRPr="00871CF1">
        <w:rPr>
          <w:i/>
          <w:iCs/>
          <w:color w:val="auto"/>
        </w:rPr>
        <w:t xml:space="preserve"> </w:t>
      </w:r>
      <w:proofErr w:type="spellStart"/>
      <w:r w:rsidR="00A90A6C" w:rsidRPr="00871CF1">
        <w:rPr>
          <w:i/>
          <w:iCs/>
          <w:color w:val="auto"/>
        </w:rPr>
        <w:t>perenne</w:t>
      </w:r>
      <w:proofErr w:type="spellEnd"/>
      <w:r w:rsidR="00A90A6C" w:rsidRPr="00871CF1">
        <w:rPr>
          <w:color w:val="auto"/>
        </w:rPr>
        <w:t>)</w:t>
      </w:r>
      <w:r w:rsidR="00A90A6C" w:rsidRPr="00871CF1">
        <w:rPr>
          <w:i/>
          <w:iCs/>
          <w:color w:val="auto"/>
        </w:rPr>
        <w:t xml:space="preserve"> </w:t>
      </w:r>
      <w:r w:rsidRPr="00871CF1">
        <w:rPr>
          <w:color w:val="auto"/>
        </w:rPr>
        <w:t>within an 8-year crop rotation</w:t>
      </w:r>
      <w:r w:rsidR="005C647F" w:rsidRPr="00871CF1">
        <w:rPr>
          <w:color w:val="auto"/>
        </w:rPr>
        <w:t xml:space="preserve"> (Fig. 1 and Fig. A5</w:t>
      </w:r>
      <w:r w:rsidR="00404BA0" w:rsidRPr="00871CF1">
        <w:rPr>
          <w:color w:val="auto"/>
        </w:rPr>
        <w:t>): they are sown after the pea crop (Year 6) in late summer, maintained for the following two years (Years 7 and 8), and then terminated by conventional tillage (25 cm deep) before maize, which is the first crop of the rotation (Year 1)</w:t>
      </w:r>
      <w:r w:rsidRPr="00871CF1">
        <w:rPr>
          <w:color w:val="auto"/>
        </w:rPr>
        <w:t xml:space="preserve">. </w:t>
      </w:r>
      <w:r w:rsidR="0026524E" w:rsidRPr="00871CF1">
        <w:rPr>
          <w:color w:val="auto"/>
          <w:szCs w:val="22"/>
        </w:rPr>
        <w:t>As for the DIV scenario, the MOW scenario was also investigated in Delandmeter et al. (2026</w:t>
      </w:r>
      <w:r w:rsidR="007138C4" w:rsidRPr="00871CF1">
        <w:rPr>
          <w:color w:val="auto"/>
          <w:szCs w:val="22"/>
        </w:rPr>
        <w:t>a</w:t>
      </w:r>
      <w:r w:rsidR="0021582E" w:rsidRPr="00871CF1">
        <w:rPr>
          <w:color w:val="auto"/>
          <w:szCs w:val="22"/>
        </w:rPr>
        <w:t>; 2026b</w:t>
      </w:r>
      <w:r w:rsidR="0026524E" w:rsidRPr="00871CF1">
        <w:rPr>
          <w:color w:val="auto"/>
          <w:szCs w:val="22"/>
        </w:rPr>
        <w:t>), which removed in this scenario root crops (potato and sugar beet) to minimize the imports and exports necessary to provide a healthy, sustainable diet to a local population</w:t>
      </w:r>
      <w:r w:rsidR="00804074" w:rsidRPr="00871CF1">
        <w:rPr>
          <w:color w:val="auto"/>
          <w:szCs w:val="22"/>
        </w:rPr>
        <w:t>.</w:t>
      </w:r>
      <w:r w:rsidR="0026524E" w:rsidRPr="00871CF1">
        <w:rPr>
          <w:color w:val="auto"/>
          <w:szCs w:val="22"/>
        </w:rPr>
        <w:t xml:space="preserve"> In the MOW scenario, </w:t>
      </w:r>
      <w:r w:rsidR="00BE0773" w:rsidRPr="00871CF1">
        <w:rPr>
          <w:color w:val="auto"/>
        </w:rPr>
        <w:t xml:space="preserve">grasslands </w:t>
      </w:r>
      <w:r w:rsidRPr="00871CF1">
        <w:rPr>
          <w:color w:val="auto"/>
        </w:rPr>
        <w:t xml:space="preserve">are mowed twice a year </w:t>
      </w:r>
      <w:r w:rsidR="00FD6809" w:rsidRPr="00871CF1">
        <w:rPr>
          <w:color w:val="auto"/>
        </w:rPr>
        <w:t xml:space="preserve">in Years 7 and 8 </w:t>
      </w:r>
      <w:r w:rsidRPr="00871CF1">
        <w:rPr>
          <w:color w:val="auto"/>
        </w:rPr>
        <w:t xml:space="preserve">to provide feed for sheep. </w:t>
      </w:r>
      <w:r w:rsidR="00A617C5" w:rsidRPr="00871CF1">
        <w:rPr>
          <w:color w:val="auto"/>
        </w:rPr>
        <w:t xml:space="preserve">This represents the typical method for managing temporary </w:t>
      </w:r>
      <w:r w:rsidR="00C3679B" w:rsidRPr="00871CF1">
        <w:rPr>
          <w:color w:val="auto"/>
        </w:rPr>
        <w:t xml:space="preserve">grasslands </w:t>
      </w:r>
      <w:r w:rsidR="00A617C5" w:rsidRPr="00871CF1">
        <w:rPr>
          <w:color w:val="auto"/>
        </w:rPr>
        <w:t xml:space="preserve">in Wallonia, where mowing is the primary practice. </w:t>
      </w:r>
      <w:r w:rsidRPr="00871CF1">
        <w:rPr>
          <w:color w:val="auto"/>
        </w:rPr>
        <w:t xml:space="preserve">The amount of manure returned to the system is calculated based on </w:t>
      </w:r>
      <w:r w:rsidR="001200B0" w:rsidRPr="00871CF1">
        <w:rPr>
          <w:color w:val="auto"/>
        </w:rPr>
        <w:t xml:space="preserve">exported </w:t>
      </w:r>
      <w:r w:rsidR="000E6D46" w:rsidRPr="00871CF1">
        <w:rPr>
          <w:color w:val="auto"/>
        </w:rPr>
        <w:t>grassland</w:t>
      </w:r>
      <w:r w:rsidR="001200B0" w:rsidRPr="00871CF1">
        <w:rPr>
          <w:color w:val="auto"/>
        </w:rPr>
        <w:t xml:space="preserve"> and cover crop biomass</w:t>
      </w:r>
      <w:r w:rsidRPr="00871CF1">
        <w:rPr>
          <w:color w:val="auto"/>
        </w:rPr>
        <w:t xml:space="preserve"> (Appendix C).</w:t>
      </w:r>
      <w:r w:rsidRPr="00871CF1">
        <w:rPr>
          <w:color w:val="auto"/>
          <w:szCs w:val="22"/>
        </w:rPr>
        <w:t xml:space="preserve"> </w:t>
      </w:r>
      <w:r w:rsidR="009724B7" w:rsidRPr="00871CF1">
        <w:rPr>
          <w:color w:val="auto"/>
          <w:szCs w:val="22"/>
        </w:rPr>
        <w:t xml:space="preserve">During the </w:t>
      </w:r>
      <w:r w:rsidR="0073346C" w:rsidRPr="00871CF1">
        <w:rPr>
          <w:color w:val="auto"/>
          <w:szCs w:val="22"/>
        </w:rPr>
        <w:t>second</w:t>
      </w:r>
      <w:r w:rsidR="009724B7" w:rsidRPr="00871CF1">
        <w:rPr>
          <w:color w:val="auto"/>
          <w:szCs w:val="22"/>
        </w:rPr>
        <w:t xml:space="preserve"> wheat growing season, the straw is collected after harvest for use as sheep bedding and to produce farmyard manure, whereas in the </w:t>
      </w:r>
      <w:r w:rsidR="0073346C" w:rsidRPr="00871CF1">
        <w:rPr>
          <w:color w:val="auto"/>
          <w:szCs w:val="22"/>
        </w:rPr>
        <w:t>first</w:t>
      </w:r>
      <w:r w:rsidR="009724B7" w:rsidRPr="00871CF1">
        <w:rPr>
          <w:color w:val="auto"/>
          <w:szCs w:val="22"/>
        </w:rPr>
        <w:t xml:space="preserve"> season, the straw is left and incorporated into the soil. </w:t>
      </w:r>
      <w:r w:rsidR="00CF2ADC" w:rsidRPr="00871CF1">
        <w:rPr>
          <w:color w:val="auto"/>
          <w:szCs w:val="22"/>
        </w:rPr>
        <w:t>Sheep are assumed to rely exclusively on on-farm biomass for feed, with no external feed inputs, based on the assumption that the 8-year crop rotation is continuously implemented across the farm – reflecting the common practice of growing different rotation crops simultaneously on separate field plots.</w:t>
      </w:r>
      <w:r w:rsidR="00D37B1F" w:rsidRPr="00871CF1">
        <w:rPr>
          <w:color w:val="auto"/>
          <w:szCs w:val="22"/>
        </w:rPr>
        <w:t xml:space="preserve"> </w:t>
      </w:r>
      <w:r w:rsidR="0010644E" w:rsidRPr="00871CF1">
        <w:rPr>
          <w:color w:val="auto"/>
          <w:szCs w:val="22"/>
        </w:rPr>
        <w:t>This scenario also results in the production of sheep meat.</w:t>
      </w:r>
      <w:r w:rsidR="00531670" w:rsidRPr="00871CF1">
        <w:rPr>
          <w:color w:val="auto"/>
          <w:szCs w:val="22"/>
        </w:rPr>
        <w:t xml:space="preserve"> More details about the MOW scenarios, including the computation of the number of sheep in these scenarios, are in Appendix C.</w:t>
      </w:r>
    </w:p>
    <w:p w14:paraId="27C75CBF" w14:textId="3C3A7980" w:rsidR="00793FB1" w:rsidRPr="00871CF1" w:rsidRDefault="00F1388A" w:rsidP="00793FB1">
      <w:pPr>
        <w:pStyle w:val="PubliManuscript"/>
        <w:rPr>
          <w:color w:val="auto"/>
          <w:szCs w:val="22"/>
        </w:rPr>
      </w:pPr>
      <w:r w:rsidRPr="00871CF1">
        <w:rPr>
          <w:color w:val="auto"/>
          <w:szCs w:val="22"/>
        </w:rPr>
        <w:t xml:space="preserve">The </w:t>
      </w:r>
      <w:r w:rsidR="00417B51" w:rsidRPr="00871CF1">
        <w:rPr>
          <w:i/>
          <w:iCs/>
          <w:color w:val="auto"/>
          <w:szCs w:val="22"/>
        </w:rPr>
        <w:t>Grazed</w:t>
      </w:r>
      <w:r w:rsidRPr="00871CF1">
        <w:rPr>
          <w:color w:val="auto"/>
          <w:szCs w:val="22"/>
        </w:rPr>
        <w:t xml:space="preserve"> (</w:t>
      </w:r>
      <w:r w:rsidR="00417B51" w:rsidRPr="00871CF1">
        <w:rPr>
          <w:color w:val="auto"/>
          <w:szCs w:val="22"/>
        </w:rPr>
        <w:t>GRAZ</w:t>
      </w:r>
      <w:r w:rsidRPr="00871CF1">
        <w:rPr>
          <w:color w:val="auto"/>
          <w:szCs w:val="22"/>
        </w:rPr>
        <w:t xml:space="preserve">) </w:t>
      </w:r>
      <w:r w:rsidR="006B117D" w:rsidRPr="00871CF1">
        <w:rPr>
          <w:color w:val="auto"/>
          <w:szCs w:val="22"/>
        </w:rPr>
        <w:t xml:space="preserve">scenario </w:t>
      </w:r>
      <w:r w:rsidRPr="00871CF1">
        <w:rPr>
          <w:color w:val="auto"/>
          <w:szCs w:val="22"/>
        </w:rPr>
        <w:t xml:space="preserve">is the same </w:t>
      </w:r>
      <w:r w:rsidR="006B117D" w:rsidRPr="00871CF1">
        <w:rPr>
          <w:color w:val="auto"/>
          <w:szCs w:val="22"/>
        </w:rPr>
        <w:t>crop rotation as</w:t>
      </w:r>
      <w:r w:rsidRPr="00871CF1">
        <w:rPr>
          <w:color w:val="auto"/>
          <w:szCs w:val="22"/>
        </w:rPr>
        <w:t xml:space="preserve"> </w:t>
      </w:r>
      <w:r w:rsidR="00417B51" w:rsidRPr="00871CF1">
        <w:rPr>
          <w:color w:val="auto"/>
          <w:szCs w:val="22"/>
        </w:rPr>
        <w:t>MOW</w:t>
      </w:r>
      <w:r w:rsidRPr="00871CF1">
        <w:rPr>
          <w:color w:val="auto"/>
          <w:szCs w:val="22"/>
        </w:rPr>
        <w:t>,</w:t>
      </w:r>
      <w:r w:rsidR="007C7B0A" w:rsidRPr="00871CF1">
        <w:rPr>
          <w:color w:val="auto"/>
          <w:szCs w:val="22"/>
        </w:rPr>
        <w:t xml:space="preserve"> except </w:t>
      </w:r>
      <w:proofErr w:type="gramStart"/>
      <w:r w:rsidR="007C7B0A" w:rsidRPr="00871CF1">
        <w:rPr>
          <w:color w:val="auto"/>
          <w:szCs w:val="22"/>
        </w:rPr>
        <w:t>that</w:t>
      </w:r>
      <w:r w:rsidR="00CC6B32" w:rsidRPr="00871CF1">
        <w:rPr>
          <w:color w:val="auto"/>
          <w:szCs w:val="22"/>
        </w:rPr>
        <w:t xml:space="preserve"> </w:t>
      </w:r>
      <w:r w:rsidR="00C3679B" w:rsidRPr="00871CF1">
        <w:rPr>
          <w:color w:val="auto"/>
          <w:szCs w:val="22"/>
        </w:rPr>
        <w:t>temporary grasslands</w:t>
      </w:r>
      <w:proofErr w:type="gramEnd"/>
      <w:r w:rsidR="007C7B0A" w:rsidRPr="00871CF1">
        <w:rPr>
          <w:color w:val="auto"/>
          <w:szCs w:val="22"/>
        </w:rPr>
        <w:t xml:space="preserve"> </w:t>
      </w:r>
      <w:r w:rsidR="006031CA" w:rsidRPr="00871CF1">
        <w:rPr>
          <w:color w:val="auto"/>
        </w:rPr>
        <w:t xml:space="preserve">(ryegrass; </w:t>
      </w:r>
      <w:proofErr w:type="spellStart"/>
      <w:r w:rsidR="006031CA" w:rsidRPr="00871CF1">
        <w:rPr>
          <w:i/>
          <w:iCs/>
          <w:color w:val="auto"/>
        </w:rPr>
        <w:t>Lelium</w:t>
      </w:r>
      <w:proofErr w:type="spellEnd"/>
      <w:r w:rsidR="006031CA" w:rsidRPr="00871CF1">
        <w:rPr>
          <w:i/>
          <w:iCs/>
          <w:color w:val="auto"/>
        </w:rPr>
        <w:t xml:space="preserve"> </w:t>
      </w:r>
      <w:proofErr w:type="spellStart"/>
      <w:r w:rsidR="006031CA" w:rsidRPr="00871CF1">
        <w:rPr>
          <w:i/>
          <w:iCs/>
          <w:color w:val="auto"/>
        </w:rPr>
        <w:t>perenne</w:t>
      </w:r>
      <w:proofErr w:type="spellEnd"/>
      <w:r w:rsidR="006031CA" w:rsidRPr="00871CF1">
        <w:rPr>
          <w:color w:val="auto"/>
        </w:rPr>
        <w:t>)</w:t>
      </w:r>
      <w:r w:rsidR="006031CA" w:rsidRPr="00871CF1">
        <w:rPr>
          <w:i/>
          <w:iCs/>
          <w:color w:val="auto"/>
        </w:rPr>
        <w:t xml:space="preserve"> </w:t>
      </w:r>
      <w:r w:rsidR="007C7B0A" w:rsidRPr="00871CF1">
        <w:rPr>
          <w:color w:val="auto"/>
          <w:szCs w:val="22"/>
        </w:rPr>
        <w:t xml:space="preserve">are </w:t>
      </w:r>
      <w:r w:rsidR="005A42F7" w:rsidRPr="00871CF1">
        <w:rPr>
          <w:color w:val="auto"/>
          <w:szCs w:val="22"/>
        </w:rPr>
        <w:t xml:space="preserve">not mowed as in the MOW scenario but </w:t>
      </w:r>
      <w:r w:rsidR="007C7B0A" w:rsidRPr="00871CF1">
        <w:rPr>
          <w:color w:val="auto"/>
          <w:szCs w:val="22"/>
        </w:rPr>
        <w:t xml:space="preserve">grazed by beef </w:t>
      </w:r>
      <w:r w:rsidR="007C7B0A" w:rsidRPr="00871CF1">
        <w:rPr>
          <w:color w:val="auto"/>
          <w:szCs w:val="22"/>
        </w:rPr>
        <w:lastRenderedPageBreak/>
        <w:t>cattle (</w:t>
      </w:r>
      <w:r w:rsidR="009A52D0" w:rsidRPr="00871CF1">
        <w:rPr>
          <w:color w:val="auto"/>
          <w:szCs w:val="22"/>
        </w:rPr>
        <w:t xml:space="preserve">hence grasslands are qualified in the GRAZ system as ‘pastures’; </w:t>
      </w:r>
      <w:r w:rsidR="007C7B0A" w:rsidRPr="00871CF1">
        <w:rPr>
          <w:color w:val="auto"/>
          <w:szCs w:val="22"/>
        </w:rPr>
        <w:t>Fig. 1 and Fig. A7). This means that pastures are regularly cut</w:t>
      </w:r>
      <w:r w:rsidR="009F779E" w:rsidRPr="00871CF1">
        <w:rPr>
          <w:color w:val="auto"/>
          <w:szCs w:val="22"/>
        </w:rPr>
        <w:t xml:space="preserve"> to simulate animal grazing</w:t>
      </w:r>
      <w:r w:rsidR="007C7B0A" w:rsidRPr="00871CF1">
        <w:rPr>
          <w:color w:val="auto"/>
          <w:szCs w:val="22"/>
        </w:rPr>
        <w:t xml:space="preserve">, every 14 days from April to June and every 30 days between June to October, and </w:t>
      </w:r>
      <w:r w:rsidR="006A6803" w:rsidRPr="00871CF1">
        <w:rPr>
          <w:color w:val="auto"/>
          <w:szCs w:val="22"/>
        </w:rPr>
        <w:t>feces</w:t>
      </w:r>
      <w:r w:rsidR="007C7B0A" w:rsidRPr="00871CF1">
        <w:rPr>
          <w:color w:val="auto"/>
          <w:szCs w:val="22"/>
        </w:rPr>
        <w:t xml:space="preserve"> and urine are returned after each cut.</w:t>
      </w:r>
      <w:r w:rsidRPr="00871CF1">
        <w:rPr>
          <w:color w:val="auto"/>
          <w:szCs w:val="22"/>
        </w:rPr>
        <w:t xml:space="preserve"> </w:t>
      </w:r>
      <w:r w:rsidR="006205DA" w:rsidRPr="00871CF1">
        <w:rPr>
          <w:color w:val="auto"/>
          <w:szCs w:val="22"/>
        </w:rPr>
        <w:t xml:space="preserve">In the same manner than the BAU and DIV scenarios, wheat straw is exported during one cropping season </w:t>
      </w:r>
      <w:r w:rsidR="00AA3A14" w:rsidRPr="00871CF1">
        <w:rPr>
          <w:color w:val="auto"/>
          <w:szCs w:val="22"/>
        </w:rPr>
        <w:t>in exchange of imported bovine manure.</w:t>
      </w:r>
      <w:r w:rsidR="006205DA" w:rsidRPr="00871CF1">
        <w:rPr>
          <w:color w:val="auto"/>
          <w:szCs w:val="22"/>
        </w:rPr>
        <w:t xml:space="preserve"> </w:t>
      </w:r>
      <w:r w:rsidR="00114CB7" w:rsidRPr="00871CF1">
        <w:rPr>
          <w:color w:val="auto"/>
          <w:szCs w:val="22"/>
        </w:rPr>
        <w:t>In addition to crop products, this scenario produces beef meat.</w:t>
      </w:r>
      <w:r w:rsidR="0063780F" w:rsidRPr="00871CF1">
        <w:rPr>
          <w:color w:val="auto"/>
          <w:szCs w:val="22"/>
        </w:rPr>
        <w:t xml:space="preserve"> </w:t>
      </w:r>
      <w:r w:rsidR="004F64D1" w:rsidRPr="00871CF1">
        <w:rPr>
          <w:color w:val="auto"/>
        </w:rPr>
        <w:t>In the GRAZ scenarios, we do not simulate a fixed number of animals. Instead, we derive beef live</w:t>
      </w:r>
      <w:r w:rsidR="009752D2" w:rsidRPr="00871CF1">
        <w:rPr>
          <w:color w:val="auto"/>
        </w:rPr>
        <w:t xml:space="preserve"> </w:t>
      </w:r>
      <w:r w:rsidR="004F64D1" w:rsidRPr="00871CF1">
        <w:rPr>
          <w:color w:val="auto"/>
        </w:rPr>
        <w:t>weight gain and enteric methane emissions directly from dry</w:t>
      </w:r>
      <w:r w:rsidR="00F50E07" w:rsidRPr="00871CF1">
        <w:rPr>
          <w:color w:val="auto"/>
        </w:rPr>
        <w:t xml:space="preserve"> </w:t>
      </w:r>
      <w:r w:rsidR="004F64D1" w:rsidRPr="00871CF1">
        <w:rPr>
          <w:color w:val="auto"/>
        </w:rPr>
        <w:t xml:space="preserve">matter intake, which is represented through regular cuts in sward biomass </w:t>
      </w:r>
      <w:r w:rsidR="008C2B78" w:rsidRPr="00871CF1">
        <w:rPr>
          <w:color w:val="auto"/>
        </w:rPr>
        <w:t xml:space="preserve">which simulate animal grazing, </w:t>
      </w:r>
      <w:r w:rsidR="004F64D1" w:rsidRPr="00871CF1">
        <w:rPr>
          <w:color w:val="auto"/>
        </w:rPr>
        <w:t xml:space="preserve">as described in the </w:t>
      </w:r>
      <w:r w:rsidR="00971B1E" w:rsidRPr="00871CF1">
        <w:rPr>
          <w:color w:val="auto"/>
        </w:rPr>
        <w:t>model description</w:t>
      </w:r>
      <w:r w:rsidR="004F64D1" w:rsidRPr="00871CF1">
        <w:rPr>
          <w:color w:val="auto"/>
        </w:rPr>
        <w:t xml:space="preserve"> below</w:t>
      </w:r>
      <w:r w:rsidR="0063780F" w:rsidRPr="00871CF1">
        <w:rPr>
          <w:color w:val="auto"/>
        </w:rPr>
        <w:t>.</w:t>
      </w:r>
      <w:r w:rsidR="00691589" w:rsidRPr="00871CF1">
        <w:rPr>
          <w:color w:val="auto"/>
          <w:szCs w:val="22"/>
        </w:rPr>
        <w:t xml:space="preserve"> As for BAU and DIV scenarios, </w:t>
      </w:r>
      <w:r w:rsidR="00691589" w:rsidRPr="00871CF1">
        <w:rPr>
          <w:color w:val="auto"/>
        </w:rPr>
        <w:t>cover crop biomass is not removed but incorporated into the soil.</w:t>
      </w:r>
      <w:r w:rsidR="0063780F" w:rsidRPr="00871CF1">
        <w:rPr>
          <w:color w:val="auto"/>
        </w:rPr>
        <w:t xml:space="preserve"> </w:t>
      </w:r>
      <w:r w:rsidR="007B449C" w:rsidRPr="00871CF1">
        <w:rPr>
          <w:color w:val="auto"/>
          <w:szCs w:val="22"/>
        </w:rPr>
        <w:t xml:space="preserve">More details </w:t>
      </w:r>
      <w:r w:rsidR="00793FB1" w:rsidRPr="00871CF1">
        <w:rPr>
          <w:color w:val="auto"/>
          <w:szCs w:val="22"/>
        </w:rPr>
        <w:t xml:space="preserve">about </w:t>
      </w:r>
      <w:r w:rsidR="00004A4F" w:rsidRPr="00871CF1">
        <w:rPr>
          <w:color w:val="auto"/>
          <w:szCs w:val="22"/>
        </w:rPr>
        <w:t>GRAZ</w:t>
      </w:r>
      <w:r w:rsidR="007B449C" w:rsidRPr="00871CF1">
        <w:rPr>
          <w:color w:val="auto"/>
          <w:szCs w:val="22"/>
        </w:rPr>
        <w:t xml:space="preserve"> </w:t>
      </w:r>
      <w:r w:rsidR="00E27EEE" w:rsidRPr="00871CF1">
        <w:rPr>
          <w:color w:val="auto"/>
          <w:szCs w:val="22"/>
        </w:rPr>
        <w:t>scenarios</w:t>
      </w:r>
      <w:r w:rsidR="007B449C" w:rsidRPr="00871CF1">
        <w:rPr>
          <w:color w:val="auto"/>
          <w:szCs w:val="22"/>
        </w:rPr>
        <w:t xml:space="preserve"> are </w:t>
      </w:r>
      <w:r w:rsidR="00793FB1" w:rsidRPr="00871CF1">
        <w:rPr>
          <w:color w:val="auto"/>
          <w:szCs w:val="22"/>
        </w:rPr>
        <w:t xml:space="preserve">also </w:t>
      </w:r>
      <w:r w:rsidR="007B449C" w:rsidRPr="00871CF1">
        <w:rPr>
          <w:color w:val="auto"/>
          <w:szCs w:val="22"/>
        </w:rPr>
        <w:t xml:space="preserve">in Appendix C. </w:t>
      </w:r>
    </w:p>
    <w:p w14:paraId="49C04F20" w14:textId="49310959" w:rsidR="00D87CA3" w:rsidRPr="00871CF1" w:rsidRDefault="00450212" w:rsidP="00793FB1">
      <w:pPr>
        <w:pStyle w:val="PubliManuscript"/>
        <w:rPr>
          <w:color w:val="auto"/>
        </w:rPr>
      </w:pPr>
      <w:r w:rsidRPr="00871CF1">
        <w:rPr>
          <w:color w:val="auto"/>
        </w:rPr>
        <w:t xml:space="preserve">Each of the four scenarios is duplicated with a Reduced Fertilization (RF) modality, in which </w:t>
      </w:r>
      <w:r w:rsidR="002451D6" w:rsidRPr="00871CF1">
        <w:rPr>
          <w:color w:val="auto"/>
        </w:rPr>
        <w:t>synthetic mineral</w:t>
      </w:r>
      <w:r w:rsidR="00A3783D" w:rsidRPr="00871CF1">
        <w:rPr>
          <w:color w:val="auto"/>
        </w:rPr>
        <w:t xml:space="preserve"> </w:t>
      </w:r>
      <w:r w:rsidRPr="00871CF1">
        <w:rPr>
          <w:color w:val="auto"/>
        </w:rPr>
        <w:t>nitrogen (N) fertilization is reduced by 25% (Fig. A2, A4, A6, and A8).</w:t>
      </w:r>
      <w:r w:rsidR="0017498A" w:rsidRPr="00871CF1">
        <w:rPr>
          <w:color w:val="auto"/>
        </w:rPr>
        <w:t xml:space="preserve"> </w:t>
      </w:r>
      <w:r w:rsidR="00112905" w:rsidRPr="00871CF1">
        <w:rPr>
          <w:color w:val="auto"/>
        </w:rPr>
        <w:t xml:space="preserve">Quantities of imported manure (obtained in exchange for exported wheat straw) </w:t>
      </w:r>
      <w:r w:rsidR="00DE2BA4" w:rsidRPr="00871CF1">
        <w:rPr>
          <w:color w:val="auto"/>
        </w:rPr>
        <w:t xml:space="preserve">were not reduced in BAU-RF and DIV-RF scenarios as winter wheat yields and straw production decline only marginally when synthetic N fertilization is reduced by moderate amounts, such as 25% (van Grinsven et al., 2022). </w:t>
      </w:r>
      <w:r w:rsidR="0017498A" w:rsidRPr="00871CF1">
        <w:rPr>
          <w:color w:val="auto"/>
        </w:rPr>
        <w:t xml:space="preserve">Within full and reduced fertilization scenarios, the </w:t>
      </w:r>
      <w:r w:rsidR="00A641C2" w:rsidRPr="00871CF1">
        <w:rPr>
          <w:color w:val="auto"/>
        </w:rPr>
        <w:t xml:space="preserve">synthetic </w:t>
      </w:r>
      <w:r w:rsidR="0017498A" w:rsidRPr="00871CF1">
        <w:rPr>
          <w:color w:val="auto"/>
        </w:rPr>
        <w:t>fertilization rate for each crop was similar between scenarios</w:t>
      </w:r>
      <w:r w:rsidR="005054AF" w:rsidRPr="00871CF1">
        <w:rPr>
          <w:color w:val="auto"/>
        </w:rPr>
        <w:t xml:space="preserve">, </w:t>
      </w:r>
      <w:proofErr w:type="gramStart"/>
      <w:r w:rsidR="005054AF" w:rsidRPr="00871CF1">
        <w:rPr>
          <w:color w:val="auto"/>
        </w:rPr>
        <w:t>in order to</w:t>
      </w:r>
      <w:proofErr w:type="gramEnd"/>
      <w:r w:rsidR="005054AF" w:rsidRPr="00871CF1">
        <w:rPr>
          <w:color w:val="auto"/>
        </w:rPr>
        <w:t xml:space="preserve"> facilitate comparisons</w:t>
      </w:r>
      <w:r w:rsidR="00BE704E" w:rsidRPr="00871CF1">
        <w:rPr>
          <w:color w:val="auto"/>
        </w:rPr>
        <w:t xml:space="preserve"> (Fig. A1-A8)</w:t>
      </w:r>
      <w:r w:rsidR="00CD52CF" w:rsidRPr="00871CF1">
        <w:rPr>
          <w:color w:val="auto"/>
        </w:rPr>
        <w:t>.</w:t>
      </w:r>
      <w:r w:rsidR="0017498A" w:rsidRPr="00871CF1">
        <w:rPr>
          <w:color w:val="auto"/>
        </w:rPr>
        <w:t xml:space="preserve"> </w:t>
      </w:r>
    </w:p>
    <w:p w14:paraId="05B5FC72" w14:textId="5BD0D9EC" w:rsidR="009F4491" w:rsidRPr="00871CF1" w:rsidRDefault="003B2568" w:rsidP="00D87CA3">
      <w:pPr>
        <w:pStyle w:val="PubliManuscript"/>
        <w:ind w:firstLine="0"/>
        <w:rPr>
          <w:b/>
          <w:bCs/>
          <w:color w:val="auto"/>
        </w:rPr>
      </w:pPr>
      <w:r w:rsidRPr="00871CF1">
        <w:rPr>
          <w:b/>
          <w:bCs/>
          <w:color w:val="auto"/>
        </w:rPr>
        <w:t>Model description</w:t>
      </w:r>
    </w:p>
    <w:p w14:paraId="0AFBE204" w14:textId="402C8AA3" w:rsidR="00181A50" w:rsidRPr="00871CF1" w:rsidRDefault="00C3546E" w:rsidP="00444C27">
      <w:pPr>
        <w:pStyle w:val="PubliManuscript"/>
        <w:rPr>
          <w:color w:val="auto"/>
          <w:szCs w:val="22"/>
        </w:rPr>
      </w:pPr>
      <w:r w:rsidRPr="00871CF1">
        <w:rPr>
          <w:color w:val="auto"/>
          <w:szCs w:val="22"/>
        </w:rPr>
        <w:t>The STICS soil-crop model</w:t>
      </w:r>
      <w:r w:rsidR="005C6E2F" w:rsidRPr="00871CF1">
        <w:rPr>
          <w:color w:val="auto"/>
          <w:szCs w:val="22"/>
        </w:rPr>
        <w:t xml:space="preserve"> was used for simulations (Beaudoin et al., 2022). It is</w:t>
      </w:r>
      <w:r w:rsidRPr="00871CF1">
        <w:rPr>
          <w:color w:val="auto"/>
          <w:szCs w:val="22"/>
        </w:rPr>
        <w:t xml:space="preserve"> a</w:t>
      </w:r>
      <w:r w:rsidR="00776FB1" w:rsidRPr="00871CF1">
        <w:rPr>
          <w:color w:val="auto"/>
          <w:szCs w:val="22"/>
        </w:rPr>
        <w:t xml:space="preserve"> </w:t>
      </w:r>
      <w:r w:rsidRPr="00871CF1">
        <w:rPr>
          <w:color w:val="auto"/>
          <w:szCs w:val="22"/>
        </w:rPr>
        <w:t xml:space="preserve">process-based </w:t>
      </w:r>
      <w:r w:rsidR="00A070CD" w:rsidRPr="00871CF1">
        <w:rPr>
          <w:color w:val="auto"/>
          <w:szCs w:val="22"/>
        </w:rPr>
        <w:t>model</w:t>
      </w:r>
      <w:r w:rsidRPr="00871CF1">
        <w:rPr>
          <w:color w:val="auto"/>
          <w:szCs w:val="22"/>
        </w:rPr>
        <w:t xml:space="preserve"> </w:t>
      </w:r>
      <w:r w:rsidR="00776FB1" w:rsidRPr="00871CF1">
        <w:rPr>
          <w:color w:val="auto"/>
          <w:szCs w:val="22"/>
        </w:rPr>
        <w:t>which simulates at a daily time step</w:t>
      </w:r>
      <w:r w:rsidRPr="00871CF1">
        <w:rPr>
          <w:color w:val="auto"/>
          <w:szCs w:val="22"/>
        </w:rPr>
        <w:t xml:space="preserve"> plant growth and the </w:t>
      </w:r>
      <w:r w:rsidR="00302952" w:rsidRPr="00871CF1">
        <w:rPr>
          <w:color w:val="auto"/>
          <w:szCs w:val="22"/>
        </w:rPr>
        <w:t xml:space="preserve">energy, </w:t>
      </w:r>
      <w:r w:rsidRPr="00871CF1">
        <w:rPr>
          <w:color w:val="auto"/>
          <w:szCs w:val="22"/>
        </w:rPr>
        <w:t>water, carbon</w:t>
      </w:r>
      <w:r w:rsidR="00BE63BF" w:rsidRPr="00871CF1">
        <w:rPr>
          <w:color w:val="auto"/>
          <w:szCs w:val="22"/>
        </w:rPr>
        <w:t xml:space="preserve"> (C)</w:t>
      </w:r>
      <w:r w:rsidRPr="00871CF1">
        <w:rPr>
          <w:color w:val="auto"/>
          <w:szCs w:val="22"/>
        </w:rPr>
        <w:t xml:space="preserve">, and </w:t>
      </w:r>
      <w:r w:rsidR="00F75305" w:rsidRPr="00871CF1">
        <w:rPr>
          <w:color w:val="auto"/>
          <w:szCs w:val="22"/>
        </w:rPr>
        <w:t>N</w:t>
      </w:r>
      <w:r w:rsidR="00302952" w:rsidRPr="00871CF1">
        <w:rPr>
          <w:color w:val="auto"/>
          <w:szCs w:val="22"/>
        </w:rPr>
        <w:t xml:space="preserve"> balances across the crop cycle and during fallow periods</w:t>
      </w:r>
      <w:r w:rsidR="00CD59C3" w:rsidRPr="00871CF1">
        <w:rPr>
          <w:color w:val="auto"/>
          <w:szCs w:val="22"/>
        </w:rPr>
        <w:t>.</w:t>
      </w:r>
      <w:r w:rsidRPr="00871CF1">
        <w:rPr>
          <w:color w:val="auto"/>
          <w:szCs w:val="22"/>
        </w:rPr>
        <w:t xml:space="preserve"> </w:t>
      </w:r>
      <w:r w:rsidR="00B80731" w:rsidRPr="00871CF1">
        <w:rPr>
          <w:color w:val="auto"/>
          <w:szCs w:val="22"/>
        </w:rPr>
        <w:t>It represents the agroecosystem in one dimension, with the top boundary set at the low layer of the atmosphere (2 m high), where weather conditions are measured, and the bottom boundary at the subsoil layer, where water and nutrients drain beyond the crop’s root zone</w:t>
      </w:r>
      <w:r w:rsidR="009302BA" w:rsidRPr="00871CF1">
        <w:rPr>
          <w:color w:val="auto"/>
          <w:szCs w:val="22"/>
        </w:rPr>
        <w:t xml:space="preserve"> (Dumont et al., 2025)</w:t>
      </w:r>
      <w:r w:rsidR="00C654E7" w:rsidRPr="00871CF1">
        <w:rPr>
          <w:color w:val="auto"/>
          <w:szCs w:val="22"/>
        </w:rPr>
        <w:t>.</w:t>
      </w:r>
      <w:r w:rsidR="00DB1D42" w:rsidRPr="00871CF1">
        <w:rPr>
          <w:color w:val="auto"/>
          <w:szCs w:val="22"/>
        </w:rPr>
        <w:t xml:space="preserve"> </w:t>
      </w:r>
      <w:r w:rsidR="00386D93" w:rsidRPr="00871CF1">
        <w:rPr>
          <w:color w:val="auto"/>
          <w:szCs w:val="22"/>
        </w:rPr>
        <w:t xml:space="preserve">Phenology is determined using a daily thermal index that accounts for crop temperature, photoperiod, vernalization requirements, as well as the effects of water and nitrogen stress. Potential shoot biomass is then estimated from the leaf area index (LAI) using the radiation use efficiency (RUE) concept, which assumes a linear relationship between </w:t>
      </w:r>
      <w:r w:rsidR="00386D93" w:rsidRPr="00871CF1">
        <w:rPr>
          <w:color w:val="auto"/>
          <w:szCs w:val="22"/>
        </w:rPr>
        <w:lastRenderedPageBreak/>
        <w:t>the plant’s accumulated biomass and the amount of radiation intercepted by its foliage.</w:t>
      </w:r>
      <w:r w:rsidR="003A16A5" w:rsidRPr="00871CF1">
        <w:rPr>
          <w:color w:val="auto"/>
          <w:szCs w:val="22"/>
        </w:rPr>
        <w:t xml:space="preserve"> The model represents the dynamics of soil water and </w:t>
      </w:r>
      <w:r w:rsidR="00F70674" w:rsidRPr="00871CF1">
        <w:rPr>
          <w:color w:val="auto"/>
          <w:szCs w:val="22"/>
        </w:rPr>
        <w:t>N</w:t>
      </w:r>
      <w:r w:rsidR="003A16A5" w:rsidRPr="00871CF1">
        <w:rPr>
          <w:color w:val="auto"/>
          <w:szCs w:val="22"/>
        </w:rPr>
        <w:t xml:space="preserve"> to assess both their accessibility to plants and the risk of environmental losses. It adopts a compartmental framework, dividing the system into a series of distinct interacting pools.</w:t>
      </w:r>
      <w:r w:rsidR="00386D93" w:rsidRPr="00871CF1">
        <w:rPr>
          <w:color w:val="auto"/>
          <w:szCs w:val="22"/>
        </w:rPr>
        <w:t xml:space="preserve"> </w:t>
      </w:r>
      <w:r w:rsidR="00DB1D42" w:rsidRPr="00871CF1">
        <w:rPr>
          <w:color w:val="auto"/>
          <w:szCs w:val="22"/>
        </w:rPr>
        <w:t xml:space="preserve">Crop </w:t>
      </w:r>
      <w:r w:rsidR="00C1663B" w:rsidRPr="00871CF1">
        <w:rPr>
          <w:color w:val="auto"/>
          <w:szCs w:val="22"/>
        </w:rPr>
        <w:t>N</w:t>
      </w:r>
      <w:r w:rsidR="00DB1D42" w:rsidRPr="00871CF1">
        <w:rPr>
          <w:color w:val="auto"/>
          <w:szCs w:val="22"/>
        </w:rPr>
        <w:t xml:space="preserve"> uptake </w:t>
      </w:r>
      <w:r w:rsidR="00DF241C" w:rsidRPr="00871CF1">
        <w:rPr>
          <w:color w:val="auto"/>
          <w:szCs w:val="22"/>
        </w:rPr>
        <w:t>depends on</w:t>
      </w:r>
      <w:r w:rsidR="00DB1D42" w:rsidRPr="00871CF1">
        <w:rPr>
          <w:color w:val="auto"/>
          <w:szCs w:val="22"/>
        </w:rPr>
        <w:t xml:space="preserve"> </w:t>
      </w:r>
      <w:r w:rsidR="00E9055B" w:rsidRPr="00871CF1">
        <w:rPr>
          <w:color w:val="auto"/>
          <w:szCs w:val="22"/>
        </w:rPr>
        <w:t xml:space="preserve">mineral N availability in the soil and </w:t>
      </w:r>
      <w:r w:rsidR="00BD20E7" w:rsidRPr="00871CF1">
        <w:rPr>
          <w:color w:val="auto"/>
          <w:szCs w:val="22"/>
        </w:rPr>
        <w:t>C</w:t>
      </w:r>
      <w:r w:rsidR="00E9055B" w:rsidRPr="00871CF1">
        <w:rPr>
          <w:color w:val="auto"/>
          <w:szCs w:val="22"/>
        </w:rPr>
        <w:t xml:space="preserve"> accumulation in the crop</w:t>
      </w:r>
      <w:r w:rsidR="00DB1D42" w:rsidRPr="00871CF1">
        <w:rPr>
          <w:color w:val="auto"/>
          <w:szCs w:val="22"/>
        </w:rPr>
        <w:t xml:space="preserve">. </w:t>
      </w:r>
      <w:r w:rsidR="00181A50" w:rsidRPr="00871CF1">
        <w:rPr>
          <w:color w:val="auto"/>
          <w:szCs w:val="22"/>
        </w:rPr>
        <w:t xml:space="preserve">The </w:t>
      </w:r>
      <w:r w:rsidR="00C1663B" w:rsidRPr="00871CF1">
        <w:rPr>
          <w:color w:val="auto"/>
          <w:szCs w:val="22"/>
        </w:rPr>
        <w:t>N</w:t>
      </w:r>
      <w:r w:rsidR="00181A50" w:rsidRPr="00871CF1">
        <w:rPr>
          <w:color w:val="auto"/>
          <w:szCs w:val="22"/>
        </w:rPr>
        <w:t xml:space="preserve"> balance in the soil</w:t>
      </w:r>
      <w:r w:rsidR="000B6170" w:rsidRPr="00871CF1">
        <w:rPr>
          <w:color w:val="auto"/>
          <w:szCs w:val="22"/>
        </w:rPr>
        <w:t>-</w:t>
      </w:r>
      <w:r w:rsidR="00181A50" w:rsidRPr="00871CF1">
        <w:rPr>
          <w:color w:val="auto"/>
          <w:szCs w:val="22"/>
        </w:rPr>
        <w:t xml:space="preserve">plant system is governed by key processes affecting both organic and </w:t>
      </w:r>
      <w:r w:rsidR="008A358A" w:rsidRPr="00871CF1">
        <w:rPr>
          <w:color w:val="auto"/>
          <w:szCs w:val="22"/>
        </w:rPr>
        <w:t>N</w:t>
      </w:r>
      <w:r w:rsidR="00181A50" w:rsidRPr="00871CF1">
        <w:rPr>
          <w:color w:val="auto"/>
          <w:szCs w:val="22"/>
        </w:rPr>
        <w:t xml:space="preserve"> nitrogen pools in the soil, including mineralization, immobilization, nitrification, volatilization, denitrification, and leaching. It also accounts for crop-related source and sink dynamics, such as symbiotic </w:t>
      </w:r>
      <w:r w:rsidR="00C26D1D" w:rsidRPr="00871CF1">
        <w:rPr>
          <w:color w:val="auto"/>
          <w:szCs w:val="22"/>
        </w:rPr>
        <w:t>N</w:t>
      </w:r>
      <w:r w:rsidR="00181A50" w:rsidRPr="00871CF1">
        <w:rPr>
          <w:color w:val="auto"/>
          <w:szCs w:val="22"/>
        </w:rPr>
        <w:t xml:space="preserve"> fixation and the uptake of mineral </w:t>
      </w:r>
      <w:r w:rsidR="00C26D1D" w:rsidRPr="00871CF1">
        <w:rPr>
          <w:color w:val="auto"/>
          <w:szCs w:val="22"/>
        </w:rPr>
        <w:t>N</w:t>
      </w:r>
      <w:r w:rsidR="00181A50" w:rsidRPr="00871CF1">
        <w:rPr>
          <w:color w:val="auto"/>
          <w:szCs w:val="22"/>
        </w:rPr>
        <w:t xml:space="preserve">. In STICS, the </w:t>
      </w:r>
      <w:r w:rsidR="00FA6E86" w:rsidRPr="00871CF1">
        <w:rPr>
          <w:color w:val="auto"/>
          <w:szCs w:val="22"/>
        </w:rPr>
        <w:t>C</w:t>
      </w:r>
      <w:r w:rsidR="00181A50" w:rsidRPr="00871CF1">
        <w:rPr>
          <w:color w:val="auto"/>
          <w:szCs w:val="22"/>
        </w:rPr>
        <w:t xml:space="preserve"> and </w:t>
      </w:r>
      <w:r w:rsidR="00FA6E86" w:rsidRPr="00871CF1">
        <w:rPr>
          <w:color w:val="auto"/>
          <w:szCs w:val="22"/>
        </w:rPr>
        <w:t>N</w:t>
      </w:r>
      <w:r w:rsidR="00181A50" w:rsidRPr="00871CF1">
        <w:rPr>
          <w:color w:val="auto"/>
          <w:szCs w:val="22"/>
        </w:rPr>
        <w:t xml:space="preserve"> pools considered include added organic residues – such as straw, roots, manure, and senescent leaves</w:t>
      </w:r>
      <w:r w:rsidR="00D3099C" w:rsidRPr="00871CF1">
        <w:rPr>
          <w:color w:val="auto"/>
          <w:szCs w:val="22"/>
        </w:rPr>
        <w:t xml:space="preserve"> – </w:t>
      </w:r>
      <w:r w:rsidR="00181A50" w:rsidRPr="00871CF1">
        <w:rPr>
          <w:color w:val="auto"/>
          <w:szCs w:val="22"/>
        </w:rPr>
        <w:t>along with microbial biomass involved in decomposition, humified organic matter, and mineral pools.</w:t>
      </w:r>
    </w:p>
    <w:p w14:paraId="6C0747EC" w14:textId="5C71D51B" w:rsidR="0066367A" w:rsidRPr="00871CF1" w:rsidRDefault="00647DCD" w:rsidP="00444C27">
      <w:pPr>
        <w:pStyle w:val="PubliManuscript"/>
        <w:rPr>
          <w:color w:val="auto"/>
          <w:szCs w:val="22"/>
        </w:rPr>
      </w:pPr>
      <w:r w:rsidRPr="00871CF1">
        <w:rPr>
          <w:color w:val="auto"/>
          <w:szCs w:val="22"/>
        </w:rPr>
        <w:t>We used the plant parameterization calibrated and validated in</w:t>
      </w:r>
      <w:r w:rsidR="00C3546E" w:rsidRPr="00871CF1">
        <w:rPr>
          <w:color w:val="auto"/>
          <w:szCs w:val="22"/>
        </w:rPr>
        <w:t xml:space="preserve"> Delandmeter et al. (2023, 2024b), </w:t>
      </w:r>
      <w:r w:rsidR="007F478F" w:rsidRPr="00871CF1">
        <w:rPr>
          <w:color w:val="auto"/>
          <w:szCs w:val="22"/>
        </w:rPr>
        <w:t xml:space="preserve">which successfully replicated field experiments conducted in Gembloux and </w:t>
      </w:r>
      <w:proofErr w:type="spellStart"/>
      <w:r w:rsidR="007F478F" w:rsidRPr="00871CF1">
        <w:rPr>
          <w:color w:val="auto"/>
          <w:szCs w:val="22"/>
        </w:rPr>
        <w:t>Lonzée</w:t>
      </w:r>
      <w:proofErr w:type="spellEnd"/>
      <w:r w:rsidR="007F478F" w:rsidRPr="00871CF1">
        <w:rPr>
          <w:color w:val="auto"/>
          <w:szCs w:val="22"/>
        </w:rPr>
        <w:t xml:space="preserve">, central Wallonia. </w:t>
      </w:r>
      <w:r w:rsidR="00C3546E" w:rsidRPr="00871CF1">
        <w:rPr>
          <w:color w:val="auto"/>
          <w:szCs w:val="22"/>
        </w:rPr>
        <w:t xml:space="preserve">These experiments featured the same crops as this study, under similar management conditions, and </w:t>
      </w:r>
      <w:r w:rsidR="008A3928" w:rsidRPr="00871CF1">
        <w:rPr>
          <w:color w:val="auto"/>
          <w:szCs w:val="22"/>
        </w:rPr>
        <w:t>validated</w:t>
      </w:r>
      <w:r w:rsidR="00C3546E" w:rsidRPr="00871CF1">
        <w:rPr>
          <w:color w:val="auto"/>
          <w:szCs w:val="22"/>
        </w:rPr>
        <w:t xml:space="preserve"> the model’s performance in predicting crop biomass</w:t>
      </w:r>
      <w:r w:rsidR="008A3928" w:rsidRPr="00871CF1">
        <w:rPr>
          <w:color w:val="auto"/>
          <w:szCs w:val="22"/>
        </w:rPr>
        <w:t xml:space="preserve">, </w:t>
      </w:r>
      <w:r w:rsidR="00C3546E" w:rsidRPr="00871CF1">
        <w:rPr>
          <w:color w:val="auto"/>
          <w:szCs w:val="22"/>
        </w:rPr>
        <w:t xml:space="preserve">yield, and soil organic carbon </w:t>
      </w:r>
      <w:r w:rsidR="00910D5E" w:rsidRPr="00871CF1">
        <w:rPr>
          <w:color w:val="auto"/>
          <w:szCs w:val="22"/>
        </w:rPr>
        <w:t xml:space="preserve">(SOC) </w:t>
      </w:r>
      <w:r w:rsidR="00C3546E" w:rsidRPr="00871CF1">
        <w:rPr>
          <w:color w:val="auto"/>
          <w:szCs w:val="22"/>
        </w:rPr>
        <w:t>dynamics.</w:t>
      </w:r>
      <w:r w:rsidR="008A3928" w:rsidRPr="00871CF1">
        <w:rPr>
          <w:color w:val="auto"/>
          <w:szCs w:val="22"/>
        </w:rPr>
        <w:t xml:space="preserve"> Delandmeter et al. (2023) </w:t>
      </w:r>
      <w:r w:rsidR="003C291B" w:rsidRPr="00871CF1">
        <w:rPr>
          <w:color w:val="auto"/>
          <w:szCs w:val="22"/>
        </w:rPr>
        <w:t>used STICS outputs to simulate daily CO</w:t>
      </w:r>
      <w:r w:rsidR="003C291B" w:rsidRPr="00871CF1">
        <w:rPr>
          <w:color w:val="auto"/>
          <w:szCs w:val="22"/>
          <w:vertAlign w:val="subscript"/>
        </w:rPr>
        <w:t>2</w:t>
      </w:r>
      <w:r w:rsidR="003C291B" w:rsidRPr="00871CF1">
        <w:rPr>
          <w:color w:val="auto"/>
          <w:szCs w:val="22"/>
        </w:rPr>
        <w:t xml:space="preserve"> fluxes (net ecosystem exchange, gross primary </w:t>
      </w:r>
      <w:r w:rsidR="00A90AA9" w:rsidRPr="00871CF1">
        <w:rPr>
          <w:color w:val="auto"/>
          <w:szCs w:val="22"/>
        </w:rPr>
        <w:t>productivity,</w:t>
      </w:r>
      <w:r w:rsidR="003C291B" w:rsidRPr="00871CF1">
        <w:rPr>
          <w:color w:val="auto"/>
          <w:szCs w:val="22"/>
        </w:rPr>
        <w:t xml:space="preserve"> and ecosystem respiration)</w:t>
      </w:r>
      <w:r w:rsidR="00857568" w:rsidRPr="00871CF1">
        <w:rPr>
          <w:color w:val="auto"/>
          <w:szCs w:val="22"/>
        </w:rPr>
        <w:t xml:space="preserve"> from a diversified</w:t>
      </w:r>
      <w:r w:rsidR="009C5A9C" w:rsidRPr="00871CF1">
        <w:rPr>
          <w:color w:val="auto"/>
          <w:szCs w:val="22"/>
        </w:rPr>
        <w:t xml:space="preserve"> 16-year</w:t>
      </w:r>
      <w:r w:rsidR="00857568" w:rsidRPr="00871CF1">
        <w:rPr>
          <w:color w:val="auto"/>
          <w:szCs w:val="22"/>
        </w:rPr>
        <w:t xml:space="preserve"> crop rotation comprising winter wheat, maize, potato, sugar beet and mustard cover crop. </w:t>
      </w:r>
      <w:r w:rsidR="009D04DA" w:rsidRPr="00871CF1">
        <w:rPr>
          <w:color w:val="auto"/>
          <w:szCs w:val="22"/>
        </w:rPr>
        <w:t xml:space="preserve">They concluded that, for the model to accurately simulate these daily fluxes, it must first reliably reproduce all the variables required to compute them – including crop biomass and yield, LAI, plant </w:t>
      </w:r>
      <w:r w:rsidR="00571331" w:rsidRPr="00871CF1">
        <w:rPr>
          <w:color w:val="auto"/>
          <w:szCs w:val="22"/>
        </w:rPr>
        <w:t>N</w:t>
      </w:r>
      <w:r w:rsidR="009D04DA" w:rsidRPr="00871CF1">
        <w:rPr>
          <w:color w:val="auto"/>
          <w:szCs w:val="22"/>
        </w:rPr>
        <w:t xml:space="preserve"> content, and soil mineralization – which they validated by comparing model outputs with </w:t>
      </w:r>
      <w:r w:rsidR="001E7D36" w:rsidRPr="00871CF1">
        <w:rPr>
          <w:color w:val="auto"/>
          <w:szCs w:val="22"/>
        </w:rPr>
        <w:t>granular</w:t>
      </w:r>
      <w:r w:rsidR="009D04DA" w:rsidRPr="00871CF1">
        <w:rPr>
          <w:color w:val="auto"/>
          <w:szCs w:val="22"/>
        </w:rPr>
        <w:t xml:space="preserve"> field measurements. </w:t>
      </w:r>
      <w:r w:rsidR="00A90AA9" w:rsidRPr="00871CF1">
        <w:rPr>
          <w:color w:val="auto"/>
        </w:rPr>
        <w:t xml:space="preserve">They also examined how well STICS captures the environmental drivers underlying the </w:t>
      </w:r>
      <w:proofErr w:type="spellStart"/>
      <w:r w:rsidR="00A90AA9" w:rsidRPr="00871CF1">
        <w:rPr>
          <w:color w:val="auto"/>
        </w:rPr>
        <w:t>interseasonal</w:t>
      </w:r>
      <w:proofErr w:type="spellEnd"/>
      <w:r w:rsidR="00A90AA9" w:rsidRPr="00871CF1">
        <w:rPr>
          <w:color w:val="auto"/>
        </w:rPr>
        <w:t xml:space="preserve"> variability of CO</w:t>
      </w:r>
      <w:r w:rsidR="00A90AA9" w:rsidRPr="00871CF1">
        <w:rPr>
          <w:color w:val="auto"/>
          <w:vertAlign w:val="subscript"/>
        </w:rPr>
        <w:t>2</w:t>
      </w:r>
      <w:r w:rsidR="00A90AA9" w:rsidRPr="00871CF1">
        <w:rPr>
          <w:color w:val="auto"/>
        </w:rPr>
        <w:t xml:space="preserve"> fluxes.</w:t>
      </w:r>
      <w:r w:rsidR="00BE6ABD" w:rsidRPr="00871CF1">
        <w:rPr>
          <w:color w:val="auto"/>
        </w:rPr>
        <w:t xml:space="preserve"> Delandmeter et al. (2024b) investigated</w:t>
      </w:r>
      <w:r w:rsidR="00A90AA9" w:rsidRPr="00871CF1">
        <w:rPr>
          <w:color w:val="auto"/>
          <w:szCs w:val="22"/>
        </w:rPr>
        <w:t xml:space="preserve"> </w:t>
      </w:r>
      <w:r w:rsidR="00C3546E" w:rsidRPr="00871CF1">
        <w:rPr>
          <w:color w:val="auto"/>
          <w:szCs w:val="22"/>
        </w:rPr>
        <w:t>the effects of retaining or removing crop residues</w:t>
      </w:r>
      <w:r w:rsidR="009C5A9C" w:rsidRPr="00871CF1">
        <w:rPr>
          <w:color w:val="auto"/>
          <w:szCs w:val="22"/>
        </w:rPr>
        <w:t xml:space="preserve">, under two tillage practices (conventional versus reduced), </w:t>
      </w:r>
      <w:r w:rsidR="00422C7D" w:rsidRPr="00871CF1">
        <w:rPr>
          <w:color w:val="auto"/>
          <w:szCs w:val="22"/>
        </w:rPr>
        <w:t>on crop biomass and yield and SOC dynamics. The study spanned a 14-year crop rotation that included winter wheat, rapeseed, sugar beet, maize, faba bean, and mustard cover crops</w:t>
      </w:r>
      <w:r w:rsidR="00C3546E" w:rsidRPr="00871CF1">
        <w:rPr>
          <w:color w:val="auto"/>
          <w:szCs w:val="22"/>
        </w:rPr>
        <w:t>.</w:t>
      </w:r>
      <w:r w:rsidR="0001367E" w:rsidRPr="00871CF1">
        <w:rPr>
          <w:color w:val="auto"/>
          <w:szCs w:val="22"/>
        </w:rPr>
        <w:t xml:space="preserve"> </w:t>
      </w:r>
      <w:r w:rsidR="002B25DC" w:rsidRPr="00871CF1">
        <w:rPr>
          <w:color w:val="auto"/>
          <w:szCs w:val="22"/>
        </w:rPr>
        <w:t>Finally, we used g</w:t>
      </w:r>
      <w:r w:rsidR="00C3546E" w:rsidRPr="00871CF1">
        <w:rPr>
          <w:color w:val="auto"/>
          <w:szCs w:val="22"/>
        </w:rPr>
        <w:t xml:space="preserve">rass-specific plant parameters from Delandmeter et al. (2024a). Additionally, the STICS model’s accuracy in simulating nitrogen dynamics, including nitrate leaching, was validated under </w:t>
      </w:r>
      <w:r w:rsidR="00C3546E" w:rsidRPr="00871CF1">
        <w:rPr>
          <w:color w:val="auto"/>
          <w:szCs w:val="22"/>
        </w:rPr>
        <w:lastRenderedPageBreak/>
        <w:t xml:space="preserve">comparable </w:t>
      </w:r>
      <w:proofErr w:type="spellStart"/>
      <w:r w:rsidR="00C3546E" w:rsidRPr="00871CF1">
        <w:rPr>
          <w:color w:val="auto"/>
          <w:szCs w:val="22"/>
        </w:rPr>
        <w:t>agro</w:t>
      </w:r>
      <w:proofErr w:type="spellEnd"/>
      <w:r w:rsidR="00C3546E" w:rsidRPr="00871CF1">
        <w:rPr>
          <w:color w:val="auto"/>
          <w:szCs w:val="22"/>
        </w:rPr>
        <w:t>-pedoclimatic conditions, such as in Northern France (Yin et al., 2020).</w:t>
      </w:r>
      <w:r w:rsidR="00DB3D3C" w:rsidRPr="00871CF1">
        <w:rPr>
          <w:color w:val="auto"/>
          <w:szCs w:val="22"/>
        </w:rPr>
        <w:t xml:space="preserve"> </w:t>
      </w:r>
      <w:r w:rsidR="0066367A" w:rsidRPr="00871CF1">
        <w:rPr>
          <w:color w:val="auto"/>
          <w:szCs w:val="22"/>
        </w:rPr>
        <w:t xml:space="preserve">The same STICS plant parameterization used in this study was also applied at the scale of Wallonia in Delandmeter et al. (2026b), using similar comparison indicators such as productivity, </w:t>
      </w:r>
      <w:r w:rsidR="00831F6D" w:rsidRPr="00871CF1">
        <w:rPr>
          <w:color w:val="auto"/>
          <w:szCs w:val="22"/>
        </w:rPr>
        <w:t>GHG</w:t>
      </w:r>
      <w:r w:rsidR="0066367A" w:rsidRPr="00871CF1">
        <w:rPr>
          <w:color w:val="auto"/>
          <w:szCs w:val="22"/>
        </w:rPr>
        <w:t xml:space="preserve"> emissions, nitrate leaching, and </w:t>
      </w:r>
      <w:r w:rsidR="0074018D" w:rsidRPr="00871CF1">
        <w:rPr>
          <w:color w:val="auto"/>
          <w:szCs w:val="22"/>
        </w:rPr>
        <w:t>SOC</w:t>
      </w:r>
      <w:r w:rsidR="0066367A" w:rsidRPr="00871CF1">
        <w:rPr>
          <w:color w:val="auto"/>
          <w:szCs w:val="22"/>
        </w:rPr>
        <w:t>.</w:t>
      </w:r>
    </w:p>
    <w:p w14:paraId="3EE49734" w14:textId="5ECCA5F3" w:rsidR="000D75C4" w:rsidRPr="00871CF1" w:rsidRDefault="006E1AF2" w:rsidP="00444C27">
      <w:pPr>
        <w:pStyle w:val="PubliManuscript"/>
        <w:rPr>
          <w:color w:val="auto"/>
          <w:szCs w:val="22"/>
        </w:rPr>
      </w:pPr>
      <w:r w:rsidRPr="00871CF1">
        <w:rPr>
          <w:color w:val="auto"/>
          <w:szCs w:val="22"/>
        </w:rPr>
        <w:t xml:space="preserve">In the </w:t>
      </w:r>
      <w:r w:rsidR="00831185" w:rsidRPr="00871CF1">
        <w:rPr>
          <w:color w:val="auto"/>
          <w:szCs w:val="22"/>
        </w:rPr>
        <w:t>MOW</w:t>
      </w:r>
      <w:r w:rsidRPr="00871CF1">
        <w:rPr>
          <w:color w:val="auto"/>
          <w:szCs w:val="22"/>
        </w:rPr>
        <w:t xml:space="preserve"> scenarios, sheep are fed with the grass biomass of the </w:t>
      </w:r>
      <w:r w:rsidR="00906758" w:rsidRPr="00871CF1">
        <w:rPr>
          <w:color w:val="auto"/>
          <w:szCs w:val="22"/>
        </w:rPr>
        <w:t>grasslands</w:t>
      </w:r>
      <w:r w:rsidRPr="00871CF1">
        <w:rPr>
          <w:color w:val="auto"/>
          <w:szCs w:val="22"/>
        </w:rPr>
        <w:t xml:space="preserve"> and of the cover crop. The </w:t>
      </w:r>
      <w:r w:rsidR="0005330E" w:rsidRPr="00871CF1">
        <w:rPr>
          <w:color w:val="auto"/>
          <w:szCs w:val="22"/>
        </w:rPr>
        <w:t xml:space="preserve">grasslands </w:t>
      </w:r>
      <w:r w:rsidRPr="00871CF1">
        <w:rPr>
          <w:color w:val="auto"/>
          <w:szCs w:val="22"/>
        </w:rPr>
        <w:t xml:space="preserve">are mowed twice </w:t>
      </w:r>
      <w:proofErr w:type="gramStart"/>
      <w:r w:rsidRPr="00871CF1">
        <w:rPr>
          <w:color w:val="auto"/>
          <w:szCs w:val="22"/>
        </w:rPr>
        <w:t>annually, and</w:t>
      </w:r>
      <w:proofErr w:type="gramEnd"/>
      <w:r w:rsidRPr="00871CF1">
        <w:rPr>
          <w:color w:val="auto"/>
          <w:szCs w:val="22"/>
        </w:rPr>
        <w:t xml:space="preserve"> based on the grass removed through mowing and the biomass from cover crops, the number of sheep in the </w:t>
      </w:r>
      <w:r w:rsidR="00D66B7E" w:rsidRPr="00871CF1">
        <w:rPr>
          <w:color w:val="auto"/>
          <w:szCs w:val="22"/>
        </w:rPr>
        <w:t>MOW system</w:t>
      </w:r>
      <w:r w:rsidRPr="00871CF1">
        <w:rPr>
          <w:color w:val="auto"/>
          <w:szCs w:val="22"/>
        </w:rPr>
        <w:t xml:space="preserve"> is determined. Additionally, the manure produced by the sheep is calculated</w:t>
      </w:r>
      <w:r w:rsidR="00DE0B9F" w:rsidRPr="00871CF1">
        <w:rPr>
          <w:color w:val="auto"/>
          <w:szCs w:val="22"/>
        </w:rPr>
        <w:t xml:space="preserve">, </w:t>
      </w:r>
      <w:proofErr w:type="gramStart"/>
      <w:r w:rsidR="00DE0B9F" w:rsidRPr="00871CF1">
        <w:rPr>
          <w:color w:val="auto"/>
          <w:szCs w:val="22"/>
        </w:rPr>
        <w:t>taking into account</w:t>
      </w:r>
      <w:proofErr w:type="gramEnd"/>
      <w:r w:rsidR="00DE0B9F" w:rsidRPr="00871CF1">
        <w:rPr>
          <w:color w:val="auto"/>
          <w:szCs w:val="22"/>
        </w:rPr>
        <w:t xml:space="preserve"> the amount of wheat straw required</w:t>
      </w:r>
      <w:r w:rsidRPr="00871CF1">
        <w:rPr>
          <w:color w:val="auto"/>
          <w:szCs w:val="22"/>
        </w:rPr>
        <w:t xml:space="preserve">. </w:t>
      </w:r>
      <w:r w:rsidR="005F33E9" w:rsidRPr="00871CF1">
        <w:rPr>
          <w:color w:val="auto"/>
          <w:szCs w:val="22"/>
        </w:rPr>
        <w:t xml:space="preserve">Within the </w:t>
      </w:r>
      <w:r w:rsidR="00340605" w:rsidRPr="00871CF1">
        <w:rPr>
          <w:color w:val="auto"/>
          <w:szCs w:val="22"/>
        </w:rPr>
        <w:t>GRAZ</w:t>
      </w:r>
      <w:r w:rsidR="005F33E9" w:rsidRPr="00871CF1">
        <w:rPr>
          <w:color w:val="auto"/>
          <w:szCs w:val="22"/>
        </w:rPr>
        <w:t xml:space="preserve"> scenarios, beef cattle grazing is simulated using the methodology of Delandmeter et al. (2024a), where regular cuts simulate animal bites and the amount of feces and urine returned to the system are computed from the amount of biomass removed, simulating dry matter intake.</w:t>
      </w:r>
      <w:r w:rsidR="000D75C4" w:rsidRPr="00871CF1">
        <w:rPr>
          <w:color w:val="auto"/>
          <w:szCs w:val="22"/>
        </w:rPr>
        <w:t xml:space="preserve"> Building on the approach outlined by Delandmeter et al. (2024a), the calculation of live weight gain is based on the amount of dry matter consumed by sheep</w:t>
      </w:r>
      <w:r w:rsidR="0083009B" w:rsidRPr="00871CF1">
        <w:rPr>
          <w:color w:val="auto"/>
          <w:szCs w:val="22"/>
        </w:rPr>
        <w:t xml:space="preserve"> and beef cattle</w:t>
      </w:r>
      <w:r w:rsidR="000D75C4" w:rsidRPr="00871CF1">
        <w:rPr>
          <w:color w:val="auto"/>
          <w:szCs w:val="22"/>
        </w:rPr>
        <w:t>. From this gain, the total meat yield is estimated by applying a dressing percentage and determining the portion suitable for retail. Additionally, methane (CH</w:t>
      </w:r>
      <w:r w:rsidR="000D75C4" w:rsidRPr="00871CF1">
        <w:rPr>
          <w:color w:val="auto"/>
          <w:szCs w:val="22"/>
          <w:vertAlign w:val="subscript"/>
        </w:rPr>
        <w:t>4</w:t>
      </w:r>
      <w:r w:rsidR="000D75C4" w:rsidRPr="00871CF1">
        <w:rPr>
          <w:color w:val="auto"/>
          <w:szCs w:val="22"/>
        </w:rPr>
        <w:t xml:space="preserve">) emissions are assessed in relation to dry matter intake. More information on </w:t>
      </w:r>
      <w:r w:rsidR="007B3031" w:rsidRPr="00871CF1">
        <w:rPr>
          <w:color w:val="auto"/>
          <w:szCs w:val="22"/>
        </w:rPr>
        <w:t>MOW</w:t>
      </w:r>
      <w:r w:rsidR="000D75C4" w:rsidRPr="00871CF1">
        <w:rPr>
          <w:color w:val="auto"/>
          <w:szCs w:val="22"/>
        </w:rPr>
        <w:t xml:space="preserve"> and </w:t>
      </w:r>
      <w:r w:rsidR="007B3031" w:rsidRPr="00871CF1">
        <w:rPr>
          <w:color w:val="auto"/>
          <w:szCs w:val="22"/>
        </w:rPr>
        <w:t>GRAZ</w:t>
      </w:r>
      <w:r w:rsidR="000D75C4" w:rsidRPr="00871CF1">
        <w:rPr>
          <w:color w:val="auto"/>
          <w:szCs w:val="22"/>
        </w:rPr>
        <w:t xml:space="preserve"> simulation methodology can be found in Appendix C.</w:t>
      </w:r>
    </w:p>
    <w:p w14:paraId="0A28F42B" w14:textId="5A13D736" w:rsidR="00006435" w:rsidRPr="00871CF1" w:rsidRDefault="00006435" w:rsidP="00006435">
      <w:pPr>
        <w:pStyle w:val="PubliManuscript"/>
        <w:ind w:firstLine="0"/>
        <w:rPr>
          <w:b/>
          <w:bCs/>
          <w:color w:val="auto"/>
          <w:szCs w:val="22"/>
        </w:rPr>
      </w:pPr>
      <w:r w:rsidRPr="00871CF1">
        <w:rPr>
          <w:b/>
          <w:bCs/>
          <w:color w:val="auto"/>
          <w:szCs w:val="22"/>
        </w:rPr>
        <w:t>Input data</w:t>
      </w:r>
    </w:p>
    <w:p w14:paraId="5F4CB28E" w14:textId="05CD56CE" w:rsidR="00601E06" w:rsidRPr="00871CF1" w:rsidRDefault="00601E06" w:rsidP="00601E06">
      <w:pPr>
        <w:pStyle w:val="PubliManuscript"/>
        <w:rPr>
          <w:color w:val="auto"/>
        </w:rPr>
      </w:pPr>
      <w:r w:rsidRPr="00871CF1">
        <w:rPr>
          <w:color w:val="auto"/>
          <w:szCs w:val="22"/>
        </w:rPr>
        <w:t>Daily weather data originate from the reanalysis ERA5 (</w:t>
      </w:r>
      <w:proofErr w:type="spellStart"/>
      <w:r w:rsidRPr="00871CF1">
        <w:rPr>
          <w:color w:val="auto"/>
          <w:szCs w:val="22"/>
        </w:rPr>
        <w:t>Hersbach</w:t>
      </w:r>
      <w:proofErr w:type="spellEnd"/>
      <w:r w:rsidRPr="00871CF1">
        <w:rPr>
          <w:color w:val="auto"/>
          <w:szCs w:val="22"/>
        </w:rPr>
        <w:t xml:space="preserve"> et al., 2020). They include, at a 5 km spatial resolution, </w:t>
      </w:r>
      <w:r w:rsidRPr="00871CF1">
        <w:rPr>
          <w:color w:val="auto"/>
        </w:rPr>
        <w:t xml:space="preserve">maximum and minimum temperatures, precipitation, downward surface shortwave radiation, and maximum and minimum relative humidities. </w:t>
      </w:r>
    </w:p>
    <w:p w14:paraId="3CA269BD" w14:textId="65AF629E" w:rsidR="00C203D9" w:rsidRPr="00871CF1" w:rsidRDefault="004F2EED" w:rsidP="00444C27">
      <w:pPr>
        <w:pStyle w:val="PubliManuscript"/>
        <w:rPr>
          <w:color w:val="auto"/>
          <w:szCs w:val="22"/>
        </w:rPr>
      </w:pPr>
      <w:r w:rsidRPr="00871CF1">
        <w:rPr>
          <w:color w:val="auto"/>
          <w:szCs w:val="22"/>
        </w:rPr>
        <w:t xml:space="preserve">Soil parameters were derived from </w:t>
      </w:r>
      <w:proofErr w:type="spellStart"/>
      <w:r w:rsidRPr="00871CF1">
        <w:rPr>
          <w:color w:val="auto"/>
          <w:szCs w:val="22"/>
        </w:rPr>
        <w:t>SoilGrids</w:t>
      </w:r>
      <w:proofErr w:type="spellEnd"/>
      <w:r w:rsidRPr="00871CF1">
        <w:rPr>
          <w:color w:val="auto"/>
          <w:szCs w:val="22"/>
        </w:rPr>
        <w:t xml:space="preserve"> maps of soil properties (Poggio et al., 2021)</w:t>
      </w:r>
      <w:r w:rsidR="006D79A9" w:rsidRPr="00871CF1">
        <w:rPr>
          <w:color w:val="auto"/>
          <w:szCs w:val="22"/>
        </w:rPr>
        <w:t xml:space="preserve">. </w:t>
      </w:r>
      <w:r w:rsidR="002557CC" w:rsidRPr="00871CF1">
        <w:rPr>
          <w:color w:val="auto"/>
          <w:szCs w:val="22"/>
        </w:rPr>
        <w:t xml:space="preserve">The data had a spatial resolution of 250-meter-sided squares (6.25 hectares). </w:t>
      </w:r>
      <w:r w:rsidR="006D79A9" w:rsidRPr="00871CF1">
        <w:rPr>
          <w:color w:val="auto"/>
          <w:szCs w:val="22"/>
        </w:rPr>
        <w:t>Soil parameters include clay content after decarbonation, pH, soil organic N content</w:t>
      </w:r>
      <w:r w:rsidR="005D34F4" w:rsidRPr="00871CF1">
        <w:rPr>
          <w:color w:val="auto"/>
          <w:szCs w:val="22"/>
        </w:rPr>
        <w:t xml:space="preserve">, </w:t>
      </w:r>
      <w:r w:rsidR="006D79A9" w:rsidRPr="00871CF1">
        <w:rPr>
          <w:color w:val="auto"/>
          <w:szCs w:val="22"/>
        </w:rPr>
        <w:t>initial C/N ratio</w:t>
      </w:r>
      <w:r w:rsidR="00773F1D" w:rsidRPr="00871CF1">
        <w:rPr>
          <w:color w:val="auto"/>
          <w:szCs w:val="22"/>
        </w:rPr>
        <w:t>, total carbonate content, and bulk density</w:t>
      </w:r>
      <w:r w:rsidR="00F31D0C" w:rsidRPr="00871CF1">
        <w:rPr>
          <w:color w:val="auto"/>
          <w:szCs w:val="22"/>
        </w:rPr>
        <w:t xml:space="preserve"> (see Delandmeter et al. (2024b) for further details)</w:t>
      </w:r>
      <w:r w:rsidR="006D79A9" w:rsidRPr="00871CF1">
        <w:rPr>
          <w:color w:val="auto"/>
          <w:szCs w:val="22"/>
        </w:rPr>
        <w:t xml:space="preserve">. </w:t>
      </w:r>
      <w:proofErr w:type="spellStart"/>
      <w:r w:rsidR="00C550F9" w:rsidRPr="00871CF1">
        <w:rPr>
          <w:color w:val="auto"/>
          <w:szCs w:val="22"/>
        </w:rPr>
        <w:t>P</w:t>
      </w:r>
      <w:r w:rsidRPr="00871CF1">
        <w:rPr>
          <w:color w:val="auto"/>
          <w:szCs w:val="22"/>
        </w:rPr>
        <w:t>edotransfer</w:t>
      </w:r>
      <w:proofErr w:type="spellEnd"/>
      <w:r w:rsidRPr="00871CF1">
        <w:rPr>
          <w:color w:val="auto"/>
          <w:szCs w:val="22"/>
        </w:rPr>
        <w:t xml:space="preserve"> functions </w:t>
      </w:r>
      <w:r w:rsidR="000F3D1D" w:rsidRPr="00871CF1">
        <w:rPr>
          <w:color w:val="auto"/>
          <w:szCs w:val="22"/>
        </w:rPr>
        <w:t xml:space="preserve">were </w:t>
      </w:r>
      <w:r w:rsidRPr="00871CF1">
        <w:rPr>
          <w:color w:val="auto"/>
          <w:szCs w:val="22"/>
        </w:rPr>
        <w:t xml:space="preserve">applied using the R package </w:t>
      </w:r>
      <w:r w:rsidRPr="00871CF1">
        <w:rPr>
          <w:i/>
          <w:iCs/>
          <w:color w:val="auto"/>
          <w:szCs w:val="22"/>
        </w:rPr>
        <w:t>euptf2</w:t>
      </w:r>
      <w:r w:rsidRPr="00871CF1">
        <w:rPr>
          <w:color w:val="auto"/>
          <w:szCs w:val="22"/>
        </w:rPr>
        <w:t xml:space="preserve"> (Szabó et al., 2021). </w:t>
      </w:r>
      <w:r w:rsidR="00AC6876" w:rsidRPr="00871CF1">
        <w:rPr>
          <w:color w:val="auto"/>
          <w:szCs w:val="22"/>
        </w:rPr>
        <w:t>These parameters were specific to each soil layer included in the model</w:t>
      </w:r>
      <w:r w:rsidR="00CD2AFF" w:rsidRPr="00871CF1">
        <w:rPr>
          <w:color w:val="auto"/>
          <w:szCs w:val="22"/>
        </w:rPr>
        <w:t>: 0-15, 15-30, 30-60, 60-100 and 100-200 cm.</w:t>
      </w:r>
      <w:r w:rsidR="00AC6876" w:rsidRPr="00871CF1">
        <w:rPr>
          <w:color w:val="auto"/>
          <w:szCs w:val="22"/>
        </w:rPr>
        <w:t xml:space="preserve"> </w:t>
      </w:r>
      <w:r w:rsidR="00F60B72" w:rsidRPr="00871CF1">
        <w:rPr>
          <w:color w:val="auto"/>
          <w:szCs w:val="22"/>
        </w:rPr>
        <w:t>S</w:t>
      </w:r>
      <w:r w:rsidR="004E6423" w:rsidRPr="00871CF1">
        <w:rPr>
          <w:color w:val="auto"/>
          <w:szCs w:val="22"/>
        </w:rPr>
        <w:t>OC</w:t>
      </w:r>
      <w:r w:rsidRPr="00871CF1">
        <w:rPr>
          <w:color w:val="auto"/>
          <w:szCs w:val="22"/>
        </w:rPr>
        <w:t xml:space="preserve"> values were obtained from the Walloon Public Service database (Vincent et al., 2019), while CaCO</w:t>
      </w:r>
      <w:r w:rsidRPr="00871CF1">
        <w:rPr>
          <w:color w:val="auto"/>
          <w:szCs w:val="22"/>
          <w:vertAlign w:val="subscript"/>
        </w:rPr>
        <w:t>3</w:t>
      </w:r>
      <w:r w:rsidRPr="00871CF1">
        <w:rPr>
          <w:color w:val="auto"/>
          <w:szCs w:val="22"/>
        </w:rPr>
        <w:t xml:space="preserve"> data came from the </w:t>
      </w:r>
      <w:r w:rsidRPr="00871CF1">
        <w:rPr>
          <w:color w:val="auto"/>
          <w:szCs w:val="22"/>
        </w:rPr>
        <w:lastRenderedPageBreak/>
        <w:t>European Soil Data Centre (</w:t>
      </w:r>
      <w:proofErr w:type="spellStart"/>
      <w:r w:rsidRPr="00871CF1">
        <w:rPr>
          <w:color w:val="auto"/>
          <w:szCs w:val="22"/>
        </w:rPr>
        <w:t>Orgiazzi</w:t>
      </w:r>
      <w:proofErr w:type="spellEnd"/>
      <w:r w:rsidRPr="00871CF1">
        <w:rPr>
          <w:color w:val="auto"/>
          <w:szCs w:val="22"/>
        </w:rPr>
        <w:t xml:space="preserve"> et al., 2018). Only areas classified as cropland, excluding permanent pastures, were selected based on current land use information</w:t>
      </w:r>
      <w:r w:rsidR="00A43717" w:rsidRPr="00871CF1">
        <w:rPr>
          <w:color w:val="auto"/>
          <w:szCs w:val="22"/>
        </w:rPr>
        <w:t xml:space="preserve"> derived from the ESA Climate Change Initiative land cover map (Bontemps et al., 2013)</w:t>
      </w:r>
      <w:r w:rsidR="00784F50" w:rsidRPr="00871CF1">
        <w:rPr>
          <w:color w:val="auto"/>
          <w:szCs w:val="22"/>
        </w:rPr>
        <w:t xml:space="preserve">, </w:t>
      </w:r>
      <w:r w:rsidR="00585A8D" w:rsidRPr="00871CF1">
        <w:rPr>
          <w:color w:val="auto"/>
          <w:szCs w:val="22"/>
        </w:rPr>
        <w:t>and represent</w:t>
      </w:r>
      <w:r w:rsidR="00784F50" w:rsidRPr="00871CF1">
        <w:rPr>
          <w:color w:val="auto"/>
          <w:szCs w:val="22"/>
        </w:rPr>
        <w:t xml:space="preserve"> a total of 541,800 hectares</w:t>
      </w:r>
      <w:r w:rsidRPr="00871CF1">
        <w:rPr>
          <w:color w:val="auto"/>
          <w:szCs w:val="22"/>
        </w:rPr>
        <w:t xml:space="preserve">. To optimize computational efficiency, the original dataset of 86,688 grid cells was reduced to 11,515 representative clusters through unsupervised X-means clustering (Pelleg &amp; Moore, 2002). Soil parameters for each cluster were calculated as the average of the values from all soils within that cluster. </w:t>
      </w:r>
    </w:p>
    <w:p w14:paraId="4B23BF40" w14:textId="03148A72" w:rsidR="00FD21A9" w:rsidRPr="00871CF1" w:rsidRDefault="00FD21A9" w:rsidP="0080166F">
      <w:pPr>
        <w:pStyle w:val="PubliManuscript"/>
        <w:ind w:firstLine="0"/>
        <w:rPr>
          <w:b/>
          <w:bCs/>
          <w:color w:val="auto"/>
          <w:szCs w:val="22"/>
        </w:rPr>
      </w:pPr>
      <w:r w:rsidRPr="00871CF1">
        <w:rPr>
          <w:b/>
          <w:bCs/>
          <w:color w:val="auto"/>
          <w:szCs w:val="22"/>
        </w:rPr>
        <w:t>Simulations design</w:t>
      </w:r>
    </w:p>
    <w:p w14:paraId="59AFB3DF" w14:textId="7EF6DB62" w:rsidR="00DD53F4" w:rsidRPr="00871CF1" w:rsidRDefault="00DD53F4" w:rsidP="00DD53F4">
      <w:pPr>
        <w:pStyle w:val="PubliManuscript"/>
        <w:rPr>
          <w:color w:val="auto"/>
          <w:szCs w:val="22"/>
        </w:rPr>
      </w:pPr>
      <w:r w:rsidRPr="00871CF1">
        <w:rPr>
          <w:color w:val="auto"/>
          <w:szCs w:val="22"/>
        </w:rPr>
        <w:t xml:space="preserve">The different agronomic management scenarios </w:t>
      </w:r>
      <w:r w:rsidR="00742AE2" w:rsidRPr="00871CF1">
        <w:rPr>
          <w:color w:val="auto"/>
          <w:szCs w:val="22"/>
        </w:rPr>
        <w:t>were</w:t>
      </w:r>
      <w:r w:rsidRPr="00871CF1">
        <w:rPr>
          <w:color w:val="auto"/>
          <w:szCs w:val="22"/>
        </w:rPr>
        <w:t xml:space="preserve"> simulated across cropland</w:t>
      </w:r>
      <w:r w:rsidR="00784F50" w:rsidRPr="00871CF1">
        <w:rPr>
          <w:color w:val="auto"/>
          <w:szCs w:val="22"/>
        </w:rPr>
        <w:t>s</w:t>
      </w:r>
      <w:r w:rsidRPr="00871CF1">
        <w:rPr>
          <w:color w:val="auto"/>
          <w:szCs w:val="22"/>
        </w:rPr>
        <w:t xml:space="preserve"> in southern Belgium (Wallonia), at a daily time step for a duration of 24 years between 1980 and 2004.</w:t>
      </w:r>
    </w:p>
    <w:p w14:paraId="2007D852" w14:textId="58F28F2A" w:rsidR="00CA620A" w:rsidRPr="00871CF1" w:rsidRDefault="00CA620A" w:rsidP="00444C27">
      <w:pPr>
        <w:pStyle w:val="PubliManuscript"/>
        <w:rPr>
          <w:color w:val="auto"/>
          <w:szCs w:val="22"/>
        </w:rPr>
      </w:pPr>
      <w:r w:rsidRPr="00871CF1">
        <w:rPr>
          <w:color w:val="auto"/>
          <w:szCs w:val="22"/>
        </w:rPr>
        <w:t xml:space="preserve">More specifically, simulations were conducted at </w:t>
      </w:r>
      <w:r w:rsidR="003278F6" w:rsidRPr="00871CF1">
        <w:rPr>
          <w:color w:val="auto"/>
          <w:szCs w:val="22"/>
        </w:rPr>
        <w:t xml:space="preserve">the </w:t>
      </w:r>
      <w:r w:rsidRPr="00871CF1">
        <w:rPr>
          <w:color w:val="auto"/>
          <w:szCs w:val="22"/>
        </w:rPr>
        <w:t xml:space="preserve">11,515 locations derived from clustering, with each location assigned a unique identifier (UID). </w:t>
      </w:r>
      <w:r w:rsidR="005B428F" w:rsidRPr="00871CF1">
        <w:rPr>
          <w:color w:val="auto"/>
          <w:szCs w:val="22"/>
        </w:rPr>
        <w:t xml:space="preserve">Because the model is one-dimensional (1D), grid cells do not interact spatially, making all simulations spatially independent. </w:t>
      </w:r>
      <w:r w:rsidR="00D8273A" w:rsidRPr="00871CF1">
        <w:rPr>
          <w:color w:val="auto"/>
          <w:szCs w:val="22"/>
        </w:rPr>
        <w:t>Model</w:t>
      </w:r>
      <w:r w:rsidR="00F53082" w:rsidRPr="00871CF1">
        <w:rPr>
          <w:color w:val="auto"/>
          <w:szCs w:val="22"/>
        </w:rPr>
        <w:t xml:space="preserve"> </w:t>
      </w:r>
      <w:r w:rsidRPr="00871CF1">
        <w:rPr>
          <w:color w:val="auto"/>
          <w:szCs w:val="22"/>
        </w:rPr>
        <w:t>outputs are</w:t>
      </w:r>
      <w:r w:rsidR="00B87C18" w:rsidRPr="00871CF1">
        <w:rPr>
          <w:color w:val="auto"/>
          <w:szCs w:val="22"/>
        </w:rPr>
        <w:t>, by formalization,</w:t>
      </w:r>
      <w:r w:rsidR="001F2A8F" w:rsidRPr="00871CF1">
        <w:rPr>
          <w:color w:val="auto"/>
          <w:szCs w:val="22"/>
        </w:rPr>
        <w:t xml:space="preserve"> normalized per unit area and</w:t>
      </w:r>
      <w:r w:rsidRPr="00871CF1">
        <w:rPr>
          <w:color w:val="auto"/>
          <w:szCs w:val="22"/>
        </w:rPr>
        <w:t xml:space="preserve"> reported on a per-hectare basis. Consequently, results are treated as distinct for each UID, which serves as the fundamental unit of simulation. The same eight agronomic management scenarios are simulated </w:t>
      </w:r>
      <w:r w:rsidR="00D95DC3" w:rsidRPr="00871CF1">
        <w:rPr>
          <w:color w:val="auto"/>
          <w:szCs w:val="22"/>
        </w:rPr>
        <w:t>over the whole Walloon territory, for each UID.</w:t>
      </w:r>
    </w:p>
    <w:p w14:paraId="1DB1EE35" w14:textId="08748C9B" w:rsidR="009F4491" w:rsidRPr="00871CF1" w:rsidRDefault="009F4491" w:rsidP="0057791B">
      <w:pPr>
        <w:pStyle w:val="PubliManuscript"/>
        <w:ind w:firstLine="0"/>
        <w:rPr>
          <w:b/>
          <w:bCs/>
          <w:color w:val="auto"/>
        </w:rPr>
      </w:pPr>
      <w:r w:rsidRPr="00871CF1">
        <w:rPr>
          <w:b/>
          <w:bCs/>
          <w:color w:val="auto"/>
        </w:rPr>
        <w:t>Comparison indicators</w:t>
      </w:r>
    </w:p>
    <w:p w14:paraId="01A8F8FD" w14:textId="564B754A" w:rsidR="00544C49" w:rsidRPr="00871CF1" w:rsidRDefault="00E23AE6" w:rsidP="00544C49">
      <w:pPr>
        <w:pStyle w:val="PubliManuscript"/>
        <w:rPr>
          <w:color w:val="auto"/>
          <w:szCs w:val="22"/>
        </w:rPr>
      </w:pPr>
      <w:r w:rsidRPr="00871CF1">
        <w:rPr>
          <w:color w:val="auto"/>
          <w:szCs w:val="22"/>
        </w:rPr>
        <w:t xml:space="preserve">The management scenarios are compared over </w:t>
      </w:r>
      <w:r w:rsidR="00084653" w:rsidRPr="00871CF1">
        <w:rPr>
          <w:color w:val="auto"/>
          <w:szCs w:val="22"/>
        </w:rPr>
        <w:t xml:space="preserve">24 years, representing six (for BAU and BAU-RF) or three (for other scenarios) consecutive crop rotations. </w:t>
      </w:r>
      <w:r w:rsidR="00544C49" w:rsidRPr="00871CF1">
        <w:rPr>
          <w:color w:val="auto"/>
          <w:szCs w:val="22"/>
        </w:rPr>
        <w:t xml:space="preserve">We evaluate the delivery of four key </w:t>
      </w:r>
      <w:r w:rsidR="00EE7F88" w:rsidRPr="00871CF1">
        <w:rPr>
          <w:color w:val="auto"/>
          <w:szCs w:val="22"/>
        </w:rPr>
        <w:t>ES</w:t>
      </w:r>
      <w:r w:rsidR="00544C49" w:rsidRPr="00871CF1">
        <w:rPr>
          <w:color w:val="auto"/>
          <w:szCs w:val="22"/>
        </w:rPr>
        <w:t xml:space="preserve">: productivity and its stability (provision), </w:t>
      </w:r>
      <w:r w:rsidR="0011374A" w:rsidRPr="00871CF1">
        <w:rPr>
          <w:color w:val="auto"/>
          <w:szCs w:val="22"/>
        </w:rPr>
        <w:t>SOC</w:t>
      </w:r>
      <w:r w:rsidR="00544C49" w:rsidRPr="00871CF1">
        <w:rPr>
          <w:color w:val="auto"/>
          <w:szCs w:val="22"/>
        </w:rPr>
        <w:t xml:space="preserve"> sequestration and nitrate leaching reduction (support), and </w:t>
      </w:r>
      <w:r w:rsidR="001D047F" w:rsidRPr="00871CF1">
        <w:rPr>
          <w:color w:val="auto"/>
          <w:szCs w:val="22"/>
        </w:rPr>
        <w:t>GHG</w:t>
      </w:r>
      <w:r w:rsidR="00544C49" w:rsidRPr="00871CF1">
        <w:rPr>
          <w:color w:val="auto"/>
          <w:szCs w:val="22"/>
        </w:rPr>
        <w:t xml:space="preserve"> emissions abatement (regulation).</w:t>
      </w:r>
      <w:r w:rsidR="00A2678B" w:rsidRPr="00871CF1">
        <w:rPr>
          <w:color w:val="auto"/>
          <w:szCs w:val="22"/>
        </w:rPr>
        <w:t xml:space="preserve"> </w:t>
      </w:r>
      <w:r w:rsidR="000C7558" w:rsidRPr="00871CF1">
        <w:rPr>
          <w:color w:val="auto"/>
          <w:szCs w:val="22"/>
        </w:rPr>
        <w:t>Each of these indicators is calculated per UID on a per-hectare basis, and analyses are subsequently conducted across all UIDs, which together encompass the entire cropland area of Wallonia</w:t>
      </w:r>
      <w:r w:rsidR="00A2678B" w:rsidRPr="00871CF1">
        <w:rPr>
          <w:color w:val="auto"/>
          <w:szCs w:val="22"/>
        </w:rPr>
        <w:t>.</w:t>
      </w:r>
    </w:p>
    <w:p w14:paraId="138523C4" w14:textId="41B72C83" w:rsidR="00A07FDB" w:rsidRPr="00871CF1" w:rsidRDefault="00F114C6" w:rsidP="00A07FDB">
      <w:pPr>
        <w:pStyle w:val="PubliManuscript"/>
        <w:rPr>
          <w:color w:val="auto"/>
          <w:szCs w:val="22"/>
        </w:rPr>
      </w:pPr>
      <w:r w:rsidRPr="00871CF1">
        <w:rPr>
          <w:i/>
          <w:iCs/>
          <w:color w:val="auto"/>
          <w:szCs w:val="22"/>
        </w:rPr>
        <w:t>Productivity</w:t>
      </w:r>
      <w:r w:rsidRPr="00871CF1">
        <w:rPr>
          <w:color w:val="auto"/>
          <w:szCs w:val="22"/>
        </w:rPr>
        <w:t xml:space="preserve">. </w:t>
      </w:r>
      <w:r w:rsidR="006E6018" w:rsidRPr="00871CF1">
        <w:rPr>
          <w:color w:val="auto"/>
          <w:szCs w:val="22"/>
        </w:rPr>
        <w:t>Based on simulated yields and biomasses, w</w:t>
      </w:r>
      <w:r w:rsidRPr="00871CF1">
        <w:rPr>
          <w:color w:val="auto"/>
          <w:szCs w:val="22"/>
        </w:rPr>
        <w:t xml:space="preserve">e evaluate the overall output of each </w:t>
      </w:r>
      <w:r w:rsidR="00F46610" w:rsidRPr="00871CF1">
        <w:rPr>
          <w:color w:val="auto"/>
          <w:szCs w:val="22"/>
        </w:rPr>
        <w:t>scenario</w:t>
      </w:r>
      <w:r w:rsidRPr="00871CF1">
        <w:rPr>
          <w:color w:val="auto"/>
          <w:szCs w:val="22"/>
        </w:rPr>
        <w:t xml:space="preserve"> using three distinct measures: (</w:t>
      </w:r>
      <w:proofErr w:type="spellStart"/>
      <w:r w:rsidRPr="00871CF1">
        <w:rPr>
          <w:i/>
          <w:iCs/>
          <w:color w:val="auto"/>
          <w:szCs w:val="22"/>
        </w:rPr>
        <w:t>i</w:t>
      </w:r>
      <w:proofErr w:type="spellEnd"/>
      <w:r w:rsidRPr="00871CF1">
        <w:rPr>
          <w:color w:val="auto"/>
          <w:szCs w:val="22"/>
        </w:rPr>
        <w:t xml:space="preserve">) the total production of grain and </w:t>
      </w:r>
      <w:r w:rsidR="00933C8D" w:rsidRPr="00871CF1">
        <w:rPr>
          <w:color w:val="auto"/>
          <w:szCs w:val="22"/>
        </w:rPr>
        <w:t>grassland/</w:t>
      </w:r>
      <w:r w:rsidRPr="00871CF1">
        <w:rPr>
          <w:color w:val="auto"/>
          <w:szCs w:val="22"/>
        </w:rPr>
        <w:t>pasture biomass (Mg ha</w:t>
      </w:r>
      <w:r w:rsidRPr="00871CF1">
        <w:rPr>
          <w:color w:val="auto"/>
          <w:szCs w:val="22"/>
          <w:vertAlign w:val="superscript"/>
        </w:rPr>
        <w:t>-1</w:t>
      </w:r>
      <w:r w:rsidRPr="00871CF1">
        <w:rPr>
          <w:color w:val="auto"/>
          <w:szCs w:val="22"/>
        </w:rPr>
        <w:t>), (</w:t>
      </w:r>
      <w:r w:rsidRPr="00871CF1">
        <w:rPr>
          <w:i/>
          <w:iCs/>
          <w:color w:val="auto"/>
          <w:szCs w:val="22"/>
        </w:rPr>
        <w:t>ii</w:t>
      </w:r>
      <w:r w:rsidRPr="00871CF1">
        <w:rPr>
          <w:color w:val="auto"/>
          <w:szCs w:val="22"/>
        </w:rPr>
        <w:t>) the energy potential (cereal units; CU ha</w:t>
      </w:r>
      <w:r w:rsidRPr="00871CF1">
        <w:rPr>
          <w:color w:val="auto"/>
          <w:szCs w:val="22"/>
          <w:vertAlign w:val="superscript"/>
        </w:rPr>
        <w:t>-1</w:t>
      </w:r>
      <w:r w:rsidRPr="00871CF1">
        <w:rPr>
          <w:color w:val="auto"/>
          <w:szCs w:val="22"/>
        </w:rPr>
        <w:t xml:space="preserve">) derived from the metabolizable energy </w:t>
      </w:r>
      <w:r w:rsidRPr="00871CF1">
        <w:rPr>
          <w:color w:val="auto"/>
          <w:szCs w:val="22"/>
        </w:rPr>
        <w:lastRenderedPageBreak/>
        <w:t xml:space="preserve">content of harvested crops (as referenced by </w:t>
      </w:r>
      <w:proofErr w:type="spellStart"/>
      <w:r w:rsidRPr="00871CF1">
        <w:rPr>
          <w:color w:val="auto"/>
          <w:szCs w:val="22"/>
        </w:rPr>
        <w:t>Branktatschk</w:t>
      </w:r>
      <w:proofErr w:type="spellEnd"/>
      <w:r w:rsidRPr="00871CF1">
        <w:rPr>
          <w:color w:val="auto"/>
          <w:szCs w:val="22"/>
        </w:rPr>
        <w:t xml:space="preserve"> and Finkbeiner, 2014), and (</w:t>
      </w:r>
      <w:r w:rsidRPr="00871CF1">
        <w:rPr>
          <w:i/>
          <w:iCs/>
          <w:color w:val="auto"/>
          <w:szCs w:val="22"/>
        </w:rPr>
        <w:t>iii</w:t>
      </w:r>
      <w:r w:rsidRPr="00871CF1">
        <w:rPr>
          <w:color w:val="auto"/>
          <w:szCs w:val="22"/>
        </w:rPr>
        <w:t>) the financial return (€ ha</w:t>
      </w:r>
      <w:r w:rsidRPr="00871CF1">
        <w:rPr>
          <w:color w:val="auto"/>
          <w:szCs w:val="22"/>
          <w:vertAlign w:val="superscript"/>
        </w:rPr>
        <w:t>-1</w:t>
      </w:r>
      <w:r w:rsidRPr="00871CF1">
        <w:rPr>
          <w:color w:val="auto"/>
          <w:szCs w:val="22"/>
        </w:rPr>
        <w:t>), which is calculated based on fixed costs and the average market prices of key commodities over the period from 2018 to 2022</w:t>
      </w:r>
      <w:r w:rsidR="00902688" w:rsidRPr="00871CF1">
        <w:rPr>
          <w:color w:val="auto"/>
          <w:szCs w:val="22"/>
        </w:rPr>
        <w:t xml:space="preserve">, </w:t>
      </w:r>
      <w:r w:rsidR="00BD1FEF" w:rsidRPr="00871CF1">
        <w:rPr>
          <w:color w:val="auto"/>
          <w:szCs w:val="22"/>
        </w:rPr>
        <w:t>collected from</w:t>
      </w:r>
      <w:r w:rsidR="00902688" w:rsidRPr="00871CF1">
        <w:rPr>
          <w:color w:val="auto"/>
          <w:szCs w:val="22"/>
        </w:rPr>
        <w:t xml:space="preserve"> regional and national statistics (see Table A2)</w:t>
      </w:r>
      <w:r w:rsidRPr="00871CF1">
        <w:rPr>
          <w:color w:val="auto"/>
          <w:szCs w:val="22"/>
        </w:rPr>
        <w:t xml:space="preserve">. </w:t>
      </w:r>
      <w:r w:rsidR="003078C1" w:rsidRPr="00871CF1">
        <w:rPr>
          <w:color w:val="auto"/>
          <w:szCs w:val="22"/>
        </w:rPr>
        <w:t xml:space="preserve">Prices for fertilized crops within RF scenarios were modified by removing 25% of costs associated with nitrogen fertilization, which originate from national statistics and concern conventional costs. </w:t>
      </w:r>
      <w:r w:rsidRPr="00871CF1">
        <w:rPr>
          <w:color w:val="auto"/>
          <w:szCs w:val="22"/>
        </w:rPr>
        <w:t xml:space="preserve">All energetic values, </w:t>
      </w:r>
      <w:proofErr w:type="gramStart"/>
      <w:r w:rsidRPr="00871CF1">
        <w:rPr>
          <w:color w:val="auto"/>
          <w:szCs w:val="22"/>
        </w:rPr>
        <w:t>costs</w:t>
      </w:r>
      <w:proofErr w:type="gramEnd"/>
      <w:r w:rsidRPr="00871CF1">
        <w:rPr>
          <w:color w:val="auto"/>
          <w:szCs w:val="22"/>
        </w:rPr>
        <w:t xml:space="preserve"> and prices</w:t>
      </w:r>
      <w:r w:rsidR="003D61F1" w:rsidRPr="00871CF1">
        <w:rPr>
          <w:color w:val="auto"/>
          <w:szCs w:val="22"/>
        </w:rPr>
        <w:t>, used in Delandmeter et al. (2026</w:t>
      </w:r>
      <w:r w:rsidR="00665091" w:rsidRPr="00871CF1">
        <w:rPr>
          <w:color w:val="auto"/>
          <w:szCs w:val="22"/>
        </w:rPr>
        <w:t>b</w:t>
      </w:r>
      <w:r w:rsidR="003D61F1" w:rsidRPr="00871CF1">
        <w:rPr>
          <w:color w:val="auto"/>
          <w:szCs w:val="22"/>
        </w:rPr>
        <w:t xml:space="preserve">), </w:t>
      </w:r>
      <w:r w:rsidRPr="00871CF1">
        <w:rPr>
          <w:color w:val="auto"/>
          <w:szCs w:val="22"/>
        </w:rPr>
        <w:t>are available in Tables A1 and A2.</w:t>
      </w:r>
      <w:r w:rsidR="00A07FDB" w:rsidRPr="00871CF1">
        <w:rPr>
          <w:color w:val="auto"/>
          <w:szCs w:val="22"/>
        </w:rPr>
        <w:t xml:space="preserve"> </w:t>
      </w:r>
    </w:p>
    <w:p w14:paraId="108AC2FD" w14:textId="1A547D3E" w:rsidR="00A07FDB" w:rsidRPr="00871CF1" w:rsidRDefault="00A07FDB" w:rsidP="00A07FDB">
      <w:pPr>
        <w:pStyle w:val="PubliManuscript"/>
        <w:rPr>
          <w:color w:val="auto"/>
          <w:szCs w:val="22"/>
        </w:rPr>
      </w:pPr>
      <w:r w:rsidRPr="00871CF1">
        <w:rPr>
          <w:i/>
          <w:iCs/>
          <w:color w:val="auto"/>
          <w:szCs w:val="22"/>
        </w:rPr>
        <w:t>Productivity stability</w:t>
      </w:r>
      <w:r w:rsidRPr="00871CF1">
        <w:rPr>
          <w:color w:val="auto"/>
          <w:szCs w:val="22"/>
        </w:rPr>
        <w:t xml:space="preserve">. </w:t>
      </w:r>
      <w:r w:rsidR="00D850E1" w:rsidRPr="00871CF1">
        <w:rPr>
          <w:color w:val="auto"/>
          <w:szCs w:val="22"/>
        </w:rPr>
        <w:t xml:space="preserve">For each UID, the </w:t>
      </w:r>
      <w:r w:rsidR="00A67B85" w:rsidRPr="00871CF1">
        <w:rPr>
          <w:color w:val="auto"/>
          <w:szCs w:val="22"/>
        </w:rPr>
        <w:t xml:space="preserve">stability </w:t>
      </w:r>
      <w:r w:rsidR="005C7150" w:rsidRPr="00871CF1">
        <w:rPr>
          <w:color w:val="auto"/>
          <w:szCs w:val="22"/>
        </w:rPr>
        <w:t xml:space="preserve">of productivity </w:t>
      </w:r>
      <w:r w:rsidR="00A67B85" w:rsidRPr="00871CF1">
        <w:rPr>
          <w:color w:val="auto"/>
          <w:szCs w:val="22"/>
        </w:rPr>
        <w:t>is calculated as the ratio of the average productivity over a single crop rotation to its standard deviation across a 24-year period (following Isbell et al., 2015):</w:t>
      </w:r>
    </w:p>
    <w:p w14:paraId="36672F10" w14:textId="77777777" w:rsidR="00A07FDB" w:rsidRPr="00871CF1" w:rsidRDefault="00A07FDB" w:rsidP="00A07FDB">
      <w:pPr>
        <w:pStyle w:val="PubliManuscript"/>
        <w:jc w:val="center"/>
        <w:rPr>
          <w:color w:val="auto"/>
          <w:szCs w:val="22"/>
        </w:rPr>
      </w:pPr>
      <m:oMath>
        <m:r>
          <w:rPr>
            <w:rFonts w:ascii="Cambria Math" w:hAnsi="Cambria Math"/>
            <w:color w:val="auto"/>
            <w:szCs w:val="22"/>
          </w:rPr>
          <m:t xml:space="preserve">Stability= </m:t>
        </m:r>
        <m:f>
          <m:fPr>
            <m:ctrlPr>
              <w:rPr>
                <w:rFonts w:ascii="Cambria Math" w:hAnsi="Cambria Math"/>
                <w:i/>
                <w:color w:val="auto"/>
                <w:szCs w:val="22"/>
              </w:rPr>
            </m:ctrlPr>
          </m:fPr>
          <m:num>
            <m:r>
              <w:rPr>
                <w:rFonts w:ascii="Cambria Math" w:hAnsi="Cambria Math"/>
                <w:color w:val="auto"/>
                <w:szCs w:val="22"/>
              </w:rPr>
              <m:t>μ</m:t>
            </m:r>
          </m:num>
          <m:den>
            <m:r>
              <w:rPr>
                <w:rFonts w:ascii="Cambria Math" w:hAnsi="Cambria Math"/>
                <w:color w:val="auto"/>
                <w:szCs w:val="22"/>
              </w:rPr>
              <m:t>σ</m:t>
            </m:r>
          </m:den>
        </m:f>
      </m:oMath>
      <w:r w:rsidRPr="00871CF1">
        <w:rPr>
          <w:color w:val="auto"/>
          <w:szCs w:val="22"/>
        </w:rPr>
        <w:t xml:space="preserve"> </w:t>
      </w:r>
    </w:p>
    <w:p w14:paraId="2F8559C5" w14:textId="2E9264A1" w:rsidR="00A07FDB" w:rsidRPr="00871CF1" w:rsidRDefault="00A07FDB" w:rsidP="00A07FDB">
      <w:pPr>
        <w:pStyle w:val="PubliManuscript"/>
        <w:rPr>
          <w:color w:val="auto"/>
          <w:szCs w:val="22"/>
        </w:rPr>
      </w:pPr>
      <w:r w:rsidRPr="00871CF1">
        <w:rPr>
          <w:color w:val="auto"/>
          <w:szCs w:val="22"/>
        </w:rPr>
        <w:t xml:space="preserve"> </w:t>
      </w:r>
      <w:r w:rsidR="00231976" w:rsidRPr="00871CF1">
        <w:rPr>
          <w:color w:val="auto"/>
          <w:szCs w:val="22"/>
        </w:rPr>
        <w:t xml:space="preserve">By incorporating both the mean and variability of productivity, </w:t>
      </w:r>
      <w:proofErr w:type="gramStart"/>
      <w:r w:rsidR="00231976" w:rsidRPr="00871CF1">
        <w:rPr>
          <w:color w:val="auto"/>
          <w:szCs w:val="22"/>
        </w:rPr>
        <w:t>this metric balances systems</w:t>
      </w:r>
      <w:proofErr w:type="gramEnd"/>
      <w:r w:rsidR="00231976" w:rsidRPr="00871CF1">
        <w:rPr>
          <w:color w:val="auto"/>
          <w:szCs w:val="22"/>
        </w:rPr>
        <w:t xml:space="preserve"> that produce high but fluctuating yields (high μ, high σ) with those that are lower-yielding but more consistent (low μ, low σ) (Delandmeter et al., 2024a).</w:t>
      </w:r>
      <w:r w:rsidR="00D850E1" w:rsidRPr="00871CF1">
        <w:rPr>
          <w:color w:val="auto"/>
          <w:szCs w:val="22"/>
        </w:rPr>
        <w:t xml:space="preserve"> </w:t>
      </w:r>
      <w:r w:rsidR="008A2329" w:rsidRPr="00871CF1">
        <w:rPr>
          <w:color w:val="auto"/>
          <w:szCs w:val="22"/>
        </w:rPr>
        <w:t>Since productivity is evaluated in three units (metric tons, cereal units, and euros), the dimensionless stability measure is likewise presented in three versions, each based on productivity expressed in one of these units</w:t>
      </w:r>
      <w:r w:rsidR="00CB0112" w:rsidRPr="00871CF1">
        <w:rPr>
          <w:color w:val="auto"/>
          <w:szCs w:val="22"/>
        </w:rPr>
        <w:t>.</w:t>
      </w:r>
    </w:p>
    <w:p w14:paraId="6F6D8365" w14:textId="468E4853" w:rsidR="0013045B" w:rsidRPr="00871CF1" w:rsidRDefault="00BF0337" w:rsidP="0013045B">
      <w:pPr>
        <w:pStyle w:val="PubliManuscript"/>
        <w:rPr>
          <w:color w:val="auto"/>
          <w:szCs w:val="22"/>
        </w:rPr>
      </w:pPr>
      <w:r w:rsidRPr="00871CF1">
        <w:rPr>
          <w:i/>
          <w:iCs/>
          <w:color w:val="auto"/>
          <w:szCs w:val="22"/>
        </w:rPr>
        <w:t>SOC</w:t>
      </w:r>
      <w:r w:rsidR="00167305" w:rsidRPr="00871CF1">
        <w:rPr>
          <w:i/>
          <w:iCs/>
          <w:color w:val="auto"/>
          <w:szCs w:val="22"/>
        </w:rPr>
        <w:t xml:space="preserve"> sequestration</w:t>
      </w:r>
      <w:r w:rsidR="00A022B1" w:rsidRPr="00871CF1">
        <w:rPr>
          <w:i/>
          <w:iCs/>
          <w:color w:val="auto"/>
          <w:szCs w:val="22"/>
        </w:rPr>
        <w:t>.</w:t>
      </w:r>
      <w:r w:rsidR="00816B11" w:rsidRPr="00871CF1">
        <w:rPr>
          <w:i/>
          <w:iCs/>
          <w:color w:val="auto"/>
          <w:szCs w:val="22"/>
        </w:rPr>
        <w:t xml:space="preserve"> </w:t>
      </w:r>
      <w:r w:rsidR="0013045B" w:rsidRPr="00871CF1">
        <w:rPr>
          <w:color w:val="auto"/>
          <w:szCs w:val="22"/>
        </w:rPr>
        <w:t>SOC stock changes (Mg ha</w:t>
      </w:r>
      <w:r w:rsidR="00631AF6" w:rsidRPr="00871CF1">
        <w:rPr>
          <w:color w:val="auto"/>
          <w:szCs w:val="22"/>
          <w:vertAlign w:val="superscript"/>
        </w:rPr>
        <w:t>-1</w:t>
      </w:r>
      <w:r w:rsidR="0013045B" w:rsidRPr="00871CF1">
        <w:rPr>
          <w:color w:val="auto"/>
          <w:szCs w:val="22"/>
        </w:rPr>
        <w:t xml:space="preserve"> year</w:t>
      </w:r>
      <w:r w:rsidR="00631AF6" w:rsidRPr="00871CF1">
        <w:rPr>
          <w:color w:val="auto"/>
          <w:szCs w:val="22"/>
          <w:vertAlign w:val="superscript"/>
        </w:rPr>
        <w:t>-1</w:t>
      </w:r>
      <w:r w:rsidR="0013045B" w:rsidRPr="00871CF1">
        <w:rPr>
          <w:color w:val="auto"/>
          <w:szCs w:val="22"/>
        </w:rPr>
        <w:t xml:space="preserve">) are </w:t>
      </w:r>
      <w:r w:rsidR="006D40E3" w:rsidRPr="00871CF1">
        <w:rPr>
          <w:color w:val="auto"/>
          <w:szCs w:val="22"/>
        </w:rPr>
        <w:t>simulated</w:t>
      </w:r>
      <w:r w:rsidR="0013045B" w:rsidRPr="00871CF1">
        <w:rPr>
          <w:color w:val="auto"/>
          <w:szCs w:val="22"/>
        </w:rPr>
        <w:t xml:space="preserve"> at two depths</w:t>
      </w:r>
      <w:r w:rsidR="00556A48" w:rsidRPr="00871CF1">
        <w:rPr>
          <w:color w:val="auto"/>
          <w:szCs w:val="22"/>
        </w:rPr>
        <w:t>: the topsoil</w:t>
      </w:r>
      <w:r w:rsidR="0013045B" w:rsidRPr="00871CF1">
        <w:rPr>
          <w:color w:val="auto"/>
          <w:szCs w:val="22"/>
        </w:rPr>
        <w:t xml:space="preserve"> </w:t>
      </w:r>
      <w:r w:rsidR="00556A48" w:rsidRPr="00871CF1">
        <w:rPr>
          <w:color w:val="auto"/>
          <w:szCs w:val="22"/>
        </w:rPr>
        <w:t>(</w:t>
      </w:r>
      <w:r w:rsidR="0013045B" w:rsidRPr="00871CF1">
        <w:rPr>
          <w:color w:val="auto"/>
          <w:szCs w:val="22"/>
        </w:rPr>
        <w:t>0-30 cm</w:t>
      </w:r>
      <w:r w:rsidR="00556A48" w:rsidRPr="00871CF1">
        <w:rPr>
          <w:color w:val="auto"/>
          <w:szCs w:val="22"/>
        </w:rPr>
        <w:t xml:space="preserve">), where mineralization is assumed to occur, </w:t>
      </w:r>
      <w:r w:rsidR="0013045B" w:rsidRPr="00871CF1">
        <w:rPr>
          <w:color w:val="auto"/>
          <w:szCs w:val="22"/>
        </w:rPr>
        <w:t xml:space="preserve">and </w:t>
      </w:r>
      <w:r w:rsidR="00556A48" w:rsidRPr="00871CF1">
        <w:rPr>
          <w:color w:val="auto"/>
          <w:szCs w:val="22"/>
        </w:rPr>
        <w:t>the whole soil (</w:t>
      </w:r>
      <w:r w:rsidR="0013045B" w:rsidRPr="00871CF1">
        <w:rPr>
          <w:color w:val="auto"/>
          <w:szCs w:val="22"/>
        </w:rPr>
        <w:t>0-200 cm</w:t>
      </w:r>
      <w:r w:rsidR="00556A48" w:rsidRPr="00871CF1">
        <w:rPr>
          <w:color w:val="auto"/>
          <w:szCs w:val="22"/>
        </w:rPr>
        <w:t>).</w:t>
      </w:r>
      <w:r w:rsidR="008F64AE" w:rsidRPr="00871CF1">
        <w:rPr>
          <w:color w:val="auto"/>
          <w:szCs w:val="22"/>
        </w:rPr>
        <w:t xml:space="preserve"> </w:t>
      </w:r>
      <w:r w:rsidR="00E840DE" w:rsidRPr="00871CF1">
        <w:rPr>
          <w:color w:val="auto"/>
          <w:szCs w:val="22"/>
        </w:rPr>
        <w:t>These are the two soil horizons for which STICS outputs SOC stocks.</w:t>
      </w:r>
      <w:r w:rsidR="00556A48" w:rsidRPr="00871CF1">
        <w:rPr>
          <w:color w:val="auto"/>
          <w:szCs w:val="22"/>
        </w:rPr>
        <w:t xml:space="preserve"> SOC changes are </w:t>
      </w:r>
      <w:r w:rsidR="0013045B" w:rsidRPr="00871CF1">
        <w:rPr>
          <w:color w:val="auto"/>
          <w:szCs w:val="22"/>
        </w:rPr>
        <w:t>calculated as an annual average over a 24-year period.</w:t>
      </w:r>
    </w:p>
    <w:p w14:paraId="343E710C" w14:textId="781EADC5" w:rsidR="00A022B1" w:rsidRPr="00871CF1" w:rsidRDefault="00A022B1" w:rsidP="00E949AF">
      <w:pPr>
        <w:pStyle w:val="PubliManuscript"/>
        <w:rPr>
          <w:color w:val="auto"/>
          <w:szCs w:val="22"/>
        </w:rPr>
      </w:pPr>
      <w:r w:rsidRPr="00871CF1">
        <w:rPr>
          <w:i/>
          <w:iCs/>
          <w:color w:val="auto"/>
          <w:szCs w:val="22"/>
        </w:rPr>
        <w:t>Nitrate leaching.</w:t>
      </w:r>
      <w:r w:rsidR="00F90FE3" w:rsidRPr="00871CF1">
        <w:rPr>
          <w:i/>
          <w:iCs/>
          <w:color w:val="auto"/>
          <w:szCs w:val="22"/>
        </w:rPr>
        <w:t xml:space="preserve"> </w:t>
      </w:r>
      <w:r w:rsidR="00E949AF" w:rsidRPr="00871CF1">
        <w:rPr>
          <w:color w:val="auto"/>
          <w:szCs w:val="22"/>
        </w:rPr>
        <w:t>The annual NO</w:t>
      </w:r>
      <w:r w:rsidR="007D13ED" w:rsidRPr="00871CF1">
        <w:rPr>
          <w:color w:val="auto"/>
          <w:szCs w:val="22"/>
          <w:vertAlign w:val="subscript"/>
        </w:rPr>
        <w:t>3</w:t>
      </w:r>
      <w:r w:rsidR="00E949AF" w:rsidRPr="00871CF1">
        <w:rPr>
          <w:color w:val="auto"/>
          <w:szCs w:val="22"/>
        </w:rPr>
        <w:t>-N leach</w:t>
      </w:r>
      <w:r w:rsidR="00D94606" w:rsidRPr="00871CF1">
        <w:rPr>
          <w:color w:val="auto"/>
          <w:szCs w:val="22"/>
        </w:rPr>
        <w:t>ed</w:t>
      </w:r>
      <w:r w:rsidR="00E949AF" w:rsidRPr="00871CF1">
        <w:rPr>
          <w:color w:val="auto"/>
          <w:szCs w:val="22"/>
        </w:rPr>
        <w:t xml:space="preserve"> at the base of the soil profile (2 m depth)</w:t>
      </w:r>
      <w:r w:rsidR="005B065E" w:rsidRPr="00871CF1">
        <w:rPr>
          <w:color w:val="auto"/>
          <w:szCs w:val="22"/>
        </w:rPr>
        <w:t xml:space="preserve"> </w:t>
      </w:r>
      <w:r w:rsidR="00CE67FF" w:rsidRPr="00871CF1">
        <w:rPr>
          <w:color w:val="auto"/>
          <w:szCs w:val="22"/>
        </w:rPr>
        <w:t xml:space="preserve">is </w:t>
      </w:r>
      <w:r w:rsidR="005B065E" w:rsidRPr="00871CF1">
        <w:rPr>
          <w:color w:val="auto"/>
          <w:szCs w:val="22"/>
        </w:rPr>
        <w:t>simulated by the model</w:t>
      </w:r>
      <w:r w:rsidR="00E949AF" w:rsidRPr="00871CF1">
        <w:rPr>
          <w:color w:val="auto"/>
          <w:szCs w:val="22"/>
        </w:rPr>
        <w:t>.</w:t>
      </w:r>
    </w:p>
    <w:p w14:paraId="4B2972C5" w14:textId="1D265C7D" w:rsidR="00A022B1" w:rsidRPr="00871CF1" w:rsidRDefault="0058321C" w:rsidP="00807D78">
      <w:pPr>
        <w:pStyle w:val="PubliManuscript"/>
        <w:rPr>
          <w:color w:val="auto"/>
          <w:szCs w:val="22"/>
        </w:rPr>
      </w:pPr>
      <w:r w:rsidRPr="00871CF1">
        <w:rPr>
          <w:i/>
          <w:iCs/>
          <w:color w:val="auto"/>
          <w:szCs w:val="22"/>
        </w:rPr>
        <w:t>GHG</w:t>
      </w:r>
      <w:r w:rsidR="00A022B1" w:rsidRPr="00871CF1">
        <w:rPr>
          <w:i/>
          <w:iCs/>
          <w:color w:val="auto"/>
          <w:szCs w:val="22"/>
        </w:rPr>
        <w:t xml:space="preserve"> emissions.</w:t>
      </w:r>
      <w:r w:rsidR="00F90FE3" w:rsidRPr="00871CF1">
        <w:rPr>
          <w:i/>
          <w:iCs/>
          <w:color w:val="auto"/>
          <w:szCs w:val="22"/>
        </w:rPr>
        <w:t xml:space="preserve"> </w:t>
      </w:r>
      <w:r w:rsidR="00DA0A65" w:rsidRPr="00871CF1">
        <w:rPr>
          <w:color w:val="auto"/>
          <w:szCs w:val="22"/>
        </w:rPr>
        <w:t xml:space="preserve">The </w:t>
      </w:r>
      <w:r w:rsidR="004355A2" w:rsidRPr="00871CF1">
        <w:rPr>
          <w:color w:val="auto"/>
          <w:szCs w:val="22"/>
        </w:rPr>
        <w:t>GHG</w:t>
      </w:r>
      <w:r w:rsidR="00DA0A65" w:rsidRPr="00871CF1">
        <w:rPr>
          <w:color w:val="auto"/>
          <w:szCs w:val="22"/>
        </w:rPr>
        <w:t xml:space="preserve"> budget for each scenario is calculated at the </w:t>
      </w:r>
      <w:r w:rsidR="002A2967" w:rsidRPr="00871CF1">
        <w:rPr>
          <w:color w:val="auto"/>
          <w:szCs w:val="22"/>
        </w:rPr>
        <w:t>farm</w:t>
      </w:r>
      <w:r w:rsidR="00DA0A65" w:rsidRPr="00871CF1">
        <w:rPr>
          <w:color w:val="auto"/>
          <w:szCs w:val="22"/>
        </w:rPr>
        <w:t xml:space="preserve"> scale, </w:t>
      </w:r>
      <w:r w:rsidR="00B7348A" w:rsidRPr="00871CF1">
        <w:rPr>
          <w:color w:val="auto"/>
          <w:szCs w:val="22"/>
        </w:rPr>
        <w:t xml:space="preserve">meaning that we exclude </w:t>
      </w:r>
      <w:r w:rsidR="00DA0A65" w:rsidRPr="00871CF1">
        <w:rPr>
          <w:color w:val="auto"/>
          <w:szCs w:val="22"/>
        </w:rPr>
        <w:t>tertiary sources like equipment production and maintenance</w:t>
      </w:r>
      <w:r w:rsidR="00B7348A" w:rsidRPr="00871CF1">
        <w:rPr>
          <w:color w:val="auto"/>
          <w:szCs w:val="22"/>
        </w:rPr>
        <w:t>, but also pesticides and PK fertilizers, which are not simulated by the model</w:t>
      </w:r>
      <w:r w:rsidR="00DA0A65" w:rsidRPr="00871CF1">
        <w:rPr>
          <w:color w:val="auto"/>
          <w:szCs w:val="22"/>
        </w:rPr>
        <w:t xml:space="preserve">. Following </w:t>
      </w:r>
      <w:proofErr w:type="spellStart"/>
      <w:r w:rsidR="00DA0A65" w:rsidRPr="00871CF1">
        <w:rPr>
          <w:color w:val="auto"/>
          <w:szCs w:val="22"/>
        </w:rPr>
        <w:t>Autret</w:t>
      </w:r>
      <w:proofErr w:type="spellEnd"/>
      <w:r w:rsidR="00DA0A65" w:rsidRPr="00871CF1">
        <w:rPr>
          <w:color w:val="auto"/>
          <w:szCs w:val="22"/>
        </w:rPr>
        <w:t xml:space="preserve"> et al. (2020), the budget includes:</w:t>
      </w:r>
      <w:r w:rsidR="006431FF" w:rsidRPr="00871CF1">
        <w:rPr>
          <w:color w:val="auto"/>
          <w:szCs w:val="22"/>
        </w:rPr>
        <w:t xml:space="preserve"> </w:t>
      </w:r>
      <w:r w:rsidR="00DA0A65" w:rsidRPr="00871CF1">
        <w:rPr>
          <w:color w:val="auto"/>
          <w:szCs w:val="22"/>
        </w:rPr>
        <w:t>(</w:t>
      </w:r>
      <w:proofErr w:type="spellStart"/>
      <w:r w:rsidR="00DA0A65" w:rsidRPr="00871CF1">
        <w:rPr>
          <w:i/>
          <w:iCs/>
          <w:color w:val="auto"/>
          <w:szCs w:val="22"/>
        </w:rPr>
        <w:t>i</w:t>
      </w:r>
      <w:proofErr w:type="spellEnd"/>
      <w:r w:rsidR="00DA0A65" w:rsidRPr="00871CF1">
        <w:rPr>
          <w:color w:val="auto"/>
          <w:szCs w:val="22"/>
        </w:rPr>
        <w:t xml:space="preserve">) </w:t>
      </w:r>
      <w:r w:rsidR="006431FF" w:rsidRPr="00871CF1">
        <w:rPr>
          <w:color w:val="auto"/>
          <w:szCs w:val="22"/>
        </w:rPr>
        <w:t>s</w:t>
      </w:r>
      <w:r w:rsidR="00DA0A65" w:rsidRPr="00871CF1">
        <w:rPr>
          <w:color w:val="auto"/>
          <w:szCs w:val="22"/>
        </w:rPr>
        <w:t>oil CO</w:t>
      </w:r>
      <w:r w:rsidR="006431FF" w:rsidRPr="00871CF1">
        <w:rPr>
          <w:color w:val="auto"/>
          <w:szCs w:val="22"/>
          <w:vertAlign w:val="subscript"/>
        </w:rPr>
        <w:t>2</w:t>
      </w:r>
      <w:r w:rsidR="00C01F99" w:rsidRPr="00871CF1">
        <w:rPr>
          <w:color w:val="auto"/>
          <w:szCs w:val="22"/>
          <w:vertAlign w:val="subscript"/>
        </w:rPr>
        <w:t xml:space="preserve"> </w:t>
      </w:r>
      <w:r w:rsidR="00C01F99" w:rsidRPr="00871CF1">
        <w:rPr>
          <w:color w:val="auto"/>
          <w:szCs w:val="22"/>
        </w:rPr>
        <w:t>sequestration/release</w:t>
      </w:r>
      <w:r w:rsidR="00DA0A65" w:rsidRPr="00871CF1">
        <w:rPr>
          <w:color w:val="auto"/>
          <w:szCs w:val="22"/>
        </w:rPr>
        <w:t xml:space="preserve">, determined by the total SOC stock change over the 0-200 cm soil </w:t>
      </w:r>
      <w:r w:rsidR="00DA0A65" w:rsidRPr="00871CF1">
        <w:rPr>
          <w:color w:val="auto"/>
          <w:szCs w:val="22"/>
        </w:rPr>
        <w:lastRenderedPageBreak/>
        <w:t>profile across 24 years</w:t>
      </w:r>
      <w:r w:rsidR="00F660C1" w:rsidRPr="00871CF1">
        <w:rPr>
          <w:color w:val="auto"/>
          <w:szCs w:val="22"/>
        </w:rPr>
        <w:t>. I</w:t>
      </w:r>
      <w:r w:rsidR="00276D9A" w:rsidRPr="00871CF1">
        <w:rPr>
          <w:color w:val="auto"/>
          <w:szCs w:val="22"/>
        </w:rPr>
        <w:t>n the STICS model, SOC changes resulting from root decomposition below depth at which mineralization is assumed to occur (30 cm in this study, following Delandmeter et al. (2024b)) are treated as net inputs</w:t>
      </w:r>
      <w:r w:rsidR="002E09EB" w:rsidRPr="00871CF1">
        <w:rPr>
          <w:color w:val="auto"/>
          <w:szCs w:val="22"/>
        </w:rPr>
        <w:t xml:space="preserve">, </w:t>
      </w:r>
      <w:r w:rsidR="00276D9A" w:rsidRPr="00871CF1">
        <w:rPr>
          <w:color w:val="auto"/>
          <w:szCs w:val="22"/>
        </w:rPr>
        <w:t>and must therefore be included when assessing SOC sequestration</w:t>
      </w:r>
      <w:r w:rsidR="002E09EB" w:rsidRPr="00871CF1">
        <w:rPr>
          <w:color w:val="auto"/>
          <w:szCs w:val="22"/>
        </w:rPr>
        <w:t xml:space="preserve"> as they correspond to GPP-derived carbon</w:t>
      </w:r>
      <w:r w:rsidR="00276D9A" w:rsidRPr="00871CF1">
        <w:rPr>
          <w:color w:val="auto"/>
          <w:szCs w:val="22"/>
        </w:rPr>
        <w:t>)</w:t>
      </w:r>
      <w:r w:rsidR="00124556" w:rsidRPr="00871CF1">
        <w:rPr>
          <w:color w:val="auto"/>
          <w:szCs w:val="22"/>
        </w:rPr>
        <w:t xml:space="preserve">; </w:t>
      </w:r>
      <w:r w:rsidR="00DA0A65" w:rsidRPr="00871CF1">
        <w:rPr>
          <w:color w:val="auto"/>
          <w:szCs w:val="22"/>
        </w:rPr>
        <w:t>(</w:t>
      </w:r>
      <w:r w:rsidR="00DA0A65" w:rsidRPr="00871CF1">
        <w:rPr>
          <w:i/>
          <w:iCs/>
          <w:color w:val="auto"/>
          <w:szCs w:val="22"/>
        </w:rPr>
        <w:t>ii</w:t>
      </w:r>
      <w:r w:rsidR="00DA0A65" w:rsidRPr="00871CF1">
        <w:rPr>
          <w:color w:val="auto"/>
          <w:szCs w:val="22"/>
        </w:rPr>
        <w:t xml:space="preserve">) </w:t>
      </w:r>
      <w:r w:rsidR="00124556" w:rsidRPr="00871CF1">
        <w:rPr>
          <w:color w:val="auto"/>
          <w:szCs w:val="22"/>
        </w:rPr>
        <w:t>d</w:t>
      </w:r>
      <w:r w:rsidR="00DA0A65" w:rsidRPr="00871CF1">
        <w:rPr>
          <w:color w:val="auto"/>
          <w:szCs w:val="22"/>
        </w:rPr>
        <w:t>irect soil N</w:t>
      </w:r>
      <w:r w:rsidR="00F661A7" w:rsidRPr="00871CF1">
        <w:rPr>
          <w:color w:val="auto"/>
          <w:szCs w:val="22"/>
          <w:vertAlign w:val="subscript"/>
        </w:rPr>
        <w:t>2</w:t>
      </w:r>
      <w:r w:rsidR="00DA0A65" w:rsidRPr="00871CF1">
        <w:rPr>
          <w:color w:val="auto"/>
          <w:szCs w:val="22"/>
        </w:rPr>
        <w:t>O emissions, simulated by STICS through nitrification and denitrification</w:t>
      </w:r>
      <w:r w:rsidR="000361F3" w:rsidRPr="00871CF1">
        <w:rPr>
          <w:color w:val="auto"/>
          <w:szCs w:val="22"/>
        </w:rPr>
        <w:t xml:space="preserve">; </w:t>
      </w:r>
      <w:r w:rsidR="00DA0A65" w:rsidRPr="00871CF1">
        <w:rPr>
          <w:color w:val="auto"/>
          <w:szCs w:val="22"/>
        </w:rPr>
        <w:t>(</w:t>
      </w:r>
      <w:r w:rsidR="00DA0A65" w:rsidRPr="00871CF1">
        <w:rPr>
          <w:i/>
          <w:iCs/>
          <w:color w:val="auto"/>
          <w:szCs w:val="22"/>
        </w:rPr>
        <w:t>iii</w:t>
      </w:r>
      <w:r w:rsidR="00DA0A65" w:rsidRPr="00871CF1">
        <w:rPr>
          <w:color w:val="auto"/>
          <w:szCs w:val="22"/>
        </w:rPr>
        <w:t xml:space="preserve">) </w:t>
      </w:r>
      <w:r w:rsidR="000361F3" w:rsidRPr="00871CF1">
        <w:rPr>
          <w:color w:val="auto"/>
          <w:szCs w:val="22"/>
        </w:rPr>
        <w:t>i</w:t>
      </w:r>
      <w:r w:rsidR="00DA0A65" w:rsidRPr="00871CF1">
        <w:rPr>
          <w:color w:val="auto"/>
          <w:szCs w:val="22"/>
        </w:rPr>
        <w:t xml:space="preserve">ndirect soil </w:t>
      </w:r>
      <w:r w:rsidR="00EC7035" w:rsidRPr="00871CF1">
        <w:rPr>
          <w:color w:val="auto"/>
          <w:szCs w:val="22"/>
        </w:rPr>
        <w:t>N</w:t>
      </w:r>
      <w:r w:rsidR="00EC7035" w:rsidRPr="00871CF1">
        <w:rPr>
          <w:color w:val="auto"/>
          <w:szCs w:val="22"/>
          <w:vertAlign w:val="subscript"/>
        </w:rPr>
        <w:t>2</w:t>
      </w:r>
      <w:r w:rsidR="00EC7035" w:rsidRPr="00871CF1">
        <w:rPr>
          <w:color w:val="auto"/>
          <w:szCs w:val="22"/>
        </w:rPr>
        <w:t xml:space="preserve">O </w:t>
      </w:r>
      <w:r w:rsidR="00DA0A65" w:rsidRPr="00871CF1">
        <w:rPr>
          <w:color w:val="auto"/>
          <w:szCs w:val="22"/>
        </w:rPr>
        <w:t>emissions, based on IPCC emission factors, calculated as 0.75% of nitrogen lost through leaching and 0.1% of nitrogen applied as fertilizer</w:t>
      </w:r>
      <w:r w:rsidR="00EC7035" w:rsidRPr="00871CF1">
        <w:rPr>
          <w:color w:val="auto"/>
          <w:szCs w:val="22"/>
        </w:rPr>
        <w:t xml:space="preserve">; </w:t>
      </w:r>
      <w:r w:rsidR="00DA0A65" w:rsidRPr="00871CF1">
        <w:rPr>
          <w:color w:val="auto"/>
          <w:szCs w:val="22"/>
        </w:rPr>
        <w:t>(</w:t>
      </w:r>
      <w:r w:rsidR="00DA0A65" w:rsidRPr="00871CF1">
        <w:rPr>
          <w:i/>
          <w:iCs/>
          <w:color w:val="auto"/>
          <w:szCs w:val="22"/>
        </w:rPr>
        <w:t>iv</w:t>
      </w:r>
      <w:r w:rsidR="00DA0A65" w:rsidRPr="00871CF1">
        <w:rPr>
          <w:color w:val="auto"/>
          <w:szCs w:val="22"/>
        </w:rPr>
        <w:t xml:space="preserve">) </w:t>
      </w:r>
      <w:r w:rsidR="00EC7035" w:rsidRPr="00871CF1">
        <w:rPr>
          <w:color w:val="auto"/>
          <w:szCs w:val="22"/>
        </w:rPr>
        <w:t>CO</w:t>
      </w:r>
      <w:r w:rsidR="00EC7035" w:rsidRPr="00871CF1">
        <w:rPr>
          <w:color w:val="auto"/>
          <w:szCs w:val="22"/>
          <w:vertAlign w:val="subscript"/>
        </w:rPr>
        <w:t>2</w:t>
      </w:r>
      <w:r w:rsidR="00DA0A65" w:rsidRPr="00871CF1">
        <w:rPr>
          <w:color w:val="auto"/>
          <w:szCs w:val="22"/>
        </w:rPr>
        <w:t xml:space="preserve"> emissions from fossil fuel use in agricultural practices, considering fuel consumption per operation (20.5 L </w:t>
      </w:r>
      <w:r w:rsidR="00F5566A" w:rsidRPr="00871CF1">
        <w:rPr>
          <w:color w:val="auto"/>
          <w:szCs w:val="22"/>
        </w:rPr>
        <w:t>ha</w:t>
      </w:r>
      <w:r w:rsidR="00F5566A" w:rsidRPr="00871CF1">
        <w:rPr>
          <w:color w:val="auto"/>
          <w:szCs w:val="22"/>
          <w:vertAlign w:val="superscript"/>
        </w:rPr>
        <w:t>-1</w:t>
      </w:r>
      <w:r w:rsidR="00F5566A" w:rsidRPr="00871CF1">
        <w:rPr>
          <w:color w:val="auto"/>
          <w:szCs w:val="22"/>
        </w:rPr>
        <w:t xml:space="preserve"> </w:t>
      </w:r>
      <w:r w:rsidR="00DA0A65" w:rsidRPr="00871CF1">
        <w:rPr>
          <w:color w:val="auto"/>
          <w:szCs w:val="22"/>
        </w:rPr>
        <w:t xml:space="preserve">for harvesting, 27.6 L </w:t>
      </w:r>
      <w:r w:rsidR="00F5566A" w:rsidRPr="00871CF1">
        <w:rPr>
          <w:color w:val="auto"/>
          <w:szCs w:val="22"/>
        </w:rPr>
        <w:t>ha</w:t>
      </w:r>
      <w:r w:rsidR="00766C18" w:rsidRPr="00871CF1">
        <w:rPr>
          <w:color w:val="auto"/>
          <w:szCs w:val="22"/>
          <w:vertAlign w:val="superscript"/>
        </w:rPr>
        <w:t>-1</w:t>
      </w:r>
      <w:r w:rsidR="00F5566A" w:rsidRPr="00871CF1">
        <w:rPr>
          <w:color w:val="auto"/>
          <w:szCs w:val="22"/>
        </w:rPr>
        <w:t xml:space="preserve"> </w:t>
      </w:r>
      <w:r w:rsidR="00DA0A65" w:rsidRPr="00871CF1">
        <w:rPr>
          <w:color w:val="auto"/>
          <w:szCs w:val="22"/>
        </w:rPr>
        <w:t>for ploughing, and 5.6 L ha</w:t>
      </w:r>
      <w:r w:rsidR="00F5566A" w:rsidRPr="00871CF1">
        <w:rPr>
          <w:color w:val="auto"/>
          <w:szCs w:val="22"/>
          <w:vertAlign w:val="superscript"/>
        </w:rPr>
        <w:t>-1</w:t>
      </w:r>
      <w:r w:rsidR="00DA0A65" w:rsidRPr="00871CF1">
        <w:rPr>
          <w:color w:val="auto"/>
          <w:szCs w:val="22"/>
        </w:rPr>
        <w:t xml:space="preserve"> for surface tillage</w:t>
      </w:r>
      <w:r w:rsidR="007D0E3B" w:rsidRPr="00871CF1">
        <w:rPr>
          <w:color w:val="auto"/>
          <w:szCs w:val="22"/>
        </w:rPr>
        <w:t>). A</w:t>
      </w:r>
      <w:r w:rsidR="00FD28F6" w:rsidRPr="00871CF1">
        <w:rPr>
          <w:color w:val="auto"/>
          <w:szCs w:val="22"/>
        </w:rPr>
        <w:t xml:space="preserve">ll coefficients are from </w:t>
      </w:r>
      <w:proofErr w:type="spellStart"/>
      <w:r w:rsidR="00FD28F6" w:rsidRPr="00871CF1">
        <w:rPr>
          <w:color w:val="auto"/>
          <w:szCs w:val="22"/>
        </w:rPr>
        <w:t>Autret</w:t>
      </w:r>
      <w:proofErr w:type="spellEnd"/>
      <w:r w:rsidR="00FD28F6" w:rsidRPr="00871CF1">
        <w:rPr>
          <w:color w:val="auto"/>
          <w:szCs w:val="22"/>
        </w:rPr>
        <w:t xml:space="preserve"> et al. (2020), and </w:t>
      </w:r>
      <w:r w:rsidR="003E3564" w:rsidRPr="00871CF1">
        <w:rPr>
          <w:color w:val="auto"/>
          <w:szCs w:val="22"/>
        </w:rPr>
        <w:t xml:space="preserve">following their methodology, </w:t>
      </w:r>
      <w:r w:rsidR="003B2844" w:rsidRPr="00871CF1">
        <w:rPr>
          <w:color w:val="auto"/>
          <w:szCs w:val="22"/>
        </w:rPr>
        <w:t xml:space="preserve">harvesting fuel consumption </w:t>
      </w:r>
      <w:r w:rsidR="004769AC" w:rsidRPr="00871CF1">
        <w:rPr>
          <w:color w:val="auto"/>
          <w:szCs w:val="22"/>
        </w:rPr>
        <w:t>is</w:t>
      </w:r>
      <w:r w:rsidR="003E3564" w:rsidRPr="00871CF1">
        <w:rPr>
          <w:color w:val="auto"/>
          <w:szCs w:val="22"/>
        </w:rPr>
        <w:t xml:space="preserve"> considered </w:t>
      </w:r>
      <w:r w:rsidR="00DB1333" w:rsidRPr="00871CF1">
        <w:rPr>
          <w:color w:val="auto"/>
          <w:szCs w:val="22"/>
        </w:rPr>
        <w:t xml:space="preserve">as </w:t>
      </w:r>
      <w:r w:rsidR="003B2844" w:rsidRPr="00871CF1">
        <w:rPr>
          <w:color w:val="auto"/>
          <w:szCs w:val="22"/>
        </w:rPr>
        <w:t>identical across crops</w:t>
      </w:r>
      <w:r w:rsidR="003E3564" w:rsidRPr="00871CF1">
        <w:rPr>
          <w:color w:val="auto"/>
          <w:szCs w:val="22"/>
        </w:rPr>
        <w:t xml:space="preserve">, </w:t>
      </w:r>
      <w:r w:rsidR="00E257F8" w:rsidRPr="00871CF1">
        <w:rPr>
          <w:color w:val="auto"/>
          <w:szCs w:val="22"/>
        </w:rPr>
        <w:t xml:space="preserve">and the </w:t>
      </w:r>
      <w:r w:rsidR="004570B8" w:rsidRPr="00871CF1">
        <w:rPr>
          <w:color w:val="auto"/>
          <w:szCs w:val="22"/>
        </w:rPr>
        <w:t xml:space="preserve">fuel </w:t>
      </w:r>
      <w:r w:rsidR="00E257F8" w:rsidRPr="00871CF1">
        <w:rPr>
          <w:color w:val="auto"/>
          <w:szCs w:val="22"/>
        </w:rPr>
        <w:t xml:space="preserve">consumption of planting and manure application operations </w:t>
      </w:r>
      <w:r w:rsidR="00CB5625" w:rsidRPr="00871CF1">
        <w:rPr>
          <w:color w:val="auto"/>
          <w:szCs w:val="22"/>
        </w:rPr>
        <w:t>is</w:t>
      </w:r>
      <w:r w:rsidR="00E257F8" w:rsidRPr="00871CF1">
        <w:rPr>
          <w:color w:val="auto"/>
          <w:szCs w:val="22"/>
        </w:rPr>
        <w:t xml:space="preserve"> considered as negligible</w:t>
      </w:r>
      <w:r w:rsidR="005B7DE3" w:rsidRPr="00871CF1">
        <w:rPr>
          <w:color w:val="auto"/>
          <w:szCs w:val="22"/>
        </w:rPr>
        <w:t xml:space="preserve"> compared to harvesting and tillage operations</w:t>
      </w:r>
      <w:r w:rsidR="00DA0A65" w:rsidRPr="00871CF1">
        <w:rPr>
          <w:color w:val="auto"/>
          <w:szCs w:val="22"/>
        </w:rPr>
        <w:t xml:space="preserve">. Fuel consumption is multiplied by an emission factor of 0.81 kg C per liter and converted to </w:t>
      </w:r>
      <w:r w:rsidR="00EC7035" w:rsidRPr="00871CF1">
        <w:rPr>
          <w:color w:val="auto"/>
          <w:szCs w:val="22"/>
        </w:rPr>
        <w:t>CO</w:t>
      </w:r>
      <w:r w:rsidR="00EC7035" w:rsidRPr="00871CF1">
        <w:rPr>
          <w:color w:val="auto"/>
          <w:szCs w:val="22"/>
          <w:vertAlign w:val="subscript"/>
        </w:rPr>
        <w:t>2</w:t>
      </w:r>
      <w:r w:rsidR="00DA0A65" w:rsidRPr="00871CF1">
        <w:rPr>
          <w:color w:val="auto"/>
          <w:szCs w:val="22"/>
        </w:rPr>
        <w:t xml:space="preserve"> using a factor of 3.67</w:t>
      </w:r>
      <w:r w:rsidR="0029325D" w:rsidRPr="00871CF1">
        <w:rPr>
          <w:color w:val="auto"/>
          <w:szCs w:val="22"/>
        </w:rPr>
        <w:t xml:space="preserve"> (</w:t>
      </w:r>
      <w:proofErr w:type="spellStart"/>
      <w:r w:rsidR="0029325D" w:rsidRPr="00871CF1">
        <w:rPr>
          <w:color w:val="auto"/>
          <w:szCs w:val="22"/>
        </w:rPr>
        <w:t>Autret</w:t>
      </w:r>
      <w:proofErr w:type="spellEnd"/>
      <w:r w:rsidR="0029325D" w:rsidRPr="00871CF1">
        <w:rPr>
          <w:color w:val="auto"/>
          <w:szCs w:val="22"/>
        </w:rPr>
        <w:t xml:space="preserve"> et al., 2020)</w:t>
      </w:r>
      <w:r w:rsidR="005510E0" w:rsidRPr="00871CF1">
        <w:rPr>
          <w:color w:val="auto"/>
          <w:szCs w:val="22"/>
        </w:rPr>
        <w:t xml:space="preserve">; </w:t>
      </w:r>
      <w:r w:rsidR="00DA0A65" w:rsidRPr="00871CF1">
        <w:rPr>
          <w:color w:val="auto"/>
          <w:szCs w:val="22"/>
        </w:rPr>
        <w:t>(</w:t>
      </w:r>
      <w:r w:rsidR="00DA0A65" w:rsidRPr="00871CF1">
        <w:rPr>
          <w:i/>
          <w:iCs/>
          <w:color w:val="auto"/>
          <w:szCs w:val="22"/>
        </w:rPr>
        <w:t>v</w:t>
      </w:r>
      <w:r w:rsidR="00DA0A65" w:rsidRPr="00871CF1">
        <w:rPr>
          <w:color w:val="auto"/>
          <w:szCs w:val="22"/>
        </w:rPr>
        <w:t xml:space="preserve">) </w:t>
      </w:r>
      <w:r w:rsidR="00EC7035" w:rsidRPr="00871CF1">
        <w:rPr>
          <w:color w:val="auto"/>
          <w:szCs w:val="22"/>
        </w:rPr>
        <w:t>CO</w:t>
      </w:r>
      <w:r w:rsidR="00EC7035" w:rsidRPr="00871CF1">
        <w:rPr>
          <w:color w:val="auto"/>
          <w:szCs w:val="22"/>
          <w:vertAlign w:val="subscript"/>
        </w:rPr>
        <w:t>2</w:t>
      </w:r>
      <w:r w:rsidR="00DA0A65" w:rsidRPr="00871CF1">
        <w:rPr>
          <w:color w:val="auto"/>
          <w:szCs w:val="22"/>
        </w:rPr>
        <w:t xml:space="preserve"> emissions from N fertilizer (urea ammonium nitrate solution) synthesis, calculated as the applied N fertilizer (kg N) multiplied by 6.17 kg CO</w:t>
      </w:r>
      <w:r w:rsidR="00EC7035" w:rsidRPr="00871CF1">
        <w:rPr>
          <w:color w:val="auto"/>
          <w:szCs w:val="22"/>
          <w:vertAlign w:val="subscript"/>
        </w:rPr>
        <w:t>2</w:t>
      </w:r>
      <w:r w:rsidR="00DA0A65" w:rsidRPr="00871CF1">
        <w:rPr>
          <w:color w:val="auto"/>
          <w:szCs w:val="22"/>
        </w:rPr>
        <w:t>-eq per kg N</w:t>
      </w:r>
      <w:r w:rsidR="009246D2" w:rsidRPr="00871CF1">
        <w:rPr>
          <w:color w:val="auto"/>
          <w:szCs w:val="22"/>
        </w:rPr>
        <w:t xml:space="preserve">; </w:t>
      </w:r>
      <w:r w:rsidR="00DA0A65" w:rsidRPr="00871CF1">
        <w:rPr>
          <w:color w:val="auto"/>
          <w:szCs w:val="22"/>
        </w:rPr>
        <w:t>(</w:t>
      </w:r>
      <w:r w:rsidR="00DA0A65" w:rsidRPr="00871CF1">
        <w:rPr>
          <w:i/>
          <w:iCs/>
          <w:color w:val="auto"/>
          <w:szCs w:val="22"/>
        </w:rPr>
        <w:t>vi</w:t>
      </w:r>
      <w:r w:rsidR="00DA0A65" w:rsidRPr="00871CF1">
        <w:rPr>
          <w:color w:val="auto"/>
          <w:szCs w:val="22"/>
        </w:rPr>
        <w:t>) CH</w:t>
      </w:r>
      <w:r w:rsidR="00EC7035" w:rsidRPr="00871CF1">
        <w:rPr>
          <w:color w:val="auto"/>
          <w:szCs w:val="22"/>
          <w:vertAlign w:val="subscript"/>
        </w:rPr>
        <w:t>4</w:t>
      </w:r>
      <w:r w:rsidR="00DA0A65" w:rsidRPr="00871CF1">
        <w:rPr>
          <w:color w:val="auto"/>
          <w:szCs w:val="22"/>
        </w:rPr>
        <w:t xml:space="preserve"> emissions from sheep</w:t>
      </w:r>
      <w:r w:rsidR="005106AC" w:rsidRPr="00871CF1">
        <w:rPr>
          <w:color w:val="auto"/>
          <w:szCs w:val="22"/>
        </w:rPr>
        <w:t xml:space="preserve"> and beef cattle</w:t>
      </w:r>
      <w:r w:rsidR="00DA0A65" w:rsidRPr="00871CF1">
        <w:rPr>
          <w:color w:val="auto"/>
          <w:szCs w:val="22"/>
        </w:rPr>
        <w:t xml:space="preserve"> </w:t>
      </w:r>
      <w:r w:rsidR="004B672E" w:rsidRPr="00871CF1">
        <w:rPr>
          <w:color w:val="auto"/>
          <w:szCs w:val="22"/>
        </w:rPr>
        <w:t xml:space="preserve">enteric fermentation </w:t>
      </w:r>
      <w:r w:rsidR="00DA0A65" w:rsidRPr="00871CF1">
        <w:rPr>
          <w:color w:val="auto"/>
          <w:szCs w:val="22"/>
        </w:rPr>
        <w:t xml:space="preserve">in </w:t>
      </w:r>
      <w:r w:rsidR="0057638C" w:rsidRPr="00871CF1">
        <w:rPr>
          <w:color w:val="auto"/>
          <w:szCs w:val="22"/>
        </w:rPr>
        <w:t>MOW</w:t>
      </w:r>
      <w:r w:rsidR="001A2769" w:rsidRPr="00871CF1">
        <w:rPr>
          <w:color w:val="auto"/>
          <w:szCs w:val="22"/>
        </w:rPr>
        <w:t>(-RF)</w:t>
      </w:r>
      <w:r w:rsidR="005106AC" w:rsidRPr="00871CF1">
        <w:rPr>
          <w:color w:val="auto"/>
          <w:szCs w:val="22"/>
        </w:rPr>
        <w:t xml:space="preserve"> and </w:t>
      </w:r>
      <w:r w:rsidR="0057638C" w:rsidRPr="00871CF1">
        <w:rPr>
          <w:color w:val="auto"/>
          <w:szCs w:val="22"/>
        </w:rPr>
        <w:t>GRAZ</w:t>
      </w:r>
      <w:r w:rsidR="001A2769" w:rsidRPr="00871CF1">
        <w:rPr>
          <w:color w:val="auto"/>
          <w:szCs w:val="22"/>
        </w:rPr>
        <w:t>(-RF)</w:t>
      </w:r>
      <w:r w:rsidR="005106AC" w:rsidRPr="00871CF1">
        <w:rPr>
          <w:color w:val="auto"/>
          <w:szCs w:val="22"/>
        </w:rPr>
        <w:t xml:space="preserve"> scenarios</w:t>
      </w:r>
      <w:r w:rsidR="00DA0A65" w:rsidRPr="00871CF1">
        <w:rPr>
          <w:color w:val="auto"/>
          <w:szCs w:val="22"/>
        </w:rPr>
        <w:t>, estimated based on live weight gain (Appendix C)</w:t>
      </w:r>
      <w:r w:rsidR="00C56D7A" w:rsidRPr="00871CF1">
        <w:rPr>
          <w:color w:val="auto"/>
          <w:szCs w:val="22"/>
        </w:rPr>
        <w:t>; and (</w:t>
      </w:r>
      <w:r w:rsidR="00C56D7A" w:rsidRPr="00871CF1">
        <w:rPr>
          <w:i/>
          <w:iCs/>
          <w:color w:val="auto"/>
          <w:szCs w:val="22"/>
        </w:rPr>
        <w:t>vii</w:t>
      </w:r>
      <w:r w:rsidR="00C56D7A" w:rsidRPr="00871CF1">
        <w:rPr>
          <w:color w:val="auto"/>
          <w:szCs w:val="22"/>
        </w:rPr>
        <w:t>) emissions associated with the storage and application of livestock manure, including</w:t>
      </w:r>
      <w:r w:rsidR="000670A4" w:rsidRPr="00871CF1">
        <w:rPr>
          <w:color w:val="auto"/>
          <w:szCs w:val="22"/>
        </w:rPr>
        <w:t xml:space="preserve"> CH</w:t>
      </w:r>
      <w:r w:rsidR="000670A4" w:rsidRPr="00871CF1">
        <w:rPr>
          <w:color w:val="auto"/>
          <w:szCs w:val="22"/>
          <w:vertAlign w:val="subscript"/>
        </w:rPr>
        <w:t>4</w:t>
      </w:r>
      <w:r w:rsidR="00C56D7A" w:rsidRPr="00871CF1">
        <w:rPr>
          <w:color w:val="auto"/>
          <w:szCs w:val="22"/>
        </w:rPr>
        <w:t xml:space="preserve"> released from anaerobic decomposition during both storage and field application, and </w:t>
      </w:r>
      <w:r w:rsidR="00946A14" w:rsidRPr="00871CF1">
        <w:rPr>
          <w:color w:val="auto"/>
          <w:szCs w:val="22"/>
        </w:rPr>
        <w:t>N</w:t>
      </w:r>
      <w:r w:rsidR="00946A14" w:rsidRPr="00871CF1">
        <w:rPr>
          <w:color w:val="auto"/>
          <w:szCs w:val="22"/>
          <w:vertAlign w:val="subscript"/>
        </w:rPr>
        <w:t>2</w:t>
      </w:r>
      <w:r w:rsidR="00946A14" w:rsidRPr="00871CF1">
        <w:rPr>
          <w:color w:val="auto"/>
          <w:szCs w:val="22"/>
        </w:rPr>
        <w:t>O</w:t>
      </w:r>
      <w:r w:rsidR="00C56D7A" w:rsidRPr="00871CF1">
        <w:rPr>
          <w:color w:val="auto"/>
          <w:szCs w:val="22"/>
        </w:rPr>
        <w:t xml:space="preserve"> emissions arising from storage</w:t>
      </w:r>
      <w:r w:rsidR="00946A14" w:rsidRPr="00871CF1">
        <w:rPr>
          <w:color w:val="auto"/>
          <w:szCs w:val="22"/>
        </w:rPr>
        <w:t xml:space="preserve"> – </w:t>
      </w:r>
      <w:r w:rsidR="00C56D7A" w:rsidRPr="00871CF1">
        <w:rPr>
          <w:color w:val="auto"/>
          <w:szCs w:val="22"/>
        </w:rPr>
        <w:t>either directly via nitrification and denitrification, or indirectly through the loss of volatile nitrogen compounds.</w:t>
      </w:r>
      <w:r w:rsidR="001A2769" w:rsidRPr="00871CF1">
        <w:rPr>
          <w:color w:val="auto"/>
          <w:szCs w:val="22"/>
        </w:rPr>
        <w:t xml:space="preserve"> </w:t>
      </w:r>
      <w:r w:rsidR="0091476D" w:rsidRPr="00871CF1">
        <w:rPr>
          <w:color w:val="auto"/>
          <w:szCs w:val="22"/>
        </w:rPr>
        <w:t>Soil</w:t>
      </w:r>
      <w:r w:rsidR="001A2769" w:rsidRPr="00871CF1">
        <w:rPr>
          <w:color w:val="auto"/>
          <w:szCs w:val="22"/>
        </w:rPr>
        <w:t xml:space="preserve"> </w:t>
      </w:r>
      <w:bookmarkStart w:id="3" w:name="_Hlk203554648"/>
      <w:r w:rsidR="00462006" w:rsidRPr="00871CF1">
        <w:rPr>
          <w:color w:val="auto"/>
          <w:szCs w:val="22"/>
        </w:rPr>
        <w:t>CO</w:t>
      </w:r>
      <w:r w:rsidR="00462006" w:rsidRPr="00871CF1">
        <w:rPr>
          <w:color w:val="auto"/>
          <w:szCs w:val="22"/>
          <w:vertAlign w:val="subscript"/>
        </w:rPr>
        <w:t>2</w:t>
      </w:r>
      <w:r w:rsidR="001A2769" w:rsidRPr="00871CF1">
        <w:rPr>
          <w:color w:val="auto"/>
          <w:szCs w:val="22"/>
        </w:rPr>
        <w:t xml:space="preserve"> and </w:t>
      </w:r>
      <w:r w:rsidR="00462006" w:rsidRPr="00871CF1">
        <w:rPr>
          <w:color w:val="auto"/>
          <w:szCs w:val="22"/>
        </w:rPr>
        <w:t>N</w:t>
      </w:r>
      <w:r w:rsidR="00462006" w:rsidRPr="00871CF1">
        <w:rPr>
          <w:color w:val="auto"/>
          <w:szCs w:val="22"/>
          <w:vertAlign w:val="subscript"/>
        </w:rPr>
        <w:t>2</w:t>
      </w:r>
      <w:r w:rsidR="00462006" w:rsidRPr="00871CF1">
        <w:rPr>
          <w:color w:val="auto"/>
          <w:szCs w:val="22"/>
        </w:rPr>
        <w:t>O</w:t>
      </w:r>
      <w:r w:rsidR="001A2769" w:rsidRPr="00871CF1">
        <w:rPr>
          <w:color w:val="auto"/>
          <w:szCs w:val="22"/>
        </w:rPr>
        <w:t xml:space="preserve"> emissions, indirectly associated with manure, are already captured under earlier GHG emission categories</w:t>
      </w:r>
      <w:bookmarkEnd w:id="3"/>
      <w:r w:rsidR="001A2769" w:rsidRPr="00871CF1">
        <w:rPr>
          <w:color w:val="auto"/>
          <w:szCs w:val="22"/>
        </w:rPr>
        <w:t>.</w:t>
      </w:r>
      <w:r w:rsidR="00462006" w:rsidRPr="00871CF1">
        <w:rPr>
          <w:color w:val="auto"/>
          <w:szCs w:val="22"/>
        </w:rPr>
        <w:t xml:space="preserve"> The computational methodology</w:t>
      </w:r>
      <w:r w:rsidR="006C5AA5" w:rsidRPr="00871CF1">
        <w:rPr>
          <w:color w:val="auto"/>
          <w:szCs w:val="22"/>
        </w:rPr>
        <w:t xml:space="preserve"> for the emissions linked to manure</w:t>
      </w:r>
      <w:r w:rsidR="00462006" w:rsidRPr="00871CF1">
        <w:rPr>
          <w:color w:val="auto"/>
          <w:szCs w:val="22"/>
        </w:rPr>
        <w:t xml:space="preserve"> is detailed in Appendix </w:t>
      </w:r>
      <w:r w:rsidR="00192A84" w:rsidRPr="00871CF1">
        <w:rPr>
          <w:color w:val="auto"/>
          <w:szCs w:val="22"/>
        </w:rPr>
        <w:t>D</w:t>
      </w:r>
      <w:r w:rsidR="00462006" w:rsidRPr="00871CF1">
        <w:rPr>
          <w:color w:val="auto"/>
          <w:szCs w:val="22"/>
        </w:rPr>
        <w:t>.</w:t>
      </w:r>
    </w:p>
    <w:p w14:paraId="1D57FE63" w14:textId="1BE41D21" w:rsidR="008213BE" w:rsidRPr="00871CF1" w:rsidRDefault="00480C2D" w:rsidP="00CE7AC9">
      <w:pPr>
        <w:pStyle w:val="PubliManuscript"/>
        <w:rPr>
          <w:color w:val="auto"/>
          <w:szCs w:val="22"/>
        </w:rPr>
      </w:pPr>
      <w:r w:rsidRPr="00871CF1">
        <w:rPr>
          <w:color w:val="auto"/>
          <w:szCs w:val="22"/>
        </w:rPr>
        <w:t xml:space="preserve">To evaluate the </w:t>
      </w:r>
      <w:r w:rsidR="00A36277" w:rsidRPr="00871CF1">
        <w:rPr>
          <w:color w:val="auto"/>
          <w:szCs w:val="22"/>
        </w:rPr>
        <w:t xml:space="preserve">net ecosystem GHG balance, i.e., the </w:t>
      </w:r>
      <w:r w:rsidRPr="00871CF1">
        <w:rPr>
          <w:color w:val="auto"/>
          <w:szCs w:val="22"/>
        </w:rPr>
        <w:t>combined impact of the three GHG</w:t>
      </w:r>
      <w:r w:rsidR="003F3D8D" w:rsidRPr="00871CF1">
        <w:rPr>
          <w:color w:val="auto"/>
          <w:szCs w:val="22"/>
        </w:rPr>
        <w:t>s</w:t>
      </w:r>
      <w:r w:rsidRPr="00871CF1">
        <w:rPr>
          <w:color w:val="auto"/>
          <w:szCs w:val="22"/>
        </w:rPr>
        <w:t xml:space="preserve"> (CO</w:t>
      </w:r>
      <w:r w:rsidRPr="00871CF1">
        <w:rPr>
          <w:color w:val="auto"/>
          <w:szCs w:val="22"/>
          <w:vertAlign w:val="subscript"/>
        </w:rPr>
        <w:t>2</w:t>
      </w:r>
      <w:r w:rsidRPr="00871CF1">
        <w:rPr>
          <w:color w:val="auto"/>
          <w:szCs w:val="22"/>
        </w:rPr>
        <w:t>, N</w:t>
      </w:r>
      <w:r w:rsidRPr="00871CF1">
        <w:rPr>
          <w:color w:val="auto"/>
          <w:szCs w:val="22"/>
          <w:vertAlign w:val="subscript"/>
        </w:rPr>
        <w:t>2</w:t>
      </w:r>
      <w:r w:rsidRPr="00871CF1">
        <w:rPr>
          <w:color w:val="auto"/>
          <w:szCs w:val="22"/>
        </w:rPr>
        <w:t>O and CH</w:t>
      </w:r>
      <w:r w:rsidRPr="00871CF1">
        <w:rPr>
          <w:color w:val="auto"/>
          <w:szCs w:val="22"/>
          <w:vertAlign w:val="subscript"/>
        </w:rPr>
        <w:t>4</w:t>
      </w:r>
      <w:r w:rsidRPr="00871CF1">
        <w:rPr>
          <w:color w:val="auto"/>
          <w:szCs w:val="22"/>
        </w:rPr>
        <w:t xml:space="preserve">), we use the Global Warming Potential (GWP) </w:t>
      </w:r>
      <w:r w:rsidR="000C152C" w:rsidRPr="00871CF1">
        <w:rPr>
          <w:color w:val="auto"/>
          <w:szCs w:val="22"/>
        </w:rPr>
        <w:t>metrics</w:t>
      </w:r>
      <w:r w:rsidRPr="00871CF1">
        <w:rPr>
          <w:color w:val="auto"/>
          <w:szCs w:val="22"/>
        </w:rPr>
        <w:t xml:space="preserve">. However, traditional GWP metrics, like the 100-year horizon commonly used, do not adequately capture the vast differences in how long these gases remain in the atmosphere. To address this, we also </w:t>
      </w:r>
      <w:r w:rsidR="00256B08" w:rsidRPr="00871CF1">
        <w:rPr>
          <w:color w:val="auto"/>
          <w:szCs w:val="22"/>
        </w:rPr>
        <w:t>use</w:t>
      </w:r>
      <w:r w:rsidRPr="00871CF1">
        <w:rPr>
          <w:color w:val="auto"/>
          <w:szCs w:val="22"/>
        </w:rPr>
        <w:t xml:space="preserve"> the GWP* </w:t>
      </w:r>
      <w:r w:rsidR="00E2769E" w:rsidRPr="00871CF1">
        <w:rPr>
          <w:color w:val="auto"/>
          <w:szCs w:val="22"/>
        </w:rPr>
        <w:t>metrics</w:t>
      </w:r>
      <w:r w:rsidRPr="00871CF1">
        <w:rPr>
          <w:color w:val="auto"/>
          <w:szCs w:val="22"/>
        </w:rPr>
        <w:t xml:space="preserve"> (Cain et al., 2019; Smith et al., 2021). GWP* reinterprets changes in the emission rate of short-lived climate </w:t>
      </w:r>
      <w:r w:rsidRPr="00871CF1">
        <w:rPr>
          <w:color w:val="auto"/>
          <w:szCs w:val="22"/>
        </w:rPr>
        <w:lastRenderedPageBreak/>
        <w:t xml:space="preserve">pollutants like methane as being </w:t>
      </w:r>
      <w:proofErr w:type="gramStart"/>
      <w:r w:rsidRPr="00871CF1">
        <w:rPr>
          <w:color w:val="auto"/>
          <w:szCs w:val="22"/>
        </w:rPr>
        <w:t>similar to</w:t>
      </w:r>
      <w:proofErr w:type="gramEnd"/>
      <w:r w:rsidRPr="00871CF1">
        <w:rPr>
          <w:color w:val="auto"/>
          <w:szCs w:val="22"/>
        </w:rPr>
        <w:t xml:space="preserve"> a one-off release of </w:t>
      </w:r>
      <w:r w:rsidR="00CE7AC9" w:rsidRPr="00871CF1">
        <w:rPr>
          <w:color w:val="auto"/>
          <w:szCs w:val="22"/>
        </w:rPr>
        <w:t>CO</w:t>
      </w:r>
      <w:r w:rsidR="00CE7AC9" w:rsidRPr="00871CF1">
        <w:rPr>
          <w:color w:val="auto"/>
          <w:szCs w:val="22"/>
          <w:vertAlign w:val="subscript"/>
        </w:rPr>
        <w:t>2</w:t>
      </w:r>
      <w:r w:rsidRPr="00871CF1">
        <w:rPr>
          <w:color w:val="auto"/>
          <w:szCs w:val="22"/>
        </w:rPr>
        <w:t xml:space="preserve">, while still considering the lasting influence of historical </w:t>
      </w:r>
      <w:r w:rsidR="00CE7AC9" w:rsidRPr="00871CF1">
        <w:rPr>
          <w:color w:val="auto"/>
          <w:szCs w:val="22"/>
        </w:rPr>
        <w:t>CH</w:t>
      </w:r>
      <w:r w:rsidR="00CE7AC9" w:rsidRPr="00871CF1">
        <w:rPr>
          <w:color w:val="auto"/>
          <w:szCs w:val="22"/>
          <w:vertAlign w:val="subscript"/>
        </w:rPr>
        <w:t>4</w:t>
      </w:r>
      <w:r w:rsidRPr="00871CF1">
        <w:rPr>
          <w:color w:val="auto"/>
          <w:szCs w:val="22"/>
        </w:rPr>
        <w:t xml:space="preserve"> emissions. This method is especially suitable for assessing emissions from ruminant livestock systems, where herd numbers tend to stay relatively constant (del Prado et al., 2021; 2023).</w:t>
      </w:r>
      <w:r w:rsidR="00CE7AC9" w:rsidRPr="00871CF1">
        <w:rPr>
          <w:color w:val="auto"/>
          <w:szCs w:val="22"/>
        </w:rPr>
        <w:t xml:space="preserve"> </w:t>
      </w:r>
      <w:r w:rsidRPr="00871CF1">
        <w:rPr>
          <w:color w:val="auto"/>
          <w:szCs w:val="22"/>
        </w:rPr>
        <w:t>A</w:t>
      </w:r>
      <w:r w:rsidR="008213BE" w:rsidRPr="00871CF1">
        <w:rPr>
          <w:color w:val="auto"/>
          <w:szCs w:val="22"/>
        </w:rPr>
        <w:t>ll GWP metrics used in this study are provided in</w:t>
      </w:r>
      <w:r w:rsidR="009D1C09" w:rsidRPr="00871CF1">
        <w:rPr>
          <w:color w:val="auto"/>
          <w:szCs w:val="22"/>
        </w:rPr>
        <w:t xml:space="preserve"> </w:t>
      </w:r>
      <w:r w:rsidR="008213BE" w:rsidRPr="00871CF1">
        <w:rPr>
          <w:color w:val="auto"/>
          <w:szCs w:val="22"/>
        </w:rPr>
        <w:t>Table A3.</w:t>
      </w:r>
    </w:p>
    <w:p w14:paraId="70F75D19" w14:textId="0C52F17C" w:rsidR="009F4491" w:rsidRPr="00871CF1" w:rsidRDefault="009F4491" w:rsidP="009F4491">
      <w:pPr>
        <w:pStyle w:val="PubliManuscript"/>
        <w:ind w:firstLine="0"/>
        <w:rPr>
          <w:b/>
          <w:bCs/>
          <w:color w:val="auto"/>
        </w:rPr>
      </w:pPr>
      <w:r w:rsidRPr="00871CF1">
        <w:rPr>
          <w:b/>
          <w:bCs/>
          <w:color w:val="auto"/>
        </w:rPr>
        <w:t>Statistics</w:t>
      </w:r>
    </w:p>
    <w:p w14:paraId="38CA51EB" w14:textId="77777777" w:rsidR="00154922" w:rsidRPr="00871CF1" w:rsidRDefault="001A6026" w:rsidP="009F4491">
      <w:pPr>
        <w:pStyle w:val="PubliManuscript"/>
        <w:rPr>
          <w:color w:val="auto"/>
        </w:rPr>
      </w:pPr>
      <w:r w:rsidRPr="00871CF1">
        <w:rPr>
          <w:color w:val="auto"/>
        </w:rPr>
        <w:t>The statistical analysis was carried out using the R programming language (R Core Team, 2022)</w:t>
      </w:r>
      <w:r w:rsidR="00F23C43" w:rsidRPr="00871CF1">
        <w:rPr>
          <w:color w:val="auto"/>
        </w:rPr>
        <w:t xml:space="preserve">, on the </w:t>
      </w:r>
      <w:r w:rsidR="00720A5A" w:rsidRPr="00871CF1">
        <w:rPr>
          <w:color w:val="auto"/>
        </w:rPr>
        <w:t xml:space="preserve">outputs of </w:t>
      </w:r>
      <w:r w:rsidR="00F23C43" w:rsidRPr="00871CF1">
        <w:rPr>
          <w:color w:val="auto"/>
        </w:rPr>
        <w:t>model simulations conducted at the 11,515 UIDs</w:t>
      </w:r>
      <w:r w:rsidRPr="00871CF1">
        <w:rPr>
          <w:color w:val="auto"/>
        </w:rPr>
        <w:t xml:space="preserve">. </w:t>
      </w:r>
    </w:p>
    <w:p w14:paraId="2139D63B" w14:textId="01904F45" w:rsidR="00154922" w:rsidRPr="00871CF1" w:rsidRDefault="00154922" w:rsidP="00DA799C">
      <w:pPr>
        <w:pStyle w:val="PubliManuscript"/>
        <w:rPr>
          <w:color w:val="auto"/>
        </w:rPr>
      </w:pPr>
      <w:r w:rsidRPr="00871CF1">
        <w:rPr>
          <w:color w:val="auto"/>
        </w:rPr>
        <w:t>We fitted linear mixed-effects</w:t>
      </w:r>
      <w:r w:rsidR="00F86EFB" w:rsidRPr="00871CF1">
        <w:rPr>
          <w:color w:val="auto"/>
        </w:rPr>
        <w:t xml:space="preserve"> </w:t>
      </w:r>
      <w:r w:rsidRPr="00871CF1">
        <w:rPr>
          <w:color w:val="auto"/>
        </w:rPr>
        <w:t>models</w:t>
      </w:r>
      <w:r w:rsidR="00F86EFB" w:rsidRPr="00871CF1">
        <w:rPr>
          <w:color w:val="auto"/>
        </w:rPr>
        <w:t xml:space="preserve"> (LMMs)</w:t>
      </w:r>
      <w:r w:rsidRPr="00871CF1">
        <w:rPr>
          <w:color w:val="auto"/>
        </w:rPr>
        <w:t xml:space="preserve"> to evaluate the effects of rotation type (</w:t>
      </w:r>
      <w:r w:rsidR="00D765E0" w:rsidRPr="00871CF1">
        <w:rPr>
          <w:color w:val="auto"/>
        </w:rPr>
        <w:t>BAU, DIV, MOW, and GRAZ</w:t>
      </w:r>
      <w:r w:rsidRPr="00871CF1">
        <w:rPr>
          <w:color w:val="auto"/>
        </w:rPr>
        <w:t>), fertilization level (</w:t>
      </w:r>
      <w:r w:rsidR="00D765E0" w:rsidRPr="00871CF1">
        <w:rPr>
          <w:color w:val="auto"/>
        </w:rPr>
        <w:t>full vs reduced fertilization</w:t>
      </w:r>
      <w:r w:rsidRPr="00871CF1">
        <w:rPr>
          <w:color w:val="auto"/>
        </w:rPr>
        <w:t xml:space="preserve">), and their interaction on </w:t>
      </w:r>
      <w:r w:rsidR="007C46AC" w:rsidRPr="00871CF1">
        <w:rPr>
          <w:color w:val="auto"/>
        </w:rPr>
        <w:t>the comparative indicators</w:t>
      </w:r>
      <w:r w:rsidRPr="00871CF1">
        <w:rPr>
          <w:color w:val="auto"/>
        </w:rPr>
        <w:t>. Spatial unit (UID) was included as a random effect</w:t>
      </w:r>
      <w:r w:rsidR="00D158DB" w:rsidRPr="00871CF1">
        <w:rPr>
          <w:color w:val="auto"/>
        </w:rPr>
        <w:t xml:space="preserve"> to account for baseline differences among spatial units.</w:t>
      </w:r>
      <w:r w:rsidR="00CC30FF" w:rsidRPr="00871CF1">
        <w:rPr>
          <w:color w:val="auto"/>
        </w:rPr>
        <w:t xml:space="preserve"> </w:t>
      </w:r>
      <w:r w:rsidR="003A4AB6" w:rsidRPr="00871CF1">
        <w:rPr>
          <w:color w:val="auto"/>
        </w:rPr>
        <w:t>When supported by the data and model fit, random slopes for rotation type were additionally included, allowing rotation effects to vary across spatial units</w:t>
      </w:r>
      <w:r w:rsidRPr="00871CF1">
        <w:rPr>
          <w:color w:val="auto"/>
        </w:rPr>
        <w:t>. This structure accounts for spatial heterogeneity and enables assessment of context-dependent management effects.</w:t>
      </w:r>
      <w:r w:rsidR="00D761A6" w:rsidRPr="00871CF1">
        <w:rPr>
          <w:color w:val="auto"/>
        </w:rPr>
        <w:t xml:space="preserve"> For SOC and GHG budget, along with the UID used as a random effect, soil texture and initial SOC were included as fixed effects.</w:t>
      </w:r>
      <w:r w:rsidR="00DA799C" w:rsidRPr="00871CF1">
        <w:rPr>
          <w:color w:val="auto"/>
        </w:rPr>
        <w:t xml:space="preserve"> </w:t>
      </w:r>
      <w:r w:rsidR="00603BC3" w:rsidRPr="00871CF1">
        <w:rPr>
          <w:color w:val="auto"/>
        </w:rPr>
        <w:t xml:space="preserve">Model assumptions were assessed through residual diagnostics, including quantile-quantile plots and residuals versus fitted values, to evaluate normality and homoscedasticity of residuals. </w:t>
      </w:r>
      <w:r w:rsidR="00314A62" w:rsidRPr="00871CF1">
        <w:rPr>
          <w:color w:val="auto"/>
        </w:rPr>
        <w:t xml:space="preserve">For </w:t>
      </w:r>
      <w:r w:rsidR="00D761A6" w:rsidRPr="00871CF1">
        <w:rPr>
          <w:color w:val="auto"/>
        </w:rPr>
        <w:t>all analyses</w:t>
      </w:r>
      <w:r w:rsidR="00314A62" w:rsidRPr="00871CF1">
        <w:rPr>
          <w:color w:val="auto"/>
        </w:rPr>
        <w:t xml:space="preserve">, the response variable was cube-root transformed to reduce skewness </w:t>
      </w:r>
      <w:r w:rsidR="00737967" w:rsidRPr="00871CF1">
        <w:rPr>
          <w:color w:val="auto"/>
        </w:rPr>
        <w:t>of residuals</w:t>
      </w:r>
      <w:r w:rsidR="00D91B17" w:rsidRPr="00871CF1">
        <w:rPr>
          <w:color w:val="auto"/>
        </w:rPr>
        <w:t>; the cube-root transformation was chosen to</w:t>
      </w:r>
      <w:r w:rsidR="00314A62" w:rsidRPr="00871CF1">
        <w:rPr>
          <w:color w:val="auto"/>
        </w:rPr>
        <w:t xml:space="preserve"> accommodate both positive and negative values.</w:t>
      </w:r>
      <w:r w:rsidR="00500B96" w:rsidRPr="00871CF1">
        <w:rPr>
          <w:color w:val="auto"/>
        </w:rPr>
        <w:t xml:space="preserve"> </w:t>
      </w:r>
    </w:p>
    <w:p w14:paraId="42D6D4CE" w14:textId="0925CC0B" w:rsidR="00E83C89" w:rsidRPr="00871CF1" w:rsidRDefault="00B166FB" w:rsidP="0084282E">
      <w:pPr>
        <w:pStyle w:val="PubliManuscript"/>
        <w:rPr>
          <w:color w:val="auto"/>
        </w:rPr>
      </w:pPr>
      <w:r w:rsidRPr="00871CF1">
        <w:rPr>
          <w:color w:val="auto"/>
        </w:rPr>
        <w:t xml:space="preserve">In addition to </w:t>
      </w:r>
      <w:r w:rsidR="00F44744" w:rsidRPr="00871CF1">
        <w:rPr>
          <w:color w:val="auto"/>
        </w:rPr>
        <w:t>LMMs</w:t>
      </w:r>
      <w:r w:rsidRPr="00871CF1">
        <w:rPr>
          <w:color w:val="auto"/>
        </w:rPr>
        <w:t xml:space="preserve">, non-parametric tests </w:t>
      </w:r>
      <w:r w:rsidR="00E83C89" w:rsidRPr="00871CF1">
        <w:rPr>
          <w:color w:val="auto"/>
        </w:rPr>
        <w:t xml:space="preserve">(because the data did not follow a normal distribution) </w:t>
      </w:r>
      <w:r w:rsidRPr="00871CF1">
        <w:rPr>
          <w:color w:val="auto"/>
        </w:rPr>
        <w:t>were conducted to assess overall differences between management scenarios and provide letters to denote statistical differences between groups in boxplots.</w:t>
      </w:r>
      <w:r w:rsidR="00AB3923" w:rsidRPr="00871CF1">
        <w:rPr>
          <w:color w:val="auto"/>
        </w:rPr>
        <w:t xml:space="preserve"> </w:t>
      </w:r>
      <w:r w:rsidR="00E83C89" w:rsidRPr="00871CF1">
        <w:rPr>
          <w:color w:val="auto"/>
        </w:rPr>
        <w:t>Following significant Kruskal</w:t>
      </w:r>
      <w:r w:rsidR="00AB3923" w:rsidRPr="00871CF1">
        <w:rPr>
          <w:color w:val="auto"/>
        </w:rPr>
        <w:t>-</w:t>
      </w:r>
      <w:r w:rsidR="00E83C89" w:rsidRPr="00871CF1">
        <w:rPr>
          <w:color w:val="auto"/>
        </w:rPr>
        <w:t xml:space="preserve">Wallis tests, pairwise comparisons were performed using Dunn’s test with Bonferroni-adjusted </w:t>
      </w:r>
      <w:r w:rsidR="00E83C89" w:rsidRPr="00871CF1">
        <w:rPr>
          <w:i/>
          <w:iCs/>
          <w:color w:val="auto"/>
        </w:rPr>
        <w:t>p</w:t>
      </w:r>
      <w:r w:rsidR="00E83C89" w:rsidRPr="00871CF1">
        <w:rPr>
          <w:color w:val="auto"/>
        </w:rPr>
        <w:t xml:space="preserve">-values to account for multiple comparisons. Adjusted </w:t>
      </w:r>
      <w:r w:rsidR="00E83C89" w:rsidRPr="00871CF1">
        <w:rPr>
          <w:i/>
          <w:iCs/>
          <w:color w:val="auto"/>
        </w:rPr>
        <w:t>p</w:t>
      </w:r>
      <w:r w:rsidR="00E83C89" w:rsidRPr="00871CF1">
        <w:rPr>
          <w:color w:val="auto"/>
        </w:rPr>
        <w:t>-values were used to generate compact letter displays, where groups sharing the same letter are not significantly different at α = 0.05</w:t>
      </w:r>
      <w:r w:rsidR="006B79BD" w:rsidRPr="00871CF1">
        <w:rPr>
          <w:color w:val="auto"/>
        </w:rPr>
        <w:t xml:space="preserve">. R packages </w:t>
      </w:r>
      <w:r w:rsidR="006B79BD" w:rsidRPr="00871CF1">
        <w:rPr>
          <w:i/>
          <w:iCs/>
          <w:color w:val="auto"/>
        </w:rPr>
        <w:t xml:space="preserve">FSA </w:t>
      </w:r>
      <w:r w:rsidR="006B79BD" w:rsidRPr="00871CF1">
        <w:rPr>
          <w:color w:val="auto"/>
        </w:rPr>
        <w:t xml:space="preserve">and </w:t>
      </w:r>
      <w:proofErr w:type="spellStart"/>
      <w:r w:rsidR="006B79BD" w:rsidRPr="00871CF1">
        <w:rPr>
          <w:i/>
          <w:iCs/>
          <w:color w:val="auto"/>
        </w:rPr>
        <w:t>rcompanion</w:t>
      </w:r>
      <w:proofErr w:type="spellEnd"/>
      <w:r w:rsidR="006B79BD" w:rsidRPr="00871CF1">
        <w:rPr>
          <w:i/>
          <w:iCs/>
          <w:color w:val="auto"/>
        </w:rPr>
        <w:t xml:space="preserve"> </w:t>
      </w:r>
      <w:r w:rsidR="006B79BD" w:rsidRPr="00871CF1">
        <w:rPr>
          <w:color w:val="auto"/>
        </w:rPr>
        <w:t>were used.</w:t>
      </w:r>
    </w:p>
    <w:p w14:paraId="52C7455C" w14:textId="6331DC61" w:rsidR="009F4491" w:rsidRPr="00871CF1" w:rsidRDefault="000401A8" w:rsidP="009F4491">
      <w:pPr>
        <w:pStyle w:val="PubliManuscript"/>
        <w:rPr>
          <w:color w:val="auto"/>
        </w:rPr>
      </w:pPr>
      <w:bookmarkStart w:id="4" w:name="_Hlk227676728"/>
      <w:r w:rsidRPr="00871CF1">
        <w:rPr>
          <w:color w:val="auto"/>
        </w:rPr>
        <w:lastRenderedPageBreak/>
        <w:t xml:space="preserve">Spatial maps were generated in R using the packages </w:t>
      </w:r>
      <w:r w:rsidRPr="00871CF1">
        <w:rPr>
          <w:i/>
          <w:iCs/>
          <w:color w:val="auto"/>
        </w:rPr>
        <w:t>sf</w:t>
      </w:r>
      <w:r w:rsidRPr="00871CF1">
        <w:rPr>
          <w:color w:val="auto"/>
        </w:rPr>
        <w:t xml:space="preserve"> and </w:t>
      </w:r>
      <w:r w:rsidRPr="00871CF1">
        <w:rPr>
          <w:i/>
          <w:iCs/>
          <w:color w:val="auto"/>
        </w:rPr>
        <w:t>ggplot2</w:t>
      </w:r>
      <w:r w:rsidRPr="00871CF1">
        <w:rPr>
          <w:color w:val="auto"/>
        </w:rPr>
        <w:t>. Each of the original 86,688 grid cells was linked to one of the 11,515 simulation clusters, and cluster-level model outputs were directly reassigned to all associated grid cells. No spatial interpolation was performed</w:t>
      </w:r>
      <w:r w:rsidR="00CC4017" w:rsidRPr="00871CF1">
        <w:rPr>
          <w:color w:val="auto"/>
        </w:rPr>
        <w:t>.</w:t>
      </w:r>
    </w:p>
    <w:bookmarkEnd w:id="4"/>
    <w:p w14:paraId="00DD5DC2" w14:textId="7E8D8261" w:rsidR="009F4491" w:rsidRPr="00871CF1" w:rsidRDefault="00BC61AE" w:rsidP="009F4491">
      <w:pPr>
        <w:pStyle w:val="Publi1"/>
        <w:spacing w:line="240" w:lineRule="auto"/>
        <w:rPr>
          <w:rFonts w:cs="Times New Roman"/>
          <w:sz w:val="22"/>
          <w:szCs w:val="22"/>
        </w:rPr>
      </w:pPr>
      <w:r w:rsidRPr="00871CF1">
        <w:rPr>
          <w:rFonts w:cs="Times New Roman"/>
          <w:sz w:val="22"/>
          <w:szCs w:val="22"/>
        </w:rPr>
        <w:t>Results</w:t>
      </w:r>
    </w:p>
    <w:p w14:paraId="21CC97F7" w14:textId="4308ED15" w:rsidR="007C4BBC" w:rsidRPr="00871CF1" w:rsidRDefault="0059232E" w:rsidP="00FF002C">
      <w:pPr>
        <w:pStyle w:val="Publi2"/>
        <w:rPr>
          <w:rFonts w:cs="Times New Roman"/>
          <w:color w:val="auto"/>
          <w:sz w:val="22"/>
          <w:szCs w:val="22"/>
        </w:rPr>
      </w:pPr>
      <w:r w:rsidRPr="00871CF1">
        <w:rPr>
          <w:rFonts w:cs="Times New Roman"/>
          <w:color w:val="auto"/>
          <w:sz w:val="22"/>
          <w:szCs w:val="22"/>
        </w:rPr>
        <w:t xml:space="preserve"> </w:t>
      </w:r>
      <w:r w:rsidR="007D51C4" w:rsidRPr="00871CF1">
        <w:rPr>
          <w:rFonts w:cs="Times New Roman"/>
          <w:color w:val="auto"/>
          <w:sz w:val="22"/>
          <w:szCs w:val="22"/>
        </w:rPr>
        <w:t>Provisioning</w:t>
      </w:r>
      <w:r w:rsidR="00FF002C" w:rsidRPr="00871CF1">
        <w:rPr>
          <w:rFonts w:cs="Times New Roman"/>
          <w:color w:val="auto"/>
          <w:sz w:val="22"/>
          <w:szCs w:val="22"/>
        </w:rPr>
        <w:t xml:space="preserve"> </w:t>
      </w:r>
      <w:r w:rsidR="008E538F" w:rsidRPr="00871CF1">
        <w:rPr>
          <w:rFonts w:cs="Times New Roman"/>
          <w:color w:val="auto"/>
          <w:sz w:val="22"/>
          <w:szCs w:val="22"/>
        </w:rPr>
        <w:t>services</w:t>
      </w:r>
    </w:p>
    <w:p w14:paraId="7E3436CE" w14:textId="684A74AE" w:rsidR="009F5D8B" w:rsidRPr="00871CF1" w:rsidRDefault="009F5D8B" w:rsidP="009F5D8B">
      <w:pPr>
        <w:pStyle w:val="PubliManuscript"/>
        <w:ind w:firstLine="0"/>
        <w:rPr>
          <w:b/>
          <w:bCs/>
          <w:color w:val="auto"/>
        </w:rPr>
      </w:pPr>
      <w:r w:rsidRPr="00871CF1">
        <w:rPr>
          <w:b/>
          <w:bCs/>
          <w:color w:val="auto"/>
        </w:rPr>
        <w:t>Productivity</w:t>
      </w:r>
    </w:p>
    <w:p w14:paraId="5B27E78D" w14:textId="12F2C8BF" w:rsidR="00C40636" w:rsidRPr="00871CF1" w:rsidRDefault="00AF186C" w:rsidP="00C40636">
      <w:pPr>
        <w:pStyle w:val="PubliManuscript"/>
        <w:ind w:left="141"/>
        <w:rPr>
          <w:noProof/>
          <w:color w:val="auto"/>
        </w:rPr>
      </w:pPr>
      <w:r w:rsidRPr="00871CF1">
        <w:rPr>
          <w:noProof/>
          <w:color w:val="auto"/>
        </w:rPr>
        <w:t xml:space="preserve">Increasing the duration and complexity of crop rotations </w:t>
      </w:r>
      <w:r w:rsidR="00115A0B" w:rsidRPr="00871CF1">
        <w:rPr>
          <w:noProof/>
          <w:color w:val="auto"/>
        </w:rPr>
        <w:t>significantly</w:t>
      </w:r>
      <w:r w:rsidR="0004419B" w:rsidRPr="00871CF1">
        <w:rPr>
          <w:noProof/>
          <w:color w:val="auto"/>
        </w:rPr>
        <w:t xml:space="preserve"> </w:t>
      </w:r>
      <w:r w:rsidRPr="00871CF1">
        <w:rPr>
          <w:noProof/>
          <w:color w:val="auto"/>
        </w:rPr>
        <w:t>decrease</w:t>
      </w:r>
      <w:r w:rsidR="006212A6" w:rsidRPr="00871CF1">
        <w:rPr>
          <w:noProof/>
          <w:color w:val="auto"/>
        </w:rPr>
        <w:t>s</w:t>
      </w:r>
      <w:r w:rsidRPr="00871CF1">
        <w:rPr>
          <w:noProof/>
          <w:color w:val="auto"/>
        </w:rPr>
        <w:t xml:space="preserve"> the overall productivity of crop rotations – either expressed in yields (Fig. 2a), energetic (Fig. 2b) and economic (Fig. 2c) value</w:t>
      </w:r>
      <w:r w:rsidR="00392AE0" w:rsidRPr="00871CF1">
        <w:rPr>
          <w:noProof/>
          <w:color w:val="auto"/>
        </w:rPr>
        <w:t xml:space="preserve"> (</w:t>
      </w:r>
      <w:r w:rsidR="00214F5E" w:rsidRPr="00871CF1">
        <w:rPr>
          <w:i/>
          <w:iCs/>
          <w:noProof/>
          <w:color w:val="auto"/>
        </w:rPr>
        <w:t xml:space="preserve">p </w:t>
      </w:r>
      <w:r w:rsidR="00214F5E" w:rsidRPr="00871CF1">
        <w:rPr>
          <w:noProof/>
          <w:color w:val="auto"/>
        </w:rPr>
        <w:t xml:space="preserve">&lt; </w:t>
      </w:r>
      <w:r w:rsidR="007273BE" w:rsidRPr="00871CF1">
        <w:rPr>
          <w:noProof/>
          <w:color w:val="auto"/>
        </w:rPr>
        <w:t>0.001</w:t>
      </w:r>
      <w:r w:rsidR="00214F5E" w:rsidRPr="00871CF1">
        <w:rPr>
          <w:noProof/>
          <w:color w:val="auto"/>
        </w:rPr>
        <w:t xml:space="preserve">; </w:t>
      </w:r>
      <w:r w:rsidR="00392AE0" w:rsidRPr="00871CF1">
        <w:rPr>
          <w:noProof/>
          <w:color w:val="auto"/>
        </w:rPr>
        <w:t>Table A6)</w:t>
      </w:r>
      <w:r w:rsidRPr="00871CF1">
        <w:rPr>
          <w:noProof/>
          <w:color w:val="auto"/>
        </w:rPr>
        <w:t>.</w:t>
      </w:r>
      <w:r w:rsidR="001E2C7E" w:rsidRPr="00871CF1">
        <w:rPr>
          <w:noProof/>
          <w:color w:val="auto"/>
        </w:rPr>
        <w:t xml:space="preserve"> </w:t>
      </w:r>
      <w:r w:rsidR="00B12E26" w:rsidRPr="00871CF1">
        <w:rPr>
          <w:noProof/>
          <w:color w:val="auto"/>
        </w:rPr>
        <w:t xml:space="preserve">In terms of energetic/economic values, </w:t>
      </w:r>
      <w:r w:rsidR="00881952" w:rsidRPr="00871CF1">
        <w:rPr>
          <w:noProof/>
          <w:color w:val="auto"/>
        </w:rPr>
        <w:t xml:space="preserve">between the full fertilization scenarios, </w:t>
      </w:r>
      <w:r w:rsidR="00B12E26" w:rsidRPr="00871CF1">
        <w:rPr>
          <w:noProof/>
          <w:color w:val="auto"/>
        </w:rPr>
        <w:t>t</w:t>
      </w:r>
      <w:r w:rsidR="001E2C7E" w:rsidRPr="00871CF1">
        <w:rPr>
          <w:noProof/>
          <w:color w:val="auto"/>
        </w:rPr>
        <w:t>he BAU system exhibite</w:t>
      </w:r>
      <w:r w:rsidR="00131FAE" w:rsidRPr="00871CF1">
        <w:rPr>
          <w:noProof/>
          <w:color w:val="auto"/>
        </w:rPr>
        <w:t>s</w:t>
      </w:r>
      <w:r w:rsidR="001E2C7E" w:rsidRPr="00871CF1">
        <w:rPr>
          <w:noProof/>
          <w:color w:val="auto"/>
        </w:rPr>
        <w:t xml:space="preserve"> the highest productivity (</w:t>
      </w:r>
      <w:r w:rsidR="00E5321D" w:rsidRPr="00871CF1">
        <w:rPr>
          <w:noProof/>
          <w:color w:val="auto"/>
        </w:rPr>
        <w:t>2</w:t>
      </w:r>
      <w:r w:rsidR="00D772AE" w:rsidRPr="00871CF1">
        <w:rPr>
          <w:noProof/>
          <w:color w:val="auto"/>
        </w:rPr>
        <w:t>5</w:t>
      </w:r>
      <w:r w:rsidR="007C5774" w:rsidRPr="00871CF1">
        <w:rPr>
          <w:noProof/>
          <w:color w:val="auto"/>
        </w:rPr>
        <w:t>%</w:t>
      </w:r>
      <w:r w:rsidR="000B47C4" w:rsidRPr="00871CF1">
        <w:rPr>
          <w:noProof/>
          <w:color w:val="auto"/>
        </w:rPr>
        <w:t>/</w:t>
      </w:r>
      <w:r w:rsidR="00022DBF" w:rsidRPr="00871CF1">
        <w:rPr>
          <w:noProof/>
          <w:color w:val="auto"/>
        </w:rPr>
        <w:t>2</w:t>
      </w:r>
      <w:r w:rsidR="00D772AE" w:rsidRPr="00871CF1">
        <w:rPr>
          <w:noProof/>
          <w:color w:val="auto"/>
        </w:rPr>
        <w:t>8</w:t>
      </w:r>
      <w:r w:rsidR="001E2C7E" w:rsidRPr="00871CF1">
        <w:rPr>
          <w:noProof/>
          <w:color w:val="auto"/>
        </w:rPr>
        <w:t xml:space="preserve">%, </w:t>
      </w:r>
      <w:r w:rsidR="00022DBF" w:rsidRPr="00871CF1">
        <w:rPr>
          <w:noProof/>
          <w:color w:val="auto"/>
        </w:rPr>
        <w:t>13</w:t>
      </w:r>
      <w:r w:rsidR="00AB4673" w:rsidRPr="00871CF1">
        <w:rPr>
          <w:noProof/>
          <w:color w:val="auto"/>
        </w:rPr>
        <w:t>0</w:t>
      </w:r>
      <w:r w:rsidR="007C5774" w:rsidRPr="00871CF1">
        <w:rPr>
          <w:noProof/>
          <w:color w:val="auto"/>
        </w:rPr>
        <w:t>%</w:t>
      </w:r>
      <w:r w:rsidR="00022DBF" w:rsidRPr="00871CF1">
        <w:rPr>
          <w:noProof/>
          <w:color w:val="auto"/>
        </w:rPr>
        <w:t>/9</w:t>
      </w:r>
      <w:r w:rsidR="00AB4673" w:rsidRPr="00871CF1">
        <w:rPr>
          <w:noProof/>
          <w:color w:val="auto"/>
        </w:rPr>
        <w:t>3</w:t>
      </w:r>
      <w:r w:rsidR="001E2C7E" w:rsidRPr="00871CF1">
        <w:rPr>
          <w:noProof/>
          <w:color w:val="auto"/>
        </w:rPr>
        <w:t xml:space="preserve">% and </w:t>
      </w:r>
      <w:r w:rsidR="00022DBF" w:rsidRPr="00871CF1">
        <w:rPr>
          <w:noProof/>
          <w:color w:val="auto"/>
        </w:rPr>
        <w:t>13</w:t>
      </w:r>
      <w:r w:rsidR="008266C2" w:rsidRPr="00871CF1">
        <w:rPr>
          <w:noProof/>
          <w:color w:val="auto"/>
        </w:rPr>
        <w:t>4</w:t>
      </w:r>
      <w:r w:rsidR="007C5774" w:rsidRPr="00871CF1">
        <w:rPr>
          <w:noProof/>
          <w:color w:val="auto"/>
        </w:rPr>
        <w:t>%</w:t>
      </w:r>
      <w:r w:rsidR="00022DBF" w:rsidRPr="00871CF1">
        <w:rPr>
          <w:noProof/>
          <w:color w:val="auto"/>
        </w:rPr>
        <w:t>/12</w:t>
      </w:r>
      <w:r w:rsidR="008266C2" w:rsidRPr="00871CF1">
        <w:rPr>
          <w:noProof/>
          <w:color w:val="auto"/>
        </w:rPr>
        <w:t>2</w:t>
      </w:r>
      <w:r w:rsidR="001E2C7E" w:rsidRPr="00871CF1">
        <w:rPr>
          <w:noProof/>
          <w:color w:val="auto"/>
        </w:rPr>
        <w:t xml:space="preserve">% higher than DIV, </w:t>
      </w:r>
      <w:r w:rsidR="0057638C" w:rsidRPr="00871CF1">
        <w:rPr>
          <w:noProof/>
          <w:color w:val="auto"/>
        </w:rPr>
        <w:t>MOW</w:t>
      </w:r>
      <w:r w:rsidR="001E2C7E" w:rsidRPr="00871CF1">
        <w:rPr>
          <w:noProof/>
          <w:color w:val="auto"/>
        </w:rPr>
        <w:t xml:space="preserve"> and </w:t>
      </w:r>
      <w:r w:rsidR="0057638C" w:rsidRPr="00871CF1">
        <w:rPr>
          <w:noProof/>
          <w:color w:val="auto"/>
        </w:rPr>
        <w:t>GRAZ</w:t>
      </w:r>
      <w:r w:rsidR="001E2C7E" w:rsidRPr="00871CF1">
        <w:rPr>
          <w:noProof/>
          <w:color w:val="auto"/>
        </w:rPr>
        <w:t xml:space="preserve"> respectively), followed by DIV (</w:t>
      </w:r>
      <w:r w:rsidR="000C2868" w:rsidRPr="00871CF1">
        <w:rPr>
          <w:noProof/>
          <w:color w:val="auto"/>
        </w:rPr>
        <w:t>84</w:t>
      </w:r>
      <w:r w:rsidR="007C5774" w:rsidRPr="00871CF1">
        <w:rPr>
          <w:noProof/>
          <w:color w:val="auto"/>
        </w:rPr>
        <w:t>%</w:t>
      </w:r>
      <w:r w:rsidR="000C2868" w:rsidRPr="00871CF1">
        <w:rPr>
          <w:noProof/>
          <w:color w:val="auto"/>
        </w:rPr>
        <w:t>/50</w:t>
      </w:r>
      <w:r w:rsidR="001E2C7E" w:rsidRPr="00871CF1">
        <w:rPr>
          <w:noProof/>
          <w:color w:val="auto"/>
        </w:rPr>
        <w:t xml:space="preserve">% and </w:t>
      </w:r>
      <w:r w:rsidR="000C2868" w:rsidRPr="00871CF1">
        <w:rPr>
          <w:noProof/>
          <w:color w:val="auto"/>
        </w:rPr>
        <w:t>8</w:t>
      </w:r>
      <w:r w:rsidR="00230463" w:rsidRPr="00871CF1">
        <w:rPr>
          <w:noProof/>
          <w:color w:val="auto"/>
        </w:rPr>
        <w:t>7</w:t>
      </w:r>
      <w:r w:rsidR="007C5774" w:rsidRPr="00871CF1">
        <w:rPr>
          <w:noProof/>
          <w:color w:val="auto"/>
        </w:rPr>
        <w:t>%</w:t>
      </w:r>
      <w:r w:rsidR="000C2868" w:rsidRPr="00871CF1">
        <w:rPr>
          <w:noProof/>
          <w:color w:val="auto"/>
        </w:rPr>
        <w:t>/73</w:t>
      </w:r>
      <w:r w:rsidR="001E2C7E" w:rsidRPr="00871CF1">
        <w:rPr>
          <w:noProof/>
          <w:color w:val="auto"/>
        </w:rPr>
        <w:t xml:space="preserve">% higher than </w:t>
      </w:r>
      <w:r w:rsidR="0057638C" w:rsidRPr="00871CF1">
        <w:rPr>
          <w:noProof/>
          <w:color w:val="auto"/>
        </w:rPr>
        <w:t>MOW</w:t>
      </w:r>
      <w:r w:rsidR="001E2C7E" w:rsidRPr="00871CF1">
        <w:rPr>
          <w:noProof/>
          <w:color w:val="auto"/>
        </w:rPr>
        <w:t xml:space="preserve"> and </w:t>
      </w:r>
      <w:r w:rsidR="0057638C" w:rsidRPr="00871CF1">
        <w:rPr>
          <w:noProof/>
          <w:color w:val="auto"/>
        </w:rPr>
        <w:t>GRAZ</w:t>
      </w:r>
      <w:r w:rsidR="001E2C7E" w:rsidRPr="00871CF1">
        <w:rPr>
          <w:noProof/>
          <w:color w:val="auto"/>
        </w:rPr>
        <w:t xml:space="preserve"> respectively) and </w:t>
      </w:r>
      <w:r w:rsidR="00F073BA" w:rsidRPr="00871CF1">
        <w:rPr>
          <w:noProof/>
          <w:color w:val="auto"/>
        </w:rPr>
        <w:t>MOW</w:t>
      </w:r>
      <w:r w:rsidR="001E2C7E" w:rsidRPr="00871CF1">
        <w:rPr>
          <w:noProof/>
          <w:color w:val="auto"/>
        </w:rPr>
        <w:t xml:space="preserve"> (</w:t>
      </w:r>
      <w:r w:rsidR="00D51152" w:rsidRPr="00871CF1">
        <w:rPr>
          <w:noProof/>
          <w:color w:val="auto"/>
        </w:rPr>
        <w:t>2</w:t>
      </w:r>
      <w:r w:rsidR="007C5774" w:rsidRPr="00871CF1">
        <w:rPr>
          <w:noProof/>
          <w:color w:val="auto"/>
        </w:rPr>
        <w:t>%</w:t>
      </w:r>
      <w:r w:rsidR="00F370BE" w:rsidRPr="00871CF1">
        <w:rPr>
          <w:noProof/>
          <w:color w:val="auto"/>
        </w:rPr>
        <w:t>/15</w:t>
      </w:r>
      <w:r w:rsidR="001E2C7E" w:rsidRPr="00871CF1">
        <w:rPr>
          <w:noProof/>
          <w:color w:val="auto"/>
        </w:rPr>
        <w:t xml:space="preserve">% higher than </w:t>
      </w:r>
      <w:r w:rsidR="0057638C" w:rsidRPr="00871CF1">
        <w:rPr>
          <w:noProof/>
          <w:color w:val="auto"/>
        </w:rPr>
        <w:t>GRAZ</w:t>
      </w:r>
      <w:r w:rsidR="001E2C7E" w:rsidRPr="00871CF1">
        <w:rPr>
          <w:noProof/>
          <w:color w:val="auto"/>
        </w:rPr>
        <w:t>)</w:t>
      </w:r>
      <w:r w:rsidR="00653603" w:rsidRPr="00871CF1">
        <w:rPr>
          <w:noProof/>
          <w:color w:val="auto"/>
        </w:rPr>
        <w:t xml:space="preserve"> (Fig 2b and 2c)</w:t>
      </w:r>
      <w:r w:rsidR="001E2C7E" w:rsidRPr="00871CF1">
        <w:rPr>
          <w:noProof/>
          <w:color w:val="auto"/>
        </w:rPr>
        <w:t>.</w:t>
      </w:r>
      <w:r w:rsidR="006345D3" w:rsidRPr="00871CF1">
        <w:rPr>
          <w:noProof/>
          <w:color w:val="auto"/>
        </w:rPr>
        <w:t xml:space="preserve"> </w:t>
      </w:r>
      <w:r w:rsidR="00055529" w:rsidRPr="00871CF1">
        <w:rPr>
          <w:noProof/>
          <w:color w:val="auto"/>
        </w:rPr>
        <w:t>Reducing nitrogen fertilization by 25% lowers overall energetic productivity</w:t>
      </w:r>
      <w:r w:rsidR="00BA34E1" w:rsidRPr="00871CF1">
        <w:rPr>
          <w:noProof/>
          <w:color w:val="auto"/>
        </w:rPr>
        <w:t xml:space="preserve"> by </w:t>
      </w:r>
      <w:r w:rsidR="00EB6353" w:rsidRPr="00871CF1">
        <w:rPr>
          <w:noProof/>
          <w:color w:val="auto"/>
        </w:rPr>
        <w:t>6</w:t>
      </w:r>
      <w:r w:rsidR="00BA34E1" w:rsidRPr="00871CF1">
        <w:rPr>
          <w:noProof/>
          <w:color w:val="auto"/>
        </w:rPr>
        <w:t>% in general</w:t>
      </w:r>
      <w:r w:rsidR="003D590D" w:rsidRPr="00871CF1">
        <w:rPr>
          <w:noProof/>
          <w:color w:val="auto"/>
        </w:rPr>
        <w:t xml:space="preserve"> and economic productivity </w:t>
      </w:r>
      <w:r w:rsidR="00117837" w:rsidRPr="00871CF1">
        <w:rPr>
          <w:noProof/>
          <w:color w:val="auto"/>
        </w:rPr>
        <w:t xml:space="preserve">(profitability) </w:t>
      </w:r>
      <w:r w:rsidR="003D590D" w:rsidRPr="00871CF1">
        <w:rPr>
          <w:noProof/>
          <w:color w:val="auto"/>
        </w:rPr>
        <w:t xml:space="preserve">by 4.4%. Yet </w:t>
      </w:r>
      <w:r w:rsidR="00F17B42" w:rsidRPr="00871CF1">
        <w:rPr>
          <w:noProof/>
          <w:color w:val="auto"/>
        </w:rPr>
        <w:t xml:space="preserve">the reduction in profitability associated with reduced fertilization was greater under the BAU scenario than under alternative rotations (Table A6). </w:t>
      </w:r>
      <w:r w:rsidR="00C8687A" w:rsidRPr="00871CF1">
        <w:rPr>
          <w:noProof/>
          <w:color w:val="auto"/>
        </w:rPr>
        <w:t xml:space="preserve">The </w:t>
      </w:r>
      <w:r w:rsidR="002D35F0" w:rsidRPr="00871CF1">
        <w:rPr>
          <w:noProof/>
          <w:color w:val="auto"/>
        </w:rPr>
        <w:t>LMM</w:t>
      </w:r>
      <w:r w:rsidR="00C8687A" w:rsidRPr="00871CF1">
        <w:rPr>
          <w:noProof/>
          <w:color w:val="auto"/>
        </w:rPr>
        <w:t xml:space="preserve"> further revealed strong spatial heterogeneity in economic outcomes</w:t>
      </w:r>
      <w:r w:rsidR="00B52EFD" w:rsidRPr="00871CF1">
        <w:rPr>
          <w:noProof/>
          <w:color w:val="auto"/>
        </w:rPr>
        <w:t>, illustrated in Fig. A</w:t>
      </w:r>
      <w:r w:rsidR="00AD28EE" w:rsidRPr="00871CF1">
        <w:rPr>
          <w:noProof/>
          <w:color w:val="auto"/>
        </w:rPr>
        <w:t>9</w:t>
      </w:r>
      <w:r w:rsidR="00C8687A" w:rsidRPr="00871CF1">
        <w:rPr>
          <w:noProof/>
          <w:color w:val="auto"/>
        </w:rPr>
        <w:t xml:space="preserve">. Specifically, variance components indicated that between-location variability (UID-level random effects) was substantially larger than within-location residual variability, highlighting pronounced </w:t>
      </w:r>
      <w:r w:rsidR="00210579" w:rsidRPr="00871CF1">
        <w:rPr>
          <w:noProof/>
          <w:color w:val="auto"/>
        </w:rPr>
        <w:t xml:space="preserve">spatial </w:t>
      </w:r>
      <w:r w:rsidR="00C8687A" w:rsidRPr="00871CF1">
        <w:rPr>
          <w:noProof/>
          <w:color w:val="auto"/>
        </w:rPr>
        <w:t>differences. In addition, correlations between random intercepts and slopes showed that the effects of alternative rotations depended on baseline productivity: lower-performing environments</w:t>
      </w:r>
      <w:r w:rsidR="00EA5BDF" w:rsidRPr="00871CF1">
        <w:rPr>
          <w:noProof/>
          <w:color w:val="auto"/>
        </w:rPr>
        <w:t xml:space="preserve"> with the BAU scenario</w:t>
      </w:r>
      <w:r w:rsidR="00C8687A" w:rsidRPr="00871CF1">
        <w:rPr>
          <w:noProof/>
          <w:color w:val="auto"/>
        </w:rPr>
        <w:t xml:space="preserve"> tended to experience smaller </w:t>
      </w:r>
      <w:r w:rsidR="009956DF" w:rsidRPr="00871CF1">
        <w:rPr>
          <w:noProof/>
          <w:color w:val="auto"/>
        </w:rPr>
        <w:t>losses</w:t>
      </w:r>
      <w:r w:rsidR="006077FF" w:rsidRPr="00871CF1">
        <w:rPr>
          <w:noProof/>
          <w:color w:val="auto"/>
        </w:rPr>
        <w:t xml:space="preserve"> </w:t>
      </w:r>
      <w:r w:rsidR="00B17DA9" w:rsidRPr="00871CF1">
        <w:rPr>
          <w:noProof/>
          <w:color w:val="auto"/>
        </w:rPr>
        <w:t xml:space="preserve">in profitability </w:t>
      </w:r>
      <w:r w:rsidR="006077FF" w:rsidRPr="00871CF1">
        <w:rPr>
          <w:noProof/>
          <w:color w:val="auto"/>
        </w:rPr>
        <w:t>under alternative rotations</w:t>
      </w:r>
      <w:r w:rsidR="00C8687A" w:rsidRPr="00871CF1">
        <w:rPr>
          <w:noProof/>
          <w:color w:val="auto"/>
        </w:rPr>
        <w:t>, whereas higher-performing environments experienced larger reductions (Table A6</w:t>
      </w:r>
      <w:r w:rsidR="00706A4D" w:rsidRPr="00871CF1">
        <w:rPr>
          <w:noProof/>
          <w:color w:val="auto"/>
        </w:rPr>
        <w:t xml:space="preserve"> and Fig. A</w:t>
      </w:r>
      <w:r w:rsidR="0015013F" w:rsidRPr="00871CF1">
        <w:rPr>
          <w:noProof/>
          <w:color w:val="auto"/>
        </w:rPr>
        <w:t>9</w:t>
      </w:r>
      <w:r w:rsidR="00C8687A" w:rsidRPr="00871CF1">
        <w:rPr>
          <w:noProof/>
          <w:color w:val="auto"/>
        </w:rPr>
        <w:t>).</w:t>
      </w:r>
      <w:r w:rsidR="00C40636" w:rsidRPr="00871CF1">
        <w:rPr>
          <w:b/>
          <w:bCs/>
          <w:color w:val="auto"/>
        </w:rPr>
        <w:br w:type="page"/>
      </w:r>
    </w:p>
    <w:p w14:paraId="0BFA0C8B" w14:textId="7D2DA535" w:rsidR="00026D31" w:rsidRPr="00871CF1" w:rsidRDefault="00026D31" w:rsidP="00026D31">
      <w:pPr>
        <w:pStyle w:val="PubliManuscript"/>
        <w:ind w:firstLine="0"/>
        <w:rPr>
          <w:b/>
          <w:bCs/>
          <w:color w:val="auto"/>
        </w:rPr>
      </w:pPr>
      <w:r w:rsidRPr="00871CF1">
        <w:rPr>
          <w:b/>
          <w:bCs/>
          <w:color w:val="auto"/>
        </w:rPr>
        <w:lastRenderedPageBreak/>
        <w:t>Productivity stability</w:t>
      </w:r>
    </w:p>
    <w:p w14:paraId="6E3F0261" w14:textId="1CBE251C" w:rsidR="000365B8" w:rsidRPr="00871CF1" w:rsidRDefault="000E1786" w:rsidP="00055529">
      <w:pPr>
        <w:pStyle w:val="PubliManuscript"/>
        <w:ind w:left="141"/>
        <w:rPr>
          <w:noProof/>
          <w:color w:val="auto"/>
        </w:rPr>
      </w:pPr>
      <w:r w:rsidRPr="00871CF1">
        <w:rPr>
          <w:noProof/>
          <w:color w:val="auto"/>
        </w:rPr>
        <w:t>Production stability</w:t>
      </w:r>
      <w:r w:rsidR="00385168" w:rsidRPr="00871CF1">
        <w:rPr>
          <w:noProof/>
          <w:color w:val="auto"/>
        </w:rPr>
        <w:t xml:space="preserve">, </w:t>
      </w:r>
      <w:r w:rsidR="00CE2226" w:rsidRPr="00871CF1">
        <w:rPr>
          <w:noProof/>
          <w:color w:val="auto"/>
        </w:rPr>
        <w:t>defined as the ratio of its mean</w:t>
      </w:r>
      <w:r w:rsidR="00385168" w:rsidRPr="00871CF1">
        <w:rPr>
          <w:noProof/>
          <w:color w:val="auto"/>
        </w:rPr>
        <w:t xml:space="preserve"> over its standard deviation</w:t>
      </w:r>
      <w:r w:rsidR="000365B8" w:rsidRPr="00871CF1">
        <w:rPr>
          <w:noProof/>
          <w:color w:val="auto"/>
        </w:rPr>
        <w:t xml:space="preserve"> – favoring high and stable productions </w:t>
      </w:r>
      <w:r w:rsidR="00886812" w:rsidRPr="00871CF1">
        <w:rPr>
          <w:noProof/>
          <w:color w:val="auto"/>
        </w:rPr>
        <w:t>–</w:t>
      </w:r>
      <w:r w:rsidR="002B1C7F" w:rsidRPr="00871CF1">
        <w:rPr>
          <w:noProof/>
          <w:color w:val="auto"/>
        </w:rPr>
        <w:t xml:space="preserve"> </w:t>
      </w:r>
      <w:r w:rsidRPr="00871CF1">
        <w:rPr>
          <w:noProof/>
          <w:color w:val="auto"/>
        </w:rPr>
        <w:t xml:space="preserve">follows the opposite hierarchy, </w:t>
      </w:r>
      <w:r w:rsidR="008B4D63" w:rsidRPr="00871CF1">
        <w:rPr>
          <w:noProof/>
          <w:color w:val="auto"/>
        </w:rPr>
        <w:t xml:space="preserve">significantly </w:t>
      </w:r>
      <w:r w:rsidR="000365B8" w:rsidRPr="00871CF1">
        <w:rPr>
          <w:noProof/>
          <w:color w:val="auto"/>
        </w:rPr>
        <w:t>rising with the increasing complexity of crop rotation</w:t>
      </w:r>
      <w:r w:rsidR="005821EC" w:rsidRPr="00871CF1">
        <w:rPr>
          <w:noProof/>
          <w:color w:val="auto"/>
        </w:rPr>
        <w:t xml:space="preserve"> (</w:t>
      </w:r>
      <w:r w:rsidR="008B4D63" w:rsidRPr="00871CF1">
        <w:rPr>
          <w:i/>
          <w:iCs/>
          <w:noProof/>
          <w:color w:val="auto"/>
        </w:rPr>
        <w:t xml:space="preserve">p </w:t>
      </w:r>
      <w:r w:rsidR="008B4D63" w:rsidRPr="00871CF1">
        <w:rPr>
          <w:noProof/>
          <w:color w:val="auto"/>
        </w:rPr>
        <w:t>&lt; 0.001; Table A</w:t>
      </w:r>
      <w:r w:rsidR="004358F2" w:rsidRPr="00871CF1">
        <w:rPr>
          <w:noProof/>
          <w:color w:val="auto"/>
        </w:rPr>
        <w:t>7</w:t>
      </w:r>
      <w:r w:rsidR="008B4D63" w:rsidRPr="00871CF1">
        <w:rPr>
          <w:noProof/>
          <w:color w:val="auto"/>
        </w:rPr>
        <w:t xml:space="preserve"> and </w:t>
      </w:r>
      <w:r w:rsidR="005821EC" w:rsidRPr="00871CF1">
        <w:rPr>
          <w:noProof/>
          <w:color w:val="auto"/>
        </w:rPr>
        <w:t>Fig. 2d, 2e and 2f)</w:t>
      </w:r>
      <w:r w:rsidR="000365B8" w:rsidRPr="00871CF1">
        <w:rPr>
          <w:noProof/>
          <w:color w:val="auto"/>
        </w:rPr>
        <w:t>.</w:t>
      </w:r>
      <w:r w:rsidR="006212A6" w:rsidRPr="00871CF1">
        <w:rPr>
          <w:noProof/>
          <w:color w:val="auto"/>
        </w:rPr>
        <w:t xml:space="preserve"> </w:t>
      </w:r>
      <w:r w:rsidR="00AE2C93" w:rsidRPr="00871CF1">
        <w:rPr>
          <w:noProof/>
          <w:color w:val="auto"/>
        </w:rPr>
        <w:t>In terms of economic value</w:t>
      </w:r>
      <w:r w:rsidR="007A3948" w:rsidRPr="00871CF1">
        <w:rPr>
          <w:noProof/>
          <w:color w:val="auto"/>
        </w:rPr>
        <w:t xml:space="preserve"> (Fig. 2f)</w:t>
      </w:r>
      <w:r w:rsidR="00AE2C93" w:rsidRPr="00871CF1">
        <w:rPr>
          <w:noProof/>
          <w:color w:val="auto"/>
        </w:rPr>
        <w:t xml:space="preserve">, </w:t>
      </w:r>
      <w:r w:rsidR="00FD38F5" w:rsidRPr="00871CF1">
        <w:rPr>
          <w:noProof/>
          <w:color w:val="auto"/>
        </w:rPr>
        <w:t xml:space="preserve">within full fertilization scenarios, </w:t>
      </w:r>
      <w:r w:rsidR="00AE2C93" w:rsidRPr="00871CF1">
        <w:rPr>
          <w:noProof/>
          <w:color w:val="auto"/>
        </w:rPr>
        <w:t>t</w:t>
      </w:r>
      <w:r w:rsidR="006212A6" w:rsidRPr="00871CF1">
        <w:rPr>
          <w:noProof/>
          <w:color w:val="auto"/>
        </w:rPr>
        <w:t xml:space="preserve">he </w:t>
      </w:r>
      <w:r w:rsidR="00610199" w:rsidRPr="00871CF1">
        <w:rPr>
          <w:noProof/>
          <w:color w:val="auto"/>
        </w:rPr>
        <w:t>MOW</w:t>
      </w:r>
      <w:r w:rsidR="006212A6" w:rsidRPr="00871CF1">
        <w:rPr>
          <w:noProof/>
          <w:color w:val="auto"/>
        </w:rPr>
        <w:t xml:space="preserve"> system </w:t>
      </w:r>
      <w:r w:rsidR="00AE2C93" w:rsidRPr="00871CF1">
        <w:rPr>
          <w:noProof/>
          <w:color w:val="auto"/>
        </w:rPr>
        <w:t xml:space="preserve">has the highest stability </w:t>
      </w:r>
      <w:r w:rsidR="00702A02" w:rsidRPr="00871CF1">
        <w:rPr>
          <w:noProof/>
          <w:color w:val="auto"/>
        </w:rPr>
        <w:t>(</w:t>
      </w:r>
      <w:r w:rsidR="0064584A" w:rsidRPr="00871CF1">
        <w:rPr>
          <w:noProof/>
          <w:color w:val="auto"/>
        </w:rPr>
        <w:t>2</w:t>
      </w:r>
      <w:r w:rsidR="00D45810" w:rsidRPr="00871CF1">
        <w:rPr>
          <w:noProof/>
          <w:color w:val="auto"/>
        </w:rPr>
        <w:t>7</w:t>
      </w:r>
      <w:r w:rsidR="0064584A" w:rsidRPr="00871CF1">
        <w:rPr>
          <w:noProof/>
          <w:color w:val="auto"/>
        </w:rPr>
        <w:t>2</w:t>
      </w:r>
      <w:r w:rsidR="00702A02" w:rsidRPr="00871CF1">
        <w:rPr>
          <w:noProof/>
          <w:color w:val="auto"/>
        </w:rPr>
        <w:t xml:space="preserve">%, </w:t>
      </w:r>
      <w:r w:rsidR="00CD669C" w:rsidRPr="00871CF1">
        <w:rPr>
          <w:noProof/>
          <w:color w:val="auto"/>
        </w:rPr>
        <w:t>104%</w:t>
      </w:r>
      <w:r w:rsidR="00702A02" w:rsidRPr="00871CF1">
        <w:rPr>
          <w:noProof/>
          <w:color w:val="auto"/>
        </w:rPr>
        <w:t xml:space="preserve"> and </w:t>
      </w:r>
      <w:r w:rsidR="009B63E0" w:rsidRPr="00871CF1">
        <w:rPr>
          <w:noProof/>
          <w:color w:val="auto"/>
        </w:rPr>
        <w:t>17</w:t>
      </w:r>
      <w:r w:rsidR="00F951AB" w:rsidRPr="00871CF1">
        <w:rPr>
          <w:noProof/>
          <w:color w:val="auto"/>
        </w:rPr>
        <w:t>%</w:t>
      </w:r>
      <w:r w:rsidR="00702A02" w:rsidRPr="00871CF1">
        <w:rPr>
          <w:noProof/>
          <w:color w:val="auto"/>
        </w:rPr>
        <w:t xml:space="preserve"> higher than BAU, DIV and </w:t>
      </w:r>
      <w:r w:rsidR="00610199" w:rsidRPr="00871CF1">
        <w:rPr>
          <w:noProof/>
          <w:color w:val="auto"/>
        </w:rPr>
        <w:t xml:space="preserve">GRAZ </w:t>
      </w:r>
      <w:r w:rsidR="00702A02" w:rsidRPr="00871CF1">
        <w:rPr>
          <w:noProof/>
          <w:color w:val="auto"/>
        </w:rPr>
        <w:t xml:space="preserve">respectively), followed by </w:t>
      </w:r>
      <w:r w:rsidR="00610199" w:rsidRPr="00871CF1">
        <w:rPr>
          <w:noProof/>
          <w:color w:val="auto"/>
        </w:rPr>
        <w:t xml:space="preserve">GRAZ </w:t>
      </w:r>
      <w:r w:rsidR="009B553E" w:rsidRPr="00871CF1">
        <w:rPr>
          <w:noProof/>
          <w:color w:val="auto"/>
        </w:rPr>
        <w:t>(2</w:t>
      </w:r>
      <w:r w:rsidR="00D45810" w:rsidRPr="00871CF1">
        <w:rPr>
          <w:noProof/>
          <w:color w:val="auto"/>
        </w:rPr>
        <w:t>17</w:t>
      </w:r>
      <w:r w:rsidR="009B553E" w:rsidRPr="00871CF1">
        <w:rPr>
          <w:noProof/>
          <w:color w:val="auto"/>
        </w:rPr>
        <w:t>% and 7</w:t>
      </w:r>
      <w:r w:rsidR="008F64C2" w:rsidRPr="00871CF1">
        <w:rPr>
          <w:noProof/>
          <w:color w:val="auto"/>
        </w:rPr>
        <w:t>4</w:t>
      </w:r>
      <w:r w:rsidR="009B553E" w:rsidRPr="00871CF1">
        <w:rPr>
          <w:noProof/>
          <w:color w:val="auto"/>
        </w:rPr>
        <w:t>%</w:t>
      </w:r>
      <w:r w:rsidR="00AD1733" w:rsidRPr="00871CF1">
        <w:rPr>
          <w:noProof/>
          <w:color w:val="auto"/>
        </w:rPr>
        <w:t xml:space="preserve"> higher than BAU</w:t>
      </w:r>
      <w:r w:rsidR="0092451E" w:rsidRPr="00871CF1">
        <w:rPr>
          <w:noProof/>
          <w:color w:val="auto"/>
        </w:rPr>
        <w:t xml:space="preserve"> and DIV</w:t>
      </w:r>
      <w:r w:rsidR="00AD1733" w:rsidRPr="00871CF1">
        <w:rPr>
          <w:noProof/>
          <w:color w:val="auto"/>
        </w:rPr>
        <w:t xml:space="preserve"> respectively)</w:t>
      </w:r>
      <w:r w:rsidR="00B73CC7" w:rsidRPr="00871CF1">
        <w:rPr>
          <w:noProof/>
          <w:color w:val="auto"/>
        </w:rPr>
        <w:t xml:space="preserve"> and DIV (</w:t>
      </w:r>
      <w:r w:rsidR="00A66ABE" w:rsidRPr="00871CF1">
        <w:rPr>
          <w:noProof/>
          <w:color w:val="auto"/>
        </w:rPr>
        <w:t>8</w:t>
      </w:r>
      <w:r w:rsidR="00D45810" w:rsidRPr="00871CF1">
        <w:rPr>
          <w:noProof/>
          <w:color w:val="auto"/>
        </w:rPr>
        <w:t>2</w:t>
      </w:r>
      <w:r w:rsidR="00A66ABE" w:rsidRPr="00871CF1">
        <w:rPr>
          <w:noProof/>
          <w:color w:val="auto"/>
        </w:rPr>
        <w:t>%</w:t>
      </w:r>
      <w:r w:rsidR="00B73CC7" w:rsidRPr="00871CF1">
        <w:rPr>
          <w:noProof/>
          <w:color w:val="auto"/>
        </w:rPr>
        <w:t xml:space="preserve"> higher than BAU)</w:t>
      </w:r>
      <w:r w:rsidR="00653603" w:rsidRPr="00871CF1">
        <w:rPr>
          <w:noProof/>
          <w:color w:val="auto"/>
        </w:rPr>
        <w:t>.</w:t>
      </w:r>
      <w:r w:rsidR="002065D2" w:rsidRPr="00871CF1">
        <w:rPr>
          <w:noProof/>
          <w:color w:val="auto"/>
        </w:rPr>
        <w:t xml:space="preserve"> Following profitability results, the </w:t>
      </w:r>
      <w:r w:rsidR="00B412BA" w:rsidRPr="00871CF1">
        <w:rPr>
          <w:noProof/>
          <w:color w:val="auto"/>
        </w:rPr>
        <w:t>LMM</w:t>
      </w:r>
      <w:r w:rsidR="002065D2" w:rsidRPr="00871CF1">
        <w:rPr>
          <w:noProof/>
          <w:color w:val="auto"/>
        </w:rPr>
        <w:t xml:space="preserve"> analysis shows that its stability varies substantially across UIDs, </w:t>
      </w:r>
      <w:r w:rsidR="007633B1" w:rsidRPr="00871CF1">
        <w:rPr>
          <w:noProof/>
          <w:color w:val="auto"/>
        </w:rPr>
        <w:t>and</w:t>
      </w:r>
      <w:r w:rsidR="002065D2" w:rsidRPr="00871CF1">
        <w:rPr>
          <w:noProof/>
          <w:color w:val="auto"/>
        </w:rPr>
        <w:t xml:space="preserve"> that management exerts a much stronger influence on this stability than fertilization</w:t>
      </w:r>
      <w:r w:rsidR="00A64D38" w:rsidRPr="00871CF1">
        <w:rPr>
          <w:noProof/>
          <w:color w:val="auto"/>
        </w:rPr>
        <w:t xml:space="preserve"> (Table A7)</w:t>
      </w:r>
      <w:r w:rsidR="002065D2" w:rsidRPr="00871CF1">
        <w:rPr>
          <w:noProof/>
          <w:color w:val="auto"/>
        </w:rPr>
        <w:t>.</w:t>
      </w:r>
    </w:p>
    <w:p w14:paraId="6E2FDE27" w14:textId="28610477" w:rsidR="00395224" w:rsidRPr="00871CF1" w:rsidRDefault="00D96B94" w:rsidP="006A6F1F">
      <w:pPr>
        <w:pStyle w:val="PubliManuscript"/>
        <w:ind w:firstLine="0"/>
        <w:jc w:val="center"/>
        <w:rPr>
          <w:color w:val="auto"/>
        </w:rPr>
      </w:pPr>
      <w:r w:rsidRPr="00871CF1">
        <w:rPr>
          <w:noProof/>
          <w:color w:val="auto"/>
          <w14:ligatures w14:val="standardContextual"/>
        </w:rPr>
        <w:lastRenderedPageBreak/>
        <w:drawing>
          <wp:inline distT="0" distB="0" distL="0" distR="0" wp14:anchorId="2CF518BB" wp14:editId="7BC7A9DB">
            <wp:extent cx="5274955" cy="7105472"/>
            <wp:effectExtent l="0" t="0" r="0" b="0"/>
            <wp:docPr id="16915068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06889"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955" cy="7105472"/>
                    </a:xfrm>
                    <a:prstGeom prst="rect">
                      <a:avLst/>
                    </a:prstGeom>
                  </pic:spPr>
                </pic:pic>
              </a:graphicData>
            </a:graphic>
          </wp:inline>
        </w:drawing>
      </w:r>
    </w:p>
    <w:p w14:paraId="7BA9CF66" w14:textId="72A5C899" w:rsidR="00243A8C" w:rsidRPr="00871CF1" w:rsidRDefault="00243A8C" w:rsidP="00243A8C">
      <w:pPr>
        <w:jc w:val="both"/>
        <w:rPr>
          <w:rFonts w:ascii="Times New Roman" w:hAnsi="Times New Roman"/>
          <w:b/>
          <w:bCs/>
          <w:color w:val="auto"/>
          <w:szCs w:val="22"/>
        </w:rPr>
      </w:pPr>
      <w:r w:rsidRPr="00871CF1">
        <w:rPr>
          <w:rFonts w:ascii="Times New Roman" w:hAnsi="Times New Roman"/>
          <w:b/>
          <w:bCs/>
          <w:color w:val="auto"/>
          <w:szCs w:val="22"/>
        </w:rPr>
        <w:t xml:space="preserve">Figure </w:t>
      </w:r>
      <w:r w:rsidR="00B83305" w:rsidRPr="00871CF1">
        <w:rPr>
          <w:rFonts w:ascii="Times New Roman" w:hAnsi="Times New Roman"/>
          <w:b/>
          <w:bCs/>
          <w:color w:val="auto"/>
          <w:szCs w:val="22"/>
        </w:rPr>
        <w:t>2</w:t>
      </w:r>
      <w:r w:rsidRPr="00871CF1">
        <w:rPr>
          <w:rFonts w:ascii="Times New Roman" w:hAnsi="Times New Roman"/>
          <w:b/>
          <w:bCs/>
          <w:color w:val="auto"/>
          <w:szCs w:val="22"/>
        </w:rPr>
        <w:t>.</w:t>
      </w:r>
      <w:r w:rsidR="00446FCD" w:rsidRPr="00871CF1">
        <w:rPr>
          <w:rFonts w:ascii="Times New Roman" w:hAnsi="Times New Roman"/>
          <w:b/>
          <w:bCs/>
          <w:color w:val="auto"/>
          <w:szCs w:val="22"/>
        </w:rPr>
        <w:t xml:space="preserve"> Average productivity </w:t>
      </w:r>
      <w:r w:rsidR="00D67FB1" w:rsidRPr="00871CF1">
        <w:rPr>
          <w:rFonts w:ascii="Times New Roman" w:hAnsi="Times New Roman"/>
          <w:b/>
          <w:bCs/>
          <w:color w:val="auto"/>
          <w:szCs w:val="22"/>
        </w:rPr>
        <w:t>across Wallonia for</w:t>
      </w:r>
      <w:r w:rsidR="00446FCD" w:rsidRPr="00871CF1">
        <w:rPr>
          <w:rFonts w:ascii="Times New Roman" w:hAnsi="Times New Roman"/>
          <w:b/>
          <w:bCs/>
          <w:color w:val="auto"/>
          <w:szCs w:val="22"/>
        </w:rPr>
        <w:t xml:space="preserve"> the different management scenarios expressed </w:t>
      </w:r>
      <w:r w:rsidR="00446FCD" w:rsidRPr="00871CF1">
        <w:rPr>
          <w:rFonts w:ascii="Times New Roman" w:hAnsi="Times New Roman"/>
          <w:b/>
          <w:bCs/>
          <w:color w:val="auto"/>
        </w:rPr>
        <w:t>as a)  yield [tons], b) energetic value [cereal units], and c) economic value [euros], and stability (</w:t>
      </w:r>
      <m:oMath>
        <m:f>
          <m:fPr>
            <m:ctrlPr>
              <w:rPr>
                <w:rFonts w:ascii="Cambria Math" w:hAnsi="Cambria Math"/>
                <w:color w:val="auto"/>
              </w:rPr>
            </m:ctrlPr>
          </m:fPr>
          <m:num>
            <m:r>
              <w:rPr>
                <w:rFonts w:ascii="Cambria Math" w:hAnsi="Cambria Math"/>
                <w:color w:val="auto"/>
              </w:rPr>
              <m:t>μ</m:t>
            </m:r>
          </m:num>
          <m:den>
            <m:r>
              <w:rPr>
                <w:rFonts w:ascii="Cambria Math" w:hAnsi="Cambria Math"/>
                <w:color w:val="auto"/>
              </w:rPr>
              <m:t>σ</m:t>
            </m:r>
          </m:den>
        </m:f>
      </m:oMath>
      <w:r w:rsidR="00446FCD" w:rsidRPr="00871CF1">
        <w:rPr>
          <w:rFonts w:ascii="Times New Roman" w:hAnsi="Times New Roman"/>
          <w:b/>
          <w:bCs/>
          <w:color w:val="auto"/>
        </w:rPr>
        <w:t>, dimensionless), as the ratio of the mean productivity of a single crop rotation to its standard deviation over the 24-year simulation period</w:t>
      </w:r>
      <w:r w:rsidR="00D34E2F" w:rsidRPr="00871CF1">
        <w:rPr>
          <w:rFonts w:ascii="Times New Roman" w:hAnsi="Times New Roman"/>
          <w:b/>
          <w:bCs/>
          <w:color w:val="auto"/>
        </w:rPr>
        <w:t>, when production is expressed as d) yield, e) energetic value and f) economic value.</w:t>
      </w:r>
      <w:r w:rsidR="00246D85" w:rsidRPr="00871CF1">
        <w:rPr>
          <w:rFonts w:ascii="Times New Roman" w:hAnsi="Times New Roman"/>
          <w:b/>
          <w:bCs/>
          <w:color w:val="auto"/>
        </w:rPr>
        <w:t xml:space="preserve"> </w:t>
      </w:r>
      <w:r w:rsidR="00246D85" w:rsidRPr="00871CF1">
        <w:rPr>
          <w:rFonts w:ascii="Times New Roman" w:hAnsi="Times New Roman"/>
          <w:b/>
          <w:bCs/>
          <w:color w:val="auto"/>
          <w:szCs w:val="22"/>
        </w:rPr>
        <w:t>WW = winter wheat; RS = rapeseed; PE = pea; MZ = maize; FB = faba bean; SB = sugar beet; PT = potato; GR = grass</w:t>
      </w:r>
      <w:r w:rsidR="00246D85" w:rsidRPr="00871CF1">
        <w:rPr>
          <w:rFonts w:ascii="Times New Roman" w:eastAsiaTheme="majorEastAsia" w:hAnsi="Times New Roman"/>
          <w:b/>
          <w:bCs/>
          <w:color w:val="auto"/>
          <w:szCs w:val="22"/>
        </w:rPr>
        <w:t>.</w:t>
      </w:r>
      <w:r w:rsidR="00B33712" w:rsidRPr="00871CF1">
        <w:rPr>
          <w:rFonts w:ascii="Times New Roman" w:eastAsiaTheme="majorEastAsia" w:hAnsi="Times New Roman"/>
          <w:b/>
          <w:bCs/>
          <w:color w:val="auto"/>
          <w:szCs w:val="22"/>
        </w:rPr>
        <w:t xml:space="preserve"> RF = Reduced Fertilization.</w:t>
      </w:r>
      <w:r w:rsidR="00702A02" w:rsidRPr="00871CF1">
        <w:rPr>
          <w:rFonts w:ascii="Times New Roman" w:eastAsiaTheme="majorEastAsia" w:hAnsi="Times New Roman"/>
          <w:b/>
          <w:bCs/>
          <w:color w:val="auto"/>
          <w:szCs w:val="22"/>
        </w:rPr>
        <w:t xml:space="preserve"> </w:t>
      </w:r>
      <w:r w:rsidR="00702A02" w:rsidRPr="00871CF1">
        <w:rPr>
          <w:rFonts w:ascii="Times New Roman" w:hAnsi="Times New Roman"/>
          <w:b/>
          <w:bCs/>
          <w:color w:val="auto"/>
        </w:rPr>
        <w:t>Different letters above the boxplots denote statistically significant differences between groups as determined by Dunn’s test (</w:t>
      </w:r>
      <w:r w:rsidR="00702A02" w:rsidRPr="00871CF1">
        <w:rPr>
          <w:rFonts w:ascii="Times New Roman" w:hAnsi="Times New Roman"/>
          <w:b/>
          <w:bCs/>
          <w:i/>
          <w:iCs/>
          <w:color w:val="auto"/>
        </w:rPr>
        <w:t>p</w:t>
      </w:r>
      <w:r w:rsidR="00702A02" w:rsidRPr="00871CF1">
        <w:rPr>
          <w:rFonts w:ascii="Times New Roman" w:hAnsi="Times New Roman"/>
          <w:b/>
          <w:bCs/>
          <w:color w:val="auto"/>
        </w:rPr>
        <w:t xml:space="preserve"> &lt; 0.05).</w:t>
      </w:r>
    </w:p>
    <w:p w14:paraId="3B687355" w14:textId="314D431C" w:rsidR="0059232E" w:rsidRPr="00871CF1" w:rsidRDefault="0059232E" w:rsidP="0059232E">
      <w:pPr>
        <w:pStyle w:val="Publi2"/>
        <w:rPr>
          <w:color w:val="auto"/>
          <w:sz w:val="22"/>
          <w:szCs w:val="22"/>
        </w:rPr>
      </w:pPr>
      <w:r w:rsidRPr="00871CF1">
        <w:rPr>
          <w:color w:val="auto"/>
          <w:sz w:val="22"/>
          <w:szCs w:val="22"/>
        </w:rPr>
        <w:lastRenderedPageBreak/>
        <w:t xml:space="preserve"> Supporting</w:t>
      </w:r>
      <w:r w:rsidR="004E79A7" w:rsidRPr="00871CF1">
        <w:rPr>
          <w:color w:val="auto"/>
          <w:sz w:val="22"/>
          <w:szCs w:val="22"/>
        </w:rPr>
        <w:t xml:space="preserve"> services </w:t>
      </w:r>
    </w:p>
    <w:p w14:paraId="7563D744" w14:textId="29A36838" w:rsidR="004E79A7" w:rsidRPr="00871CF1" w:rsidRDefault="004F0C71" w:rsidP="006E1F88">
      <w:pPr>
        <w:pStyle w:val="PubliManuscript"/>
        <w:ind w:firstLine="0"/>
        <w:rPr>
          <w:b/>
          <w:bCs/>
          <w:color w:val="auto"/>
        </w:rPr>
      </w:pPr>
      <w:r w:rsidRPr="00871CF1">
        <w:rPr>
          <w:b/>
          <w:bCs/>
          <w:color w:val="auto"/>
        </w:rPr>
        <w:t>SOC</w:t>
      </w:r>
      <w:r w:rsidR="004E79A7" w:rsidRPr="00871CF1">
        <w:rPr>
          <w:b/>
          <w:bCs/>
          <w:color w:val="auto"/>
        </w:rPr>
        <w:t xml:space="preserve"> sequestration</w:t>
      </w:r>
    </w:p>
    <w:p w14:paraId="2EFE94BA" w14:textId="31259EE4" w:rsidR="00F27702" w:rsidRPr="00871CF1" w:rsidRDefault="004D2848" w:rsidP="00120ABF">
      <w:pPr>
        <w:pStyle w:val="PubliManuscript"/>
        <w:rPr>
          <w:color w:val="auto"/>
        </w:rPr>
      </w:pPr>
      <w:r w:rsidRPr="00871CF1">
        <w:rPr>
          <w:color w:val="auto"/>
        </w:rPr>
        <w:t xml:space="preserve">The impacts of crop rotation </w:t>
      </w:r>
      <w:r w:rsidR="00E75684" w:rsidRPr="00871CF1">
        <w:rPr>
          <w:color w:val="auto"/>
        </w:rPr>
        <w:t>diversification</w:t>
      </w:r>
      <w:r w:rsidRPr="00871CF1">
        <w:rPr>
          <w:color w:val="auto"/>
        </w:rPr>
        <w:t xml:space="preserve"> on </w:t>
      </w:r>
      <w:r w:rsidR="00BF4747" w:rsidRPr="00871CF1">
        <w:rPr>
          <w:color w:val="auto"/>
        </w:rPr>
        <w:t>SOC</w:t>
      </w:r>
      <w:r w:rsidRPr="00871CF1">
        <w:rPr>
          <w:color w:val="auto"/>
        </w:rPr>
        <w:t xml:space="preserve"> differ according to the soil horizon considered – topsoil (0-30 cm depth</w:t>
      </w:r>
      <w:r w:rsidR="00DD7408" w:rsidRPr="00871CF1">
        <w:rPr>
          <w:color w:val="auto"/>
        </w:rPr>
        <w:t xml:space="preserve">; </w:t>
      </w:r>
      <w:r w:rsidRPr="00871CF1">
        <w:rPr>
          <w:color w:val="auto"/>
        </w:rPr>
        <w:t>Fig. 3a) or whole soil (0-200 cm depth; Fig. 3b).</w:t>
      </w:r>
      <w:r w:rsidR="00C72792" w:rsidRPr="00871CF1">
        <w:rPr>
          <w:color w:val="auto"/>
        </w:rPr>
        <w:t xml:space="preserve"> </w:t>
      </w:r>
      <w:r w:rsidR="00FD193F" w:rsidRPr="00871CF1">
        <w:rPr>
          <w:color w:val="auto"/>
        </w:rPr>
        <w:t xml:space="preserve">When considering topsoil, all scenarios decrease SOC </w:t>
      </w:r>
      <w:r w:rsidR="00F1752F" w:rsidRPr="00871CF1">
        <w:rPr>
          <w:color w:val="auto"/>
        </w:rPr>
        <w:t>(e.g., -0.19 Mg ha</w:t>
      </w:r>
      <w:r w:rsidR="00F1752F" w:rsidRPr="00871CF1">
        <w:rPr>
          <w:color w:val="auto"/>
          <w:vertAlign w:val="superscript"/>
        </w:rPr>
        <w:t>-1</w:t>
      </w:r>
      <w:r w:rsidR="00F1752F" w:rsidRPr="00871CF1">
        <w:rPr>
          <w:color w:val="auto"/>
        </w:rPr>
        <w:t xml:space="preserve"> year</w:t>
      </w:r>
      <w:r w:rsidR="00F1752F" w:rsidRPr="00871CF1">
        <w:rPr>
          <w:color w:val="auto"/>
          <w:vertAlign w:val="superscript"/>
        </w:rPr>
        <w:t>-1</w:t>
      </w:r>
      <w:r w:rsidR="00F1752F" w:rsidRPr="00871CF1">
        <w:rPr>
          <w:color w:val="auto"/>
        </w:rPr>
        <w:t xml:space="preserve"> in average for BAU, for an average initial SOC stock of 78 Mg ha</w:t>
      </w:r>
      <w:r w:rsidR="00F1752F" w:rsidRPr="00871CF1">
        <w:rPr>
          <w:color w:val="auto"/>
          <w:vertAlign w:val="superscript"/>
        </w:rPr>
        <w:t>-1</w:t>
      </w:r>
      <w:r w:rsidR="00F1752F" w:rsidRPr="00871CF1">
        <w:rPr>
          <w:color w:val="auto"/>
        </w:rPr>
        <w:t xml:space="preserve"> in 0-30 cm in Wallonia). </w:t>
      </w:r>
      <w:r w:rsidR="00C72792" w:rsidRPr="00871CF1">
        <w:rPr>
          <w:color w:val="auto"/>
        </w:rPr>
        <w:t>Crop rotation diversification generally decreases SOC in topsoil</w:t>
      </w:r>
      <w:r w:rsidR="00F1752F" w:rsidRPr="00871CF1">
        <w:rPr>
          <w:color w:val="auto"/>
        </w:rPr>
        <w:t xml:space="preserve"> (</w:t>
      </w:r>
      <w:r w:rsidR="00C72792" w:rsidRPr="00871CF1">
        <w:rPr>
          <w:color w:val="auto"/>
        </w:rPr>
        <w:t>Fig. 3a</w:t>
      </w:r>
      <w:r w:rsidR="00072CE5" w:rsidRPr="00871CF1">
        <w:rPr>
          <w:color w:val="auto"/>
        </w:rPr>
        <w:t>) but</w:t>
      </w:r>
      <w:r w:rsidR="00C72792" w:rsidRPr="00871CF1">
        <w:rPr>
          <w:color w:val="auto"/>
        </w:rPr>
        <w:t xml:space="preserve"> increases it when we consider the whole soil profile (</w:t>
      </w:r>
      <w:r w:rsidR="007A3839" w:rsidRPr="00871CF1">
        <w:rPr>
          <w:i/>
          <w:iCs/>
          <w:noProof/>
          <w:color w:val="auto"/>
        </w:rPr>
        <w:t xml:space="preserve">p </w:t>
      </w:r>
      <w:r w:rsidR="007A3839" w:rsidRPr="00871CF1">
        <w:rPr>
          <w:noProof/>
          <w:color w:val="auto"/>
        </w:rPr>
        <w:t>&lt; 0.001; Table A</w:t>
      </w:r>
      <w:r w:rsidR="00855676" w:rsidRPr="00871CF1">
        <w:rPr>
          <w:noProof/>
          <w:color w:val="auto"/>
        </w:rPr>
        <w:t>8</w:t>
      </w:r>
      <w:r w:rsidR="007A3839" w:rsidRPr="00871CF1">
        <w:rPr>
          <w:noProof/>
          <w:color w:val="auto"/>
        </w:rPr>
        <w:t xml:space="preserve"> and Fig. 3b</w:t>
      </w:r>
      <w:r w:rsidR="00C72792" w:rsidRPr="00871CF1">
        <w:rPr>
          <w:color w:val="auto"/>
        </w:rPr>
        <w:t>). The crop-livestock systems (</w:t>
      </w:r>
      <w:r w:rsidR="00F72AF4" w:rsidRPr="00871CF1">
        <w:rPr>
          <w:color w:val="auto"/>
        </w:rPr>
        <w:t>MOW</w:t>
      </w:r>
      <w:r w:rsidR="00C72792" w:rsidRPr="00871CF1">
        <w:rPr>
          <w:color w:val="auto"/>
        </w:rPr>
        <w:t xml:space="preserve"> and </w:t>
      </w:r>
      <w:r w:rsidR="00F72AF4" w:rsidRPr="00871CF1">
        <w:rPr>
          <w:color w:val="auto"/>
        </w:rPr>
        <w:t>GRAZ</w:t>
      </w:r>
      <w:r w:rsidR="00C72792" w:rsidRPr="00871CF1">
        <w:rPr>
          <w:color w:val="auto"/>
        </w:rPr>
        <w:t xml:space="preserve">) are the only </w:t>
      </w:r>
      <w:r w:rsidR="001F2F75" w:rsidRPr="00871CF1">
        <w:rPr>
          <w:color w:val="auto"/>
        </w:rPr>
        <w:t>scenarios with full N fertilization</w:t>
      </w:r>
      <w:r w:rsidR="00C72792" w:rsidRPr="00871CF1">
        <w:rPr>
          <w:color w:val="auto"/>
        </w:rPr>
        <w:t xml:space="preserve"> leading to an increase in SOC </w:t>
      </w:r>
      <w:r w:rsidR="00D46788" w:rsidRPr="00871CF1">
        <w:rPr>
          <w:color w:val="auto"/>
        </w:rPr>
        <w:t>over the whole soil profile</w:t>
      </w:r>
      <w:r w:rsidR="00C72792" w:rsidRPr="00871CF1">
        <w:rPr>
          <w:color w:val="auto"/>
        </w:rPr>
        <w:t xml:space="preserve">: </w:t>
      </w:r>
      <w:r w:rsidR="006E68F1" w:rsidRPr="00871CF1">
        <w:rPr>
          <w:color w:val="auto"/>
        </w:rPr>
        <w:t>+</w:t>
      </w:r>
      <w:r w:rsidR="00393099" w:rsidRPr="00871CF1">
        <w:rPr>
          <w:color w:val="auto"/>
        </w:rPr>
        <w:t>0.3</w:t>
      </w:r>
      <w:r w:rsidR="00C72792" w:rsidRPr="00871CF1">
        <w:rPr>
          <w:color w:val="auto"/>
        </w:rPr>
        <w:t xml:space="preserve"> and +</w:t>
      </w:r>
      <w:r w:rsidR="00491E7E" w:rsidRPr="00871CF1">
        <w:rPr>
          <w:color w:val="auto"/>
        </w:rPr>
        <w:t>0.1</w:t>
      </w:r>
      <w:r w:rsidR="00C72792" w:rsidRPr="00871CF1">
        <w:rPr>
          <w:color w:val="auto"/>
        </w:rPr>
        <w:t xml:space="preserve"> Mg ha</w:t>
      </w:r>
      <w:r w:rsidR="00C72792" w:rsidRPr="00871CF1">
        <w:rPr>
          <w:color w:val="auto"/>
          <w:vertAlign w:val="superscript"/>
        </w:rPr>
        <w:t xml:space="preserve">-1 </w:t>
      </w:r>
      <w:r w:rsidR="00C72792" w:rsidRPr="00871CF1">
        <w:rPr>
          <w:color w:val="auto"/>
        </w:rPr>
        <w:t>year</w:t>
      </w:r>
      <w:r w:rsidR="00C72792" w:rsidRPr="00871CF1">
        <w:rPr>
          <w:color w:val="auto"/>
          <w:vertAlign w:val="superscript"/>
        </w:rPr>
        <w:t xml:space="preserve">-1 </w:t>
      </w:r>
      <w:r w:rsidR="00C72792" w:rsidRPr="00871CF1">
        <w:rPr>
          <w:color w:val="auto"/>
        </w:rPr>
        <w:t xml:space="preserve">for </w:t>
      </w:r>
      <w:r w:rsidR="00F72AF4" w:rsidRPr="00871CF1">
        <w:rPr>
          <w:color w:val="auto"/>
        </w:rPr>
        <w:t>MOW</w:t>
      </w:r>
      <w:r w:rsidR="00C72792" w:rsidRPr="00871CF1">
        <w:rPr>
          <w:color w:val="auto"/>
        </w:rPr>
        <w:t xml:space="preserve"> and </w:t>
      </w:r>
      <w:r w:rsidR="00F72AF4" w:rsidRPr="00871CF1">
        <w:rPr>
          <w:noProof/>
          <w:color w:val="auto"/>
        </w:rPr>
        <w:t xml:space="preserve">GRAZ </w:t>
      </w:r>
      <w:r w:rsidR="00C72792" w:rsidRPr="00871CF1">
        <w:rPr>
          <w:color w:val="auto"/>
        </w:rPr>
        <w:t>respectively.</w:t>
      </w:r>
      <w:r w:rsidR="006A4A22" w:rsidRPr="00871CF1">
        <w:rPr>
          <w:color w:val="auto"/>
        </w:rPr>
        <w:t xml:space="preserve"> Reduced fertilization (RF) </w:t>
      </w:r>
      <w:r w:rsidR="00EA1310" w:rsidRPr="00871CF1">
        <w:rPr>
          <w:color w:val="auto"/>
        </w:rPr>
        <w:t>decreases SOC</w:t>
      </w:r>
      <w:r w:rsidR="0098577D" w:rsidRPr="00871CF1">
        <w:rPr>
          <w:color w:val="auto"/>
        </w:rPr>
        <w:t xml:space="preserve"> </w:t>
      </w:r>
      <w:r w:rsidR="00381957" w:rsidRPr="00871CF1">
        <w:rPr>
          <w:color w:val="auto"/>
        </w:rPr>
        <w:t>over the whole soil profile</w:t>
      </w:r>
      <w:r w:rsidR="0098577D" w:rsidRPr="00871CF1">
        <w:rPr>
          <w:color w:val="auto"/>
        </w:rPr>
        <w:t xml:space="preserve"> by </w:t>
      </w:r>
      <w:r w:rsidR="00AC048F" w:rsidRPr="00871CF1">
        <w:rPr>
          <w:color w:val="auto"/>
        </w:rPr>
        <w:t>5</w:t>
      </w:r>
      <w:r w:rsidR="00655194" w:rsidRPr="00871CF1">
        <w:rPr>
          <w:color w:val="auto"/>
        </w:rPr>
        <w:t>6</w:t>
      </w:r>
      <w:r w:rsidR="0098577D" w:rsidRPr="00871CF1">
        <w:rPr>
          <w:color w:val="auto"/>
        </w:rPr>
        <w:t xml:space="preserve"> </w:t>
      </w:r>
      <w:r w:rsidR="00585973" w:rsidRPr="00871CF1">
        <w:rPr>
          <w:color w:val="auto"/>
        </w:rPr>
        <w:t>k</w:t>
      </w:r>
      <w:r w:rsidR="00233AAA" w:rsidRPr="00871CF1">
        <w:rPr>
          <w:color w:val="auto"/>
        </w:rPr>
        <w:t>g ha</w:t>
      </w:r>
      <w:r w:rsidR="00233AAA" w:rsidRPr="00871CF1">
        <w:rPr>
          <w:color w:val="auto"/>
          <w:vertAlign w:val="superscript"/>
        </w:rPr>
        <w:t xml:space="preserve">-1 </w:t>
      </w:r>
      <w:r w:rsidR="00233AAA" w:rsidRPr="00871CF1">
        <w:rPr>
          <w:color w:val="auto"/>
        </w:rPr>
        <w:t>year</w:t>
      </w:r>
      <w:r w:rsidR="00233AAA" w:rsidRPr="00871CF1">
        <w:rPr>
          <w:color w:val="auto"/>
          <w:vertAlign w:val="superscript"/>
        </w:rPr>
        <w:t xml:space="preserve">-1 </w:t>
      </w:r>
      <w:r w:rsidR="0098577D" w:rsidRPr="00871CF1">
        <w:rPr>
          <w:color w:val="auto"/>
        </w:rPr>
        <w:t>in average among all scenarios</w:t>
      </w:r>
      <w:r w:rsidR="00E37DB3" w:rsidRPr="00871CF1">
        <w:rPr>
          <w:color w:val="auto"/>
        </w:rPr>
        <w:t xml:space="preserve"> (Fig. 3b).</w:t>
      </w:r>
      <w:r w:rsidR="00D37707" w:rsidRPr="00871CF1">
        <w:rPr>
          <w:color w:val="auto"/>
        </w:rPr>
        <w:t xml:space="preserve"> The </w:t>
      </w:r>
      <w:r w:rsidR="00B412BA" w:rsidRPr="00871CF1">
        <w:rPr>
          <w:color w:val="auto"/>
        </w:rPr>
        <w:t>LMM</w:t>
      </w:r>
      <w:r w:rsidR="00D37707" w:rsidRPr="00871CF1">
        <w:rPr>
          <w:color w:val="auto"/>
        </w:rPr>
        <w:t xml:space="preserve"> comparing the response of SOC over the whole soil profile to management, fertilization, soil texture and initial SOC, </w:t>
      </w:r>
      <w:r w:rsidR="009D6BA9" w:rsidRPr="00871CF1">
        <w:rPr>
          <w:color w:val="auto"/>
        </w:rPr>
        <w:t>firstly confirms that SOC dynamics are strongly driven by management, with MOW and GRAZ substantially increasing SOC relative to BAU, while reduced fertilization decreases SOC gains (Table A</w:t>
      </w:r>
      <w:r w:rsidR="00BD54CF" w:rsidRPr="00871CF1">
        <w:rPr>
          <w:color w:val="auto"/>
        </w:rPr>
        <w:t>8</w:t>
      </w:r>
      <w:r w:rsidR="009D6BA9" w:rsidRPr="00871CF1">
        <w:rPr>
          <w:color w:val="auto"/>
        </w:rPr>
        <w:t>). It also show</w:t>
      </w:r>
      <w:r w:rsidR="00987698" w:rsidRPr="00871CF1">
        <w:rPr>
          <w:color w:val="auto"/>
        </w:rPr>
        <w:t xml:space="preserve">s that initial SOC exerts a strong negative control on SOC change, with lower SOC gains in soils with higher initial SOC, </w:t>
      </w:r>
      <w:r w:rsidR="00012B44" w:rsidRPr="00871CF1">
        <w:rPr>
          <w:color w:val="auto"/>
        </w:rPr>
        <w:t>except in the MOW scenario where higher initial SOC enhances gains.</w:t>
      </w:r>
      <w:r w:rsidR="004E2F93" w:rsidRPr="00871CF1">
        <w:rPr>
          <w:color w:val="auto"/>
        </w:rPr>
        <w:t xml:space="preserve"> Relative to soil texture, the </w:t>
      </w:r>
      <w:r w:rsidR="00F9072B" w:rsidRPr="00871CF1">
        <w:rPr>
          <w:color w:val="auto"/>
        </w:rPr>
        <w:t>LMM</w:t>
      </w:r>
      <w:r w:rsidR="004E2F93" w:rsidRPr="00871CF1">
        <w:rPr>
          <w:color w:val="auto"/>
        </w:rPr>
        <w:t xml:space="preserve"> analysis indicates that, while certain soil textures exhibit lower SOC gains with the BAU scenario, their response to management is stronger: the GRAZ and MOW scenarios show enhanced SOC increases in these textures, reversing their baseline advantage (Table A</w:t>
      </w:r>
      <w:r w:rsidR="00BD54CF" w:rsidRPr="00871CF1">
        <w:rPr>
          <w:color w:val="auto"/>
        </w:rPr>
        <w:t>8</w:t>
      </w:r>
      <w:r w:rsidR="004E2F93" w:rsidRPr="00871CF1">
        <w:rPr>
          <w:color w:val="auto"/>
        </w:rPr>
        <w:t>).</w:t>
      </w:r>
    </w:p>
    <w:p w14:paraId="432857D9" w14:textId="7C8297F9" w:rsidR="00276D35" w:rsidRPr="00871CF1" w:rsidRDefault="00112E7D" w:rsidP="00FF002C">
      <w:pPr>
        <w:pStyle w:val="PubliManuscript"/>
        <w:ind w:firstLine="0"/>
        <w:rPr>
          <w:color w:val="auto"/>
          <w:szCs w:val="22"/>
        </w:rPr>
      </w:pPr>
      <w:r w:rsidRPr="00871CF1">
        <w:rPr>
          <w:noProof/>
          <w:color w:val="auto"/>
          <w:szCs w:val="22"/>
          <w14:ligatures w14:val="standardContextual"/>
        </w:rPr>
        <w:lastRenderedPageBreak/>
        <w:drawing>
          <wp:inline distT="0" distB="0" distL="0" distR="0" wp14:anchorId="547D5834" wp14:editId="38C1922D">
            <wp:extent cx="5760714" cy="4073730"/>
            <wp:effectExtent l="0" t="0" r="0" b="0"/>
            <wp:docPr id="166757163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71630" name="Imag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14" cy="4073730"/>
                    </a:xfrm>
                    <a:prstGeom prst="rect">
                      <a:avLst/>
                    </a:prstGeom>
                  </pic:spPr>
                </pic:pic>
              </a:graphicData>
            </a:graphic>
          </wp:inline>
        </w:drawing>
      </w:r>
    </w:p>
    <w:p w14:paraId="2BB1E6BF" w14:textId="2E275CBB" w:rsidR="00B3162B" w:rsidRPr="00871CF1" w:rsidRDefault="00FB43A4" w:rsidP="00B3162B">
      <w:pPr>
        <w:jc w:val="both"/>
        <w:rPr>
          <w:rFonts w:ascii="Times New Roman" w:hAnsi="Times New Roman"/>
          <w:b/>
          <w:bCs/>
          <w:color w:val="auto"/>
          <w:szCs w:val="22"/>
        </w:rPr>
      </w:pPr>
      <w:r w:rsidRPr="00871CF1">
        <w:rPr>
          <w:rFonts w:ascii="Times New Roman" w:hAnsi="Times New Roman"/>
          <w:b/>
          <w:bCs/>
          <w:color w:val="auto"/>
          <w:szCs w:val="22"/>
        </w:rPr>
        <w:t xml:space="preserve">Figure </w:t>
      </w:r>
      <w:r w:rsidR="00B83305" w:rsidRPr="00871CF1">
        <w:rPr>
          <w:rFonts w:ascii="Times New Roman" w:hAnsi="Times New Roman"/>
          <w:b/>
          <w:bCs/>
          <w:color w:val="auto"/>
          <w:szCs w:val="22"/>
        </w:rPr>
        <w:t>3</w:t>
      </w:r>
      <w:r w:rsidR="007B0B98" w:rsidRPr="00871CF1">
        <w:rPr>
          <w:rFonts w:ascii="Times New Roman" w:hAnsi="Times New Roman"/>
          <w:b/>
          <w:bCs/>
          <w:color w:val="auto"/>
          <w:szCs w:val="22"/>
        </w:rPr>
        <w:t>.</w:t>
      </w:r>
      <w:r w:rsidR="00233790" w:rsidRPr="00871CF1">
        <w:rPr>
          <w:rFonts w:ascii="Times New Roman" w:hAnsi="Times New Roman"/>
          <w:b/>
          <w:bCs/>
          <w:color w:val="auto"/>
          <w:szCs w:val="22"/>
        </w:rPr>
        <w:t xml:space="preserve"> Soil organic carbon (SOC) change (Mg ha</w:t>
      </w:r>
      <w:r w:rsidR="00233790" w:rsidRPr="00871CF1">
        <w:rPr>
          <w:rFonts w:ascii="Times New Roman" w:hAnsi="Times New Roman"/>
          <w:b/>
          <w:bCs/>
          <w:color w:val="auto"/>
          <w:szCs w:val="22"/>
          <w:vertAlign w:val="superscript"/>
        </w:rPr>
        <w:t xml:space="preserve">-1 </w:t>
      </w:r>
      <w:r w:rsidR="00233790" w:rsidRPr="00871CF1">
        <w:rPr>
          <w:rFonts w:ascii="Times New Roman" w:hAnsi="Times New Roman"/>
          <w:b/>
          <w:bCs/>
          <w:color w:val="auto"/>
          <w:szCs w:val="22"/>
        </w:rPr>
        <w:t>year</w:t>
      </w:r>
      <w:r w:rsidR="00233790" w:rsidRPr="00871CF1">
        <w:rPr>
          <w:rFonts w:ascii="Times New Roman" w:hAnsi="Times New Roman"/>
          <w:b/>
          <w:bCs/>
          <w:color w:val="auto"/>
          <w:szCs w:val="22"/>
          <w:vertAlign w:val="superscript"/>
        </w:rPr>
        <w:t>-1</w:t>
      </w:r>
      <w:r w:rsidR="00233790" w:rsidRPr="00871CF1">
        <w:rPr>
          <w:rFonts w:ascii="Times New Roman" w:hAnsi="Times New Roman"/>
          <w:b/>
          <w:bCs/>
          <w:color w:val="auto"/>
          <w:szCs w:val="22"/>
        </w:rPr>
        <w:t xml:space="preserve">) at </w:t>
      </w:r>
      <w:r w:rsidR="00405B21" w:rsidRPr="00871CF1">
        <w:rPr>
          <w:rFonts w:ascii="Times New Roman" w:hAnsi="Times New Roman"/>
          <w:b/>
          <w:bCs/>
          <w:color w:val="auto"/>
          <w:szCs w:val="22"/>
        </w:rPr>
        <w:t xml:space="preserve">a) </w:t>
      </w:r>
      <w:r w:rsidR="00233790" w:rsidRPr="00871CF1">
        <w:rPr>
          <w:rFonts w:ascii="Times New Roman" w:hAnsi="Times New Roman"/>
          <w:b/>
          <w:bCs/>
          <w:color w:val="auto"/>
          <w:szCs w:val="22"/>
        </w:rPr>
        <w:t>0-30 cm depth</w:t>
      </w:r>
      <w:r w:rsidR="00711C4A" w:rsidRPr="00871CF1">
        <w:rPr>
          <w:rFonts w:ascii="Times New Roman" w:hAnsi="Times New Roman"/>
          <w:b/>
          <w:bCs/>
          <w:color w:val="auto"/>
          <w:szCs w:val="22"/>
        </w:rPr>
        <w:t xml:space="preserve"> and b)</w:t>
      </w:r>
      <w:r w:rsidR="00233790" w:rsidRPr="00871CF1">
        <w:rPr>
          <w:rFonts w:ascii="Times New Roman" w:hAnsi="Times New Roman"/>
          <w:b/>
          <w:bCs/>
          <w:color w:val="auto"/>
          <w:szCs w:val="22"/>
        </w:rPr>
        <w:t xml:space="preserve"> 0-200 cm depth (whole soil profile)</w:t>
      </w:r>
      <w:r w:rsidR="00FB319F" w:rsidRPr="00871CF1">
        <w:rPr>
          <w:rFonts w:ascii="Times New Roman" w:hAnsi="Times New Roman"/>
          <w:b/>
          <w:bCs/>
          <w:color w:val="auto"/>
          <w:szCs w:val="22"/>
        </w:rPr>
        <w:t>, averaged over the whole Wallonia region.</w:t>
      </w:r>
      <w:r w:rsidR="006A4A22" w:rsidRPr="00871CF1">
        <w:rPr>
          <w:rFonts w:ascii="Times New Roman" w:hAnsi="Times New Roman"/>
          <w:b/>
          <w:bCs/>
          <w:color w:val="auto"/>
          <w:szCs w:val="22"/>
        </w:rPr>
        <w:t xml:space="preserve"> RF = Reduced Fertilization.</w:t>
      </w:r>
    </w:p>
    <w:p w14:paraId="41FE9FB3" w14:textId="67467716" w:rsidR="00B3162B" w:rsidRPr="00871CF1" w:rsidRDefault="00FD47B6" w:rsidP="00B3162B">
      <w:pPr>
        <w:pStyle w:val="PubliManuscript"/>
        <w:ind w:firstLine="0"/>
        <w:rPr>
          <w:b/>
          <w:bCs/>
          <w:color w:val="auto"/>
        </w:rPr>
      </w:pPr>
      <w:r w:rsidRPr="00871CF1">
        <w:rPr>
          <w:b/>
          <w:bCs/>
          <w:color w:val="auto"/>
        </w:rPr>
        <w:t>Nitrate leaching</w:t>
      </w:r>
      <w:r w:rsidR="00D94E9D" w:rsidRPr="00871CF1">
        <w:rPr>
          <w:b/>
          <w:bCs/>
          <w:color w:val="auto"/>
        </w:rPr>
        <w:t xml:space="preserve"> reduction</w:t>
      </w:r>
    </w:p>
    <w:p w14:paraId="220EA4AE" w14:textId="266410C4" w:rsidR="00BB17ED" w:rsidRPr="00871CF1" w:rsidRDefault="00BB17ED" w:rsidP="006E5EEC">
      <w:pPr>
        <w:pStyle w:val="PubliManuscript"/>
        <w:rPr>
          <w:color w:val="auto"/>
        </w:rPr>
      </w:pPr>
      <w:r w:rsidRPr="00871CF1">
        <w:rPr>
          <w:color w:val="auto"/>
        </w:rPr>
        <w:t xml:space="preserve">Nitrate leaching </w:t>
      </w:r>
      <w:r w:rsidR="00D62264" w:rsidRPr="00871CF1">
        <w:rPr>
          <w:color w:val="auto"/>
        </w:rPr>
        <w:t xml:space="preserve">significantly </w:t>
      </w:r>
      <w:r w:rsidRPr="00871CF1">
        <w:rPr>
          <w:color w:val="auto"/>
        </w:rPr>
        <w:t>decreases with crop rotation diversification (</w:t>
      </w:r>
      <w:r w:rsidR="00D62264" w:rsidRPr="00871CF1">
        <w:rPr>
          <w:i/>
          <w:iCs/>
          <w:noProof/>
          <w:color w:val="auto"/>
        </w:rPr>
        <w:t xml:space="preserve">p </w:t>
      </w:r>
      <w:r w:rsidR="00D62264" w:rsidRPr="00871CF1">
        <w:rPr>
          <w:noProof/>
          <w:color w:val="auto"/>
        </w:rPr>
        <w:t>&lt; 0.001; Table A9 and</w:t>
      </w:r>
      <w:r w:rsidR="00D62264" w:rsidRPr="00871CF1">
        <w:rPr>
          <w:i/>
          <w:iCs/>
          <w:color w:val="auto"/>
        </w:rPr>
        <w:t xml:space="preserve"> </w:t>
      </w:r>
      <w:r w:rsidRPr="00871CF1">
        <w:rPr>
          <w:color w:val="auto"/>
        </w:rPr>
        <w:t xml:space="preserve">Fig. 4). </w:t>
      </w:r>
      <w:r w:rsidR="00F76EAA" w:rsidRPr="00871CF1">
        <w:rPr>
          <w:color w:val="auto"/>
        </w:rPr>
        <w:t>Among full fertilization scenarios, t</w:t>
      </w:r>
      <w:r w:rsidRPr="00871CF1">
        <w:rPr>
          <w:color w:val="auto"/>
        </w:rPr>
        <w:t>he BAU system is the one leading to the highest levels of leached nitrate (</w:t>
      </w:r>
      <w:r w:rsidR="00446A32" w:rsidRPr="00871CF1">
        <w:rPr>
          <w:color w:val="auto"/>
        </w:rPr>
        <w:t>7.2</w:t>
      </w:r>
      <w:r w:rsidRPr="00871CF1">
        <w:rPr>
          <w:color w:val="auto"/>
        </w:rPr>
        <w:t xml:space="preserve"> kg ha</w:t>
      </w:r>
      <w:r w:rsidRPr="00871CF1">
        <w:rPr>
          <w:color w:val="auto"/>
          <w:vertAlign w:val="superscript"/>
        </w:rPr>
        <w:t xml:space="preserve">-1 </w:t>
      </w:r>
      <w:r w:rsidRPr="00871CF1">
        <w:rPr>
          <w:color w:val="auto"/>
        </w:rPr>
        <w:t>year</w:t>
      </w:r>
      <w:r w:rsidRPr="00871CF1">
        <w:rPr>
          <w:color w:val="auto"/>
          <w:vertAlign w:val="superscript"/>
        </w:rPr>
        <w:t xml:space="preserve">-1 </w:t>
      </w:r>
      <w:r w:rsidRPr="00871CF1">
        <w:rPr>
          <w:color w:val="auto"/>
        </w:rPr>
        <w:t>in average across Wallonia</w:t>
      </w:r>
      <w:r w:rsidR="00260336" w:rsidRPr="00871CF1">
        <w:rPr>
          <w:color w:val="auto"/>
        </w:rPr>
        <w:t xml:space="preserve"> (Fig. A</w:t>
      </w:r>
      <w:r w:rsidR="009B2D8B" w:rsidRPr="00871CF1">
        <w:rPr>
          <w:color w:val="auto"/>
        </w:rPr>
        <w:t>10</w:t>
      </w:r>
      <w:r w:rsidR="00260336" w:rsidRPr="00871CF1">
        <w:rPr>
          <w:color w:val="auto"/>
        </w:rPr>
        <w:t>)</w:t>
      </w:r>
      <w:r w:rsidRPr="00871CF1">
        <w:rPr>
          <w:color w:val="auto"/>
        </w:rPr>
        <w:t>; +</w:t>
      </w:r>
      <w:r w:rsidR="00F575DA" w:rsidRPr="00871CF1">
        <w:rPr>
          <w:color w:val="auto"/>
        </w:rPr>
        <w:t>43</w:t>
      </w:r>
      <w:r w:rsidRPr="00871CF1">
        <w:rPr>
          <w:color w:val="auto"/>
        </w:rPr>
        <w:t>%, +</w:t>
      </w:r>
      <w:r w:rsidR="00F575DA" w:rsidRPr="00871CF1">
        <w:rPr>
          <w:color w:val="auto"/>
        </w:rPr>
        <w:t>96</w:t>
      </w:r>
      <w:r w:rsidRPr="00871CF1">
        <w:rPr>
          <w:color w:val="auto"/>
        </w:rPr>
        <w:t>% and +</w:t>
      </w:r>
      <w:r w:rsidR="00F575DA" w:rsidRPr="00871CF1">
        <w:rPr>
          <w:color w:val="auto"/>
        </w:rPr>
        <w:t>98</w:t>
      </w:r>
      <w:r w:rsidRPr="00871CF1">
        <w:rPr>
          <w:color w:val="auto"/>
        </w:rPr>
        <w:t xml:space="preserve">% compared to DIV, </w:t>
      </w:r>
      <w:r w:rsidR="00F72AF4" w:rsidRPr="00871CF1">
        <w:rPr>
          <w:color w:val="auto"/>
        </w:rPr>
        <w:t>MOW</w:t>
      </w:r>
      <w:r w:rsidRPr="00871CF1">
        <w:rPr>
          <w:color w:val="auto"/>
        </w:rPr>
        <w:t xml:space="preserve"> and </w:t>
      </w:r>
      <w:r w:rsidR="00F72AF4" w:rsidRPr="00871CF1">
        <w:rPr>
          <w:noProof/>
          <w:color w:val="auto"/>
        </w:rPr>
        <w:t xml:space="preserve">GRAZ </w:t>
      </w:r>
      <w:r w:rsidRPr="00871CF1">
        <w:rPr>
          <w:color w:val="auto"/>
        </w:rPr>
        <w:t>respectively)</w:t>
      </w:r>
      <w:r w:rsidR="00D30D39" w:rsidRPr="00871CF1">
        <w:rPr>
          <w:color w:val="auto"/>
        </w:rPr>
        <w:t xml:space="preserve">, and the </w:t>
      </w:r>
      <w:r w:rsidR="00F72AF4" w:rsidRPr="00871CF1">
        <w:rPr>
          <w:noProof/>
          <w:color w:val="auto"/>
        </w:rPr>
        <w:t xml:space="preserve">GRAZ </w:t>
      </w:r>
      <w:r w:rsidR="00440B90" w:rsidRPr="00871CF1">
        <w:rPr>
          <w:color w:val="auto"/>
        </w:rPr>
        <w:t xml:space="preserve">and </w:t>
      </w:r>
      <w:r w:rsidR="00F72AF4" w:rsidRPr="00871CF1">
        <w:rPr>
          <w:color w:val="auto"/>
        </w:rPr>
        <w:t>MOW</w:t>
      </w:r>
      <w:r w:rsidR="00440B90" w:rsidRPr="00871CF1">
        <w:rPr>
          <w:color w:val="auto"/>
        </w:rPr>
        <w:t xml:space="preserve"> </w:t>
      </w:r>
      <w:r w:rsidR="00D30D39" w:rsidRPr="00871CF1">
        <w:rPr>
          <w:color w:val="auto"/>
        </w:rPr>
        <w:t>the one</w:t>
      </w:r>
      <w:r w:rsidR="00440B90" w:rsidRPr="00871CF1">
        <w:rPr>
          <w:color w:val="auto"/>
        </w:rPr>
        <w:t>s</w:t>
      </w:r>
      <w:r w:rsidR="00D30D39" w:rsidRPr="00871CF1">
        <w:rPr>
          <w:color w:val="auto"/>
        </w:rPr>
        <w:t xml:space="preserve"> leading to the lowest levels (</w:t>
      </w:r>
      <w:r w:rsidR="008A62AD" w:rsidRPr="00871CF1">
        <w:rPr>
          <w:color w:val="auto"/>
        </w:rPr>
        <w:t>3.6</w:t>
      </w:r>
      <w:r w:rsidR="001E56FF" w:rsidRPr="00871CF1">
        <w:rPr>
          <w:color w:val="auto"/>
        </w:rPr>
        <w:t>5</w:t>
      </w:r>
      <w:r w:rsidR="008A62AD" w:rsidRPr="00871CF1">
        <w:rPr>
          <w:color w:val="auto"/>
        </w:rPr>
        <w:t xml:space="preserve"> and 3.6</w:t>
      </w:r>
      <w:r w:rsidR="001E56FF" w:rsidRPr="00871CF1">
        <w:rPr>
          <w:color w:val="auto"/>
        </w:rPr>
        <w:t>8</w:t>
      </w:r>
      <w:r w:rsidR="00D30D39" w:rsidRPr="00871CF1">
        <w:rPr>
          <w:color w:val="auto"/>
        </w:rPr>
        <w:t xml:space="preserve"> kg ha</w:t>
      </w:r>
      <w:r w:rsidR="00D30D39" w:rsidRPr="00871CF1">
        <w:rPr>
          <w:color w:val="auto"/>
          <w:vertAlign w:val="superscript"/>
        </w:rPr>
        <w:t xml:space="preserve">-1 </w:t>
      </w:r>
      <w:r w:rsidR="00D30D39" w:rsidRPr="00871CF1">
        <w:rPr>
          <w:color w:val="auto"/>
        </w:rPr>
        <w:t>year</w:t>
      </w:r>
      <w:r w:rsidR="00D30D39" w:rsidRPr="00871CF1">
        <w:rPr>
          <w:color w:val="auto"/>
          <w:vertAlign w:val="superscript"/>
        </w:rPr>
        <w:t xml:space="preserve">-1 </w:t>
      </w:r>
      <w:r w:rsidR="006D5FBF" w:rsidRPr="00871CF1">
        <w:rPr>
          <w:color w:val="auto"/>
        </w:rPr>
        <w:t xml:space="preserve">respectively </w:t>
      </w:r>
      <w:r w:rsidR="00D30D39" w:rsidRPr="00871CF1">
        <w:rPr>
          <w:color w:val="auto"/>
        </w:rPr>
        <w:t>in average across Wallonia)</w:t>
      </w:r>
      <w:r w:rsidRPr="00871CF1">
        <w:rPr>
          <w:color w:val="auto"/>
        </w:rPr>
        <w:t xml:space="preserve">. Reducing </w:t>
      </w:r>
      <w:r w:rsidR="00307A3A" w:rsidRPr="00871CF1">
        <w:rPr>
          <w:color w:val="auto"/>
        </w:rPr>
        <w:t xml:space="preserve">by 25% </w:t>
      </w:r>
      <w:r w:rsidRPr="00871CF1">
        <w:rPr>
          <w:color w:val="auto"/>
        </w:rPr>
        <w:t>the N fertilization also considerably decreases N leaching: -</w:t>
      </w:r>
      <w:r w:rsidR="00BB3AC6" w:rsidRPr="00871CF1">
        <w:rPr>
          <w:color w:val="auto"/>
        </w:rPr>
        <w:t>4</w:t>
      </w:r>
      <w:r w:rsidR="00FB6699" w:rsidRPr="00871CF1">
        <w:rPr>
          <w:color w:val="auto"/>
        </w:rPr>
        <w:t>4</w:t>
      </w:r>
      <w:r w:rsidRPr="00871CF1">
        <w:rPr>
          <w:color w:val="auto"/>
        </w:rPr>
        <w:t>% between the BAU systems, -</w:t>
      </w:r>
      <w:r w:rsidR="0079591F" w:rsidRPr="00871CF1">
        <w:rPr>
          <w:color w:val="auto"/>
        </w:rPr>
        <w:t>37</w:t>
      </w:r>
      <w:r w:rsidRPr="00871CF1">
        <w:rPr>
          <w:color w:val="auto"/>
        </w:rPr>
        <w:t>% between the DIV systems, -</w:t>
      </w:r>
      <w:r w:rsidR="008B6F8A" w:rsidRPr="00871CF1">
        <w:rPr>
          <w:color w:val="auto"/>
        </w:rPr>
        <w:t>22</w:t>
      </w:r>
      <w:r w:rsidRPr="00871CF1">
        <w:rPr>
          <w:color w:val="auto"/>
        </w:rPr>
        <w:t xml:space="preserve">% between the </w:t>
      </w:r>
      <w:r w:rsidR="00F72AF4" w:rsidRPr="00871CF1">
        <w:rPr>
          <w:color w:val="auto"/>
        </w:rPr>
        <w:t>MOW</w:t>
      </w:r>
      <w:r w:rsidRPr="00871CF1">
        <w:rPr>
          <w:color w:val="auto"/>
        </w:rPr>
        <w:t xml:space="preserve"> systems and -</w:t>
      </w:r>
      <w:r w:rsidR="00E30F9F" w:rsidRPr="00871CF1">
        <w:rPr>
          <w:color w:val="auto"/>
        </w:rPr>
        <w:t>17</w:t>
      </w:r>
      <w:r w:rsidRPr="00871CF1">
        <w:rPr>
          <w:color w:val="auto"/>
        </w:rPr>
        <w:t xml:space="preserve">% between the </w:t>
      </w:r>
      <w:r w:rsidR="00F72AF4" w:rsidRPr="00871CF1">
        <w:rPr>
          <w:noProof/>
          <w:color w:val="auto"/>
        </w:rPr>
        <w:t xml:space="preserve">GRAZ </w:t>
      </w:r>
      <w:r w:rsidRPr="00871CF1">
        <w:rPr>
          <w:color w:val="auto"/>
        </w:rPr>
        <w:t>systems (Fig. 4).</w:t>
      </w:r>
      <w:r w:rsidR="00E95548" w:rsidRPr="00871CF1">
        <w:rPr>
          <w:color w:val="auto"/>
        </w:rPr>
        <w:t xml:space="preserve"> </w:t>
      </w:r>
      <w:r w:rsidR="004C02AE" w:rsidRPr="00871CF1">
        <w:rPr>
          <w:color w:val="auto"/>
        </w:rPr>
        <w:t xml:space="preserve">The </w:t>
      </w:r>
      <w:r w:rsidR="005709F3" w:rsidRPr="00871CF1">
        <w:rPr>
          <w:color w:val="auto"/>
        </w:rPr>
        <w:t>LMM</w:t>
      </w:r>
      <w:r w:rsidR="004C02AE" w:rsidRPr="00871CF1">
        <w:rPr>
          <w:color w:val="auto"/>
        </w:rPr>
        <w:t xml:space="preserve"> analysis </w:t>
      </w:r>
      <w:r w:rsidR="009C03EF" w:rsidRPr="00871CF1">
        <w:rPr>
          <w:color w:val="auto"/>
        </w:rPr>
        <w:t>first indicates that nitrate leaching substantially varies between UIDs (Fig. A</w:t>
      </w:r>
      <w:r w:rsidR="00616CAB" w:rsidRPr="00871CF1">
        <w:rPr>
          <w:color w:val="auto"/>
        </w:rPr>
        <w:t>10</w:t>
      </w:r>
      <w:r w:rsidR="009C03EF" w:rsidRPr="00871CF1">
        <w:rPr>
          <w:color w:val="auto"/>
        </w:rPr>
        <w:t xml:space="preserve"> and Table A</w:t>
      </w:r>
      <w:r w:rsidR="00BD54CF" w:rsidRPr="00871CF1">
        <w:rPr>
          <w:color w:val="auto"/>
        </w:rPr>
        <w:t>9</w:t>
      </w:r>
      <w:r w:rsidR="009C03EF" w:rsidRPr="00871CF1">
        <w:rPr>
          <w:color w:val="auto"/>
        </w:rPr>
        <w:t xml:space="preserve">). It also </w:t>
      </w:r>
      <w:r w:rsidR="004C02AE" w:rsidRPr="00871CF1">
        <w:rPr>
          <w:color w:val="auto"/>
        </w:rPr>
        <w:t xml:space="preserve">confirms that all alternative management scenarios reduce nitrate leaching compared to BAU, with the ICLS </w:t>
      </w:r>
      <w:r w:rsidR="00403D82" w:rsidRPr="00871CF1">
        <w:rPr>
          <w:color w:val="auto"/>
        </w:rPr>
        <w:t xml:space="preserve">(MOW and GRAZ) </w:t>
      </w:r>
      <w:r w:rsidR="004C02AE" w:rsidRPr="00871CF1">
        <w:rPr>
          <w:color w:val="auto"/>
        </w:rPr>
        <w:t>being the most effective ones</w:t>
      </w:r>
      <w:r w:rsidR="000756B9" w:rsidRPr="00871CF1">
        <w:rPr>
          <w:color w:val="auto"/>
        </w:rPr>
        <w:t xml:space="preserve"> (Table A</w:t>
      </w:r>
      <w:r w:rsidR="00BD54CF" w:rsidRPr="00871CF1">
        <w:rPr>
          <w:color w:val="auto"/>
        </w:rPr>
        <w:t>9</w:t>
      </w:r>
      <w:r w:rsidR="000756B9" w:rsidRPr="00871CF1">
        <w:rPr>
          <w:color w:val="auto"/>
        </w:rPr>
        <w:t>)</w:t>
      </w:r>
      <w:r w:rsidR="006D58BA" w:rsidRPr="00871CF1">
        <w:rPr>
          <w:color w:val="auto"/>
        </w:rPr>
        <w:t xml:space="preserve">. </w:t>
      </w:r>
      <w:r w:rsidR="007345F4" w:rsidRPr="00871CF1">
        <w:rPr>
          <w:color w:val="auto"/>
        </w:rPr>
        <w:t>Finally, i</w:t>
      </w:r>
      <w:r w:rsidR="006D58BA" w:rsidRPr="00871CF1">
        <w:rPr>
          <w:color w:val="auto"/>
        </w:rPr>
        <w:t xml:space="preserve">t </w:t>
      </w:r>
      <w:r w:rsidR="00945507" w:rsidRPr="00871CF1">
        <w:rPr>
          <w:color w:val="auto"/>
        </w:rPr>
        <w:t>highlights</w:t>
      </w:r>
      <w:r w:rsidR="006D58BA" w:rsidRPr="00871CF1">
        <w:rPr>
          <w:color w:val="auto"/>
        </w:rPr>
        <w:t xml:space="preserve"> that the benefits of reduced fertilization depend strongly on the scenario: gains </w:t>
      </w:r>
      <w:r w:rsidR="006D58BA" w:rsidRPr="00871CF1">
        <w:rPr>
          <w:color w:val="auto"/>
        </w:rPr>
        <w:lastRenderedPageBreak/>
        <w:t>are greatest under the BAU rotation, while diminishing returns are observed in other scenarios that already enhance nitrogen-use efficiency</w:t>
      </w:r>
      <w:r w:rsidR="004C02AE" w:rsidRPr="00871CF1">
        <w:rPr>
          <w:color w:val="auto"/>
        </w:rPr>
        <w:t>.</w:t>
      </w:r>
    </w:p>
    <w:p w14:paraId="6228CD62" w14:textId="17E74341" w:rsidR="00445C2E" w:rsidRPr="00871CF1" w:rsidRDefault="00445C2E" w:rsidP="00C9400C">
      <w:pPr>
        <w:jc w:val="center"/>
        <w:rPr>
          <w:rFonts w:ascii="Times New Roman" w:hAnsi="Times New Roman"/>
          <w:b/>
          <w:bCs/>
          <w:color w:val="auto"/>
          <w:szCs w:val="22"/>
        </w:rPr>
      </w:pPr>
      <w:r w:rsidRPr="00871CF1">
        <w:rPr>
          <w:rFonts w:ascii="Times New Roman" w:hAnsi="Times New Roman"/>
          <w:b/>
          <w:bCs/>
          <w:noProof/>
          <w:color w:val="auto"/>
          <w:szCs w:val="22"/>
          <w14:ligatures w14:val="standardContextual"/>
        </w:rPr>
        <w:drawing>
          <wp:inline distT="0" distB="0" distL="0" distR="0" wp14:anchorId="1856D918" wp14:editId="3E683953">
            <wp:extent cx="4890182" cy="3458127"/>
            <wp:effectExtent l="0" t="0" r="0" b="0"/>
            <wp:docPr id="20903375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37513" name="Imag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0182" cy="3458127"/>
                    </a:xfrm>
                    <a:prstGeom prst="rect">
                      <a:avLst/>
                    </a:prstGeom>
                  </pic:spPr>
                </pic:pic>
              </a:graphicData>
            </a:graphic>
          </wp:inline>
        </w:drawing>
      </w:r>
    </w:p>
    <w:p w14:paraId="3517A435" w14:textId="453C8996" w:rsidR="00276D35" w:rsidRPr="00871CF1" w:rsidRDefault="00276D35" w:rsidP="00276D35">
      <w:pPr>
        <w:jc w:val="both"/>
        <w:rPr>
          <w:rFonts w:ascii="Times New Roman" w:hAnsi="Times New Roman"/>
          <w:b/>
          <w:bCs/>
          <w:color w:val="auto"/>
          <w:szCs w:val="22"/>
        </w:rPr>
      </w:pPr>
      <w:r w:rsidRPr="00871CF1">
        <w:rPr>
          <w:rFonts w:ascii="Times New Roman" w:hAnsi="Times New Roman"/>
          <w:b/>
          <w:bCs/>
          <w:color w:val="auto"/>
          <w:szCs w:val="22"/>
        </w:rPr>
        <w:t xml:space="preserve">Figure </w:t>
      </w:r>
      <w:r w:rsidR="00B83305" w:rsidRPr="00871CF1">
        <w:rPr>
          <w:rFonts w:ascii="Times New Roman" w:hAnsi="Times New Roman"/>
          <w:b/>
          <w:bCs/>
          <w:color w:val="auto"/>
          <w:szCs w:val="22"/>
        </w:rPr>
        <w:t>4</w:t>
      </w:r>
      <w:r w:rsidRPr="00871CF1">
        <w:rPr>
          <w:rFonts w:ascii="Times New Roman" w:hAnsi="Times New Roman"/>
          <w:b/>
          <w:bCs/>
          <w:color w:val="auto"/>
          <w:szCs w:val="22"/>
        </w:rPr>
        <w:t>.</w:t>
      </w:r>
      <w:r w:rsidR="00622D07" w:rsidRPr="00871CF1">
        <w:rPr>
          <w:rFonts w:ascii="Times New Roman" w:hAnsi="Times New Roman"/>
          <w:b/>
          <w:bCs/>
          <w:color w:val="auto"/>
        </w:rPr>
        <w:t xml:space="preserve"> Nitrate leached at the base of the soil profile (below 2m depth) for the</w:t>
      </w:r>
      <w:r w:rsidR="00622D07" w:rsidRPr="00871CF1">
        <w:rPr>
          <w:rFonts w:ascii="Times New Roman" w:hAnsi="Times New Roman"/>
          <w:b/>
          <w:bCs/>
          <w:color w:val="auto"/>
          <w:szCs w:val="22"/>
        </w:rPr>
        <w:t xml:space="preserve"> different management scenarios</w:t>
      </w:r>
      <w:r w:rsidR="00632A2C" w:rsidRPr="00871CF1">
        <w:rPr>
          <w:rFonts w:ascii="Times New Roman" w:hAnsi="Times New Roman"/>
          <w:b/>
          <w:bCs/>
          <w:color w:val="auto"/>
          <w:szCs w:val="22"/>
        </w:rPr>
        <w:t xml:space="preserve"> (boxplots)</w:t>
      </w:r>
      <w:r w:rsidR="00EA36D2" w:rsidRPr="00871CF1">
        <w:rPr>
          <w:rFonts w:ascii="Times New Roman" w:hAnsi="Times New Roman"/>
          <w:b/>
          <w:bCs/>
          <w:color w:val="auto"/>
          <w:szCs w:val="22"/>
        </w:rPr>
        <w:t>.</w:t>
      </w:r>
      <w:r w:rsidR="00010283" w:rsidRPr="00871CF1">
        <w:rPr>
          <w:rFonts w:ascii="Times New Roman" w:hAnsi="Times New Roman"/>
          <w:b/>
          <w:bCs/>
          <w:color w:val="auto"/>
          <w:szCs w:val="22"/>
        </w:rPr>
        <w:t xml:space="preserve"> </w:t>
      </w:r>
      <w:r w:rsidR="00DE540A" w:rsidRPr="00871CF1">
        <w:rPr>
          <w:rFonts w:ascii="Times New Roman" w:hAnsi="Times New Roman"/>
          <w:b/>
          <w:bCs/>
          <w:color w:val="auto"/>
          <w:szCs w:val="22"/>
        </w:rPr>
        <w:t xml:space="preserve">Horizontal lines and grey </w:t>
      </w:r>
      <w:r w:rsidR="00A26360" w:rsidRPr="00871CF1">
        <w:rPr>
          <w:rFonts w:ascii="Times New Roman" w:hAnsi="Times New Roman"/>
          <w:b/>
          <w:bCs/>
          <w:color w:val="auto"/>
          <w:szCs w:val="22"/>
        </w:rPr>
        <w:t>points</w:t>
      </w:r>
      <w:r w:rsidR="00DE540A" w:rsidRPr="00871CF1">
        <w:rPr>
          <w:rFonts w:ascii="Times New Roman" w:hAnsi="Times New Roman"/>
          <w:b/>
          <w:bCs/>
          <w:color w:val="auto"/>
          <w:szCs w:val="22"/>
        </w:rPr>
        <w:t xml:space="preserve"> show medians and means, respectively.</w:t>
      </w:r>
      <w:r w:rsidR="006061C9" w:rsidRPr="00871CF1">
        <w:rPr>
          <w:rFonts w:ascii="Times New Roman" w:hAnsi="Times New Roman"/>
          <w:b/>
          <w:bCs/>
          <w:color w:val="auto"/>
          <w:szCs w:val="22"/>
        </w:rPr>
        <w:t xml:space="preserve"> Different</w:t>
      </w:r>
      <w:r w:rsidR="006061C9" w:rsidRPr="00871CF1">
        <w:rPr>
          <w:rFonts w:ascii="Times New Roman" w:hAnsi="Times New Roman"/>
          <w:b/>
          <w:bCs/>
          <w:color w:val="auto"/>
        </w:rPr>
        <w:t xml:space="preserve"> letters above the boxplots denote statistically significant differences between groups as determined by Dunn’s test (</w:t>
      </w:r>
      <w:r w:rsidR="006061C9" w:rsidRPr="00871CF1">
        <w:rPr>
          <w:rFonts w:ascii="Times New Roman" w:hAnsi="Times New Roman"/>
          <w:b/>
          <w:bCs/>
          <w:i/>
          <w:iCs/>
          <w:color w:val="auto"/>
        </w:rPr>
        <w:t>p</w:t>
      </w:r>
      <w:r w:rsidR="006061C9" w:rsidRPr="00871CF1">
        <w:rPr>
          <w:rFonts w:ascii="Times New Roman" w:hAnsi="Times New Roman"/>
          <w:b/>
          <w:bCs/>
          <w:color w:val="auto"/>
        </w:rPr>
        <w:t xml:space="preserve"> &lt; 0.05).</w:t>
      </w:r>
    </w:p>
    <w:p w14:paraId="370B5964" w14:textId="2171786A" w:rsidR="005569E9" w:rsidRPr="00871CF1" w:rsidRDefault="00DF6C30" w:rsidP="005569E9">
      <w:pPr>
        <w:pStyle w:val="Publi2"/>
        <w:rPr>
          <w:color w:val="auto"/>
          <w:sz w:val="22"/>
          <w:szCs w:val="22"/>
        </w:rPr>
      </w:pPr>
      <w:r w:rsidRPr="00871CF1">
        <w:rPr>
          <w:color w:val="auto"/>
          <w:sz w:val="22"/>
          <w:szCs w:val="22"/>
        </w:rPr>
        <w:t xml:space="preserve"> </w:t>
      </w:r>
      <w:r w:rsidR="005569E9" w:rsidRPr="00871CF1">
        <w:rPr>
          <w:color w:val="auto"/>
          <w:sz w:val="22"/>
          <w:szCs w:val="22"/>
        </w:rPr>
        <w:t>Regulating</w:t>
      </w:r>
      <w:r w:rsidR="00CD14A8" w:rsidRPr="00871CF1">
        <w:rPr>
          <w:color w:val="auto"/>
          <w:sz w:val="22"/>
          <w:szCs w:val="22"/>
        </w:rPr>
        <w:t xml:space="preserve"> services</w:t>
      </w:r>
    </w:p>
    <w:p w14:paraId="0F716127" w14:textId="65809808" w:rsidR="006311B2" w:rsidRPr="00871CF1" w:rsidRDefault="00175B6B" w:rsidP="006311B2">
      <w:pPr>
        <w:pStyle w:val="PubliManuscript"/>
        <w:ind w:firstLine="0"/>
        <w:rPr>
          <w:b/>
          <w:bCs/>
          <w:color w:val="auto"/>
        </w:rPr>
      </w:pPr>
      <w:r w:rsidRPr="00871CF1">
        <w:rPr>
          <w:b/>
          <w:bCs/>
          <w:color w:val="auto"/>
        </w:rPr>
        <w:t>GHG</w:t>
      </w:r>
      <w:r w:rsidR="006311B2" w:rsidRPr="00871CF1">
        <w:rPr>
          <w:b/>
          <w:bCs/>
          <w:color w:val="auto"/>
        </w:rPr>
        <w:t xml:space="preserve"> </w:t>
      </w:r>
      <w:r w:rsidR="004701C6" w:rsidRPr="00871CF1">
        <w:rPr>
          <w:b/>
          <w:bCs/>
          <w:color w:val="auto"/>
        </w:rPr>
        <w:t>budget</w:t>
      </w:r>
    </w:p>
    <w:p w14:paraId="1789F795" w14:textId="41618CC1" w:rsidR="00E15BA6" w:rsidRPr="00871CF1" w:rsidRDefault="00C63F6B" w:rsidP="008678EB">
      <w:pPr>
        <w:pStyle w:val="PubliManuscript"/>
        <w:rPr>
          <w:color w:val="auto"/>
        </w:rPr>
      </w:pPr>
      <w:r w:rsidRPr="00871CF1">
        <w:rPr>
          <w:color w:val="auto"/>
        </w:rPr>
        <w:t xml:space="preserve">All management scenarios are </w:t>
      </w:r>
      <w:r w:rsidR="00737A20" w:rsidRPr="00871CF1">
        <w:rPr>
          <w:color w:val="auto"/>
        </w:rPr>
        <w:t xml:space="preserve">in average </w:t>
      </w:r>
      <w:r w:rsidRPr="00871CF1">
        <w:rPr>
          <w:color w:val="auto"/>
        </w:rPr>
        <w:t xml:space="preserve">net </w:t>
      </w:r>
      <w:r w:rsidR="00D40AD0" w:rsidRPr="00871CF1">
        <w:rPr>
          <w:color w:val="auto"/>
        </w:rPr>
        <w:t>sources</w:t>
      </w:r>
      <w:r w:rsidRPr="00871CF1">
        <w:rPr>
          <w:color w:val="auto"/>
        </w:rPr>
        <w:t xml:space="preserve"> of </w:t>
      </w:r>
      <w:r w:rsidR="002B5415" w:rsidRPr="00871CF1">
        <w:rPr>
          <w:color w:val="auto"/>
        </w:rPr>
        <w:t>GHG</w:t>
      </w:r>
      <w:r w:rsidR="00D73B98" w:rsidRPr="00871CF1">
        <w:rPr>
          <w:color w:val="auto"/>
        </w:rPr>
        <w:t xml:space="preserve">, </w:t>
      </w:r>
      <w:r w:rsidR="00931DCB" w:rsidRPr="00871CF1">
        <w:rPr>
          <w:color w:val="auto"/>
        </w:rPr>
        <w:t>emitting 1.</w:t>
      </w:r>
      <w:r w:rsidR="00E2202D" w:rsidRPr="00871CF1">
        <w:rPr>
          <w:color w:val="auto"/>
        </w:rPr>
        <w:t>9</w:t>
      </w:r>
      <w:r w:rsidR="00931DCB" w:rsidRPr="00871CF1">
        <w:rPr>
          <w:color w:val="auto"/>
        </w:rPr>
        <w:t xml:space="preserve"> Mg CO</w:t>
      </w:r>
      <w:r w:rsidR="00931DCB" w:rsidRPr="00871CF1">
        <w:rPr>
          <w:color w:val="auto"/>
          <w:vertAlign w:val="subscript"/>
        </w:rPr>
        <w:t>2</w:t>
      </w:r>
      <w:r w:rsidR="00931DCB" w:rsidRPr="00871CF1">
        <w:rPr>
          <w:color w:val="auto"/>
        </w:rPr>
        <w:t>-eq ha</w:t>
      </w:r>
      <w:r w:rsidR="00931DCB" w:rsidRPr="00871CF1">
        <w:rPr>
          <w:color w:val="auto"/>
          <w:vertAlign w:val="superscript"/>
        </w:rPr>
        <w:t xml:space="preserve">-1 </w:t>
      </w:r>
      <w:r w:rsidR="00931DCB" w:rsidRPr="00871CF1">
        <w:rPr>
          <w:color w:val="auto"/>
        </w:rPr>
        <w:t>year</w:t>
      </w:r>
      <w:r w:rsidR="00931DCB" w:rsidRPr="00871CF1">
        <w:rPr>
          <w:color w:val="auto"/>
          <w:vertAlign w:val="superscript"/>
        </w:rPr>
        <w:t>-1</w:t>
      </w:r>
      <w:r w:rsidR="00931DCB" w:rsidRPr="00871CF1">
        <w:rPr>
          <w:color w:val="auto"/>
        </w:rPr>
        <w:t xml:space="preserve"> in average across all scenarios</w:t>
      </w:r>
      <w:r w:rsidR="008D07B7" w:rsidRPr="00871CF1">
        <w:rPr>
          <w:color w:val="auto"/>
        </w:rPr>
        <w:t xml:space="preserve"> in Wallonia</w:t>
      </w:r>
      <w:r w:rsidR="00B25764" w:rsidRPr="00871CF1">
        <w:rPr>
          <w:color w:val="auto"/>
        </w:rPr>
        <w:t xml:space="preserve"> (</w:t>
      </w:r>
      <w:r w:rsidR="00605764" w:rsidRPr="00871CF1">
        <w:rPr>
          <w:color w:val="auto"/>
        </w:rPr>
        <w:t xml:space="preserve">when using GWP*; </w:t>
      </w:r>
      <w:r w:rsidR="00B25764" w:rsidRPr="00871CF1">
        <w:rPr>
          <w:color w:val="auto"/>
        </w:rPr>
        <w:t>Fig. 5)</w:t>
      </w:r>
      <w:r w:rsidR="00931DCB" w:rsidRPr="00871CF1">
        <w:rPr>
          <w:color w:val="auto"/>
        </w:rPr>
        <w:t>.</w:t>
      </w:r>
      <w:r w:rsidR="00B55A4C" w:rsidRPr="00871CF1">
        <w:rPr>
          <w:color w:val="auto"/>
        </w:rPr>
        <w:t xml:space="preserve"> Yet GHG budgets greatly vary spatially</w:t>
      </w:r>
      <w:r w:rsidR="00F007DB" w:rsidRPr="00871CF1">
        <w:rPr>
          <w:color w:val="auto"/>
        </w:rPr>
        <w:t xml:space="preserve"> (Fig. A1</w:t>
      </w:r>
      <w:r w:rsidR="00C15B59" w:rsidRPr="00871CF1">
        <w:rPr>
          <w:color w:val="auto"/>
        </w:rPr>
        <w:t>1</w:t>
      </w:r>
      <w:r w:rsidR="00F007DB" w:rsidRPr="00871CF1">
        <w:rPr>
          <w:color w:val="auto"/>
        </w:rPr>
        <w:t>)</w:t>
      </w:r>
      <w:r w:rsidR="00B55A4C" w:rsidRPr="00871CF1">
        <w:rPr>
          <w:color w:val="auto"/>
        </w:rPr>
        <w:t>, with a standard deviation equal to 1.3 Mg CO</w:t>
      </w:r>
      <w:r w:rsidR="00B55A4C" w:rsidRPr="00871CF1">
        <w:rPr>
          <w:color w:val="auto"/>
          <w:vertAlign w:val="subscript"/>
        </w:rPr>
        <w:t>2</w:t>
      </w:r>
      <w:r w:rsidR="00B55A4C" w:rsidRPr="00871CF1">
        <w:rPr>
          <w:color w:val="auto"/>
        </w:rPr>
        <w:t>-eq ha</w:t>
      </w:r>
      <w:r w:rsidR="00B55A4C" w:rsidRPr="00871CF1">
        <w:rPr>
          <w:color w:val="auto"/>
          <w:vertAlign w:val="superscript"/>
        </w:rPr>
        <w:t xml:space="preserve">-1 </w:t>
      </w:r>
      <w:r w:rsidR="00B55A4C" w:rsidRPr="00871CF1">
        <w:rPr>
          <w:color w:val="auto"/>
        </w:rPr>
        <w:t>year</w:t>
      </w:r>
      <w:r w:rsidR="00B55A4C" w:rsidRPr="00871CF1">
        <w:rPr>
          <w:color w:val="auto"/>
          <w:vertAlign w:val="superscript"/>
        </w:rPr>
        <w:t>-1</w:t>
      </w:r>
      <w:r w:rsidR="00B55A4C" w:rsidRPr="00871CF1">
        <w:rPr>
          <w:color w:val="auto"/>
        </w:rPr>
        <w:t xml:space="preserve"> across all UIDs and all scenarios.</w:t>
      </w:r>
      <w:r w:rsidR="00C942F8" w:rsidRPr="00871CF1">
        <w:rPr>
          <w:color w:val="auto"/>
        </w:rPr>
        <w:t xml:space="preserve"> Net GHG </w:t>
      </w:r>
      <w:r w:rsidR="0009159B" w:rsidRPr="00871CF1">
        <w:rPr>
          <w:color w:val="auto"/>
        </w:rPr>
        <w:t>budgets</w:t>
      </w:r>
      <w:r w:rsidR="00C942F8" w:rsidRPr="00871CF1">
        <w:rPr>
          <w:color w:val="auto"/>
        </w:rPr>
        <w:t xml:space="preserve"> </w:t>
      </w:r>
      <w:r w:rsidR="004D4CA9" w:rsidRPr="00871CF1">
        <w:rPr>
          <w:color w:val="auto"/>
        </w:rPr>
        <w:t xml:space="preserve">significantly </w:t>
      </w:r>
      <w:r w:rsidR="00C942F8" w:rsidRPr="00871CF1">
        <w:rPr>
          <w:color w:val="auto"/>
        </w:rPr>
        <w:t xml:space="preserve">decrease with crop rotation </w:t>
      </w:r>
      <w:r w:rsidR="004C1625" w:rsidRPr="00871CF1">
        <w:rPr>
          <w:color w:val="auto"/>
        </w:rPr>
        <w:t>diversification</w:t>
      </w:r>
      <w:r w:rsidR="00374245" w:rsidRPr="00871CF1">
        <w:rPr>
          <w:color w:val="auto"/>
        </w:rPr>
        <w:t xml:space="preserve"> (</w:t>
      </w:r>
      <w:r w:rsidR="00374245" w:rsidRPr="00871CF1">
        <w:rPr>
          <w:i/>
          <w:iCs/>
          <w:noProof/>
          <w:color w:val="auto"/>
        </w:rPr>
        <w:t xml:space="preserve">p </w:t>
      </w:r>
      <w:r w:rsidR="00374245" w:rsidRPr="00871CF1">
        <w:rPr>
          <w:noProof/>
          <w:color w:val="auto"/>
        </w:rPr>
        <w:t>&lt; 0.001)</w:t>
      </w:r>
      <w:r w:rsidR="00D26FCC" w:rsidRPr="00871CF1">
        <w:rPr>
          <w:color w:val="auto"/>
        </w:rPr>
        <w:t>: the BAU system leads to the highest emissions (</w:t>
      </w:r>
      <w:r w:rsidR="003563D0" w:rsidRPr="00871CF1">
        <w:rPr>
          <w:color w:val="auto"/>
        </w:rPr>
        <w:t>3</w:t>
      </w:r>
      <w:r w:rsidR="00097924" w:rsidRPr="00871CF1">
        <w:rPr>
          <w:color w:val="auto"/>
        </w:rPr>
        <w:t>5</w:t>
      </w:r>
      <w:r w:rsidR="00D26FCC" w:rsidRPr="00871CF1">
        <w:rPr>
          <w:color w:val="auto"/>
        </w:rPr>
        <w:t xml:space="preserve">%, </w:t>
      </w:r>
      <w:r w:rsidR="00097924" w:rsidRPr="00871CF1">
        <w:rPr>
          <w:color w:val="auto"/>
        </w:rPr>
        <w:t>476</w:t>
      </w:r>
      <w:r w:rsidR="00D26FCC" w:rsidRPr="00871CF1">
        <w:rPr>
          <w:color w:val="auto"/>
        </w:rPr>
        <w:t xml:space="preserve">% and </w:t>
      </w:r>
      <w:r w:rsidR="00097924" w:rsidRPr="00871CF1">
        <w:rPr>
          <w:color w:val="auto"/>
        </w:rPr>
        <w:t>205</w:t>
      </w:r>
      <w:r w:rsidR="00D26FCC" w:rsidRPr="00871CF1">
        <w:rPr>
          <w:color w:val="auto"/>
        </w:rPr>
        <w:t xml:space="preserve">% higher than DIV, </w:t>
      </w:r>
      <w:r w:rsidR="00F72AF4" w:rsidRPr="00871CF1">
        <w:rPr>
          <w:color w:val="auto"/>
        </w:rPr>
        <w:t xml:space="preserve">MOW </w:t>
      </w:r>
      <w:r w:rsidR="00D26FCC" w:rsidRPr="00871CF1">
        <w:rPr>
          <w:color w:val="auto"/>
        </w:rPr>
        <w:t xml:space="preserve">and </w:t>
      </w:r>
      <w:r w:rsidR="00F72AF4" w:rsidRPr="00871CF1">
        <w:rPr>
          <w:noProof/>
          <w:color w:val="auto"/>
        </w:rPr>
        <w:t xml:space="preserve">GRAZ </w:t>
      </w:r>
      <w:r w:rsidR="00D26FCC" w:rsidRPr="00871CF1">
        <w:rPr>
          <w:color w:val="auto"/>
        </w:rPr>
        <w:t>respectively), followed by DIV</w:t>
      </w:r>
      <w:r w:rsidR="00880E74" w:rsidRPr="00871CF1">
        <w:rPr>
          <w:color w:val="auto"/>
        </w:rPr>
        <w:t xml:space="preserve"> (</w:t>
      </w:r>
      <w:r w:rsidR="00FD010B" w:rsidRPr="00871CF1">
        <w:rPr>
          <w:color w:val="auto"/>
        </w:rPr>
        <w:t>326</w:t>
      </w:r>
      <w:r w:rsidR="00880E74" w:rsidRPr="00871CF1">
        <w:rPr>
          <w:color w:val="auto"/>
        </w:rPr>
        <w:t xml:space="preserve">% and </w:t>
      </w:r>
      <w:r w:rsidR="00316FD4" w:rsidRPr="00871CF1">
        <w:rPr>
          <w:color w:val="auto"/>
        </w:rPr>
        <w:t>126</w:t>
      </w:r>
      <w:r w:rsidR="00880E74" w:rsidRPr="00871CF1">
        <w:rPr>
          <w:color w:val="auto"/>
        </w:rPr>
        <w:t xml:space="preserve">% higher than </w:t>
      </w:r>
      <w:r w:rsidR="00F72AF4" w:rsidRPr="00871CF1">
        <w:rPr>
          <w:color w:val="auto"/>
        </w:rPr>
        <w:t>MOW</w:t>
      </w:r>
      <w:r w:rsidR="00880E74" w:rsidRPr="00871CF1">
        <w:rPr>
          <w:color w:val="auto"/>
        </w:rPr>
        <w:t xml:space="preserve"> and </w:t>
      </w:r>
      <w:r w:rsidR="00B14DED" w:rsidRPr="00871CF1">
        <w:rPr>
          <w:color w:val="auto"/>
        </w:rPr>
        <w:t>GRAZ</w:t>
      </w:r>
      <w:r w:rsidR="00880E74" w:rsidRPr="00871CF1">
        <w:rPr>
          <w:color w:val="auto"/>
        </w:rPr>
        <w:t xml:space="preserve"> respectively)</w:t>
      </w:r>
      <w:r w:rsidR="00D26FCC" w:rsidRPr="00871CF1">
        <w:rPr>
          <w:color w:val="auto"/>
        </w:rPr>
        <w:t xml:space="preserve">, </w:t>
      </w:r>
      <w:r w:rsidR="00F72AF4" w:rsidRPr="00871CF1">
        <w:rPr>
          <w:noProof/>
          <w:color w:val="auto"/>
        </w:rPr>
        <w:t xml:space="preserve">GRAZ </w:t>
      </w:r>
      <w:r w:rsidR="00880E74" w:rsidRPr="00871CF1">
        <w:rPr>
          <w:color w:val="auto"/>
        </w:rPr>
        <w:t>(</w:t>
      </w:r>
      <w:r w:rsidR="002F5AA1" w:rsidRPr="00871CF1">
        <w:rPr>
          <w:color w:val="auto"/>
        </w:rPr>
        <w:t>89</w:t>
      </w:r>
      <w:r w:rsidR="00880E74" w:rsidRPr="00871CF1">
        <w:rPr>
          <w:color w:val="auto"/>
        </w:rPr>
        <w:t xml:space="preserve">% higher than </w:t>
      </w:r>
      <w:r w:rsidR="00F72AF4" w:rsidRPr="00871CF1">
        <w:rPr>
          <w:color w:val="auto"/>
        </w:rPr>
        <w:t>MOW</w:t>
      </w:r>
      <w:r w:rsidR="00880E74" w:rsidRPr="00871CF1">
        <w:rPr>
          <w:color w:val="auto"/>
        </w:rPr>
        <w:t xml:space="preserve"> respectively) </w:t>
      </w:r>
      <w:r w:rsidR="00D26FCC" w:rsidRPr="00871CF1">
        <w:rPr>
          <w:color w:val="auto"/>
        </w:rPr>
        <w:t xml:space="preserve">and </w:t>
      </w:r>
      <w:r w:rsidR="00F72AF4" w:rsidRPr="00871CF1">
        <w:rPr>
          <w:color w:val="auto"/>
        </w:rPr>
        <w:t>MOW</w:t>
      </w:r>
      <w:r w:rsidR="008357D4" w:rsidRPr="00871CF1">
        <w:rPr>
          <w:color w:val="auto"/>
        </w:rPr>
        <w:t xml:space="preserve"> (</w:t>
      </w:r>
      <w:r w:rsidR="001556F7" w:rsidRPr="00871CF1">
        <w:rPr>
          <w:color w:val="auto"/>
        </w:rPr>
        <w:t>0.</w:t>
      </w:r>
      <w:r w:rsidR="005C5BF0" w:rsidRPr="00871CF1">
        <w:rPr>
          <w:color w:val="auto"/>
        </w:rPr>
        <w:t>62</w:t>
      </w:r>
      <w:r w:rsidR="008357D4" w:rsidRPr="00871CF1">
        <w:rPr>
          <w:color w:val="auto"/>
        </w:rPr>
        <w:t xml:space="preserve"> Mg CO</w:t>
      </w:r>
      <w:r w:rsidR="008357D4" w:rsidRPr="00871CF1">
        <w:rPr>
          <w:color w:val="auto"/>
          <w:vertAlign w:val="subscript"/>
        </w:rPr>
        <w:t>2</w:t>
      </w:r>
      <w:r w:rsidR="008357D4" w:rsidRPr="00871CF1">
        <w:rPr>
          <w:color w:val="auto"/>
        </w:rPr>
        <w:t>-eq ha</w:t>
      </w:r>
      <w:r w:rsidR="008357D4" w:rsidRPr="00871CF1">
        <w:rPr>
          <w:color w:val="auto"/>
          <w:vertAlign w:val="superscript"/>
        </w:rPr>
        <w:t xml:space="preserve">-1 </w:t>
      </w:r>
      <w:r w:rsidR="008357D4" w:rsidRPr="00871CF1">
        <w:rPr>
          <w:color w:val="auto"/>
        </w:rPr>
        <w:t>year</w:t>
      </w:r>
      <w:r w:rsidR="008357D4" w:rsidRPr="00871CF1">
        <w:rPr>
          <w:color w:val="auto"/>
          <w:vertAlign w:val="superscript"/>
        </w:rPr>
        <w:t xml:space="preserve">-1 </w:t>
      </w:r>
      <w:r w:rsidR="008357D4" w:rsidRPr="00871CF1">
        <w:rPr>
          <w:color w:val="auto"/>
        </w:rPr>
        <w:t>in average across Wallonia)</w:t>
      </w:r>
      <w:r w:rsidR="00D26FCC" w:rsidRPr="00871CF1">
        <w:rPr>
          <w:color w:val="auto"/>
        </w:rPr>
        <w:t>.</w:t>
      </w:r>
      <w:r w:rsidR="00F10786" w:rsidRPr="00871CF1">
        <w:rPr>
          <w:color w:val="auto"/>
        </w:rPr>
        <w:t xml:space="preserve"> </w:t>
      </w:r>
      <w:r w:rsidR="00A84DB4" w:rsidRPr="00871CF1">
        <w:rPr>
          <w:color w:val="auto"/>
        </w:rPr>
        <w:t xml:space="preserve">Similarly, </w:t>
      </w:r>
      <w:r w:rsidR="00011438" w:rsidRPr="00871CF1">
        <w:rPr>
          <w:color w:val="auto"/>
        </w:rPr>
        <w:t>al</w:t>
      </w:r>
      <w:r w:rsidR="00A84DB4" w:rsidRPr="00871CF1">
        <w:rPr>
          <w:color w:val="auto"/>
        </w:rPr>
        <w:t xml:space="preserve">though to a lesser extent, a 25% reduction in N fertilization </w:t>
      </w:r>
      <w:r w:rsidR="005E61F2" w:rsidRPr="00871CF1">
        <w:rPr>
          <w:color w:val="auto"/>
        </w:rPr>
        <w:t xml:space="preserve">significantly </w:t>
      </w:r>
      <w:r w:rsidR="00A84DB4" w:rsidRPr="00871CF1">
        <w:rPr>
          <w:color w:val="auto"/>
        </w:rPr>
        <w:t xml:space="preserve">lowers GHG budgets by 14% in BAU systems, 11% in DIV systems, and 10% in GRAZ </w:t>
      </w:r>
      <w:r w:rsidR="00A84DB4" w:rsidRPr="00871CF1">
        <w:rPr>
          <w:color w:val="auto"/>
        </w:rPr>
        <w:lastRenderedPageBreak/>
        <w:t>systems; however, in MOW systems, it leads to an 8% increase</w:t>
      </w:r>
      <w:r w:rsidR="00022E9B" w:rsidRPr="00871CF1">
        <w:rPr>
          <w:color w:val="auto"/>
        </w:rPr>
        <w:t xml:space="preserve"> (</w:t>
      </w:r>
      <w:r w:rsidR="00022E9B" w:rsidRPr="00871CF1">
        <w:rPr>
          <w:i/>
          <w:iCs/>
          <w:noProof/>
          <w:color w:val="auto"/>
        </w:rPr>
        <w:t xml:space="preserve">p </w:t>
      </w:r>
      <w:r w:rsidR="00022E9B" w:rsidRPr="00871CF1">
        <w:rPr>
          <w:noProof/>
          <w:color w:val="auto"/>
        </w:rPr>
        <w:t>&lt; 0.001)</w:t>
      </w:r>
      <w:r w:rsidR="00A84DB4" w:rsidRPr="00871CF1">
        <w:rPr>
          <w:color w:val="auto"/>
        </w:rPr>
        <w:t>.</w:t>
      </w:r>
      <w:r w:rsidR="006D4FED" w:rsidRPr="00871CF1">
        <w:rPr>
          <w:color w:val="auto"/>
        </w:rPr>
        <w:t xml:space="preserve"> </w:t>
      </w:r>
      <w:r w:rsidR="00161893" w:rsidRPr="00871CF1">
        <w:rPr>
          <w:color w:val="auto"/>
        </w:rPr>
        <w:t xml:space="preserve">Non-SOC </w:t>
      </w:r>
      <w:r w:rsidR="006D4FED" w:rsidRPr="00871CF1">
        <w:rPr>
          <w:color w:val="auto"/>
        </w:rPr>
        <w:t>GHG emissions</w:t>
      </w:r>
      <w:r w:rsidR="00CE2269" w:rsidRPr="00871CF1">
        <w:rPr>
          <w:color w:val="auto"/>
        </w:rPr>
        <w:t xml:space="preserve"> (i.e., excluding soil carbon changes)</w:t>
      </w:r>
      <w:r w:rsidR="006D4FED" w:rsidRPr="00871CF1">
        <w:rPr>
          <w:color w:val="auto"/>
        </w:rPr>
        <w:t xml:space="preserve"> are mainly driven by </w:t>
      </w:r>
      <w:r w:rsidR="00D572D9" w:rsidRPr="00871CF1">
        <w:rPr>
          <w:color w:val="auto"/>
        </w:rPr>
        <w:t xml:space="preserve">soil </w:t>
      </w:r>
      <w:r w:rsidR="006D4FED" w:rsidRPr="00871CF1">
        <w:rPr>
          <w:color w:val="auto"/>
        </w:rPr>
        <w:t>N</w:t>
      </w:r>
      <w:r w:rsidR="006D4FED" w:rsidRPr="00871CF1">
        <w:rPr>
          <w:color w:val="auto"/>
          <w:vertAlign w:val="subscript"/>
        </w:rPr>
        <w:t>2</w:t>
      </w:r>
      <w:r w:rsidR="006D4FED" w:rsidRPr="00871CF1">
        <w:rPr>
          <w:color w:val="auto"/>
        </w:rPr>
        <w:t>O emissions (Fig. A1</w:t>
      </w:r>
      <w:r w:rsidR="00E47515" w:rsidRPr="00871CF1">
        <w:rPr>
          <w:color w:val="auto"/>
        </w:rPr>
        <w:t>2</w:t>
      </w:r>
      <w:r w:rsidR="006D4FED" w:rsidRPr="00871CF1">
        <w:rPr>
          <w:color w:val="auto"/>
        </w:rPr>
        <w:t xml:space="preserve">), which account for </w:t>
      </w:r>
      <w:r w:rsidR="006D5B8D" w:rsidRPr="00871CF1">
        <w:rPr>
          <w:color w:val="auto"/>
        </w:rPr>
        <w:t>45</w:t>
      </w:r>
      <w:r w:rsidR="006D4FED" w:rsidRPr="00871CF1">
        <w:rPr>
          <w:color w:val="auto"/>
        </w:rPr>
        <w:t xml:space="preserve">% </w:t>
      </w:r>
      <w:r w:rsidR="00A431BD" w:rsidRPr="00871CF1">
        <w:rPr>
          <w:color w:val="auto"/>
        </w:rPr>
        <w:t>of</w:t>
      </w:r>
      <w:r w:rsidR="006D4FED" w:rsidRPr="00871CF1">
        <w:rPr>
          <w:color w:val="auto"/>
        </w:rPr>
        <w:t xml:space="preserve"> total emissions</w:t>
      </w:r>
      <w:r w:rsidR="008677AD" w:rsidRPr="00871CF1">
        <w:rPr>
          <w:color w:val="auto"/>
        </w:rPr>
        <w:t xml:space="preserve"> when using GWP* and 32% when using GWP</w:t>
      </w:r>
      <w:r w:rsidR="006D4FED" w:rsidRPr="00871CF1">
        <w:rPr>
          <w:color w:val="auto"/>
        </w:rPr>
        <w:t>.</w:t>
      </w:r>
      <w:r w:rsidR="00962EC8" w:rsidRPr="00871CF1">
        <w:rPr>
          <w:color w:val="auto"/>
        </w:rPr>
        <w:t xml:space="preserve"> </w:t>
      </w:r>
      <w:r w:rsidR="00D656A5" w:rsidRPr="00871CF1">
        <w:rPr>
          <w:color w:val="auto"/>
        </w:rPr>
        <w:t>The four crop-livestock systems (</w:t>
      </w:r>
      <w:r w:rsidR="00F72AF4" w:rsidRPr="00871CF1">
        <w:rPr>
          <w:color w:val="auto"/>
        </w:rPr>
        <w:t>MOW</w:t>
      </w:r>
      <w:r w:rsidR="00D656A5" w:rsidRPr="00871CF1">
        <w:rPr>
          <w:color w:val="auto"/>
        </w:rPr>
        <w:t xml:space="preserve">, </w:t>
      </w:r>
      <w:r w:rsidR="00F72AF4" w:rsidRPr="00871CF1">
        <w:rPr>
          <w:color w:val="auto"/>
        </w:rPr>
        <w:t>MOW</w:t>
      </w:r>
      <w:r w:rsidR="00D656A5" w:rsidRPr="00871CF1">
        <w:rPr>
          <w:color w:val="auto"/>
        </w:rPr>
        <w:t xml:space="preserve">-RF, </w:t>
      </w:r>
      <w:r w:rsidR="00F72AF4" w:rsidRPr="00871CF1">
        <w:rPr>
          <w:noProof/>
          <w:color w:val="auto"/>
        </w:rPr>
        <w:t>GRAZ</w:t>
      </w:r>
      <w:r w:rsidR="00D656A5" w:rsidRPr="00871CF1">
        <w:rPr>
          <w:color w:val="auto"/>
        </w:rPr>
        <w:t xml:space="preserve">, and </w:t>
      </w:r>
      <w:r w:rsidR="00F72AF4" w:rsidRPr="00871CF1">
        <w:rPr>
          <w:noProof/>
          <w:color w:val="auto"/>
        </w:rPr>
        <w:t>GRAZ</w:t>
      </w:r>
      <w:r w:rsidR="00D656A5" w:rsidRPr="00871CF1">
        <w:rPr>
          <w:color w:val="auto"/>
        </w:rPr>
        <w:t>-RF) are the closest to achieving carbon neutrality, with carbon sequestration offsetting methane emissions</w:t>
      </w:r>
      <w:r w:rsidR="004759EF" w:rsidRPr="00871CF1">
        <w:rPr>
          <w:color w:val="auto"/>
        </w:rPr>
        <w:t xml:space="preserve"> – </w:t>
      </w:r>
      <w:r w:rsidR="00D656A5" w:rsidRPr="00871CF1">
        <w:rPr>
          <w:color w:val="auto"/>
        </w:rPr>
        <w:t>particularly when assessed using GWP* (Fig. 5) rather than GWP (Fig. A</w:t>
      </w:r>
      <w:r w:rsidR="00352E19" w:rsidRPr="00871CF1">
        <w:rPr>
          <w:color w:val="auto"/>
        </w:rPr>
        <w:t>1</w:t>
      </w:r>
      <w:r w:rsidR="003A1D63" w:rsidRPr="00871CF1">
        <w:rPr>
          <w:color w:val="auto"/>
        </w:rPr>
        <w:t>3</w:t>
      </w:r>
      <w:r w:rsidR="00D656A5" w:rsidRPr="00871CF1">
        <w:rPr>
          <w:color w:val="auto"/>
        </w:rPr>
        <w:t>). However, sequestration levels remain insufficient to fully counterbalance N</w:t>
      </w:r>
      <w:r w:rsidR="00D656A5" w:rsidRPr="00871CF1">
        <w:rPr>
          <w:color w:val="auto"/>
          <w:vertAlign w:val="subscript"/>
        </w:rPr>
        <w:t>2</w:t>
      </w:r>
      <w:r w:rsidR="00D656A5" w:rsidRPr="00871CF1">
        <w:rPr>
          <w:color w:val="auto"/>
        </w:rPr>
        <w:t>O emissions and CO</w:t>
      </w:r>
      <w:r w:rsidR="00D656A5" w:rsidRPr="00871CF1">
        <w:rPr>
          <w:color w:val="auto"/>
          <w:vertAlign w:val="subscript"/>
        </w:rPr>
        <w:t>2</w:t>
      </w:r>
      <w:r w:rsidR="00D656A5" w:rsidRPr="00871CF1">
        <w:rPr>
          <w:color w:val="auto"/>
        </w:rPr>
        <w:t xml:space="preserve"> released from fertilizer synthesis</w:t>
      </w:r>
      <w:r w:rsidR="00D778B0" w:rsidRPr="00871CF1">
        <w:rPr>
          <w:color w:val="auto"/>
        </w:rPr>
        <w:t xml:space="preserve"> (Fig. 5)</w:t>
      </w:r>
      <w:r w:rsidR="00D656A5" w:rsidRPr="00871CF1">
        <w:rPr>
          <w:color w:val="auto"/>
        </w:rPr>
        <w:t>.</w:t>
      </w:r>
      <w:r w:rsidR="001B2155" w:rsidRPr="00871CF1">
        <w:rPr>
          <w:color w:val="auto"/>
        </w:rPr>
        <w:t xml:space="preserve"> Using either GWP* either GWP as metrics do not change the hierarchy between scenarios in terms of GHG budget (Fig. 5 and A1</w:t>
      </w:r>
      <w:r w:rsidR="003A1D63" w:rsidRPr="00871CF1">
        <w:rPr>
          <w:color w:val="auto"/>
        </w:rPr>
        <w:t>3</w:t>
      </w:r>
      <w:r w:rsidR="001B2155" w:rsidRPr="00871CF1">
        <w:rPr>
          <w:color w:val="auto"/>
        </w:rPr>
        <w:t>).</w:t>
      </w:r>
      <w:r w:rsidR="00F10786" w:rsidRPr="00871CF1">
        <w:rPr>
          <w:color w:val="auto"/>
        </w:rPr>
        <w:t xml:space="preserve"> </w:t>
      </w:r>
      <w:r w:rsidR="008678EB" w:rsidRPr="00871CF1">
        <w:rPr>
          <w:color w:val="auto"/>
        </w:rPr>
        <w:t xml:space="preserve">The </w:t>
      </w:r>
      <w:r w:rsidR="00FC57A3" w:rsidRPr="00871CF1">
        <w:rPr>
          <w:color w:val="auto"/>
        </w:rPr>
        <w:t>LMM</w:t>
      </w:r>
      <w:r w:rsidR="008678EB" w:rsidRPr="00871CF1">
        <w:rPr>
          <w:color w:val="auto"/>
        </w:rPr>
        <w:t xml:space="preserve"> applied to non-SOC </w:t>
      </w:r>
      <w:r w:rsidR="004F3C27" w:rsidRPr="00871CF1">
        <w:rPr>
          <w:color w:val="auto"/>
        </w:rPr>
        <w:t>GHG emissions</w:t>
      </w:r>
      <w:r w:rsidR="008678EB" w:rsidRPr="00871CF1">
        <w:rPr>
          <w:color w:val="auto"/>
        </w:rPr>
        <w:t xml:space="preserve"> </w:t>
      </w:r>
      <w:r w:rsidR="00AD193A" w:rsidRPr="00871CF1">
        <w:rPr>
          <w:color w:val="auto"/>
        </w:rPr>
        <w:t>confirms</w:t>
      </w:r>
      <w:r w:rsidR="008678EB" w:rsidRPr="00871CF1">
        <w:rPr>
          <w:color w:val="auto"/>
        </w:rPr>
        <w:t xml:space="preserve"> that crop rotation composition exerts a stronger influence on emission reductions than fertilization intensity. In addition, higher initial </w:t>
      </w:r>
      <w:r w:rsidR="00B34834" w:rsidRPr="00871CF1">
        <w:rPr>
          <w:color w:val="auto"/>
        </w:rPr>
        <w:t>SOC</w:t>
      </w:r>
      <w:r w:rsidR="008678EB" w:rsidRPr="00871CF1">
        <w:rPr>
          <w:color w:val="auto"/>
        </w:rPr>
        <w:t xml:space="preserve"> stocks are associated with increased non-</w:t>
      </w:r>
      <w:r w:rsidR="00212E2E" w:rsidRPr="00871CF1">
        <w:rPr>
          <w:color w:val="auto"/>
        </w:rPr>
        <w:t>SOC</w:t>
      </w:r>
      <w:r w:rsidR="008678EB" w:rsidRPr="00871CF1">
        <w:rPr>
          <w:color w:val="auto"/>
        </w:rPr>
        <w:t xml:space="preserve"> GHG emissions</w:t>
      </w:r>
      <w:r w:rsidR="00555D3C" w:rsidRPr="00871CF1">
        <w:rPr>
          <w:color w:val="auto"/>
        </w:rPr>
        <w:t>, and random effects indicate substantial between-UID variability relative to residual variance</w:t>
      </w:r>
      <w:r w:rsidR="00A932CD" w:rsidRPr="00871CF1">
        <w:rPr>
          <w:color w:val="auto"/>
        </w:rPr>
        <w:t xml:space="preserve"> (Table A</w:t>
      </w:r>
      <w:r w:rsidR="00D56D28" w:rsidRPr="00871CF1">
        <w:rPr>
          <w:color w:val="auto"/>
        </w:rPr>
        <w:t>10</w:t>
      </w:r>
      <w:r w:rsidR="00A932CD" w:rsidRPr="00871CF1">
        <w:rPr>
          <w:color w:val="auto"/>
        </w:rPr>
        <w:t>)</w:t>
      </w:r>
      <w:r w:rsidR="008678EB" w:rsidRPr="00871CF1">
        <w:rPr>
          <w:color w:val="auto"/>
        </w:rPr>
        <w:t>.</w:t>
      </w:r>
      <w:r w:rsidR="00E15BA6" w:rsidRPr="00871CF1">
        <w:rPr>
          <w:color w:val="auto"/>
        </w:rPr>
        <w:t xml:space="preserve"> </w:t>
      </w:r>
    </w:p>
    <w:p w14:paraId="43FF53E6" w14:textId="474E07B1" w:rsidR="003D60BA" w:rsidRPr="00871CF1" w:rsidRDefault="00041BD7" w:rsidP="00A576B8">
      <w:pPr>
        <w:pStyle w:val="PubliManuscript"/>
        <w:ind w:firstLine="0"/>
        <w:jc w:val="left"/>
        <w:rPr>
          <w:color w:val="auto"/>
        </w:rPr>
      </w:pPr>
      <w:r w:rsidRPr="00871CF1">
        <w:rPr>
          <w:noProof/>
          <w:color w:val="auto"/>
          <w14:ligatures w14:val="standardContextual"/>
        </w:rPr>
        <w:drawing>
          <wp:inline distT="0" distB="0" distL="0" distR="0" wp14:anchorId="2B2B7EE8" wp14:editId="6D9F0EAC">
            <wp:extent cx="5760482" cy="4848858"/>
            <wp:effectExtent l="0" t="0" r="0" b="0"/>
            <wp:docPr id="13547165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16510"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482" cy="4848858"/>
                    </a:xfrm>
                    <a:prstGeom prst="rect">
                      <a:avLst/>
                    </a:prstGeom>
                  </pic:spPr>
                </pic:pic>
              </a:graphicData>
            </a:graphic>
          </wp:inline>
        </w:drawing>
      </w:r>
    </w:p>
    <w:p w14:paraId="2A778780" w14:textId="06DF0B2B" w:rsidR="00276D35" w:rsidRPr="00871CF1" w:rsidRDefault="00276D35" w:rsidP="00276D35">
      <w:pPr>
        <w:jc w:val="both"/>
        <w:rPr>
          <w:rFonts w:ascii="Times New Roman" w:hAnsi="Times New Roman"/>
          <w:b/>
          <w:bCs/>
          <w:color w:val="auto"/>
          <w:szCs w:val="22"/>
        </w:rPr>
      </w:pPr>
      <w:r w:rsidRPr="00871CF1">
        <w:rPr>
          <w:rFonts w:ascii="Times New Roman" w:hAnsi="Times New Roman"/>
          <w:b/>
          <w:bCs/>
          <w:color w:val="auto"/>
          <w:szCs w:val="22"/>
        </w:rPr>
        <w:lastRenderedPageBreak/>
        <w:t xml:space="preserve">Figure </w:t>
      </w:r>
      <w:r w:rsidR="00B83305" w:rsidRPr="00871CF1">
        <w:rPr>
          <w:rFonts w:ascii="Times New Roman" w:hAnsi="Times New Roman"/>
          <w:b/>
          <w:bCs/>
          <w:color w:val="auto"/>
          <w:szCs w:val="22"/>
        </w:rPr>
        <w:t>5</w:t>
      </w:r>
      <w:r w:rsidRPr="00871CF1">
        <w:rPr>
          <w:rFonts w:ascii="Times New Roman" w:hAnsi="Times New Roman"/>
          <w:b/>
          <w:bCs/>
          <w:color w:val="auto"/>
          <w:szCs w:val="22"/>
        </w:rPr>
        <w:t>.</w:t>
      </w:r>
      <w:r w:rsidR="007F60D1" w:rsidRPr="00871CF1">
        <w:rPr>
          <w:rFonts w:ascii="Times New Roman" w:hAnsi="Times New Roman"/>
          <w:b/>
          <w:bCs/>
          <w:color w:val="auto"/>
          <w:szCs w:val="22"/>
        </w:rPr>
        <w:t xml:space="preserve"> </w:t>
      </w:r>
      <w:bookmarkStart w:id="5" w:name="_Hlk190347712"/>
      <w:r w:rsidR="00094B79" w:rsidRPr="00871CF1">
        <w:rPr>
          <w:rFonts w:ascii="Times New Roman" w:hAnsi="Times New Roman"/>
          <w:b/>
          <w:bCs/>
          <w:color w:val="auto"/>
          <w:szCs w:val="22"/>
        </w:rPr>
        <w:t xml:space="preserve">a) </w:t>
      </w:r>
      <w:r w:rsidR="007F60D1" w:rsidRPr="00871CF1">
        <w:rPr>
          <w:rFonts w:ascii="Times New Roman" w:hAnsi="Times New Roman"/>
          <w:b/>
          <w:bCs/>
          <w:color w:val="auto"/>
          <w:szCs w:val="22"/>
        </w:rPr>
        <w:t>Greenhouse gas (GHG) emissions budget (CO</w:t>
      </w:r>
      <w:r w:rsidR="007F60D1" w:rsidRPr="00871CF1">
        <w:rPr>
          <w:rFonts w:ascii="Times New Roman" w:hAnsi="Times New Roman"/>
          <w:b/>
          <w:bCs/>
          <w:color w:val="auto"/>
          <w:szCs w:val="22"/>
          <w:vertAlign w:val="subscript"/>
        </w:rPr>
        <w:t>2</w:t>
      </w:r>
      <w:r w:rsidR="007F60D1" w:rsidRPr="00871CF1">
        <w:rPr>
          <w:rFonts w:ascii="Times New Roman" w:hAnsi="Times New Roman"/>
          <w:b/>
          <w:bCs/>
          <w:color w:val="auto"/>
          <w:szCs w:val="22"/>
        </w:rPr>
        <w:t>, N</w:t>
      </w:r>
      <w:r w:rsidR="007F60D1" w:rsidRPr="00871CF1">
        <w:rPr>
          <w:rFonts w:ascii="Times New Roman" w:hAnsi="Times New Roman"/>
          <w:b/>
          <w:bCs/>
          <w:color w:val="auto"/>
          <w:szCs w:val="22"/>
          <w:vertAlign w:val="subscript"/>
        </w:rPr>
        <w:t>2</w:t>
      </w:r>
      <w:r w:rsidR="007F60D1" w:rsidRPr="00871CF1">
        <w:rPr>
          <w:rFonts w:ascii="Times New Roman" w:hAnsi="Times New Roman"/>
          <w:b/>
          <w:bCs/>
          <w:color w:val="auto"/>
          <w:szCs w:val="22"/>
        </w:rPr>
        <w:t>O and CH</w:t>
      </w:r>
      <w:r w:rsidR="007F60D1" w:rsidRPr="00871CF1">
        <w:rPr>
          <w:rFonts w:ascii="Times New Roman" w:hAnsi="Times New Roman"/>
          <w:b/>
          <w:bCs/>
          <w:color w:val="auto"/>
          <w:szCs w:val="22"/>
          <w:vertAlign w:val="subscript"/>
        </w:rPr>
        <w:t>4</w:t>
      </w:r>
      <w:r w:rsidR="007F60D1" w:rsidRPr="00871CF1">
        <w:rPr>
          <w:rFonts w:ascii="Times New Roman" w:hAnsi="Times New Roman"/>
          <w:b/>
          <w:bCs/>
          <w:color w:val="auto"/>
          <w:szCs w:val="22"/>
        </w:rPr>
        <w:t>; Mg CO</w:t>
      </w:r>
      <w:r w:rsidR="007F60D1" w:rsidRPr="00871CF1">
        <w:rPr>
          <w:rFonts w:ascii="Times New Roman" w:hAnsi="Times New Roman"/>
          <w:b/>
          <w:bCs/>
          <w:color w:val="auto"/>
          <w:szCs w:val="22"/>
          <w:vertAlign w:val="subscript"/>
        </w:rPr>
        <w:t>2</w:t>
      </w:r>
      <w:r w:rsidR="007F60D1" w:rsidRPr="00871CF1">
        <w:rPr>
          <w:rFonts w:ascii="Times New Roman" w:hAnsi="Times New Roman"/>
          <w:b/>
          <w:bCs/>
          <w:color w:val="auto"/>
          <w:szCs w:val="22"/>
        </w:rPr>
        <w:t>-eq ha</w:t>
      </w:r>
      <w:r w:rsidR="007F60D1" w:rsidRPr="00871CF1">
        <w:rPr>
          <w:rFonts w:ascii="Times New Roman" w:hAnsi="Times New Roman"/>
          <w:b/>
          <w:bCs/>
          <w:color w:val="auto"/>
          <w:szCs w:val="22"/>
          <w:vertAlign w:val="superscript"/>
        </w:rPr>
        <w:t>-1</w:t>
      </w:r>
      <w:r w:rsidR="007F60D1" w:rsidRPr="00871CF1">
        <w:rPr>
          <w:rFonts w:ascii="Times New Roman" w:hAnsi="Times New Roman"/>
          <w:b/>
          <w:bCs/>
          <w:color w:val="auto"/>
          <w:szCs w:val="22"/>
        </w:rPr>
        <w:t xml:space="preserve"> year</w:t>
      </w:r>
      <w:r w:rsidR="007F60D1" w:rsidRPr="00871CF1">
        <w:rPr>
          <w:rFonts w:ascii="Times New Roman" w:hAnsi="Times New Roman"/>
          <w:b/>
          <w:bCs/>
          <w:color w:val="auto"/>
          <w:szCs w:val="22"/>
          <w:vertAlign w:val="superscript"/>
        </w:rPr>
        <w:t>-1</w:t>
      </w:r>
      <w:r w:rsidR="007F60D1" w:rsidRPr="00871CF1">
        <w:rPr>
          <w:rFonts w:ascii="Times New Roman" w:hAnsi="Times New Roman"/>
          <w:b/>
          <w:bCs/>
          <w:color w:val="auto"/>
          <w:szCs w:val="22"/>
        </w:rPr>
        <w:t>)</w:t>
      </w:r>
      <w:r w:rsidR="00C70644" w:rsidRPr="00871CF1">
        <w:rPr>
          <w:rFonts w:ascii="Times New Roman" w:hAnsi="Times New Roman"/>
          <w:b/>
          <w:bCs/>
          <w:color w:val="auto"/>
          <w:szCs w:val="22"/>
        </w:rPr>
        <w:t xml:space="preserve"> averaged across Wallonia</w:t>
      </w:r>
      <w:r w:rsidR="007F60D1" w:rsidRPr="00871CF1">
        <w:rPr>
          <w:rFonts w:ascii="Times New Roman" w:hAnsi="Times New Roman"/>
          <w:b/>
          <w:bCs/>
          <w:color w:val="auto"/>
          <w:szCs w:val="22"/>
        </w:rPr>
        <w:t xml:space="preserve">. Black points show net GHG budget of each scenario (sum of positive and negative emissions contributions). </w:t>
      </w:r>
      <w:r w:rsidR="00094B79" w:rsidRPr="00871CF1">
        <w:rPr>
          <w:rFonts w:ascii="Times New Roman" w:hAnsi="Times New Roman"/>
          <w:b/>
          <w:bCs/>
          <w:color w:val="auto"/>
          <w:szCs w:val="22"/>
        </w:rPr>
        <w:t>b</w:t>
      </w:r>
      <w:r w:rsidR="00184AC6" w:rsidRPr="00871CF1">
        <w:rPr>
          <w:rFonts w:ascii="Times New Roman" w:hAnsi="Times New Roman"/>
          <w:b/>
          <w:bCs/>
          <w:color w:val="auto"/>
          <w:szCs w:val="22"/>
        </w:rPr>
        <w:t xml:space="preserve"> and c</w:t>
      </w:r>
      <w:r w:rsidR="00094B79" w:rsidRPr="00871CF1">
        <w:rPr>
          <w:rFonts w:ascii="Times New Roman" w:hAnsi="Times New Roman"/>
          <w:b/>
          <w:bCs/>
          <w:color w:val="auto"/>
          <w:szCs w:val="22"/>
        </w:rPr>
        <w:t xml:space="preserve">) </w:t>
      </w:r>
      <w:r w:rsidR="00C432C6" w:rsidRPr="00871CF1">
        <w:rPr>
          <w:rFonts w:ascii="Times New Roman" w:hAnsi="Times New Roman"/>
          <w:b/>
          <w:bCs/>
          <w:color w:val="auto"/>
          <w:szCs w:val="22"/>
        </w:rPr>
        <w:t>GHG</w:t>
      </w:r>
      <w:r w:rsidR="00094B79" w:rsidRPr="00871CF1">
        <w:rPr>
          <w:rFonts w:ascii="Times New Roman" w:hAnsi="Times New Roman"/>
          <w:b/>
          <w:bCs/>
          <w:color w:val="auto"/>
          <w:szCs w:val="22"/>
        </w:rPr>
        <w:t xml:space="preserve"> emissions budget for the BAU</w:t>
      </w:r>
      <w:r w:rsidR="00EB5BB2" w:rsidRPr="00871CF1">
        <w:rPr>
          <w:rFonts w:ascii="Times New Roman" w:hAnsi="Times New Roman"/>
          <w:b/>
          <w:bCs/>
          <w:color w:val="auto"/>
          <w:szCs w:val="22"/>
        </w:rPr>
        <w:t xml:space="preserve"> (Fig. 5b)</w:t>
      </w:r>
      <w:r w:rsidR="00094B79" w:rsidRPr="00871CF1">
        <w:rPr>
          <w:rFonts w:ascii="Times New Roman" w:hAnsi="Times New Roman"/>
          <w:b/>
          <w:bCs/>
          <w:color w:val="auto"/>
          <w:szCs w:val="22"/>
        </w:rPr>
        <w:t xml:space="preserve"> and MOW</w:t>
      </w:r>
      <w:r w:rsidR="005D29DB" w:rsidRPr="00871CF1">
        <w:rPr>
          <w:rFonts w:ascii="Times New Roman" w:hAnsi="Times New Roman"/>
          <w:b/>
          <w:bCs/>
          <w:color w:val="auto"/>
          <w:szCs w:val="22"/>
        </w:rPr>
        <w:t>-RF</w:t>
      </w:r>
      <w:r w:rsidR="00EB5BB2" w:rsidRPr="00871CF1">
        <w:rPr>
          <w:rFonts w:ascii="Times New Roman" w:hAnsi="Times New Roman"/>
          <w:b/>
          <w:bCs/>
          <w:color w:val="auto"/>
          <w:szCs w:val="22"/>
        </w:rPr>
        <w:t xml:space="preserve"> (Fig. 5c)</w:t>
      </w:r>
      <w:r w:rsidR="00094B79" w:rsidRPr="00871CF1">
        <w:rPr>
          <w:rFonts w:ascii="Times New Roman" w:hAnsi="Times New Roman"/>
          <w:b/>
          <w:bCs/>
          <w:color w:val="auto"/>
          <w:szCs w:val="22"/>
        </w:rPr>
        <w:t xml:space="preserve"> scenarios in Wallonia.</w:t>
      </w:r>
      <w:r w:rsidR="00A01A8A" w:rsidRPr="00871CF1">
        <w:rPr>
          <w:rFonts w:ascii="Times New Roman" w:hAnsi="Times New Roman"/>
          <w:b/>
          <w:bCs/>
          <w:color w:val="auto"/>
          <w:szCs w:val="22"/>
        </w:rPr>
        <w:t xml:space="preserve"> Maps for other scenarios are in Fig. A1</w:t>
      </w:r>
      <w:r w:rsidR="00F401CB" w:rsidRPr="00871CF1">
        <w:rPr>
          <w:rFonts w:ascii="Times New Roman" w:hAnsi="Times New Roman"/>
          <w:b/>
          <w:bCs/>
          <w:color w:val="auto"/>
          <w:szCs w:val="22"/>
        </w:rPr>
        <w:t>1</w:t>
      </w:r>
      <w:r w:rsidR="00A01A8A" w:rsidRPr="00871CF1">
        <w:rPr>
          <w:rFonts w:ascii="Times New Roman" w:hAnsi="Times New Roman"/>
          <w:b/>
          <w:bCs/>
          <w:color w:val="auto"/>
          <w:szCs w:val="22"/>
        </w:rPr>
        <w:t>.</w:t>
      </w:r>
      <w:r w:rsidR="00305C1C" w:rsidRPr="00871CF1">
        <w:rPr>
          <w:rFonts w:ascii="Times New Roman" w:hAnsi="Times New Roman"/>
          <w:b/>
          <w:bCs/>
          <w:color w:val="auto"/>
          <w:szCs w:val="22"/>
        </w:rPr>
        <w:t xml:space="preserve"> </w:t>
      </w:r>
      <w:r w:rsidR="007F60D1" w:rsidRPr="00871CF1">
        <w:rPr>
          <w:rFonts w:ascii="Times New Roman" w:hAnsi="Times New Roman"/>
          <w:b/>
          <w:bCs/>
          <w:color w:val="auto"/>
          <w:szCs w:val="22"/>
        </w:rPr>
        <w:t xml:space="preserve">Global warming potential of GHG is computed as GWP* (Smith et al., 2021; Table </w:t>
      </w:r>
      <w:r w:rsidR="001C2462" w:rsidRPr="00871CF1">
        <w:rPr>
          <w:rFonts w:ascii="Times New Roman" w:hAnsi="Times New Roman"/>
          <w:b/>
          <w:bCs/>
          <w:color w:val="auto"/>
          <w:szCs w:val="22"/>
        </w:rPr>
        <w:t>A3</w:t>
      </w:r>
      <w:r w:rsidR="007F60D1" w:rsidRPr="00871CF1">
        <w:rPr>
          <w:rFonts w:ascii="Times New Roman" w:hAnsi="Times New Roman"/>
          <w:b/>
          <w:bCs/>
          <w:color w:val="auto"/>
          <w:szCs w:val="22"/>
        </w:rPr>
        <w:t>).</w:t>
      </w:r>
      <w:r w:rsidR="00154EA7" w:rsidRPr="00871CF1">
        <w:rPr>
          <w:rFonts w:ascii="Times New Roman" w:hAnsi="Times New Roman"/>
          <w:b/>
          <w:bCs/>
          <w:color w:val="auto"/>
          <w:szCs w:val="22"/>
        </w:rPr>
        <w:t xml:space="preserve"> </w:t>
      </w:r>
      <w:bookmarkStart w:id="6" w:name="_Hlk227329947"/>
      <w:r w:rsidR="009B2D8B" w:rsidRPr="00871CF1">
        <w:rPr>
          <w:rFonts w:ascii="Times New Roman" w:hAnsi="Times New Roman"/>
          <w:b/>
          <w:bCs/>
          <w:color w:val="auto"/>
          <w:szCs w:val="22"/>
        </w:rPr>
        <w:t>Black lines indicate provincial boundaries (NUTS-2 level).</w:t>
      </w:r>
      <w:bookmarkEnd w:id="6"/>
    </w:p>
    <w:bookmarkEnd w:id="5"/>
    <w:p w14:paraId="41C26899" w14:textId="14B6D3D6" w:rsidR="00D1227B" w:rsidRPr="00871CF1" w:rsidRDefault="00D1227B" w:rsidP="00C9400C">
      <w:pPr>
        <w:pStyle w:val="PubliManuscript"/>
        <w:rPr>
          <w:color w:val="auto"/>
        </w:rPr>
      </w:pPr>
      <w:r w:rsidRPr="00871CF1">
        <w:rPr>
          <w:color w:val="auto"/>
        </w:rPr>
        <w:t>The key performance metrics of each management scenario are summarized in Fig. 6. Activating various agroecological levers generally reduces economic productivity but enhances its stability while also lowering the net GHG budget and nitrate leaching.</w:t>
      </w:r>
    </w:p>
    <w:p w14:paraId="6A4E8529" w14:textId="7B95FF52" w:rsidR="00374B4F" w:rsidRPr="00871CF1" w:rsidRDefault="00223B8A" w:rsidP="00D1227B">
      <w:pPr>
        <w:pStyle w:val="PubliManuscript"/>
        <w:ind w:firstLine="0"/>
        <w:rPr>
          <w:color w:val="auto"/>
        </w:rPr>
      </w:pPr>
      <w:r w:rsidRPr="00871CF1">
        <w:rPr>
          <w:noProof/>
          <w:color w:val="auto"/>
          <w14:ligatures w14:val="standardContextual"/>
        </w:rPr>
        <w:drawing>
          <wp:inline distT="0" distB="0" distL="0" distR="0" wp14:anchorId="4470F90E" wp14:editId="7B8C053A">
            <wp:extent cx="5760027" cy="3602354"/>
            <wp:effectExtent l="0" t="0" r="0" b="0"/>
            <wp:docPr id="627627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703"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27" cy="3602354"/>
                    </a:xfrm>
                    <a:prstGeom prst="rect">
                      <a:avLst/>
                    </a:prstGeom>
                  </pic:spPr>
                </pic:pic>
              </a:graphicData>
            </a:graphic>
          </wp:inline>
        </w:drawing>
      </w:r>
    </w:p>
    <w:p w14:paraId="178FD6EA" w14:textId="7DFCDF4B" w:rsidR="0061413E" w:rsidRPr="00871CF1" w:rsidRDefault="0061413E" w:rsidP="0061413E">
      <w:pPr>
        <w:jc w:val="both"/>
        <w:rPr>
          <w:rFonts w:ascii="Times New Roman" w:hAnsi="Times New Roman"/>
          <w:b/>
          <w:bCs/>
          <w:color w:val="auto"/>
          <w:szCs w:val="22"/>
        </w:rPr>
      </w:pPr>
      <w:r w:rsidRPr="00871CF1">
        <w:rPr>
          <w:rFonts w:ascii="Times New Roman" w:hAnsi="Times New Roman"/>
          <w:b/>
          <w:bCs/>
          <w:color w:val="auto"/>
          <w:szCs w:val="22"/>
        </w:rPr>
        <w:t xml:space="preserve">Figure </w:t>
      </w:r>
      <w:r w:rsidR="00EA05A1" w:rsidRPr="00871CF1">
        <w:rPr>
          <w:rFonts w:ascii="Times New Roman" w:hAnsi="Times New Roman"/>
          <w:b/>
          <w:bCs/>
          <w:color w:val="auto"/>
          <w:szCs w:val="22"/>
        </w:rPr>
        <w:t>6</w:t>
      </w:r>
      <w:r w:rsidRPr="00871CF1">
        <w:rPr>
          <w:rFonts w:ascii="Times New Roman" w:hAnsi="Times New Roman"/>
          <w:b/>
          <w:bCs/>
          <w:color w:val="auto"/>
          <w:szCs w:val="22"/>
        </w:rPr>
        <w:t>.</w:t>
      </w:r>
      <w:r w:rsidR="00D60424" w:rsidRPr="00871CF1">
        <w:rPr>
          <w:rFonts w:ascii="Times New Roman" w:hAnsi="Times New Roman"/>
          <w:b/>
          <w:bCs/>
          <w:color w:val="auto"/>
          <w:szCs w:val="22"/>
        </w:rPr>
        <w:t xml:space="preserve"> </w:t>
      </w:r>
      <w:r w:rsidR="00C70644" w:rsidRPr="00871CF1">
        <w:rPr>
          <w:rFonts w:ascii="Times New Roman" w:hAnsi="Times New Roman"/>
          <w:b/>
          <w:bCs/>
          <w:color w:val="auto"/>
          <w:szCs w:val="22"/>
        </w:rPr>
        <w:t>Overview of the performance of the management scenarios relating to (</w:t>
      </w:r>
      <w:proofErr w:type="spellStart"/>
      <w:r w:rsidR="00C70644" w:rsidRPr="00871CF1">
        <w:rPr>
          <w:rFonts w:ascii="Times New Roman" w:hAnsi="Times New Roman"/>
          <w:b/>
          <w:bCs/>
          <w:i/>
          <w:iCs/>
          <w:color w:val="auto"/>
          <w:szCs w:val="22"/>
        </w:rPr>
        <w:t>i</w:t>
      </w:r>
      <w:proofErr w:type="spellEnd"/>
      <w:r w:rsidR="00C70644" w:rsidRPr="00871CF1">
        <w:rPr>
          <w:rFonts w:ascii="Times New Roman" w:hAnsi="Times New Roman"/>
          <w:b/>
          <w:bCs/>
          <w:color w:val="auto"/>
          <w:szCs w:val="22"/>
        </w:rPr>
        <w:t>) economic productivity (</w:t>
      </w:r>
      <w:r w:rsidR="00C70644" w:rsidRPr="00871CF1">
        <w:rPr>
          <w:rFonts w:ascii="Times New Roman" w:hAnsi="Times New Roman"/>
          <w:b/>
          <w:bCs/>
          <w:i/>
          <w:iCs/>
          <w:color w:val="auto"/>
          <w:szCs w:val="22"/>
        </w:rPr>
        <w:t>x</w:t>
      </w:r>
      <w:r w:rsidR="00C70644" w:rsidRPr="00871CF1">
        <w:rPr>
          <w:rFonts w:ascii="Times New Roman" w:hAnsi="Times New Roman"/>
          <w:b/>
          <w:bCs/>
          <w:color w:val="auto"/>
          <w:szCs w:val="22"/>
        </w:rPr>
        <w:t>-axis), (</w:t>
      </w:r>
      <w:r w:rsidR="00C70644" w:rsidRPr="00871CF1">
        <w:rPr>
          <w:rFonts w:ascii="Times New Roman" w:hAnsi="Times New Roman"/>
          <w:b/>
          <w:bCs/>
          <w:i/>
          <w:iCs/>
          <w:color w:val="auto"/>
          <w:szCs w:val="22"/>
        </w:rPr>
        <w:t>ii</w:t>
      </w:r>
      <w:r w:rsidR="00C70644" w:rsidRPr="00871CF1">
        <w:rPr>
          <w:rFonts w:ascii="Times New Roman" w:hAnsi="Times New Roman"/>
          <w:b/>
          <w:bCs/>
          <w:color w:val="auto"/>
          <w:szCs w:val="22"/>
        </w:rPr>
        <w:t>) greenhouse gas (GHG) budget, i.e. the sum of positive and negative emissions contributions (</w:t>
      </w:r>
      <w:r w:rsidR="00C70644" w:rsidRPr="00871CF1">
        <w:rPr>
          <w:rFonts w:ascii="Times New Roman" w:hAnsi="Times New Roman"/>
          <w:b/>
          <w:bCs/>
          <w:i/>
          <w:iCs/>
          <w:color w:val="auto"/>
          <w:szCs w:val="22"/>
        </w:rPr>
        <w:t>y</w:t>
      </w:r>
      <w:r w:rsidR="00C70644" w:rsidRPr="00871CF1">
        <w:rPr>
          <w:rFonts w:ascii="Times New Roman" w:hAnsi="Times New Roman"/>
          <w:b/>
          <w:bCs/>
          <w:color w:val="auto"/>
          <w:szCs w:val="22"/>
        </w:rPr>
        <w:t>-axis)</w:t>
      </w:r>
      <w:r w:rsidR="009E39D3" w:rsidRPr="00871CF1">
        <w:rPr>
          <w:rFonts w:ascii="Times New Roman" w:hAnsi="Times New Roman"/>
          <w:b/>
          <w:bCs/>
          <w:color w:val="auto"/>
          <w:szCs w:val="22"/>
        </w:rPr>
        <w:t>, (</w:t>
      </w:r>
      <w:r w:rsidR="009E39D3" w:rsidRPr="00871CF1">
        <w:rPr>
          <w:rFonts w:ascii="Times New Roman" w:hAnsi="Times New Roman"/>
          <w:b/>
          <w:bCs/>
          <w:i/>
          <w:iCs/>
          <w:color w:val="auto"/>
          <w:szCs w:val="22"/>
        </w:rPr>
        <w:t>iii</w:t>
      </w:r>
      <w:r w:rsidR="009E39D3" w:rsidRPr="00871CF1">
        <w:rPr>
          <w:rFonts w:ascii="Times New Roman" w:hAnsi="Times New Roman"/>
          <w:b/>
          <w:bCs/>
          <w:color w:val="auto"/>
          <w:szCs w:val="22"/>
        </w:rPr>
        <w:t xml:space="preserve">) stability of the economic productivity </w:t>
      </w:r>
      <w:r w:rsidR="009E39D3" w:rsidRPr="00871CF1">
        <w:rPr>
          <w:rFonts w:ascii="Times New Roman" w:hAnsi="Times New Roman"/>
          <w:b/>
          <w:bCs/>
          <w:color w:val="auto"/>
        </w:rPr>
        <w:t>(</w:t>
      </w:r>
      <m:oMath>
        <m:f>
          <m:fPr>
            <m:ctrlPr>
              <w:rPr>
                <w:rFonts w:ascii="Cambria Math" w:hAnsi="Cambria Math"/>
                <w:color w:val="auto"/>
              </w:rPr>
            </m:ctrlPr>
          </m:fPr>
          <m:num>
            <m:r>
              <w:rPr>
                <w:rFonts w:ascii="Cambria Math" w:hAnsi="Cambria Math"/>
                <w:color w:val="auto"/>
              </w:rPr>
              <m:t>μ</m:t>
            </m:r>
          </m:num>
          <m:den>
            <m:r>
              <w:rPr>
                <w:rFonts w:ascii="Cambria Math" w:hAnsi="Cambria Math"/>
                <w:color w:val="auto"/>
              </w:rPr>
              <m:t>σ</m:t>
            </m:r>
          </m:den>
        </m:f>
      </m:oMath>
      <w:r w:rsidR="009E39D3" w:rsidRPr="00871CF1">
        <w:rPr>
          <w:rFonts w:ascii="Times New Roman" w:hAnsi="Times New Roman"/>
          <w:b/>
          <w:bCs/>
          <w:color w:val="auto"/>
        </w:rPr>
        <w:t>, dimensionless), as the ratio of the mean productivity of a single crop rotation to its standard deviation over the 24-year simulation period</w:t>
      </w:r>
      <w:r w:rsidR="002312A7" w:rsidRPr="00871CF1">
        <w:rPr>
          <w:rFonts w:ascii="Times New Roman" w:hAnsi="Times New Roman"/>
          <w:b/>
          <w:bCs/>
          <w:color w:val="auto"/>
        </w:rPr>
        <w:t xml:space="preserve"> (point size), and (</w:t>
      </w:r>
      <w:r w:rsidR="002312A7" w:rsidRPr="00871CF1">
        <w:rPr>
          <w:rFonts w:ascii="Times New Roman" w:hAnsi="Times New Roman"/>
          <w:b/>
          <w:bCs/>
          <w:i/>
          <w:iCs/>
          <w:color w:val="auto"/>
        </w:rPr>
        <w:t>iv</w:t>
      </w:r>
      <w:r w:rsidR="002312A7" w:rsidRPr="00871CF1">
        <w:rPr>
          <w:rFonts w:ascii="Times New Roman" w:hAnsi="Times New Roman"/>
          <w:b/>
          <w:bCs/>
          <w:color w:val="auto"/>
        </w:rPr>
        <w:t>) nitrate leaching (point color). All metrics are averaged over Wallonia.</w:t>
      </w:r>
    </w:p>
    <w:p w14:paraId="751F77E9" w14:textId="4C0B7EF2" w:rsidR="00F54BE7" w:rsidRPr="00871CF1" w:rsidRDefault="003273DD" w:rsidP="00421DCE">
      <w:pPr>
        <w:pStyle w:val="Publi1"/>
      </w:pPr>
      <w:r w:rsidRPr="00871CF1">
        <w:t xml:space="preserve"> </w:t>
      </w:r>
      <w:r w:rsidR="00BC61AE" w:rsidRPr="00871CF1">
        <w:t>Discussion</w:t>
      </w:r>
    </w:p>
    <w:p w14:paraId="476C3E6B" w14:textId="667105DA" w:rsidR="008E629E" w:rsidRPr="00871CF1" w:rsidRDefault="008E629E" w:rsidP="008E629E">
      <w:pPr>
        <w:pStyle w:val="PubliManuscript"/>
        <w:rPr>
          <w:color w:val="auto"/>
        </w:rPr>
      </w:pPr>
      <w:r w:rsidRPr="00871CF1">
        <w:rPr>
          <w:color w:val="auto"/>
        </w:rPr>
        <w:t>First, our simulations under historical climate conditions align well with observed trends in Wallonia for crop yields (</w:t>
      </w:r>
      <w:r w:rsidR="001502D7" w:rsidRPr="00871CF1">
        <w:rPr>
          <w:color w:val="auto"/>
        </w:rPr>
        <w:t>Table A4</w:t>
      </w:r>
      <w:r w:rsidRPr="00871CF1">
        <w:rPr>
          <w:color w:val="auto"/>
        </w:rPr>
        <w:t xml:space="preserve">), as well as </w:t>
      </w:r>
      <w:r w:rsidR="00E10280" w:rsidRPr="00871CF1">
        <w:rPr>
          <w:color w:val="auto"/>
        </w:rPr>
        <w:t>SOC</w:t>
      </w:r>
      <w:r w:rsidRPr="00871CF1">
        <w:rPr>
          <w:color w:val="auto"/>
        </w:rPr>
        <w:t xml:space="preserve"> </w:t>
      </w:r>
      <w:r w:rsidR="003714ED" w:rsidRPr="00871CF1">
        <w:rPr>
          <w:color w:val="auto"/>
        </w:rPr>
        <w:t>change</w:t>
      </w:r>
      <w:r w:rsidRPr="00871CF1">
        <w:rPr>
          <w:color w:val="auto"/>
        </w:rPr>
        <w:t>, nitrate leaching, and nitrous oxide emissions (</w:t>
      </w:r>
      <w:r w:rsidR="001502D7" w:rsidRPr="00871CF1">
        <w:rPr>
          <w:color w:val="auto"/>
        </w:rPr>
        <w:t>Table A5</w:t>
      </w:r>
      <w:r w:rsidRPr="00871CF1">
        <w:rPr>
          <w:color w:val="auto"/>
        </w:rPr>
        <w:t>).</w:t>
      </w:r>
      <w:r w:rsidR="00293EF8" w:rsidRPr="00871CF1">
        <w:rPr>
          <w:color w:val="auto"/>
        </w:rPr>
        <w:t xml:space="preserve"> This supports the model validation presented in Methods</w:t>
      </w:r>
      <w:r w:rsidR="004B7CD1" w:rsidRPr="00871CF1">
        <w:rPr>
          <w:color w:val="auto"/>
        </w:rPr>
        <w:t xml:space="preserve">, reinforcing the </w:t>
      </w:r>
      <w:r w:rsidR="004B7CD1" w:rsidRPr="00871CF1">
        <w:rPr>
          <w:color w:val="auto"/>
        </w:rPr>
        <w:lastRenderedPageBreak/>
        <w:t>confidence in the model.</w:t>
      </w:r>
    </w:p>
    <w:p w14:paraId="77104141" w14:textId="05201C1F" w:rsidR="00AE1A7F" w:rsidRPr="00871CF1" w:rsidRDefault="00476E3E" w:rsidP="005D5129">
      <w:pPr>
        <w:pStyle w:val="Publi2"/>
        <w:jc w:val="both"/>
        <w:rPr>
          <w:color w:val="auto"/>
        </w:rPr>
      </w:pPr>
      <w:r w:rsidRPr="00871CF1">
        <w:rPr>
          <w:color w:val="auto"/>
        </w:rPr>
        <w:t xml:space="preserve"> </w:t>
      </w:r>
      <w:r w:rsidR="00AE1A7F" w:rsidRPr="00871CF1">
        <w:rPr>
          <w:color w:val="auto"/>
        </w:rPr>
        <w:t>Alternative management enhances environmental performance</w:t>
      </w:r>
      <w:r w:rsidR="00614DD8" w:rsidRPr="00871CF1">
        <w:rPr>
          <w:color w:val="auto"/>
        </w:rPr>
        <w:t xml:space="preserve"> </w:t>
      </w:r>
      <w:r w:rsidR="005D5129" w:rsidRPr="00871CF1">
        <w:rPr>
          <w:color w:val="auto"/>
        </w:rPr>
        <w:t>and</w:t>
      </w:r>
      <w:r w:rsidR="00614DD8" w:rsidRPr="00871CF1">
        <w:rPr>
          <w:color w:val="auto"/>
        </w:rPr>
        <w:t xml:space="preserve"> productivity stability</w:t>
      </w:r>
    </w:p>
    <w:p w14:paraId="4B9A2427" w14:textId="2F1295F9" w:rsidR="00AE1A7F" w:rsidRPr="00871CF1" w:rsidRDefault="006C3272" w:rsidP="00AE1A7F">
      <w:pPr>
        <w:pStyle w:val="PubliManuscript"/>
        <w:rPr>
          <w:color w:val="auto"/>
        </w:rPr>
      </w:pPr>
      <w:r w:rsidRPr="00871CF1">
        <w:rPr>
          <w:color w:val="auto"/>
        </w:rPr>
        <w:t>Starting from a conventional and intensive crop rotation, w</w:t>
      </w:r>
      <w:r w:rsidR="003D6CD0" w:rsidRPr="00871CF1">
        <w:rPr>
          <w:color w:val="auto"/>
        </w:rPr>
        <w:t xml:space="preserve">e </w:t>
      </w:r>
      <w:r w:rsidR="00D43535" w:rsidRPr="00871CF1">
        <w:rPr>
          <w:color w:val="auto"/>
        </w:rPr>
        <w:t>examined</w:t>
      </w:r>
      <w:r w:rsidR="003D6CD0" w:rsidRPr="00871CF1">
        <w:rPr>
          <w:color w:val="auto"/>
        </w:rPr>
        <w:t xml:space="preserve"> the impacts of</w:t>
      </w:r>
      <w:r w:rsidR="006207B4" w:rsidRPr="00871CF1">
        <w:rPr>
          <w:color w:val="auto"/>
        </w:rPr>
        <w:t xml:space="preserve"> progressively adopting various agroecological levers in </w:t>
      </w:r>
      <w:r w:rsidR="00F3530F" w:rsidRPr="00871CF1">
        <w:rPr>
          <w:color w:val="auto"/>
        </w:rPr>
        <w:t xml:space="preserve">crop rotations. Following </w:t>
      </w:r>
      <w:proofErr w:type="spellStart"/>
      <w:r w:rsidR="00F3530F" w:rsidRPr="00871CF1">
        <w:rPr>
          <w:color w:val="auto"/>
        </w:rPr>
        <w:t>Gliessmann’s</w:t>
      </w:r>
      <w:proofErr w:type="spellEnd"/>
      <w:r w:rsidR="00F3530F" w:rsidRPr="00871CF1">
        <w:rPr>
          <w:color w:val="auto"/>
        </w:rPr>
        <w:t xml:space="preserve"> framework to classify levels of change in food systems</w:t>
      </w:r>
      <w:r w:rsidR="00E34B8A" w:rsidRPr="00871CF1">
        <w:rPr>
          <w:color w:val="auto"/>
        </w:rPr>
        <w:t xml:space="preserve"> (</w:t>
      </w:r>
      <w:proofErr w:type="spellStart"/>
      <w:r w:rsidR="00E34B8A" w:rsidRPr="00871CF1">
        <w:rPr>
          <w:color w:val="auto"/>
        </w:rPr>
        <w:t>Gliessmann</w:t>
      </w:r>
      <w:proofErr w:type="spellEnd"/>
      <w:r w:rsidR="00E34B8A" w:rsidRPr="00871CF1">
        <w:rPr>
          <w:color w:val="auto"/>
        </w:rPr>
        <w:t>,</w:t>
      </w:r>
      <w:r w:rsidR="00C33F02" w:rsidRPr="00871CF1">
        <w:rPr>
          <w:color w:val="auto"/>
        </w:rPr>
        <w:t xml:space="preserve"> 2016)</w:t>
      </w:r>
      <w:r w:rsidR="00F3530F" w:rsidRPr="00871CF1">
        <w:rPr>
          <w:color w:val="auto"/>
        </w:rPr>
        <w:t>, these levers encompass a gradient of changes, going from efficiency improvements – reducing N fertilization</w:t>
      </w:r>
      <w:r w:rsidR="00D43535" w:rsidRPr="00871CF1">
        <w:rPr>
          <w:color w:val="auto"/>
        </w:rPr>
        <w:t>,</w:t>
      </w:r>
      <w:r w:rsidR="00F3530F" w:rsidRPr="00871CF1">
        <w:rPr>
          <w:color w:val="auto"/>
        </w:rPr>
        <w:t xml:space="preserve"> to agroecosystems redesign – increasing crop diversity and integrating </w:t>
      </w:r>
      <w:r w:rsidR="004C5E34" w:rsidRPr="00871CF1">
        <w:rPr>
          <w:color w:val="auto"/>
        </w:rPr>
        <w:t xml:space="preserve">grasslands, </w:t>
      </w:r>
      <w:r w:rsidR="00F3530F" w:rsidRPr="00871CF1">
        <w:rPr>
          <w:color w:val="auto"/>
        </w:rPr>
        <w:t>pastures</w:t>
      </w:r>
      <w:r w:rsidR="00C41460" w:rsidRPr="00871CF1">
        <w:rPr>
          <w:color w:val="auto"/>
        </w:rPr>
        <w:t>,</w:t>
      </w:r>
      <w:r w:rsidR="00F3530F" w:rsidRPr="00871CF1">
        <w:rPr>
          <w:color w:val="auto"/>
        </w:rPr>
        <w:t xml:space="preserve"> and livestock. </w:t>
      </w:r>
      <w:r w:rsidR="00A72FE5" w:rsidRPr="00871CF1">
        <w:rPr>
          <w:color w:val="auto"/>
        </w:rPr>
        <w:t xml:space="preserve">The impacts of these levers were assessed across </w:t>
      </w:r>
      <w:r w:rsidR="00FB5C80" w:rsidRPr="00871CF1">
        <w:rPr>
          <w:color w:val="auto"/>
        </w:rPr>
        <w:t>different</w:t>
      </w:r>
      <w:r w:rsidR="00A72FE5" w:rsidRPr="00871CF1">
        <w:rPr>
          <w:color w:val="auto"/>
        </w:rPr>
        <w:t xml:space="preserve"> provisioning, supporting, and regulating </w:t>
      </w:r>
      <w:r w:rsidR="00F858CC" w:rsidRPr="00871CF1">
        <w:rPr>
          <w:color w:val="auto"/>
        </w:rPr>
        <w:t>ES</w:t>
      </w:r>
      <w:r w:rsidR="00A72FE5" w:rsidRPr="00871CF1">
        <w:rPr>
          <w:color w:val="auto"/>
        </w:rPr>
        <w:t xml:space="preserve"> over 541,800 hectares in </w:t>
      </w:r>
      <w:r w:rsidR="008E7059" w:rsidRPr="00871CF1">
        <w:rPr>
          <w:color w:val="auto"/>
        </w:rPr>
        <w:t>s</w:t>
      </w:r>
      <w:r w:rsidR="00A72FE5" w:rsidRPr="00871CF1">
        <w:rPr>
          <w:color w:val="auto"/>
        </w:rPr>
        <w:t>outhern Belgium.</w:t>
      </w:r>
    </w:p>
    <w:p w14:paraId="5E2533C8" w14:textId="62592010" w:rsidR="00740BFB" w:rsidRPr="00871CF1" w:rsidRDefault="002D36DC" w:rsidP="00740BFB">
      <w:pPr>
        <w:pStyle w:val="PubliManuscript"/>
        <w:rPr>
          <w:color w:val="auto"/>
        </w:rPr>
      </w:pPr>
      <w:r w:rsidRPr="00871CF1">
        <w:rPr>
          <w:color w:val="auto"/>
        </w:rPr>
        <w:t>The a</w:t>
      </w:r>
      <w:r w:rsidR="00434ED1" w:rsidRPr="00871CF1">
        <w:rPr>
          <w:color w:val="auto"/>
        </w:rPr>
        <w:t xml:space="preserve">groecological levers </w:t>
      </w:r>
      <w:r w:rsidR="00C10936" w:rsidRPr="00871CF1">
        <w:rPr>
          <w:color w:val="auto"/>
        </w:rPr>
        <w:t xml:space="preserve">we explored in this study </w:t>
      </w:r>
      <w:r w:rsidRPr="00871CF1">
        <w:rPr>
          <w:color w:val="auto"/>
        </w:rPr>
        <w:t xml:space="preserve">mainly </w:t>
      </w:r>
      <w:r w:rsidR="00434ED1" w:rsidRPr="00871CF1">
        <w:rPr>
          <w:color w:val="auto"/>
        </w:rPr>
        <w:t xml:space="preserve">enhance supporting and regulating </w:t>
      </w:r>
      <w:r w:rsidR="005F472D" w:rsidRPr="00871CF1">
        <w:rPr>
          <w:color w:val="auto"/>
        </w:rPr>
        <w:t>ES</w:t>
      </w:r>
      <w:r w:rsidRPr="00871CF1">
        <w:rPr>
          <w:color w:val="auto"/>
        </w:rPr>
        <w:t>, through</w:t>
      </w:r>
      <w:r w:rsidR="00E232F9" w:rsidRPr="00871CF1">
        <w:rPr>
          <w:color w:val="auto"/>
        </w:rPr>
        <w:t xml:space="preserve"> an</w:t>
      </w:r>
      <w:r w:rsidRPr="00871CF1">
        <w:rPr>
          <w:color w:val="auto"/>
        </w:rPr>
        <w:t xml:space="preserve"> </w:t>
      </w:r>
      <w:r w:rsidR="00CB37A8" w:rsidRPr="00871CF1">
        <w:rPr>
          <w:color w:val="auto"/>
        </w:rPr>
        <w:t>increase</w:t>
      </w:r>
      <w:r w:rsidRPr="00871CF1">
        <w:rPr>
          <w:color w:val="auto"/>
        </w:rPr>
        <w:t xml:space="preserve"> of SOC sequestration and reduction of nitrate leaching and </w:t>
      </w:r>
      <w:r w:rsidR="009A3256" w:rsidRPr="00871CF1">
        <w:rPr>
          <w:color w:val="auto"/>
        </w:rPr>
        <w:t>GHG</w:t>
      </w:r>
      <w:r w:rsidRPr="00871CF1">
        <w:rPr>
          <w:color w:val="auto"/>
        </w:rPr>
        <w:t xml:space="preserve"> emissions</w:t>
      </w:r>
      <w:r w:rsidR="00DD32A7" w:rsidRPr="00871CF1">
        <w:rPr>
          <w:color w:val="auto"/>
        </w:rPr>
        <w:t xml:space="preserve"> (Kerr et al., 2023)</w:t>
      </w:r>
      <w:r w:rsidRPr="00871CF1">
        <w:rPr>
          <w:color w:val="auto"/>
        </w:rPr>
        <w:t>.</w:t>
      </w:r>
      <w:r w:rsidR="00740BFB" w:rsidRPr="00871CF1">
        <w:rPr>
          <w:color w:val="auto"/>
        </w:rPr>
        <w:t xml:space="preserve"> </w:t>
      </w:r>
      <w:r w:rsidR="00E03BCD" w:rsidRPr="00871CF1">
        <w:rPr>
          <w:color w:val="auto"/>
        </w:rPr>
        <w:t>They also influence provisioning services by reducing overall productivity while enhancing its stability</w:t>
      </w:r>
      <w:r w:rsidR="002610B2" w:rsidRPr="00871CF1">
        <w:rPr>
          <w:color w:val="auto"/>
        </w:rPr>
        <w:t xml:space="preserve"> (Szymczak et al., 2020; Delandmeter et al., 2025)</w:t>
      </w:r>
      <w:r w:rsidR="00E03BCD" w:rsidRPr="00871CF1">
        <w:rPr>
          <w:color w:val="auto"/>
        </w:rPr>
        <w:t>.</w:t>
      </w:r>
    </w:p>
    <w:p w14:paraId="45B3B1BE" w14:textId="52EBB569" w:rsidR="00FC5454" w:rsidRPr="00871CF1" w:rsidRDefault="00476E3E" w:rsidP="00476E3E">
      <w:pPr>
        <w:pStyle w:val="Publi2"/>
        <w:rPr>
          <w:color w:val="auto"/>
        </w:rPr>
      </w:pPr>
      <w:r w:rsidRPr="00871CF1">
        <w:rPr>
          <w:color w:val="auto"/>
        </w:rPr>
        <w:t xml:space="preserve"> </w:t>
      </w:r>
      <w:r w:rsidR="00FC5454" w:rsidRPr="00871CF1">
        <w:rPr>
          <w:color w:val="auto"/>
        </w:rPr>
        <w:t xml:space="preserve">ICLS </w:t>
      </w:r>
      <w:r w:rsidR="00987704" w:rsidRPr="00871CF1">
        <w:rPr>
          <w:color w:val="auto"/>
        </w:rPr>
        <w:t>convert</w:t>
      </w:r>
      <w:r w:rsidR="00FC5454" w:rsidRPr="00871CF1">
        <w:rPr>
          <w:color w:val="auto"/>
        </w:rPr>
        <w:t xml:space="preserve"> the trade-off between </w:t>
      </w:r>
      <w:r w:rsidR="00987704" w:rsidRPr="00871CF1">
        <w:rPr>
          <w:color w:val="auto"/>
        </w:rPr>
        <w:t>C</w:t>
      </w:r>
      <w:r w:rsidR="00FC5454" w:rsidRPr="00871CF1">
        <w:rPr>
          <w:color w:val="auto"/>
        </w:rPr>
        <w:t xml:space="preserve"> storage and N supply into a synergy</w:t>
      </w:r>
    </w:p>
    <w:p w14:paraId="60B33DA5" w14:textId="31DDDB70" w:rsidR="00D74A7F" w:rsidRPr="00871CF1" w:rsidRDefault="00DB38B2" w:rsidP="00CE3E96">
      <w:pPr>
        <w:pStyle w:val="PubliManuscript"/>
        <w:rPr>
          <w:color w:val="auto"/>
        </w:rPr>
      </w:pPr>
      <w:r w:rsidRPr="00871CF1">
        <w:rPr>
          <w:color w:val="auto"/>
        </w:rPr>
        <w:t>The</w:t>
      </w:r>
      <w:r w:rsidR="00FA525A" w:rsidRPr="00871CF1">
        <w:rPr>
          <w:color w:val="auto"/>
        </w:rPr>
        <w:t xml:space="preserve"> reductions</w:t>
      </w:r>
      <w:r w:rsidR="00F70083" w:rsidRPr="00871CF1">
        <w:rPr>
          <w:color w:val="auto"/>
        </w:rPr>
        <w:t xml:space="preserve"> </w:t>
      </w:r>
      <w:r w:rsidRPr="00871CF1">
        <w:rPr>
          <w:color w:val="auto"/>
        </w:rPr>
        <w:t xml:space="preserve">in nitrate leaching and GHG emissions </w:t>
      </w:r>
      <w:r w:rsidR="00F70083" w:rsidRPr="00871CF1">
        <w:rPr>
          <w:color w:val="auto"/>
        </w:rPr>
        <w:t xml:space="preserve">primarily result from a reduced use of synthetic </w:t>
      </w:r>
      <w:r w:rsidR="006C1E91" w:rsidRPr="00871CF1">
        <w:rPr>
          <w:color w:val="auto"/>
        </w:rPr>
        <w:t>N</w:t>
      </w:r>
      <w:r w:rsidR="00F70083" w:rsidRPr="00871CF1">
        <w:rPr>
          <w:color w:val="auto"/>
        </w:rPr>
        <w:t xml:space="preserve"> fertilizers, either through a direct decrease in their application in the field or indirectly by incorporating legumes such as peas and faba beans, as well as fertilization with manure, </w:t>
      </w:r>
      <w:r w:rsidR="006A6803" w:rsidRPr="00871CF1">
        <w:rPr>
          <w:color w:val="auto"/>
        </w:rPr>
        <w:t>feces</w:t>
      </w:r>
      <w:r w:rsidR="00F70083" w:rsidRPr="00871CF1">
        <w:rPr>
          <w:color w:val="auto"/>
        </w:rPr>
        <w:t>, and urine</w:t>
      </w:r>
      <w:r w:rsidR="00C911F5" w:rsidRPr="00871CF1">
        <w:rPr>
          <w:color w:val="auto"/>
        </w:rPr>
        <w:t>.</w:t>
      </w:r>
      <w:r w:rsidR="00FA525A" w:rsidRPr="00871CF1">
        <w:rPr>
          <w:color w:val="auto"/>
        </w:rPr>
        <w:t xml:space="preserve"> </w:t>
      </w:r>
      <w:r w:rsidR="004A3059" w:rsidRPr="00871CF1">
        <w:rPr>
          <w:color w:val="auto"/>
        </w:rPr>
        <w:t>This goes in line with Yi et al. (2025) which demonstrate</w:t>
      </w:r>
      <w:r w:rsidR="002F661E" w:rsidRPr="00871CF1">
        <w:rPr>
          <w:color w:val="auto"/>
        </w:rPr>
        <w:t>d</w:t>
      </w:r>
      <w:r w:rsidR="004A3059" w:rsidRPr="00871CF1">
        <w:rPr>
          <w:color w:val="auto"/>
        </w:rPr>
        <w:t xml:space="preserve"> that main benefits of crop diversification come from decreased N fertilizer use.</w:t>
      </w:r>
      <w:r w:rsidR="00890A0F" w:rsidRPr="00871CF1">
        <w:rPr>
          <w:color w:val="auto"/>
        </w:rPr>
        <w:t xml:space="preserve"> </w:t>
      </w:r>
      <w:r w:rsidR="00F644A3" w:rsidRPr="00871CF1">
        <w:rPr>
          <w:color w:val="auto"/>
        </w:rPr>
        <w:t xml:space="preserve">Yet while </w:t>
      </w:r>
      <w:r w:rsidR="00DE5317" w:rsidRPr="00871CF1">
        <w:rPr>
          <w:color w:val="auto"/>
        </w:rPr>
        <w:t>they</w:t>
      </w:r>
      <w:r w:rsidR="00F644A3" w:rsidRPr="00871CF1">
        <w:rPr>
          <w:color w:val="auto"/>
        </w:rPr>
        <w:t xml:space="preserve"> argue that a critical trade-off exists between </w:t>
      </w:r>
      <w:r w:rsidR="008D48B8" w:rsidRPr="00871CF1">
        <w:rPr>
          <w:color w:val="auto"/>
        </w:rPr>
        <w:t>C</w:t>
      </w:r>
      <w:r w:rsidR="00F644A3" w:rsidRPr="00871CF1">
        <w:rPr>
          <w:color w:val="auto"/>
        </w:rPr>
        <w:t xml:space="preserve"> storage and </w:t>
      </w:r>
      <w:r w:rsidR="00F41966" w:rsidRPr="00871CF1">
        <w:rPr>
          <w:color w:val="auto"/>
        </w:rPr>
        <w:t>N</w:t>
      </w:r>
      <w:r w:rsidR="00F644A3" w:rsidRPr="00871CF1">
        <w:rPr>
          <w:color w:val="auto"/>
        </w:rPr>
        <w:t xml:space="preserve"> supply, we demonstrate that (</w:t>
      </w:r>
      <w:proofErr w:type="spellStart"/>
      <w:r w:rsidR="00F644A3" w:rsidRPr="00871CF1">
        <w:rPr>
          <w:i/>
          <w:iCs/>
          <w:color w:val="auto"/>
        </w:rPr>
        <w:t>i</w:t>
      </w:r>
      <w:proofErr w:type="spellEnd"/>
      <w:r w:rsidR="00F644A3" w:rsidRPr="00871CF1">
        <w:rPr>
          <w:color w:val="auto"/>
        </w:rPr>
        <w:t xml:space="preserve">) careful consideration of </w:t>
      </w:r>
      <w:r w:rsidR="00715E9F" w:rsidRPr="00871CF1">
        <w:rPr>
          <w:color w:val="auto"/>
        </w:rPr>
        <w:t xml:space="preserve">SOC </w:t>
      </w:r>
      <w:r w:rsidR="00F644A3" w:rsidRPr="00871CF1">
        <w:rPr>
          <w:color w:val="auto"/>
        </w:rPr>
        <w:t>depth is essential, and (</w:t>
      </w:r>
      <w:r w:rsidR="00F644A3" w:rsidRPr="00871CF1">
        <w:rPr>
          <w:i/>
          <w:iCs/>
          <w:color w:val="auto"/>
        </w:rPr>
        <w:t>ii</w:t>
      </w:r>
      <w:r w:rsidR="00F644A3" w:rsidRPr="00871CF1">
        <w:rPr>
          <w:color w:val="auto"/>
        </w:rPr>
        <w:t xml:space="preserve">) the integration of </w:t>
      </w:r>
      <w:r w:rsidR="00D9693E" w:rsidRPr="00871CF1">
        <w:rPr>
          <w:color w:val="auto"/>
        </w:rPr>
        <w:t xml:space="preserve">grasslands, </w:t>
      </w:r>
      <w:r w:rsidR="00F644A3" w:rsidRPr="00871CF1">
        <w:rPr>
          <w:color w:val="auto"/>
        </w:rPr>
        <w:t>pastures</w:t>
      </w:r>
      <w:r w:rsidR="00C41460" w:rsidRPr="00871CF1">
        <w:rPr>
          <w:color w:val="auto"/>
        </w:rPr>
        <w:t>,</w:t>
      </w:r>
      <w:r w:rsidR="00F644A3" w:rsidRPr="00871CF1">
        <w:rPr>
          <w:color w:val="auto"/>
        </w:rPr>
        <w:t xml:space="preserve"> and livestock is key to overcoming this trade-off, transforming it into a synergy.</w:t>
      </w:r>
      <w:r w:rsidR="00730441" w:rsidRPr="00871CF1">
        <w:rPr>
          <w:color w:val="auto"/>
        </w:rPr>
        <w:t xml:space="preserve"> </w:t>
      </w:r>
    </w:p>
    <w:p w14:paraId="4F07CD16" w14:textId="2ED84EA6" w:rsidR="00594944" w:rsidRPr="00871CF1" w:rsidRDefault="00CF2BA1" w:rsidP="004727B5">
      <w:pPr>
        <w:pStyle w:val="PubliManuscript"/>
        <w:rPr>
          <w:color w:val="auto"/>
        </w:rPr>
      </w:pPr>
      <w:r w:rsidRPr="00871CF1">
        <w:rPr>
          <w:color w:val="auto"/>
        </w:rPr>
        <w:t xml:space="preserve">Indeed, as shown in Fig. 3, the most significant impacts of crop diversification and </w:t>
      </w:r>
      <w:r w:rsidR="00CD20CA" w:rsidRPr="00871CF1">
        <w:rPr>
          <w:color w:val="auto"/>
        </w:rPr>
        <w:t>grassland/</w:t>
      </w:r>
      <w:r w:rsidRPr="00871CF1">
        <w:rPr>
          <w:color w:val="auto"/>
        </w:rPr>
        <w:t>pasture integration on SOC occurred at deeper soil depths</w:t>
      </w:r>
      <w:r w:rsidR="00121257" w:rsidRPr="00871CF1">
        <w:rPr>
          <w:color w:val="auto"/>
        </w:rPr>
        <w:t xml:space="preserve"> (&gt; 30 cm</w:t>
      </w:r>
      <w:r w:rsidR="00AC2BDA" w:rsidRPr="00871CF1">
        <w:rPr>
          <w:color w:val="auto"/>
        </w:rPr>
        <w:t>; Yang et al. (2024)</w:t>
      </w:r>
      <w:r w:rsidR="00121257" w:rsidRPr="00871CF1">
        <w:rPr>
          <w:color w:val="auto"/>
        </w:rPr>
        <w:t>)</w:t>
      </w:r>
      <w:r w:rsidRPr="00871CF1">
        <w:rPr>
          <w:color w:val="auto"/>
        </w:rPr>
        <w:t>, as</w:t>
      </w:r>
      <w:r w:rsidR="009D6401" w:rsidRPr="00871CF1">
        <w:rPr>
          <w:color w:val="auto"/>
        </w:rPr>
        <w:t xml:space="preserve"> grasses, maize and rapeseed </w:t>
      </w:r>
      <w:r w:rsidRPr="00871CF1">
        <w:rPr>
          <w:color w:val="auto"/>
        </w:rPr>
        <w:t>develop long</w:t>
      </w:r>
      <w:r w:rsidR="00AD32F1" w:rsidRPr="00871CF1">
        <w:rPr>
          <w:color w:val="auto"/>
        </w:rPr>
        <w:t>er</w:t>
      </w:r>
      <w:r w:rsidRPr="00871CF1">
        <w:rPr>
          <w:color w:val="auto"/>
        </w:rPr>
        <w:t xml:space="preserve"> root systems</w:t>
      </w:r>
      <w:r w:rsidR="00AD32F1" w:rsidRPr="00871CF1">
        <w:rPr>
          <w:color w:val="auto"/>
        </w:rPr>
        <w:t xml:space="preserve"> than cash crops such as </w:t>
      </w:r>
      <w:r w:rsidR="00792D19" w:rsidRPr="00871CF1">
        <w:rPr>
          <w:color w:val="auto"/>
        </w:rPr>
        <w:t xml:space="preserve">potato </w:t>
      </w:r>
      <w:r w:rsidR="004E7341" w:rsidRPr="00871CF1">
        <w:rPr>
          <w:color w:val="auto"/>
        </w:rPr>
        <w:t>(</w:t>
      </w:r>
      <w:r w:rsidR="00735761" w:rsidRPr="00871CF1">
        <w:rPr>
          <w:color w:val="auto"/>
        </w:rPr>
        <w:t>Iwama, 2008</w:t>
      </w:r>
      <w:r w:rsidR="004E7341" w:rsidRPr="00871CF1">
        <w:rPr>
          <w:color w:val="auto"/>
        </w:rPr>
        <w:t>)</w:t>
      </w:r>
      <w:r w:rsidRPr="00871CF1">
        <w:rPr>
          <w:color w:val="auto"/>
        </w:rPr>
        <w:t xml:space="preserve">. </w:t>
      </w:r>
      <w:r w:rsidR="00AC75FB" w:rsidRPr="00871CF1">
        <w:rPr>
          <w:color w:val="auto"/>
        </w:rPr>
        <w:t xml:space="preserve">At such depths, where biological activity is reduced and temperature and soil moisture levels </w:t>
      </w:r>
      <w:r w:rsidR="00AC75FB" w:rsidRPr="00871CF1">
        <w:rPr>
          <w:color w:val="auto"/>
        </w:rPr>
        <w:lastRenderedPageBreak/>
        <w:t>remain stable, soil carbon exhibits greater stability, with lower turnover and mineralization rates (Jackson et al., 2017; Schrumpf et al., 2013). As a result, it is less likely to respond rapidly to rising global temperatures, contributing to soil fertility and climate change mitigation.</w:t>
      </w:r>
      <w:r w:rsidR="005123C1" w:rsidRPr="00871CF1">
        <w:rPr>
          <w:color w:val="auto"/>
        </w:rPr>
        <w:t xml:space="preserve"> </w:t>
      </w:r>
      <w:r w:rsidR="00136C7F" w:rsidRPr="00871CF1">
        <w:rPr>
          <w:color w:val="auto"/>
        </w:rPr>
        <w:t>The p</w:t>
      </w:r>
      <w:r w:rsidR="0011701E" w:rsidRPr="00871CF1">
        <w:rPr>
          <w:color w:val="auto"/>
        </w:rPr>
        <w:t xml:space="preserve">otential of </w:t>
      </w:r>
      <w:r w:rsidR="008D57BD" w:rsidRPr="00871CF1">
        <w:rPr>
          <w:color w:val="auto"/>
        </w:rPr>
        <w:t xml:space="preserve">crop </w:t>
      </w:r>
      <w:r w:rsidR="0011701E" w:rsidRPr="00871CF1">
        <w:rPr>
          <w:color w:val="auto"/>
        </w:rPr>
        <w:t xml:space="preserve">diversification for </w:t>
      </w:r>
      <w:r w:rsidR="008D57BD" w:rsidRPr="00871CF1">
        <w:rPr>
          <w:color w:val="auto"/>
        </w:rPr>
        <w:t xml:space="preserve">enhancing </w:t>
      </w:r>
      <w:r w:rsidR="0011701E" w:rsidRPr="00871CF1">
        <w:rPr>
          <w:color w:val="auto"/>
        </w:rPr>
        <w:t xml:space="preserve">SOC is </w:t>
      </w:r>
      <w:r w:rsidR="00165CB1" w:rsidRPr="00871CF1">
        <w:rPr>
          <w:color w:val="auto"/>
        </w:rPr>
        <w:t>hence promising (</w:t>
      </w:r>
      <w:r w:rsidR="004B4055" w:rsidRPr="00871CF1">
        <w:rPr>
          <w:color w:val="auto"/>
        </w:rPr>
        <w:t xml:space="preserve">Li et al., 2024; </w:t>
      </w:r>
      <w:r w:rsidR="00165CB1" w:rsidRPr="00871CF1">
        <w:rPr>
          <w:color w:val="auto"/>
        </w:rPr>
        <w:t>McDaniel et al., 2014)</w:t>
      </w:r>
      <w:r w:rsidR="0011701E" w:rsidRPr="00871CF1">
        <w:rPr>
          <w:color w:val="auto"/>
        </w:rPr>
        <w:t xml:space="preserve">, especially </w:t>
      </w:r>
      <w:r w:rsidR="00C35E28" w:rsidRPr="00871CF1">
        <w:rPr>
          <w:color w:val="auto"/>
        </w:rPr>
        <w:t>since SOC contents in Wallonia are among the lowest in Europe</w:t>
      </w:r>
      <w:r w:rsidR="0011701E" w:rsidRPr="00871CF1">
        <w:rPr>
          <w:color w:val="auto"/>
        </w:rPr>
        <w:t xml:space="preserve"> (de </w:t>
      </w:r>
      <w:proofErr w:type="spellStart"/>
      <w:r w:rsidR="0011701E" w:rsidRPr="00871CF1">
        <w:rPr>
          <w:color w:val="auto"/>
        </w:rPr>
        <w:t>Brogniez</w:t>
      </w:r>
      <w:proofErr w:type="spellEnd"/>
      <w:r w:rsidR="0011701E" w:rsidRPr="00871CF1">
        <w:rPr>
          <w:color w:val="auto"/>
        </w:rPr>
        <w:t xml:space="preserve"> et al., 2015). </w:t>
      </w:r>
      <w:r w:rsidR="00DD1EFF" w:rsidRPr="00871CF1">
        <w:rPr>
          <w:color w:val="auto"/>
        </w:rPr>
        <w:t xml:space="preserve">However, the observed SOC gains at greater depths in our simulations can also be attributed to the assumption </w:t>
      </w:r>
      <w:r w:rsidR="00C3383A" w:rsidRPr="00871CF1">
        <w:rPr>
          <w:color w:val="auto"/>
        </w:rPr>
        <w:t xml:space="preserve">by the STICS model </w:t>
      </w:r>
      <w:r w:rsidR="00DD1EFF" w:rsidRPr="00871CF1">
        <w:rPr>
          <w:color w:val="auto"/>
        </w:rPr>
        <w:t>that no mineralization occurs below 30 cm – the depth at which biological activity is presumed to take place (Beaudoin et al., 2022).</w:t>
      </w:r>
      <w:r w:rsidR="00244C5B" w:rsidRPr="00871CF1">
        <w:rPr>
          <w:color w:val="auto"/>
        </w:rPr>
        <w:t xml:space="preserve"> This assumes that SOC in surface layers is more influenced by </w:t>
      </w:r>
      <w:r w:rsidR="007C6F2B" w:rsidRPr="00871CF1">
        <w:rPr>
          <w:color w:val="auto"/>
        </w:rPr>
        <w:t xml:space="preserve">management </w:t>
      </w:r>
      <w:r w:rsidR="00244C5B" w:rsidRPr="00871CF1">
        <w:rPr>
          <w:color w:val="auto"/>
        </w:rPr>
        <w:t>than in deeper layers, where its breakdown occurs at a significantly slower pace</w:t>
      </w:r>
      <w:r w:rsidR="007C6F2B" w:rsidRPr="00871CF1">
        <w:rPr>
          <w:color w:val="auto"/>
        </w:rPr>
        <w:t xml:space="preserve"> </w:t>
      </w:r>
      <w:r w:rsidR="0055065C" w:rsidRPr="00871CF1">
        <w:rPr>
          <w:color w:val="auto"/>
        </w:rPr>
        <w:t xml:space="preserve">(Campbell and Paustian, 2015). </w:t>
      </w:r>
      <w:r w:rsidR="008A3AD6" w:rsidRPr="00871CF1">
        <w:rPr>
          <w:color w:val="auto"/>
        </w:rPr>
        <w:t>Yet other research has also suggested that deep soil carbon may break down through microbial activity more quickly than was once believed</w:t>
      </w:r>
      <w:r w:rsidR="00931BF5" w:rsidRPr="00871CF1">
        <w:rPr>
          <w:color w:val="auto"/>
        </w:rPr>
        <w:t xml:space="preserve">, </w:t>
      </w:r>
      <w:r w:rsidR="00462590" w:rsidRPr="00871CF1">
        <w:rPr>
          <w:color w:val="auto"/>
        </w:rPr>
        <w:t xml:space="preserve">because microbial amino sugars tend to accumulate more heavily in deeper soil layers </w:t>
      </w:r>
      <w:r w:rsidR="0055065C" w:rsidRPr="00871CF1">
        <w:rPr>
          <w:color w:val="auto"/>
        </w:rPr>
        <w:t>(Erich et al., 2012).</w:t>
      </w:r>
      <w:r w:rsidR="00FB0DEE" w:rsidRPr="00871CF1">
        <w:rPr>
          <w:color w:val="auto"/>
        </w:rPr>
        <w:t xml:space="preserve"> </w:t>
      </w:r>
      <w:r w:rsidR="00594944" w:rsidRPr="00871CF1">
        <w:rPr>
          <w:color w:val="auto"/>
        </w:rPr>
        <w:t>This assumption</w:t>
      </w:r>
      <w:r w:rsidR="00781326" w:rsidRPr="00871CF1">
        <w:rPr>
          <w:color w:val="auto"/>
        </w:rPr>
        <w:t xml:space="preserve"> – no mineralization simulated below 30 cm –</w:t>
      </w:r>
      <w:r w:rsidR="00594944" w:rsidRPr="00871CF1">
        <w:rPr>
          <w:color w:val="auto"/>
        </w:rPr>
        <w:t xml:space="preserve"> may partly explain why mowing scenarios continue to sequester additional carbon in soils with high initial SOC, while other management scenarios show a saturation effect. However, the opposite finding is equally important: we show that high-SOC soils are not necessarily better for climate mitigation, because SOC sequestration generally </w:t>
      </w:r>
      <w:proofErr w:type="gramStart"/>
      <w:r w:rsidR="00594944" w:rsidRPr="00871CF1">
        <w:rPr>
          <w:color w:val="auto"/>
        </w:rPr>
        <w:t>saturates</w:t>
      </w:r>
      <w:proofErr w:type="gramEnd"/>
      <w:r w:rsidR="00594944" w:rsidRPr="00871CF1">
        <w:rPr>
          <w:color w:val="auto"/>
        </w:rPr>
        <w:t xml:space="preserve"> and these soils also </w:t>
      </w:r>
      <w:r w:rsidR="00573501" w:rsidRPr="00871CF1">
        <w:rPr>
          <w:color w:val="auto"/>
        </w:rPr>
        <w:t>increase</w:t>
      </w:r>
      <w:r w:rsidR="00594944" w:rsidRPr="00871CF1">
        <w:rPr>
          <w:color w:val="auto"/>
        </w:rPr>
        <w:t xml:space="preserve"> non-CO</w:t>
      </w:r>
      <w:r w:rsidR="00A340BD" w:rsidRPr="00871CF1">
        <w:rPr>
          <w:color w:val="auto"/>
          <w:vertAlign w:val="subscript"/>
        </w:rPr>
        <w:t>2</w:t>
      </w:r>
      <w:r w:rsidR="00594944" w:rsidRPr="00871CF1">
        <w:rPr>
          <w:color w:val="auto"/>
        </w:rPr>
        <w:t xml:space="preserve"> emissions. Together, these results are particularly relevant for strategies that rely on SOC sequestration to offset GHG emissions (</w:t>
      </w:r>
      <w:proofErr w:type="spellStart"/>
      <w:r w:rsidR="00594944" w:rsidRPr="00871CF1">
        <w:rPr>
          <w:color w:val="auto"/>
        </w:rPr>
        <w:t>Minasny</w:t>
      </w:r>
      <w:proofErr w:type="spellEnd"/>
      <w:r w:rsidR="00594944" w:rsidRPr="00871CF1">
        <w:rPr>
          <w:color w:val="auto"/>
        </w:rPr>
        <w:t xml:space="preserve"> et al., 2017).</w:t>
      </w:r>
    </w:p>
    <w:p w14:paraId="72E58776" w14:textId="271A8792" w:rsidR="00614DD8" w:rsidRPr="00871CF1" w:rsidRDefault="00476E3E" w:rsidP="00415A58">
      <w:pPr>
        <w:pStyle w:val="Publi2"/>
        <w:jc w:val="both"/>
        <w:rPr>
          <w:color w:val="auto"/>
        </w:rPr>
      </w:pPr>
      <w:r w:rsidRPr="00871CF1">
        <w:rPr>
          <w:color w:val="auto"/>
        </w:rPr>
        <w:t xml:space="preserve"> </w:t>
      </w:r>
      <w:r w:rsidR="00E677A0" w:rsidRPr="00871CF1">
        <w:rPr>
          <w:color w:val="auto"/>
        </w:rPr>
        <w:t>Transformative</w:t>
      </w:r>
      <w:r w:rsidR="00561027" w:rsidRPr="00871CF1">
        <w:rPr>
          <w:color w:val="auto"/>
        </w:rPr>
        <w:t xml:space="preserve"> agroecosystem </w:t>
      </w:r>
      <w:r w:rsidR="00E677A0" w:rsidRPr="00871CF1">
        <w:rPr>
          <w:color w:val="auto"/>
        </w:rPr>
        <w:t>transitions</w:t>
      </w:r>
      <w:r w:rsidR="00561027" w:rsidRPr="00871CF1">
        <w:rPr>
          <w:color w:val="auto"/>
        </w:rPr>
        <w:t xml:space="preserve"> maximize synergies between ecosystem services</w:t>
      </w:r>
    </w:p>
    <w:p w14:paraId="5F05CDAF" w14:textId="0DDF6A90" w:rsidR="003F2E43" w:rsidRPr="00871CF1" w:rsidRDefault="0078535F" w:rsidP="004727B5">
      <w:pPr>
        <w:pStyle w:val="PubliManuscript"/>
        <w:rPr>
          <w:color w:val="auto"/>
        </w:rPr>
      </w:pPr>
      <w:r w:rsidRPr="00871CF1">
        <w:rPr>
          <w:color w:val="auto"/>
        </w:rPr>
        <w:t>E</w:t>
      </w:r>
      <w:r w:rsidR="00DA388A" w:rsidRPr="00871CF1">
        <w:rPr>
          <w:color w:val="auto"/>
        </w:rPr>
        <w:t xml:space="preserve">fficiency-based approaches, such as a sole reduction of N fertilization, lower GHG emissions and nitrate leaching </w:t>
      </w:r>
      <w:r w:rsidR="00222125" w:rsidRPr="00871CF1">
        <w:rPr>
          <w:color w:val="auto"/>
        </w:rPr>
        <w:t>(Fig. 4 and 5; in agreement with</w:t>
      </w:r>
      <w:r w:rsidR="00550F5C" w:rsidRPr="00871CF1">
        <w:rPr>
          <w:color w:val="auto"/>
        </w:rPr>
        <w:t xml:space="preserve"> </w:t>
      </w:r>
      <w:r w:rsidR="00A40458" w:rsidRPr="00871CF1">
        <w:rPr>
          <w:color w:val="auto"/>
        </w:rPr>
        <w:t xml:space="preserve">e.g. </w:t>
      </w:r>
      <w:proofErr w:type="spellStart"/>
      <w:r w:rsidR="00550F5C" w:rsidRPr="00871CF1">
        <w:rPr>
          <w:color w:val="auto"/>
          <w:szCs w:val="22"/>
          <w:shd w:val="clear" w:color="auto" w:fill="FFFFFF"/>
        </w:rPr>
        <w:t>Hawkesford</w:t>
      </w:r>
      <w:proofErr w:type="spellEnd"/>
      <w:r w:rsidR="00550F5C" w:rsidRPr="00871CF1">
        <w:rPr>
          <w:color w:val="auto"/>
          <w:szCs w:val="22"/>
          <w:shd w:val="clear" w:color="auto" w:fill="FFFFFF"/>
        </w:rPr>
        <w:t xml:space="preserve"> et al. (2014)</w:t>
      </w:r>
      <w:r w:rsidR="0010729C" w:rsidRPr="00871CF1">
        <w:rPr>
          <w:color w:val="auto"/>
          <w:szCs w:val="22"/>
          <w:shd w:val="clear" w:color="auto" w:fill="FFFFFF"/>
        </w:rPr>
        <w:t xml:space="preserve"> and</w:t>
      </w:r>
      <w:r w:rsidR="00A40458" w:rsidRPr="00871CF1">
        <w:rPr>
          <w:color w:val="auto"/>
          <w:szCs w:val="22"/>
          <w:shd w:val="clear" w:color="auto" w:fill="FFFFFF"/>
        </w:rPr>
        <w:t xml:space="preserve"> Shcherbak et al. (2014)</w:t>
      </w:r>
      <w:r w:rsidR="00222125" w:rsidRPr="00871CF1">
        <w:rPr>
          <w:color w:val="auto"/>
        </w:rPr>
        <w:t>)</w:t>
      </w:r>
      <w:r w:rsidR="00FB5820" w:rsidRPr="00871CF1">
        <w:rPr>
          <w:color w:val="auto"/>
        </w:rPr>
        <w:t xml:space="preserve">. </w:t>
      </w:r>
      <w:r w:rsidR="00E0045C" w:rsidRPr="00871CF1">
        <w:rPr>
          <w:color w:val="auto"/>
        </w:rPr>
        <w:t>Hence, future research could usefully explore how further reductions in synthetic nitrogen fertilization – moving toward organic farming scenarios that eliminate synthetic inputs entirely and rely solely on manure-based fertilization</w:t>
      </w:r>
      <w:r w:rsidR="007C407D" w:rsidRPr="00871CF1">
        <w:rPr>
          <w:color w:val="auto"/>
        </w:rPr>
        <w:t xml:space="preserve"> – </w:t>
      </w:r>
      <w:r w:rsidR="00E0045C" w:rsidRPr="00871CF1">
        <w:rPr>
          <w:color w:val="auto"/>
        </w:rPr>
        <w:t>would affect a broader range of ecosystem services</w:t>
      </w:r>
      <w:r w:rsidR="009743E1" w:rsidRPr="00871CF1">
        <w:rPr>
          <w:color w:val="auto"/>
        </w:rPr>
        <w:t xml:space="preserve">. </w:t>
      </w:r>
      <w:r w:rsidR="00473C35" w:rsidRPr="00871CF1">
        <w:rPr>
          <w:color w:val="auto"/>
        </w:rPr>
        <w:t>In this study,</w:t>
      </w:r>
      <w:r w:rsidR="009743E1" w:rsidRPr="00871CF1">
        <w:rPr>
          <w:color w:val="auto"/>
        </w:rPr>
        <w:t xml:space="preserve"> </w:t>
      </w:r>
      <w:r w:rsidR="00492CA7" w:rsidRPr="00871CF1">
        <w:rPr>
          <w:color w:val="auto"/>
        </w:rPr>
        <w:t>our</w:t>
      </w:r>
      <w:r w:rsidR="009743E1" w:rsidRPr="00871CF1">
        <w:rPr>
          <w:color w:val="auto"/>
        </w:rPr>
        <w:t xml:space="preserve"> efficiency-based approaches </w:t>
      </w:r>
      <w:r w:rsidR="00DA388A" w:rsidRPr="00871CF1">
        <w:rPr>
          <w:color w:val="auto"/>
        </w:rPr>
        <w:t xml:space="preserve">also reduce productivity, thereby decreasing the biomass returned to the soil and negatively impacting </w:t>
      </w:r>
      <w:r w:rsidR="00031E11" w:rsidRPr="00871CF1">
        <w:rPr>
          <w:color w:val="auto"/>
        </w:rPr>
        <w:t>SOC</w:t>
      </w:r>
      <w:r w:rsidR="00DA388A" w:rsidRPr="00871CF1">
        <w:rPr>
          <w:color w:val="auto"/>
        </w:rPr>
        <w:t xml:space="preserve"> (Fig. 3). </w:t>
      </w:r>
    </w:p>
    <w:p w14:paraId="6E07515E" w14:textId="713FBBDF" w:rsidR="00CE51B2" w:rsidRPr="00871CF1" w:rsidRDefault="00DA388A" w:rsidP="004727B5">
      <w:pPr>
        <w:pStyle w:val="PubliManuscript"/>
        <w:rPr>
          <w:color w:val="auto"/>
        </w:rPr>
      </w:pPr>
      <w:r w:rsidRPr="00871CF1">
        <w:rPr>
          <w:color w:val="auto"/>
        </w:rPr>
        <w:lastRenderedPageBreak/>
        <w:t>However, deeper agroecosystem transformations</w:t>
      </w:r>
      <w:r w:rsidR="0076427E" w:rsidRPr="00871CF1">
        <w:rPr>
          <w:color w:val="auto"/>
        </w:rPr>
        <w:t xml:space="preserve"> – </w:t>
      </w:r>
      <w:r w:rsidRPr="00871CF1">
        <w:rPr>
          <w:color w:val="auto"/>
        </w:rPr>
        <w:t xml:space="preserve">such as diversifying crop rotations and, more significantly, integrating </w:t>
      </w:r>
      <w:r w:rsidR="00457138" w:rsidRPr="00871CF1">
        <w:rPr>
          <w:color w:val="auto"/>
        </w:rPr>
        <w:t xml:space="preserve">grasslands, </w:t>
      </w:r>
      <w:r w:rsidR="00246BEA" w:rsidRPr="00871CF1">
        <w:rPr>
          <w:color w:val="auto"/>
        </w:rPr>
        <w:t>pastures,</w:t>
      </w:r>
      <w:r w:rsidRPr="00871CF1">
        <w:rPr>
          <w:color w:val="auto"/>
        </w:rPr>
        <w:t xml:space="preserve"> and livestock</w:t>
      </w:r>
      <w:r w:rsidR="005C2B92" w:rsidRPr="00871CF1">
        <w:rPr>
          <w:color w:val="auto"/>
        </w:rPr>
        <w:t xml:space="preserve"> – </w:t>
      </w:r>
      <w:r w:rsidRPr="00871CF1">
        <w:rPr>
          <w:color w:val="auto"/>
        </w:rPr>
        <w:t>enhance SOC at greater depths</w:t>
      </w:r>
      <w:r w:rsidR="00E001A8" w:rsidRPr="00871CF1">
        <w:rPr>
          <w:color w:val="auto"/>
        </w:rPr>
        <w:t xml:space="preserve"> (Fig. 3b</w:t>
      </w:r>
      <w:r w:rsidR="000D6833" w:rsidRPr="00871CF1">
        <w:rPr>
          <w:color w:val="auto"/>
        </w:rPr>
        <w:t xml:space="preserve">; </w:t>
      </w:r>
      <w:proofErr w:type="spellStart"/>
      <w:r w:rsidR="007B57BB" w:rsidRPr="00871CF1">
        <w:rPr>
          <w:color w:val="auto"/>
          <w:szCs w:val="22"/>
        </w:rPr>
        <w:t>Franzluebbers</w:t>
      </w:r>
      <w:proofErr w:type="spellEnd"/>
      <w:r w:rsidR="007B57BB" w:rsidRPr="00871CF1">
        <w:rPr>
          <w:color w:val="auto"/>
          <w:szCs w:val="22"/>
        </w:rPr>
        <w:t xml:space="preserve"> and Martin (2022)</w:t>
      </w:r>
      <w:r w:rsidR="00E001A8" w:rsidRPr="00871CF1">
        <w:rPr>
          <w:color w:val="auto"/>
        </w:rPr>
        <w:t>)</w:t>
      </w:r>
      <w:r w:rsidRPr="00871CF1">
        <w:rPr>
          <w:color w:val="auto"/>
        </w:rPr>
        <w:t xml:space="preserve"> while simultaneously reducing GHG emissions and nitrate leaching by improving N availability</w:t>
      </w:r>
      <w:r w:rsidR="00A07883" w:rsidRPr="00871CF1">
        <w:rPr>
          <w:color w:val="auto"/>
        </w:rPr>
        <w:t xml:space="preserve"> (Fig. 4 and 5</w:t>
      </w:r>
      <w:r w:rsidR="003532C2" w:rsidRPr="00871CF1">
        <w:rPr>
          <w:color w:val="auto"/>
        </w:rPr>
        <w:t xml:space="preserve">; </w:t>
      </w:r>
      <w:r w:rsidR="00FD51F4" w:rsidRPr="00871CF1">
        <w:rPr>
          <w:color w:val="auto"/>
        </w:rPr>
        <w:t xml:space="preserve">Yang et al. (2024); </w:t>
      </w:r>
      <w:r w:rsidR="003532C2" w:rsidRPr="00871CF1">
        <w:rPr>
          <w:color w:val="auto"/>
        </w:rPr>
        <w:t>Lemaire et al. (2014)</w:t>
      </w:r>
      <w:r w:rsidR="00F852E6" w:rsidRPr="00871CF1">
        <w:rPr>
          <w:color w:val="auto"/>
        </w:rPr>
        <w:t xml:space="preserve">, </w:t>
      </w:r>
      <w:proofErr w:type="spellStart"/>
      <w:r w:rsidR="00F852E6" w:rsidRPr="00871CF1">
        <w:rPr>
          <w:color w:val="auto"/>
        </w:rPr>
        <w:t>Beillouin</w:t>
      </w:r>
      <w:proofErr w:type="spellEnd"/>
      <w:r w:rsidR="00F852E6" w:rsidRPr="00871CF1">
        <w:rPr>
          <w:color w:val="auto"/>
        </w:rPr>
        <w:t xml:space="preserve"> et al. (2021)</w:t>
      </w:r>
      <w:r w:rsidR="00A07883" w:rsidRPr="00871CF1">
        <w:rPr>
          <w:color w:val="auto"/>
        </w:rPr>
        <w:t>)</w:t>
      </w:r>
      <w:r w:rsidRPr="00871CF1">
        <w:rPr>
          <w:color w:val="auto"/>
        </w:rPr>
        <w:t>.</w:t>
      </w:r>
      <w:r w:rsidR="00BD1199" w:rsidRPr="00871CF1">
        <w:rPr>
          <w:color w:val="auto"/>
        </w:rPr>
        <w:t xml:space="preserve"> </w:t>
      </w:r>
      <w:r w:rsidR="00351086" w:rsidRPr="00871CF1">
        <w:rPr>
          <w:color w:val="auto"/>
        </w:rPr>
        <w:t>We show that ICLS are particularly well suited to less fertile areas: in these contexts, the productivity loss relative to cash crop</w:t>
      </w:r>
      <w:r w:rsidR="007054FB" w:rsidRPr="00871CF1">
        <w:rPr>
          <w:color w:val="auto"/>
        </w:rPr>
        <w:t>-</w:t>
      </w:r>
      <w:r w:rsidR="00351086" w:rsidRPr="00871CF1">
        <w:rPr>
          <w:color w:val="auto"/>
        </w:rPr>
        <w:t xml:space="preserve">oriented systems is mitigated. Moreover, although certain soil textures exhibit lower SOC gains under baseline conditions, grazing and mowing scenarios enhance SOC accumulation in these soils, effectively reversing their baseline disadvantage. </w:t>
      </w:r>
      <w:r w:rsidR="001C6850" w:rsidRPr="00871CF1">
        <w:rPr>
          <w:color w:val="auto"/>
        </w:rPr>
        <w:t>T</w:t>
      </w:r>
      <w:r w:rsidR="007A0F00" w:rsidRPr="00871CF1">
        <w:rPr>
          <w:color w:val="auto"/>
        </w:rPr>
        <w:t xml:space="preserve">he benefits of ICLS are closely tied to stocking management within pastures. </w:t>
      </w:r>
      <w:r w:rsidR="000C627D" w:rsidRPr="00871CF1">
        <w:rPr>
          <w:color w:val="auto"/>
        </w:rPr>
        <w:t xml:space="preserve">In this study, ICLS were examined through </w:t>
      </w:r>
      <w:r w:rsidR="00F72AF4" w:rsidRPr="00871CF1">
        <w:rPr>
          <w:color w:val="auto"/>
        </w:rPr>
        <w:t>MOW</w:t>
      </w:r>
      <w:r w:rsidR="000C627D" w:rsidRPr="00871CF1">
        <w:rPr>
          <w:color w:val="auto"/>
        </w:rPr>
        <w:t xml:space="preserve"> and </w:t>
      </w:r>
      <w:r w:rsidR="00B14DED" w:rsidRPr="00871CF1">
        <w:rPr>
          <w:color w:val="auto"/>
        </w:rPr>
        <w:t xml:space="preserve">GRAZ </w:t>
      </w:r>
      <w:r w:rsidR="000C627D" w:rsidRPr="00871CF1">
        <w:rPr>
          <w:color w:val="auto"/>
        </w:rPr>
        <w:t xml:space="preserve">scenarios, both of which simulating crop-livestock integration at varying levels. </w:t>
      </w:r>
      <w:r w:rsidR="00F72AF4" w:rsidRPr="00871CF1">
        <w:rPr>
          <w:color w:val="auto"/>
        </w:rPr>
        <w:t>MOW</w:t>
      </w:r>
      <w:r w:rsidR="000C627D" w:rsidRPr="00871CF1">
        <w:rPr>
          <w:color w:val="auto"/>
        </w:rPr>
        <w:t xml:space="preserve"> scenarios involved </w:t>
      </w:r>
      <w:r w:rsidR="000A15DC" w:rsidRPr="00871CF1">
        <w:rPr>
          <w:color w:val="auto"/>
        </w:rPr>
        <w:t>grassland</w:t>
      </w:r>
      <w:r w:rsidR="000C627D" w:rsidRPr="00871CF1">
        <w:rPr>
          <w:color w:val="auto"/>
        </w:rPr>
        <w:t xml:space="preserve"> mowing and exporting forage to feed sheep, while </w:t>
      </w:r>
      <w:r w:rsidR="00B14DED" w:rsidRPr="00871CF1">
        <w:rPr>
          <w:color w:val="auto"/>
        </w:rPr>
        <w:t xml:space="preserve">GRAZ </w:t>
      </w:r>
      <w:r w:rsidR="000C627D" w:rsidRPr="00871CF1">
        <w:rPr>
          <w:color w:val="auto"/>
        </w:rPr>
        <w:t xml:space="preserve">scenarios incorporated grazing by beef cattle. The </w:t>
      </w:r>
      <w:r w:rsidR="00B14DED" w:rsidRPr="00871CF1">
        <w:rPr>
          <w:color w:val="auto"/>
        </w:rPr>
        <w:t>GRAZ</w:t>
      </w:r>
      <w:r w:rsidR="006C467C" w:rsidRPr="00871CF1">
        <w:rPr>
          <w:color w:val="auto"/>
        </w:rPr>
        <w:t xml:space="preserve"> scenario</w:t>
      </w:r>
      <w:r w:rsidR="00B14DED" w:rsidRPr="00871CF1">
        <w:rPr>
          <w:color w:val="auto"/>
        </w:rPr>
        <w:t xml:space="preserve"> </w:t>
      </w:r>
      <w:r w:rsidR="000C627D" w:rsidRPr="00871CF1">
        <w:rPr>
          <w:color w:val="auto"/>
        </w:rPr>
        <w:t xml:space="preserve">consistently underperformed compared to </w:t>
      </w:r>
      <w:r w:rsidR="00F72AF4" w:rsidRPr="00871CF1">
        <w:rPr>
          <w:color w:val="auto"/>
        </w:rPr>
        <w:t>MOW</w:t>
      </w:r>
      <w:r w:rsidR="000C627D" w:rsidRPr="00871CF1">
        <w:rPr>
          <w:color w:val="auto"/>
        </w:rPr>
        <w:t xml:space="preserve">, resulting in lower productivity and reduced soil carbon sequestration without improving other criteria. </w:t>
      </w:r>
      <w:r w:rsidR="00A35D4D" w:rsidRPr="00871CF1">
        <w:rPr>
          <w:color w:val="auto"/>
        </w:rPr>
        <w:t xml:space="preserve">This suggests that stocking management in </w:t>
      </w:r>
      <w:r w:rsidR="00B14DED" w:rsidRPr="00871CF1">
        <w:rPr>
          <w:color w:val="auto"/>
        </w:rPr>
        <w:t xml:space="preserve">GRAZ </w:t>
      </w:r>
      <w:r w:rsidR="00A35D4D" w:rsidRPr="00871CF1">
        <w:rPr>
          <w:color w:val="auto"/>
        </w:rPr>
        <w:t xml:space="preserve">scenarios was suboptimal, highlighting the need for further studies comparing ICLS under varying stocking densities. </w:t>
      </w:r>
      <w:r w:rsidR="00086AB2" w:rsidRPr="00871CF1">
        <w:rPr>
          <w:color w:val="auto"/>
        </w:rPr>
        <w:t>Indeed, i</w:t>
      </w:r>
      <w:r w:rsidR="007A0F00" w:rsidRPr="00871CF1">
        <w:rPr>
          <w:color w:val="auto"/>
        </w:rPr>
        <w:t xml:space="preserve">ncreasing intensification can gradually reduce carbon sequestration through excessive defoliation, while also contributing to negative effects such as elevated levels of reactive nitrogen and higher methane emissions </w:t>
      </w:r>
      <w:r w:rsidR="00DA0D42" w:rsidRPr="00871CF1">
        <w:rPr>
          <w:color w:val="auto"/>
        </w:rPr>
        <w:t>(</w:t>
      </w:r>
      <w:r w:rsidR="00A43FF9" w:rsidRPr="00871CF1">
        <w:rPr>
          <w:color w:val="auto"/>
        </w:rPr>
        <w:t xml:space="preserve">Abdalla et al., 2018; </w:t>
      </w:r>
      <w:proofErr w:type="spellStart"/>
      <w:r w:rsidR="00DA0D42" w:rsidRPr="00871CF1">
        <w:rPr>
          <w:color w:val="auto"/>
        </w:rPr>
        <w:t>Soussana</w:t>
      </w:r>
      <w:proofErr w:type="spellEnd"/>
      <w:r w:rsidR="00DA0D42" w:rsidRPr="00871CF1">
        <w:rPr>
          <w:color w:val="auto"/>
        </w:rPr>
        <w:t xml:space="preserve"> et al., 2014).</w:t>
      </w:r>
      <w:r w:rsidR="00791C41" w:rsidRPr="00871CF1">
        <w:rPr>
          <w:color w:val="auto"/>
        </w:rPr>
        <w:t xml:space="preserve"> </w:t>
      </w:r>
      <w:r w:rsidR="00A95655" w:rsidRPr="00871CF1">
        <w:rPr>
          <w:color w:val="auto"/>
        </w:rPr>
        <w:t>It is interesting to note that CH</w:t>
      </w:r>
      <w:r w:rsidR="00A95655" w:rsidRPr="00871CF1">
        <w:rPr>
          <w:color w:val="auto"/>
          <w:vertAlign w:val="subscript"/>
        </w:rPr>
        <w:t>4</w:t>
      </w:r>
      <w:r w:rsidR="00A95655" w:rsidRPr="00871CF1">
        <w:rPr>
          <w:color w:val="auto"/>
        </w:rPr>
        <w:t xml:space="preserve"> emissions in crop-only scenarios (BAU and DIV), resulting from manure application, are slightly higher than in ICLS (Fig. 5). This suggests that BAU and DIV scenarios could also be considered a form of </w:t>
      </w:r>
      <w:proofErr w:type="spellStart"/>
      <w:r w:rsidR="0027644F" w:rsidRPr="00871CF1">
        <w:rPr>
          <w:color w:val="auto"/>
        </w:rPr>
        <w:t>across</w:t>
      </w:r>
      <w:proofErr w:type="spellEnd"/>
      <w:r w:rsidR="0027644F" w:rsidRPr="00871CF1">
        <w:rPr>
          <w:color w:val="auto"/>
        </w:rPr>
        <w:t>-farm</w:t>
      </w:r>
      <w:r w:rsidR="00BB059A" w:rsidRPr="00871CF1">
        <w:rPr>
          <w:color w:val="auto"/>
        </w:rPr>
        <w:t xml:space="preserve"> </w:t>
      </w:r>
      <w:r w:rsidR="00A95655" w:rsidRPr="00871CF1">
        <w:rPr>
          <w:color w:val="auto"/>
        </w:rPr>
        <w:t>ICLS, involving an external integration of livestock through the exchange of exported wheat straw for imported manure. However, this approach does not appear optimal for minimizing GHG emissions compared with ICLS, which ha</w:t>
      </w:r>
      <w:r w:rsidR="00B81060" w:rsidRPr="00871CF1">
        <w:rPr>
          <w:color w:val="auto"/>
        </w:rPr>
        <w:t>ve</w:t>
      </w:r>
      <w:r w:rsidR="00A95655" w:rsidRPr="00871CF1">
        <w:rPr>
          <w:color w:val="auto"/>
        </w:rPr>
        <w:t xml:space="preserve"> a much lower stocking density, as it continues to rely heavily on synthetic N fertilization. </w:t>
      </w:r>
      <w:r w:rsidR="00AE42B5" w:rsidRPr="00871CF1">
        <w:rPr>
          <w:color w:val="auto"/>
        </w:rPr>
        <w:t>Finally, w</w:t>
      </w:r>
      <w:r w:rsidR="00551B64" w:rsidRPr="00871CF1">
        <w:rPr>
          <w:color w:val="auto"/>
        </w:rPr>
        <w:t>hile in this study, we explored similar management scenarios over the whole Walloon region, future studies could examine how tailoring land use to local soil characteristics might improve outcomes</w:t>
      </w:r>
      <w:r w:rsidR="003058E7" w:rsidRPr="00871CF1">
        <w:rPr>
          <w:color w:val="auto"/>
        </w:rPr>
        <w:t xml:space="preserve"> at the regional level</w:t>
      </w:r>
      <w:r w:rsidR="00551B64" w:rsidRPr="00871CF1">
        <w:rPr>
          <w:color w:val="auto"/>
        </w:rPr>
        <w:t xml:space="preserve"> – for instance, placing high-value crops on the most productive soils and directing less fertile areas toward grassland or grazing uses</w:t>
      </w:r>
      <w:r w:rsidR="00042A19" w:rsidRPr="00871CF1">
        <w:rPr>
          <w:color w:val="auto"/>
        </w:rPr>
        <w:t xml:space="preserve">. </w:t>
      </w:r>
      <w:r w:rsidR="00332A34" w:rsidRPr="00871CF1">
        <w:rPr>
          <w:color w:val="auto"/>
        </w:rPr>
        <w:t xml:space="preserve">Such </w:t>
      </w:r>
      <w:r w:rsidR="00FF5AB7" w:rsidRPr="00871CF1">
        <w:rPr>
          <w:color w:val="auto"/>
        </w:rPr>
        <w:t xml:space="preserve">spatially differentiated land-use strategies that are adapted to regional </w:t>
      </w:r>
      <w:r w:rsidR="00FF5AB7" w:rsidRPr="00871CF1">
        <w:rPr>
          <w:color w:val="auto"/>
        </w:rPr>
        <w:lastRenderedPageBreak/>
        <w:t xml:space="preserve">characteristics could further enhance agricultural productivity and improve nutrient cycling (El </w:t>
      </w:r>
      <w:proofErr w:type="spellStart"/>
      <w:r w:rsidR="00FF5AB7" w:rsidRPr="00871CF1">
        <w:rPr>
          <w:color w:val="auto"/>
        </w:rPr>
        <w:t>Fartassi</w:t>
      </w:r>
      <w:proofErr w:type="spellEnd"/>
      <w:r w:rsidR="00FF5AB7" w:rsidRPr="00871CF1">
        <w:rPr>
          <w:color w:val="auto"/>
        </w:rPr>
        <w:t xml:space="preserve"> et al., 2026)</w:t>
      </w:r>
      <w:r w:rsidR="00551B64" w:rsidRPr="00871CF1">
        <w:rPr>
          <w:color w:val="auto"/>
        </w:rPr>
        <w:t>.</w:t>
      </w:r>
      <w:r w:rsidR="002F3923" w:rsidRPr="00871CF1">
        <w:rPr>
          <w:color w:val="auto"/>
        </w:rPr>
        <w:t xml:space="preserve"> </w:t>
      </w:r>
      <w:r w:rsidR="00157CB2" w:rsidRPr="00871CF1">
        <w:rPr>
          <w:color w:val="auto"/>
        </w:rPr>
        <w:t>Future</w:t>
      </w:r>
      <w:r w:rsidR="002712E8" w:rsidRPr="00871CF1">
        <w:rPr>
          <w:color w:val="auto"/>
        </w:rPr>
        <w:t xml:space="preserve"> research could also investigate more intensive livestock systems, in which animals are fed not only with pasture and cover crops</w:t>
      </w:r>
      <w:r w:rsidR="005D7FBA" w:rsidRPr="00871CF1">
        <w:rPr>
          <w:color w:val="auto"/>
        </w:rPr>
        <w:t xml:space="preserve"> – </w:t>
      </w:r>
      <w:r w:rsidR="002712E8" w:rsidRPr="00871CF1">
        <w:rPr>
          <w:color w:val="auto"/>
        </w:rPr>
        <w:t>as in the extensive systems analyzed here</w:t>
      </w:r>
      <w:r w:rsidR="002E3171" w:rsidRPr="00871CF1">
        <w:rPr>
          <w:color w:val="auto"/>
        </w:rPr>
        <w:t xml:space="preserve"> – </w:t>
      </w:r>
      <w:r w:rsidR="002712E8" w:rsidRPr="00871CF1">
        <w:rPr>
          <w:color w:val="auto"/>
        </w:rPr>
        <w:t>but also with crops such as silage maize, sugar beet, or potato. This would contribute to the broader debate on land sharing versus land sparing</w:t>
      </w:r>
      <w:r w:rsidR="00AF3F38" w:rsidRPr="00871CF1">
        <w:rPr>
          <w:color w:val="auto"/>
        </w:rPr>
        <w:t xml:space="preserve"> (Phalan et al., 2011)</w:t>
      </w:r>
      <w:r w:rsidR="002712E8" w:rsidRPr="00871CF1">
        <w:rPr>
          <w:color w:val="auto"/>
        </w:rPr>
        <w:t>.</w:t>
      </w:r>
    </w:p>
    <w:p w14:paraId="553DBC27" w14:textId="2861D9EA" w:rsidR="00382555" w:rsidRPr="00871CF1" w:rsidRDefault="00476E3E" w:rsidP="00D02A9A">
      <w:pPr>
        <w:pStyle w:val="Publi2"/>
        <w:jc w:val="both"/>
        <w:rPr>
          <w:color w:val="auto"/>
        </w:rPr>
      </w:pPr>
      <w:r w:rsidRPr="00871CF1">
        <w:rPr>
          <w:color w:val="auto"/>
        </w:rPr>
        <w:t xml:space="preserve"> </w:t>
      </w:r>
      <w:r w:rsidR="00607D4A" w:rsidRPr="00871CF1">
        <w:rPr>
          <w:color w:val="auto"/>
        </w:rPr>
        <w:t xml:space="preserve">Supporting and regulating ecosystem services </w:t>
      </w:r>
      <w:r w:rsidR="002D3936" w:rsidRPr="00871CF1">
        <w:rPr>
          <w:color w:val="auto"/>
        </w:rPr>
        <w:t>come at the cost of</w:t>
      </w:r>
      <w:r w:rsidR="00607D4A" w:rsidRPr="00871CF1">
        <w:rPr>
          <w:color w:val="auto"/>
        </w:rPr>
        <w:t xml:space="preserve"> provisioning </w:t>
      </w:r>
      <w:r w:rsidR="002D3936" w:rsidRPr="00871CF1">
        <w:rPr>
          <w:color w:val="auto"/>
        </w:rPr>
        <w:t>reduction</w:t>
      </w:r>
    </w:p>
    <w:p w14:paraId="2AC15BFB" w14:textId="30CCB36F" w:rsidR="00FC3DC9" w:rsidRPr="00871CF1" w:rsidRDefault="00A65459" w:rsidP="00FE6E47">
      <w:pPr>
        <w:pStyle w:val="PubliManuscript"/>
        <w:rPr>
          <w:color w:val="auto"/>
        </w:rPr>
      </w:pPr>
      <w:r w:rsidRPr="00871CF1">
        <w:rPr>
          <w:color w:val="auto"/>
        </w:rPr>
        <w:t>As</w:t>
      </w:r>
      <w:r w:rsidR="00D00CE5" w:rsidRPr="00871CF1">
        <w:rPr>
          <w:color w:val="auto"/>
        </w:rPr>
        <w:t xml:space="preserve"> demonstrated by our large-scale, high-resolution study, ES provision is shaped not only by agronomic management but also strongly influenced by pedoclimatic conditions. </w:t>
      </w:r>
      <w:r w:rsidR="00616A68" w:rsidRPr="00871CF1">
        <w:rPr>
          <w:color w:val="auto"/>
        </w:rPr>
        <w:t xml:space="preserve">Consequently, policies promoting specific management practices should account for local environmental contexts, as uniform recommendations may fail to capture the variability in ecosystem responses across </w:t>
      </w:r>
      <w:r w:rsidR="008A1412" w:rsidRPr="00871CF1">
        <w:rPr>
          <w:color w:val="auto"/>
        </w:rPr>
        <w:t>various contexts</w:t>
      </w:r>
      <w:r w:rsidR="00616A68" w:rsidRPr="00871CF1">
        <w:rPr>
          <w:color w:val="auto"/>
        </w:rPr>
        <w:t xml:space="preserve">. </w:t>
      </w:r>
      <w:r w:rsidR="008A082C" w:rsidRPr="00871CF1">
        <w:rPr>
          <w:color w:val="auto"/>
        </w:rPr>
        <w:t xml:space="preserve">This aligns with previous research emphasizing that effective policy design requires place-based, evidence-informed approaches, in which regulations, payments, and charges remain spatially flexible and </w:t>
      </w:r>
      <w:r w:rsidR="005F62DF" w:rsidRPr="00871CF1">
        <w:rPr>
          <w:color w:val="auto"/>
        </w:rPr>
        <w:t>adaptable</w:t>
      </w:r>
      <w:r w:rsidR="008A082C" w:rsidRPr="00871CF1">
        <w:rPr>
          <w:color w:val="auto"/>
        </w:rPr>
        <w:t xml:space="preserve"> to local contexts </w:t>
      </w:r>
      <w:r w:rsidR="00616A68" w:rsidRPr="00871CF1">
        <w:rPr>
          <w:color w:val="auto"/>
        </w:rPr>
        <w:t>(</w:t>
      </w:r>
      <w:r w:rsidR="006404B4" w:rsidRPr="00871CF1">
        <w:rPr>
          <w:color w:val="auto"/>
        </w:rPr>
        <w:t>Holt et al., 2016</w:t>
      </w:r>
      <w:r w:rsidR="00616A68" w:rsidRPr="00871CF1">
        <w:rPr>
          <w:color w:val="auto"/>
        </w:rPr>
        <w:t>).</w:t>
      </w:r>
    </w:p>
    <w:p w14:paraId="6F6AE8DD" w14:textId="6FBFAC6E" w:rsidR="00E4668F" w:rsidRPr="00871CF1" w:rsidRDefault="00054519" w:rsidP="00FE6E47">
      <w:pPr>
        <w:pStyle w:val="PubliManuscript"/>
        <w:rPr>
          <w:color w:val="auto"/>
          <w:highlight w:val="yellow"/>
        </w:rPr>
      </w:pPr>
      <w:r w:rsidRPr="00871CF1">
        <w:rPr>
          <w:color w:val="auto"/>
        </w:rPr>
        <w:t>Our</w:t>
      </w:r>
      <w:r w:rsidR="00186770" w:rsidRPr="00871CF1">
        <w:rPr>
          <w:color w:val="auto"/>
        </w:rPr>
        <w:t xml:space="preserve"> findings </w:t>
      </w:r>
      <w:r w:rsidR="000F3CF6" w:rsidRPr="00871CF1">
        <w:rPr>
          <w:color w:val="auto"/>
        </w:rPr>
        <w:t>establish</w:t>
      </w:r>
      <w:r w:rsidR="00186770" w:rsidRPr="00871CF1">
        <w:rPr>
          <w:color w:val="auto"/>
        </w:rPr>
        <w:t xml:space="preserve"> that while critical trade-offs between ES may arise, they are not systematic. </w:t>
      </w:r>
      <w:r w:rsidR="00AE1A7D" w:rsidRPr="00871CF1">
        <w:rPr>
          <w:color w:val="auto"/>
        </w:rPr>
        <w:t>Reductions in GHG emissions and nitrate leaching represent synergies, as increasing nutrient use efficiency minimizes losses to both soil and atmosphere</w:t>
      </w:r>
      <w:r w:rsidR="00E310BE" w:rsidRPr="00871CF1">
        <w:rPr>
          <w:color w:val="auto"/>
        </w:rPr>
        <w:t xml:space="preserve"> (</w:t>
      </w:r>
      <w:proofErr w:type="spellStart"/>
      <w:r w:rsidR="001F5800" w:rsidRPr="00871CF1">
        <w:rPr>
          <w:color w:val="auto"/>
        </w:rPr>
        <w:t>Langholtz</w:t>
      </w:r>
      <w:proofErr w:type="spellEnd"/>
      <w:r w:rsidR="001F5800" w:rsidRPr="00871CF1">
        <w:rPr>
          <w:color w:val="auto"/>
        </w:rPr>
        <w:t xml:space="preserve"> et al., 2021</w:t>
      </w:r>
      <w:r w:rsidR="00E310BE" w:rsidRPr="00871CF1">
        <w:rPr>
          <w:color w:val="auto"/>
        </w:rPr>
        <w:t>)</w:t>
      </w:r>
      <w:r w:rsidR="00AE1A7D" w:rsidRPr="00871CF1">
        <w:rPr>
          <w:color w:val="auto"/>
        </w:rPr>
        <w:t xml:space="preserve">. </w:t>
      </w:r>
      <w:r w:rsidR="00B76E45" w:rsidRPr="00871CF1">
        <w:rPr>
          <w:color w:val="auto"/>
        </w:rPr>
        <w:t>However, t</w:t>
      </w:r>
      <w:r w:rsidR="00415A58" w:rsidRPr="00871CF1">
        <w:rPr>
          <w:color w:val="auto"/>
        </w:rPr>
        <w:t>rade</w:t>
      </w:r>
      <w:r w:rsidR="00AE1A7D" w:rsidRPr="00871CF1">
        <w:rPr>
          <w:color w:val="auto"/>
        </w:rPr>
        <w:t>-offs exist with soil carbon sequestration</w:t>
      </w:r>
      <w:r w:rsidR="00057962" w:rsidRPr="00871CF1">
        <w:rPr>
          <w:color w:val="auto"/>
        </w:rPr>
        <w:t xml:space="preserve"> (</w:t>
      </w:r>
      <w:r w:rsidR="003408FC" w:rsidRPr="00871CF1">
        <w:rPr>
          <w:color w:val="auto"/>
        </w:rPr>
        <w:t>Wang et al., 2025</w:t>
      </w:r>
      <w:r w:rsidR="00057962" w:rsidRPr="00871CF1">
        <w:rPr>
          <w:color w:val="auto"/>
        </w:rPr>
        <w:t>)</w:t>
      </w:r>
      <w:r w:rsidR="00AE1A7D" w:rsidRPr="00871CF1">
        <w:rPr>
          <w:color w:val="auto"/>
        </w:rPr>
        <w:t>, which depends on net primary productivity</w:t>
      </w:r>
      <w:r w:rsidR="00572172" w:rsidRPr="00871CF1">
        <w:rPr>
          <w:color w:val="auto"/>
        </w:rPr>
        <w:t xml:space="preserve"> (</w:t>
      </w:r>
      <w:r w:rsidR="0091796D" w:rsidRPr="00871CF1">
        <w:rPr>
          <w:color w:val="auto"/>
        </w:rPr>
        <w:t>Bolinder et al., 2007</w:t>
      </w:r>
      <w:r w:rsidR="00572172" w:rsidRPr="00871CF1">
        <w:rPr>
          <w:color w:val="auto"/>
        </w:rPr>
        <w:t>)</w:t>
      </w:r>
      <w:r w:rsidR="000F7455" w:rsidRPr="00871CF1">
        <w:rPr>
          <w:color w:val="auto"/>
        </w:rPr>
        <w:t>, but they can be mitigated through w</w:t>
      </w:r>
      <w:r w:rsidR="00AE1A7D" w:rsidRPr="00871CF1">
        <w:rPr>
          <w:color w:val="auto"/>
        </w:rPr>
        <w:t>ell-managed</w:t>
      </w:r>
      <w:r w:rsidR="00A044DF" w:rsidRPr="00871CF1">
        <w:rPr>
          <w:color w:val="auto"/>
        </w:rPr>
        <w:t xml:space="preserve"> ICLS</w:t>
      </w:r>
      <w:r w:rsidR="00AE1A7D" w:rsidRPr="00871CF1">
        <w:rPr>
          <w:color w:val="auto"/>
        </w:rPr>
        <w:t>. Similarly, trade-offs occur with provisioning levels, which decline as agroecological levers</w:t>
      </w:r>
      <w:r w:rsidR="001A33D0" w:rsidRPr="00871CF1">
        <w:rPr>
          <w:color w:val="auto"/>
        </w:rPr>
        <w:t>, reducing</w:t>
      </w:r>
      <w:r w:rsidR="00AE1A7D" w:rsidRPr="00871CF1">
        <w:rPr>
          <w:color w:val="auto"/>
        </w:rPr>
        <w:t xml:space="preserve"> GHG emissions and nitrate leaching</w:t>
      </w:r>
      <w:r w:rsidR="001A33D0" w:rsidRPr="00871CF1">
        <w:rPr>
          <w:color w:val="auto"/>
        </w:rPr>
        <w:t>, are</w:t>
      </w:r>
      <w:r w:rsidR="00466016" w:rsidRPr="00871CF1">
        <w:rPr>
          <w:color w:val="auto"/>
        </w:rPr>
        <w:t xml:space="preserve"> progressively</w:t>
      </w:r>
      <w:r w:rsidR="001A33D0" w:rsidRPr="00871CF1">
        <w:rPr>
          <w:color w:val="auto"/>
        </w:rPr>
        <w:t xml:space="preserve"> activated</w:t>
      </w:r>
      <w:r w:rsidR="00031002" w:rsidRPr="00871CF1">
        <w:rPr>
          <w:color w:val="auto"/>
        </w:rPr>
        <w:t xml:space="preserve"> (Fig. 2</w:t>
      </w:r>
      <w:r w:rsidR="00C13051" w:rsidRPr="00871CF1">
        <w:rPr>
          <w:color w:val="auto"/>
        </w:rPr>
        <w:t>a</w:t>
      </w:r>
      <w:r w:rsidR="00031002" w:rsidRPr="00871CF1">
        <w:rPr>
          <w:color w:val="auto"/>
        </w:rPr>
        <w:t>)</w:t>
      </w:r>
      <w:r w:rsidR="001A33D0" w:rsidRPr="00871CF1">
        <w:rPr>
          <w:color w:val="auto"/>
        </w:rPr>
        <w:t>.</w:t>
      </w:r>
      <w:r w:rsidR="00886812" w:rsidRPr="00871CF1">
        <w:rPr>
          <w:color w:val="auto"/>
        </w:rPr>
        <w:t xml:space="preserve"> </w:t>
      </w:r>
      <w:r w:rsidR="00D5258C" w:rsidRPr="00871CF1">
        <w:rPr>
          <w:color w:val="auto"/>
        </w:rPr>
        <w:t>Going from the BAU scenario to ICLS (MOW and GRAZ scenarios in this study), the economic productivity was approximatively halved (Fig. 2 and 6). This closely aligns with agricultural income data reported by regional statistics in Wallonia</w:t>
      </w:r>
      <w:r w:rsidR="00606317" w:rsidRPr="00871CF1">
        <w:rPr>
          <w:color w:val="auto"/>
        </w:rPr>
        <w:t xml:space="preserve"> in 2016-2018</w:t>
      </w:r>
      <w:r w:rsidR="00D5258C" w:rsidRPr="00871CF1">
        <w:rPr>
          <w:color w:val="auto"/>
        </w:rPr>
        <w:t>, where farms that combine crop production with non-dairy cattle – such as in the MOW and GRAZ scenarios – achieve incomes that are 54% of those earned by crop-only farms – as the BAU scenario</w:t>
      </w:r>
      <w:r w:rsidR="00CC23F2" w:rsidRPr="00871CF1">
        <w:rPr>
          <w:color w:val="auto"/>
        </w:rPr>
        <w:t xml:space="preserve"> (</w:t>
      </w:r>
      <w:r w:rsidR="002208D9" w:rsidRPr="00871CF1">
        <w:rPr>
          <w:color w:val="auto"/>
        </w:rPr>
        <w:t>Walloon Public Service, 2020)</w:t>
      </w:r>
      <w:r w:rsidR="00D5258C" w:rsidRPr="00871CF1">
        <w:rPr>
          <w:color w:val="auto"/>
        </w:rPr>
        <w:t xml:space="preserve">. </w:t>
      </w:r>
      <w:r w:rsidR="00AE1A7D" w:rsidRPr="00871CF1">
        <w:rPr>
          <w:color w:val="auto"/>
        </w:rPr>
        <w:t>Nevertheless</w:t>
      </w:r>
      <w:r w:rsidR="00F971A0" w:rsidRPr="00871CF1">
        <w:rPr>
          <w:color w:val="auto"/>
        </w:rPr>
        <w:t>, crop diversification and ICLS</w:t>
      </w:r>
      <w:r w:rsidR="00AE1A7D" w:rsidRPr="00871CF1">
        <w:rPr>
          <w:color w:val="auto"/>
        </w:rPr>
        <w:t xml:space="preserve"> </w:t>
      </w:r>
      <w:r w:rsidR="00DE3E36" w:rsidRPr="00871CF1">
        <w:rPr>
          <w:color w:val="auto"/>
        </w:rPr>
        <w:t xml:space="preserve">also </w:t>
      </w:r>
      <w:r w:rsidR="00AE1A7D" w:rsidRPr="00871CF1">
        <w:rPr>
          <w:color w:val="auto"/>
        </w:rPr>
        <w:t>enhance productivity stability</w:t>
      </w:r>
      <w:r w:rsidR="00522DCD" w:rsidRPr="00871CF1">
        <w:rPr>
          <w:color w:val="auto"/>
        </w:rPr>
        <w:t xml:space="preserve"> (Fig. 2b</w:t>
      </w:r>
      <w:r w:rsidR="007B6F7B" w:rsidRPr="00871CF1">
        <w:rPr>
          <w:color w:val="auto"/>
        </w:rPr>
        <w:t>; in accordance with e.g.</w:t>
      </w:r>
      <w:r w:rsidR="008774AC" w:rsidRPr="00871CF1">
        <w:rPr>
          <w:color w:val="auto"/>
        </w:rPr>
        <w:t>,</w:t>
      </w:r>
      <w:r w:rsidR="007B6F7B" w:rsidRPr="00871CF1">
        <w:rPr>
          <w:color w:val="auto"/>
        </w:rPr>
        <w:t xml:space="preserve"> Bowles et al. (2020) and Gaudin et al. (2015)</w:t>
      </w:r>
      <w:r w:rsidR="00522DCD" w:rsidRPr="00871CF1">
        <w:rPr>
          <w:color w:val="auto"/>
        </w:rPr>
        <w:t>)</w:t>
      </w:r>
      <w:r w:rsidR="00AE1A7D" w:rsidRPr="00871CF1">
        <w:rPr>
          <w:color w:val="auto"/>
        </w:rPr>
        <w:t xml:space="preserve">, which in this study is defined as a balance between high but </w:t>
      </w:r>
      <w:r w:rsidR="00AE1A7D" w:rsidRPr="00871CF1">
        <w:rPr>
          <w:color w:val="auto"/>
        </w:rPr>
        <w:lastRenderedPageBreak/>
        <w:t>variable productivity and lower yet more consistent productivity.</w:t>
      </w:r>
      <w:r w:rsidR="00F20DA1" w:rsidRPr="00871CF1">
        <w:rPr>
          <w:color w:val="auto"/>
        </w:rPr>
        <w:t xml:space="preserve"> This notably stems from the ability of ICLS to improve crop resistance to extreme climatic events (Delandmeter et al., 2026</w:t>
      </w:r>
      <w:r w:rsidR="008B47D7" w:rsidRPr="00871CF1">
        <w:rPr>
          <w:color w:val="auto"/>
        </w:rPr>
        <w:t>a</w:t>
      </w:r>
      <w:r w:rsidR="00155B83" w:rsidRPr="00871CF1">
        <w:rPr>
          <w:color w:val="auto"/>
        </w:rPr>
        <w:t>; 2026b</w:t>
      </w:r>
      <w:r w:rsidR="00F20DA1" w:rsidRPr="00871CF1">
        <w:rPr>
          <w:color w:val="auto"/>
        </w:rPr>
        <w:t>).</w:t>
      </w:r>
      <w:r w:rsidR="002948BA" w:rsidRPr="00871CF1">
        <w:rPr>
          <w:color w:val="auto"/>
        </w:rPr>
        <w:t xml:space="preserve"> </w:t>
      </w:r>
      <w:r w:rsidR="00FA79CD" w:rsidRPr="00871CF1">
        <w:rPr>
          <w:color w:val="auto"/>
        </w:rPr>
        <w:t xml:space="preserve">This is critical in the context of climate change, which is expected to </w:t>
      </w:r>
      <w:r w:rsidR="00FF2879" w:rsidRPr="00871CF1">
        <w:rPr>
          <w:color w:val="auto"/>
        </w:rPr>
        <w:t>impact agroecosystems</w:t>
      </w:r>
      <w:r w:rsidR="00DF3172" w:rsidRPr="00871CF1">
        <w:rPr>
          <w:color w:val="auto"/>
        </w:rPr>
        <w:t xml:space="preserve"> </w:t>
      </w:r>
      <w:r w:rsidR="007C475A" w:rsidRPr="00871CF1">
        <w:rPr>
          <w:color w:val="auto"/>
        </w:rPr>
        <w:t>and induce variability</w:t>
      </w:r>
      <w:r w:rsidR="00521F6A" w:rsidRPr="00871CF1">
        <w:rPr>
          <w:color w:val="auto"/>
        </w:rPr>
        <w:t xml:space="preserve"> in productivity</w:t>
      </w:r>
      <w:r w:rsidR="007C475A" w:rsidRPr="00871CF1">
        <w:rPr>
          <w:color w:val="auto"/>
        </w:rPr>
        <w:t xml:space="preserve"> (Myers et al., 2017).</w:t>
      </w:r>
      <w:r w:rsidR="004727B5" w:rsidRPr="00871CF1">
        <w:rPr>
          <w:color w:val="auto"/>
          <w:highlight w:val="yellow"/>
        </w:rPr>
        <w:t xml:space="preserve"> </w:t>
      </w:r>
    </w:p>
    <w:p w14:paraId="4AE5C55D" w14:textId="38975C3B" w:rsidR="00151D52" w:rsidRPr="00871CF1" w:rsidRDefault="00151D52" w:rsidP="006A25BF">
      <w:pPr>
        <w:pStyle w:val="Publi1"/>
      </w:pPr>
      <w:r w:rsidRPr="00871CF1">
        <w:t>Conclusion</w:t>
      </w:r>
    </w:p>
    <w:p w14:paraId="35BC8667" w14:textId="6CE01092" w:rsidR="00E05F69" w:rsidRPr="00871CF1" w:rsidRDefault="003B1433" w:rsidP="003E054F">
      <w:pPr>
        <w:pStyle w:val="PubliManuscript"/>
        <w:rPr>
          <w:color w:val="auto"/>
        </w:rPr>
      </w:pPr>
      <w:r w:rsidRPr="00871CF1">
        <w:rPr>
          <w:color w:val="auto"/>
        </w:rPr>
        <w:t xml:space="preserve">The ES </w:t>
      </w:r>
      <w:r w:rsidR="001645CE" w:rsidRPr="00871CF1">
        <w:rPr>
          <w:color w:val="auto"/>
        </w:rPr>
        <w:t xml:space="preserve">investigated in this study varied in both their levels of provision and their trade-offs and synergies, depending on the diverse pedoclimatic conditions across Wallonia and the agronomic management practices </w:t>
      </w:r>
      <w:r w:rsidR="00B20654" w:rsidRPr="00871CF1">
        <w:rPr>
          <w:color w:val="auto"/>
        </w:rPr>
        <w:t>tested</w:t>
      </w:r>
      <w:r w:rsidR="006173EE" w:rsidRPr="00871CF1">
        <w:rPr>
          <w:color w:val="auto"/>
        </w:rPr>
        <w:t xml:space="preserve">. </w:t>
      </w:r>
      <w:r w:rsidRPr="00871CF1">
        <w:rPr>
          <w:color w:val="auto"/>
        </w:rPr>
        <w:t>T</w:t>
      </w:r>
      <w:r w:rsidR="006173EE" w:rsidRPr="00871CF1">
        <w:rPr>
          <w:color w:val="auto"/>
        </w:rPr>
        <w:t xml:space="preserve">hese </w:t>
      </w:r>
      <w:r w:rsidR="005F472D" w:rsidRPr="00871CF1">
        <w:rPr>
          <w:color w:val="auto"/>
        </w:rPr>
        <w:t xml:space="preserve">ES </w:t>
      </w:r>
      <w:r w:rsidR="00161437" w:rsidRPr="00871CF1">
        <w:rPr>
          <w:color w:val="auto"/>
        </w:rPr>
        <w:t xml:space="preserve">are available at different spatial and temporal scales, which can affect farmers' motivation to supply them </w:t>
      </w:r>
      <w:r w:rsidR="00C744C1" w:rsidRPr="00871CF1">
        <w:rPr>
          <w:color w:val="auto"/>
        </w:rPr>
        <w:t>(Power, 2010).</w:t>
      </w:r>
      <w:r w:rsidR="00445ACB" w:rsidRPr="00871CF1">
        <w:rPr>
          <w:color w:val="auto"/>
        </w:rPr>
        <w:t xml:space="preserve"> For instance, greater soil carbon sequestration</w:t>
      </w:r>
      <w:r w:rsidR="005159DB" w:rsidRPr="00871CF1">
        <w:rPr>
          <w:color w:val="auto"/>
        </w:rPr>
        <w:t xml:space="preserve"> – resulting </w:t>
      </w:r>
      <w:r w:rsidR="009F78EB" w:rsidRPr="00871CF1">
        <w:rPr>
          <w:color w:val="auto"/>
        </w:rPr>
        <w:t>from</w:t>
      </w:r>
      <w:r w:rsidR="007F478E" w:rsidRPr="00871CF1">
        <w:rPr>
          <w:color w:val="auto"/>
        </w:rPr>
        <w:t xml:space="preserve"> crop diversification and crop-livestock integration</w:t>
      </w:r>
      <w:r w:rsidR="006B4B9B" w:rsidRPr="00871CF1">
        <w:rPr>
          <w:color w:val="auto"/>
        </w:rPr>
        <w:t xml:space="preserve"> –</w:t>
      </w:r>
      <w:r w:rsidR="007F478E" w:rsidRPr="00871CF1">
        <w:rPr>
          <w:color w:val="auto"/>
        </w:rPr>
        <w:t xml:space="preserve"> </w:t>
      </w:r>
      <w:r w:rsidR="00445ACB" w:rsidRPr="00871CF1">
        <w:rPr>
          <w:color w:val="auto"/>
        </w:rPr>
        <w:t>contribu</w:t>
      </w:r>
      <w:r w:rsidR="002F3D06" w:rsidRPr="00871CF1">
        <w:rPr>
          <w:color w:val="auto"/>
        </w:rPr>
        <w:t>tes</w:t>
      </w:r>
      <w:r w:rsidR="00445ACB" w:rsidRPr="00871CF1">
        <w:rPr>
          <w:color w:val="auto"/>
        </w:rPr>
        <w:t xml:space="preserve"> to water retention and climate resilience (Lal, 2020)</w:t>
      </w:r>
      <w:r w:rsidR="007A42C6" w:rsidRPr="00871CF1">
        <w:rPr>
          <w:color w:val="auto"/>
        </w:rPr>
        <w:t>. However, these benefits only appear in the long term</w:t>
      </w:r>
      <w:r w:rsidR="00445ACB" w:rsidRPr="00871CF1">
        <w:rPr>
          <w:color w:val="auto"/>
        </w:rPr>
        <w:t xml:space="preserve">. </w:t>
      </w:r>
      <w:r w:rsidR="0009611A" w:rsidRPr="00871CF1">
        <w:rPr>
          <w:color w:val="auto"/>
        </w:rPr>
        <w:t xml:space="preserve">In the same </w:t>
      </w:r>
      <w:r w:rsidR="005D5763" w:rsidRPr="00871CF1">
        <w:rPr>
          <w:color w:val="auto"/>
        </w:rPr>
        <w:t>direction</w:t>
      </w:r>
      <w:r w:rsidR="0009611A" w:rsidRPr="00871CF1">
        <w:rPr>
          <w:color w:val="auto"/>
        </w:rPr>
        <w:t xml:space="preserve">, </w:t>
      </w:r>
      <w:r w:rsidR="00D02A9A" w:rsidRPr="00871CF1">
        <w:rPr>
          <w:color w:val="auto"/>
        </w:rPr>
        <w:t>SOC</w:t>
      </w:r>
      <w:r w:rsidR="001D512B" w:rsidRPr="00871CF1">
        <w:rPr>
          <w:color w:val="auto"/>
        </w:rPr>
        <w:t xml:space="preserve"> potential for climate change mitigation, or the </w:t>
      </w:r>
      <w:r w:rsidR="001D04A7" w:rsidRPr="00871CF1">
        <w:rPr>
          <w:color w:val="auto"/>
        </w:rPr>
        <w:t>negative impacts</w:t>
      </w:r>
      <w:r w:rsidR="001D512B" w:rsidRPr="00871CF1">
        <w:rPr>
          <w:color w:val="auto"/>
        </w:rPr>
        <w:t xml:space="preserve"> of crop rotations such as </w:t>
      </w:r>
      <w:r w:rsidR="00842C78" w:rsidRPr="00871CF1">
        <w:rPr>
          <w:color w:val="auto"/>
        </w:rPr>
        <w:t>GHG</w:t>
      </w:r>
      <w:r w:rsidR="001D512B" w:rsidRPr="00871CF1">
        <w:rPr>
          <w:color w:val="auto"/>
        </w:rPr>
        <w:t xml:space="preserve"> emissions and nitrate leaching</w:t>
      </w:r>
      <w:r w:rsidR="00361DDA" w:rsidRPr="00871CF1">
        <w:rPr>
          <w:color w:val="auto"/>
        </w:rPr>
        <w:t xml:space="preserve"> – greater under baseline management</w:t>
      </w:r>
      <w:r w:rsidR="00D130C7" w:rsidRPr="00871CF1">
        <w:rPr>
          <w:color w:val="auto"/>
        </w:rPr>
        <w:t xml:space="preserve"> – </w:t>
      </w:r>
      <w:r w:rsidR="000F685D" w:rsidRPr="00871CF1">
        <w:rPr>
          <w:color w:val="auto"/>
        </w:rPr>
        <w:t>extend beyond the farm level</w:t>
      </w:r>
      <w:r w:rsidR="001D512B" w:rsidRPr="00871CF1">
        <w:rPr>
          <w:color w:val="auto"/>
        </w:rPr>
        <w:t>.</w:t>
      </w:r>
      <w:r w:rsidR="002E7A2C" w:rsidRPr="00871CF1">
        <w:rPr>
          <w:color w:val="auto"/>
        </w:rPr>
        <w:t xml:space="preserve"> </w:t>
      </w:r>
      <w:r w:rsidR="00B70D6E" w:rsidRPr="00871CF1">
        <w:rPr>
          <w:color w:val="auto"/>
        </w:rPr>
        <w:t xml:space="preserve">Hence, such </w:t>
      </w:r>
      <w:proofErr w:type="spellStart"/>
      <w:r w:rsidR="00B70D6E" w:rsidRPr="00871CF1">
        <w:rPr>
          <w:color w:val="auto"/>
        </w:rPr>
        <w:t>spatio</w:t>
      </w:r>
      <w:proofErr w:type="spellEnd"/>
      <w:r w:rsidR="00B70D6E" w:rsidRPr="00871CF1">
        <w:rPr>
          <w:color w:val="auto"/>
        </w:rPr>
        <w:t xml:space="preserve">-temporal scales do not incentivize farmers to transition to </w:t>
      </w:r>
      <w:r w:rsidR="00C45C84" w:rsidRPr="00871CF1">
        <w:rPr>
          <w:color w:val="auto"/>
        </w:rPr>
        <w:t>agroecological</w:t>
      </w:r>
      <w:r w:rsidR="00B70D6E" w:rsidRPr="00871CF1">
        <w:rPr>
          <w:color w:val="auto"/>
        </w:rPr>
        <w:t xml:space="preserve"> management, since their narrow margins compel them to prioritize profitability over other ES. </w:t>
      </w:r>
      <w:r w:rsidR="004562C5" w:rsidRPr="00871CF1">
        <w:rPr>
          <w:color w:val="auto"/>
        </w:rPr>
        <w:t>The general trade-off between maximizing productivity and minimizing environmental impacts is well known (Seppelt et al., 2016</w:t>
      </w:r>
      <w:r w:rsidR="00354911" w:rsidRPr="00871CF1">
        <w:rPr>
          <w:color w:val="auto"/>
        </w:rPr>
        <w:t>; Powell, 2010</w:t>
      </w:r>
      <w:r w:rsidR="004562C5" w:rsidRPr="00871CF1">
        <w:rPr>
          <w:color w:val="auto"/>
        </w:rPr>
        <w:t xml:space="preserve">). However, our analysis conducted at large </w:t>
      </w:r>
      <w:proofErr w:type="spellStart"/>
      <w:r w:rsidR="004562C5" w:rsidRPr="00871CF1">
        <w:rPr>
          <w:color w:val="auto"/>
        </w:rPr>
        <w:t>spatio</w:t>
      </w:r>
      <w:proofErr w:type="spellEnd"/>
      <w:r w:rsidR="004562C5" w:rsidRPr="00871CF1">
        <w:rPr>
          <w:color w:val="auto"/>
        </w:rPr>
        <w:t xml:space="preserve">-temporal scales provides a precise quantification of this balance, highlighting the urgent need to support farmers in adopting agroecological practices. In this context, our overview of </w:t>
      </w:r>
      <w:r w:rsidR="009A303D" w:rsidRPr="00871CF1">
        <w:rPr>
          <w:color w:val="auto"/>
        </w:rPr>
        <w:t xml:space="preserve">ES </w:t>
      </w:r>
      <w:r w:rsidR="004562C5" w:rsidRPr="00871CF1">
        <w:rPr>
          <w:color w:val="auto"/>
        </w:rPr>
        <w:t xml:space="preserve">performance (Fig. 5) quantifies both the expected benefits of gradually implementing these practices and the financial support required to </w:t>
      </w:r>
      <w:r w:rsidR="008D1FA5" w:rsidRPr="00871CF1">
        <w:rPr>
          <w:color w:val="auto"/>
        </w:rPr>
        <w:t>compensate</w:t>
      </w:r>
      <w:r w:rsidR="00C61CB9" w:rsidRPr="00871CF1">
        <w:rPr>
          <w:color w:val="auto"/>
        </w:rPr>
        <w:t xml:space="preserve"> for</w:t>
      </w:r>
      <w:r w:rsidR="004562C5" w:rsidRPr="00871CF1">
        <w:rPr>
          <w:color w:val="auto"/>
        </w:rPr>
        <w:t xml:space="preserve"> the associated economic losses</w:t>
      </w:r>
      <w:r w:rsidR="007D6352" w:rsidRPr="00871CF1">
        <w:rPr>
          <w:color w:val="auto"/>
        </w:rPr>
        <w:t xml:space="preserve"> if we want to increase their level of adoption</w:t>
      </w:r>
      <w:r w:rsidR="004562C5" w:rsidRPr="00871CF1">
        <w:rPr>
          <w:color w:val="auto"/>
        </w:rPr>
        <w:t xml:space="preserve">. </w:t>
      </w:r>
      <w:bookmarkStart w:id="7" w:name="_Hlk227679065"/>
      <w:r w:rsidR="001D2FD4" w:rsidRPr="00871CF1">
        <w:rPr>
          <w:color w:val="auto"/>
        </w:rPr>
        <w:t>For these reasons, policies that internalize both ecosystem services and disservices, for example through market-based instruments such as carbon credits (Oldfield et al., 2022) and result-based payment schemes (</w:t>
      </w:r>
      <w:proofErr w:type="spellStart"/>
      <w:r w:rsidR="001D2FD4" w:rsidRPr="00871CF1">
        <w:rPr>
          <w:color w:val="auto"/>
        </w:rPr>
        <w:t>Sidemo</w:t>
      </w:r>
      <w:proofErr w:type="spellEnd"/>
      <w:r w:rsidR="001D2FD4" w:rsidRPr="00871CF1">
        <w:rPr>
          <w:color w:val="auto"/>
        </w:rPr>
        <w:t xml:space="preserve">-Holm et al., 2018), may be of particular interest. </w:t>
      </w:r>
      <w:bookmarkEnd w:id="7"/>
      <w:r w:rsidR="00BE66E2" w:rsidRPr="00871CF1">
        <w:rPr>
          <w:color w:val="auto"/>
        </w:rPr>
        <w:t>Meanwhile, other advantages of agroecological practices</w:t>
      </w:r>
      <w:r w:rsidR="00AE285D" w:rsidRPr="00871CF1">
        <w:rPr>
          <w:color w:val="auto"/>
        </w:rPr>
        <w:t xml:space="preserve"> demonstrated in this study</w:t>
      </w:r>
      <w:r w:rsidR="00BE66E2" w:rsidRPr="00871CF1">
        <w:rPr>
          <w:color w:val="auto"/>
        </w:rPr>
        <w:t>, such as greater productivity stability, are already inherent to the farm and should serve as incentives for their wider adoption</w:t>
      </w:r>
      <w:r w:rsidR="00915FBF" w:rsidRPr="00871CF1">
        <w:rPr>
          <w:color w:val="auto"/>
        </w:rPr>
        <w:t>.</w:t>
      </w:r>
      <w:r w:rsidR="00E05F69" w:rsidRPr="00871CF1">
        <w:rPr>
          <w:color w:val="auto"/>
        </w:rPr>
        <w:br w:type="page"/>
      </w:r>
    </w:p>
    <w:p w14:paraId="17A5077B" w14:textId="4DEBAD03" w:rsidR="003136BA" w:rsidRPr="00871CF1" w:rsidRDefault="00DF383F" w:rsidP="003136BA">
      <w:pPr>
        <w:pStyle w:val="Publi1"/>
      </w:pPr>
      <w:r w:rsidRPr="00871CF1">
        <w:lastRenderedPageBreak/>
        <w:t>References</w:t>
      </w:r>
    </w:p>
    <w:p w14:paraId="1AA9AD1B" w14:textId="122BFA1B" w:rsidR="00CC01C1" w:rsidRPr="00871CF1" w:rsidRDefault="00CC01C1" w:rsidP="0001187F">
      <w:pPr>
        <w:pStyle w:val="PubliManuscript"/>
        <w:spacing w:line="240" w:lineRule="auto"/>
        <w:ind w:firstLine="0"/>
        <w:rPr>
          <w:color w:val="auto"/>
          <w:szCs w:val="22"/>
          <w:shd w:val="clear" w:color="auto" w:fill="FFFFFF"/>
        </w:rPr>
      </w:pPr>
      <w:r w:rsidRPr="00871CF1">
        <w:rPr>
          <w:color w:val="auto"/>
          <w:szCs w:val="22"/>
          <w:shd w:val="clear" w:color="auto" w:fill="FFFFFF"/>
        </w:rPr>
        <w:t>Abdalla, M., Hastings, A., Chadwick, D. R., Jones, D. L., Evans, C. D., Jones, M. B., ... &amp; Smith, P. E. T. E. (2018). Critical review of the impacts of grazing intensity on soil organic carbon storage and other soil quality indicators in extensively managed grasslands. </w:t>
      </w:r>
      <w:r w:rsidRPr="00871CF1">
        <w:rPr>
          <w:i/>
          <w:iCs/>
          <w:color w:val="auto"/>
          <w:szCs w:val="22"/>
          <w:shd w:val="clear" w:color="auto" w:fill="FFFFFF"/>
        </w:rPr>
        <w:t>Agriculture, Ecosystems &amp; Environment</w:t>
      </w:r>
      <w:r w:rsidRPr="00871CF1">
        <w:rPr>
          <w:color w:val="auto"/>
          <w:szCs w:val="22"/>
          <w:shd w:val="clear" w:color="auto" w:fill="FFFFFF"/>
        </w:rPr>
        <w:t>, </w:t>
      </w:r>
      <w:r w:rsidRPr="00871CF1">
        <w:rPr>
          <w:i/>
          <w:iCs/>
          <w:color w:val="auto"/>
          <w:szCs w:val="22"/>
          <w:shd w:val="clear" w:color="auto" w:fill="FFFFFF"/>
        </w:rPr>
        <w:t>253</w:t>
      </w:r>
      <w:r w:rsidRPr="00871CF1">
        <w:rPr>
          <w:color w:val="auto"/>
          <w:szCs w:val="22"/>
          <w:shd w:val="clear" w:color="auto" w:fill="FFFFFF"/>
        </w:rPr>
        <w:t>, 62-81. https://doi.org/10.1016/j.agee.2017.10.023</w:t>
      </w:r>
    </w:p>
    <w:p w14:paraId="0A54FFF3" w14:textId="09444221" w:rsidR="003136BA" w:rsidRPr="00871CF1" w:rsidRDefault="003136BA" w:rsidP="0001187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rPr>
        <w:t>Autret</w:t>
      </w:r>
      <w:proofErr w:type="spellEnd"/>
      <w:r w:rsidRPr="00871CF1">
        <w:rPr>
          <w:color w:val="auto"/>
          <w:szCs w:val="22"/>
          <w:shd w:val="clear" w:color="auto" w:fill="FFFFFF"/>
        </w:rPr>
        <w:t xml:space="preserve">, B., Mary, B., </w:t>
      </w:r>
      <w:proofErr w:type="spellStart"/>
      <w:r w:rsidRPr="00871CF1">
        <w:rPr>
          <w:color w:val="auto"/>
          <w:szCs w:val="22"/>
          <w:shd w:val="clear" w:color="auto" w:fill="FFFFFF"/>
        </w:rPr>
        <w:t>Strullu</w:t>
      </w:r>
      <w:proofErr w:type="spellEnd"/>
      <w:r w:rsidRPr="00871CF1">
        <w:rPr>
          <w:color w:val="auto"/>
          <w:szCs w:val="22"/>
          <w:shd w:val="clear" w:color="auto" w:fill="FFFFFF"/>
        </w:rPr>
        <w:t xml:space="preserve">, L., Chlebowski, F., </w:t>
      </w:r>
      <w:proofErr w:type="spellStart"/>
      <w:r w:rsidRPr="00871CF1">
        <w:rPr>
          <w:color w:val="auto"/>
          <w:szCs w:val="22"/>
          <w:shd w:val="clear" w:color="auto" w:fill="FFFFFF"/>
        </w:rPr>
        <w:t>Mäder</w:t>
      </w:r>
      <w:proofErr w:type="spellEnd"/>
      <w:r w:rsidRPr="00871CF1">
        <w:rPr>
          <w:color w:val="auto"/>
          <w:szCs w:val="22"/>
          <w:shd w:val="clear" w:color="auto" w:fill="FFFFFF"/>
        </w:rPr>
        <w:t>, P., Mayer, J., ... &amp; Beaudoin, N. (2020). Long-term modelling of crop yield, nitrogen losses and GHG balance in organic cropping systems. </w:t>
      </w:r>
      <w:r w:rsidRPr="00871CF1">
        <w:rPr>
          <w:i/>
          <w:iCs/>
          <w:color w:val="auto"/>
          <w:szCs w:val="22"/>
          <w:shd w:val="clear" w:color="auto" w:fill="FFFFFF"/>
        </w:rPr>
        <w:t>Science of the Total Environment</w:t>
      </w:r>
      <w:r w:rsidRPr="00871CF1">
        <w:rPr>
          <w:color w:val="auto"/>
          <w:szCs w:val="22"/>
          <w:shd w:val="clear" w:color="auto" w:fill="FFFFFF"/>
        </w:rPr>
        <w:t>, </w:t>
      </w:r>
      <w:r w:rsidRPr="00871CF1">
        <w:rPr>
          <w:i/>
          <w:iCs/>
          <w:color w:val="auto"/>
          <w:szCs w:val="22"/>
          <w:shd w:val="clear" w:color="auto" w:fill="FFFFFF"/>
        </w:rPr>
        <w:t>710</w:t>
      </w:r>
      <w:r w:rsidRPr="00871CF1">
        <w:rPr>
          <w:color w:val="auto"/>
          <w:szCs w:val="22"/>
          <w:shd w:val="clear" w:color="auto" w:fill="FFFFFF"/>
        </w:rPr>
        <w:t xml:space="preserve">, 134597. </w:t>
      </w:r>
      <w:hyperlink r:id="rId13" w:tgtFrame="_blank" w:tooltip="Persistent link using digital object identifier" w:history="1">
        <w:r w:rsidRPr="00871CF1">
          <w:rPr>
            <w:rStyle w:val="Lienhypertexte"/>
            <w:color w:val="auto"/>
            <w:szCs w:val="22"/>
            <w:u w:val="none"/>
            <w:shd w:val="clear" w:color="auto" w:fill="FFFFFF"/>
          </w:rPr>
          <w:t>https://doi.org/10.1016/j.scitotenv.2019.134597</w:t>
        </w:r>
      </w:hyperlink>
    </w:p>
    <w:p w14:paraId="1A7DA135" w14:textId="1ED2A5CC" w:rsidR="00FA6780" w:rsidRPr="00871CF1" w:rsidRDefault="00FA6780" w:rsidP="0001187F">
      <w:pPr>
        <w:pStyle w:val="PubliManuscript"/>
        <w:spacing w:line="240" w:lineRule="auto"/>
        <w:ind w:firstLine="0"/>
        <w:rPr>
          <w:color w:val="auto"/>
          <w:szCs w:val="22"/>
          <w:shd w:val="clear" w:color="auto" w:fill="FFFFFF"/>
        </w:rPr>
      </w:pPr>
      <w:r w:rsidRPr="00871CF1">
        <w:rPr>
          <w:color w:val="auto"/>
          <w:szCs w:val="22"/>
          <w:shd w:val="clear" w:color="auto" w:fill="FFFFFF"/>
          <w:lang w:val="fr-BE"/>
        </w:rPr>
        <w:t xml:space="preserve">Barbieri, P., Dumont, B., Benoit, M., &amp; </w:t>
      </w:r>
      <w:proofErr w:type="spellStart"/>
      <w:r w:rsidRPr="00871CF1">
        <w:rPr>
          <w:color w:val="auto"/>
          <w:szCs w:val="22"/>
          <w:shd w:val="clear" w:color="auto" w:fill="FFFFFF"/>
          <w:lang w:val="fr-BE"/>
        </w:rPr>
        <w:t>Nesme</w:t>
      </w:r>
      <w:proofErr w:type="spellEnd"/>
      <w:r w:rsidRPr="00871CF1">
        <w:rPr>
          <w:color w:val="auto"/>
          <w:szCs w:val="22"/>
          <w:shd w:val="clear" w:color="auto" w:fill="FFFFFF"/>
          <w:lang w:val="fr-BE"/>
        </w:rPr>
        <w:t xml:space="preserve">, T. (2022). </w:t>
      </w:r>
      <w:r w:rsidRPr="00871CF1">
        <w:rPr>
          <w:color w:val="auto"/>
          <w:szCs w:val="22"/>
          <w:shd w:val="clear" w:color="auto" w:fill="FFFFFF"/>
        </w:rPr>
        <w:t>Opinion paper: Livestock is at the heart of interacting levers to reduce feed-food competition in agroecological food systems. </w:t>
      </w:r>
      <w:r w:rsidRPr="00871CF1">
        <w:rPr>
          <w:i/>
          <w:iCs/>
          <w:color w:val="auto"/>
          <w:szCs w:val="22"/>
          <w:shd w:val="clear" w:color="auto" w:fill="FFFFFF"/>
        </w:rPr>
        <w:t>Animal</w:t>
      </w:r>
      <w:r w:rsidRPr="00871CF1">
        <w:rPr>
          <w:color w:val="auto"/>
          <w:szCs w:val="22"/>
          <w:shd w:val="clear" w:color="auto" w:fill="FFFFFF"/>
        </w:rPr>
        <w:t>, </w:t>
      </w:r>
      <w:r w:rsidRPr="00871CF1">
        <w:rPr>
          <w:i/>
          <w:iCs/>
          <w:color w:val="auto"/>
          <w:szCs w:val="22"/>
          <w:shd w:val="clear" w:color="auto" w:fill="FFFFFF"/>
        </w:rPr>
        <w:t>16</w:t>
      </w:r>
      <w:r w:rsidRPr="00871CF1">
        <w:rPr>
          <w:color w:val="auto"/>
          <w:szCs w:val="22"/>
          <w:shd w:val="clear" w:color="auto" w:fill="FFFFFF"/>
        </w:rPr>
        <w:t xml:space="preserve">(2), 100436. </w:t>
      </w:r>
      <w:r w:rsidR="00373311" w:rsidRPr="00871CF1">
        <w:rPr>
          <w:color w:val="auto"/>
          <w:szCs w:val="22"/>
          <w:shd w:val="clear" w:color="auto" w:fill="FFFFFF"/>
        </w:rPr>
        <w:t>https://doi.org/10.1016/j.animal.2021.100436</w:t>
      </w:r>
    </w:p>
    <w:p w14:paraId="2482E8C5" w14:textId="17EDD7D4" w:rsidR="003136BA" w:rsidRPr="00871CF1" w:rsidRDefault="003136BA" w:rsidP="0001187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Beaudoin, N., Launay, M., </w:t>
      </w:r>
      <w:proofErr w:type="spellStart"/>
      <w:r w:rsidRPr="00871CF1">
        <w:rPr>
          <w:color w:val="auto"/>
          <w:szCs w:val="22"/>
          <w:shd w:val="clear" w:color="auto" w:fill="FFFFFF"/>
        </w:rPr>
        <w:t>Sauboua</w:t>
      </w:r>
      <w:proofErr w:type="spellEnd"/>
      <w:r w:rsidRPr="00871CF1">
        <w:rPr>
          <w:color w:val="auto"/>
          <w:szCs w:val="22"/>
          <w:shd w:val="clear" w:color="auto" w:fill="FFFFFF"/>
        </w:rPr>
        <w:t xml:space="preserve">, E., </w:t>
      </w:r>
      <w:proofErr w:type="spellStart"/>
      <w:r w:rsidRPr="00871CF1">
        <w:rPr>
          <w:color w:val="auto"/>
          <w:szCs w:val="22"/>
          <w:shd w:val="clear" w:color="auto" w:fill="FFFFFF"/>
        </w:rPr>
        <w:t>Ponsardin</w:t>
      </w:r>
      <w:proofErr w:type="spellEnd"/>
      <w:r w:rsidRPr="00871CF1">
        <w:rPr>
          <w:color w:val="auto"/>
          <w:szCs w:val="22"/>
          <w:shd w:val="clear" w:color="auto" w:fill="FFFFFF"/>
        </w:rPr>
        <w:t xml:space="preserve">, G., &amp; Mary, B. (2008). Evaluation of the soil crop model STICS over 8 years against the “on farm” database of </w:t>
      </w:r>
      <w:proofErr w:type="spellStart"/>
      <w:r w:rsidRPr="00871CF1">
        <w:rPr>
          <w:color w:val="auto"/>
          <w:szCs w:val="22"/>
          <w:shd w:val="clear" w:color="auto" w:fill="FFFFFF"/>
        </w:rPr>
        <w:t>Bruyères</w:t>
      </w:r>
      <w:proofErr w:type="spellEnd"/>
      <w:r w:rsidRPr="00871CF1">
        <w:rPr>
          <w:color w:val="auto"/>
          <w:szCs w:val="22"/>
          <w:shd w:val="clear" w:color="auto" w:fill="FFFFFF"/>
        </w:rPr>
        <w:t xml:space="preserve"> catchment. </w:t>
      </w:r>
      <w:r w:rsidRPr="00871CF1">
        <w:rPr>
          <w:i/>
          <w:iCs/>
          <w:color w:val="auto"/>
          <w:szCs w:val="22"/>
          <w:shd w:val="clear" w:color="auto" w:fill="FFFFFF"/>
        </w:rPr>
        <w:t>European Journal of Agronomy</w:t>
      </w:r>
      <w:r w:rsidRPr="00871CF1">
        <w:rPr>
          <w:color w:val="auto"/>
          <w:szCs w:val="22"/>
          <w:shd w:val="clear" w:color="auto" w:fill="FFFFFF"/>
        </w:rPr>
        <w:t>, </w:t>
      </w:r>
      <w:r w:rsidRPr="00871CF1">
        <w:rPr>
          <w:i/>
          <w:iCs/>
          <w:color w:val="auto"/>
          <w:szCs w:val="22"/>
          <w:shd w:val="clear" w:color="auto" w:fill="FFFFFF"/>
        </w:rPr>
        <w:t>29</w:t>
      </w:r>
      <w:r w:rsidRPr="00871CF1">
        <w:rPr>
          <w:color w:val="auto"/>
          <w:szCs w:val="22"/>
          <w:shd w:val="clear" w:color="auto" w:fill="FFFFFF"/>
        </w:rPr>
        <w:t>(1), 46-57. https://doi.org/10.1016/j.eja.2008.03.001</w:t>
      </w:r>
    </w:p>
    <w:p w14:paraId="35368CFE" w14:textId="043947C4" w:rsidR="003136BA" w:rsidRPr="00871CF1" w:rsidRDefault="003136BA" w:rsidP="0001187F">
      <w:pPr>
        <w:pStyle w:val="PubliManuscript"/>
        <w:spacing w:line="240" w:lineRule="auto"/>
        <w:ind w:firstLine="0"/>
        <w:rPr>
          <w:color w:val="auto"/>
          <w:szCs w:val="22"/>
          <w:shd w:val="clear" w:color="auto" w:fill="FFFFFF"/>
          <w:lang w:val="fr-BE"/>
        </w:rPr>
      </w:pPr>
      <w:r w:rsidRPr="00871CF1">
        <w:rPr>
          <w:color w:val="auto"/>
          <w:szCs w:val="22"/>
          <w:shd w:val="clear" w:color="auto" w:fill="FFFFFF"/>
        </w:rPr>
        <w:t xml:space="preserve">Beaudoin N., </w:t>
      </w:r>
      <w:proofErr w:type="spellStart"/>
      <w:r w:rsidRPr="00871CF1">
        <w:rPr>
          <w:color w:val="auto"/>
          <w:szCs w:val="22"/>
          <w:shd w:val="clear" w:color="auto" w:fill="FFFFFF"/>
        </w:rPr>
        <w:t>Lecharpentier</w:t>
      </w:r>
      <w:proofErr w:type="spellEnd"/>
      <w:r w:rsidRPr="00871CF1">
        <w:rPr>
          <w:color w:val="auto"/>
          <w:szCs w:val="22"/>
          <w:shd w:val="clear" w:color="auto" w:fill="FFFFFF"/>
        </w:rPr>
        <w:t xml:space="preserve"> P., </w:t>
      </w:r>
      <w:proofErr w:type="spellStart"/>
      <w:r w:rsidRPr="00871CF1">
        <w:rPr>
          <w:color w:val="auto"/>
          <w:szCs w:val="22"/>
          <w:shd w:val="clear" w:color="auto" w:fill="FFFFFF"/>
        </w:rPr>
        <w:t>Ripoche</w:t>
      </w:r>
      <w:proofErr w:type="spellEnd"/>
      <w:r w:rsidRPr="00871CF1">
        <w:rPr>
          <w:color w:val="auto"/>
          <w:szCs w:val="22"/>
          <w:shd w:val="clear" w:color="auto" w:fill="FFFFFF"/>
        </w:rPr>
        <w:t xml:space="preserve"> D., </w:t>
      </w:r>
      <w:proofErr w:type="spellStart"/>
      <w:r w:rsidRPr="00871CF1">
        <w:rPr>
          <w:color w:val="auto"/>
          <w:szCs w:val="22"/>
          <w:shd w:val="clear" w:color="auto" w:fill="FFFFFF"/>
        </w:rPr>
        <w:t>Strullu</w:t>
      </w:r>
      <w:proofErr w:type="spellEnd"/>
      <w:r w:rsidRPr="00871CF1">
        <w:rPr>
          <w:color w:val="auto"/>
          <w:szCs w:val="22"/>
          <w:shd w:val="clear" w:color="auto" w:fill="FFFFFF"/>
        </w:rPr>
        <w:t xml:space="preserve"> L., Mary B., Leonard J., Launay M., </w:t>
      </w:r>
      <w:proofErr w:type="spellStart"/>
      <w:r w:rsidRPr="00871CF1">
        <w:rPr>
          <w:color w:val="auto"/>
          <w:szCs w:val="22"/>
          <w:shd w:val="clear" w:color="auto" w:fill="FFFFFF"/>
        </w:rPr>
        <w:t>Justes</w:t>
      </w:r>
      <w:proofErr w:type="spellEnd"/>
      <w:r w:rsidRPr="00871CF1">
        <w:rPr>
          <w:color w:val="auto"/>
          <w:szCs w:val="22"/>
          <w:shd w:val="clear" w:color="auto" w:fill="FFFFFF"/>
        </w:rPr>
        <w:t xml:space="preserve"> E., eds. 2022. </w:t>
      </w:r>
      <w:r w:rsidRPr="00871CF1">
        <w:rPr>
          <w:color w:val="auto"/>
          <w:szCs w:val="22"/>
          <w:shd w:val="clear" w:color="auto" w:fill="FFFFFF"/>
          <w:lang w:val="fr-BE"/>
        </w:rPr>
        <w:t xml:space="preserve">STICS </w:t>
      </w:r>
      <w:proofErr w:type="spellStart"/>
      <w:r w:rsidRPr="00871CF1">
        <w:rPr>
          <w:color w:val="auto"/>
          <w:szCs w:val="22"/>
          <w:shd w:val="clear" w:color="auto" w:fill="FFFFFF"/>
          <w:lang w:val="fr-BE"/>
        </w:rPr>
        <w:t>soil-crop</w:t>
      </w:r>
      <w:proofErr w:type="spellEnd"/>
      <w:r w:rsidRPr="00871CF1">
        <w:rPr>
          <w:color w:val="auto"/>
          <w:szCs w:val="22"/>
          <w:shd w:val="clear" w:color="auto" w:fill="FFFFFF"/>
          <w:lang w:val="fr-BE"/>
        </w:rPr>
        <w:t xml:space="preserve"> model. </w:t>
      </w:r>
      <w:proofErr w:type="spellStart"/>
      <w:r w:rsidRPr="00871CF1">
        <w:rPr>
          <w:color w:val="auto"/>
          <w:szCs w:val="22"/>
          <w:shd w:val="clear" w:color="auto" w:fill="FFFFFF"/>
          <w:lang w:val="fr-BE"/>
        </w:rPr>
        <w:t>Conceptual</w:t>
      </w:r>
      <w:proofErr w:type="spellEnd"/>
      <w:r w:rsidRPr="00871CF1">
        <w:rPr>
          <w:color w:val="auto"/>
          <w:szCs w:val="22"/>
          <w:shd w:val="clear" w:color="auto" w:fill="FFFFFF"/>
          <w:lang w:val="fr-BE"/>
        </w:rPr>
        <w:t xml:space="preserve"> </w:t>
      </w:r>
      <w:proofErr w:type="spellStart"/>
      <w:r w:rsidRPr="00871CF1">
        <w:rPr>
          <w:color w:val="auto"/>
          <w:szCs w:val="22"/>
          <w:shd w:val="clear" w:color="auto" w:fill="FFFFFF"/>
          <w:lang w:val="fr-BE"/>
        </w:rPr>
        <w:t>framework</w:t>
      </w:r>
      <w:proofErr w:type="spellEnd"/>
      <w:r w:rsidRPr="00871CF1">
        <w:rPr>
          <w:color w:val="auto"/>
          <w:szCs w:val="22"/>
          <w:shd w:val="clear" w:color="auto" w:fill="FFFFFF"/>
          <w:lang w:val="fr-BE"/>
        </w:rPr>
        <w:t xml:space="preserve">, </w:t>
      </w:r>
      <w:proofErr w:type="spellStart"/>
      <w:r w:rsidRPr="00871CF1">
        <w:rPr>
          <w:color w:val="auto"/>
          <w:szCs w:val="22"/>
          <w:shd w:val="clear" w:color="auto" w:fill="FFFFFF"/>
          <w:lang w:val="fr-BE"/>
        </w:rPr>
        <w:t>equations</w:t>
      </w:r>
      <w:proofErr w:type="spellEnd"/>
      <w:r w:rsidRPr="00871CF1">
        <w:rPr>
          <w:color w:val="auto"/>
          <w:szCs w:val="22"/>
          <w:shd w:val="clear" w:color="auto" w:fill="FFFFFF"/>
          <w:lang w:val="fr-BE"/>
        </w:rPr>
        <w:t xml:space="preserve"> and uses, Versailles, Éditions </w:t>
      </w:r>
      <w:proofErr w:type="spellStart"/>
      <w:r w:rsidRPr="00871CF1">
        <w:rPr>
          <w:color w:val="auto"/>
          <w:szCs w:val="22"/>
          <w:shd w:val="clear" w:color="auto" w:fill="FFFFFF"/>
          <w:lang w:val="fr-BE"/>
        </w:rPr>
        <w:t>Quæ</w:t>
      </w:r>
      <w:proofErr w:type="spellEnd"/>
      <w:r w:rsidRPr="00871CF1">
        <w:rPr>
          <w:color w:val="auto"/>
          <w:szCs w:val="22"/>
          <w:shd w:val="clear" w:color="auto" w:fill="FFFFFF"/>
          <w:lang w:val="fr-BE"/>
        </w:rPr>
        <w:t>.</w:t>
      </w:r>
    </w:p>
    <w:p w14:paraId="6B7AD930" w14:textId="5195E674" w:rsidR="001F0553" w:rsidRPr="00871CF1" w:rsidRDefault="001F0553" w:rsidP="0001187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lang w:val="fr-BE"/>
        </w:rPr>
        <w:t>Beillouin</w:t>
      </w:r>
      <w:proofErr w:type="spellEnd"/>
      <w:r w:rsidRPr="00871CF1">
        <w:rPr>
          <w:color w:val="auto"/>
          <w:szCs w:val="22"/>
          <w:shd w:val="clear" w:color="auto" w:fill="FFFFFF"/>
          <w:lang w:val="fr-BE"/>
        </w:rPr>
        <w:t xml:space="preserve">, D., </w:t>
      </w:r>
      <w:proofErr w:type="spellStart"/>
      <w:r w:rsidRPr="00871CF1">
        <w:rPr>
          <w:color w:val="auto"/>
          <w:szCs w:val="22"/>
          <w:shd w:val="clear" w:color="auto" w:fill="FFFFFF"/>
          <w:lang w:val="fr-BE"/>
        </w:rPr>
        <w:t>Pelzer</w:t>
      </w:r>
      <w:proofErr w:type="spellEnd"/>
      <w:r w:rsidRPr="00871CF1">
        <w:rPr>
          <w:color w:val="auto"/>
          <w:szCs w:val="22"/>
          <w:shd w:val="clear" w:color="auto" w:fill="FFFFFF"/>
          <w:lang w:val="fr-BE"/>
        </w:rPr>
        <w:t xml:space="preserve">, E., Baranger, E., </w:t>
      </w:r>
      <w:proofErr w:type="spellStart"/>
      <w:r w:rsidRPr="00871CF1">
        <w:rPr>
          <w:color w:val="auto"/>
          <w:szCs w:val="22"/>
          <w:shd w:val="clear" w:color="auto" w:fill="FFFFFF"/>
          <w:lang w:val="fr-BE"/>
        </w:rPr>
        <w:t>Carrouée</w:t>
      </w:r>
      <w:proofErr w:type="spellEnd"/>
      <w:r w:rsidRPr="00871CF1">
        <w:rPr>
          <w:color w:val="auto"/>
          <w:szCs w:val="22"/>
          <w:shd w:val="clear" w:color="auto" w:fill="FFFFFF"/>
          <w:lang w:val="fr-BE"/>
        </w:rPr>
        <w:t xml:space="preserve">, B., Cernay, C., de Chezelles, E., ... </w:t>
      </w:r>
      <w:r w:rsidRPr="00871CF1">
        <w:rPr>
          <w:color w:val="auto"/>
          <w:szCs w:val="22"/>
          <w:shd w:val="clear" w:color="auto" w:fill="FFFFFF"/>
        </w:rPr>
        <w:t xml:space="preserve">&amp; </w:t>
      </w:r>
      <w:proofErr w:type="spellStart"/>
      <w:r w:rsidRPr="00871CF1">
        <w:rPr>
          <w:color w:val="auto"/>
          <w:szCs w:val="22"/>
          <w:shd w:val="clear" w:color="auto" w:fill="FFFFFF"/>
        </w:rPr>
        <w:t>Jeuffroy</w:t>
      </w:r>
      <w:proofErr w:type="spellEnd"/>
      <w:r w:rsidRPr="00871CF1">
        <w:rPr>
          <w:color w:val="auto"/>
          <w:szCs w:val="22"/>
          <w:shd w:val="clear" w:color="auto" w:fill="FFFFFF"/>
        </w:rPr>
        <w:t>, M. H. (2021). Diversifying cropping sequence reduces nitrogen leaching risks. </w:t>
      </w:r>
      <w:r w:rsidRPr="00871CF1">
        <w:rPr>
          <w:i/>
          <w:iCs/>
          <w:color w:val="auto"/>
          <w:szCs w:val="22"/>
          <w:shd w:val="clear" w:color="auto" w:fill="FFFFFF"/>
        </w:rPr>
        <w:t>Field Crops Research</w:t>
      </w:r>
      <w:r w:rsidRPr="00871CF1">
        <w:rPr>
          <w:color w:val="auto"/>
          <w:szCs w:val="22"/>
          <w:shd w:val="clear" w:color="auto" w:fill="FFFFFF"/>
        </w:rPr>
        <w:t>, </w:t>
      </w:r>
      <w:r w:rsidRPr="00871CF1">
        <w:rPr>
          <w:i/>
          <w:iCs/>
          <w:color w:val="auto"/>
          <w:szCs w:val="22"/>
          <w:shd w:val="clear" w:color="auto" w:fill="FFFFFF"/>
        </w:rPr>
        <w:t>272</w:t>
      </w:r>
      <w:r w:rsidRPr="00871CF1">
        <w:rPr>
          <w:color w:val="auto"/>
          <w:szCs w:val="22"/>
          <w:shd w:val="clear" w:color="auto" w:fill="FFFFFF"/>
        </w:rPr>
        <w:t xml:space="preserve">, 108268. </w:t>
      </w:r>
      <w:r w:rsidR="00B70807" w:rsidRPr="00871CF1">
        <w:rPr>
          <w:color w:val="auto"/>
          <w:szCs w:val="22"/>
          <w:shd w:val="clear" w:color="auto" w:fill="FFFFFF"/>
        </w:rPr>
        <w:t>https://doi.org/10.1016/j.fcr.2021.108268</w:t>
      </w:r>
    </w:p>
    <w:p w14:paraId="7509A3A7" w14:textId="5F6CC97E" w:rsidR="00E508A5" w:rsidRPr="00871CF1" w:rsidRDefault="00E508A5" w:rsidP="0001187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Bolinder, M. A., Janzen, H. H., Gregorich, E. G., Angers, D. A., &amp; </w:t>
      </w:r>
      <w:proofErr w:type="spellStart"/>
      <w:r w:rsidRPr="00871CF1">
        <w:rPr>
          <w:color w:val="auto"/>
          <w:szCs w:val="22"/>
          <w:shd w:val="clear" w:color="auto" w:fill="FFFFFF"/>
        </w:rPr>
        <w:t>VandenBygaart</w:t>
      </w:r>
      <w:proofErr w:type="spellEnd"/>
      <w:r w:rsidRPr="00871CF1">
        <w:rPr>
          <w:color w:val="auto"/>
          <w:szCs w:val="22"/>
          <w:shd w:val="clear" w:color="auto" w:fill="FFFFFF"/>
        </w:rPr>
        <w:t>, A. J. (2007). An approach for estimating net primary productivity and annual carbon inputs to soil for common agricultural crops in Canada. </w:t>
      </w:r>
      <w:r w:rsidRPr="00871CF1">
        <w:rPr>
          <w:i/>
          <w:iCs/>
          <w:color w:val="auto"/>
          <w:szCs w:val="22"/>
          <w:shd w:val="clear" w:color="auto" w:fill="FFFFFF"/>
        </w:rPr>
        <w:t>Agriculture, Ecosystems &amp; Environment</w:t>
      </w:r>
      <w:r w:rsidRPr="00871CF1">
        <w:rPr>
          <w:color w:val="auto"/>
          <w:szCs w:val="22"/>
          <w:shd w:val="clear" w:color="auto" w:fill="FFFFFF"/>
        </w:rPr>
        <w:t>, </w:t>
      </w:r>
      <w:r w:rsidRPr="00871CF1">
        <w:rPr>
          <w:i/>
          <w:iCs/>
          <w:color w:val="auto"/>
          <w:szCs w:val="22"/>
          <w:shd w:val="clear" w:color="auto" w:fill="FFFFFF"/>
        </w:rPr>
        <w:t>118</w:t>
      </w:r>
      <w:r w:rsidRPr="00871CF1">
        <w:rPr>
          <w:color w:val="auto"/>
          <w:szCs w:val="22"/>
          <w:shd w:val="clear" w:color="auto" w:fill="FFFFFF"/>
        </w:rPr>
        <w:t xml:space="preserve">(1-4), 29-42. </w:t>
      </w:r>
      <w:r w:rsidR="000F0FC7" w:rsidRPr="00871CF1">
        <w:rPr>
          <w:color w:val="auto"/>
          <w:szCs w:val="22"/>
          <w:shd w:val="clear" w:color="auto" w:fill="FFFFFF"/>
        </w:rPr>
        <w:t>https://doi.org/10.1016/j.agee.2006.05.013</w:t>
      </w:r>
    </w:p>
    <w:p w14:paraId="13807383" w14:textId="5B043441" w:rsidR="00527F87" w:rsidRPr="00871CF1" w:rsidRDefault="00527F87" w:rsidP="0001187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Bontemps, S., </w:t>
      </w:r>
      <w:proofErr w:type="spellStart"/>
      <w:r w:rsidRPr="00871CF1">
        <w:rPr>
          <w:color w:val="auto"/>
          <w:szCs w:val="22"/>
          <w:shd w:val="clear" w:color="auto" w:fill="FFFFFF"/>
        </w:rPr>
        <w:t>Defourny</w:t>
      </w:r>
      <w:proofErr w:type="spellEnd"/>
      <w:r w:rsidRPr="00871CF1">
        <w:rPr>
          <w:color w:val="auto"/>
          <w:szCs w:val="22"/>
          <w:shd w:val="clear" w:color="auto" w:fill="FFFFFF"/>
        </w:rPr>
        <w:t xml:space="preserve">, P., </w:t>
      </w:r>
      <w:proofErr w:type="spellStart"/>
      <w:r w:rsidRPr="00871CF1">
        <w:rPr>
          <w:color w:val="auto"/>
          <w:szCs w:val="22"/>
          <w:shd w:val="clear" w:color="auto" w:fill="FFFFFF"/>
        </w:rPr>
        <w:t>Radoux</w:t>
      </w:r>
      <w:proofErr w:type="spellEnd"/>
      <w:r w:rsidRPr="00871CF1">
        <w:rPr>
          <w:color w:val="auto"/>
          <w:szCs w:val="22"/>
          <w:shd w:val="clear" w:color="auto" w:fill="FFFFFF"/>
        </w:rPr>
        <w:t>, J., Van Bogaert, E., Lamarche, C., Achard, F., ... &amp; Arino, O. (2013, September). Consistent global land cover maps for climate modelling communities: current achievements of the ESA’s land cover CCI. In </w:t>
      </w:r>
      <w:r w:rsidRPr="00871CF1">
        <w:rPr>
          <w:i/>
          <w:iCs/>
          <w:color w:val="auto"/>
          <w:szCs w:val="22"/>
          <w:shd w:val="clear" w:color="auto" w:fill="FFFFFF"/>
        </w:rPr>
        <w:t xml:space="preserve">Proceedings of the ESA living planet symposium, </w:t>
      </w:r>
      <w:proofErr w:type="spellStart"/>
      <w:r w:rsidRPr="00871CF1">
        <w:rPr>
          <w:i/>
          <w:iCs/>
          <w:color w:val="auto"/>
          <w:szCs w:val="22"/>
          <w:shd w:val="clear" w:color="auto" w:fill="FFFFFF"/>
        </w:rPr>
        <w:t>Edimburgh</w:t>
      </w:r>
      <w:proofErr w:type="spellEnd"/>
      <w:r w:rsidRPr="00871CF1">
        <w:rPr>
          <w:color w:val="auto"/>
          <w:szCs w:val="22"/>
          <w:shd w:val="clear" w:color="auto" w:fill="FFFFFF"/>
        </w:rPr>
        <w:t xml:space="preserve"> (Vol. 13, pp. 9-13). </w:t>
      </w:r>
    </w:p>
    <w:p w14:paraId="385C5483" w14:textId="506A27AA" w:rsidR="00F801E3" w:rsidRPr="00871CF1" w:rsidRDefault="00F801E3" w:rsidP="0001187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Bowles, T. M., </w:t>
      </w:r>
      <w:proofErr w:type="spellStart"/>
      <w:r w:rsidRPr="00871CF1">
        <w:rPr>
          <w:color w:val="auto"/>
          <w:szCs w:val="22"/>
          <w:shd w:val="clear" w:color="auto" w:fill="FFFFFF"/>
        </w:rPr>
        <w:t>Mooshammer</w:t>
      </w:r>
      <w:proofErr w:type="spellEnd"/>
      <w:r w:rsidRPr="00871CF1">
        <w:rPr>
          <w:color w:val="auto"/>
          <w:szCs w:val="22"/>
          <w:shd w:val="clear" w:color="auto" w:fill="FFFFFF"/>
        </w:rPr>
        <w:t xml:space="preserve">, M., </w:t>
      </w:r>
      <w:proofErr w:type="spellStart"/>
      <w:r w:rsidRPr="00871CF1">
        <w:rPr>
          <w:color w:val="auto"/>
          <w:szCs w:val="22"/>
          <w:shd w:val="clear" w:color="auto" w:fill="FFFFFF"/>
        </w:rPr>
        <w:t>Socolar</w:t>
      </w:r>
      <w:proofErr w:type="spellEnd"/>
      <w:r w:rsidRPr="00871CF1">
        <w:rPr>
          <w:color w:val="auto"/>
          <w:szCs w:val="22"/>
          <w:shd w:val="clear" w:color="auto" w:fill="FFFFFF"/>
        </w:rPr>
        <w:t xml:space="preserve">, Y., Calderón, F., </w:t>
      </w:r>
      <w:proofErr w:type="spellStart"/>
      <w:r w:rsidRPr="00871CF1">
        <w:rPr>
          <w:color w:val="auto"/>
          <w:szCs w:val="22"/>
          <w:shd w:val="clear" w:color="auto" w:fill="FFFFFF"/>
        </w:rPr>
        <w:t>Cavigelli</w:t>
      </w:r>
      <w:proofErr w:type="spellEnd"/>
      <w:r w:rsidRPr="00871CF1">
        <w:rPr>
          <w:color w:val="auto"/>
          <w:szCs w:val="22"/>
          <w:shd w:val="clear" w:color="auto" w:fill="FFFFFF"/>
        </w:rPr>
        <w:t xml:space="preserve">, M. A., </w:t>
      </w:r>
      <w:proofErr w:type="spellStart"/>
      <w:r w:rsidRPr="00871CF1">
        <w:rPr>
          <w:color w:val="auto"/>
          <w:szCs w:val="22"/>
          <w:shd w:val="clear" w:color="auto" w:fill="FFFFFF"/>
        </w:rPr>
        <w:t>Culman</w:t>
      </w:r>
      <w:proofErr w:type="spellEnd"/>
      <w:r w:rsidRPr="00871CF1">
        <w:rPr>
          <w:color w:val="auto"/>
          <w:szCs w:val="22"/>
          <w:shd w:val="clear" w:color="auto" w:fill="FFFFFF"/>
        </w:rPr>
        <w:t>, S. W., ... &amp; Grandy, A. S. (2020). Long-term evidence shows that crop-rotation diversification increases agricultural resilience to adverse growing conditions in North America. </w:t>
      </w:r>
      <w:r w:rsidRPr="00871CF1">
        <w:rPr>
          <w:i/>
          <w:iCs/>
          <w:color w:val="auto"/>
          <w:szCs w:val="22"/>
          <w:shd w:val="clear" w:color="auto" w:fill="FFFFFF"/>
        </w:rPr>
        <w:t>One Earth</w:t>
      </w:r>
      <w:r w:rsidRPr="00871CF1">
        <w:rPr>
          <w:color w:val="auto"/>
          <w:szCs w:val="22"/>
          <w:shd w:val="clear" w:color="auto" w:fill="FFFFFF"/>
        </w:rPr>
        <w:t>, </w:t>
      </w:r>
      <w:r w:rsidRPr="00871CF1">
        <w:rPr>
          <w:i/>
          <w:iCs/>
          <w:color w:val="auto"/>
          <w:szCs w:val="22"/>
          <w:shd w:val="clear" w:color="auto" w:fill="FFFFFF"/>
        </w:rPr>
        <w:t>2</w:t>
      </w:r>
      <w:r w:rsidRPr="00871CF1">
        <w:rPr>
          <w:color w:val="auto"/>
          <w:szCs w:val="22"/>
          <w:shd w:val="clear" w:color="auto" w:fill="FFFFFF"/>
        </w:rPr>
        <w:t xml:space="preserve">(3), 284-293. </w:t>
      </w:r>
      <w:r w:rsidR="00110D2F" w:rsidRPr="00871CF1">
        <w:rPr>
          <w:color w:val="auto"/>
          <w:szCs w:val="22"/>
          <w:shd w:val="clear" w:color="auto" w:fill="FFFFFF"/>
        </w:rPr>
        <w:t>https://doi.org/10.1016/j.oneear.2020.02.007</w:t>
      </w:r>
    </w:p>
    <w:p w14:paraId="7A7AF73D" w14:textId="56D15951" w:rsidR="008213BE" w:rsidRPr="00871CF1" w:rsidRDefault="008213BE" w:rsidP="0001187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Cain, M., Lynch, J., Allen, M. R., </w:t>
      </w:r>
      <w:proofErr w:type="spellStart"/>
      <w:r w:rsidRPr="00871CF1">
        <w:rPr>
          <w:color w:val="auto"/>
          <w:szCs w:val="22"/>
          <w:shd w:val="clear" w:color="auto" w:fill="FFFFFF"/>
        </w:rPr>
        <w:t>Fuglestvedt</w:t>
      </w:r>
      <w:proofErr w:type="spellEnd"/>
      <w:r w:rsidRPr="00871CF1">
        <w:rPr>
          <w:color w:val="auto"/>
          <w:szCs w:val="22"/>
          <w:shd w:val="clear" w:color="auto" w:fill="FFFFFF"/>
        </w:rPr>
        <w:t>, J. S., Frame, D. J., &amp; Macey, A. H. (2019). Improved calculation of warming-equivalent emissions for short-lived climate pollutants. </w:t>
      </w:r>
      <w:r w:rsidRPr="00871CF1">
        <w:rPr>
          <w:i/>
          <w:iCs/>
          <w:color w:val="auto"/>
          <w:szCs w:val="22"/>
          <w:shd w:val="clear" w:color="auto" w:fill="FFFFFF"/>
        </w:rPr>
        <w:t>NPJ climate and atmospheric science</w:t>
      </w:r>
      <w:r w:rsidRPr="00871CF1">
        <w:rPr>
          <w:color w:val="auto"/>
          <w:szCs w:val="22"/>
          <w:shd w:val="clear" w:color="auto" w:fill="FFFFFF"/>
        </w:rPr>
        <w:t>, </w:t>
      </w:r>
      <w:r w:rsidRPr="00871CF1">
        <w:rPr>
          <w:i/>
          <w:iCs/>
          <w:color w:val="auto"/>
          <w:szCs w:val="22"/>
          <w:shd w:val="clear" w:color="auto" w:fill="FFFFFF"/>
        </w:rPr>
        <w:t>2</w:t>
      </w:r>
      <w:r w:rsidRPr="00871CF1">
        <w:rPr>
          <w:color w:val="auto"/>
          <w:szCs w:val="22"/>
          <w:shd w:val="clear" w:color="auto" w:fill="FFFFFF"/>
        </w:rPr>
        <w:t xml:space="preserve">(1), 29. </w:t>
      </w:r>
      <w:hyperlink r:id="rId14" w:history="1">
        <w:r w:rsidRPr="00871CF1">
          <w:rPr>
            <w:rStyle w:val="Lienhypertexte"/>
            <w:color w:val="auto"/>
            <w:szCs w:val="22"/>
            <w:u w:val="none"/>
            <w:shd w:val="clear" w:color="auto" w:fill="FFFFFF"/>
          </w:rPr>
          <w:t>https://doi.org/10.1038/s41612-019-0086-4</w:t>
        </w:r>
      </w:hyperlink>
    </w:p>
    <w:p w14:paraId="67CF2DD5" w14:textId="1ADF1024" w:rsidR="001A24E5" w:rsidRPr="00871CF1" w:rsidRDefault="001A24E5" w:rsidP="0001187F">
      <w:pPr>
        <w:pStyle w:val="PubliManuscript"/>
        <w:spacing w:line="240" w:lineRule="auto"/>
        <w:ind w:firstLine="0"/>
        <w:rPr>
          <w:color w:val="auto"/>
          <w:szCs w:val="22"/>
          <w:shd w:val="clear" w:color="auto" w:fill="FFFFFF"/>
        </w:rPr>
      </w:pPr>
      <w:r w:rsidRPr="00871CF1">
        <w:rPr>
          <w:color w:val="auto"/>
          <w:szCs w:val="22"/>
          <w:shd w:val="clear" w:color="auto" w:fill="FFFFFF"/>
        </w:rPr>
        <w:t>Campbell, E. E., &amp; Paustian, K. (2015). Current developments in soil organic matter modeling and the expansion of model applications: a review. </w:t>
      </w:r>
      <w:r w:rsidRPr="00871CF1">
        <w:rPr>
          <w:i/>
          <w:iCs/>
          <w:color w:val="auto"/>
          <w:szCs w:val="22"/>
          <w:shd w:val="clear" w:color="auto" w:fill="FFFFFF"/>
        </w:rPr>
        <w:t>Environmental Research Letters</w:t>
      </w:r>
      <w:r w:rsidRPr="00871CF1">
        <w:rPr>
          <w:color w:val="auto"/>
          <w:szCs w:val="22"/>
          <w:shd w:val="clear" w:color="auto" w:fill="FFFFFF"/>
        </w:rPr>
        <w:t>, </w:t>
      </w:r>
      <w:r w:rsidRPr="00871CF1">
        <w:rPr>
          <w:i/>
          <w:iCs/>
          <w:color w:val="auto"/>
          <w:szCs w:val="22"/>
          <w:shd w:val="clear" w:color="auto" w:fill="FFFFFF"/>
        </w:rPr>
        <w:t>10</w:t>
      </w:r>
      <w:r w:rsidRPr="00871CF1">
        <w:rPr>
          <w:color w:val="auto"/>
          <w:szCs w:val="22"/>
          <w:shd w:val="clear" w:color="auto" w:fill="FFFFFF"/>
        </w:rPr>
        <w:t xml:space="preserve">(12), 123004. </w:t>
      </w:r>
      <w:r w:rsidR="0064445D" w:rsidRPr="00871CF1">
        <w:rPr>
          <w:color w:val="auto"/>
          <w:szCs w:val="22"/>
          <w:shd w:val="clear" w:color="auto" w:fill="FFFFFF"/>
        </w:rPr>
        <w:t>https://doi.org/10.1088/1748-9326/10/12/123004</w:t>
      </w:r>
    </w:p>
    <w:p w14:paraId="66CD849B" w14:textId="4DDB0EAF" w:rsidR="0001187F" w:rsidRPr="00871CF1" w:rsidRDefault="0001187F" w:rsidP="0001187F">
      <w:pPr>
        <w:pStyle w:val="PubliManuscript"/>
        <w:spacing w:line="240" w:lineRule="auto"/>
        <w:ind w:firstLine="0"/>
        <w:rPr>
          <w:rStyle w:val="Lienhypertexte"/>
          <w:color w:val="auto"/>
          <w:szCs w:val="22"/>
          <w:u w:val="none"/>
          <w:shd w:val="clear" w:color="auto" w:fill="FFFFFF"/>
          <w:lang w:val="pt-BR"/>
        </w:rPr>
      </w:pPr>
      <w:proofErr w:type="spellStart"/>
      <w:r w:rsidRPr="00871CF1">
        <w:rPr>
          <w:color w:val="auto"/>
          <w:szCs w:val="22"/>
          <w:shd w:val="clear" w:color="auto" w:fill="FFFFFF"/>
          <w:lang w:val="fr-BE"/>
        </w:rPr>
        <w:t>Crippa</w:t>
      </w:r>
      <w:proofErr w:type="spellEnd"/>
      <w:r w:rsidRPr="00871CF1">
        <w:rPr>
          <w:color w:val="auto"/>
          <w:szCs w:val="22"/>
          <w:shd w:val="clear" w:color="auto" w:fill="FFFFFF"/>
          <w:lang w:val="fr-BE"/>
        </w:rPr>
        <w:t xml:space="preserve">, M., </w:t>
      </w:r>
      <w:proofErr w:type="spellStart"/>
      <w:r w:rsidRPr="00871CF1">
        <w:rPr>
          <w:color w:val="auto"/>
          <w:szCs w:val="22"/>
          <w:shd w:val="clear" w:color="auto" w:fill="FFFFFF"/>
          <w:lang w:val="fr-BE"/>
        </w:rPr>
        <w:t>Solazzo</w:t>
      </w:r>
      <w:proofErr w:type="spellEnd"/>
      <w:r w:rsidRPr="00871CF1">
        <w:rPr>
          <w:color w:val="auto"/>
          <w:szCs w:val="22"/>
          <w:shd w:val="clear" w:color="auto" w:fill="FFFFFF"/>
          <w:lang w:val="fr-BE"/>
        </w:rPr>
        <w:t xml:space="preserve">, E., </w:t>
      </w:r>
      <w:proofErr w:type="spellStart"/>
      <w:r w:rsidRPr="00871CF1">
        <w:rPr>
          <w:color w:val="auto"/>
          <w:szCs w:val="22"/>
          <w:shd w:val="clear" w:color="auto" w:fill="FFFFFF"/>
          <w:lang w:val="fr-BE"/>
        </w:rPr>
        <w:t>Guizzardi</w:t>
      </w:r>
      <w:proofErr w:type="spellEnd"/>
      <w:r w:rsidRPr="00871CF1">
        <w:rPr>
          <w:color w:val="auto"/>
          <w:szCs w:val="22"/>
          <w:shd w:val="clear" w:color="auto" w:fill="FFFFFF"/>
          <w:lang w:val="fr-BE"/>
        </w:rPr>
        <w:t xml:space="preserve">, D., </w:t>
      </w:r>
      <w:proofErr w:type="spellStart"/>
      <w:r w:rsidRPr="00871CF1">
        <w:rPr>
          <w:color w:val="auto"/>
          <w:szCs w:val="22"/>
          <w:shd w:val="clear" w:color="auto" w:fill="FFFFFF"/>
          <w:lang w:val="fr-BE"/>
        </w:rPr>
        <w:t>Monforti-Ferrario</w:t>
      </w:r>
      <w:proofErr w:type="spellEnd"/>
      <w:r w:rsidRPr="00871CF1">
        <w:rPr>
          <w:color w:val="auto"/>
          <w:szCs w:val="22"/>
          <w:shd w:val="clear" w:color="auto" w:fill="FFFFFF"/>
          <w:lang w:val="fr-BE"/>
        </w:rPr>
        <w:t xml:space="preserve">, F., </w:t>
      </w:r>
      <w:proofErr w:type="spellStart"/>
      <w:r w:rsidRPr="00871CF1">
        <w:rPr>
          <w:color w:val="auto"/>
          <w:szCs w:val="22"/>
          <w:shd w:val="clear" w:color="auto" w:fill="FFFFFF"/>
          <w:lang w:val="fr-BE"/>
        </w:rPr>
        <w:t>Tubiello</w:t>
      </w:r>
      <w:proofErr w:type="spellEnd"/>
      <w:r w:rsidRPr="00871CF1">
        <w:rPr>
          <w:color w:val="auto"/>
          <w:szCs w:val="22"/>
          <w:shd w:val="clear" w:color="auto" w:fill="FFFFFF"/>
          <w:lang w:val="fr-BE"/>
        </w:rPr>
        <w:t xml:space="preserve">, F. N., &amp; </w:t>
      </w:r>
      <w:proofErr w:type="spellStart"/>
      <w:r w:rsidRPr="00871CF1">
        <w:rPr>
          <w:color w:val="auto"/>
          <w:szCs w:val="22"/>
          <w:shd w:val="clear" w:color="auto" w:fill="FFFFFF"/>
          <w:lang w:val="fr-BE"/>
        </w:rPr>
        <w:t>Leip</w:t>
      </w:r>
      <w:proofErr w:type="spellEnd"/>
      <w:r w:rsidRPr="00871CF1">
        <w:rPr>
          <w:color w:val="auto"/>
          <w:szCs w:val="22"/>
          <w:shd w:val="clear" w:color="auto" w:fill="FFFFFF"/>
          <w:lang w:val="fr-BE"/>
        </w:rPr>
        <w:t xml:space="preserve">, A. J. N. F. (2021). </w:t>
      </w:r>
      <w:r w:rsidRPr="00871CF1">
        <w:rPr>
          <w:color w:val="auto"/>
          <w:szCs w:val="22"/>
          <w:shd w:val="clear" w:color="auto" w:fill="FFFFFF"/>
        </w:rPr>
        <w:t>Food systems are responsible for a third of global anthropogenic GHG emissions. </w:t>
      </w:r>
      <w:r w:rsidRPr="00871CF1">
        <w:rPr>
          <w:i/>
          <w:iCs/>
          <w:color w:val="auto"/>
          <w:szCs w:val="22"/>
          <w:shd w:val="clear" w:color="auto" w:fill="FFFFFF"/>
          <w:lang w:val="pt-BR"/>
        </w:rPr>
        <w:t>Nature Food</w:t>
      </w:r>
      <w:r w:rsidRPr="00871CF1">
        <w:rPr>
          <w:color w:val="auto"/>
          <w:szCs w:val="22"/>
          <w:shd w:val="clear" w:color="auto" w:fill="FFFFFF"/>
          <w:lang w:val="pt-BR"/>
        </w:rPr>
        <w:t>, </w:t>
      </w:r>
      <w:r w:rsidRPr="00871CF1">
        <w:rPr>
          <w:i/>
          <w:iCs/>
          <w:color w:val="auto"/>
          <w:szCs w:val="22"/>
          <w:shd w:val="clear" w:color="auto" w:fill="FFFFFF"/>
          <w:lang w:val="pt-BR"/>
        </w:rPr>
        <w:t>2</w:t>
      </w:r>
      <w:r w:rsidRPr="00871CF1">
        <w:rPr>
          <w:color w:val="auto"/>
          <w:szCs w:val="22"/>
          <w:shd w:val="clear" w:color="auto" w:fill="FFFFFF"/>
          <w:lang w:val="pt-BR"/>
        </w:rPr>
        <w:t xml:space="preserve">(3), 198-209. </w:t>
      </w:r>
      <w:r w:rsidRPr="00871CF1">
        <w:rPr>
          <w:color w:val="auto"/>
        </w:rPr>
        <w:fldChar w:fldCharType="begin"/>
      </w:r>
      <w:r w:rsidRPr="00871CF1">
        <w:rPr>
          <w:color w:val="auto"/>
        </w:rPr>
        <w:instrText>HYPERLINK "https://doi.org/10.1038/s43016-021-00225-9"</w:instrText>
      </w:r>
      <w:r w:rsidRPr="00871CF1">
        <w:rPr>
          <w:color w:val="auto"/>
        </w:rPr>
      </w:r>
      <w:r w:rsidRPr="00871CF1">
        <w:rPr>
          <w:color w:val="auto"/>
        </w:rPr>
        <w:fldChar w:fldCharType="separate"/>
      </w:r>
      <w:r w:rsidRPr="00871CF1">
        <w:rPr>
          <w:rStyle w:val="Lienhypertexte"/>
          <w:color w:val="auto"/>
          <w:szCs w:val="22"/>
          <w:u w:val="none"/>
          <w:shd w:val="clear" w:color="auto" w:fill="FFFFFF"/>
          <w:lang w:val="pt-BR"/>
        </w:rPr>
        <w:t>https://doi.org/10.1038/s43016-021-00225-9</w:t>
      </w:r>
      <w:r w:rsidRPr="00871CF1">
        <w:rPr>
          <w:rStyle w:val="Lienhypertexte"/>
          <w:color w:val="auto"/>
          <w:szCs w:val="22"/>
          <w:u w:val="none"/>
          <w:shd w:val="clear" w:color="auto" w:fill="FFFFFF"/>
          <w:lang w:val="pt-BR"/>
        </w:rPr>
        <w:fldChar w:fldCharType="end"/>
      </w:r>
    </w:p>
    <w:p w14:paraId="4072C476" w14:textId="0D06638F" w:rsidR="00F369EB" w:rsidRPr="00871CF1" w:rsidRDefault="00F369EB" w:rsidP="0001187F">
      <w:pPr>
        <w:pStyle w:val="PubliManuscript"/>
        <w:spacing w:line="240" w:lineRule="auto"/>
        <w:ind w:firstLine="0"/>
        <w:rPr>
          <w:color w:val="auto"/>
          <w:szCs w:val="22"/>
        </w:rPr>
      </w:pPr>
      <w:r w:rsidRPr="00871CF1">
        <w:rPr>
          <w:color w:val="auto"/>
          <w:szCs w:val="22"/>
          <w:shd w:val="clear" w:color="auto" w:fill="FFFFFF"/>
        </w:rPr>
        <w:t>Dade, M. C., Mitchell, M. G., McAlpine, C. A., &amp; Rhodes, J. R. (2019). Assessing ecosystem service trade-offs and synergies: The need for a more mechanistic approach. </w:t>
      </w:r>
      <w:proofErr w:type="spellStart"/>
      <w:r w:rsidRPr="00871CF1">
        <w:rPr>
          <w:i/>
          <w:iCs/>
          <w:color w:val="auto"/>
          <w:szCs w:val="22"/>
          <w:shd w:val="clear" w:color="auto" w:fill="FFFFFF"/>
        </w:rPr>
        <w:t>Ambio</w:t>
      </w:r>
      <w:proofErr w:type="spellEnd"/>
      <w:r w:rsidRPr="00871CF1">
        <w:rPr>
          <w:color w:val="auto"/>
          <w:szCs w:val="22"/>
          <w:shd w:val="clear" w:color="auto" w:fill="FFFFFF"/>
        </w:rPr>
        <w:t>, </w:t>
      </w:r>
      <w:r w:rsidRPr="00871CF1">
        <w:rPr>
          <w:i/>
          <w:iCs/>
          <w:color w:val="auto"/>
          <w:szCs w:val="22"/>
          <w:shd w:val="clear" w:color="auto" w:fill="FFFFFF"/>
        </w:rPr>
        <w:t>48</w:t>
      </w:r>
      <w:r w:rsidRPr="00871CF1">
        <w:rPr>
          <w:color w:val="auto"/>
          <w:szCs w:val="22"/>
          <w:shd w:val="clear" w:color="auto" w:fill="FFFFFF"/>
        </w:rPr>
        <w:t xml:space="preserve">(10), 1116-1128. </w:t>
      </w:r>
      <w:r w:rsidR="00274AE5" w:rsidRPr="00871CF1">
        <w:rPr>
          <w:color w:val="auto"/>
          <w:szCs w:val="22"/>
          <w:shd w:val="clear" w:color="auto" w:fill="FFFFFF"/>
        </w:rPr>
        <w:t>https://doi.org/10.1007/s13280-018-1127-7</w:t>
      </w:r>
    </w:p>
    <w:p w14:paraId="0806CECD" w14:textId="5F8E07C9" w:rsidR="00BE2FCA" w:rsidRPr="00871CF1" w:rsidRDefault="00BE2FCA" w:rsidP="001741CF">
      <w:pPr>
        <w:jc w:val="both"/>
        <w:rPr>
          <w:rFonts w:ascii="Times New Roman" w:hAnsi="Times New Roman"/>
          <w:color w:val="auto"/>
          <w:szCs w:val="22"/>
        </w:rPr>
      </w:pPr>
      <w:r w:rsidRPr="00871CF1">
        <w:rPr>
          <w:rFonts w:ascii="Times New Roman" w:hAnsi="Times New Roman"/>
          <w:color w:val="auto"/>
          <w:szCs w:val="22"/>
        </w:rPr>
        <w:lastRenderedPageBreak/>
        <w:t xml:space="preserve">de </w:t>
      </w:r>
      <w:proofErr w:type="spellStart"/>
      <w:r w:rsidRPr="00871CF1">
        <w:rPr>
          <w:rFonts w:ascii="Times New Roman" w:hAnsi="Times New Roman"/>
          <w:color w:val="auto"/>
          <w:szCs w:val="22"/>
        </w:rPr>
        <w:t>Brogniez</w:t>
      </w:r>
      <w:proofErr w:type="spellEnd"/>
      <w:r w:rsidRPr="00871CF1">
        <w:rPr>
          <w:rFonts w:ascii="Times New Roman" w:hAnsi="Times New Roman"/>
          <w:color w:val="auto"/>
          <w:szCs w:val="22"/>
        </w:rPr>
        <w:t xml:space="preserve">, D., Ballabio, C., Stevens, A., Jones, R. J. A., </w:t>
      </w:r>
      <w:proofErr w:type="spellStart"/>
      <w:r w:rsidRPr="00871CF1">
        <w:rPr>
          <w:rFonts w:ascii="Times New Roman" w:hAnsi="Times New Roman"/>
          <w:color w:val="auto"/>
          <w:szCs w:val="22"/>
        </w:rPr>
        <w:t>Montanarella</w:t>
      </w:r>
      <w:proofErr w:type="spellEnd"/>
      <w:r w:rsidRPr="00871CF1">
        <w:rPr>
          <w:rFonts w:ascii="Times New Roman" w:hAnsi="Times New Roman"/>
          <w:color w:val="auto"/>
          <w:szCs w:val="22"/>
        </w:rPr>
        <w:t xml:space="preserve">, L., &amp; van </w:t>
      </w:r>
      <w:proofErr w:type="spellStart"/>
      <w:r w:rsidRPr="00871CF1">
        <w:rPr>
          <w:rFonts w:ascii="Times New Roman" w:hAnsi="Times New Roman"/>
          <w:color w:val="auto"/>
          <w:szCs w:val="22"/>
        </w:rPr>
        <w:t>Wesemael</w:t>
      </w:r>
      <w:proofErr w:type="spellEnd"/>
      <w:r w:rsidRPr="00871CF1">
        <w:rPr>
          <w:rFonts w:ascii="Times New Roman" w:hAnsi="Times New Roman"/>
          <w:color w:val="auto"/>
          <w:szCs w:val="22"/>
        </w:rPr>
        <w:t>, B. (2015). A map of the topsoil organic carbon content of Europe generated by a generalized additive model. </w:t>
      </w:r>
      <w:r w:rsidRPr="00871CF1">
        <w:rPr>
          <w:rFonts w:ascii="Times New Roman" w:hAnsi="Times New Roman"/>
          <w:iCs/>
          <w:color w:val="auto"/>
          <w:szCs w:val="22"/>
        </w:rPr>
        <w:t>European Journal of Soil Science</w:t>
      </w:r>
      <w:r w:rsidRPr="00871CF1">
        <w:rPr>
          <w:rFonts w:ascii="Times New Roman" w:hAnsi="Times New Roman"/>
          <w:color w:val="auto"/>
          <w:szCs w:val="22"/>
        </w:rPr>
        <w:t>, </w:t>
      </w:r>
      <w:r w:rsidRPr="00871CF1">
        <w:rPr>
          <w:rFonts w:ascii="Times New Roman" w:hAnsi="Times New Roman"/>
          <w:iCs/>
          <w:color w:val="auto"/>
          <w:szCs w:val="22"/>
        </w:rPr>
        <w:t>66</w:t>
      </w:r>
      <w:r w:rsidRPr="00871CF1">
        <w:rPr>
          <w:rFonts w:ascii="Times New Roman" w:hAnsi="Times New Roman"/>
          <w:color w:val="auto"/>
          <w:szCs w:val="22"/>
        </w:rPr>
        <w:t>(1), 121-134.</w:t>
      </w:r>
      <w:r w:rsidR="002E7121" w:rsidRPr="00871CF1">
        <w:rPr>
          <w:rFonts w:ascii="Times New Roman" w:hAnsi="Times New Roman"/>
          <w:color w:val="auto"/>
          <w:szCs w:val="22"/>
        </w:rPr>
        <w:t xml:space="preserve"> </w:t>
      </w:r>
      <w:hyperlink r:id="rId15" w:history="1">
        <w:r w:rsidR="00CF49A8" w:rsidRPr="00871CF1">
          <w:rPr>
            <w:rStyle w:val="Lienhypertexte"/>
            <w:rFonts w:ascii="Times New Roman" w:hAnsi="Times New Roman"/>
            <w:color w:val="auto"/>
            <w:szCs w:val="22"/>
            <w:u w:val="none"/>
          </w:rPr>
          <w:t>https://doi.org/10.1111/ejss.12193</w:t>
        </w:r>
      </w:hyperlink>
    </w:p>
    <w:p w14:paraId="5F9BA40B" w14:textId="77777777" w:rsidR="003136BA" w:rsidRPr="00871CF1" w:rsidRDefault="003136BA" w:rsidP="003136BA">
      <w:pPr>
        <w:pStyle w:val="PubliManuscript"/>
        <w:spacing w:line="240" w:lineRule="auto"/>
        <w:ind w:firstLine="0"/>
        <w:rPr>
          <w:color w:val="auto"/>
          <w:szCs w:val="22"/>
          <w:shd w:val="clear" w:color="auto" w:fill="FFFFFF"/>
          <w:lang w:val="pt-BR"/>
        </w:rPr>
      </w:pPr>
      <w:r w:rsidRPr="00871CF1">
        <w:rPr>
          <w:color w:val="auto"/>
          <w:szCs w:val="22"/>
          <w:shd w:val="clear" w:color="auto" w:fill="FFFFFF"/>
        </w:rPr>
        <w:t xml:space="preserve">Delandmeter, M., Léonard, J., Ferchaud, F., </w:t>
      </w:r>
      <w:proofErr w:type="spellStart"/>
      <w:r w:rsidRPr="00871CF1">
        <w:rPr>
          <w:color w:val="auto"/>
          <w:szCs w:val="22"/>
          <w:shd w:val="clear" w:color="auto" w:fill="FFFFFF"/>
        </w:rPr>
        <w:t>Heinesch</w:t>
      </w:r>
      <w:proofErr w:type="spellEnd"/>
      <w:r w:rsidRPr="00871CF1">
        <w:rPr>
          <w:color w:val="auto"/>
          <w:szCs w:val="22"/>
          <w:shd w:val="clear" w:color="auto" w:fill="FFFFFF"/>
        </w:rPr>
        <w:t xml:space="preserve">, B., </w:t>
      </w:r>
      <w:proofErr w:type="spellStart"/>
      <w:r w:rsidRPr="00871CF1">
        <w:rPr>
          <w:color w:val="auto"/>
          <w:szCs w:val="22"/>
          <w:shd w:val="clear" w:color="auto" w:fill="FFFFFF"/>
        </w:rPr>
        <w:t>Manise</w:t>
      </w:r>
      <w:proofErr w:type="spellEnd"/>
      <w:r w:rsidRPr="00871CF1">
        <w:rPr>
          <w:color w:val="auto"/>
          <w:szCs w:val="22"/>
          <w:shd w:val="clear" w:color="auto" w:fill="FFFFFF"/>
        </w:rPr>
        <w:t xml:space="preserve">, T., </w:t>
      </w:r>
      <w:proofErr w:type="spellStart"/>
      <w:r w:rsidRPr="00871CF1">
        <w:rPr>
          <w:color w:val="auto"/>
          <w:szCs w:val="22"/>
          <w:shd w:val="clear" w:color="auto" w:fill="FFFFFF"/>
        </w:rPr>
        <w:t>Faurès</w:t>
      </w:r>
      <w:proofErr w:type="spellEnd"/>
      <w:r w:rsidRPr="00871CF1">
        <w:rPr>
          <w:color w:val="auto"/>
          <w:szCs w:val="22"/>
          <w:shd w:val="clear" w:color="auto" w:fill="FFFFFF"/>
        </w:rPr>
        <w:t xml:space="preserve">, A., ... &amp; Dumont, B. (2023). A comprehensive analysis of CO2 exchanges in </w:t>
      </w:r>
      <w:proofErr w:type="spellStart"/>
      <w:r w:rsidRPr="00871CF1">
        <w:rPr>
          <w:color w:val="auto"/>
          <w:szCs w:val="22"/>
          <w:shd w:val="clear" w:color="auto" w:fill="FFFFFF"/>
        </w:rPr>
        <w:t>agro</w:t>
      </w:r>
      <w:proofErr w:type="spellEnd"/>
      <w:r w:rsidRPr="00871CF1">
        <w:rPr>
          <w:color w:val="auto"/>
          <w:szCs w:val="22"/>
          <w:shd w:val="clear" w:color="auto" w:fill="FFFFFF"/>
        </w:rPr>
        <w:t>-ecosystems based on a generic soil-crop model-derived methodology. </w:t>
      </w:r>
      <w:r w:rsidRPr="00871CF1">
        <w:rPr>
          <w:i/>
          <w:iCs/>
          <w:color w:val="auto"/>
          <w:szCs w:val="22"/>
          <w:shd w:val="clear" w:color="auto" w:fill="FFFFFF"/>
          <w:lang w:val="pt-BR"/>
        </w:rPr>
        <w:t>Agricultural and Forest Meteorology</w:t>
      </w:r>
      <w:r w:rsidRPr="00871CF1">
        <w:rPr>
          <w:color w:val="auto"/>
          <w:szCs w:val="22"/>
          <w:shd w:val="clear" w:color="auto" w:fill="FFFFFF"/>
          <w:lang w:val="pt-BR"/>
        </w:rPr>
        <w:t>, </w:t>
      </w:r>
      <w:r w:rsidRPr="00871CF1">
        <w:rPr>
          <w:i/>
          <w:iCs/>
          <w:color w:val="auto"/>
          <w:szCs w:val="22"/>
          <w:shd w:val="clear" w:color="auto" w:fill="FFFFFF"/>
          <w:lang w:val="pt-BR"/>
        </w:rPr>
        <w:t>340</w:t>
      </w:r>
      <w:r w:rsidRPr="00871CF1">
        <w:rPr>
          <w:color w:val="auto"/>
          <w:szCs w:val="22"/>
          <w:shd w:val="clear" w:color="auto" w:fill="FFFFFF"/>
          <w:lang w:val="pt-BR"/>
        </w:rPr>
        <w:t xml:space="preserve">, 109621. </w:t>
      </w:r>
      <w:r w:rsidRPr="00871CF1">
        <w:rPr>
          <w:color w:val="auto"/>
        </w:rPr>
        <w:fldChar w:fldCharType="begin"/>
      </w:r>
      <w:r w:rsidRPr="00871CF1">
        <w:rPr>
          <w:color w:val="auto"/>
        </w:rPr>
        <w:instrText>HYPERLINK "https://doi.org/10.1016/j.agrformet.2023.109621" \t "_blank" \o "Persistent link using digital object identifier"</w:instrText>
      </w:r>
      <w:r w:rsidRPr="00871CF1">
        <w:rPr>
          <w:color w:val="auto"/>
        </w:rPr>
      </w:r>
      <w:r w:rsidRPr="00871CF1">
        <w:rPr>
          <w:color w:val="auto"/>
        </w:rPr>
        <w:fldChar w:fldCharType="separate"/>
      </w:r>
      <w:r w:rsidRPr="00871CF1">
        <w:rPr>
          <w:color w:val="auto"/>
          <w:szCs w:val="22"/>
          <w:shd w:val="clear" w:color="auto" w:fill="FFFFFF"/>
          <w:lang w:val="pt-BR"/>
        </w:rPr>
        <w:t>https://doi.org/10.1016/j.agrformet.2023.109621</w:t>
      </w:r>
      <w:r w:rsidRPr="00871CF1">
        <w:rPr>
          <w:color w:val="auto"/>
          <w:szCs w:val="22"/>
          <w:shd w:val="clear" w:color="auto" w:fill="FFFFFF"/>
          <w:lang w:val="pt-BR"/>
        </w:rPr>
        <w:fldChar w:fldCharType="end"/>
      </w:r>
    </w:p>
    <w:p w14:paraId="70F12E48" w14:textId="77777777" w:rsidR="003136BA" w:rsidRPr="00871CF1" w:rsidRDefault="003136BA" w:rsidP="003136BA">
      <w:pPr>
        <w:pStyle w:val="PubliManuscript"/>
        <w:spacing w:line="240" w:lineRule="auto"/>
        <w:ind w:firstLine="0"/>
        <w:rPr>
          <w:color w:val="auto"/>
          <w:szCs w:val="22"/>
          <w:shd w:val="clear" w:color="auto" w:fill="FFFFFF"/>
        </w:rPr>
      </w:pPr>
      <w:r w:rsidRPr="00871CF1">
        <w:rPr>
          <w:color w:val="auto"/>
          <w:szCs w:val="22"/>
          <w:shd w:val="clear" w:color="auto" w:fill="FFFFFF"/>
          <w:lang w:val="pt-BR"/>
        </w:rPr>
        <w:t xml:space="preserve">Delandmeter, M., de Faccio Carvalho, P. C., Bremm, C., dos Santos Cargnelutti, C., Bindelle, J., &amp; Dumont, B. (2024a). </w:t>
      </w:r>
      <w:r w:rsidRPr="00871CF1">
        <w:rPr>
          <w:color w:val="auto"/>
          <w:szCs w:val="22"/>
          <w:shd w:val="clear" w:color="auto" w:fill="FFFFFF"/>
        </w:rPr>
        <w:t>Integrated crop and livestock systems increase both climate change adaptation and mitigation capacities. </w:t>
      </w:r>
      <w:r w:rsidRPr="00871CF1">
        <w:rPr>
          <w:i/>
          <w:iCs/>
          <w:color w:val="auto"/>
          <w:szCs w:val="22"/>
          <w:shd w:val="clear" w:color="auto" w:fill="FFFFFF"/>
        </w:rPr>
        <w:t>Science of The Total Environment</w:t>
      </w:r>
      <w:r w:rsidRPr="00871CF1">
        <w:rPr>
          <w:color w:val="auto"/>
          <w:szCs w:val="22"/>
          <w:shd w:val="clear" w:color="auto" w:fill="FFFFFF"/>
        </w:rPr>
        <w:t xml:space="preserve">, 169061.  </w:t>
      </w:r>
      <w:hyperlink r:id="rId16" w:tgtFrame="_blank" w:tooltip="Persistent link using digital object identifier" w:history="1">
        <w:r w:rsidRPr="00871CF1">
          <w:rPr>
            <w:color w:val="auto"/>
            <w:szCs w:val="22"/>
            <w:shd w:val="clear" w:color="auto" w:fill="FFFFFF"/>
          </w:rPr>
          <w:t>https://doi.org/10.1016/j.scitotenv.2023.169061</w:t>
        </w:r>
      </w:hyperlink>
    </w:p>
    <w:p w14:paraId="7AA919BA" w14:textId="15E7C5F2" w:rsidR="009756D9" w:rsidRPr="00871CF1" w:rsidRDefault="003136BA" w:rsidP="003136BA">
      <w:pPr>
        <w:pStyle w:val="PubliManuscript"/>
        <w:spacing w:line="240" w:lineRule="auto"/>
        <w:ind w:firstLine="0"/>
        <w:rPr>
          <w:color w:val="auto"/>
          <w:szCs w:val="22"/>
        </w:rPr>
      </w:pPr>
      <w:r w:rsidRPr="00871CF1">
        <w:rPr>
          <w:color w:val="auto"/>
          <w:szCs w:val="22"/>
          <w:shd w:val="clear" w:color="auto" w:fill="FFFFFF"/>
          <w:lang w:val="fr-BE"/>
        </w:rPr>
        <w:t xml:space="preserve">Delandmeter, M., </w:t>
      </w:r>
      <w:proofErr w:type="spellStart"/>
      <w:r w:rsidRPr="00871CF1">
        <w:rPr>
          <w:color w:val="auto"/>
          <w:szCs w:val="22"/>
          <w:shd w:val="clear" w:color="auto" w:fill="FFFFFF"/>
          <w:lang w:val="fr-BE"/>
        </w:rPr>
        <w:t>Colinet</w:t>
      </w:r>
      <w:proofErr w:type="spellEnd"/>
      <w:r w:rsidRPr="00871CF1">
        <w:rPr>
          <w:color w:val="auto"/>
          <w:szCs w:val="22"/>
          <w:shd w:val="clear" w:color="auto" w:fill="FFFFFF"/>
          <w:lang w:val="fr-BE"/>
        </w:rPr>
        <w:t xml:space="preserve">, G., Pierreux, J., </w:t>
      </w:r>
      <w:proofErr w:type="spellStart"/>
      <w:r w:rsidRPr="00871CF1">
        <w:rPr>
          <w:color w:val="auto"/>
          <w:szCs w:val="22"/>
          <w:shd w:val="clear" w:color="auto" w:fill="FFFFFF"/>
          <w:lang w:val="fr-BE"/>
        </w:rPr>
        <w:t>Bindelle</w:t>
      </w:r>
      <w:proofErr w:type="spellEnd"/>
      <w:r w:rsidRPr="00871CF1">
        <w:rPr>
          <w:color w:val="auto"/>
          <w:szCs w:val="22"/>
          <w:shd w:val="clear" w:color="auto" w:fill="FFFFFF"/>
          <w:lang w:val="fr-BE"/>
        </w:rPr>
        <w:t xml:space="preserve">, J., &amp; Dumont, B. (2024b). </w:t>
      </w:r>
      <w:r w:rsidRPr="00871CF1">
        <w:rPr>
          <w:color w:val="auto"/>
          <w:szCs w:val="22"/>
          <w:shd w:val="clear" w:color="auto" w:fill="FFFFFF"/>
        </w:rPr>
        <w:t xml:space="preserve">Combining field measurements and process‐based modelling to </w:t>
      </w:r>
      <w:proofErr w:type="spellStart"/>
      <w:r w:rsidRPr="00871CF1">
        <w:rPr>
          <w:color w:val="auto"/>
          <w:szCs w:val="22"/>
          <w:shd w:val="clear" w:color="auto" w:fill="FFFFFF"/>
        </w:rPr>
        <w:t>analyse</w:t>
      </w:r>
      <w:proofErr w:type="spellEnd"/>
      <w:r w:rsidRPr="00871CF1">
        <w:rPr>
          <w:color w:val="auto"/>
          <w:szCs w:val="22"/>
          <w:shd w:val="clear" w:color="auto" w:fill="FFFFFF"/>
        </w:rPr>
        <w:t xml:space="preserve"> soil tillage and crop residues management impacts on crop production and carbon balance in temperate areas. </w:t>
      </w:r>
      <w:r w:rsidRPr="00871CF1">
        <w:rPr>
          <w:i/>
          <w:iCs/>
          <w:color w:val="auto"/>
          <w:szCs w:val="22"/>
          <w:shd w:val="clear" w:color="auto" w:fill="FFFFFF"/>
        </w:rPr>
        <w:t>Soil Use and Management</w:t>
      </w:r>
      <w:r w:rsidRPr="00871CF1">
        <w:rPr>
          <w:color w:val="auto"/>
          <w:szCs w:val="22"/>
          <w:shd w:val="clear" w:color="auto" w:fill="FFFFFF"/>
        </w:rPr>
        <w:t>, </w:t>
      </w:r>
      <w:r w:rsidRPr="00871CF1">
        <w:rPr>
          <w:i/>
          <w:iCs/>
          <w:color w:val="auto"/>
          <w:szCs w:val="22"/>
          <w:shd w:val="clear" w:color="auto" w:fill="FFFFFF"/>
        </w:rPr>
        <w:t>40</w:t>
      </w:r>
      <w:r w:rsidRPr="00871CF1">
        <w:rPr>
          <w:color w:val="auto"/>
          <w:szCs w:val="22"/>
          <w:shd w:val="clear" w:color="auto" w:fill="FFFFFF"/>
        </w:rPr>
        <w:t xml:space="preserve">(3), e13098. </w:t>
      </w:r>
      <w:hyperlink r:id="rId17" w:history="1">
        <w:r w:rsidRPr="00871CF1">
          <w:rPr>
            <w:color w:val="auto"/>
            <w:szCs w:val="22"/>
          </w:rPr>
          <w:t>https://doi.org/10.1111/sum.13098</w:t>
        </w:r>
      </w:hyperlink>
    </w:p>
    <w:p w14:paraId="2112426A" w14:textId="2F77FD8C" w:rsidR="00DD32A7" w:rsidRPr="00871CF1" w:rsidRDefault="005A33D8" w:rsidP="003136BA">
      <w:pPr>
        <w:pStyle w:val="PubliManuscript"/>
        <w:spacing w:line="240" w:lineRule="auto"/>
        <w:ind w:firstLine="0"/>
        <w:rPr>
          <w:color w:val="auto"/>
          <w:szCs w:val="22"/>
          <w:lang w:val="fr-BE"/>
        </w:rPr>
      </w:pPr>
      <w:r w:rsidRPr="00871CF1">
        <w:rPr>
          <w:color w:val="auto"/>
          <w:szCs w:val="22"/>
          <w:shd w:val="clear" w:color="auto" w:fill="FFFFFF"/>
        </w:rPr>
        <w:t>Delandmeter, M., Basso, B., Millar, N., Price, L., Tadiello, T., Rowntree, J., ... &amp; Dumont, B. (2025). Boosting ecosystem services and farm economics with crop diversity and livestock integration using a validated modeling approach. </w:t>
      </w:r>
      <w:r w:rsidRPr="00871CF1">
        <w:rPr>
          <w:i/>
          <w:iCs/>
          <w:color w:val="auto"/>
          <w:szCs w:val="22"/>
          <w:shd w:val="clear" w:color="auto" w:fill="FFFFFF"/>
          <w:lang w:val="fr-BE"/>
        </w:rPr>
        <w:t>PNAS Nexus</w:t>
      </w:r>
      <w:r w:rsidRPr="00871CF1">
        <w:rPr>
          <w:color w:val="auto"/>
          <w:szCs w:val="22"/>
          <w:shd w:val="clear" w:color="auto" w:fill="FFFFFF"/>
          <w:lang w:val="fr-BE"/>
        </w:rPr>
        <w:t>, </w:t>
      </w:r>
      <w:r w:rsidRPr="00871CF1">
        <w:rPr>
          <w:i/>
          <w:iCs/>
          <w:color w:val="auto"/>
          <w:szCs w:val="22"/>
          <w:shd w:val="clear" w:color="auto" w:fill="FFFFFF"/>
          <w:lang w:val="fr-BE"/>
        </w:rPr>
        <w:t>4</w:t>
      </w:r>
      <w:r w:rsidRPr="00871CF1">
        <w:rPr>
          <w:color w:val="auto"/>
          <w:szCs w:val="22"/>
          <w:shd w:val="clear" w:color="auto" w:fill="FFFFFF"/>
          <w:lang w:val="fr-BE"/>
        </w:rPr>
        <w:t xml:space="preserve">(12), pgaf377. </w:t>
      </w:r>
      <w:r w:rsidR="003B39BA" w:rsidRPr="00871CF1">
        <w:rPr>
          <w:color w:val="auto"/>
          <w:szCs w:val="22"/>
          <w:shd w:val="clear" w:color="auto" w:fill="FFFFFF"/>
          <w:lang w:val="fr-BE"/>
        </w:rPr>
        <w:t>https://doi.org/10.1093/pnasnexus/pgaf377</w:t>
      </w:r>
    </w:p>
    <w:p w14:paraId="38622C30" w14:textId="240A7268" w:rsidR="00EE04A7" w:rsidRPr="00871CF1" w:rsidRDefault="00EE04A7" w:rsidP="004B374D">
      <w:pPr>
        <w:pStyle w:val="PubliManuscript"/>
        <w:spacing w:line="240" w:lineRule="auto"/>
        <w:ind w:firstLine="0"/>
        <w:rPr>
          <w:color w:val="auto"/>
          <w:szCs w:val="22"/>
        </w:rPr>
      </w:pPr>
      <w:r w:rsidRPr="00871CF1">
        <w:rPr>
          <w:color w:val="auto"/>
          <w:szCs w:val="22"/>
          <w:shd w:val="clear" w:color="auto" w:fill="FFFFFF"/>
        </w:rPr>
        <w:t xml:space="preserve">Delandmeter, M., De Clerck, C., </w:t>
      </w:r>
      <w:proofErr w:type="spellStart"/>
      <w:r w:rsidRPr="00871CF1">
        <w:rPr>
          <w:color w:val="auto"/>
          <w:szCs w:val="22"/>
          <w:shd w:val="clear" w:color="auto" w:fill="FFFFFF"/>
        </w:rPr>
        <w:t>Bindelle</w:t>
      </w:r>
      <w:proofErr w:type="spellEnd"/>
      <w:r w:rsidRPr="00871CF1">
        <w:rPr>
          <w:color w:val="auto"/>
          <w:szCs w:val="22"/>
          <w:shd w:val="clear" w:color="auto" w:fill="FFFFFF"/>
        </w:rPr>
        <w:t>, J., &amp; Dumont, B. (2026</w:t>
      </w:r>
      <w:r w:rsidR="00990E9C" w:rsidRPr="00871CF1">
        <w:rPr>
          <w:color w:val="auto"/>
          <w:szCs w:val="22"/>
          <w:shd w:val="clear" w:color="auto" w:fill="FFFFFF"/>
        </w:rPr>
        <w:t>a</w:t>
      </w:r>
      <w:r w:rsidRPr="00871CF1">
        <w:rPr>
          <w:color w:val="auto"/>
          <w:szCs w:val="22"/>
          <w:shd w:val="clear" w:color="auto" w:fill="FFFFFF"/>
        </w:rPr>
        <w:t xml:space="preserve">). Soil-crop </w:t>
      </w:r>
      <w:proofErr w:type="gramStart"/>
      <w:r w:rsidRPr="00871CF1">
        <w:rPr>
          <w:color w:val="auto"/>
          <w:szCs w:val="22"/>
          <w:shd w:val="clear" w:color="auto" w:fill="FFFFFF"/>
        </w:rPr>
        <w:t>feedbacks</w:t>
      </w:r>
      <w:proofErr w:type="gramEnd"/>
      <w:r w:rsidRPr="00871CF1">
        <w:rPr>
          <w:color w:val="auto"/>
          <w:szCs w:val="22"/>
          <w:shd w:val="clear" w:color="auto" w:fill="FFFFFF"/>
        </w:rPr>
        <w:t xml:space="preserve"> within contrasted cropping systems influence crop resistance to extreme climate events. </w:t>
      </w:r>
      <w:r w:rsidRPr="00871CF1">
        <w:rPr>
          <w:i/>
          <w:iCs/>
          <w:color w:val="auto"/>
          <w:szCs w:val="22"/>
          <w:shd w:val="clear" w:color="auto" w:fill="FFFFFF"/>
        </w:rPr>
        <w:t>European Journal of Agronomy</w:t>
      </w:r>
      <w:r w:rsidRPr="00871CF1">
        <w:rPr>
          <w:color w:val="auto"/>
          <w:szCs w:val="22"/>
          <w:shd w:val="clear" w:color="auto" w:fill="FFFFFF"/>
        </w:rPr>
        <w:t>, </w:t>
      </w:r>
      <w:r w:rsidRPr="00871CF1">
        <w:rPr>
          <w:i/>
          <w:iCs/>
          <w:color w:val="auto"/>
          <w:szCs w:val="22"/>
          <w:shd w:val="clear" w:color="auto" w:fill="FFFFFF"/>
        </w:rPr>
        <w:t>172</w:t>
      </w:r>
      <w:r w:rsidRPr="00871CF1">
        <w:rPr>
          <w:color w:val="auto"/>
          <w:szCs w:val="22"/>
          <w:shd w:val="clear" w:color="auto" w:fill="FFFFFF"/>
        </w:rPr>
        <w:t xml:space="preserve">, </w:t>
      </w:r>
      <w:r w:rsidRPr="00871CF1">
        <w:rPr>
          <w:color w:val="auto"/>
          <w:szCs w:val="22"/>
        </w:rPr>
        <w:t xml:space="preserve">127875. </w:t>
      </w:r>
      <w:hyperlink r:id="rId18" w:history="1">
        <w:r w:rsidR="00990E9C" w:rsidRPr="00871CF1">
          <w:rPr>
            <w:color w:val="auto"/>
            <w:szCs w:val="22"/>
          </w:rPr>
          <w:t>https://doi.org/10.1016/j.eja.2025.127875</w:t>
        </w:r>
      </w:hyperlink>
    </w:p>
    <w:p w14:paraId="06372D34" w14:textId="4C17BBE8" w:rsidR="00990E9C" w:rsidRPr="00871CF1" w:rsidRDefault="000A3029" w:rsidP="004B374D">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Delandmeter, M., Basso, B., </w:t>
      </w:r>
      <w:proofErr w:type="spellStart"/>
      <w:r w:rsidRPr="00871CF1">
        <w:rPr>
          <w:color w:val="auto"/>
          <w:szCs w:val="22"/>
          <w:shd w:val="clear" w:color="auto" w:fill="FFFFFF"/>
        </w:rPr>
        <w:t>Fettweis</w:t>
      </w:r>
      <w:proofErr w:type="spellEnd"/>
      <w:r w:rsidRPr="00871CF1">
        <w:rPr>
          <w:color w:val="auto"/>
          <w:szCs w:val="22"/>
          <w:shd w:val="clear" w:color="auto" w:fill="FFFFFF"/>
        </w:rPr>
        <w:t xml:space="preserve">, X., Lacroix, C., Aubry, P., </w:t>
      </w:r>
      <w:proofErr w:type="spellStart"/>
      <w:r w:rsidRPr="00871CF1">
        <w:rPr>
          <w:color w:val="auto"/>
          <w:szCs w:val="22"/>
          <w:shd w:val="clear" w:color="auto" w:fill="FFFFFF"/>
        </w:rPr>
        <w:t>Bindelle</w:t>
      </w:r>
      <w:proofErr w:type="spellEnd"/>
      <w:r w:rsidRPr="00871CF1">
        <w:rPr>
          <w:color w:val="auto"/>
          <w:szCs w:val="22"/>
          <w:shd w:val="clear" w:color="auto" w:fill="FFFFFF"/>
        </w:rPr>
        <w:t>, J., &amp; Dumont, B. (2026</w:t>
      </w:r>
      <w:r w:rsidR="008D02B8" w:rsidRPr="00871CF1">
        <w:rPr>
          <w:color w:val="auto"/>
          <w:szCs w:val="22"/>
          <w:shd w:val="clear" w:color="auto" w:fill="FFFFFF"/>
        </w:rPr>
        <w:t>b</w:t>
      </w:r>
      <w:r w:rsidRPr="00871CF1">
        <w:rPr>
          <w:color w:val="auto"/>
          <w:szCs w:val="22"/>
          <w:shd w:val="clear" w:color="auto" w:fill="FFFFFF"/>
        </w:rPr>
        <w:t xml:space="preserve">). Livestock Integration </w:t>
      </w:r>
      <w:proofErr w:type="gramStart"/>
      <w:r w:rsidRPr="00871CF1">
        <w:rPr>
          <w:color w:val="auto"/>
          <w:szCs w:val="22"/>
          <w:shd w:val="clear" w:color="auto" w:fill="FFFFFF"/>
        </w:rPr>
        <w:t>Into</w:t>
      </w:r>
      <w:proofErr w:type="gramEnd"/>
      <w:r w:rsidRPr="00871CF1">
        <w:rPr>
          <w:color w:val="auto"/>
          <w:szCs w:val="22"/>
          <w:shd w:val="clear" w:color="auto" w:fill="FFFFFF"/>
        </w:rPr>
        <w:t xml:space="preserve"> Cropping Systems Enhances Their Climate Change Resistance and Mitigation While Reducing Their Environmental Impacts. </w:t>
      </w:r>
      <w:r w:rsidRPr="00871CF1">
        <w:rPr>
          <w:i/>
          <w:iCs/>
          <w:color w:val="auto"/>
          <w:szCs w:val="22"/>
          <w:shd w:val="clear" w:color="auto" w:fill="FFFFFF"/>
        </w:rPr>
        <w:t>Global Change Biology</w:t>
      </w:r>
      <w:r w:rsidRPr="00871CF1">
        <w:rPr>
          <w:color w:val="auto"/>
          <w:szCs w:val="22"/>
          <w:shd w:val="clear" w:color="auto" w:fill="FFFFFF"/>
        </w:rPr>
        <w:t>, </w:t>
      </w:r>
      <w:r w:rsidRPr="00871CF1">
        <w:rPr>
          <w:i/>
          <w:iCs/>
          <w:color w:val="auto"/>
          <w:szCs w:val="22"/>
          <w:shd w:val="clear" w:color="auto" w:fill="FFFFFF"/>
        </w:rPr>
        <w:t>32</w:t>
      </w:r>
      <w:r w:rsidRPr="00871CF1">
        <w:rPr>
          <w:color w:val="auto"/>
          <w:szCs w:val="22"/>
          <w:shd w:val="clear" w:color="auto" w:fill="FFFFFF"/>
        </w:rPr>
        <w:t xml:space="preserve">(2), e70765. </w:t>
      </w:r>
      <w:r w:rsidR="00786D31" w:rsidRPr="00871CF1">
        <w:rPr>
          <w:color w:val="auto"/>
          <w:szCs w:val="22"/>
        </w:rPr>
        <w:t>https://doi.org/10.1111/gcb.70765</w:t>
      </w:r>
    </w:p>
    <w:p w14:paraId="7A56250E" w14:textId="74854983" w:rsidR="004B374D" w:rsidRPr="00871CF1" w:rsidRDefault="004B374D" w:rsidP="004B374D">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Del Prado, A., Manzano, P., &amp; Pardo, G. (2021). The role of the European small ruminant dairy sector in </w:t>
      </w:r>
      <w:proofErr w:type="spellStart"/>
      <w:r w:rsidRPr="00871CF1">
        <w:rPr>
          <w:color w:val="auto"/>
          <w:szCs w:val="22"/>
          <w:shd w:val="clear" w:color="auto" w:fill="FFFFFF"/>
        </w:rPr>
        <w:t>stabilising</w:t>
      </w:r>
      <w:proofErr w:type="spellEnd"/>
      <w:r w:rsidRPr="00871CF1">
        <w:rPr>
          <w:color w:val="auto"/>
          <w:szCs w:val="22"/>
          <w:shd w:val="clear" w:color="auto" w:fill="FFFFFF"/>
        </w:rPr>
        <w:t xml:space="preserve"> global temperatures: lessons from GWP* warming-equivalent emission metrics. </w:t>
      </w:r>
      <w:r w:rsidRPr="00871CF1">
        <w:rPr>
          <w:i/>
          <w:iCs/>
          <w:color w:val="auto"/>
          <w:szCs w:val="22"/>
          <w:shd w:val="clear" w:color="auto" w:fill="FFFFFF"/>
        </w:rPr>
        <w:t>Journal of Dairy Research</w:t>
      </w:r>
      <w:r w:rsidRPr="00871CF1">
        <w:rPr>
          <w:color w:val="auto"/>
          <w:szCs w:val="22"/>
          <w:shd w:val="clear" w:color="auto" w:fill="FFFFFF"/>
        </w:rPr>
        <w:t>, </w:t>
      </w:r>
      <w:r w:rsidRPr="00871CF1">
        <w:rPr>
          <w:i/>
          <w:iCs/>
          <w:color w:val="auto"/>
          <w:szCs w:val="22"/>
          <w:shd w:val="clear" w:color="auto" w:fill="FFFFFF"/>
        </w:rPr>
        <w:t>88</w:t>
      </w:r>
      <w:r w:rsidRPr="00871CF1">
        <w:rPr>
          <w:color w:val="auto"/>
          <w:szCs w:val="22"/>
          <w:shd w:val="clear" w:color="auto" w:fill="FFFFFF"/>
        </w:rPr>
        <w:t>(1), 8-15. doi:10.1017/S0022029921000157</w:t>
      </w:r>
    </w:p>
    <w:p w14:paraId="283A0FC0" w14:textId="72B2A75C" w:rsidR="00AD5BE2" w:rsidRPr="00871CF1" w:rsidRDefault="004B374D" w:rsidP="00352BD1">
      <w:pPr>
        <w:pStyle w:val="PubliManuscript"/>
        <w:spacing w:after="0" w:line="240" w:lineRule="auto"/>
        <w:ind w:firstLine="0"/>
        <w:rPr>
          <w:color w:val="auto"/>
          <w:szCs w:val="22"/>
        </w:rPr>
      </w:pPr>
      <w:r w:rsidRPr="00871CF1">
        <w:rPr>
          <w:color w:val="auto"/>
          <w:szCs w:val="22"/>
          <w:shd w:val="clear" w:color="auto" w:fill="FFFFFF"/>
        </w:rPr>
        <w:t xml:space="preserve">Del Prado, A., Lynch, J., Liu, S., </w:t>
      </w:r>
      <w:proofErr w:type="spellStart"/>
      <w:r w:rsidRPr="00871CF1">
        <w:rPr>
          <w:color w:val="auto"/>
          <w:szCs w:val="22"/>
          <w:shd w:val="clear" w:color="auto" w:fill="FFFFFF"/>
        </w:rPr>
        <w:t>Ridoutt</w:t>
      </w:r>
      <w:proofErr w:type="spellEnd"/>
      <w:r w:rsidRPr="00871CF1">
        <w:rPr>
          <w:color w:val="auto"/>
          <w:szCs w:val="22"/>
          <w:shd w:val="clear" w:color="auto" w:fill="FFFFFF"/>
        </w:rPr>
        <w:t>, B., Pardo, G., &amp; Mitloehner, F. (2023). Animal board invited review: Opportunities and challenges in using GWP* to report the impact of ruminant livestock on global temperature change. </w:t>
      </w:r>
      <w:r w:rsidRPr="00871CF1">
        <w:rPr>
          <w:i/>
          <w:iCs/>
          <w:color w:val="auto"/>
          <w:szCs w:val="22"/>
          <w:shd w:val="clear" w:color="auto" w:fill="FFFFFF"/>
        </w:rPr>
        <w:t>animal</w:t>
      </w:r>
      <w:r w:rsidRPr="00871CF1">
        <w:rPr>
          <w:color w:val="auto"/>
          <w:szCs w:val="22"/>
          <w:shd w:val="clear" w:color="auto" w:fill="FFFFFF"/>
        </w:rPr>
        <w:t>, </w:t>
      </w:r>
      <w:r w:rsidRPr="00871CF1">
        <w:rPr>
          <w:i/>
          <w:iCs/>
          <w:color w:val="auto"/>
          <w:szCs w:val="22"/>
          <w:shd w:val="clear" w:color="auto" w:fill="FFFFFF"/>
        </w:rPr>
        <w:t>17</w:t>
      </w:r>
      <w:r w:rsidRPr="00871CF1">
        <w:rPr>
          <w:color w:val="auto"/>
          <w:szCs w:val="22"/>
          <w:shd w:val="clear" w:color="auto" w:fill="FFFFFF"/>
        </w:rPr>
        <w:t xml:space="preserve">(5), 100790. </w:t>
      </w:r>
      <w:hyperlink r:id="rId19" w:tgtFrame="_blank" w:tooltip="Persistent link using digital object identifier" w:history="1">
        <w:r w:rsidRPr="00871CF1">
          <w:rPr>
            <w:rStyle w:val="anchor-text"/>
            <w:color w:val="auto"/>
            <w:szCs w:val="22"/>
          </w:rPr>
          <w:t>https://doi.org/10.1016/j.animal.2023.100790</w:t>
        </w:r>
      </w:hyperlink>
    </w:p>
    <w:p w14:paraId="7DA78F54" w14:textId="67BBBC77" w:rsidR="00441281" w:rsidRPr="00871CF1" w:rsidRDefault="00441281" w:rsidP="00352BD1">
      <w:pPr>
        <w:pStyle w:val="PubliManuscript"/>
        <w:spacing w:after="0" w:line="240" w:lineRule="auto"/>
        <w:ind w:firstLine="0"/>
        <w:rPr>
          <w:color w:val="auto"/>
          <w:szCs w:val="22"/>
        </w:rPr>
      </w:pPr>
      <w:r w:rsidRPr="00871CF1">
        <w:rPr>
          <w:color w:val="auto"/>
          <w:szCs w:val="22"/>
          <w:shd w:val="clear" w:color="auto" w:fill="FFFFFF"/>
        </w:rPr>
        <w:t>Dumont, B., Delandmeter, M., Bancal, M. O., Beaudoin, N., Léonard, J., Buis, S., ... &amp; Durand, J. L. (2025). The STICS soil-crop model: A generic model to simulate the functioning of agroecosystems. In </w:t>
      </w:r>
      <w:r w:rsidRPr="00871CF1">
        <w:rPr>
          <w:i/>
          <w:iCs/>
          <w:color w:val="auto"/>
          <w:szCs w:val="22"/>
          <w:shd w:val="clear" w:color="auto" w:fill="FFFFFF"/>
        </w:rPr>
        <w:t>Current crop models</w:t>
      </w:r>
      <w:r w:rsidRPr="00871CF1">
        <w:rPr>
          <w:color w:val="auto"/>
          <w:szCs w:val="22"/>
          <w:shd w:val="clear" w:color="auto" w:fill="FFFFFF"/>
        </w:rPr>
        <w:t xml:space="preserve"> (pp. 329-372). Burleigh Dodds Science Publishing, Cambridge, UK. </w:t>
      </w:r>
      <w:r w:rsidR="00352BD1" w:rsidRPr="00871CF1">
        <w:rPr>
          <w:color w:val="auto"/>
          <w:szCs w:val="22"/>
          <w:shd w:val="clear" w:color="auto" w:fill="FFFFFF"/>
        </w:rPr>
        <w:t>https://doi.org/10.19103/AS.2025.0155.11</w:t>
      </w:r>
    </w:p>
    <w:p w14:paraId="095145A7" w14:textId="02380D86" w:rsidR="00373B32" w:rsidRPr="00871CF1" w:rsidRDefault="00373B32"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El </w:t>
      </w:r>
      <w:proofErr w:type="spellStart"/>
      <w:r w:rsidRPr="00871CF1">
        <w:rPr>
          <w:color w:val="auto"/>
          <w:szCs w:val="22"/>
          <w:shd w:val="clear" w:color="auto" w:fill="FFFFFF"/>
        </w:rPr>
        <w:t>Fartassi</w:t>
      </w:r>
      <w:proofErr w:type="spellEnd"/>
      <w:r w:rsidRPr="00871CF1">
        <w:rPr>
          <w:color w:val="auto"/>
          <w:szCs w:val="22"/>
          <w:shd w:val="clear" w:color="auto" w:fill="FFFFFF"/>
        </w:rPr>
        <w:t xml:space="preserve">, I., Sharp, R. T., Bell, V. A., Whitmore, A. P., Metcalfe, H., </w:t>
      </w:r>
      <w:proofErr w:type="spellStart"/>
      <w:r w:rsidRPr="00871CF1">
        <w:rPr>
          <w:color w:val="auto"/>
          <w:szCs w:val="22"/>
          <w:shd w:val="clear" w:color="auto" w:fill="FFFFFF"/>
        </w:rPr>
        <w:t>Missault</w:t>
      </w:r>
      <w:proofErr w:type="spellEnd"/>
      <w:r w:rsidRPr="00871CF1">
        <w:rPr>
          <w:color w:val="auto"/>
          <w:szCs w:val="22"/>
          <w:shd w:val="clear" w:color="auto" w:fill="FFFFFF"/>
        </w:rPr>
        <w:t xml:space="preserve">, N., ... &amp; Milne, A. E. (2026). Rethinking land-use Strategies: A multi-objective analysis of combined sparing and sharing approaches applied across great </w:t>
      </w:r>
      <w:proofErr w:type="spellStart"/>
      <w:r w:rsidRPr="00871CF1">
        <w:rPr>
          <w:color w:val="auto"/>
          <w:szCs w:val="22"/>
          <w:shd w:val="clear" w:color="auto" w:fill="FFFFFF"/>
        </w:rPr>
        <w:t>britain</w:t>
      </w:r>
      <w:proofErr w:type="spellEnd"/>
      <w:r w:rsidRPr="00871CF1">
        <w:rPr>
          <w:color w:val="auto"/>
          <w:szCs w:val="22"/>
          <w:shd w:val="clear" w:color="auto" w:fill="FFFFFF"/>
        </w:rPr>
        <w:t>. </w:t>
      </w:r>
      <w:r w:rsidRPr="00871CF1">
        <w:rPr>
          <w:i/>
          <w:iCs/>
          <w:color w:val="auto"/>
          <w:szCs w:val="22"/>
          <w:shd w:val="clear" w:color="auto" w:fill="FFFFFF"/>
        </w:rPr>
        <w:t>Journal of Environmental Management</w:t>
      </w:r>
      <w:r w:rsidRPr="00871CF1">
        <w:rPr>
          <w:color w:val="auto"/>
          <w:szCs w:val="22"/>
          <w:shd w:val="clear" w:color="auto" w:fill="FFFFFF"/>
        </w:rPr>
        <w:t>, </w:t>
      </w:r>
      <w:r w:rsidRPr="00871CF1">
        <w:rPr>
          <w:i/>
          <w:iCs/>
          <w:color w:val="auto"/>
          <w:szCs w:val="22"/>
          <w:shd w:val="clear" w:color="auto" w:fill="FFFFFF"/>
        </w:rPr>
        <w:t>398</w:t>
      </w:r>
      <w:r w:rsidRPr="00871CF1">
        <w:rPr>
          <w:color w:val="auto"/>
          <w:szCs w:val="22"/>
          <w:shd w:val="clear" w:color="auto" w:fill="FFFFFF"/>
        </w:rPr>
        <w:t xml:space="preserve">, 128389. </w:t>
      </w:r>
      <w:r w:rsidR="00140B15" w:rsidRPr="00871CF1">
        <w:rPr>
          <w:color w:val="auto"/>
          <w:szCs w:val="22"/>
          <w:shd w:val="clear" w:color="auto" w:fill="FFFFFF"/>
        </w:rPr>
        <w:t>https://doi.org/10.1016/j.jenvman.2025.128389</w:t>
      </w:r>
    </w:p>
    <w:p w14:paraId="0DEFF9F0" w14:textId="3E421CA2" w:rsidR="00A76EAE" w:rsidRPr="00871CF1" w:rsidRDefault="00A76EAE" w:rsidP="00CC709F">
      <w:pPr>
        <w:pStyle w:val="PubliManuscript"/>
        <w:spacing w:line="240" w:lineRule="auto"/>
        <w:ind w:firstLine="0"/>
        <w:rPr>
          <w:color w:val="auto"/>
          <w:szCs w:val="22"/>
          <w:shd w:val="clear" w:color="auto" w:fill="FFFFFF"/>
        </w:rPr>
      </w:pPr>
      <w:r w:rsidRPr="00871CF1">
        <w:rPr>
          <w:color w:val="auto"/>
          <w:szCs w:val="22"/>
          <w:shd w:val="clear" w:color="auto" w:fill="FFFFFF"/>
        </w:rPr>
        <w:t>Erich, M. S., Plante, A. F., Fernández, J. M., Mallory, E. B., &amp; Ohno, T. (2012). Effects of profile depth and management on the composition of labile and total soil organic matter. </w:t>
      </w:r>
      <w:r w:rsidRPr="00871CF1">
        <w:rPr>
          <w:i/>
          <w:iCs/>
          <w:color w:val="auto"/>
          <w:szCs w:val="22"/>
          <w:shd w:val="clear" w:color="auto" w:fill="FFFFFF"/>
        </w:rPr>
        <w:t>Soil Science Society of America Journal</w:t>
      </w:r>
      <w:r w:rsidRPr="00871CF1">
        <w:rPr>
          <w:color w:val="auto"/>
          <w:szCs w:val="22"/>
          <w:shd w:val="clear" w:color="auto" w:fill="FFFFFF"/>
        </w:rPr>
        <w:t>, </w:t>
      </w:r>
      <w:r w:rsidRPr="00871CF1">
        <w:rPr>
          <w:i/>
          <w:iCs/>
          <w:color w:val="auto"/>
          <w:szCs w:val="22"/>
          <w:shd w:val="clear" w:color="auto" w:fill="FFFFFF"/>
        </w:rPr>
        <w:t>76</w:t>
      </w:r>
      <w:r w:rsidRPr="00871CF1">
        <w:rPr>
          <w:color w:val="auto"/>
          <w:szCs w:val="22"/>
          <w:shd w:val="clear" w:color="auto" w:fill="FFFFFF"/>
        </w:rPr>
        <w:t xml:space="preserve">(2), 408-419. </w:t>
      </w:r>
      <w:r w:rsidR="008C5127" w:rsidRPr="00871CF1">
        <w:rPr>
          <w:color w:val="auto"/>
          <w:szCs w:val="22"/>
          <w:shd w:val="clear" w:color="auto" w:fill="FFFFFF"/>
        </w:rPr>
        <w:t>https://doi.org/10.2136/sssaj2011.0273</w:t>
      </w:r>
    </w:p>
    <w:p w14:paraId="5E0DAA28" w14:textId="68688CD7" w:rsidR="00E67209" w:rsidRPr="00871CF1" w:rsidRDefault="00E67209"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Foley, J. A., </w:t>
      </w:r>
      <w:proofErr w:type="spellStart"/>
      <w:r w:rsidRPr="00871CF1">
        <w:rPr>
          <w:color w:val="auto"/>
          <w:szCs w:val="22"/>
          <w:shd w:val="clear" w:color="auto" w:fill="FFFFFF"/>
        </w:rPr>
        <w:t>Ramankutty</w:t>
      </w:r>
      <w:proofErr w:type="spellEnd"/>
      <w:r w:rsidRPr="00871CF1">
        <w:rPr>
          <w:color w:val="auto"/>
          <w:szCs w:val="22"/>
          <w:shd w:val="clear" w:color="auto" w:fill="FFFFFF"/>
        </w:rPr>
        <w:t>, N., Brauman, K. A., Cassidy, E. S., Gerber, J. S., Johnston, M., ... &amp; Zaks, D. P. (2011). Solutions for a cultivated planet. </w:t>
      </w:r>
      <w:r w:rsidRPr="00871CF1">
        <w:rPr>
          <w:i/>
          <w:iCs/>
          <w:color w:val="auto"/>
          <w:szCs w:val="22"/>
          <w:shd w:val="clear" w:color="auto" w:fill="FFFFFF"/>
        </w:rPr>
        <w:t>Nature</w:t>
      </w:r>
      <w:r w:rsidRPr="00871CF1">
        <w:rPr>
          <w:color w:val="auto"/>
          <w:szCs w:val="22"/>
          <w:shd w:val="clear" w:color="auto" w:fill="FFFFFF"/>
        </w:rPr>
        <w:t>, </w:t>
      </w:r>
      <w:r w:rsidRPr="00871CF1">
        <w:rPr>
          <w:i/>
          <w:iCs/>
          <w:color w:val="auto"/>
          <w:szCs w:val="22"/>
          <w:shd w:val="clear" w:color="auto" w:fill="FFFFFF"/>
        </w:rPr>
        <w:t>478</w:t>
      </w:r>
      <w:r w:rsidRPr="00871CF1">
        <w:rPr>
          <w:color w:val="auto"/>
          <w:szCs w:val="22"/>
          <w:shd w:val="clear" w:color="auto" w:fill="FFFFFF"/>
        </w:rPr>
        <w:t xml:space="preserve">(7369), 337-342. </w:t>
      </w:r>
      <w:r w:rsidR="0099435B" w:rsidRPr="00871CF1">
        <w:rPr>
          <w:color w:val="auto"/>
          <w:szCs w:val="22"/>
          <w:shd w:val="clear" w:color="auto" w:fill="FFFFFF"/>
        </w:rPr>
        <w:t>https://doi.org/10.1038/nature10452</w:t>
      </w:r>
    </w:p>
    <w:p w14:paraId="0E8C7B52" w14:textId="24E11BFE" w:rsidR="00F407F1" w:rsidRPr="00871CF1" w:rsidRDefault="00F407F1" w:rsidP="00CC709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rPr>
        <w:t>Franzluebbers</w:t>
      </w:r>
      <w:proofErr w:type="spellEnd"/>
      <w:r w:rsidRPr="00871CF1">
        <w:rPr>
          <w:color w:val="auto"/>
          <w:szCs w:val="22"/>
          <w:shd w:val="clear" w:color="auto" w:fill="FFFFFF"/>
        </w:rPr>
        <w:t xml:space="preserve">, A. J., &amp; Martin, G. (2022). Farming with forages can reconnect crop and livestock </w:t>
      </w:r>
      <w:r w:rsidRPr="00871CF1">
        <w:rPr>
          <w:color w:val="auto"/>
          <w:szCs w:val="22"/>
          <w:shd w:val="clear" w:color="auto" w:fill="FFFFFF"/>
        </w:rPr>
        <w:lastRenderedPageBreak/>
        <w:t>operations to enhance circularity and foster ecosystem services. </w:t>
      </w:r>
      <w:r w:rsidRPr="00871CF1">
        <w:rPr>
          <w:i/>
          <w:iCs/>
          <w:color w:val="auto"/>
          <w:szCs w:val="22"/>
          <w:shd w:val="clear" w:color="auto" w:fill="FFFFFF"/>
        </w:rPr>
        <w:t>Grass and Forage Science</w:t>
      </w:r>
      <w:r w:rsidRPr="00871CF1">
        <w:rPr>
          <w:color w:val="auto"/>
          <w:szCs w:val="22"/>
          <w:shd w:val="clear" w:color="auto" w:fill="FFFFFF"/>
        </w:rPr>
        <w:t>, </w:t>
      </w:r>
      <w:r w:rsidRPr="00871CF1">
        <w:rPr>
          <w:i/>
          <w:iCs/>
          <w:color w:val="auto"/>
          <w:szCs w:val="22"/>
          <w:shd w:val="clear" w:color="auto" w:fill="FFFFFF"/>
        </w:rPr>
        <w:t>77</w:t>
      </w:r>
      <w:r w:rsidRPr="00871CF1">
        <w:rPr>
          <w:color w:val="auto"/>
          <w:szCs w:val="22"/>
          <w:shd w:val="clear" w:color="auto" w:fill="FFFFFF"/>
        </w:rPr>
        <w:t xml:space="preserve">(4), 270-281. </w:t>
      </w:r>
      <w:hyperlink r:id="rId20" w:history="1">
        <w:r w:rsidR="00CF2B17" w:rsidRPr="00871CF1">
          <w:rPr>
            <w:rStyle w:val="Lienhypertexte"/>
            <w:color w:val="auto"/>
            <w:szCs w:val="22"/>
            <w:u w:val="none"/>
            <w:shd w:val="clear" w:color="auto" w:fill="FFFFFF"/>
          </w:rPr>
          <w:t>https://doi.org/10.1111/gfs.12592</w:t>
        </w:r>
      </w:hyperlink>
    </w:p>
    <w:p w14:paraId="66C6292A" w14:textId="69162B9C" w:rsidR="00CF2B17" w:rsidRPr="00871CF1" w:rsidRDefault="00CF2B17" w:rsidP="00CC709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rPr>
        <w:t>Franzluebbers</w:t>
      </w:r>
      <w:proofErr w:type="spellEnd"/>
      <w:r w:rsidRPr="00871CF1">
        <w:rPr>
          <w:color w:val="auto"/>
          <w:szCs w:val="22"/>
          <w:shd w:val="clear" w:color="auto" w:fill="FFFFFF"/>
        </w:rPr>
        <w:t xml:space="preserve">, A. J., &amp; Hendrickson, J. R. (2024). Should we consider integrated crop–livestock systems for ecosystem services, carbon sequestration, and agricultural resilience to climate </w:t>
      </w:r>
      <w:proofErr w:type="gramStart"/>
      <w:r w:rsidRPr="00871CF1">
        <w:rPr>
          <w:color w:val="auto"/>
          <w:szCs w:val="22"/>
          <w:shd w:val="clear" w:color="auto" w:fill="FFFFFF"/>
        </w:rPr>
        <w:t>change?.</w:t>
      </w:r>
      <w:proofErr w:type="gramEnd"/>
      <w:r w:rsidRPr="00871CF1">
        <w:rPr>
          <w:color w:val="auto"/>
          <w:szCs w:val="22"/>
          <w:shd w:val="clear" w:color="auto" w:fill="FFFFFF"/>
        </w:rPr>
        <w:t> </w:t>
      </w:r>
      <w:r w:rsidRPr="00871CF1">
        <w:rPr>
          <w:i/>
          <w:iCs/>
          <w:color w:val="auto"/>
          <w:szCs w:val="22"/>
          <w:shd w:val="clear" w:color="auto" w:fill="FFFFFF"/>
        </w:rPr>
        <w:t>Agronomy Journal</w:t>
      </w:r>
      <w:r w:rsidRPr="00871CF1">
        <w:rPr>
          <w:color w:val="auto"/>
          <w:szCs w:val="22"/>
          <w:shd w:val="clear" w:color="auto" w:fill="FFFFFF"/>
        </w:rPr>
        <w:t>, </w:t>
      </w:r>
      <w:r w:rsidRPr="00871CF1">
        <w:rPr>
          <w:i/>
          <w:iCs/>
          <w:color w:val="auto"/>
          <w:szCs w:val="22"/>
          <w:shd w:val="clear" w:color="auto" w:fill="FFFFFF"/>
        </w:rPr>
        <w:t>116</w:t>
      </w:r>
      <w:r w:rsidRPr="00871CF1">
        <w:rPr>
          <w:color w:val="auto"/>
          <w:szCs w:val="22"/>
          <w:shd w:val="clear" w:color="auto" w:fill="FFFFFF"/>
        </w:rPr>
        <w:t xml:space="preserve">(2), 415-432. </w:t>
      </w:r>
      <w:r w:rsidR="00D854C3" w:rsidRPr="00871CF1">
        <w:rPr>
          <w:color w:val="auto"/>
          <w:szCs w:val="22"/>
          <w:shd w:val="clear" w:color="auto" w:fill="FFFFFF"/>
        </w:rPr>
        <w:t>https://doi.org/10.1002/agj2.21520</w:t>
      </w:r>
    </w:p>
    <w:p w14:paraId="614BB94A" w14:textId="23C3DAA5" w:rsidR="00CD6499" w:rsidRPr="00871CF1" w:rsidRDefault="00CD6499"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Gaudin, A. C., Tolhurst, T. N., Ker, A. P., </w:t>
      </w:r>
      <w:proofErr w:type="spellStart"/>
      <w:r w:rsidRPr="00871CF1">
        <w:rPr>
          <w:color w:val="auto"/>
          <w:szCs w:val="22"/>
          <w:shd w:val="clear" w:color="auto" w:fill="FFFFFF"/>
        </w:rPr>
        <w:t>Janovicek</w:t>
      </w:r>
      <w:proofErr w:type="spellEnd"/>
      <w:r w:rsidRPr="00871CF1">
        <w:rPr>
          <w:color w:val="auto"/>
          <w:szCs w:val="22"/>
          <w:shd w:val="clear" w:color="auto" w:fill="FFFFFF"/>
        </w:rPr>
        <w:t>, K., Tortora, C., Martin, R. C., &amp; Deen, W. (2015). Increasing crop diversity mitigates weather variations and improves yield stability. </w:t>
      </w:r>
      <w:proofErr w:type="spellStart"/>
      <w:r w:rsidRPr="00871CF1">
        <w:rPr>
          <w:i/>
          <w:iCs/>
          <w:color w:val="auto"/>
          <w:szCs w:val="22"/>
          <w:shd w:val="clear" w:color="auto" w:fill="FFFFFF"/>
        </w:rPr>
        <w:t>PloS</w:t>
      </w:r>
      <w:proofErr w:type="spellEnd"/>
      <w:r w:rsidRPr="00871CF1">
        <w:rPr>
          <w:i/>
          <w:iCs/>
          <w:color w:val="auto"/>
          <w:szCs w:val="22"/>
          <w:shd w:val="clear" w:color="auto" w:fill="FFFFFF"/>
        </w:rPr>
        <w:t xml:space="preserve"> one</w:t>
      </w:r>
      <w:r w:rsidRPr="00871CF1">
        <w:rPr>
          <w:color w:val="auto"/>
          <w:szCs w:val="22"/>
          <w:shd w:val="clear" w:color="auto" w:fill="FFFFFF"/>
        </w:rPr>
        <w:t>, </w:t>
      </w:r>
      <w:r w:rsidRPr="00871CF1">
        <w:rPr>
          <w:i/>
          <w:iCs/>
          <w:color w:val="auto"/>
          <w:szCs w:val="22"/>
          <w:shd w:val="clear" w:color="auto" w:fill="FFFFFF"/>
        </w:rPr>
        <w:t>10</w:t>
      </w:r>
      <w:r w:rsidRPr="00871CF1">
        <w:rPr>
          <w:color w:val="auto"/>
          <w:szCs w:val="22"/>
          <w:shd w:val="clear" w:color="auto" w:fill="FFFFFF"/>
        </w:rPr>
        <w:t>(2), e0113261. https://doi.org/10.1371/journal.pone.0113261</w:t>
      </w:r>
    </w:p>
    <w:p w14:paraId="206B7E75" w14:textId="68E62CA6" w:rsidR="00E34B8A" w:rsidRPr="00871CF1" w:rsidRDefault="00E34B8A" w:rsidP="00CC709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rPr>
        <w:t>Gliessman</w:t>
      </w:r>
      <w:proofErr w:type="spellEnd"/>
      <w:r w:rsidRPr="00871CF1">
        <w:rPr>
          <w:color w:val="auto"/>
          <w:szCs w:val="22"/>
          <w:shd w:val="clear" w:color="auto" w:fill="FFFFFF"/>
        </w:rPr>
        <w:t>, S. (2016). Transforming food systems with agroecology. </w:t>
      </w:r>
      <w:r w:rsidRPr="00871CF1">
        <w:rPr>
          <w:i/>
          <w:iCs/>
          <w:color w:val="auto"/>
          <w:szCs w:val="22"/>
          <w:shd w:val="clear" w:color="auto" w:fill="FFFFFF"/>
        </w:rPr>
        <w:t>Agroecology and sustainable food systems</w:t>
      </w:r>
      <w:r w:rsidRPr="00871CF1">
        <w:rPr>
          <w:color w:val="auto"/>
          <w:szCs w:val="22"/>
          <w:shd w:val="clear" w:color="auto" w:fill="FFFFFF"/>
        </w:rPr>
        <w:t>, </w:t>
      </w:r>
      <w:r w:rsidRPr="00871CF1">
        <w:rPr>
          <w:i/>
          <w:iCs/>
          <w:color w:val="auto"/>
          <w:szCs w:val="22"/>
          <w:shd w:val="clear" w:color="auto" w:fill="FFFFFF"/>
        </w:rPr>
        <w:t>40</w:t>
      </w:r>
      <w:r w:rsidRPr="00871CF1">
        <w:rPr>
          <w:color w:val="auto"/>
          <w:szCs w:val="22"/>
          <w:shd w:val="clear" w:color="auto" w:fill="FFFFFF"/>
        </w:rPr>
        <w:t>(3), 187-189.</w:t>
      </w:r>
    </w:p>
    <w:p w14:paraId="557F03E2" w14:textId="77777777" w:rsidR="00EB0399" w:rsidRPr="00871CF1" w:rsidRDefault="00961240" w:rsidP="00CC709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rPr>
        <w:t>Hawkesford</w:t>
      </w:r>
      <w:proofErr w:type="spellEnd"/>
      <w:r w:rsidRPr="00871CF1">
        <w:rPr>
          <w:color w:val="auto"/>
          <w:szCs w:val="22"/>
          <w:shd w:val="clear" w:color="auto" w:fill="FFFFFF"/>
        </w:rPr>
        <w:t>, M. J. (2014). Reducing the reliance on nitrogen fertilizer for wheat production. </w:t>
      </w:r>
      <w:r w:rsidRPr="00871CF1">
        <w:rPr>
          <w:i/>
          <w:iCs/>
          <w:color w:val="auto"/>
          <w:szCs w:val="22"/>
          <w:shd w:val="clear" w:color="auto" w:fill="FFFFFF"/>
        </w:rPr>
        <w:t>Journal of cereal science</w:t>
      </w:r>
      <w:r w:rsidRPr="00871CF1">
        <w:rPr>
          <w:color w:val="auto"/>
          <w:szCs w:val="22"/>
          <w:shd w:val="clear" w:color="auto" w:fill="FFFFFF"/>
        </w:rPr>
        <w:t>, </w:t>
      </w:r>
      <w:r w:rsidRPr="00871CF1">
        <w:rPr>
          <w:i/>
          <w:iCs/>
          <w:color w:val="auto"/>
          <w:szCs w:val="22"/>
          <w:shd w:val="clear" w:color="auto" w:fill="FFFFFF"/>
        </w:rPr>
        <w:t>59</w:t>
      </w:r>
      <w:r w:rsidRPr="00871CF1">
        <w:rPr>
          <w:color w:val="auto"/>
          <w:szCs w:val="22"/>
          <w:shd w:val="clear" w:color="auto" w:fill="FFFFFF"/>
        </w:rPr>
        <w:t xml:space="preserve">(3), 276-283. </w:t>
      </w:r>
      <w:r w:rsidR="00EB0399" w:rsidRPr="00871CF1">
        <w:rPr>
          <w:color w:val="auto"/>
          <w:szCs w:val="22"/>
          <w:shd w:val="clear" w:color="auto" w:fill="FFFFFF"/>
        </w:rPr>
        <w:t xml:space="preserve">https://doi.org/10.1016/j.jcs.2013.12.001 </w:t>
      </w:r>
    </w:p>
    <w:p w14:paraId="07D44C92" w14:textId="091714A0" w:rsidR="00E85BDA" w:rsidRPr="00871CF1" w:rsidRDefault="00E85BDA" w:rsidP="00CC709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rPr>
        <w:t>Hersbach</w:t>
      </w:r>
      <w:proofErr w:type="spellEnd"/>
      <w:r w:rsidRPr="00871CF1">
        <w:rPr>
          <w:color w:val="auto"/>
          <w:szCs w:val="22"/>
          <w:shd w:val="clear" w:color="auto" w:fill="FFFFFF"/>
        </w:rPr>
        <w:t xml:space="preserve">, H., Bell, B., Berrisford, P., Hirahara, S., </w:t>
      </w:r>
      <w:proofErr w:type="spellStart"/>
      <w:r w:rsidRPr="00871CF1">
        <w:rPr>
          <w:color w:val="auto"/>
          <w:szCs w:val="22"/>
          <w:shd w:val="clear" w:color="auto" w:fill="FFFFFF"/>
        </w:rPr>
        <w:t>Horányi</w:t>
      </w:r>
      <w:proofErr w:type="spellEnd"/>
      <w:r w:rsidRPr="00871CF1">
        <w:rPr>
          <w:color w:val="auto"/>
          <w:szCs w:val="22"/>
          <w:shd w:val="clear" w:color="auto" w:fill="FFFFFF"/>
        </w:rPr>
        <w:t xml:space="preserve">, A., Muñoz‐Sabater, J., ... &amp; </w:t>
      </w:r>
      <w:proofErr w:type="spellStart"/>
      <w:r w:rsidRPr="00871CF1">
        <w:rPr>
          <w:color w:val="auto"/>
          <w:szCs w:val="22"/>
          <w:shd w:val="clear" w:color="auto" w:fill="FFFFFF"/>
        </w:rPr>
        <w:t>Thépaut</w:t>
      </w:r>
      <w:proofErr w:type="spellEnd"/>
      <w:r w:rsidRPr="00871CF1">
        <w:rPr>
          <w:color w:val="auto"/>
          <w:szCs w:val="22"/>
          <w:shd w:val="clear" w:color="auto" w:fill="FFFFFF"/>
        </w:rPr>
        <w:t>, J. N. (2020). The ERA5 global reanalysis. </w:t>
      </w:r>
      <w:r w:rsidRPr="00871CF1">
        <w:rPr>
          <w:i/>
          <w:iCs/>
          <w:color w:val="auto"/>
          <w:szCs w:val="22"/>
          <w:shd w:val="clear" w:color="auto" w:fill="FFFFFF"/>
        </w:rPr>
        <w:t>Quarterly journal of the royal meteorological society</w:t>
      </w:r>
      <w:r w:rsidRPr="00871CF1">
        <w:rPr>
          <w:color w:val="auto"/>
          <w:szCs w:val="22"/>
          <w:shd w:val="clear" w:color="auto" w:fill="FFFFFF"/>
        </w:rPr>
        <w:t>, </w:t>
      </w:r>
      <w:r w:rsidRPr="00871CF1">
        <w:rPr>
          <w:i/>
          <w:iCs/>
          <w:color w:val="auto"/>
          <w:szCs w:val="22"/>
          <w:shd w:val="clear" w:color="auto" w:fill="FFFFFF"/>
        </w:rPr>
        <w:t>146</w:t>
      </w:r>
      <w:r w:rsidRPr="00871CF1">
        <w:rPr>
          <w:color w:val="auto"/>
          <w:szCs w:val="22"/>
          <w:shd w:val="clear" w:color="auto" w:fill="FFFFFF"/>
        </w:rPr>
        <w:t xml:space="preserve">(730), 1999-2049. </w:t>
      </w:r>
      <w:r w:rsidR="00DA04B8" w:rsidRPr="00871CF1">
        <w:rPr>
          <w:color w:val="auto"/>
          <w:szCs w:val="22"/>
          <w:shd w:val="clear" w:color="auto" w:fill="FFFFFF"/>
        </w:rPr>
        <w:t>https://doi.org/10.1002/qj.3803</w:t>
      </w:r>
    </w:p>
    <w:p w14:paraId="7F643D70" w14:textId="0E3EE439" w:rsidR="000246EB" w:rsidRPr="00871CF1" w:rsidRDefault="000246EB" w:rsidP="00CC709F">
      <w:pPr>
        <w:pStyle w:val="PubliManuscript"/>
        <w:spacing w:line="240" w:lineRule="auto"/>
        <w:ind w:firstLine="0"/>
        <w:rPr>
          <w:color w:val="auto"/>
          <w:szCs w:val="22"/>
          <w:shd w:val="clear" w:color="auto" w:fill="FFFFFF"/>
        </w:rPr>
      </w:pPr>
      <w:r w:rsidRPr="00871CF1">
        <w:rPr>
          <w:color w:val="auto"/>
          <w:szCs w:val="22"/>
          <w:shd w:val="clear" w:color="auto" w:fill="FFFFFF"/>
        </w:rPr>
        <w:t>Holt, A. R., Alix, A., Thompson, A., &amp; Maltby, L. (2016). Food production, ecosystem services and biodiversity: We can't have it all everywhere. </w:t>
      </w:r>
      <w:r w:rsidRPr="00871CF1">
        <w:rPr>
          <w:i/>
          <w:iCs/>
          <w:color w:val="auto"/>
          <w:szCs w:val="22"/>
          <w:shd w:val="clear" w:color="auto" w:fill="FFFFFF"/>
        </w:rPr>
        <w:t>Science of the Total Environment</w:t>
      </w:r>
      <w:r w:rsidRPr="00871CF1">
        <w:rPr>
          <w:color w:val="auto"/>
          <w:szCs w:val="22"/>
          <w:shd w:val="clear" w:color="auto" w:fill="FFFFFF"/>
        </w:rPr>
        <w:t>, </w:t>
      </w:r>
      <w:r w:rsidRPr="00871CF1">
        <w:rPr>
          <w:i/>
          <w:iCs/>
          <w:color w:val="auto"/>
          <w:szCs w:val="22"/>
          <w:shd w:val="clear" w:color="auto" w:fill="FFFFFF"/>
        </w:rPr>
        <w:t>573</w:t>
      </w:r>
      <w:r w:rsidRPr="00871CF1">
        <w:rPr>
          <w:color w:val="auto"/>
          <w:szCs w:val="22"/>
          <w:shd w:val="clear" w:color="auto" w:fill="FFFFFF"/>
        </w:rPr>
        <w:t xml:space="preserve">, 1422-1429. </w:t>
      </w:r>
      <w:r w:rsidR="00B12651" w:rsidRPr="00871CF1">
        <w:rPr>
          <w:color w:val="auto"/>
          <w:szCs w:val="22"/>
          <w:shd w:val="clear" w:color="auto" w:fill="FFFFFF"/>
        </w:rPr>
        <w:t>https://doi.org/10.1016/j.scitotenv.2016.07.139</w:t>
      </w:r>
    </w:p>
    <w:p w14:paraId="5B74E44F" w14:textId="3CB824B0" w:rsidR="004D7253" w:rsidRPr="00871CF1" w:rsidRDefault="004D7253"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Isbell, F., Craven, D., Connolly, J., </w:t>
      </w:r>
      <w:proofErr w:type="spellStart"/>
      <w:r w:rsidRPr="00871CF1">
        <w:rPr>
          <w:color w:val="auto"/>
          <w:szCs w:val="22"/>
          <w:shd w:val="clear" w:color="auto" w:fill="FFFFFF"/>
        </w:rPr>
        <w:t>Loreau</w:t>
      </w:r>
      <w:proofErr w:type="spellEnd"/>
      <w:r w:rsidRPr="00871CF1">
        <w:rPr>
          <w:color w:val="auto"/>
          <w:szCs w:val="22"/>
          <w:shd w:val="clear" w:color="auto" w:fill="FFFFFF"/>
        </w:rPr>
        <w:t xml:space="preserve">, M., Schmid, B., </w:t>
      </w:r>
      <w:proofErr w:type="spellStart"/>
      <w:r w:rsidRPr="00871CF1">
        <w:rPr>
          <w:color w:val="auto"/>
          <w:szCs w:val="22"/>
          <w:shd w:val="clear" w:color="auto" w:fill="FFFFFF"/>
        </w:rPr>
        <w:t>Beierkuhnlein</w:t>
      </w:r>
      <w:proofErr w:type="spellEnd"/>
      <w:r w:rsidRPr="00871CF1">
        <w:rPr>
          <w:color w:val="auto"/>
          <w:szCs w:val="22"/>
          <w:shd w:val="clear" w:color="auto" w:fill="FFFFFF"/>
        </w:rPr>
        <w:t>, C., ... &amp; Eisenhauer, N. (2015). Biodiversity increases the resistance of ecosystem productivity to climate extremes. </w:t>
      </w:r>
      <w:r w:rsidRPr="00871CF1">
        <w:rPr>
          <w:i/>
          <w:iCs/>
          <w:color w:val="auto"/>
          <w:szCs w:val="22"/>
          <w:shd w:val="clear" w:color="auto" w:fill="FFFFFF"/>
        </w:rPr>
        <w:t>Nature</w:t>
      </w:r>
      <w:r w:rsidRPr="00871CF1">
        <w:rPr>
          <w:color w:val="auto"/>
          <w:szCs w:val="22"/>
          <w:shd w:val="clear" w:color="auto" w:fill="FFFFFF"/>
        </w:rPr>
        <w:t>, </w:t>
      </w:r>
      <w:r w:rsidRPr="00871CF1">
        <w:rPr>
          <w:i/>
          <w:iCs/>
          <w:color w:val="auto"/>
          <w:szCs w:val="22"/>
          <w:shd w:val="clear" w:color="auto" w:fill="FFFFFF"/>
        </w:rPr>
        <w:t>526</w:t>
      </w:r>
      <w:r w:rsidRPr="00871CF1">
        <w:rPr>
          <w:color w:val="auto"/>
          <w:szCs w:val="22"/>
          <w:shd w:val="clear" w:color="auto" w:fill="FFFFFF"/>
        </w:rPr>
        <w:t xml:space="preserve">(7574), 574-577. </w:t>
      </w:r>
      <w:hyperlink r:id="rId21" w:history="1">
        <w:r w:rsidRPr="00871CF1">
          <w:rPr>
            <w:rStyle w:val="Lienhypertexte"/>
            <w:color w:val="auto"/>
            <w:szCs w:val="22"/>
            <w:u w:val="none"/>
            <w:shd w:val="clear" w:color="auto" w:fill="FFFFFF"/>
          </w:rPr>
          <w:t>https://doi.org/10.1038/nature15374</w:t>
        </w:r>
      </w:hyperlink>
    </w:p>
    <w:p w14:paraId="59D0BDAC" w14:textId="5F275C17" w:rsidR="00810512" w:rsidRPr="00871CF1" w:rsidRDefault="00810512" w:rsidP="0043264C">
      <w:pPr>
        <w:jc w:val="both"/>
        <w:rPr>
          <w:rFonts w:ascii="Times New Roman" w:hAnsi="Times New Roman"/>
          <w:color w:val="auto"/>
          <w:szCs w:val="22"/>
        </w:rPr>
      </w:pPr>
      <w:r w:rsidRPr="00871CF1">
        <w:rPr>
          <w:rFonts w:ascii="Times New Roman" w:hAnsi="Times New Roman"/>
          <w:color w:val="auto"/>
          <w:szCs w:val="22"/>
        </w:rPr>
        <w:t>Iwama, K. (2008). Physiology of the potato: new insights into root system and repercussions for crop management. </w:t>
      </w:r>
      <w:r w:rsidRPr="00871CF1">
        <w:rPr>
          <w:rFonts w:ascii="Times New Roman" w:hAnsi="Times New Roman"/>
          <w:i/>
          <w:iCs/>
          <w:color w:val="auto"/>
          <w:szCs w:val="22"/>
        </w:rPr>
        <w:t>Potato Research</w:t>
      </w:r>
      <w:r w:rsidRPr="00871CF1">
        <w:rPr>
          <w:rFonts w:ascii="Times New Roman" w:hAnsi="Times New Roman"/>
          <w:color w:val="auto"/>
          <w:szCs w:val="22"/>
        </w:rPr>
        <w:t>, </w:t>
      </w:r>
      <w:r w:rsidRPr="00871CF1">
        <w:rPr>
          <w:rFonts w:ascii="Times New Roman" w:hAnsi="Times New Roman"/>
          <w:i/>
          <w:iCs/>
          <w:color w:val="auto"/>
          <w:szCs w:val="22"/>
        </w:rPr>
        <w:t>51</w:t>
      </w:r>
      <w:r w:rsidRPr="00871CF1">
        <w:rPr>
          <w:rFonts w:ascii="Times New Roman" w:hAnsi="Times New Roman"/>
          <w:color w:val="auto"/>
          <w:szCs w:val="22"/>
        </w:rPr>
        <w:t xml:space="preserve">, 333-353. </w:t>
      </w:r>
      <w:r w:rsidR="00D20FD4" w:rsidRPr="00871CF1">
        <w:rPr>
          <w:rFonts w:ascii="Times New Roman" w:hAnsi="Times New Roman"/>
          <w:color w:val="auto"/>
          <w:szCs w:val="22"/>
        </w:rPr>
        <w:t>https://doi.org/10.1007/s11540-008-9120-3</w:t>
      </w:r>
    </w:p>
    <w:p w14:paraId="05BBFB23" w14:textId="72DB1565" w:rsidR="0043264C" w:rsidRPr="00871CF1" w:rsidRDefault="0043264C" w:rsidP="0043264C">
      <w:pPr>
        <w:jc w:val="both"/>
        <w:rPr>
          <w:rFonts w:ascii="Times New Roman" w:hAnsi="Times New Roman"/>
          <w:color w:val="auto"/>
          <w:szCs w:val="22"/>
        </w:rPr>
      </w:pPr>
      <w:r w:rsidRPr="00871CF1">
        <w:rPr>
          <w:rFonts w:ascii="Times New Roman" w:hAnsi="Times New Roman"/>
          <w:color w:val="auto"/>
          <w:szCs w:val="22"/>
        </w:rPr>
        <w:t xml:space="preserve">Jackson, R. B., </w:t>
      </w:r>
      <w:proofErr w:type="spellStart"/>
      <w:r w:rsidRPr="00871CF1">
        <w:rPr>
          <w:rFonts w:ascii="Times New Roman" w:hAnsi="Times New Roman"/>
          <w:color w:val="auto"/>
          <w:szCs w:val="22"/>
        </w:rPr>
        <w:t>Lajtha</w:t>
      </w:r>
      <w:proofErr w:type="spellEnd"/>
      <w:r w:rsidRPr="00871CF1">
        <w:rPr>
          <w:rFonts w:ascii="Times New Roman" w:hAnsi="Times New Roman"/>
          <w:color w:val="auto"/>
          <w:szCs w:val="22"/>
        </w:rPr>
        <w:t xml:space="preserve">, K., Crow, S. E., </w:t>
      </w:r>
      <w:proofErr w:type="spellStart"/>
      <w:r w:rsidRPr="00871CF1">
        <w:rPr>
          <w:rFonts w:ascii="Times New Roman" w:hAnsi="Times New Roman"/>
          <w:color w:val="auto"/>
          <w:szCs w:val="22"/>
        </w:rPr>
        <w:t>Hugelius</w:t>
      </w:r>
      <w:proofErr w:type="spellEnd"/>
      <w:r w:rsidRPr="00871CF1">
        <w:rPr>
          <w:rFonts w:ascii="Times New Roman" w:hAnsi="Times New Roman"/>
          <w:color w:val="auto"/>
          <w:szCs w:val="22"/>
        </w:rPr>
        <w:t>, G., Kramer, M. G., &amp; Piñeiro, G. (2017). The ecology of soil carbon: pools, vulnerabilities, and biotic and abiotic controls. </w:t>
      </w:r>
      <w:r w:rsidRPr="00871CF1">
        <w:rPr>
          <w:rFonts w:ascii="Times New Roman" w:hAnsi="Times New Roman"/>
          <w:i/>
          <w:iCs/>
          <w:color w:val="auto"/>
          <w:szCs w:val="22"/>
        </w:rPr>
        <w:t>Annual review of ecology, evolution, and systematics</w:t>
      </w:r>
      <w:r w:rsidRPr="00871CF1">
        <w:rPr>
          <w:rFonts w:ascii="Times New Roman" w:hAnsi="Times New Roman"/>
          <w:color w:val="auto"/>
          <w:szCs w:val="22"/>
        </w:rPr>
        <w:t>, </w:t>
      </w:r>
      <w:r w:rsidRPr="00871CF1">
        <w:rPr>
          <w:rFonts w:ascii="Times New Roman" w:hAnsi="Times New Roman"/>
          <w:i/>
          <w:iCs/>
          <w:color w:val="auto"/>
          <w:szCs w:val="22"/>
        </w:rPr>
        <w:t>48</w:t>
      </w:r>
      <w:r w:rsidRPr="00871CF1">
        <w:rPr>
          <w:rFonts w:ascii="Times New Roman" w:hAnsi="Times New Roman"/>
          <w:color w:val="auto"/>
          <w:szCs w:val="22"/>
        </w:rPr>
        <w:t xml:space="preserve">(1), 419-445. </w:t>
      </w:r>
      <w:hyperlink r:id="rId22" w:history="1">
        <w:r w:rsidRPr="00871CF1">
          <w:rPr>
            <w:rStyle w:val="Lienhypertexte"/>
            <w:rFonts w:ascii="Times New Roman" w:hAnsi="Times New Roman"/>
            <w:color w:val="auto"/>
            <w:szCs w:val="22"/>
            <w:u w:val="none"/>
          </w:rPr>
          <w:t>https://doi.org/10.1146/annurev-ecolsys-112414-054234</w:t>
        </w:r>
      </w:hyperlink>
    </w:p>
    <w:p w14:paraId="108E7AA7" w14:textId="68F19CB1" w:rsidR="00CB2E14" w:rsidRPr="00871CF1" w:rsidRDefault="00CB2E14" w:rsidP="00CC709F">
      <w:pPr>
        <w:pStyle w:val="PubliManuscript"/>
        <w:spacing w:line="240" w:lineRule="auto"/>
        <w:ind w:firstLine="0"/>
        <w:rPr>
          <w:color w:val="auto"/>
          <w:szCs w:val="22"/>
          <w:shd w:val="clear" w:color="auto" w:fill="FFFFFF"/>
        </w:rPr>
      </w:pPr>
      <w:r w:rsidRPr="00871CF1">
        <w:rPr>
          <w:color w:val="auto"/>
          <w:szCs w:val="22"/>
          <w:shd w:val="clear" w:color="auto" w:fill="FFFFFF"/>
        </w:rPr>
        <w:t>Kragt, M. E., &amp; Robertson, M. J. (2014). Quantifying ecosystem services trade-offs from agricultural practices. </w:t>
      </w:r>
      <w:r w:rsidRPr="00871CF1">
        <w:rPr>
          <w:i/>
          <w:iCs/>
          <w:color w:val="auto"/>
          <w:szCs w:val="22"/>
          <w:shd w:val="clear" w:color="auto" w:fill="FFFFFF"/>
        </w:rPr>
        <w:t>Ecological Economics</w:t>
      </w:r>
      <w:r w:rsidRPr="00871CF1">
        <w:rPr>
          <w:color w:val="auto"/>
          <w:szCs w:val="22"/>
          <w:shd w:val="clear" w:color="auto" w:fill="FFFFFF"/>
        </w:rPr>
        <w:t>, </w:t>
      </w:r>
      <w:r w:rsidRPr="00871CF1">
        <w:rPr>
          <w:i/>
          <w:iCs/>
          <w:color w:val="auto"/>
          <w:szCs w:val="22"/>
          <w:shd w:val="clear" w:color="auto" w:fill="FFFFFF"/>
        </w:rPr>
        <w:t>102</w:t>
      </w:r>
      <w:r w:rsidRPr="00871CF1">
        <w:rPr>
          <w:color w:val="auto"/>
          <w:szCs w:val="22"/>
          <w:shd w:val="clear" w:color="auto" w:fill="FFFFFF"/>
        </w:rPr>
        <w:t xml:space="preserve">, 147-157. </w:t>
      </w:r>
      <w:r w:rsidR="00DC1D97" w:rsidRPr="00871CF1">
        <w:rPr>
          <w:color w:val="auto"/>
          <w:szCs w:val="22"/>
          <w:shd w:val="clear" w:color="auto" w:fill="FFFFFF"/>
        </w:rPr>
        <w:t>https://doi.org/10.1016/j.ecolecon.2014.04.001</w:t>
      </w:r>
    </w:p>
    <w:p w14:paraId="790D7F28" w14:textId="7FAF9B82" w:rsidR="00B659ED" w:rsidRPr="00871CF1" w:rsidRDefault="00B659ED" w:rsidP="00CC709F">
      <w:pPr>
        <w:pStyle w:val="PubliManuscript"/>
        <w:spacing w:line="240" w:lineRule="auto"/>
        <w:ind w:firstLine="0"/>
        <w:rPr>
          <w:color w:val="auto"/>
          <w:szCs w:val="22"/>
          <w:shd w:val="clear" w:color="auto" w:fill="FFFFFF"/>
        </w:rPr>
      </w:pPr>
      <w:r w:rsidRPr="00871CF1">
        <w:rPr>
          <w:color w:val="auto"/>
          <w:szCs w:val="22"/>
          <w:shd w:val="clear" w:color="auto" w:fill="FFFFFF"/>
        </w:rPr>
        <w:t>Kerr, R. B., Postigo, J. C., Smith, P., Cowie, A., Singh, P. K., Rivera-Ferre, M., ... &amp; Neufeldt, H. (2023). Agroecology as a transformative approach to tackle climatic, food, and ecosystemic crises. </w:t>
      </w:r>
      <w:r w:rsidRPr="00871CF1">
        <w:rPr>
          <w:i/>
          <w:iCs/>
          <w:color w:val="auto"/>
          <w:szCs w:val="22"/>
          <w:shd w:val="clear" w:color="auto" w:fill="FFFFFF"/>
        </w:rPr>
        <w:t>Current Opinion in Environmental Sustainability</w:t>
      </w:r>
      <w:r w:rsidRPr="00871CF1">
        <w:rPr>
          <w:color w:val="auto"/>
          <w:szCs w:val="22"/>
          <w:shd w:val="clear" w:color="auto" w:fill="FFFFFF"/>
        </w:rPr>
        <w:t>, </w:t>
      </w:r>
      <w:r w:rsidRPr="00871CF1">
        <w:rPr>
          <w:i/>
          <w:iCs/>
          <w:color w:val="auto"/>
          <w:szCs w:val="22"/>
          <w:shd w:val="clear" w:color="auto" w:fill="FFFFFF"/>
        </w:rPr>
        <w:t>62</w:t>
      </w:r>
      <w:r w:rsidRPr="00871CF1">
        <w:rPr>
          <w:color w:val="auto"/>
          <w:szCs w:val="22"/>
          <w:shd w:val="clear" w:color="auto" w:fill="FFFFFF"/>
        </w:rPr>
        <w:t xml:space="preserve">, 101275. </w:t>
      </w:r>
      <w:r w:rsidR="008D46FF" w:rsidRPr="00871CF1">
        <w:rPr>
          <w:color w:val="auto"/>
          <w:szCs w:val="22"/>
          <w:shd w:val="clear" w:color="auto" w:fill="FFFFFF"/>
        </w:rPr>
        <w:t>https://doi.org/10.1016/j.cosust.2023.101275</w:t>
      </w:r>
    </w:p>
    <w:p w14:paraId="2027D868" w14:textId="5CEC8740" w:rsidR="00744046" w:rsidRPr="00871CF1" w:rsidRDefault="00744046" w:rsidP="00CC709F">
      <w:pPr>
        <w:pStyle w:val="PubliManuscript"/>
        <w:spacing w:line="240" w:lineRule="auto"/>
        <w:ind w:firstLine="0"/>
        <w:rPr>
          <w:color w:val="auto"/>
          <w:szCs w:val="22"/>
          <w:shd w:val="clear" w:color="auto" w:fill="FFFFFF"/>
        </w:rPr>
      </w:pPr>
      <w:r w:rsidRPr="00871CF1">
        <w:rPr>
          <w:color w:val="auto"/>
          <w:szCs w:val="22"/>
          <w:shd w:val="clear" w:color="auto" w:fill="FFFFFF"/>
        </w:rPr>
        <w:t>Lal, R. (2020). Soil organic matter and water retention. </w:t>
      </w:r>
      <w:r w:rsidRPr="00871CF1">
        <w:rPr>
          <w:i/>
          <w:iCs/>
          <w:color w:val="auto"/>
          <w:szCs w:val="22"/>
          <w:shd w:val="clear" w:color="auto" w:fill="FFFFFF"/>
        </w:rPr>
        <w:t>Agronomy Journal</w:t>
      </w:r>
      <w:r w:rsidRPr="00871CF1">
        <w:rPr>
          <w:color w:val="auto"/>
          <w:szCs w:val="22"/>
          <w:shd w:val="clear" w:color="auto" w:fill="FFFFFF"/>
        </w:rPr>
        <w:t>, </w:t>
      </w:r>
      <w:r w:rsidRPr="00871CF1">
        <w:rPr>
          <w:i/>
          <w:iCs/>
          <w:color w:val="auto"/>
          <w:szCs w:val="22"/>
          <w:shd w:val="clear" w:color="auto" w:fill="FFFFFF"/>
        </w:rPr>
        <w:t>112</w:t>
      </w:r>
      <w:r w:rsidRPr="00871CF1">
        <w:rPr>
          <w:color w:val="auto"/>
          <w:szCs w:val="22"/>
          <w:shd w:val="clear" w:color="auto" w:fill="FFFFFF"/>
        </w:rPr>
        <w:t xml:space="preserve">(5), 3265-3277. </w:t>
      </w:r>
      <w:r w:rsidR="00A36AE9" w:rsidRPr="00871CF1">
        <w:rPr>
          <w:color w:val="auto"/>
          <w:szCs w:val="22"/>
          <w:shd w:val="clear" w:color="auto" w:fill="FFFFFF"/>
        </w:rPr>
        <w:t>https://doi.org/10.1002/agj2.20282</w:t>
      </w:r>
    </w:p>
    <w:p w14:paraId="0552F95F" w14:textId="7E0EFDB4" w:rsidR="00D147D3" w:rsidRPr="00871CF1" w:rsidRDefault="00FA2E11" w:rsidP="00CC709F">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rPr>
        <w:t>Langholtz</w:t>
      </w:r>
      <w:proofErr w:type="spellEnd"/>
      <w:r w:rsidRPr="00871CF1">
        <w:rPr>
          <w:color w:val="auto"/>
          <w:szCs w:val="22"/>
          <w:shd w:val="clear" w:color="auto" w:fill="FFFFFF"/>
        </w:rPr>
        <w:t>, M., Davison, B. H., Jager, H. I., Eaton, L., Baskaran, L. M., Davis, M., &amp; Brandt, C. C. (2021). Increased nitrogen use efficiency in crop production can provide economic and environmental benefits. </w:t>
      </w:r>
      <w:r w:rsidRPr="00871CF1">
        <w:rPr>
          <w:i/>
          <w:iCs/>
          <w:color w:val="auto"/>
          <w:szCs w:val="22"/>
          <w:shd w:val="clear" w:color="auto" w:fill="FFFFFF"/>
        </w:rPr>
        <w:t>Science of the Total Environment</w:t>
      </w:r>
      <w:r w:rsidRPr="00871CF1">
        <w:rPr>
          <w:color w:val="auto"/>
          <w:szCs w:val="22"/>
          <w:shd w:val="clear" w:color="auto" w:fill="FFFFFF"/>
        </w:rPr>
        <w:t>, </w:t>
      </w:r>
      <w:r w:rsidRPr="00871CF1">
        <w:rPr>
          <w:i/>
          <w:iCs/>
          <w:color w:val="auto"/>
          <w:szCs w:val="22"/>
          <w:shd w:val="clear" w:color="auto" w:fill="FFFFFF"/>
        </w:rPr>
        <w:t>758</w:t>
      </w:r>
      <w:r w:rsidRPr="00871CF1">
        <w:rPr>
          <w:color w:val="auto"/>
          <w:szCs w:val="22"/>
          <w:shd w:val="clear" w:color="auto" w:fill="FFFFFF"/>
        </w:rPr>
        <w:t xml:space="preserve">, 143602. </w:t>
      </w:r>
      <w:r w:rsidR="0069343A" w:rsidRPr="00871CF1">
        <w:rPr>
          <w:color w:val="auto"/>
          <w:szCs w:val="22"/>
          <w:shd w:val="clear" w:color="auto" w:fill="FFFFFF"/>
        </w:rPr>
        <w:t>https://doi.org/10.1016/j.scitotenv.2020.143602</w:t>
      </w:r>
    </w:p>
    <w:p w14:paraId="533EC9CC" w14:textId="2FA8B661" w:rsidR="00927374" w:rsidRPr="00871CF1" w:rsidRDefault="00927374" w:rsidP="00CC709F">
      <w:pPr>
        <w:pStyle w:val="PubliManuscript"/>
        <w:spacing w:line="240" w:lineRule="auto"/>
        <w:ind w:firstLine="0"/>
        <w:rPr>
          <w:color w:val="auto"/>
          <w:szCs w:val="22"/>
          <w:shd w:val="clear" w:color="auto" w:fill="FFFFFF"/>
        </w:rPr>
      </w:pPr>
      <w:r w:rsidRPr="00871CF1">
        <w:rPr>
          <w:color w:val="auto"/>
          <w:szCs w:val="22"/>
          <w:shd w:val="clear" w:color="auto" w:fill="FFFFFF"/>
          <w:lang w:val="fr-BE"/>
        </w:rPr>
        <w:t xml:space="preserve">Lemaire, G., </w:t>
      </w:r>
      <w:proofErr w:type="spellStart"/>
      <w:r w:rsidRPr="00871CF1">
        <w:rPr>
          <w:color w:val="auto"/>
          <w:szCs w:val="22"/>
          <w:shd w:val="clear" w:color="auto" w:fill="FFFFFF"/>
          <w:lang w:val="fr-BE"/>
        </w:rPr>
        <w:t>Franzluebbers</w:t>
      </w:r>
      <w:proofErr w:type="spellEnd"/>
      <w:r w:rsidRPr="00871CF1">
        <w:rPr>
          <w:color w:val="auto"/>
          <w:szCs w:val="22"/>
          <w:shd w:val="clear" w:color="auto" w:fill="FFFFFF"/>
          <w:lang w:val="fr-BE"/>
        </w:rPr>
        <w:t xml:space="preserve">, A., de </w:t>
      </w:r>
      <w:proofErr w:type="spellStart"/>
      <w:r w:rsidRPr="00871CF1">
        <w:rPr>
          <w:color w:val="auto"/>
          <w:szCs w:val="22"/>
          <w:shd w:val="clear" w:color="auto" w:fill="FFFFFF"/>
          <w:lang w:val="fr-BE"/>
        </w:rPr>
        <w:t>Faccio</w:t>
      </w:r>
      <w:proofErr w:type="spellEnd"/>
      <w:r w:rsidRPr="00871CF1">
        <w:rPr>
          <w:color w:val="auto"/>
          <w:szCs w:val="22"/>
          <w:shd w:val="clear" w:color="auto" w:fill="FFFFFF"/>
          <w:lang w:val="fr-BE"/>
        </w:rPr>
        <w:t xml:space="preserve"> Carvalho, P. C., &amp; Dedieu, B. (2014). </w:t>
      </w:r>
      <w:r w:rsidRPr="00871CF1">
        <w:rPr>
          <w:color w:val="auto"/>
          <w:szCs w:val="22"/>
          <w:shd w:val="clear" w:color="auto" w:fill="FFFFFF"/>
        </w:rPr>
        <w:t>Integrated crop–livestock systems: Strategies to achieve synergy between agricultural production and environmental quality. </w:t>
      </w:r>
      <w:r w:rsidRPr="00871CF1">
        <w:rPr>
          <w:i/>
          <w:iCs/>
          <w:color w:val="auto"/>
          <w:szCs w:val="22"/>
          <w:shd w:val="clear" w:color="auto" w:fill="FFFFFF"/>
        </w:rPr>
        <w:t>Agriculture, Ecosystems &amp; Environment</w:t>
      </w:r>
      <w:r w:rsidRPr="00871CF1">
        <w:rPr>
          <w:color w:val="auto"/>
          <w:szCs w:val="22"/>
          <w:shd w:val="clear" w:color="auto" w:fill="FFFFFF"/>
        </w:rPr>
        <w:t>, </w:t>
      </w:r>
      <w:r w:rsidRPr="00871CF1">
        <w:rPr>
          <w:i/>
          <w:iCs/>
          <w:color w:val="auto"/>
          <w:szCs w:val="22"/>
          <w:shd w:val="clear" w:color="auto" w:fill="FFFFFF"/>
        </w:rPr>
        <w:t>190</w:t>
      </w:r>
      <w:r w:rsidRPr="00871CF1">
        <w:rPr>
          <w:color w:val="auto"/>
          <w:szCs w:val="22"/>
          <w:shd w:val="clear" w:color="auto" w:fill="FFFFFF"/>
        </w:rPr>
        <w:t>, 4-8. https://doi.org/10.1016/j.agee.2013.08.009</w:t>
      </w:r>
    </w:p>
    <w:p w14:paraId="59CD9A46" w14:textId="117F1469" w:rsidR="00A839E5" w:rsidRPr="00871CF1" w:rsidRDefault="00A839E5" w:rsidP="00CC709F">
      <w:pPr>
        <w:pStyle w:val="PubliManuscript"/>
        <w:spacing w:line="240" w:lineRule="auto"/>
        <w:ind w:firstLine="0"/>
        <w:rPr>
          <w:color w:val="auto"/>
          <w:szCs w:val="22"/>
          <w:shd w:val="clear" w:color="auto" w:fill="FFFFFF"/>
        </w:rPr>
      </w:pPr>
      <w:r w:rsidRPr="00871CF1">
        <w:rPr>
          <w:color w:val="auto"/>
          <w:szCs w:val="22"/>
          <w:shd w:val="clear" w:color="auto" w:fill="FFFFFF"/>
        </w:rPr>
        <w:t>Li, G., Yu, C., Shen, P., Hou, Y., Ren, Z., Li, N., ... &amp; Wen, X. (2024). Crop diversification promotes soil aggregation and carbon accumulation in global agroecosystems: A meta-analysis. </w:t>
      </w:r>
      <w:r w:rsidRPr="00871CF1">
        <w:rPr>
          <w:i/>
          <w:iCs/>
          <w:color w:val="auto"/>
          <w:szCs w:val="22"/>
          <w:shd w:val="clear" w:color="auto" w:fill="FFFFFF"/>
        </w:rPr>
        <w:t>Journal of Environmental Management</w:t>
      </w:r>
      <w:r w:rsidRPr="00871CF1">
        <w:rPr>
          <w:color w:val="auto"/>
          <w:szCs w:val="22"/>
          <w:shd w:val="clear" w:color="auto" w:fill="FFFFFF"/>
        </w:rPr>
        <w:t>, </w:t>
      </w:r>
      <w:r w:rsidRPr="00871CF1">
        <w:rPr>
          <w:i/>
          <w:iCs/>
          <w:color w:val="auto"/>
          <w:szCs w:val="22"/>
          <w:shd w:val="clear" w:color="auto" w:fill="FFFFFF"/>
        </w:rPr>
        <w:t>350</w:t>
      </w:r>
      <w:r w:rsidRPr="00871CF1">
        <w:rPr>
          <w:color w:val="auto"/>
          <w:szCs w:val="22"/>
          <w:shd w:val="clear" w:color="auto" w:fill="FFFFFF"/>
        </w:rPr>
        <w:t xml:space="preserve">, 119661. </w:t>
      </w:r>
      <w:r w:rsidR="00801432" w:rsidRPr="00871CF1">
        <w:rPr>
          <w:color w:val="auto"/>
          <w:szCs w:val="22"/>
          <w:shd w:val="clear" w:color="auto" w:fill="FFFFFF"/>
        </w:rPr>
        <w:t>https://doi.org/10.1016/j.jenvman.2023.119661</w:t>
      </w:r>
    </w:p>
    <w:p w14:paraId="6A285D41" w14:textId="13F42243" w:rsidR="000C4B11" w:rsidRPr="00871CF1" w:rsidRDefault="000C4B11"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Malisch, C. S., Finn, J. A., Eriksen, J., Loges, R., Brophy, C., &amp; Huguenin‐Elie, O. (2024). The </w:t>
      </w:r>
      <w:r w:rsidRPr="00871CF1">
        <w:rPr>
          <w:color w:val="auto"/>
          <w:szCs w:val="22"/>
          <w:shd w:val="clear" w:color="auto" w:fill="FFFFFF"/>
        </w:rPr>
        <w:lastRenderedPageBreak/>
        <w:t>importance of multi‐species grassland leys to enhance ecosystem services in crop rotations. </w:t>
      </w:r>
      <w:r w:rsidRPr="00871CF1">
        <w:rPr>
          <w:i/>
          <w:iCs/>
          <w:color w:val="auto"/>
          <w:szCs w:val="22"/>
          <w:shd w:val="clear" w:color="auto" w:fill="FFFFFF"/>
        </w:rPr>
        <w:t>Grass and Forage Science</w:t>
      </w:r>
      <w:r w:rsidRPr="00871CF1">
        <w:rPr>
          <w:color w:val="auto"/>
          <w:szCs w:val="22"/>
          <w:shd w:val="clear" w:color="auto" w:fill="FFFFFF"/>
        </w:rPr>
        <w:t>, </w:t>
      </w:r>
      <w:r w:rsidRPr="00871CF1">
        <w:rPr>
          <w:i/>
          <w:iCs/>
          <w:color w:val="auto"/>
          <w:szCs w:val="22"/>
          <w:shd w:val="clear" w:color="auto" w:fill="FFFFFF"/>
        </w:rPr>
        <w:t>79</w:t>
      </w:r>
      <w:r w:rsidRPr="00871CF1">
        <w:rPr>
          <w:color w:val="auto"/>
          <w:szCs w:val="22"/>
          <w:shd w:val="clear" w:color="auto" w:fill="FFFFFF"/>
        </w:rPr>
        <w:t xml:space="preserve">(2), 120-134. </w:t>
      </w:r>
      <w:r w:rsidR="00983B4C" w:rsidRPr="00871CF1">
        <w:rPr>
          <w:color w:val="auto"/>
          <w:szCs w:val="22"/>
          <w:shd w:val="clear" w:color="auto" w:fill="FFFFFF"/>
        </w:rPr>
        <w:t>https://doi.org/10.1111/gfs.12670</w:t>
      </w:r>
    </w:p>
    <w:p w14:paraId="6354F0CB" w14:textId="2AA07EAC" w:rsidR="00D84987" w:rsidRPr="00871CF1" w:rsidRDefault="00D84987" w:rsidP="00CC709F">
      <w:pPr>
        <w:pStyle w:val="PubliManuscript"/>
        <w:spacing w:line="240" w:lineRule="auto"/>
        <w:ind w:firstLine="0"/>
        <w:rPr>
          <w:color w:val="auto"/>
          <w:szCs w:val="22"/>
          <w:shd w:val="clear" w:color="auto" w:fill="FFFFFF"/>
        </w:rPr>
      </w:pPr>
      <w:r w:rsidRPr="00871CF1">
        <w:rPr>
          <w:color w:val="auto"/>
          <w:szCs w:val="22"/>
          <w:shd w:val="clear" w:color="auto" w:fill="FFFFFF"/>
        </w:rPr>
        <w:t>McDaniel, M. D., Tiemann, L. K., &amp; Grandy, A. S. (2014). Does agricultural crop diversity enhance soil microbial biomass and organic matter dynamics? A meta‐analysis. </w:t>
      </w:r>
      <w:r w:rsidRPr="00871CF1">
        <w:rPr>
          <w:i/>
          <w:iCs/>
          <w:color w:val="auto"/>
          <w:szCs w:val="22"/>
          <w:shd w:val="clear" w:color="auto" w:fill="FFFFFF"/>
        </w:rPr>
        <w:t>Ecological Applications</w:t>
      </w:r>
      <w:r w:rsidRPr="00871CF1">
        <w:rPr>
          <w:color w:val="auto"/>
          <w:szCs w:val="22"/>
          <w:shd w:val="clear" w:color="auto" w:fill="FFFFFF"/>
        </w:rPr>
        <w:t>, </w:t>
      </w:r>
      <w:r w:rsidRPr="00871CF1">
        <w:rPr>
          <w:i/>
          <w:iCs/>
          <w:color w:val="auto"/>
          <w:szCs w:val="22"/>
          <w:shd w:val="clear" w:color="auto" w:fill="FFFFFF"/>
        </w:rPr>
        <w:t>24</w:t>
      </w:r>
      <w:r w:rsidRPr="00871CF1">
        <w:rPr>
          <w:color w:val="auto"/>
          <w:szCs w:val="22"/>
          <w:shd w:val="clear" w:color="auto" w:fill="FFFFFF"/>
        </w:rPr>
        <w:t xml:space="preserve">(3), 560-570. </w:t>
      </w:r>
      <w:r w:rsidR="00566262" w:rsidRPr="00871CF1">
        <w:rPr>
          <w:color w:val="auto"/>
          <w:szCs w:val="22"/>
          <w:shd w:val="clear" w:color="auto" w:fill="FFFFFF"/>
        </w:rPr>
        <w:t>https://doi.org/10.1890/13-0616.1</w:t>
      </w:r>
    </w:p>
    <w:p w14:paraId="0F08284B" w14:textId="18D251EF" w:rsidR="00AB2D66" w:rsidRPr="00871CF1" w:rsidRDefault="00AB2D66" w:rsidP="00CC709F">
      <w:pPr>
        <w:pStyle w:val="PubliManuscript"/>
        <w:spacing w:line="240" w:lineRule="auto"/>
        <w:ind w:firstLine="0"/>
        <w:rPr>
          <w:color w:val="auto"/>
          <w:szCs w:val="22"/>
          <w:shd w:val="clear" w:color="auto" w:fill="FFFFFF"/>
          <w:lang w:val="fr-BE"/>
        </w:rPr>
      </w:pPr>
      <w:proofErr w:type="spellStart"/>
      <w:r w:rsidRPr="00871CF1">
        <w:rPr>
          <w:color w:val="auto"/>
          <w:szCs w:val="22"/>
          <w:shd w:val="clear" w:color="auto" w:fill="FFFFFF"/>
        </w:rPr>
        <w:t>Minasny</w:t>
      </w:r>
      <w:proofErr w:type="spellEnd"/>
      <w:r w:rsidRPr="00871CF1">
        <w:rPr>
          <w:color w:val="auto"/>
          <w:szCs w:val="22"/>
          <w:shd w:val="clear" w:color="auto" w:fill="FFFFFF"/>
        </w:rPr>
        <w:t xml:space="preserve">, B., Malone, B. P., McBratney, A. B., Angers, D. A., </w:t>
      </w:r>
      <w:proofErr w:type="spellStart"/>
      <w:r w:rsidRPr="00871CF1">
        <w:rPr>
          <w:color w:val="auto"/>
          <w:szCs w:val="22"/>
          <w:shd w:val="clear" w:color="auto" w:fill="FFFFFF"/>
        </w:rPr>
        <w:t>Arrouays</w:t>
      </w:r>
      <w:proofErr w:type="spellEnd"/>
      <w:r w:rsidRPr="00871CF1">
        <w:rPr>
          <w:color w:val="auto"/>
          <w:szCs w:val="22"/>
          <w:shd w:val="clear" w:color="auto" w:fill="FFFFFF"/>
        </w:rPr>
        <w:t xml:space="preserve">, D., Chambers, A., ... </w:t>
      </w:r>
      <w:r w:rsidRPr="00871CF1">
        <w:rPr>
          <w:color w:val="auto"/>
          <w:szCs w:val="22"/>
          <w:shd w:val="clear" w:color="auto" w:fill="FFFFFF"/>
          <w:lang w:val="fr-BE"/>
        </w:rPr>
        <w:t xml:space="preserve">&amp; </w:t>
      </w:r>
      <w:proofErr w:type="spellStart"/>
      <w:r w:rsidRPr="00871CF1">
        <w:rPr>
          <w:color w:val="auto"/>
          <w:szCs w:val="22"/>
          <w:shd w:val="clear" w:color="auto" w:fill="FFFFFF"/>
          <w:lang w:val="fr-BE"/>
        </w:rPr>
        <w:t>Winowiecki</w:t>
      </w:r>
      <w:proofErr w:type="spellEnd"/>
      <w:r w:rsidRPr="00871CF1">
        <w:rPr>
          <w:color w:val="auto"/>
          <w:szCs w:val="22"/>
          <w:shd w:val="clear" w:color="auto" w:fill="FFFFFF"/>
          <w:lang w:val="fr-BE"/>
        </w:rPr>
        <w:t xml:space="preserve">, L. (2017). </w:t>
      </w:r>
      <w:proofErr w:type="spellStart"/>
      <w:r w:rsidRPr="00871CF1">
        <w:rPr>
          <w:color w:val="auto"/>
          <w:szCs w:val="22"/>
          <w:shd w:val="clear" w:color="auto" w:fill="FFFFFF"/>
          <w:lang w:val="fr-BE"/>
        </w:rPr>
        <w:t>Soil</w:t>
      </w:r>
      <w:proofErr w:type="spellEnd"/>
      <w:r w:rsidRPr="00871CF1">
        <w:rPr>
          <w:color w:val="auto"/>
          <w:szCs w:val="22"/>
          <w:shd w:val="clear" w:color="auto" w:fill="FFFFFF"/>
          <w:lang w:val="fr-BE"/>
        </w:rPr>
        <w:t xml:space="preserve"> </w:t>
      </w:r>
      <w:proofErr w:type="spellStart"/>
      <w:r w:rsidRPr="00871CF1">
        <w:rPr>
          <w:color w:val="auto"/>
          <w:szCs w:val="22"/>
          <w:shd w:val="clear" w:color="auto" w:fill="FFFFFF"/>
          <w:lang w:val="fr-BE"/>
        </w:rPr>
        <w:t>carbon</w:t>
      </w:r>
      <w:proofErr w:type="spellEnd"/>
      <w:r w:rsidRPr="00871CF1">
        <w:rPr>
          <w:color w:val="auto"/>
          <w:szCs w:val="22"/>
          <w:shd w:val="clear" w:color="auto" w:fill="FFFFFF"/>
          <w:lang w:val="fr-BE"/>
        </w:rPr>
        <w:t xml:space="preserve"> 4 per mille. </w:t>
      </w:r>
      <w:proofErr w:type="spellStart"/>
      <w:r w:rsidRPr="00871CF1">
        <w:rPr>
          <w:i/>
          <w:iCs/>
          <w:color w:val="auto"/>
          <w:szCs w:val="22"/>
          <w:shd w:val="clear" w:color="auto" w:fill="FFFFFF"/>
          <w:lang w:val="fr-BE"/>
        </w:rPr>
        <w:t>Geoderma</w:t>
      </w:r>
      <w:proofErr w:type="spellEnd"/>
      <w:r w:rsidRPr="00871CF1">
        <w:rPr>
          <w:color w:val="auto"/>
          <w:szCs w:val="22"/>
          <w:shd w:val="clear" w:color="auto" w:fill="FFFFFF"/>
          <w:lang w:val="fr-BE"/>
        </w:rPr>
        <w:t>, </w:t>
      </w:r>
      <w:r w:rsidRPr="00871CF1">
        <w:rPr>
          <w:i/>
          <w:iCs/>
          <w:color w:val="auto"/>
          <w:szCs w:val="22"/>
          <w:shd w:val="clear" w:color="auto" w:fill="FFFFFF"/>
          <w:lang w:val="fr-BE"/>
        </w:rPr>
        <w:t>292</w:t>
      </w:r>
      <w:r w:rsidRPr="00871CF1">
        <w:rPr>
          <w:color w:val="auto"/>
          <w:szCs w:val="22"/>
          <w:shd w:val="clear" w:color="auto" w:fill="FFFFFF"/>
          <w:lang w:val="fr-BE"/>
        </w:rPr>
        <w:t xml:space="preserve">, 59-86. </w:t>
      </w:r>
      <w:r w:rsidR="00AA2F1B" w:rsidRPr="00871CF1">
        <w:rPr>
          <w:color w:val="auto"/>
          <w:szCs w:val="22"/>
          <w:shd w:val="clear" w:color="auto" w:fill="FFFFFF"/>
          <w:lang w:val="fr-BE"/>
        </w:rPr>
        <w:t>https://doi.org/10.1016/j.geoderma.2017.01.002</w:t>
      </w:r>
    </w:p>
    <w:p w14:paraId="07E3D9C4" w14:textId="2E1FA4F5" w:rsidR="00AD6DA0" w:rsidRPr="00871CF1" w:rsidRDefault="00AD6DA0" w:rsidP="00CC709F">
      <w:pPr>
        <w:pStyle w:val="PubliManuscript"/>
        <w:spacing w:line="240" w:lineRule="auto"/>
        <w:ind w:firstLine="0"/>
        <w:rPr>
          <w:color w:val="auto"/>
          <w:szCs w:val="22"/>
          <w:shd w:val="clear" w:color="auto" w:fill="FFFFFF"/>
        </w:rPr>
      </w:pPr>
      <w:r w:rsidRPr="00871CF1">
        <w:rPr>
          <w:color w:val="auto"/>
          <w:szCs w:val="22"/>
          <w:shd w:val="clear" w:color="auto" w:fill="FFFFFF"/>
          <w:lang w:val="fr-BE"/>
        </w:rPr>
        <w:t xml:space="preserve">Mori, L. D., </w:t>
      </w:r>
      <w:proofErr w:type="spellStart"/>
      <w:r w:rsidRPr="00871CF1">
        <w:rPr>
          <w:color w:val="auto"/>
          <w:szCs w:val="22"/>
          <w:shd w:val="clear" w:color="auto" w:fill="FFFFFF"/>
          <w:lang w:val="fr-BE"/>
        </w:rPr>
        <w:t>Simões</w:t>
      </w:r>
      <w:proofErr w:type="spellEnd"/>
      <w:r w:rsidRPr="00871CF1">
        <w:rPr>
          <w:color w:val="auto"/>
          <w:szCs w:val="22"/>
          <w:shd w:val="clear" w:color="auto" w:fill="FFFFFF"/>
          <w:lang w:val="fr-BE"/>
        </w:rPr>
        <w:t xml:space="preserve">, V. J. L. P., dos Santos </w:t>
      </w:r>
      <w:proofErr w:type="spellStart"/>
      <w:r w:rsidRPr="00871CF1">
        <w:rPr>
          <w:color w:val="auto"/>
          <w:szCs w:val="22"/>
          <w:shd w:val="clear" w:color="auto" w:fill="FFFFFF"/>
          <w:lang w:val="fr-BE"/>
        </w:rPr>
        <w:t>Cargnelutti</w:t>
      </w:r>
      <w:proofErr w:type="spellEnd"/>
      <w:r w:rsidRPr="00871CF1">
        <w:rPr>
          <w:color w:val="auto"/>
          <w:szCs w:val="22"/>
          <w:shd w:val="clear" w:color="auto" w:fill="FFFFFF"/>
          <w:lang w:val="fr-BE"/>
        </w:rPr>
        <w:t xml:space="preserve">, C., Duarte, L. P., Leal, G. L., </w:t>
      </w:r>
      <w:proofErr w:type="spellStart"/>
      <w:r w:rsidRPr="00871CF1">
        <w:rPr>
          <w:color w:val="auto"/>
          <w:szCs w:val="22"/>
          <w:shd w:val="clear" w:color="auto" w:fill="FFFFFF"/>
          <w:lang w:val="fr-BE"/>
        </w:rPr>
        <w:t>Doberstein</w:t>
      </w:r>
      <w:proofErr w:type="spellEnd"/>
      <w:r w:rsidRPr="00871CF1">
        <w:rPr>
          <w:color w:val="auto"/>
          <w:szCs w:val="22"/>
          <w:shd w:val="clear" w:color="auto" w:fill="FFFFFF"/>
          <w:lang w:val="fr-BE"/>
        </w:rPr>
        <w:t xml:space="preserve">, A. P. S., ... </w:t>
      </w:r>
      <w:r w:rsidRPr="00871CF1">
        <w:rPr>
          <w:color w:val="auto"/>
          <w:szCs w:val="22"/>
          <w:shd w:val="clear" w:color="auto" w:fill="FFFFFF"/>
        </w:rPr>
        <w:t>&amp; de Faccio Carvalho, P. C. (2025). Grazing intensity for enhanced resource use efficiency in integrated crop-livestock systems: Balancing soil carbon storage and food security. </w:t>
      </w:r>
      <w:r w:rsidRPr="00871CF1">
        <w:rPr>
          <w:i/>
          <w:iCs/>
          <w:color w:val="auto"/>
          <w:szCs w:val="22"/>
          <w:shd w:val="clear" w:color="auto" w:fill="FFFFFF"/>
        </w:rPr>
        <w:t>Journal of Environmental Management</w:t>
      </w:r>
      <w:r w:rsidRPr="00871CF1">
        <w:rPr>
          <w:color w:val="auto"/>
          <w:szCs w:val="22"/>
          <w:shd w:val="clear" w:color="auto" w:fill="FFFFFF"/>
        </w:rPr>
        <w:t>, </w:t>
      </w:r>
      <w:r w:rsidRPr="00871CF1">
        <w:rPr>
          <w:i/>
          <w:iCs/>
          <w:color w:val="auto"/>
          <w:szCs w:val="22"/>
          <w:shd w:val="clear" w:color="auto" w:fill="FFFFFF"/>
        </w:rPr>
        <w:t>373</w:t>
      </w:r>
      <w:r w:rsidRPr="00871CF1">
        <w:rPr>
          <w:color w:val="auto"/>
          <w:szCs w:val="22"/>
          <w:shd w:val="clear" w:color="auto" w:fill="FFFFFF"/>
        </w:rPr>
        <w:t xml:space="preserve">, 123541. </w:t>
      </w:r>
      <w:r w:rsidR="00775928" w:rsidRPr="00871CF1">
        <w:rPr>
          <w:color w:val="auto"/>
          <w:szCs w:val="22"/>
          <w:shd w:val="clear" w:color="auto" w:fill="FFFFFF"/>
        </w:rPr>
        <w:t>https://doi.org/10.1016/j.jenvman.2024.123541</w:t>
      </w:r>
    </w:p>
    <w:p w14:paraId="546A0BC5" w14:textId="50271F2D" w:rsidR="00A7423A" w:rsidRPr="00871CF1" w:rsidRDefault="00A7423A"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Myers, S. S., Smith, M. R., Guth, S., Golden, C. D., </w:t>
      </w:r>
      <w:proofErr w:type="spellStart"/>
      <w:r w:rsidRPr="00871CF1">
        <w:rPr>
          <w:color w:val="auto"/>
          <w:szCs w:val="22"/>
          <w:shd w:val="clear" w:color="auto" w:fill="FFFFFF"/>
        </w:rPr>
        <w:t>Vaitla</w:t>
      </w:r>
      <w:proofErr w:type="spellEnd"/>
      <w:r w:rsidRPr="00871CF1">
        <w:rPr>
          <w:color w:val="auto"/>
          <w:szCs w:val="22"/>
          <w:shd w:val="clear" w:color="auto" w:fill="FFFFFF"/>
        </w:rPr>
        <w:t xml:space="preserve">, B., Mueller, N. D., ... &amp; </w:t>
      </w:r>
      <w:proofErr w:type="spellStart"/>
      <w:r w:rsidRPr="00871CF1">
        <w:rPr>
          <w:color w:val="auto"/>
          <w:szCs w:val="22"/>
          <w:shd w:val="clear" w:color="auto" w:fill="FFFFFF"/>
        </w:rPr>
        <w:t>Huybers</w:t>
      </w:r>
      <w:proofErr w:type="spellEnd"/>
      <w:r w:rsidRPr="00871CF1">
        <w:rPr>
          <w:color w:val="auto"/>
          <w:szCs w:val="22"/>
          <w:shd w:val="clear" w:color="auto" w:fill="FFFFFF"/>
        </w:rPr>
        <w:t>, P. (2017). Climate change and global food systems: potential impacts on food security and undernutrition. </w:t>
      </w:r>
      <w:r w:rsidRPr="00871CF1">
        <w:rPr>
          <w:i/>
          <w:iCs/>
          <w:color w:val="auto"/>
          <w:szCs w:val="22"/>
          <w:shd w:val="clear" w:color="auto" w:fill="FFFFFF"/>
        </w:rPr>
        <w:t>Annual review of public health</w:t>
      </w:r>
      <w:r w:rsidRPr="00871CF1">
        <w:rPr>
          <w:color w:val="auto"/>
          <w:szCs w:val="22"/>
          <w:shd w:val="clear" w:color="auto" w:fill="FFFFFF"/>
        </w:rPr>
        <w:t>, </w:t>
      </w:r>
      <w:r w:rsidRPr="00871CF1">
        <w:rPr>
          <w:i/>
          <w:iCs/>
          <w:color w:val="auto"/>
          <w:szCs w:val="22"/>
          <w:shd w:val="clear" w:color="auto" w:fill="FFFFFF"/>
        </w:rPr>
        <w:t>38</w:t>
      </w:r>
      <w:r w:rsidRPr="00871CF1">
        <w:rPr>
          <w:color w:val="auto"/>
          <w:szCs w:val="22"/>
          <w:shd w:val="clear" w:color="auto" w:fill="FFFFFF"/>
        </w:rPr>
        <w:t>, 259-277.</w:t>
      </w:r>
      <w:r w:rsidRPr="00871CF1">
        <w:rPr>
          <w:color w:val="auto"/>
          <w:szCs w:val="22"/>
        </w:rPr>
        <w:t xml:space="preserve"> </w:t>
      </w:r>
      <w:hyperlink r:id="rId23" w:history="1">
        <w:r w:rsidRPr="00871CF1">
          <w:rPr>
            <w:rStyle w:val="Lienhypertexte"/>
            <w:color w:val="auto"/>
            <w:szCs w:val="22"/>
            <w:u w:val="none"/>
            <w:shd w:val="clear" w:color="auto" w:fill="FFFFFF"/>
          </w:rPr>
          <w:t>https://doi.org/10.1146/annurev-publhealth-031816-044356</w:t>
        </w:r>
      </w:hyperlink>
    </w:p>
    <w:p w14:paraId="057DED2B" w14:textId="45CFA0AD" w:rsidR="00BF2A0F" w:rsidRPr="00871CF1" w:rsidRDefault="00BF2A0F" w:rsidP="00CC709F">
      <w:pPr>
        <w:pStyle w:val="PubliManuscript"/>
        <w:spacing w:line="240" w:lineRule="auto"/>
        <w:ind w:firstLine="0"/>
        <w:rPr>
          <w:color w:val="auto"/>
          <w:szCs w:val="22"/>
          <w:shd w:val="clear" w:color="auto" w:fill="FFFFFF"/>
        </w:rPr>
      </w:pPr>
      <w:r w:rsidRPr="00871CF1">
        <w:rPr>
          <w:color w:val="auto"/>
          <w:szCs w:val="22"/>
          <w:shd w:val="clear" w:color="auto" w:fill="FFFFFF"/>
        </w:rPr>
        <w:t>Naylor, R., Steinfeld, H., Falcon, W., Galloway, J., Smil, V., Bradford, E., ... &amp; Mooney, H. (2005). Losing the links between livestock and land. </w:t>
      </w:r>
      <w:r w:rsidRPr="00871CF1">
        <w:rPr>
          <w:i/>
          <w:iCs/>
          <w:color w:val="auto"/>
          <w:szCs w:val="22"/>
          <w:shd w:val="clear" w:color="auto" w:fill="FFFFFF"/>
        </w:rPr>
        <w:t>Science</w:t>
      </w:r>
      <w:r w:rsidRPr="00871CF1">
        <w:rPr>
          <w:color w:val="auto"/>
          <w:szCs w:val="22"/>
          <w:shd w:val="clear" w:color="auto" w:fill="FFFFFF"/>
        </w:rPr>
        <w:t>, </w:t>
      </w:r>
      <w:r w:rsidRPr="00871CF1">
        <w:rPr>
          <w:i/>
          <w:iCs/>
          <w:color w:val="auto"/>
          <w:szCs w:val="22"/>
          <w:shd w:val="clear" w:color="auto" w:fill="FFFFFF"/>
        </w:rPr>
        <w:t>310</w:t>
      </w:r>
      <w:r w:rsidRPr="00871CF1">
        <w:rPr>
          <w:color w:val="auto"/>
          <w:szCs w:val="22"/>
          <w:shd w:val="clear" w:color="auto" w:fill="FFFFFF"/>
        </w:rPr>
        <w:t xml:space="preserve">(5754), 1621-1622. </w:t>
      </w:r>
      <w:hyperlink r:id="rId24" w:history="1">
        <w:r w:rsidR="0072568C" w:rsidRPr="00871CF1">
          <w:rPr>
            <w:rStyle w:val="Lienhypertexte"/>
            <w:color w:val="auto"/>
            <w:szCs w:val="22"/>
            <w:shd w:val="clear" w:color="auto" w:fill="FFFFFF"/>
          </w:rPr>
          <w:t>https://doi.org/10.1126/science.1117856</w:t>
        </w:r>
      </w:hyperlink>
    </w:p>
    <w:p w14:paraId="1DD865AE" w14:textId="3B8D22B5" w:rsidR="0072568C" w:rsidRPr="00871CF1" w:rsidRDefault="0072568C" w:rsidP="0072568C">
      <w:pPr>
        <w:pStyle w:val="PubliManuscript"/>
        <w:spacing w:after="0" w:line="240" w:lineRule="auto"/>
        <w:ind w:firstLine="0"/>
        <w:rPr>
          <w:color w:val="auto"/>
          <w:szCs w:val="22"/>
        </w:rPr>
      </w:pPr>
      <w:r w:rsidRPr="00871CF1">
        <w:rPr>
          <w:color w:val="auto"/>
          <w:szCs w:val="22"/>
        </w:rPr>
        <w:t xml:space="preserve">Nelson, E., Mendoza, G., </w:t>
      </w:r>
      <w:proofErr w:type="spellStart"/>
      <w:r w:rsidRPr="00871CF1">
        <w:rPr>
          <w:color w:val="auto"/>
          <w:szCs w:val="22"/>
        </w:rPr>
        <w:t>Regetz</w:t>
      </w:r>
      <w:proofErr w:type="spellEnd"/>
      <w:r w:rsidRPr="00871CF1">
        <w:rPr>
          <w:color w:val="auto"/>
          <w:szCs w:val="22"/>
        </w:rPr>
        <w:t>, J., Polasky, S., Tallis, H., Cameron, D., ... &amp; Shaw, M. (2009). Modeling multiple ecosystem services, biodiversity conservation, commodity production, and tradeoffs at landscape scales. </w:t>
      </w:r>
      <w:r w:rsidRPr="00871CF1">
        <w:rPr>
          <w:i/>
          <w:iCs/>
          <w:color w:val="auto"/>
          <w:szCs w:val="22"/>
        </w:rPr>
        <w:t>Frontiers in Ecology and the Environment</w:t>
      </w:r>
      <w:r w:rsidRPr="00871CF1">
        <w:rPr>
          <w:color w:val="auto"/>
          <w:szCs w:val="22"/>
        </w:rPr>
        <w:t>, </w:t>
      </w:r>
      <w:r w:rsidRPr="00871CF1">
        <w:rPr>
          <w:i/>
          <w:iCs/>
          <w:color w:val="auto"/>
          <w:szCs w:val="22"/>
        </w:rPr>
        <w:t>7</w:t>
      </w:r>
      <w:r w:rsidRPr="00871CF1">
        <w:rPr>
          <w:color w:val="auto"/>
          <w:szCs w:val="22"/>
        </w:rPr>
        <w:t xml:space="preserve">(1), 4-11. </w:t>
      </w:r>
      <w:hyperlink r:id="rId25" w:history="1">
        <w:r w:rsidRPr="00871CF1">
          <w:rPr>
            <w:color w:val="auto"/>
            <w:szCs w:val="22"/>
            <w:shd w:val="clear" w:color="auto" w:fill="FFFFFF"/>
          </w:rPr>
          <w:t>https://doi.org/10.1890/080023</w:t>
        </w:r>
      </w:hyperlink>
    </w:p>
    <w:p w14:paraId="126B1A3A" w14:textId="256F388A" w:rsidR="00506CE8" w:rsidRPr="00871CF1" w:rsidRDefault="00506CE8" w:rsidP="00CC709F">
      <w:pPr>
        <w:pStyle w:val="PubliManuscript"/>
        <w:spacing w:line="240" w:lineRule="auto"/>
        <w:ind w:firstLine="0"/>
        <w:rPr>
          <w:color w:val="auto"/>
          <w:szCs w:val="22"/>
          <w:shd w:val="clear" w:color="auto" w:fill="FFFFFF"/>
        </w:rPr>
      </w:pPr>
      <w:r w:rsidRPr="00871CF1">
        <w:rPr>
          <w:color w:val="auto"/>
          <w:szCs w:val="22"/>
          <w:shd w:val="clear" w:color="auto" w:fill="FFFFFF"/>
        </w:rPr>
        <w:t>Nguyen, T. H., Cook, M., Field, J. L., Khuc, Q. V., &amp; Paustian, K. (2018). High-resolution trade-off analysis and optimization of ecosystem services and disservices in agricultural landscapes. </w:t>
      </w:r>
      <w:r w:rsidRPr="00871CF1">
        <w:rPr>
          <w:i/>
          <w:iCs/>
          <w:color w:val="auto"/>
          <w:szCs w:val="22"/>
          <w:shd w:val="clear" w:color="auto" w:fill="FFFFFF"/>
        </w:rPr>
        <w:t>Environmental modelling &amp; software</w:t>
      </w:r>
      <w:r w:rsidRPr="00871CF1">
        <w:rPr>
          <w:color w:val="auto"/>
          <w:szCs w:val="22"/>
          <w:shd w:val="clear" w:color="auto" w:fill="FFFFFF"/>
        </w:rPr>
        <w:t>, </w:t>
      </w:r>
      <w:r w:rsidRPr="00871CF1">
        <w:rPr>
          <w:i/>
          <w:iCs/>
          <w:color w:val="auto"/>
          <w:szCs w:val="22"/>
          <w:shd w:val="clear" w:color="auto" w:fill="FFFFFF"/>
        </w:rPr>
        <w:t>107</w:t>
      </w:r>
      <w:r w:rsidRPr="00871CF1">
        <w:rPr>
          <w:color w:val="auto"/>
          <w:szCs w:val="22"/>
          <w:shd w:val="clear" w:color="auto" w:fill="FFFFFF"/>
        </w:rPr>
        <w:t xml:space="preserve">, 105-118. </w:t>
      </w:r>
      <w:r w:rsidR="005A67CA" w:rsidRPr="00871CF1">
        <w:rPr>
          <w:color w:val="auto"/>
          <w:szCs w:val="22"/>
          <w:shd w:val="clear" w:color="auto" w:fill="FFFFFF"/>
        </w:rPr>
        <w:t>https://doi.org/10.1016/j.envsoft.2018.06.006</w:t>
      </w:r>
    </w:p>
    <w:p w14:paraId="437FECA2" w14:textId="23EE9231" w:rsidR="00F24370" w:rsidRPr="00871CF1" w:rsidRDefault="00F24370" w:rsidP="00CC709F">
      <w:pPr>
        <w:pStyle w:val="PubliManuscript"/>
        <w:spacing w:line="240" w:lineRule="auto"/>
        <w:ind w:firstLine="0"/>
        <w:rPr>
          <w:color w:val="auto"/>
          <w:szCs w:val="22"/>
          <w:shd w:val="clear" w:color="auto" w:fill="FFFFFF"/>
        </w:rPr>
      </w:pPr>
      <w:r w:rsidRPr="00871CF1">
        <w:rPr>
          <w:color w:val="auto"/>
          <w:szCs w:val="22"/>
          <w:shd w:val="clear" w:color="auto" w:fill="FFFFFF"/>
        </w:rPr>
        <w:t>Oldfield, E. E., Eagle, A. J., Rubin, R. L., Rudek, J., Sanderman, J., &amp; Gordon, D. R. (2022). Crediting agricultural soil carbon sequestration. </w:t>
      </w:r>
      <w:r w:rsidRPr="00871CF1">
        <w:rPr>
          <w:i/>
          <w:iCs/>
          <w:color w:val="auto"/>
          <w:szCs w:val="22"/>
          <w:shd w:val="clear" w:color="auto" w:fill="FFFFFF"/>
        </w:rPr>
        <w:t>Science</w:t>
      </w:r>
      <w:r w:rsidRPr="00871CF1">
        <w:rPr>
          <w:color w:val="auto"/>
          <w:szCs w:val="22"/>
          <w:shd w:val="clear" w:color="auto" w:fill="FFFFFF"/>
        </w:rPr>
        <w:t>, </w:t>
      </w:r>
      <w:r w:rsidRPr="00871CF1">
        <w:rPr>
          <w:i/>
          <w:iCs/>
          <w:color w:val="auto"/>
          <w:szCs w:val="22"/>
          <w:shd w:val="clear" w:color="auto" w:fill="FFFFFF"/>
        </w:rPr>
        <w:t>375</w:t>
      </w:r>
      <w:r w:rsidRPr="00871CF1">
        <w:rPr>
          <w:color w:val="auto"/>
          <w:szCs w:val="22"/>
          <w:shd w:val="clear" w:color="auto" w:fill="FFFFFF"/>
        </w:rPr>
        <w:t xml:space="preserve">(6586), 1222-1225. </w:t>
      </w:r>
      <w:r w:rsidR="00F06D45" w:rsidRPr="00871CF1">
        <w:rPr>
          <w:color w:val="auto"/>
          <w:szCs w:val="22"/>
          <w:shd w:val="clear" w:color="auto" w:fill="FFFFFF"/>
        </w:rPr>
        <w:t>https://doi.org/10.1126/science.abl7991</w:t>
      </w:r>
    </w:p>
    <w:p w14:paraId="6DFF8135" w14:textId="7F3C77F6" w:rsidR="002C1908" w:rsidRPr="00871CF1" w:rsidRDefault="002C1908"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Phalan, B., </w:t>
      </w:r>
      <w:proofErr w:type="spellStart"/>
      <w:r w:rsidRPr="00871CF1">
        <w:rPr>
          <w:color w:val="auto"/>
          <w:szCs w:val="22"/>
          <w:shd w:val="clear" w:color="auto" w:fill="FFFFFF"/>
        </w:rPr>
        <w:t>Onial</w:t>
      </w:r>
      <w:proofErr w:type="spellEnd"/>
      <w:r w:rsidRPr="00871CF1">
        <w:rPr>
          <w:color w:val="auto"/>
          <w:szCs w:val="22"/>
          <w:shd w:val="clear" w:color="auto" w:fill="FFFFFF"/>
        </w:rPr>
        <w:t>, M., Balmford, A., &amp; Green, R. E. (2011). Reconciling food production and biodiversity conservation: land sharing and land sparing compared. </w:t>
      </w:r>
      <w:r w:rsidRPr="00871CF1">
        <w:rPr>
          <w:i/>
          <w:iCs/>
          <w:color w:val="auto"/>
          <w:szCs w:val="22"/>
          <w:shd w:val="clear" w:color="auto" w:fill="FFFFFF"/>
        </w:rPr>
        <w:t>science</w:t>
      </w:r>
      <w:r w:rsidRPr="00871CF1">
        <w:rPr>
          <w:color w:val="auto"/>
          <w:szCs w:val="22"/>
          <w:shd w:val="clear" w:color="auto" w:fill="FFFFFF"/>
        </w:rPr>
        <w:t>, </w:t>
      </w:r>
      <w:r w:rsidRPr="00871CF1">
        <w:rPr>
          <w:i/>
          <w:iCs/>
          <w:color w:val="auto"/>
          <w:szCs w:val="22"/>
          <w:shd w:val="clear" w:color="auto" w:fill="FFFFFF"/>
        </w:rPr>
        <w:t>333</w:t>
      </w:r>
      <w:r w:rsidRPr="00871CF1">
        <w:rPr>
          <w:color w:val="auto"/>
          <w:szCs w:val="22"/>
          <w:shd w:val="clear" w:color="auto" w:fill="FFFFFF"/>
        </w:rPr>
        <w:t xml:space="preserve">(6047), 1289-1291. </w:t>
      </w:r>
      <w:r w:rsidR="00570CBB" w:rsidRPr="00871CF1">
        <w:rPr>
          <w:color w:val="auto"/>
          <w:szCs w:val="22"/>
          <w:shd w:val="clear" w:color="auto" w:fill="FFFFFF"/>
        </w:rPr>
        <w:t>https://doi.org/10.1126/science.1208742</w:t>
      </w:r>
    </w:p>
    <w:p w14:paraId="2D1FBFDE" w14:textId="68BB2175" w:rsidR="00CC709F" w:rsidRPr="00871CF1" w:rsidRDefault="00CC709F" w:rsidP="00CC709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Poggio, L., De Sousa, L. M., </w:t>
      </w:r>
      <w:proofErr w:type="spellStart"/>
      <w:r w:rsidRPr="00871CF1">
        <w:rPr>
          <w:color w:val="auto"/>
          <w:szCs w:val="22"/>
          <w:shd w:val="clear" w:color="auto" w:fill="FFFFFF"/>
        </w:rPr>
        <w:t>Batjes</w:t>
      </w:r>
      <w:proofErr w:type="spellEnd"/>
      <w:r w:rsidRPr="00871CF1">
        <w:rPr>
          <w:color w:val="auto"/>
          <w:szCs w:val="22"/>
          <w:shd w:val="clear" w:color="auto" w:fill="FFFFFF"/>
        </w:rPr>
        <w:t xml:space="preserve">, N. H., </w:t>
      </w:r>
      <w:proofErr w:type="spellStart"/>
      <w:r w:rsidRPr="00871CF1">
        <w:rPr>
          <w:color w:val="auto"/>
          <w:szCs w:val="22"/>
          <w:shd w:val="clear" w:color="auto" w:fill="FFFFFF"/>
        </w:rPr>
        <w:t>Heuvelink</w:t>
      </w:r>
      <w:proofErr w:type="spellEnd"/>
      <w:r w:rsidRPr="00871CF1">
        <w:rPr>
          <w:color w:val="auto"/>
          <w:szCs w:val="22"/>
          <w:shd w:val="clear" w:color="auto" w:fill="FFFFFF"/>
        </w:rPr>
        <w:t xml:space="preserve">, G., Kempen, B., Ribeiro, E., &amp; Rossiter, D. (2021). </w:t>
      </w:r>
      <w:proofErr w:type="spellStart"/>
      <w:r w:rsidRPr="00871CF1">
        <w:rPr>
          <w:color w:val="auto"/>
          <w:szCs w:val="22"/>
          <w:shd w:val="clear" w:color="auto" w:fill="FFFFFF"/>
        </w:rPr>
        <w:t>SoilGrids</w:t>
      </w:r>
      <w:proofErr w:type="spellEnd"/>
      <w:r w:rsidRPr="00871CF1">
        <w:rPr>
          <w:color w:val="auto"/>
          <w:szCs w:val="22"/>
          <w:shd w:val="clear" w:color="auto" w:fill="FFFFFF"/>
        </w:rPr>
        <w:t xml:space="preserve"> 2.0: producing soil information for the globe with quantified spatial uncertainty. </w:t>
      </w:r>
      <w:r w:rsidRPr="00871CF1">
        <w:rPr>
          <w:i/>
          <w:iCs/>
          <w:color w:val="auto"/>
          <w:szCs w:val="22"/>
          <w:shd w:val="clear" w:color="auto" w:fill="FFFFFF"/>
        </w:rPr>
        <w:t>Soil</w:t>
      </w:r>
      <w:r w:rsidRPr="00871CF1">
        <w:rPr>
          <w:color w:val="auto"/>
          <w:szCs w:val="22"/>
          <w:shd w:val="clear" w:color="auto" w:fill="FFFFFF"/>
        </w:rPr>
        <w:t>, </w:t>
      </w:r>
      <w:r w:rsidRPr="00871CF1">
        <w:rPr>
          <w:i/>
          <w:iCs/>
          <w:color w:val="auto"/>
          <w:szCs w:val="22"/>
          <w:shd w:val="clear" w:color="auto" w:fill="FFFFFF"/>
        </w:rPr>
        <w:t>7</w:t>
      </w:r>
      <w:r w:rsidRPr="00871CF1">
        <w:rPr>
          <w:color w:val="auto"/>
          <w:szCs w:val="22"/>
          <w:shd w:val="clear" w:color="auto" w:fill="FFFFFF"/>
        </w:rPr>
        <w:t xml:space="preserve">(1), 217-240. </w:t>
      </w:r>
      <w:hyperlink r:id="rId26" w:history="1">
        <w:r w:rsidRPr="00871CF1">
          <w:rPr>
            <w:rStyle w:val="Lienhypertexte"/>
            <w:color w:val="auto"/>
            <w:szCs w:val="22"/>
            <w:u w:val="none"/>
            <w:shd w:val="clear" w:color="auto" w:fill="FFFFFF"/>
          </w:rPr>
          <w:t>https://doi.org/10.5194/soil-7-217-2021</w:t>
        </w:r>
      </w:hyperlink>
    </w:p>
    <w:p w14:paraId="5608ECA8" w14:textId="02CA7CBB" w:rsidR="007B740D" w:rsidRPr="00871CF1" w:rsidRDefault="007B740D" w:rsidP="001741CF">
      <w:pPr>
        <w:jc w:val="both"/>
        <w:rPr>
          <w:rFonts w:ascii="Times New Roman" w:hAnsi="Times New Roman"/>
          <w:color w:val="auto"/>
          <w:szCs w:val="22"/>
        </w:rPr>
      </w:pPr>
      <w:r w:rsidRPr="00871CF1">
        <w:rPr>
          <w:rFonts w:ascii="Times New Roman" w:hAnsi="Times New Roman"/>
          <w:color w:val="auto"/>
          <w:szCs w:val="22"/>
        </w:rPr>
        <w:t>Power, A. G. (2010). Ecosystem services and agriculture: tradeoffs and synergies. </w:t>
      </w:r>
      <w:r w:rsidRPr="00871CF1">
        <w:rPr>
          <w:rFonts w:ascii="Times New Roman" w:hAnsi="Times New Roman"/>
          <w:i/>
          <w:iCs/>
          <w:color w:val="auto"/>
          <w:szCs w:val="22"/>
        </w:rPr>
        <w:t>Philosophical transactions of the royal society B: biological sciences</w:t>
      </w:r>
      <w:r w:rsidRPr="00871CF1">
        <w:rPr>
          <w:rFonts w:ascii="Times New Roman" w:hAnsi="Times New Roman"/>
          <w:color w:val="auto"/>
          <w:szCs w:val="22"/>
        </w:rPr>
        <w:t>, </w:t>
      </w:r>
      <w:r w:rsidRPr="00871CF1">
        <w:rPr>
          <w:rFonts w:ascii="Times New Roman" w:hAnsi="Times New Roman"/>
          <w:i/>
          <w:iCs/>
          <w:color w:val="auto"/>
          <w:szCs w:val="22"/>
        </w:rPr>
        <w:t>365</w:t>
      </w:r>
      <w:r w:rsidRPr="00871CF1">
        <w:rPr>
          <w:rFonts w:ascii="Times New Roman" w:hAnsi="Times New Roman"/>
          <w:color w:val="auto"/>
          <w:szCs w:val="22"/>
        </w:rPr>
        <w:t xml:space="preserve">(1554), 2959-2971. </w:t>
      </w:r>
      <w:r w:rsidR="00B16926" w:rsidRPr="00871CF1">
        <w:rPr>
          <w:rFonts w:ascii="Times New Roman" w:hAnsi="Times New Roman"/>
          <w:color w:val="auto"/>
          <w:szCs w:val="22"/>
        </w:rPr>
        <w:t>https://doi.org/10.1098/rstb.2010.0143</w:t>
      </w:r>
    </w:p>
    <w:p w14:paraId="7E385C17" w14:textId="28E24BB7" w:rsidR="00136C0F" w:rsidRPr="00871CF1" w:rsidRDefault="00136C0F" w:rsidP="00136C0F">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R Core Team (2022). R: A language and environment for statistical computing. R Foundation for Statistical Computing, Vienna, Austria. URL </w:t>
      </w:r>
      <w:hyperlink r:id="rId27" w:history="1">
        <w:r w:rsidRPr="00871CF1">
          <w:rPr>
            <w:color w:val="auto"/>
            <w:szCs w:val="22"/>
            <w:shd w:val="clear" w:color="auto" w:fill="FFFFFF"/>
          </w:rPr>
          <w:t>https://www.R-project.org/</w:t>
        </w:r>
      </w:hyperlink>
      <w:r w:rsidRPr="00871CF1">
        <w:rPr>
          <w:color w:val="auto"/>
          <w:szCs w:val="22"/>
          <w:shd w:val="clear" w:color="auto" w:fill="FFFFFF"/>
        </w:rPr>
        <w:t>.</w:t>
      </w:r>
    </w:p>
    <w:p w14:paraId="2325F4E0" w14:textId="57915A0C" w:rsidR="00AC203E" w:rsidRPr="00871CF1" w:rsidRDefault="00AC203E" w:rsidP="001741CF">
      <w:pPr>
        <w:jc w:val="both"/>
        <w:rPr>
          <w:rFonts w:ascii="Times New Roman" w:hAnsi="Times New Roman"/>
          <w:color w:val="auto"/>
          <w:szCs w:val="22"/>
        </w:rPr>
      </w:pPr>
      <w:r w:rsidRPr="00871CF1">
        <w:rPr>
          <w:rFonts w:ascii="Times New Roman" w:hAnsi="Times New Roman"/>
          <w:color w:val="auto"/>
          <w:szCs w:val="22"/>
        </w:rPr>
        <w:t>Rodríguez, J. P., Beard Jr, T. D., Bennett, E. M., Cumming, G. S., Cork, S. J., Agard, J., ... &amp; Peterson, G. D. (2006). Trade-offs across space, time, and ecosystem services. </w:t>
      </w:r>
      <w:r w:rsidRPr="00871CF1">
        <w:rPr>
          <w:rFonts w:ascii="Times New Roman" w:hAnsi="Times New Roman"/>
          <w:i/>
          <w:iCs/>
          <w:color w:val="auto"/>
          <w:szCs w:val="22"/>
        </w:rPr>
        <w:t>Ecology and society</w:t>
      </w:r>
      <w:r w:rsidRPr="00871CF1">
        <w:rPr>
          <w:rFonts w:ascii="Times New Roman" w:hAnsi="Times New Roman"/>
          <w:color w:val="auto"/>
          <w:szCs w:val="22"/>
        </w:rPr>
        <w:t>, </w:t>
      </w:r>
      <w:r w:rsidRPr="00871CF1">
        <w:rPr>
          <w:rFonts w:ascii="Times New Roman" w:hAnsi="Times New Roman"/>
          <w:i/>
          <w:iCs/>
          <w:color w:val="auto"/>
          <w:szCs w:val="22"/>
        </w:rPr>
        <w:t>11</w:t>
      </w:r>
      <w:r w:rsidRPr="00871CF1">
        <w:rPr>
          <w:rFonts w:ascii="Times New Roman" w:hAnsi="Times New Roman"/>
          <w:color w:val="auto"/>
          <w:szCs w:val="22"/>
        </w:rPr>
        <w:t xml:space="preserve">(1). </w:t>
      </w:r>
    </w:p>
    <w:p w14:paraId="62CE8DA0" w14:textId="46054207" w:rsidR="00F14A19" w:rsidRPr="00871CF1" w:rsidRDefault="00F14A19" w:rsidP="001741CF">
      <w:pPr>
        <w:jc w:val="both"/>
        <w:rPr>
          <w:rFonts w:ascii="Times New Roman" w:hAnsi="Times New Roman"/>
          <w:color w:val="auto"/>
          <w:szCs w:val="22"/>
          <w:lang w:val="fr-BE"/>
        </w:rPr>
      </w:pPr>
      <w:r w:rsidRPr="00871CF1">
        <w:rPr>
          <w:rFonts w:ascii="Times New Roman" w:hAnsi="Times New Roman"/>
          <w:color w:val="auto"/>
          <w:szCs w:val="22"/>
        </w:rPr>
        <w:lastRenderedPageBreak/>
        <w:t>Schrumpf, M., Kaiser, K., Guggenberger, G., Persson, T., Kögel-</w:t>
      </w:r>
      <w:proofErr w:type="spellStart"/>
      <w:r w:rsidRPr="00871CF1">
        <w:rPr>
          <w:rFonts w:ascii="Times New Roman" w:hAnsi="Times New Roman"/>
          <w:color w:val="auto"/>
          <w:szCs w:val="22"/>
        </w:rPr>
        <w:t>Knabner</w:t>
      </w:r>
      <w:proofErr w:type="spellEnd"/>
      <w:r w:rsidRPr="00871CF1">
        <w:rPr>
          <w:rFonts w:ascii="Times New Roman" w:hAnsi="Times New Roman"/>
          <w:color w:val="auto"/>
          <w:szCs w:val="22"/>
        </w:rPr>
        <w:t>, I., &amp; Schulze, E. D. (2013). Storage and stability of organic carbon in soils as related to depth, occlusion within aggregates, and attachment to minerals. </w:t>
      </w:r>
      <w:proofErr w:type="spellStart"/>
      <w:r w:rsidRPr="00871CF1">
        <w:rPr>
          <w:rFonts w:ascii="Times New Roman" w:hAnsi="Times New Roman"/>
          <w:i/>
          <w:iCs/>
          <w:color w:val="auto"/>
          <w:szCs w:val="22"/>
          <w:lang w:val="fr-BE"/>
        </w:rPr>
        <w:t>Biogeosciences</w:t>
      </w:r>
      <w:proofErr w:type="spellEnd"/>
      <w:r w:rsidRPr="00871CF1">
        <w:rPr>
          <w:rFonts w:ascii="Times New Roman" w:hAnsi="Times New Roman"/>
          <w:color w:val="auto"/>
          <w:szCs w:val="22"/>
          <w:lang w:val="fr-BE"/>
        </w:rPr>
        <w:t>, </w:t>
      </w:r>
      <w:r w:rsidRPr="00871CF1">
        <w:rPr>
          <w:rFonts w:ascii="Times New Roman" w:hAnsi="Times New Roman"/>
          <w:i/>
          <w:iCs/>
          <w:color w:val="auto"/>
          <w:szCs w:val="22"/>
          <w:lang w:val="fr-BE"/>
        </w:rPr>
        <w:t>10</w:t>
      </w:r>
      <w:r w:rsidRPr="00871CF1">
        <w:rPr>
          <w:rFonts w:ascii="Times New Roman" w:hAnsi="Times New Roman"/>
          <w:color w:val="auto"/>
          <w:szCs w:val="22"/>
          <w:lang w:val="fr-BE"/>
        </w:rPr>
        <w:t xml:space="preserve">(3), 1675-1691. </w:t>
      </w:r>
      <w:hyperlink r:id="rId28" w:history="1">
        <w:r w:rsidR="00FC76AB" w:rsidRPr="00871CF1">
          <w:rPr>
            <w:rStyle w:val="Lienhypertexte"/>
            <w:rFonts w:ascii="Times New Roman" w:hAnsi="Times New Roman"/>
            <w:color w:val="auto"/>
            <w:szCs w:val="22"/>
            <w:u w:val="none"/>
            <w:lang w:val="fr-BE"/>
          </w:rPr>
          <w:t>https://doi.org/10.5194/bg-10-1675-2013</w:t>
        </w:r>
      </w:hyperlink>
    </w:p>
    <w:p w14:paraId="383BD553" w14:textId="00FF4EAF" w:rsidR="00BB5ACF" w:rsidRPr="00871CF1" w:rsidRDefault="00BB5ACF" w:rsidP="00FC76AB">
      <w:pPr>
        <w:pStyle w:val="PubliManuscript"/>
        <w:spacing w:line="240" w:lineRule="auto"/>
        <w:ind w:firstLine="0"/>
        <w:rPr>
          <w:color w:val="auto"/>
          <w:szCs w:val="22"/>
          <w:shd w:val="clear" w:color="auto" w:fill="FFFFFF"/>
        </w:rPr>
      </w:pPr>
      <w:proofErr w:type="spellStart"/>
      <w:r w:rsidRPr="00871CF1">
        <w:rPr>
          <w:color w:val="auto"/>
          <w:szCs w:val="22"/>
          <w:shd w:val="clear" w:color="auto" w:fill="FFFFFF"/>
          <w:lang w:val="fr-BE"/>
        </w:rPr>
        <w:t>Sekaran</w:t>
      </w:r>
      <w:proofErr w:type="spellEnd"/>
      <w:r w:rsidRPr="00871CF1">
        <w:rPr>
          <w:color w:val="auto"/>
          <w:szCs w:val="22"/>
          <w:shd w:val="clear" w:color="auto" w:fill="FFFFFF"/>
          <w:lang w:val="fr-BE"/>
        </w:rPr>
        <w:t xml:space="preserve">, U., Lai, L., </w:t>
      </w:r>
      <w:proofErr w:type="spellStart"/>
      <w:r w:rsidRPr="00871CF1">
        <w:rPr>
          <w:color w:val="auto"/>
          <w:szCs w:val="22"/>
          <w:shd w:val="clear" w:color="auto" w:fill="FFFFFF"/>
          <w:lang w:val="fr-BE"/>
        </w:rPr>
        <w:t>Ussiri</w:t>
      </w:r>
      <w:proofErr w:type="spellEnd"/>
      <w:r w:rsidRPr="00871CF1">
        <w:rPr>
          <w:color w:val="auto"/>
          <w:szCs w:val="22"/>
          <w:shd w:val="clear" w:color="auto" w:fill="FFFFFF"/>
          <w:lang w:val="fr-BE"/>
        </w:rPr>
        <w:t xml:space="preserve">, D. A., Kumar, S., &amp; Clay, S. (2021). </w:t>
      </w:r>
      <w:r w:rsidRPr="00871CF1">
        <w:rPr>
          <w:color w:val="auto"/>
          <w:szCs w:val="22"/>
          <w:shd w:val="clear" w:color="auto" w:fill="FFFFFF"/>
        </w:rPr>
        <w:t>Role of integrated crop-livestock systems in improving agriculture production and addressing food security–A review. </w:t>
      </w:r>
      <w:r w:rsidRPr="00871CF1">
        <w:rPr>
          <w:i/>
          <w:iCs/>
          <w:color w:val="auto"/>
          <w:szCs w:val="22"/>
          <w:shd w:val="clear" w:color="auto" w:fill="FFFFFF"/>
        </w:rPr>
        <w:t>Journal of Agriculture and Food Research</w:t>
      </w:r>
      <w:r w:rsidRPr="00871CF1">
        <w:rPr>
          <w:color w:val="auto"/>
          <w:szCs w:val="22"/>
          <w:shd w:val="clear" w:color="auto" w:fill="FFFFFF"/>
        </w:rPr>
        <w:t>, </w:t>
      </w:r>
      <w:r w:rsidRPr="00871CF1">
        <w:rPr>
          <w:i/>
          <w:iCs/>
          <w:color w:val="auto"/>
          <w:szCs w:val="22"/>
          <w:shd w:val="clear" w:color="auto" w:fill="FFFFFF"/>
        </w:rPr>
        <w:t>5</w:t>
      </w:r>
      <w:r w:rsidRPr="00871CF1">
        <w:rPr>
          <w:color w:val="auto"/>
          <w:szCs w:val="22"/>
          <w:shd w:val="clear" w:color="auto" w:fill="FFFFFF"/>
        </w:rPr>
        <w:t xml:space="preserve">, 100190. </w:t>
      </w:r>
      <w:r w:rsidR="00A24F62" w:rsidRPr="00871CF1">
        <w:rPr>
          <w:color w:val="auto"/>
          <w:szCs w:val="22"/>
          <w:shd w:val="clear" w:color="auto" w:fill="FFFFFF"/>
        </w:rPr>
        <w:t>https://doi.org/10.1016/j.jafr.2021.100190</w:t>
      </w:r>
    </w:p>
    <w:p w14:paraId="11C66C79" w14:textId="3F3F0D4A" w:rsidR="00D80A0F" w:rsidRPr="00871CF1" w:rsidRDefault="00D80A0F" w:rsidP="00FC76AB">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Seppelt, R., Beckmann, M., </w:t>
      </w:r>
      <w:proofErr w:type="spellStart"/>
      <w:r w:rsidRPr="00871CF1">
        <w:rPr>
          <w:color w:val="auto"/>
          <w:szCs w:val="22"/>
          <w:shd w:val="clear" w:color="auto" w:fill="FFFFFF"/>
        </w:rPr>
        <w:t>Ceauşu</w:t>
      </w:r>
      <w:proofErr w:type="spellEnd"/>
      <w:r w:rsidRPr="00871CF1">
        <w:rPr>
          <w:color w:val="auto"/>
          <w:szCs w:val="22"/>
          <w:shd w:val="clear" w:color="auto" w:fill="FFFFFF"/>
        </w:rPr>
        <w:t>, S., Cord, A. F., Gerstner, K., Gurevitch, J., ... &amp; Newbold, T. (2016). Harmonizing biodiversity conservation and productivity in the context of increasing demands on landscapes. </w:t>
      </w:r>
      <w:proofErr w:type="spellStart"/>
      <w:r w:rsidRPr="00871CF1">
        <w:rPr>
          <w:i/>
          <w:iCs/>
          <w:color w:val="auto"/>
          <w:szCs w:val="22"/>
          <w:shd w:val="clear" w:color="auto" w:fill="FFFFFF"/>
        </w:rPr>
        <w:t>BioScience</w:t>
      </w:r>
      <w:proofErr w:type="spellEnd"/>
      <w:r w:rsidRPr="00871CF1">
        <w:rPr>
          <w:color w:val="auto"/>
          <w:szCs w:val="22"/>
          <w:shd w:val="clear" w:color="auto" w:fill="FFFFFF"/>
        </w:rPr>
        <w:t>, </w:t>
      </w:r>
      <w:r w:rsidRPr="00871CF1">
        <w:rPr>
          <w:i/>
          <w:iCs/>
          <w:color w:val="auto"/>
          <w:szCs w:val="22"/>
          <w:shd w:val="clear" w:color="auto" w:fill="FFFFFF"/>
        </w:rPr>
        <w:t>66</w:t>
      </w:r>
      <w:r w:rsidRPr="00871CF1">
        <w:rPr>
          <w:color w:val="auto"/>
          <w:szCs w:val="22"/>
          <w:shd w:val="clear" w:color="auto" w:fill="FFFFFF"/>
        </w:rPr>
        <w:t>(10), 890-896. https://doi.org/10.1093/biosci/biw004</w:t>
      </w:r>
    </w:p>
    <w:p w14:paraId="0903B543" w14:textId="7C317E47" w:rsidR="00FC76AB" w:rsidRPr="00871CF1" w:rsidRDefault="00FC76AB" w:rsidP="00FC76AB">
      <w:pPr>
        <w:pStyle w:val="PubliManuscript"/>
        <w:spacing w:line="240" w:lineRule="auto"/>
        <w:ind w:firstLine="0"/>
        <w:rPr>
          <w:color w:val="auto"/>
          <w:szCs w:val="22"/>
          <w:shd w:val="clear" w:color="auto" w:fill="FFFFFF"/>
        </w:rPr>
      </w:pPr>
      <w:r w:rsidRPr="00871CF1">
        <w:rPr>
          <w:color w:val="auto"/>
          <w:szCs w:val="22"/>
          <w:shd w:val="clear" w:color="auto" w:fill="FFFFFF"/>
        </w:rPr>
        <w:t xml:space="preserve">Shcherbak, I., Millar, N., &amp; Robertson, G. P. (2014). Global </w:t>
      </w:r>
      <w:proofErr w:type="spellStart"/>
      <w:r w:rsidRPr="00871CF1">
        <w:rPr>
          <w:color w:val="auto"/>
          <w:szCs w:val="22"/>
          <w:shd w:val="clear" w:color="auto" w:fill="FFFFFF"/>
        </w:rPr>
        <w:t>metaanalysis</w:t>
      </w:r>
      <w:proofErr w:type="spellEnd"/>
      <w:r w:rsidRPr="00871CF1">
        <w:rPr>
          <w:color w:val="auto"/>
          <w:szCs w:val="22"/>
          <w:shd w:val="clear" w:color="auto" w:fill="FFFFFF"/>
        </w:rPr>
        <w:t xml:space="preserve"> of the nonlinear response of soil nitrous oxide (N2O) emissions to fertilizer nitrogen. </w:t>
      </w:r>
      <w:r w:rsidRPr="00871CF1">
        <w:rPr>
          <w:i/>
          <w:iCs/>
          <w:color w:val="auto"/>
          <w:szCs w:val="22"/>
          <w:shd w:val="clear" w:color="auto" w:fill="FFFFFF"/>
        </w:rPr>
        <w:t>Proceedings of the National Academy of Sciences</w:t>
      </w:r>
      <w:r w:rsidRPr="00871CF1">
        <w:rPr>
          <w:color w:val="auto"/>
          <w:szCs w:val="22"/>
          <w:shd w:val="clear" w:color="auto" w:fill="FFFFFF"/>
        </w:rPr>
        <w:t>, </w:t>
      </w:r>
      <w:r w:rsidRPr="00871CF1">
        <w:rPr>
          <w:i/>
          <w:iCs/>
          <w:color w:val="auto"/>
          <w:szCs w:val="22"/>
          <w:shd w:val="clear" w:color="auto" w:fill="FFFFFF"/>
        </w:rPr>
        <w:t>111</w:t>
      </w:r>
      <w:r w:rsidRPr="00871CF1">
        <w:rPr>
          <w:color w:val="auto"/>
          <w:szCs w:val="22"/>
          <w:shd w:val="clear" w:color="auto" w:fill="FFFFFF"/>
        </w:rPr>
        <w:t>(25), 9199-9204. https://doi.org/10.1073/pnas.1322434111</w:t>
      </w:r>
    </w:p>
    <w:p w14:paraId="00B9F45D" w14:textId="254E57E3" w:rsidR="00822206" w:rsidRPr="00871CF1" w:rsidRDefault="00822206" w:rsidP="001741CF">
      <w:pPr>
        <w:jc w:val="both"/>
        <w:rPr>
          <w:rFonts w:ascii="Times New Roman" w:hAnsi="Times New Roman"/>
          <w:color w:val="auto"/>
          <w:szCs w:val="22"/>
        </w:rPr>
      </w:pPr>
      <w:proofErr w:type="spellStart"/>
      <w:r w:rsidRPr="00871CF1">
        <w:rPr>
          <w:rFonts w:ascii="Times New Roman" w:hAnsi="Times New Roman"/>
          <w:color w:val="auto"/>
          <w:szCs w:val="22"/>
        </w:rPr>
        <w:t>Sidemo</w:t>
      </w:r>
      <w:proofErr w:type="spellEnd"/>
      <w:r w:rsidRPr="00871CF1">
        <w:rPr>
          <w:rFonts w:ascii="Times New Roman" w:hAnsi="Times New Roman"/>
          <w:color w:val="auto"/>
          <w:szCs w:val="22"/>
        </w:rPr>
        <w:t>-Holm, W., Smith, H. G., &amp; Brady, M. V. (2018). Improving agricultural pollution abatement through result-based payment schemes. </w:t>
      </w:r>
      <w:r w:rsidRPr="00871CF1">
        <w:rPr>
          <w:rFonts w:ascii="Times New Roman" w:hAnsi="Times New Roman"/>
          <w:i/>
          <w:iCs/>
          <w:color w:val="auto"/>
          <w:szCs w:val="22"/>
        </w:rPr>
        <w:t>Land Use Policy</w:t>
      </w:r>
      <w:r w:rsidRPr="00871CF1">
        <w:rPr>
          <w:rFonts w:ascii="Times New Roman" w:hAnsi="Times New Roman"/>
          <w:color w:val="auto"/>
          <w:szCs w:val="22"/>
        </w:rPr>
        <w:t>, </w:t>
      </w:r>
      <w:r w:rsidRPr="00871CF1">
        <w:rPr>
          <w:rFonts w:ascii="Times New Roman" w:hAnsi="Times New Roman"/>
          <w:i/>
          <w:iCs/>
          <w:color w:val="auto"/>
          <w:szCs w:val="22"/>
        </w:rPr>
        <w:t>77</w:t>
      </w:r>
      <w:r w:rsidRPr="00871CF1">
        <w:rPr>
          <w:rFonts w:ascii="Times New Roman" w:hAnsi="Times New Roman"/>
          <w:color w:val="auto"/>
          <w:szCs w:val="22"/>
        </w:rPr>
        <w:t xml:space="preserve">, 209-219. </w:t>
      </w:r>
      <w:r w:rsidR="00A52408" w:rsidRPr="00871CF1">
        <w:rPr>
          <w:rFonts w:ascii="Times New Roman" w:hAnsi="Times New Roman"/>
          <w:color w:val="auto"/>
          <w:szCs w:val="22"/>
        </w:rPr>
        <w:t>https://doi.org/10.1016/j.landusepol.2018.05.017</w:t>
      </w:r>
    </w:p>
    <w:p w14:paraId="0654F480" w14:textId="71F0C1D0" w:rsidR="006A200B" w:rsidRPr="00871CF1" w:rsidRDefault="006A200B" w:rsidP="006A200B">
      <w:pPr>
        <w:pStyle w:val="PubliManuscript"/>
        <w:spacing w:line="240" w:lineRule="auto"/>
        <w:ind w:firstLine="0"/>
        <w:rPr>
          <w:color w:val="auto"/>
          <w:szCs w:val="22"/>
        </w:rPr>
      </w:pPr>
      <w:r w:rsidRPr="00871CF1">
        <w:rPr>
          <w:color w:val="auto"/>
          <w:szCs w:val="22"/>
          <w:shd w:val="clear" w:color="auto" w:fill="FFFFFF"/>
        </w:rPr>
        <w:t>Smith, M. A., Cain, M., &amp; Allen, M. R. (2021). Further improvement of warming-equivalent emissions calculation. </w:t>
      </w:r>
      <w:r w:rsidRPr="00871CF1">
        <w:rPr>
          <w:i/>
          <w:iCs/>
          <w:color w:val="auto"/>
          <w:szCs w:val="22"/>
          <w:shd w:val="clear" w:color="auto" w:fill="FFFFFF"/>
        </w:rPr>
        <w:t>NPJ climate and atmospheric science, 4</w:t>
      </w:r>
      <w:r w:rsidRPr="00871CF1">
        <w:rPr>
          <w:color w:val="auto"/>
          <w:szCs w:val="22"/>
          <w:shd w:val="clear" w:color="auto" w:fill="FFFFFF"/>
        </w:rPr>
        <w:t xml:space="preserve">(1), 19 </w:t>
      </w:r>
      <w:hyperlink r:id="rId29" w:history="1">
        <w:r w:rsidRPr="00871CF1">
          <w:rPr>
            <w:rStyle w:val="Lienhypertexte"/>
            <w:color w:val="auto"/>
            <w:szCs w:val="22"/>
            <w:u w:val="none"/>
            <w:shd w:val="clear" w:color="auto" w:fill="FFFFFF"/>
          </w:rPr>
          <w:t>https://doi.org/10.1038/s41612-021-00169-8</w:t>
        </w:r>
      </w:hyperlink>
    </w:p>
    <w:p w14:paraId="74A3ACC0" w14:textId="4C8430E7" w:rsidR="00730AB3" w:rsidRPr="00871CF1" w:rsidRDefault="00A83A40" w:rsidP="001741CF">
      <w:pPr>
        <w:jc w:val="both"/>
        <w:rPr>
          <w:rFonts w:ascii="Times New Roman" w:hAnsi="Times New Roman"/>
          <w:color w:val="auto"/>
          <w:szCs w:val="22"/>
          <w:lang w:val="fr-BE"/>
        </w:rPr>
      </w:pPr>
      <w:proofErr w:type="spellStart"/>
      <w:r w:rsidRPr="00871CF1">
        <w:rPr>
          <w:rFonts w:ascii="Times New Roman" w:hAnsi="Times New Roman"/>
          <w:color w:val="auto"/>
          <w:szCs w:val="22"/>
        </w:rPr>
        <w:t>Soussana</w:t>
      </w:r>
      <w:proofErr w:type="spellEnd"/>
      <w:r w:rsidRPr="00871CF1">
        <w:rPr>
          <w:rFonts w:ascii="Times New Roman" w:hAnsi="Times New Roman"/>
          <w:color w:val="auto"/>
          <w:szCs w:val="22"/>
        </w:rPr>
        <w:t>, J. F., &amp; Lemaire, G. (2014). Coupling carbon and nitrogen cycles for environmentally sustainable intensification of grasslands and crop-livestock systems. </w:t>
      </w:r>
      <w:r w:rsidRPr="00871CF1">
        <w:rPr>
          <w:rFonts w:ascii="Times New Roman" w:hAnsi="Times New Roman"/>
          <w:i/>
          <w:iCs/>
          <w:color w:val="auto"/>
          <w:szCs w:val="22"/>
          <w:lang w:val="fr-BE"/>
        </w:rPr>
        <w:t xml:space="preserve">Agriculture, </w:t>
      </w:r>
      <w:proofErr w:type="spellStart"/>
      <w:r w:rsidRPr="00871CF1">
        <w:rPr>
          <w:rFonts w:ascii="Times New Roman" w:hAnsi="Times New Roman"/>
          <w:i/>
          <w:iCs/>
          <w:color w:val="auto"/>
          <w:szCs w:val="22"/>
          <w:lang w:val="fr-BE"/>
        </w:rPr>
        <w:t>Ecosystems</w:t>
      </w:r>
      <w:proofErr w:type="spellEnd"/>
      <w:r w:rsidRPr="00871CF1">
        <w:rPr>
          <w:rFonts w:ascii="Times New Roman" w:hAnsi="Times New Roman"/>
          <w:i/>
          <w:iCs/>
          <w:color w:val="auto"/>
          <w:szCs w:val="22"/>
          <w:lang w:val="fr-BE"/>
        </w:rPr>
        <w:t xml:space="preserve"> &amp; </w:t>
      </w:r>
      <w:proofErr w:type="spellStart"/>
      <w:r w:rsidRPr="00871CF1">
        <w:rPr>
          <w:rFonts w:ascii="Times New Roman" w:hAnsi="Times New Roman"/>
          <w:i/>
          <w:iCs/>
          <w:color w:val="auto"/>
          <w:szCs w:val="22"/>
          <w:lang w:val="fr-BE"/>
        </w:rPr>
        <w:t>Environment</w:t>
      </w:r>
      <w:proofErr w:type="spellEnd"/>
      <w:r w:rsidRPr="00871CF1">
        <w:rPr>
          <w:rFonts w:ascii="Times New Roman" w:hAnsi="Times New Roman"/>
          <w:color w:val="auto"/>
          <w:szCs w:val="22"/>
          <w:lang w:val="fr-BE"/>
        </w:rPr>
        <w:t>, </w:t>
      </w:r>
      <w:r w:rsidRPr="00871CF1">
        <w:rPr>
          <w:rFonts w:ascii="Times New Roman" w:hAnsi="Times New Roman"/>
          <w:i/>
          <w:iCs/>
          <w:color w:val="auto"/>
          <w:szCs w:val="22"/>
          <w:lang w:val="fr-BE"/>
        </w:rPr>
        <w:t>190</w:t>
      </w:r>
      <w:r w:rsidRPr="00871CF1">
        <w:rPr>
          <w:rFonts w:ascii="Times New Roman" w:hAnsi="Times New Roman"/>
          <w:color w:val="auto"/>
          <w:szCs w:val="22"/>
          <w:lang w:val="fr-BE"/>
        </w:rPr>
        <w:t xml:space="preserve">, 9-17. </w:t>
      </w:r>
      <w:hyperlink r:id="rId30" w:history="1">
        <w:r w:rsidR="00544A59" w:rsidRPr="00871CF1">
          <w:rPr>
            <w:rStyle w:val="Lienhypertexte"/>
            <w:rFonts w:ascii="Times New Roman" w:hAnsi="Times New Roman"/>
            <w:color w:val="auto"/>
            <w:szCs w:val="22"/>
            <w:u w:val="none"/>
            <w:lang w:val="fr-BE"/>
          </w:rPr>
          <w:t>https://doi.org/10.1016/j.agee.2013.10.012</w:t>
        </w:r>
      </w:hyperlink>
    </w:p>
    <w:p w14:paraId="36F4DF9C" w14:textId="1DC51FF0" w:rsidR="00044716" w:rsidRPr="00871CF1" w:rsidRDefault="00544A59" w:rsidP="001741CF">
      <w:pPr>
        <w:jc w:val="both"/>
        <w:rPr>
          <w:rFonts w:ascii="Times New Roman" w:hAnsi="Times New Roman"/>
          <w:color w:val="auto"/>
          <w:szCs w:val="22"/>
        </w:rPr>
      </w:pPr>
      <w:proofErr w:type="spellStart"/>
      <w:r w:rsidRPr="00871CF1">
        <w:rPr>
          <w:rFonts w:ascii="Times New Roman" w:hAnsi="Times New Roman"/>
          <w:color w:val="auto"/>
          <w:szCs w:val="22"/>
          <w:lang w:val="fr-BE"/>
        </w:rPr>
        <w:t>Statbel</w:t>
      </w:r>
      <w:proofErr w:type="spellEnd"/>
      <w:r w:rsidRPr="00871CF1">
        <w:rPr>
          <w:rFonts w:ascii="Times New Roman" w:hAnsi="Times New Roman"/>
          <w:color w:val="auto"/>
          <w:szCs w:val="22"/>
          <w:lang w:val="fr-BE"/>
        </w:rPr>
        <w:t xml:space="preserve"> (2024). Chiffres clés de l’agriculture</w:t>
      </w:r>
      <w:r w:rsidR="00044716" w:rsidRPr="00871CF1">
        <w:rPr>
          <w:rFonts w:ascii="Times New Roman" w:hAnsi="Times New Roman"/>
          <w:color w:val="auto"/>
          <w:szCs w:val="22"/>
          <w:lang w:val="fr-BE"/>
        </w:rPr>
        <w:t xml:space="preserve"> wallonne</w:t>
      </w:r>
      <w:r w:rsidRPr="00871CF1">
        <w:rPr>
          <w:rFonts w:ascii="Times New Roman" w:hAnsi="Times New Roman"/>
          <w:color w:val="auto"/>
          <w:szCs w:val="22"/>
          <w:lang w:val="fr-BE"/>
        </w:rPr>
        <w:t xml:space="preserve">. </w:t>
      </w:r>
      <w:proofErr w:type="spellStart"/>
      <w:r w:rsidR="00B54BDC" w:rsidRPr="00871CF1">
        <w:rPr>
          <w:rFonts w:ascii="Times New Roman" w:hAnsi="Times New Roman"/>
          <w:color w:val="auto"/>
          <w:szCs w:val="22"/>
        </w:rPr>
        <w:t>Statbel</w:t>
      </w:r>
      <w:proofErr w:type="spellEnd"/>
      <w:r w:rsidR="00B54BDC" w:rsidRPr="00871CF1">
        <w:rPr>
          <w:rFonts w:ascii="Times New Roman" w:hAnsi="Times New Roman"/>
          <w:color w:val="auto"/>
          <w:szCs w:val="22"/>
        </w:rPr>
        <w:t xml:space="preserve"> – SPF </w:t>
      </w:r>
      <w:proofErr w:type="spellStart"/>
      <w:r w:rsidR="00B54BDC" w:rsidRPr="00871CF1">
        <w:rPr>
          <w:rFonts w:ascii="Times New Roman" w:hAnsi="Times New Roman"/>
          <w:color w:val="auto"/>
          <w:szCs w:val="22"/>
        </w:rPr>
        <w:t>Economie</w:t>
      </w:r>
      <w:proofErr w:type="spellEnd"/>
      <w:r w:rsidR="00B54BDC" w:rsidRPr="00871CF1">
        <w:rPr>
          <w:rFonts w:ascii="Times New Roman" w:hAnsi="Times New Roman"/>
          <w:color w:val="auto"/>
          <w:szCs w:val="22"/>
        </w:rPr>
        <w:t xml:space="preserve">. </w:t>
      </w:r>
      <w:hyperlink r:id="rId31" w:history="1">
        <w:r w:rsidR="008D46FF" w:rsidRPr="00871CF1">
          <w:rPr>
            <w:rStyle w:val="Lienhypertexte"/>
            <w:rFonts w:ascii="Times New Roman" w:hAnsi="Times New Roman"/>
            <w:color w:val="auto"/>
            <w:szCs w:val="22"/>
          </w:rPr>
          <w:t>http://etat.agriculture.wallonie.be</w:t>
        </w:r>
      </w:hyperlink>
    </w:p>
    <w:p w14:paraId="47F614B7" w14:textId="4B283683" w:rsidR="008D46FF" w:rsidRPr="00871CF1" w:rsidRDefault="008D46FF" w:rsidP="001741CF">
      <w:pPr>
        <w:jc w:val="both"/>
        <w:rPr>
          <w:rFonts w:ascii="Times New Roman" w:hAnsi="Times New Roman"/>
          <w:color w:val="auto"/>
          <w:szCs w:val="22"/>
        </w:rPr>
      </w:pPr>
      <w:proofErr w:type="spellStart"/>
      <w:r w:rsidRPr="00871CF1">
        <w:rPr>
          <w:rFonts w:ascii="Times New Roman" w:hAnsi="Times New Roman"/>
          <w:color w:val="auto"/>
          <w:szCs w:val="22"/>
          <w:shd w:val="clear" w:color="auto" w:fill="FFFFFF"/>
          <w:lang w:val="fr-BE"/>
        </w:rPr>
        <w:t>Szymczak</w:t>
      </w:r>
      <w:proofErr w:type="spellEnd"/>
      <w:r w:rsidRPr="00871CF1">
        <w:rPr>
          <w:rFonts w:ascii="Times New Roman" w:hAnsi="Times New Roman"/>
          <w:color w:val="auto"/>
          <w:szCs w:val="22"/>
          <w:shd w:val="clear" w:color="auto" w:fill="FFFFFF"/>
          <w:lang w:val="fr-BE"/>
        </w:rPr>
        <w:t xml:space="preserve">, L. S., de </w:t>
      </w:r>
      <w:proofErr w:type="spellStart"/>
      <w:r w:rsidRPr="00871CF1">
        <w:rPr>
          <w:rFonts w:ascii="Times New Roman" w:hAnsi="Times New Roman"/>
          <w:color w:val="auto"/>
          <w:szCs w:val="22"/>
          <w:shd w:val="clear" w:color="auto" w:fill="FFFFFF"/>
          <w:lang w:val="fr-BE"/>
        </w:rPr>
        <w:t>Faccio</w:t>
      </w:r>
      <w:proofErr w:type="spellEnd"/>
      <w:r w:rsidRPr="00871CF1">
        <w:rPr>
          <w:rFonts w:ascii="Times New Roman" w:hAnsi="Times New Roman"/>
          <w:color w:val="auto"/>
          <w:szCs w:val="22"/>
          <w:shd w:val="clear" w:color="auto" w:fill="FFFFFF"/>
          <w:lang w:val="fr-BE"/>
        </w:rPr>
        <w:t xml:space="preserve"> Carvalho, P. C., Lurette, A., De </w:t>
      </w:r>
      <w:proofErr w:type="spellStart"/>
      <w:r w:rsidRPr="00871CF1">
        <w:rPr>
          <w:rFonts w:ascii="Times New Roman" w:hAnsi="Times New Roman"/>
          <w:color w:val="auto"/>
          <w:szCs w:val="22"/>
          <w:shd w:val="clear" w:color="auto" w:fill="FFFFFF"/>
          <w:lang w:val="fr-BE"/>
        </w:rPr>
        <w:t>Moraes</w:t>
      </w:r>
      <w:proofErr w:type="spellEnd"/>
      <w:r w:rsidRPr="00871CF1">
        <w:rPr>
          <w:rFonts w:ascii="Times New Roman" w:hAnsi="Times New Roman"/>
          <w:color w:val="auto"/>
          <w:szCs w:val="22"/>
          <w:shd w:val="clear" w:color="auto" w:fill="FFFFFF"/>
          <w:lang w:val="fr-BE"/>
        </w:rPr>
        <w:t xml:space="preserve">, A., de Albuquerque Nunes, P. A., Martins, A. P., &amp; Moulin, C. H. (2020). </w:t>
      </w:r>
      <w:r w:rsidRPr="00871CF1">
        <w:rPr>
          <w:rFonts w:ascii="Times New Roman" w:hAnsi="Times New Roman"/>
          <w:color w:val="auto"/>
          <w:szCs w:val="22"/>
          <w:shd w:val="clear" w:color="auto" w:fill="FFFFFF"/>
        </w:rPr>
        <w:t>System diversification and grazing management as resilience-enhancing agricultural practices: The case of crop-livestock integration. </w:t>
      </w:r>
      <w:r w:rsidRPr="00871CF1">
        <w:rPr>
          <w:rFonts w:ascii="Times New Roman" w:hAnsi="Times New Roman"/>
          <w:i/>
          <w:iCs/>
          <w:color w:val="auto"/>
          <w:szCs w:val="22"/>
          <w:shd w:val="clear" w:color="auto" w:fill="FFFFFF"/>
        </w:rPr>
        <w:t>Agricultural Systems</w:t>
      </w:r>
      <w:r w:rsidRPr="00871CF1">
        <w:rPr>
          <w:rFonts w:ascii="Times New Roman" w:hAnsi="Times New Roman"/>
          <w:color w:val="auto"/>
          <w:szCs w:val="22"/>
          <w:shd w:val="clear" w:color="auto" w:fill="FFFFFF"/>
        </w:rPr>
        <w:t>, </w:t>
      </w:r>
      <w:r w:rsidRPr="00871CF1">
        <w:rPr>
          <w:rFonts w:ascii="Times New Roman" w:hAnsi="Times New Roman"/>
          <w:i/>
          <w:iCs/>
          <w:color w:val="auto"/>
          <w:szCs w:val="22"/>
          <w:shd w:val="clear" w:color="auto" w:fill="FFFFFF"/>
        </w:rPr>
        <w:t>184</w:t>
      </w:r>
      <w:r w:rsidRPr="00871CF1">
        <w:rPr>
          <w:rFonts w:ascii="Times New Roman" w:hAnsi="Times New Roman"/>
          <w:color w:val="auto"/>
          <w:szCs w:val="22"/>
          <w:shd w:val="clear" w:color="auto" w:fill="FFFFFF"/>
        </w:rPr>
        <w:t xml:space="preserve">, 102904. </w:t>
      </w:r>
      <w:r w:rsidR="005A33D8" w:rsidRPr="00871CF1">
        <w:rPr>
          <w:rFonts w:ascii="Times New Roman" w:hAnsi="Times New Roman"/>
          <w:color w:val="auto"/>
          <w:szCs w:val="22"/>
          <w:shd w:val="clear" w:color="auto" w:fill="FFFFFF"/>
        </w:rPr>
        <w:t>https://doi.org/10.1016/j.agsy.2020.102904</w:t>
      </w:r>
    </w:p>
    <w:p w14:paraId="689302D1" w14:textId="3ADD0047" w:rsidR="000E5F51" w:rsidRPr="00871CF1" w:rsidRDefault="000E5F51" w:rsidP="001741CF">
      <w:pPr>
        <w:jc w:val="both"/>
        <w:rPr>
          <w:rFonts w:ascii="Times New Roman" w:hAnsi="Times New Roman"/>
          <w:color w:val="auto"/>
          <w:szCs w:val="22"/>
        </w:rPr>
      </w:pPr>
      <w:r w:rsidRPr="00871CF1">
        <w:rPr>
          <w:rFonts w:ascii="Times New Roman" w:hAnsi="Times New Roman"/>
          <w:color w:val="auto"/>
          <w:szCs w:val="22"/>
          <w:shd w:val="clear" w:color="auto" w:fill="FFFFFF"/>
        </w:rPr>
        <w:t xml:space="preserve">van Grinsven, H. J., </w:t>
      </w:r>
      <w:proofErr w:type="spellStart"/>
      <w:r w:rsidRPr="00871CF1">
        <w:rPr>
          <w:rFonts w:ascii="Times New Roman" w:hAnsi="Times New Roman"/>
          <w:color w:val="auto"/>
          <w:szCs w:val="22"/>
          <w:shd w:val="clear" w:color="auto" w:fill="FFFFFF"/>
        </w:rPr>
        <w:t>Ebanyat</w:t>
      </w:r>
      <w:proofErr w:type="spellEnd"/>
      <w:r w:rsidRPr="00871CF1">
        <w:rPr>
          <w:rFonts w:ascii="Times New Roman" w:hAnsi="Times New Roman"/>
          <w:color w:val="auto"/>
          <w:szCs w:val="22"/>
          <w:shd w:val="clear" w:color="auto" w:fill="FFFFFF"/>
        </w:rPr>
        <w:t xml:space="preserve">, P., </w:t>
      </w:r>
      <w:proofErr w:type="spellStart"/>
      <w:r w:rsidRPr="00871CF1">
        <w:rPr>
          <w:rFonts w:ascii="Times New Roman" w:hAnsi="Times New Roman"/>
          <w:color w:val="auto"/>
          <w:szCs w:val="22"/>
          <w:shd w:val="clear" w:color="auto" w:fill="FFFFFF"/>
        </w:rPr>
        <w:t>Glendining</w:t>
      </w:r>
      <w:proofErr w:type="spellEnd"/>
      <w:r w:rsidRPr="00871CF1">
        <w:rPr>
          <w:rFonts w:ascii="Times New Roman" w:hAnsi="Times New Roman"/>
          <w:color w:val="auto"/>
          <w:szCs w:val="22"/>
          <w:shd w:val="clear" w:color="auto" w:fill="FFFFFF"/>
        </w:rPr>
        <w:t xml:space="preserve">, M., Gu, B., </w:t>
      </w:r>
      <w:proofErr w:type="spellStart"/>
      <w:r w:rsidRPr="00871CF1">
        <w:rPr>
          <w:rFonts w:ascii="Times New Roman" w:hAnsi="Times New Roman"/>
          <w:color w:val="auto"/>
          <w:szCs w:val="22"/>
          <w:shd w:val="clear" w:color="auto" w:fill="FFFFFF"/>
        </w:rPr>
        <w:t>Hijbeek</w:t>
      </w:r>
      <w:proofErr w:type="spellEnd"/>
      <w:r w:rsidRPr="00871CF1">
        <w:rPr>
          <w:rFonts w:ascii="Times New Roman" w:hAnsi="Times New Roman"/>
          <w:color w:val="auto"/>
          <w:szCs w:val="22"/>
          <w:shd w:val="clear" w:color="auto" w:fill="FFFFFF"/>
        </w:rPr>
        <w:t>, R., Lam, S. K., ... &amp; Ten Berge, H. F. (2022). Establishing long-term nitrogen response of global cereals to assess sustainable fertilizer rates. </w:t>
      </w:r>
      <w:r w:rsidRPr="00871CF1">
        <w:rPr>
          <w:rFonts w:ascii="Times New Roman" w:hAnsi="Times New Roman"/>
          <w:i/>
          <w:iCs/>
          <w:color w:val="auto"/>
          <w:szCs w:val="22"/>
          <w:shd w:val="clear" w:color="auto" w:fill="FFFFFF"/>
        </w:rPr>
        <w:t>Nature Food</w:t>
      </w:r>
      <w:r w:rsidRPr="00871CF1">
        <w:rPr>
          <w:rFonts w:ascii="Times New Roman" w:hAnsi="Times New Roman"/>
          <w:color w:val="auto"/>
          <w:szCs w:val="22"/>
          <w:shd w:val="clear" w:color="auto" w:fill="FFFFFF"/>
        </w:rPr>
        <w:t>, </w:t>
      </w:r>
      <w:r w:rsidRPr="00871CF1">
        <w:rPr>
          <w:rFonts w:ascii="Times New Roman" w:hAnsi="Times New Roman"/>
          <w:i/>
          <w:iCs/>
          <w:color w:val="auto"/>
          <w:szCs w:val="22"/>
          <w:shd w:val="clear" w:color="auto" w:fill="FFFFFF"/>
        </w:rPr>
        <w:t>3</w:t>
      </w:r>
      <w:r w:rsidRPr="00871CF1">
        <w:rPr>
          <w:rFonts w:ascii="Times New Roman" w:hAnsi="Times New Roman"/>
          <w:color w:val="auto"/>
          <w:szCs w:val="22"/>
          <w:shd w:val="clear" w:color="auto" w:fill="FFFFFF"/>
        </w:rPr>
        <w:t>(2), 122-132.</w:t>
      </w:r>
      <w:r w:rsidR="006B2A90" w:rsidRPr="00871CF1">
        <w:rPr>
          <w:rFonts w:ascii="Times New Roman" w:hAnsi="Times New Roman"/>
          <w:color w:val="auto"/>
          <w:szCs w:val="22"/>
          <w:shd w:val="clear" w:color="auto" w:fill="FFFFFF"/>
        </w:rPr>
        <w:t xml:space="preserve"> https://doi.org/10.1038/s43016-021-00447-x</w:t>
      </w:r>
    </w:p>
    <w:p w14:paraId="2A4D27F0" w14:textId="2537CBD2" w:rsidR="00A73298" w:rsidRPr="00871CF1" w:rsidRDefault="00A73298" w:rsidP="001741CF">
      <w:pPr>
        <w:jc w:val="both"/>
        <w:rPr>
          <w:rFonts w:ascii="Times New Roman" w:hAnsi="Times New Roman"/>
          <w:color w:val="auto"/>
          <w:szCs w:val="22"/>
        </w:rPr>
      </w:pPr>
      <w:r w:rsidRPr="00871CF1">
        <w:rPr>
          <w:rFonts w:ascii="Times New Roman" w:hAnsi="Times New Roman"/>
          <w:color w:val="auto"/>
          <w:szCs w:val="22"/>
        </w:rPr>
        <w:t xml:space="preserve">Walloon Public Service (2020). </w:t>
      </w:r>
      <w:r w:rsidRPr="00871CF1">
        <w:rPr>
          <w:rFonts w:ascii="Times New Roman" w:hAnsi="Times New Roman"/>
          <w:color w:val="auto"/>
          <w:szCs w:val="22"/>
          <w:lang w:val="fr-BE"/>
        </w:rPr>
        <w:t>Evolution de l’économie agricole et horticole de la Wallonie.</w:t>
      </w:r>
      <w:r w:rsidR="002A5A32" w:rsidRPr="00871CF1">
        <w:rPr>
          <w:rFonts w:ascii="Times New Roman" w:hAnsi="Times New Roman"/>
          <w:color w:val="auto"/>
          <w:szCs w:val="22"/>
          <w:lang w:val="fr-BE"/>
        </w:rPr>
        <w:t xml:space="preserve"> </w:t>
      </w:r>
      <w:r w:rsidR="002A5A32" w:rsidRPr="00871CF1">
        <w:rPr>
          <w:rFonts w:ascii="Times New Roman" w:hAnsi="Times New Roman"/>
          <w:color w:val="auto"/>
          <w:szCs w:val="22"/>
        </w:rPr>
        <w:t>Retrieved July 14, 2025, from Walloon Agriculture Portal: https://etat-agriculture.wallonie.be</w:t>
      </w:r>
      <w:r w:rsidRPr="00871CF1">
        <w:rPr>
          <w:rFonts w:ascii="Times New Roman" w:hAnsi="Times New Roman"/>
          <w:color w:val="auto"/>
          <w:szCs w:val="22"/>
        </w:rPr>
        <w:t xml:space="preserve"> </w:t>
      </w:r>
    </w:p>
    <w:p w14:paraId="2BE4CEF8" w14:textId="027053D8" w:rsidR="00730AB3" w:rsidRPr="00871CF1" w:rsidRDefault="00730AB3" w:rsidP="001741CF">
      <w:pPr>
        <w:jc w:val="both"/>
        <w:rPr>
          <w:rFonts w:ascii="Times New Roman" w:hAnsi="Times New Roman"/>
          <w:color w:val="auto"/>
          <w:szCs w:val="22"/>
        </w:rPr>
      </w:pPr>
      <w:r w:rsidRPr="00871CF1">
        <w:rPr>
          <w:rFonts w:ascii="Times New Roman" w:hAnsi="Times New Roman"/>
          <w:color w:val="auto"/>
          <w:szCs w:val="22"/>
        </w:rPr>
        <w:t xml:space="preserve">Wang, Q., Barré, P., Deng, O., Lan, T., Zeng, M., Gao, X., &amp; Le </w:t>
      </w:r>
      <w:proofErr w:type="spellStart"/>
      <w:r w:rsidRPr="00871CF1">
        <w:rPr>
          <w:rFonts w:ascii="Times New Roman" w:hAnsi="Times New Roman"/>
          <w:color w:val="auto"/>
          <w:szCs w:val="22"/>
        </w:rPr>
        <w:t>Noë</w:t>
      </w:r>
      <w:proofErr w:type="spellEnd"/>
      <w:r w:rsidRPr="00871CF1">
        <w:rPr>
          <w:rFonts w:ascii="Times New Roman" w:hAnsi="Times New Roman"/>
          <w:color w:val="auto"/>
          <w:szCs w:val="22"/>
        </w:rPr>
        <w:t xml:space="preserve">, J. (2025). Soil carbon sequestration, climate change mitigation, nitrogen pollution and </w:t>
      </w:r>
      <w:proofErr w:type="spellStart"/>
      <w:r w:rsidRPr="00871CF1">
        <w:rPr>
          <w:rFonts w:ascii="Times New Roman" w:hAnsi="Times New Roman"/>
          <w:color w:val="auto"/>
          <w:szCs w:val="22"/>
        </w:rPr>
        <w:t>agro</w:t>
      </w:r>
      <w:proofErr w:type="spellEnd"/>
      <w:r w:rsidRPr="00871CF1">
        <w:rPr>
          <w:rFonts w:ascii="Times New Roman" w:hAnsi="Times New Roman"/>
          <w:color w:val="auto"/>
          <w:szCs w:val="22"/>
        </w:rPr>
        <w:t>-food supply: navigating trade-offs in future cropland management strategies. </w:t>
      </w:r>
      <w:r w:rsidRPr="00871CF1">
        <w:rPr>
          <w:rFonts w:ascii="Times New Roman" w:hAnsi="Times New Roman"/>
          <w:i/>
          <w:iCs/>
          <w:color w:val="auto"/>
          <w:szCs w:val="22"/>
        </w:rPr>
        <w:t>Environmental Research Letters</w:t>
      </w:r>
      <w:r w:rsidRPr="00871CF1">
        <w:rPr>
          <w:rFonts w:ascii="Times New Roman" w:hAnsi="Times New Roman"/>
          <w:color w:val="auto"/>
          <w:szCs w:val="22"/>
        </w:rPr>
        <w:t xml:space="preserve">. </w:t>
      </w:r>
      <w:r w:rsidR="00BB166E" w:rsidRPr="00871CF1">
        <w:rPr>
          <w:rFonts w:ascii="Times New Roman" w:hAnsi="Times New Roman"/>
          <w:color w:val="auto"/>
          <w:szCs w:val="22"/>
        </w:rPr>
        <w:t>DOI: 10.1088/1748-9326/adbc04</w:t>
      </w:r>
    </w:p>
    <w:p w14:paraId="523829F0" w14:textId="53EC50CE" w:rsidR="00FC0F67" w:rsidRPr="00871CF1" w:rsidRDefault="00FC0F67" w:rsidP="001741CF">
      <w:pPr>
        <w:jc w:val="both"/>
        <w:rPr>
          <w:rFonts w:ascii="Times New Roman" w:hAnsi="Times New Roman"/>
          <w:color w:val="auto"/>
          <w:szCs w:val="22"/>
        </w:rPr>
      </w:pPr>
      <w:r w:rsidRPr="00871CF1">
        <w:rPr>
          <w:rFonts w:ascii="Times New Roman" w:hAnsi="Times New Roman"/>
          <w:color w:val="auto"/>
          <w:szCs w:val="22"/>
          <w:lang w:val="fr-BE"/>
        </w:rPr>
        <w:t xml:space="preserve">Yang, X., </w:t>
      </w:r>
      <w:proofErr w:type="spellStart"/>
      <w:r w:rsidRPr="00871CF1">
        <w:rPr>
          <w:rFonts w:ascii="Times New Roman" w:hAnsi="Times New Roman"/>
          <w:color w:val="auto"/>
          <w:szCs w:val="22"/>
          <w:lang w:val="fr-BE"/>
        </w:rPr>
        <w:t>Xiong</w:t>
      </w:r>
      <w:proofErr w:type="spellEnd"/>
      <w:r w:rsidRPr="00871CF1">
        <w:rPr>
          <w:rFonts w:ascii="Times New Roman" w:hAnsi="Times New Roman"/>
          <w:color w:val="auto"/>
          <w:szCs w:val="22"/>
          <w:lang w:val="fr-BE"/>
        </w:rPr>
        <w:t xml:space="preserve">, J., Du, T., Ju, X., Gan, Y., Li, S., ... </w:t>
      </w:r>
      <w:r w:rsidRPr="00871CF1">
        <w:rPr>
          <w:rFonts w:ascii="Times New Roman" w:hAnsi="Times New Roman"/>
          <w:color w:val="auto"/>
          <w:szCs w:val="22"/>
        </w:rPr>
        <w:t xml:space="preserve">&amp; </w:t>
      </w:r>
      <w:proofErr w:type="spellStart"/>
      <w:r w:rsidRPr="00871CF1">
        <w:rPr>
          <w:rFonts w:ascii="Times New Roman" w:hAnsi="Times New Roman"/>
          <w:color w:val="auto"/>
          <w:szCs w:val="22"/>
        </w:rPr>
        <w:t>Butterbach</w:t>
      </w:r>
      <w:proofErr w:type="spellEnd"/>
      <w:r w:rsidRPr="00871CF1">
        <w:rPr>
          <w:rFonts w:ascii="Times New Roman" w:hAnsi="Times New Roman"/>
          <w:color w:val="auto"/>
          <w:szCs w:val="22"/>
        </w:rPr>
        <w:t xml:space="preserve">-Bahl, K. (2024). Diversifying crop rotation increases food production, reduces net greenhouse gas </w:t>
      </w:r>
      <w:proofErr w:type="gramStart"/>
      <w:r w:rsidRPr="00871CF1">
        <w:rPr>
          <w:rFonts w:ascii="Times New Roman" w:hAnsi="Times New Roman"/>
          <w:color w:val="auto"/>
          <w:szCs w:val="22"/>
        </w:rPr>
        <w:t>emissions</w:t>
      </w:r>
      <w:proofErr w:type="gramEnd"/>
      <w:r w:rsidRPr="00871CF1">
        <w:rPr>
          <w:rFonts w:ascii="Times New Roman" w:hAnsi="Times New Roman"/>
          <w:color w:val="auto"/>
          <w:szCs w:val="22"/>
        </w:rPr>
        <w:t xml:space="preserve"> and improves soil health. </w:t>
      </w:r>
      <w:r w:rsidRPr="00871CF1">
        <w:rPr>
          <w:rFonts w:ascii="Times New Roman" w:hAnsi="Times New Roman"/>
          <w:i/>
          <w:iCs/>
          <w:color w:val="auto"/>
          <w:szCs w:val="22"/>
        </w:rPr>
        <w:t>Nature Communications</w:t>
      </w:r>
      <w:r w:rsidRPr="00871CF1">
        <w:rPr>
          <w:rFonts w:ascii="Times New Roman" w:hAnsi="Times New Roman"/>
          <w:color w:val="auto"/>
          <w:szCs w:val="22"/>
        </w:rPr>
        <w:t>, </w:t>
      </w:r>
      <w:r w:rsidRPr="00871CF1">
        <w:rPr>
          <w:rFonts w:ascii="Times New Roman" w:hAnsi="Times New Roman"/>
          <w:i/>
          <w:iCs/>
          <w:color w:val="auto"/>
          <w:szCs w:val="22"/>
        </w:rPr>
        <w:t>15</w:t>
      </w:r>
      <w:r w:rsidRPr="00871CF1">
        <w:rPr>
          <w:rFonts w:ascii="Times New Roman" w:hAnsi="Times New Roman"/>
          <w:color w:val="auto"/>
          <w:szCs w:val="22"/>
        </w:rPr>
        <w:t xml:space="preserve">(1), 198. </w:t>
      </w:r>
      <w:r w:rsidR="00731939" w:rsidRPr="00871CF1">
        <w:rPr>
          <w:rFonts w:ascii="Times New Roman" w:hAnsi="Times New Roman"/>
          <w:color w:val="auto"/>
          <w:szCs w:val="22"/>
        </w:rPr>
        <w:t>https://doi.org/10.1038/s41467-023-44464-9</w:t>
      </w:r>
    </w:p>
    <w:p w14:paraId="1203704A" w14:textId="12794AD3" w:rsidR="00B5502E" w:rsidRPr="00871CF1" w:rsidRDefault="00B5502E" w:rsidP="001741CF">
      <w:pPr>
        <w:jc w:val="both"/>
        <w:rPr>
          <w:rFonts w:ascii="Times New Roman" w:hAnsi="Times New Roman"/>
          <w:color w:val="auto"/>
          <w:szCs w:val="22"/>
        </w:rPr>
      </w:pPr>
      <w:r w:rsidRPr="00871CF1">
        <w:rPr>
          <w:rFonts w:ascii="Times New Roman" w:hAnsi="Times New Roman"/>
          <w:color w:val="auto"/>
          <w:szCs w:val="22"/>
        </w:rPr>
        <w:lastRenderedPageBreak/>
        <w:t>Yi, B., Huang, W., Liebman, M., Woods, M., McDaniel, M. D., Lu, C., ... &amp; Hall, S. J. (2025). Diversified cropping systems with limited carbon accrual but increased nitrogen supply. </w:t>
      </w:r>
      <w:r w:rsidRPr="00871CF1">
        <w:rPr>
          <w:rFonts w:ascii="Times New Roman" w:hAnsi="Times New Roman"/>
          <w:i/>
          <w:iCs/>
          <w:color w:val="auto"/>
          <w:szCs w:val="22"/>
        </w:rPr>
        <w:t>Nature Sustainability</w:t>
      </w:r>
      <w:r w:rsidRPr="00871CF1">
        <w:rPr>
          <w:rFonts w:ascii="Times New Roman" w:hAnsi="Times New Roman"/>
          <w:color w:val="auto"/>
          <w:szCs w:val="22"/>
        </w:rPr>
        <w:t xml:space="preserve">, 1-10. </w:t>
      </w:r>
      <w:r w:rsidR="009C1D2C" w:rsidRPr="00871CF1">
        <w:rPr>
          <w:rFonts w:ascii="Times New Roman" w:hAnsi="Times New Roman"/>
          <w:color w:val="auto"/>
          <w:szCs w:val="22"/>
        </w:rPr>
        <w:t>https://doi.org/10.1038/s41893-024-01495-4</w:t>
      </w:r>
    </w:p>
    <w:p w14:paraId="41454E61" w14:textId="7F856D43" w:rsidR="007C3C64" w:rsidRPr="00871CF1" w:rsidRDefault="00CF49A8" w:rsidP="001741CF">
      <w:pPr>
        <w:jc w:val="both"/>
        <w:rPr>
          <w:rFonts w:ascii="Times New Roman" w:hAnsi="Times New Roman"/>
          <w:color w:val="auto"/>
          <w:szCs w:val="22"/>
        </w:rPr>
      </w:pPr>
      <w:r w:rsidRPr="00871CF1">
        <w:rPr>
          <w:rFonts w:ascii="Times New Roman" w:hAnsi="Times New Roman"/>
          <w:color w:val="auto"/>
          <w:szCs w:val="22"/>
        </w:rPr>
        <w:t>Zhang, W., Ricketts, T. H., Kremen, C., Carney, K., &amp; Swinton, S. M. (2007). Ecosystem services and dis-services to agriculture. </w:t>
      </w:r>
      <w:r w:rsidRPr="00871CF1">
        <w:rPr>
          <w:rFonts w:ascii="Times New Roman" w:hAnsi="Times New Roman"/>
          <w:i/>
          <w:iCs/>
          <w:color w:val="auto"/>
          <w:szCs w:val="22"/>
        </w:rPr>
        <w:t>Ecological economics</w:t>
      </w:r>
      <w:r w:rsidRPr="00871CF1">
        <w:rPr>
          <w:rFonts w:ascii="Times New Roman" w:hAnsi="Times New Roman"/>
          <w:color w:val="auto"/>
          <w:szCs w:val="22"/>
        </w:rPr>
        <w:t>, </w:t>
      </w:r>
      <w:r w:rsidRPr="00871CF1">
        <w:rPr>
          <w:rFonts w:ascii="Times New Roman" w:hAnsi="Times New Roman"/>
          <w:i/>
          <w:iCs/>
          <w:color w:val="auto"/>
          <w:szCs w:val="22"/>
        </w:rPr>
        <w:t>64</w:t>
      </w:r>
      <w:r w:rsidRPr="00871CF1">
        <w:rPr>
          <w:rFonts w:ascii="Times New Roman" w:hAnsi="Times New Roman"/>
          <w:color w:val="auto"/>
          <w:szCs w:val="22"/>
        </w:rPr>
        <w:t xml:space="preserve">(2), 253-260. </w:t>
      </w:r>
      <w:r w:rsidR="002716DF" w:rsidRPr="00871CF1">
        <w:rPr>
          <w:rFonts w:ascii="Times New Roman" w:hAnsi="Times New Roman"/>
          <w:color w:val="auto"/>
          <w:szCs w:val="22"/>
        </w:rPr>
        <w:t>https://doi.org/10.1016/j.ecolecon.2007.02.024</w:t>
      </w:r>
    </w:p>
    <w:p w14:paraId="14502A19" w14:textId="4235F34C" w:rsidR="002926F0" w:rsidRPr="00871CF1" w:rsidRDefault="002926F0" w:rsidP="002926F0">
      <w:pPr>
        <w:pStyle w:val="Publi1"/>
      </w:pPr>
      <w:r w:rsidRPr="00871CF1">
        <w:t>Declarations of interest</w:t>
      </w:r>
    </w:p>
    <w:p w14:paraId="52283613" w14:textId="00CDE9F3" w:rsidR="002926F0" w:rsidRPr="00871CF1" w:rsidRDefault="002926F0" w:rsidP="002926F0">
      <w:pPr>
        <w:pStyle w:val="PubliManuscript"/>
        <w:rPr>
          <w:color w:val="auto"/>
        </w:rPr>
      </w:pPr>
      <w:r w:rsidRPr="00871CF1">
        <w:rPr>
          <w:color w:val="auto"/>
        </w:rPr>
        <w:t>The authors declare no conflicts of interest</w:t>
      </w:r>
      <w:r w:rsidR="000A0024" w:rsidRPr="00871CF1">
        <w:rPr>
          <w:color w:val="auto"/>
        </w:rPr>
        <w:t>.</w:t>
      </w:r>
    </w:p>
    <w:p w14:paraId="10D18D9E" w14:textId="0E8CFF3B" w:rsidR="00EF2E7E" w:rsidRPr="00871CF1" w:rsidRDefault="00EF2E7E" w:rsidP="00EF2E7E">
      <w:pPr>
        <w:pStyle w:val="Publi1"/>
      </w:pPr>
      <w:r w:rsidRPr="00871CF1">
        <w:t>Acknowledgements</w:t>
      </w:r>
    </w:p>
    <w:p w14:paraId="43F30339" w14:textId="2F1554ED" w:rsidR="00000CD4" w:rsidRPr="00871CF1" w:rsidRDefault="00720CE4" w:rsidP="007A423F">
      <w:pPr>
        <w:pStyle w:val="PubliManuscript"/>
        <w:rPr>
          <w:color w:val="auto"/>
          <w:szCs w:val="22"/>
        </w:rPr>
      </w:pPr>
      <w:r w:rsidRPr="00871CF1">
        <w:rPr>
          <w:color w:val="auto"/>
          <w:szCs w:val="22"/>
        </w:rPr>
        <w:t>This study was funded by the F.R.S</w:t>
      </w:r>
      <w:r w:rsidR="001A36C6" w:rsidRPr="00871CF1">
        <w:rPr>
          <w:color w:val="auto"/>
          <w:szCs w:val="22"/>
        </w:rPr>
        <w:t>.</w:t>
      </w:r>
      <w:r w:rsidRPr="00871CF1">
        <w:rPr>
          <w:color w:val="auto"/>
          <w:szCs w:val="22"/>
        </w:rPr>
        <w:t>-FNRS (Belgian Fund for Scientific Research; Research Fellow grant (number 44221) awarded to M. Delandmeter).</w:t>
      </w:r>
    </w:p>
    <w:sectPr w:rsidR="00000CD4" w:rsidRPr="00871CF1" w:rsidSect="000F2E25">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171B5"/>
    <w:multiLevelType w:val="hybridMultilevel"/>
    <w:tmpl w:val="F34428B2"/>
    <w:lvl w:ilvl="0" w:tplc="BB7E7192">
      <w:start w:val="1"/>
      <w:numFmt w:val="decimal"/>
      <w:lvlText w:val="%1."/>
      <w:lvlJc w:val="left"/>
      <w:pPr>
        <w:tabs>
          <w:tab w:val="num" w:pos="720"/>
        </w:tabs>
        <w:ind w:left="720" w:hanging="360"/>
      </w:pPr>
    </w:lvl>
    <w:lvl w:ilvl="1" w:tplc="4ABC670A" w:tentative="1">
      <w:start w:val="1"/>
      <w:numFmt w:val="decimal"/>
      <w:lvlText w:val="%2."/>
      <w:lvlJc w:val="left"/>
      <w:pPr>
        <w:tabs>
          <w:tab w:val="num" w:pos="1440"/>
        </w:tabs>
        <w:ind w:left="1440" w:hanging="360"/>
      </w:pPr>
    </w:lvl>
    <w:lvl w:ilvl="2" w:tplc="7A3CCBCC" w:tentative="1">
      <w:start w:val="1"/>
      <w:numFmt w:val="decimal"/>
      <w:lvlText w:val="%3."/>
      <w:lvlJc w:val="left"/>
      <w:pPr>
        <w:tabs>
          <w:tab w:val="num" w:pos="2160"/>
        </w:tabs>
        <w:ind w:left="2160" w:hanging="360"/>
      </w:pPr>
    </w:lvl>
    <w:lvl w:ilvl="3" w:tplc="FD32184A">
      <w:start w:val="1"/>
      <w:numFmt w:val="decimal"/>
      <w:lvlText w:val="%4."/>
      <w:lvlJc w:val="left"/>
      <w:pPr>
        <w:tabs>
          <w:tab w:val="num" w:pos="2880"/>
        </w:tabs>
        <w:ind w:left="2880" w:hanging="360"/>
      </w:pPr>
    </w:lvl>
    <w:lvl w:ilvl="4" w:tplc="0DBC6B64" w:tentative="1">
      <w:start w:val="1"/>
      <w:numFmt w:val="decimal"/>
      <w:lvlText w:val="%5."/>
      <w:lvlJc w:val="left"/>
      <w:pPr>
        <w:tabs>
          <w:tab w:val="num" w:pos="3600"/>
        </w:tabs>
        <w:ind w:left="3600" w:hanging="360"/>
      </w:pPr>
    </w:lvl>
    <w:lvl w:ilvl="5" w:tplc="470612B6" w:tentative="1">
      <w:start w:val="1"/>
      <w:numFmt w:val="decimal"/>
      <w:lvlText w:val="%6."/>
      <w:lvlJc w:val="left"/>
      <w:pPr>
        <w:tabs>
          <w:tab w:val="num" w:pos="4320"/>
        </w:tabs>
        <w:ind w:left="4320" w:hanging="360"/>
      </w:pPr>
    </w:lvl>
    <w:lvl w:ilvl="6" w:tplc="57629BDC" w:tentative="1">
      <w:start w:val="1"/>
      <w:numFmt w:val="decimal"/>
      <w:lvlText w:val="%7."/>
      <w:lvlJc w:val="left"/>
      <w:pPr>
        <w:tabs>
          <w:tab w:val="num" w:pos="5040"/>
        </w:tabs>
        <w:ind w:left="5040" w:hanging="360"/>
      </w:pPr>
    </w:lvl>
    <w:lvl w:ilvl="7" w:tplc="D436AF0E" w:tentative="1">
      <w:start w:val="1"/>
      <w:numFmt w:val="decimal"/>
      <w:lvlText w:val="%8."/>
      <w:lvlJc w:val="left"/>
      <w:pPr>
        <w:tabs>
          <w:tab w:val="num" w:pos="5760"/>
        </w:tabs>
        <w:ind w:left="5760" w:hanging="360"/>
      </w:pPr>
    </w:lvl>
    <w:lvl w:ilvl="8" w:tplc="612EB12E" w:tentative="1">
      <w:start w:val="1"/>
      <w:numFmt w:val="decimal"/>
      <w:lvlText w:val="%9."/>
      <w:lvlJc w:val="left"/>
      <w:pPr>
        <w:tabs>
          <w:tab w:val="num" w:pos="6480"/>
        </w:tabs>
        <w:ind w:left="6480" w:hanging="360"/>
      </w:pPr>
    </w:lvl>
  </w:abstractNum>
  <w:abstractNum w:abstractNumId="1" w15:restartNumberingAfterBreak="0">
    <w:nsid w:val="295A1519"/>
    <w:multiLevelType w:val="hybridMultilevel"/>
    <w:tmpl w:val="65EC640A"/>
    <w:lvl w:ilvl="0" w:tplc="B7C0AE1E">
      <w:numFmt w:val="bullet"/>
      <w:lvlText w:val=""/>
      <w:lvlJc w:val="left"/>
      <w:pPr>
        <w:ind w:left="720" w:hanging="360"/>
      </w:pPr>
      <w:rPr>
        <w:rFonts w:ascii="Wingdings" w:eastAsia="ヒラギノ角ゴ Pro W3"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A0070BD"/>
    <w:multiLevelType w:val="hybridMultilevel"/>
    <w:tmpl w:val="A16AC98C"/>
    <w:lvl w:ilvl="0" w:tplc="887EE69E">
      <w:start w:val="1"/>
      <w:numFmt w:val="decimal"/>
      <w:lvlText w:val="%1."/>
      <w:lvlJc w:val="left"/>
      <w:pPr>
        <w:tabs>
          <w:tab w:val="num" w:pos="720"/>
        </w:tabs>
        <w:ind w:left="720" w:hanging="360"/>
      </w:pPr>
    </w:lvl>
    <w:lvl w:ilvl="1" w:tplc="E57EA418" w:tentative="1">
      <w:start w:val="1"/>
      <w:numFmt w:val="decimal"/>
      <w:lvlText w:val="%2."/>
      <w:lvlJc w:val="left"/>
      <w:pPr>
        <w:tabs>
          <w:tab w:val="num" w:pos="1440"/>
        </w:tabs>
        <w:ind w:left="1440" w:hanging="360"/>
      </w:pPr>
    </w:lvl>
    <w:lvl w:ilvl="2" w:tplc="B5ECC99E" w:tentative="1">
      <w:start w:val="1"/>
      <w:numFmt w:val="decimal"/>
      <w:lvlText w:val="%3."/>
      <w:lvlJc w:val="left"/>
      <w:pPr>
        <w:tabs>
          <w:tab w:val="num" w:pos="2160"/>
        </w:tabs>
        <w:ind w:left="2160" w:hanging="360"/>
      </w:pPr>
    </w:lvl>
    <w:lvl w:ilvl="3" w:tplc="6136F1D8">
      <w:start w:val="1"/>
      <w:numFmt w:val="decimal"/>
      <w:lvlText w:val="%4."/>
      <w:lvlJc w:val="left"/>
      <w:pPr>
        <w:tabs>
          <w:tab w:val="num" w:pos="2880"/>
        </w:tabs>
        <w:ind w:left="2880" w:hanging="360"/>
      </w:pPr>
    </w:lvl>
    <w:lvl w:ilvl="4" w:tplc="A32A000A" w:tentative="1">
      <w:start w:val="1"/>
      <w:numFmt w:val="decimal"/>
      <w:lvlText w:val="%5."/>
      <w:lvlJc w:val="left"/>
      <w:pPr>
        <w:tabs>
          <w:tab w:val="num" w:pos="3600"/>
        </w:tabs>
        <w:ind w:left="3600" w:hanging="360"/>
      </w:pPr>
    </w:lvl>
    <w:lvl w:ilvl="5" w:tplc="EAB0048E" w:tentative="1">
      <w:start w:val="1"/>
      <w:numFmt w:val="decimal"/>
      <w:lvlText w:val="%6."/>
      <w:lvlJc w:val="left"/>
      <w:pPr>
        <w:tabs>
          <w:tab w:val="num" w:pos="4320"/>
        </w:tabs>
        <w:ind w:left="4320" w:hanging="360"/>
      </w:pPr>
    </w:lvl>
    <w:lvl w:ilvl="6" w:tplc="3E70B400" w:tentative="1">
      <w:start w:val="1"/>
      <w:numFmt w:val="decimal"/>
      <w:lvlText w:val="%7."/>
      <w:lvlJc w:val="left"/>
      <w:pPr>
        <w:tabs>
          <w:tab w:val="num" w:pos="5040"/>
        </w:tabs>
        <w:ind w:left="5040" w:hanging="360"/>
      </w:pPr>
    </w:lvl>
    <w:lvl w:ilvl="7" w:tplc="16982864" w:tentative="1">
      <w:start w:val="1"/>
      <w:numFmt w:val="decimal"/>
      <w:lvlText w:val="%8."/>
      <w:lvlJc w:val="left"/>
      <w:pPr>
        <w:tabs>
          <w:tab w:val="num" w:pos="5760"/>
        </w:tabs>
        <w:ind w:left="5760" w:hanging="360"/>
      </w:pPr>
    </w:lvl>
    <w:lvl w:ilvl="8" w:tplc="DFE85D7C" w:tentative="1">
      <w:start w:val="1"/>
      <w:numFmt w:val="decimal"/>
      <w:lvlText w:val="%9."/>
      <w:lvlJc w:val="left"/>
      <w:pPr>
        <w:tabs>
          <w:tab w:val="num" w:pos="6480"/>
        </w:tabs>
        <w:ind w:left="6480" w:hanging="360"/>
      </w:pPr>
    </w:lvl>
  </w:abstractNum>
  <w:abstractNum w:abstractNumId="3" w15:restartNumberingAfterBreak="0">
    <w:nsid w:val="3DAC2251"/>
    <w:multiLevelType w:val="multilevel"/>
    <w:tmpl w:val="02AE3C36"/>
    <w:lvl w:ilvl="0">
      <w:start w:val="1"/>
      <w:numFmt w:val="decimal"/>
      <w:pStyle w:val="Publi1"/>
      <w:lvlText w:val="%1."/>
      <w:lvlJc w:val="left"/>
      <w:pPr>
        <w:ind w:left="720" w:hanging="360"/>
      </w:pPr>
      <w:rPr>
        <w:rFonts w:hint="default"/>
      </w:rPr>
    </w:lvl>
    <w:lvl w:ilvl="1">
      <w:start w:val="1"/>
      <w:numFmt w:val="decimal"/>
      <w:pStyle w:val="Publi2"/>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C0B06BF"/>
    <w:multiLevelType w:val="hybridMultilevel"/>
    <w:tmpl w:val="4C02596E"/>
    <w:lvl w:ilvl="0" w:tplc="18167F54">
      <w:start w:val="1"/>
      <w:numFmt w:val="bullet"/>
      <w:lvlText w:val=""/>
      <w:lvlJc w:val="left"/>
      <w:pPr>
        <w:ind w:left="1080" w:hanging="360"/>
      </w:pPr>
      <w:rPr>
        <w:rFonts w:ascii="Wingdings" w:eastAsia="ヒラギノ角ゴ Pro W3"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15:restartNumberingAfterBreak="0">
    <w:nsid w:val="693B49EE"/>
    <w:multiLevelType w:val="hybridMultilevel"/>
    <w:tmpl w:val="D13CA784"/>
    <w:lvl w:ilvl="0" w:tplc="F2FAE95A">
      <w:start w:val="1"/>
      <w:numFmt w:val="decimal"/>
      <w:lvlText w:val="%1."/>
      <w:lvlJc w:val="left"/>
      <w:pPr>
        <w:tabs>
          <w:tab w:val="num" w:pos="720"/>
        </w:tabs>
        <w:ind w:left="720" w:hanging="360"/>
      </w:pPr>
    </w:lvl>
    <w:lvl w:ilvl="1" w:tplc="DF4270A4" w:tentative="1">
      <w:start w:val="1"/>
      <w:numFmt w:val="decimal"/>
      <w:lvlText w:val="%2."/>
      <w:lvlJc w:val="left"/>
      <w:pPr>
        <w:tabs>
          <w:tab w:val="num" w:pos="1440"/>
        </w:tabs>
        <w:ind w:left="1440" w:hanging="360"/>
      </w:pPr>
    </w:lvl>
    <w:lvl w:ilvl="2" w:tplc="AF6A2AD6" w:tentative="1">
      <w:start w:val="1"/>
      <w:numFmt w:val="decimal"/>
      <w:lvlText w:val="%3."/>
      <w:lvlJc w:val="left"/>
      <w:pPr>
        <w:tabs>
          <w:tab w:val="num" w:pos="2160"/>
        </w:tabs>
        <w:ind w:left="2160" w:hanging="360"/>
      </w:pPr>
    </w:lvl>
    <w:lvl w:ilvl="3" w:tplc="A5146314">
      <w:start w:val="1"/>
      <w:numFmt w:val="decimal"/>
      <w:lvlText w:val="%4."/>
      <w:lvlJc w:val="left"/>
      <w:pPr>
        <w:tabs>
          <w:tab w:val="num" w:pos="2880"/>
        </w:tabs>
        <w:ind w:left="2880" w:hanging="360"/>
      </w:pPr>
    </w:lvl>
    <w:lvl w:ilvl="4" w:tplc="86B0A3A8" w:tentative="1">
      <w:start w:val="1"/>
      <w:numFmt w:val="decimal"/>
      <w:lvlText w:val="%5."/>
      <w:lvlJc w:val="left"/>
      <w:pPr>
        <w:tabs>
          <w:tab w:val="num" w:pos="3600"/>
        </w:tabs>
        <w:ind w:left="3600" w:hanging="360"/>
      </w:pPr>
    </w:lvl>
    <w:lvl w:ilvl="5" w:tplc="D222E6CE" w:tentative="1">
      <w:start w:val="1"/>
      <w:numFmt w:val="decimal"/>
      <w:lvlText w:val="%6."/>
      <w:lvlJc w:val="left"/>
      <w:pPr>
        <w:tabs>
          <w:tab w:val="num" w:pos="4320"/>
        </w:tabs>
        <w:ind w:left="4320" w:hanging="360"/>
      </w:pPr>
    </w:lvl>
    <w:lvl w:ilvl="6" w:tplc="FC5E48F2" w:tentative="1">
      <w:start w:val="1"/>
      <w:numFmt w:val="decimal"/>
      <w:lvlText w:val="%7."/>
      <w:lvlJc w:val="left"/>
      <w:pPr>
        <w:tabs>
          <w:tab w:val="num" w:pos="5040"/>
        </w:tabs>
        <w:ind w:left="5040" w:hanging="360"/>
      </w:pPr>
    </w:lvl>
    <w:lvl w:ilvl="7" w:tplc="D0C6EB24" w:tentative="1">
      <w:start w:val="1"/>
      <w:numFmt w:val="decimal"/>
      <w:lvlText w:val="%8."/>
      <w:lvlJc w:val="left"/>
      <w:pPr>
        <w:tabs>
          <w:tab w:val="num" w:pos="5760"/>
        </w:tabs>
        <w:ind w:left="5760" w:hanging="360"/>
      </w:pPr>
    </w:lvl>
    <w:lvl w:ilvl="8" w:tplc="84C2756C" w:tentative="1">
      <w:start w:val="1"/>
      <w:numFmt w:val="decimal"/>
      <w:lvlText w:val="%9."/>
      <w:lvlJc w:val="left"/>
      <w:pPr>
        <w:tabs>
          <w:tab w:val="num" w:pos="6480"/>
        </w:tabs>
        <w:ind w:left="6480" w:hanging="360"/>
      </w:pPr>
    </w:lvl>
  </w:abstractNum>
  <w:num w:numId="1" w16cid:durableId="918556884">
    <w:abstractNumId w:val="3"/>
  </w:num>
  <w:num w:numId="2" w16cid:durableId="2031952694">
    <w:abstractNumId w:val="2"/>
  </w:num>
  <w:num w:numId="3" w16cid:durableId="672419343">
    <w:abstractNumId w:val="5"/>
  </w:num>
  <w:num w:numId="4" w16cid:durableId="1867399449">
    <w:abstractNumId w:val="0"/>
  </w:num>
  <w:num w:numId="5" w16cid:durableId="1351056954">
    <w:abstractNumId w:val="1"/>
  </w:num>
  <w:num w:numId="6" w16cid:durableId="634602183">
    <w:abstractNumId w:val="4"/>
  </w:num>
  <w:num w:numId="7" w16cid:durableId="550459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269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0691946">
    <w:abstractNumId w:val="3"/>
  </w:num>
  <w:num w:numId="10" w16cid:durableId="1573346659">
    <w:abstractNumId w:val="3"/>
  </w:num>
  <w:num w:numId="11" w16cid:durableId="885407162">
    <w:abstractNumId w:val="3"/>
  </w:num>
  <w:num w:numId="12" w16cid:durableId="345717545">
    <w:abstractNumId w:val="3"/>
  </w:num>
  <w:num w:numId="13" w16cid:durableId="873352322">
    <w:abstractNumId w:val="3"/>
  </w:num>
  <w:num w:numId="14" w16cid:durableId="1277635591">
    <w:abstractNumId w:val="3"/>
  </w:num>
  <w:num w:numId="15" w16cid:durableId="705328511">
    <w:abstractNumId w:val="3"/>
  </w:num>
  <w:num w:numId="16" w16cid:durableId="120273594">
    <w:abstractNumId w:val="3"/>
  </w:num>
  <w:num w:numId="17" w16cid:durableId="235020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61AE"/>
    <w:rsid w:val="00000102"/>
    <w:rsid w:val="00000CD4"/>
    <w:rsid w:val="00000CD7"/>
    <w:rsid w:val="0000168A"/>
    <w:rsid w:val="000024BD"/>
    <w:rsid w:val="0000290A"/>
    <w:rsid w:val="00002AE7"/>
    <w:rsid w:val="000032F7"/>
    <w:rsid w:val="00003410"/>
    <w:rsid w:val="00003F81"/>
    <w:rsid w:val="000043C6"/>
    <w:rsid w:val="000047E0"/>
    <w:rsid w:val="00004A4F"/>
    <w:rsid w:val="000050A5"/>
    <w:rsid w:val="000059E7"/>
    <w:rsid w:val="00006074"/>
    <w:rsid w:val="00006435"/>
    <w:rsid w:val="000064DF"/>
    <w:rsid w:val="00007271"/>
    <w:rsid w:val="00007681"/>
    <w:rsid w:val="00010283"/>
    <w:rsid w:val="00010754"/>
    <w:rsid w:val="00010895"/>
    <w:rsid w:val="00011241"/>
    <w:rsid w:val="00011438"/>
    <w:rsid w:val="0001187F"/>
    <w:rsid w:val="0001199D"/>
    <w:rsid w:val="00011B5C"/>
    <w:rsid w:val="00011E5B"/>
    <w:rsid w:val="000120C4"/>
    <w:rsid w:val="00012B44"/>
    <w:rsid w:val="00012D90"/>
    <w:rsid w:val="000130FF"/>
    <w:rsid w:val="0001367E"/>
    <w:rsid w:val="00013E29"/>
    <w:rsid w:val="00014883"/>
    <w:rsid w:val="00014D1C"/>
    <w:rsid w:val="00016090"/>
    <w:rsid w:val="000161F2"/>
    <w:rsid w:val="000163CB"/>
    <w:rsid w:val="00016A09"/>
    <w:rsid w:val="000176B2"/>
    <w:rsid w:val="0002041D"/>
    <w:rsid w:val="00020C6C"/>
    <w:rsid w:val="00021551"/>
    <w:rsid w:val="00021FE5"/>
    <w:rsid w:val="00022DBF"/>
    <w:rsid w:val="00022E9B"/>
    <w:rsid w:val="0002326F"/>
    <w:rsid w:val="000246B8"/>
    <w:rsid w:val="000246EB"/>
    <w:rsid w:val="000251CF"/>
    <w:rsid w:val="000257E7"/>
    <w:rsid w:val="000260D9"/>
    <w:rsid w:val="00026D31"/>
    <w:rsid w:val="00026E32"/>
    <w:rsid w:val="000276AB"/>
    <w:rsid w:val="0003078C"/>
    <w:rsid w:val="00030BAC"/>
    <w:rsid w:val="00031002"/>
    <w:rsid w:val="000310A5"/>
    <w:rsid w:val="00031251"/>
    <w:rsid w:val="000313DA"/>
    <w:rsid w:val="000314C0"/>
    <w:rsid w:val="00031E11"/>
    <w:rsid w:val="00031F09"/>
    <w:rsid w:val="00033FDA"/>
    <w:rsid w:val="00034343"/>
    <w:rsid w:val="00034971"/>
    <w:rsid w:val="0003501C"/>
    <w:rsid w:val="00035A48"/>
    <w:rsid w:val="000361F3"/>
    <w:rsid w:val="000365B8"/>
    <w:rsid w:val="000366F5"/>
    <w:rsid w:val="0003709E"/>
    <w:rsid w:val="000401A8"/>
    <w:rsid w:val="00040B49"/>
    <w:rsid w:val="00041787"/>
    <w:rsid w:val="00041BD7"/>
    <w:rsid w:val="00042A19"/>
    <w:rsid w:val="00042B07"/>
    <w:rsid w:val="00043188"/>
    <w:rsid w:val="00043B86"/>
    <w:rsid w:val="0004419B"/>
    <w:rsid w:val="00044716"/>
    <w:rsid w:val="00044E17"/>
    <w:rsid w:val="00045384"/>
    <w:rsid w:val="00045670"/>
    <w:rsid w:val="000465F9"/>
    <w:rsid w:val="00046C1B"/>
    <w:rsid w:val="0004752D"/>
    <w:rsid w:val="00050B3D"/>
    <w:rsid w:val="0005201E"/>
    <w:rsid w:val="000532D5"/>
    <w:rsid w:val="0005330E"/>
    <w:rsid w:val="00053BB1"/>
    <w:rsid w:val="00054376"/>
    <w:rsid w:val="00054519"/>
    <w:rsid w:val="00054666"/>
    <w:rsid w:val="00054748"/>
    <w:rsid w:val="00055529"/>
    <w:rsid w:val="00056107"/>
    <w:rsid w:val="000561F3"/>
    <w:rsid w:val="00057792"/>
    <w:rsid w:val="000578C2"/>
    <w:rsid w:val="00057962"/>
    <w:rsid w:val="00057B98"/>
    <w:rsid w:val="00057F32"/>
    <w:rsid w:val="000602E3"/>
    <w:rsid w:val="00060DBD"/>
    <w:rsid w:val="00061205"/>
    <w:rsid w:val="000613F2"/>
    <w:rsid w:val="000620B9"/>
    <w:rsid w:val="000639F4"/>
    <w:rsid w:val="00063CCE"/>
    <w:rsid w:val="000643B3"/>
    <w:rsid w:val="00066478"/>
    <w:rsid w:val="000667BC"/>
    <w:rsid w:val="00066B5D"/>
    <w:rsid w:val="000670A4"/>
    <w:rsid w:val="00067346"/>
    <w:rsid w:val="00067888"/>
    <w:rsid w:val="00067EBD"/>
    <w:rsid w:val="000704B9"/>
    <w:rsid w:val="00070971"/>
    <w:rsid w:val="0007097A"/>
    <w:rsid w:val="000723DE"/>
    <w:rsid w:val="000724D9"/>
    <w:rsid w:val="00072A27"/>
    <w:rsid w:val="00072CE5"/>
    <w:rsid w:val="00072D15"/>
    <w:rsid w:val="000738A2"/>
    <w:rsid w:val="00073BFC"/>
    <w:rsid w:val="000756B9"/>
    <w:rsid w:val="000758A8"/>
    <w:rsid w:val="000766A1"/>
    <w:rsid w:val="000767BC"/>
    <w:rsid w:val="00077329"/>
    <w:rsid w:val="00077C18"/>
    <w:rsid w:val="00080DCB"/>
    <w:rsid w:val="00080F2A"/>
    <w:rsid w:val="0008130E"/>
    <w:rsid w:val="00081812"/>
    <w:rsid w:val="00083591"/>
    <w:rsid w:val="00083889"/>
    <w:rsid w:val="00083B2F"/>
    <w:rsid w:val="00084653"/>
    <w:rsid w:val="000852AF"/>
    <w:rsid w:val="00085ADD"/>
    <w:rsid w:val="00085E8B"/>
    <w:rsid w:val="000866EE"/>
    <w:rsid w:val="00086AB2"/>
    <w:rsid w:val="00086B5B"/>
    <w:rsid w:val="0008754F"/>
    <w:rsid w:val="00087897"/>
    <w:rsid w:val="0009159B"/>
    <w:rsid w:val="00091D19"/>
    <w:rsid w:val="0009213F"/>
    <w:rsid w:val="00093289"/>
    <w:rsid w:val="00093568"/>
    <w:rsid w:val="00093CAB"/>
    <w:rsid w:val="00094417"/>
    <w:rsid w:val="00094A89"/>
    <w:rsid w:val="00094B67"/>
    <w:rsid w:val="00094B79"/>
    <w:rsid w:val="00094B7A"/>
    <w:rsid w:val="00095271"/>
    <w:rsid w:val="00095DB5"/>
    <w:rsid w:val="0009611A"/>
    <w:rsid w:val="00097924"/>
    <w:rsid w:val="000A0024"/>
    <w:rsid w:val="000A0071"/>
    <w:rsid w:val="000A0401"/>
    <w:rsid w:val="000A0422"/>
    <w:rsid w:val="000A1211"/>
    <w:rsid w:val="000A15DC"/>
    <w:rsid w:val="000A22A1"/>
    <w:rsid w:val="000A2964"/>
    <w:rsid w:val="000A2A5D"/>
    <w:rsid w:val="000A3029"/>
    <w:rsid w:val="000A471D"/>
    <w:rsid w:val="000A53DE"/>
    <w:rsid w:val="000A5606"/>
    <w:rsid w:val="000A5E80"/>
    <w:rsid w:val="000A697D"/>
    <w:rsid w:val="000A6E25"/>
    <w:rsid w:val="000B13AF"/>
    <w:rsid w:val="000B16B1"/>
    <w:rsid w:val="000B1D22"/>
    <w:rsid w:val="000B1E41"/>
    <w:rsid w:val="000B2034"/>
    <w:rsid w:val="000B2172"/>
    <w:rsid w:val="000B21FA"/>
    <w:rsid w:val="000B23D3"/>
    <w:rsid w:val="000B27E5"/>
    <w:rsid w:val="000B2A0B"/>
    <w:rsid w:val="000B2D64"/>
    <w:rsid w:val="000B33C8"/>
    <w:rsid w:val="000B3508"/>
    <w:rsid w:val="000B37CE"/>
    <w:rsid w:val="000B39B9"/>
    <w:rsid w:val="000B3B62"/>
    <w:rsid w:val="000B3D7F"/>
    <w:rsid w:val="000B47C4"/>
    <w:rsid w:val="000B4C14"/>
    <w:rsid w:val="000B4C72"/>
    <w:rsid w:val="000B4CC8"/>
    <w:rsid w:val="000B5450"/>
    <w:rsid w:val="000B5538"/>
    <w:rsid w:val="000B6170"/>
    <w:rsid w:val="000B7494"/>
    <w:rsid w:val="000B7EC1"/>
    <w:rsid w:val="000C06DF"/>
    <w:rsid w:val="000C071F"/>
    <w:rsid w:val="000C152C"/>
    <w:rsid w:val="000C1C3E"/>
    <w:rsid w:val="000C2188"/>
    <w:rsid w:val="000C24D1"/>
    <w:rsid w:val="000C2868"/>
    <w:rsid w:val="000C2DCB"/>
    <w:rsid w:val="000C3243"/>
    <w:rsid w:val="000C343A"/>
    <w:rsid w:val="000C347C"/>
    <w:rsid w:val="000C4B11"/>
    <w:rsid w:val="000C52CB"/>
    <w:rsid w:val="000C5610"/>
    <w:rsid w:val="000C5770"/>
    <w:rsid w:val="000C627D"/>
    <w:rsid w:val="000C63A8"/>
    <w:rsid w:val="000C73EC"/>
    <w:rsid w:val="000C7558"/>
    <w:rsid w:val="000C7B0F"/>
    <w:rsid w:val="000D03D7"/>
    <w:rsid w:val="000D0D8E"/>
    <w:rsid w:val="000D18C0"/>
    <w:rsid w:val="000D2614"/>
    <w:rsid w:val="000D2885"/>
    <w:rsid w:val="000D2FBA"/>
    <w:rsid w:val="000D2FC0"/>
    <w:rsid w:val="000D3281"/>
    <w:rsid w:val="000D456A"/>
    <w:rsid w:val="000D4C00"/>
    <w:rsid w:val="000D5B81"/>
    <w:rsid w:val="000D5D3D"/>
    <w:rsid w:val="000D60F7"/>
    <w:rsid w:val="000D6521"/>
    <w:rsid w:val="000D6534"/>
    <w:rsid w:val="000D6833"/>
    <w:rsid w:val="000D6F45"/>
    <w:rsid w:val="000D75C4"/>
    <w:rsid w:val="000D7BC3"/>
    <w:rsid w:val="000E1110"/>
    <w:rsid w:val="000E1786"/>
    <w:rsid w:val="000E1A05"/>
    <w:rsid w:val="000E1F83"/>
    <w:rsid w:val="000E2023"/>
    <w:rsid w:val="000E2311"/>
    <w:rsid w:val="000E2628"/>
    <w:rsid w:val="000E35E2"/>
    <w:rsid w:val="000E4338"/>
    <w:rsid w:val="000E5B2E"/>
    <w:rsid w:val="000E5B6E"/>
    <w:rsid w:val="000E5F51"/>
    <w:rsid w:val="000E6D46"/>
    <w:rsid w:val="000E7137"/>
    <w:rsid w:val="000E72B4"/>
    <w:rsid w:val="000E752D"/>
    <w:rsid w:val="000F0FC7"/>
    <w:rsid w:val="000F1C35"/>
    <w:rsid w:val="000F2B91"/>
    <w:rsid w:val="000F2E25"/>
    <w:rsid w:val="000F38B6"/>
    <w:rsid w:val="000F3CF6"/>
    <w:rsid w:val="000F3D1D"/>
    <w:rsid w:val="000F42AC"/>
    <w:rsid w:val="000F4D6B"/>
    <w:rsid w:val="000F59A7"/>
    <w:rsid w:val="000F5D48"/>
    <w:rsid w:val="000F685D"/>
    <w:rsid w:val="000F72EC"/>
    <w:rsid w:val="000F7455"/>
    <w:rsid w:val="0010131B"/>
    <w:rsid w:val="00102C21"/>
    <w:rsid w:val="00104B67"/>
    <w:rsid w:val="00104E88"/>
    <w:rsid w:val="001050BA"/>
    <w:rsid w:val="00105107"/>
    <w:rsid w:val="00105357"/>
    <w:rsid w:val="00105685"/>
    <w:rsid w:val="0010644E"/>
    <w:rsid w:val="0010703A"/>
    <w:rsid w:val="0010729C"/>
    <w:rsid w:val="00107AB2"/>
    <w:rsid w:val="00110555"/>
    <w:rsid w:val="00110D2F"/>
    <w:rsid w:val="001114AE"/>
    <w:rsid w:val="00112336"/>
    <w:rsid w:val="00112905"/>
    <w:rsid w:val="00112E7D"/>
    <w:rsid w:val="00113085"/>
    <w:rsid w:val="00113359"/>
    <w:rsid w:val="0011374A"/>
    <w:rsid w:val="001139D1"/>
    <w:rsid w:val="0011471E"/>
    <w:rsid w:val="00114CB7"/>
    <w:rsid w:val="00114ED7"/>
    <w:rsid w:val="00114F4A"/>
    <w:rsid w:val="00115938"/>
    <w:rsid w:val="00115A0B"/>
    <w:rsid w:val="00116A87"/>
    <w:rsid w:val="00116DEA"/>
    <w:rsid w:val="00116E61"/>
    <w:rsid w:val="0011701E"/>
    <w:rsid w:val="00117837"/>
    <w:rsid w:val="001200B0"/>
    <w:rsid w:val="00120117"/>
    <w:rsid w:val="001202F0"/>
    <w:rsid w:val="00120ABF"/>
    <w:rsid w:val="00121257"/>
    <w:rsid w:val="00122060"/>
    <w:rsid w:val="001220E3"/>
    <w:rsid w:val="001222E6"/>
    <w:rsid w:val="00122D2A"/>
    <w:rsid w:val="00122F31"/>
    <w:rsid w:val="0012336F"/>
    <w:rsid w:val="00123972"/>
    <w:rsid w:val="00124556"/>
    <w:rsid w:val="001246D2"/>
    <w:rsid w:val="00124AC9"/>
    <w:rsid w:val="00124E4D"/>
    <w:rsid w:val="001252AC"/>
    <w:rsid w:val="00126017"/>
    <w:rsid w:val="001268BA"/>
    <w:rsid w:val="00126C1A"/>
    <w:rsid w:val="001270EF"/>
    <w:rsid w:val="00127DA3"/>
    <w:rsid w:val="0013045B"/>
    <w:rsid w:val="00131FAE"/>
    <w:rsid w:val="00132189"/>
    <w:rsid w:val="001322B1"/>
    <w:rsid w:val="00133661"/>
    <w:rsid w:val="00133DDD"/>
    <w:rsid w:val="001344CD"/>
    <w:rsid w:val="00134F55"/>
    <w:rsid w:val="001357D6"/>
    <w:rsid w:val="00135B7D"/>
    <w:rsid w:val="00136225"/>
    <w:rsid w:val="00136795"/>
    <w:rsid w:val="0013693F"/>
    <w:rsid w:val="001369D8"/>
    <w:rsid w:val="00136A28"/>
    <w:rsid w:val="00136C0F"/>
    <w:rsid w:val="00136C7F"/>
    <w:rsid w:val="00136ECA"/>
    <w:rsid w:val="00137550"/>
    <w:rsid w:val="00137747"/>
    <w:rsid w:val="001379ED"/>
    <w:rsid w:val="00137C52"/>
    <w:rsid w:val="00137CC2"/>
    <w:rsid w:val="0014015A"/>
    <w:rsid w:val="00140328"/>
    <w:rsid w:val="001403D0"/>
    <w:rsid w:val="00140B15"/>
    <w:rsid w:val="00141879"/>
    <w:rsid w:val="00142B67"/>
    <w:rsid w:val="001430AB"/>
    <w:rsid w:val="001433AD"/>
    <w:rsid w:val="001437E4"/>
    <w:rsid w:val="00143C83"/>
    <w:rsid w:val="001443B1"/>
    <w:rsid w:val="001448B2"/>
    <w:rsid w:val="001456DD"/>
    <w:rsid w:val="00145ADC"/>
    <w:rsid w:val="00145CBC"/>
    <w:rsid w:val="00145EAD"/>
    <w:rsid w:val="001472CC"/>
    <w:rsid w:val="00147D8C"/>
    <w:rsid w:val="0015013F"/>
    <w:rsid w:val="00150280"/>
    <w:rsid w:val="001502D7"/>
    <w:rsid w:val="00150370"/>
    <w:rsid w:val="00151271"/>
    <w:rsid w:val="001512DA"/>
    <w:rsid w:val="00151AAF"/>
    <w:rsid w:val="00151D52"/>
    <w:rsid w:val="00154723"/>
    <w:rsid w:val="00154922"/>
    <w:rsid w:val="00154EA7"/>
    <w:rsid w:val="00155221"/>
    <w:rsid w:val="001556F7"/>
    <w:rsid w:val="00155B83"/>
    <w:rsid w:val="00156707"/>
    <w:rsid w:val="00157B57"/>
    <w:rsid w:val="00157CB2"/>
    <w:rsid w:val="00157DAC"/>
    <w:rsid w:val="00160BF5"/>
    <w:rsid w:val="00161437"/>
    <w:rsid w:val="00161893"/>
    <w:rsid w:val="00161A6C"/>
    <w:rsid w:val="00161CF0"/>
    <w:rsid w:val="00163145"/>
    <w:rsid w:val="00163F58"/>
    <w:rsid w:val="001645CE"/>
    <w:rsid w:val="00164E39"/>
    <w:rsid w:val="00164F50"/>
    <w:rsid w:val="00165CB1"/>
    <w:rsid w:val="00166A69"/>
    <w:rsid w:val="00167305"/>
    <w:rsid w:val="00170BE2"/>
    <w:rsid w:val="001717BC"/>
    <w:rsid w:val="001717D0"/>
    <w:rsid w:val="0017186F"/>
    <w:rsid w:val="001720F2"/>
    <w:rsid w:val="00172323"/>
    <w:rsid w:val="001725EA"/>
    <w:rsid w:val="00172A40"/>
    <w:rsid w:val="00172CA1"/>
    <w:rsid w:val="00173E2D"/>
    <w:rsid w:val="00174131"/>
    <w:rsid w:val="001741C1"/>
    <w:rsid w:val="001741CF"/>
    <w:rsid w:val="001746CB"/>
    <w:rsid w:val="0017498A"/>
    <w:rsid w:val="0017523F"/>
    <w:rsid w:val="00175B6B"/>
    <w:rsid w:val="00176DCB"/>
    <w:rsid w:val="00176F02"/>
    <w:rsid w:val="00177070"/>
    <w:rsid w:val="001779C4"/>
    <w:rsid w:val="001804B8"/>
    <w:rsid w:val="00180BB8"/>
    <w:rsid w:val="00180D0D"/>
    <w:rsid w:val="00180E70"/>
    <w:rsid w:val="00181607"/>
    <w:rsid w:val="00181A50"/>
    <w:rsid w:val="00181CBA"/>
    <w:rsid w:val="00181E5F"/>
    <w:rsid w:val="00182605"/>
    <w:rsid w:val="001826C2"/>
    <w:rsid w:val="00182896"/>
    <w:rsid w:val="00182B9C"/>
    <w:rsid w:val="00182DA0"/>
    <w:rsid w:val="0018310F"/>
    <w:rsid w:val="00184AC6"/>
    <w:rsid w:val="001859EE"/>
    <w:rsid w:val="00186770"/>
    <w:rsid w:val="00187181"/>
    <w:rsid w:val="001874E1"/>
    <w:rsid w:val="00187FDD"/>
    <w:rsid w:val="00190216"/>
    <w:rsid w:val="00190892"/>
    <w:rsid w:val="00191489"/>
    <w:rsid w:val="001918C2"/>
    <w:rsid w:val="0019268D"/>
    <w:rsid w:val="00192A84"/>
    <w:rsid w:val="00193767"/>
    <w:rsid w:val="00194427"/>
    <w:rsid w:val="00194672"/>
    <w:rsid w:val="00194BB7"/>
    <w:rsid w:val="00194DCC"/>
    <w:rsid w:val="00195917"/>
    <w:rsid w:val="0019653F"/>
    <w:rsid w:val="00196C39"/>
    <w:rsid w:val="00197071"/>
    <w:rsid w:val="00197326"/>
    <w:rsid w:val="0019773E"/>
    <w:rsid w:val="00197C1D"/>
    <w:rsid w:val="001A0806"/>
    <w:rsid w:val="001A09C1"/>
    <w:rsid w:val="001A0EA7"/>
    <w:rsid w:val="001A1045"/>
    <w:rsid w:val="001A1290"/>
    <w:rsid w:val="001A13EC"/>
    <w:rsid w:val="001A14CE"/>
    <w:rsid w:val="001A1D8A"/>
    <w:rsid w:val="001A24E5"/>
    <w:rsid w:val="001A2769"/>
    <w:rsid w:val="001A283D"/>
    <w:rsid w:val="001A33D0"/>
    <w:rsid w:val="001A36C6"/>
    <w:rsid w:val="001A37CD"/>
    <w:rsid w:val="001A3884"/>
    <w:rsid w:val="001A3D66"/>
    <w:rsid w:val="001A493C"/>
    <w:rsid w:val="001A6026"/>
    <w:rsid w:val="001A652F"/>
    <w:rsid w:val="001A69F4"/>
    <w:rsid w:val="001A6BB0"/>
    <w:rsid w:val="001A7087"/>
    <w:rsid w:val="001A791B"/>
    <w:rsid w:val="001B1568"/>
    <w:rsid w:val="001B1674"/>
    <w:rsid w:val="001B188D"/>
    <w:rsid w:val="001B2155"/>
    <w:rsid w:val="001B2B05"/>
    <w:rsid w:val="001B3040"/>
    <w:rsid w:val="001B35F5"/>
    <w:rsid w:val="001B3E01"/>
    <w:rsid w:val="001B3FB4"/>
    <w:rsid w:val="001B406F"/>
    <w:rsid w:val="001B43B8"/>
    <w:rsid w:val="001B4A15"/>
    <w:rsid w:val="001B4E10"/>
    <w:rsid w:val="001B5277"/>
    <w:rsid w:val="001B6E5D"/>
    <w:rsid w:val="001B75F0"/>
    <w:rsid w:val="001B7CEF"/>
    <w:rsid w:val="001B7F7B"/>
    <w:rsid w:val="001C0AFB"/>
    <w:rsid w:val="001C13BF"/>
    <w:rsid w:val="001C1F14"/>
    <w:rsid w:val="001C2462"/>
    <w:rsid w:val="001C268B"/>
    <w:rsid w:val="001C3EA7"/>
    <w:rsid w:val="001C40A5"/>
    <w:rsid w:val="001C48EF"/>
    <w:rsid w:val="001C4E57"/>
    <w:rsid w:val="001C50B9"/>
    <w:rsid w:val="001C5BBB"/>
    <w:rsid w:val="001C65B8"/>
    <w:rsid w:val="001C6850"/>
    <w:rsid w:val="001C6E3B"/>
    <w:rsid w:val="001C7157"/>
    <w:rsid w:val="001C77D4"/>
    <w:rsid w:val="001D047F"/>
    <w:rsid w:val="001D04A7"/>
    <w:rsid w:val="001D08FA"/>
    <w:rsid w:val="001D0B55"/>
    <w:rsid w:val="001D1818"/>
    <w:rsid w:val="001D193D"/>
    <w:rsid w:val="001D1EC3"/>
    <w:rsid w:val="001D2FD4"/>
    <w:rsid w:val="001D3080"/>
    <w:rsid w:val="001D327E"/>
    <w:rsid w:val="001D34D8"/>
    <w:rsid w:val="001D34E2"/>
    <w:rsid w:val="001D3739"/>
    <w:rsid w:val="001D40CF"/>
    <w:rsid w:val="001D4148"/>
    <w:rsid w:val="001D46C9"/>
    <w:rsid w:val="001D49B2"/>
    <w:rsid w:val="001D512B"/>
    <w:rsid w:val="001D53B3"/>
    <w:rsid w:val="001D58FE"/>
    <w:rsid w:val="001D5C56"/>
    <w:rsid w:val="001D7BCD"/>
    <w:rsid w:val="001E168B"/>
    <w:rsid w:val="001E1CFB"/>
    <w:rsid w:val="001E2321"/>
    <w:rsid w:val="001E2C7E"/>
    <w:rsid w:val="001E3DD1"/>
    <w:rsid w:val="001E4D8E"/>
    <w:rsid w:val="001E4F80"/>
    <w:rsid w:val="001E509E"/>
    <w:rsid w:val="001E56FF"/>
    <w:rsid w:val="001E5D5C"/>
    <w:rsid w:val="001E6255"/>
    <w:rsid w:val="001E6444"/>
    <w:rsid w:val="001E69E8"/>
    <w:rsid w:val="001E7A1C"/>
    <w:rsid w:val="001E7C43"/>
    <w:rsid w:val="001E7D36"/>
    <w:rsid w:val="001E7E0C"/>
    <w:rsid w:val="001F0085"/>
    <w:rsid w:val="001F0553"/>
    <w:rsid w:val="001F1C57"/>
    <w:rsid w:val="001F2A8F"/>
    <w:rsid w:val="001F2F75"/>
    <w:rsid w:val="001F535E"/>
    <w:rsid w:val="001F5800"/>
    <w:rsid w:val="001F6388"/>
    <w:rsid w:val="001F665A"/>
    <w:rsid w:val="001F72C5"/>
    <w:rsid w:val="002008A0"/>
    <w:rsid w:val="002009EC"/>
    <w:rsid w:val="00200BD6"/>
    <w:rsid w:val="00200C6A"/>
    <w:rsid w:val="002017F6"/>
    <w:rsid w:val="002034F8"/>
    <w:rsid w:val="00203D61"/>
    <w:rsid w:val="00204819"/>
    <w:rsid w:val="00204955"/>
    <w:rsid w:val="00205B76"/>
    <w:rsid w:val="002065D2"/>
    <w:rsid w:val="00207981"/>
    <w:rsid w:val="00207EE0"/>
    <w:rsid w:val="00210579"/>
    <w:rsid w:val="002105C2"/>
    <w:rsid w:val="00211C5C"/>
    <w:rsid w:val="00212182"/>
    <w:rsid w:val="00212890"/>
    <w:rsid w:val="00212A89"/>
    <w:rsid w:val="00212B48"/>
    <w:rsid w:val="00212E2E"/>
    <w:rsid w:val="00212F43"/>
    <w:rsid w:val="00213530"/>
    <w:rsid w:val="0021365B"/>
    <w:rsid w:val="002141FC"/>
    <w:rsid w:val="00214F5E"/>
    <w:rsid w:val="0021582E"/>
    <w:rsid w:val="00216E0C"/>
    <w:rsid w:val="00217031"/>
    <w:rsid w:val="002208D9"/>
    <w:rsid w:val="00220AB3"/>
    <w:rsid w:val="00221E5D"/>
    <w:rsid w:val="00222125"/>
    <w:rsid w:val="00223B8A"/>
    <w:rsid w:val="00224412"/>
    <w:rsid w:val="002244FB"/>
    <w:rsid w:val="00224913"/>
    <w:rsid w:val="00224ACE"/>
    <w:rsid w:val="00224B15"/>
    <w:rsid w:val="00224C17"/>
    <w:rsid w:val="00224E9C"/>
    <w:rsid w:val="00225425"/>
    <w:rsid w:val="00225582"/>
    <w:rsid w:val="0022564A"/>
    <w:rsid w:val="00225922"/>
    <w:rsid w:val="00230463"/>
    <w:rsid w:val="00230748"/>
    <w:rsid w:val="002312A7"/>
    <w:rsid w:val="00231412"/>
    <w:rsid w:val="002318E8"/>
    <w:rsid w:val="00231976"/>
    <w:rsid w:val="0023255C"/>
    <w:rsid w:val="002328CC"/>
    <w:rsid w:val="00232DB8"/>
    <w:rsid w:val="00232F75"/>
    <w:rsid w:val="00232FD5"/>
    <w:rsid w:val="00233196"/>
    <w:rsid w:val="00233790"/>
    <w:rsid w:val="00233AAA"/>
    <w:rsid w:val="00233B50"/>
    <w:rsid w:val="00233EAC"/>
    <w:rsid w:val="00233FE7"/>
    <w:rsid w:val="002350AE"/>
    <w:rsid w:val="00235117"/>
    <w:rsid w:val="00235897"/>
    <w:rsid w:val="00235D7D"/>
    <w:rsid w:val="0023651D"/>
    <w:rsid w:val="0023778D"/>
    <w:rsid w:val="00240182"/>
    <w:rsid w:val="0024022B"/>
    <w:rsid w:val="002404BF"/>
    <w:rsid w:val="002405E4"/>
    <w:rsid w:val="00240A1D"/>
    <w:rsid w:val="0024130A"/>
    <w:rsid w:val="002424B1"/>
    <w:rsid w:val="00242DDB"/>
    <w:rsid w:val="00242E14"/>
    <w:rsid w:val="002437E6"/>
    <w:rsid w:val="00243A8C"/>
    <w:rsid w:val="00243CD7"/>
    <w:rsid w:val="00243D9C"/>
    <w:rsid w:val="002441A6"/>
    <w:rsid w:val="00244225"/>
    <w:rsid w:val="0024465E"/>
    <w:rsid w:val="0024487A"/>
    <w:rsid w:val="00244C5B"/>
    <w:rsid w:val="00244DA4"/>
    <w:rsid w:val="00245139"/>
    <w:rsid w:val="002451D6"/>
    <w:rsid w:val="00245FBD"/>
    <w:rsid w:val="002463E1"/>
    <w:rsid w:val="00246AF7"/>
    <w:rsid w:val="00246BEA"/>
    <w:rsid w:val="00246D85"/>
    <w:rsid w:val="002473DC"/>
    <w:rsid w:val="0024743B"/>
    <w:rsid w:val="00250408"/>
    <w:rsid w:val="00250BBE"/>
    <w:rsid w:val="00250ED8"/>
    <w:rsid w:val="00250F99"/>
    <w:rsid w:val="00251D13"/>
    <w:rsid w:val="002524EF"/>
    <w:rsid w:val="00252A5D"/>
    <w:rsid w:val="002532F7"/>
    <w:rsid w:val="002537EF"/>
    <w:rsid w:val="00253CE8"/>
    <w:rsid w:val="002552E8"/>
    <w:rsid w:val="002557CC"/>
    <w:rsid w:val="00255B5A"/>
    <w:rsid w:val="00256B08"/>
    <w:rsid w:val="00256E59"/>
    <w:rsid w:val="00257019"/>
    <w:rsid w:val="00257BDD"/>
    <w:rsid w:val="00260336"/>
    <w:rsid w:val="002610B2"/>
    <w:rsid w:val="00261AF6"/>
    <w:rsid w:val="00262388"/>
    <w:rsid w:val="002628BC"/>
    <w:rsid w:val="00262941"/>
    <w:rsid w:val="00262998"/>
    <w:rsid w:val="00263456"/>
    <w:rsid w:val="002637A5"/>
    <w:rsid w:val="00264287"/>
    <w:rsid w:val="00264A6C"/>
    <w:rsid w:val="0026511A"/>
    <w:rsid w:val="0026524E"/>
    <w:rsid w:val="00265609"/>
    <w:rsid w:val="00265805"/>
    <w:rsid w:val="00265890"/>
    <w:rsid w:val="00265DE4"/>
    <w:rsid w:val="002663EA"/>
    <w:rsid w:val="00267789"/>
    <w:rsid w:val="00267D64"/>
    <w:rsid w:val="00267E73"/>
    <w:rsid w:val="0027073F"/>
    <w:rsid w:val="00270F39"/>
    <w:rsid w:val="002712E8"/>
    <w:rsid w:val="002716DF"/>
    <w:rsid w:val="002736AF"/>
    <w:rsid w:val="00273B88"/>
    <w:rsid w:val="0027496F"/>
    <w:rsid w:val="00274A3D"/>
    <w:rsid w:val="00274AAF"/>
    <w:rsid w:val="00274AE5"/>
    <w:rsid w:val="002751ED"/>
    <w:rsid w:val="00275E74"/>
    <w:rsid w:val="0027644F"/>
    <w:rsid w:val="002767C5"/>
    <w:rsid w:val="002767CB"/>
    <w:rsid w:val="00276956"/>
    <w:rsid w:val="00276D35"/>
    <w:rsid w:val="00276D87"/>
    <w:rsid w:val="00276D9A"/>
    <w:rsid w:val="00277782"/>
    <w:rsid w:val="00277C72"/>
    <w:rsid w:val="00277D24"/>
    <w:rsid w:val="00277F22"/>
    <w:rsid w:val="0028057F"/>
    <w:rsid w:val="00280EF6"/>
    <w:rsid w:val="0028127F"/>
    <w:rsid w:val="00281B64"/>
    <w:rsid w:val="00282BC2"/>
    <w:rsid w:val="002830F1"/>
    <w:rsid w:val="00283144"/>
    <w:rsid w:val="00283671"/>
    <w:rsid w:val="00283F4E"/>
    <w:rsid w:val="0028421C"/>
    <w:rsid w:val="00284DA7"/>
    <w:rsid w:val="00285EF7"/>
    <w:rsid w:val="0028638E"/>
    <w:rsid w:val="002867E0"/>
    <w:rsid w:val="002872D7"/>
    <w:rsid w:val="00287D81"/>
    <w:rsid w:val="00290453"/>
    <w:rsid w:val="0029072C"/>
    <w:rsid w:val="0029128E"/>
    <w:rsid w:val="00291374"/>
    <w:rsid w:val="00291BF2"/>
    <w:rsid w:val="00292640"/>
    <w:rsid w:val="002926F0"/>
    <w:rsid w:val="00292BAD"/>
    <w:rsid w:val="0029325D"/>
    <w:rsid w:val="002932DA"/>
    <w:rsid w:val="00293EF8"/>
    <w:rsid w:val="00294144"/>
    <w:rsid w:val="002943A0"/>
    <w:rsid w:val="002948BA"/>
    <w:rsid w:val="00294AF3"/>
    <w:rsid w:val="00294DD6"/>
    <w:rsid w:val="00295D8B"/>
    <w:rsid w:val="00295DAF"/>
    <w:rsid w:val="00296A31"/>
    <w:rsid w:val="002972F7"/>
    <w:rsid w:val="0029799C"/>
    <w:rsid w:val="002979C6"/>
    <w:rsid w:val="002A01E4"/>
    <w:rsid w:val="002A0256"/>
    <w:rsid w:val="002A0F49"/>
    <w:rsid w:val="002A1402"/>
    <w:rsid w:val="002A27B3"/>
    <w:rsid w:val="002A2967"/>
    <w:rsid w:val="002A3356"/>
    <w:rsid w:val="002A3F05"/>
    <w:rsid w:val="002A4B9A"/>
    <w:rsid w:val="002A516C"/>
    <w:rsid w:val="002A5A32"/>
    <w:rsid w:val="002A6058"/>
    <w:rsid w:val="002A64B1"/>
    <w:rsid w:val="002A6707"/>
    <w:rsid w:val="002B0760"/>
    <w:rsid w:val="002B0FDB"/>
    <w:rsid w:val="002B1315"/>
    <w:rsid w:val="002B1709"/>
    <w:rsid w:val="002B1847"/>
    <w:rsid w:val="002B1C60"/>
    <w:rsid w:val="002B1C7F"/>
    <w:rsid w:val="002B1CA2"/>
    <w:rsid w:val="002B1EE6"/>
    <w:rsid w:val="002B206A"/>
    <w:rsid w:val="002B24DC"/>
    <w:rsid w:val="002B25DC"/>
    <w:rsid w:val="002B2C7A"/>
    <w:rsid w:val="002B31B7"/>
    <w:rsid w:val="002B3AB1"/>
    <w:rsid w:val="002B4C39"/>
    <w:rsid w:val="002B505F"/>
    <w:rsid w:val="002B51B0"/>
    <w:rsid w:val="002B5415"/>
    <w:rsid w:val="002B5763"/>
    <w:rsid w:val="002B585E"/>
    <w:rsid w:val="002B58B7"/>
    <w:rsid w:val="002B6179"/>
    <w:rsid w:val="002B6205"/>
    <w:rsid w:val="002B66F4"/>
    <w:rsid w:val="002B6759"/>
    <w:rsid w:val="002B67AA"/>
    <w:rsid w:val="002B6813"/>
    <w:rsid w:val="002B6828"/>
    <w:rsid w:val="002B6B4D"/>
    <w:rsid w:val="002B7400"/>
    <w:rsid w:val="002B7A67"/>
    <w:rsid w:val="002B7F75"/>
    <w:rsid w:val="002C0AEF"/>
    <w:rsid w:val="002C0E8F"/>
    <w:rsid w:val="002C0F10"/>
    <w:rsid w:val="002C172C"/>
    <w:rsid w:val="002C1908"/>
    <w:rsid w:val="002C1A9D"/>
    <w:rsid w:val="002C1FB1"/>
    <w:rsid w:val="002C2B62"/>
    <w:rsid w:val="002C3021"/>
    <w:rsid w:val="002C384F"/>
    <w:rsid w:val="002C3A8D"/>
    <w:rsid w:val="002C43DC"/>
    <w:rsid w:val="002C54CC"/>
    <w:rsid w:val="002C6313"/>
    <w:rsid w:val="002C71A4"/>
    <w:rsid w:val="002D022A"/>
    <w:rsid w:val="002D040A"/>
    <w:rsid w:val="002D04D7"/>
    <w:rsid w:val="002D0C73"/>
    <w:rsid w:val="002D1456"/>
    <w:rsid w:val="002D14BF"/>
    <w:rsid w:val="002D2172"/>
    <w:rsid w:val="002D2995"/>
    <w:rsid w:val="002D35F0"/>
    <w:rsid w:val="002D36DC"/>
    <w:rsid w:val="002D38F7"/>
    <w:rsid w:val="002D3936"/>
    <w:rsid w:val="002D4F63"/>
    <w:rsid w:val="002D5B8B"/>
    <w:rsid w:val="002D5C14"/>
    <w:rsid w:val="002E09EB"/>
    <w:rsid w:val="002E210A"/>
    <w:rsid w:val="002E3171"/>
    <w:rsid w:val="002E3B88"/>
    <w:rsid w:val="002E3EBA"/>
    <w:rsid w:val="002E6478"/>
    <w:rsid w:val="002E7121"/>
    <w:rsid w:val="002E772B"/>
    <w:rsid w:val="002E7A2C"/>
    <w:rsid w:val="002E7B63"/>
    <w:rsid w:val="002E7BA3"/>
    <w:rsid w:val="002F085F"/>
    <w:rsid w:val="002F0CC8"/>
    <w:rsid w:val="002F0F39"/>
    <w:rsid w:val="002F1769"/>
    <w:rsid w:val="002F1E79"/>
    <w:rsid w:val="002F3251"/>
    <w:rsid w:val="002F36D0"/>
    <w:rsid w:val="002F3923"/>
    <w:rsid w:val="002F3D06"/>
    <w:rsid w:val="002F3E70"/>
    <w:rsid w:val="002F4709"/>
    <w:rsid w:val="002F5AA1"/>
    <w:rsid w:val="002F661E"/>
    <w:rsid w:val="002F7AEE"/>
    <w:rsid w:val="002F7EFB"/>
    <w:rsid w:val="00300566"/>
    <w:rsid w:val="0030156C"/>
    <w:rsid w:val="00301D99"/>
    <w:rsid w:val="00302952"/>
    <w:rsid w:val="003032D9"/>
    <w:rsid w:val="00303827"/>
    <w:rsid w:val="003039A7"/>
    <w:rsid w:val="00303AC1"/>
    <w:rsid w:val="0030427A"/>
    <w:rsid w:val="00304E67"/>
    <w:rsid w:val="003058E7"/>
    <w:rsid w:val="00305C1C"/>
    <w:rsid w:val="00307236"/>
    <w:rsid w:val="003078C1"/>
    <w:rsid w:val="00307A3A"/>
    <w:rsid w:val="00307C86"/>
    <w:rsid w:val="00307F47"/>
    <w:rsid w:val="003108B8"/>
    <w:rsid w:val="00310916"/>
    <w:rsid w:val="00310C54"/>
    <w:rsid w:val="00310F2C"/>
    <w:rsid w:val="00310FB7"/>
    <w:rsid w:val="00311197"/>
    <w:rsid w:val="0031144D"/>
    <w:rsid w:val="00311D20"/>
    <w:rsid w:val="0031270F"/>
    <w:rsid w:val="003136BA"/>
    <w:rsid w:val="00314783"/>
    <w:rsid w:val="00314A62"/>
    <w:rsid w:val="00314E31"/>
    <w:rsid w:val="00316FD4"/>
    <w:rsid w:val="003175B9"/>
    <w:rsid w:val="00317D3B"/>
    <w:rsid w:val="00320432"/>
    <w:rsid w:val="00320A06"/>
    <w:rsid w:val="003227B6"/>
    <w:rsid w:val="00322E0E"/>
    <w:rsid w:val="00323BCA"/>
    <w:rsid w:val="003246EE"/>
    <w:rsid w:val="00324F32"/>
    <w:rsid w:val="003260D3"/>
    <w:rsid w:val="003273DD"/>
    <w:rsid w:val="00327543"/>
    <w:rsid w:val="00327842"/>
    <w:rsid w:val="003278F6"/>
    <w:rsid w:val="0033022D"/>
    <w:rsid w:val="00330BCB"/>
    <w:rsid w:val="00331191"/>
    <w:rsid w:val="00331214"/>
    <w:rsid w:val="003313F5"/>
    <w:rsid w:val="00331AE4"/>
    <w:rsid w:val="00332462"/>
    <w:rsid w:val="00332607"/>
    <w:rsid w:val="00332798"/>
    <w:rsid w:val="00332A34"/>
    <w:rsid w:val="00332CBE"/>
    <w:rsid w:val="00333A9F"/>
    <w:rsid w:val="003343CE"/>
    <w:rsid w:val="00334A8D"/>
    <w:rsid w:val="00335011"/>
    <w:rsid w:val="00335702"/>
    <w:rsid w:val="003357C1"/>
    <w:rsid w:val="00336007"/>
    <w:rsid w:val="003370A8"/>
    <w:rsid w:val="00337DC1"/>
    <w:rsid w:val="00337EE4"/>
    <w:rsid w:val="00337F12"/>
    <w:rsid w:val="003401FE"/>
    <w:rsid w:val="003404F5"/>
    <w:rsid w:val="00340605"/>
    <w:rsid w:val="003407E7"/>
    <w:rsid w:val="003408E3"/>
    <w:rsid w:val="003408FC"/>
    <w:rsid w:val="00340EF2"/>
    <w:rsid w:val="00341852"/>
    <w:rsid w:val="00341BC3"/>
    <w:rsid w:val="003424FF"/>
    <w:rsid w:val="00342EFA"/>
    <w:rsid w:val="0034315F"/>
    <w:rsid w:val="003438E2"/>
    <w:rsid w:val="003438F2"/>
    <w:rsid w:val="00343B2F"/>
    <w:rsid w:val="003445F6"/>
    <w:rsid w:val="00344648"/>
    <w:rsid w:val="003446FB"/>
    <w:rsid w:val="00345878"/>
    <w:rsid w:val="00345F4D"/>
    <w:rsid w:val="00346416"/>
    <w:rsid w:val="003468B9"/>
    <w:rsid w:val="00346BDA"/>
    <w:rsid w:val="00346C93"/>
    <w:rsid w:val="00347590"/>
    <w:rsid w:val="003479B2"/>
    <w:rsid w:val="00347E70"/>
    <w:rsid w:val="003505AE"/>
    <w:rsid w:val="00350AC9"/>
    <w:rsid w:val="00350D6D"/>
    <w:rsid w:val="00350D7E"/>
    <w:rsid w:val="00350DEF"/>
    <w:rsid w:val="00351086"/>
    <w:rsid w:val="0035135A"/>
    <w:rsid w:val="00351CB0"/>
    <w:rsid w:val="0035267E"/>
    <w:rsid w:val="00352BD1"/>
    <w:rsid w:val="00352E19"/>
    <w:rsid w:val="00352F52"/>
    <w:rsid w:val="003532C2"/>
    <w:rsid w:val="00353A5C"/>
    <w:rsid w:val="00353C1F"/>
    <w:rsid w:val="00354911"/>
    <w:rsid w:val="00354FCA"/>
    <w:rsid w:val="003555F5"/>
    <w:rsid w:val="00355846"/>
    <w:rsid w:val="003563D0"/>
    <w:rsid w:val="003565CF"/>
    <w:rsid w:val="00356AD8"/>
    <w:rsid w:val="00357CE7"/>
    <w:rsid w:val="003600C3"/>
    <w:rsid w:val="00360FB3"/>
    <w:rsid w:val="003618DE"/>
    <w:rsid w:val="00361DDA"/>
    <w:rsid w:val="003620D0"/>
    <w:rsid w:val="00363B5C"/>
    <w:rsid w:val="003641C4"/>
    <w:rsid w:val="00364279"/>
    <w:rsid w:val="0036586B"/>
    <w:rsid w:val="00366DC8"/>
    <w:rsid w:val="00366FF7"/>
    <w:rsid w:val="00367B32"/>
    <w:rsid w:val="00367F26"/>
    <w:rsid w:val="003704C4"/>
    <w:rsid w:val="0037062A"/>
    <w:rsid w:val="003714ED"/>
    <w:rsid w:val="00373311"/>
    <w:rsid w:val="00373B32"/>
    <w:rsid w:val="00374245"/>
    <w:rsid w:val="00374899"/>
    <w:rsid w:val="00374A10"/>
    <w:rsid w:val="00374B4F"/>
    <w:rsid w:val="00374C3D"/>
    <w:rsid w:val="003759C0"/>
    <w:rsid w:val="00376309"/>
    <w:rsid w:val="00376F40"/>
    <w:rsid w:val="00377524"/>
    <w:rsid w:val="00377C3A"/>
    <w:rsid w:val="00377D31"/>
    <w:rsid w:val="0038048A"/>
    <w:rsid w:val="003804A5"/>
    <w:rsid w:val="003809C8"/>
    <w:rsid w:val="00381285"/>
    <w:rsid w:val="0038165F"/>
    <w:rsid w:val="00381957"/>
    <w:rsid w:val="00381FB4"/>
    <w:rsid w:val="00382320"/>
    <w:rsid w:val="003824FD"/>
    <w:rsid w:val="00382555"/>
    <w:rsid w:val="003826B8"/>
    <w:rsid w:val="0038386F"/>
    <w:rsid w:val="00384009"/>
    <w:rsid w:val="003843DD"/>
    <w:rsid w:val="0038478F"/>
    <w:rsid w:val="00385168"/>
    <w:rsid w:val="003853AC"/>
    <w:rsid w:val="00385B2A"/>
    <w:rsid w:val="00385C73"/>
    <w:rsid w:val="003863CE"/>
    <w:rsid w:val="00386A03"/>
    <w:rsid w:val="00386D93"/>
    <w:rsid w:val="0038737C"/>
    <w:rsid w:val="00390E2C"/>
    <w:rsid w:val="003914C8"/>
    <w:rsid w:val="00392733"/>
    <w:rsid w:val="003929B6"/>
    <w:rsid w:val="00392AE0"/>
    <w:rsid w:val="00393099"/>
    <w:rsid w:val="003932EB"/>
    <w:rsid w:val="003934DC"/>
    <w:rsid w:val="0039361A"/>
    <w:rsid w:val="003937A5"/>
    <w:rsid w:val="00394724"/>
    <w:rsid w:val="00395224"/>
    <w:rsid w:val="003956D8"/>
    <w:rsid w:val="003965FA"/>
    <w:rsid w:val="0039694C"/>
    <w:rsid w:val="00396D2B"/>
    <w:rsid w:val="00396F70"/>
    <w:rsid w:val="00397907"/>
    <w:rsid w:val="003A07FA"/>
    <w:rsid w:val="003A133C"/>
    <w:rsid w:val="003A16A5"/>
    <w:rsid w:val="003A1D63"/>
    <w:rsid w:val="003A2606"/>
    <w:rsid w:val="003A322F"/>
    <w:rsid w:val="003A3420"/>
    <w:rsid w:val="003A3726"/>
    <w:rsid w:val="003A445E"/>
    <w:rsid w:val="003A47C1"/>
    <w:rsid w:val="003A481C"/>
    <w:rsid w:val="003A4AB6"/>
    <w:rsid w:val="003A56AE"/>
    <w:rsid w:val="003A67AD"/>
    <w:rsid w:val="003A6843"/>
    <w:rsid w:val="003A7252"/>
    <w:rsid w:val="003A78A0"/>
    <w:rsid w:val="003A7CB3"/>
    <w:rsid w:val="003B08C1"/>
    <w:rsid w:val="003B1204"/>
    <w:rsid w:val="003B1433"/>
    <w:rsid w:val="003B1FB9"/>
    <w:rsid w:val="003B2568"/>
    <w:rsid w:val="003B2844"/>
    <w:rsid w:val="003B2E44"/>
    <w:rsid w:val="003B39BA"/>
    <w:rsid w:val="003B3CAA"/>
    <w:rsid w:val="003B42D9"/>
    <w:rsid w:val="003B6C49"/>
    <w:rsid w:val="003B714E"/>
    <w:rsid w:val="003B71B2"/>
    <w:rsid w:val="003B7646"/>
    <w:rsid w:val="003B7854"/>
    <w:rsid w:val="003C291B"/>
    <w:rsid w:val="003C313C"/>
    <w:rsid w:val="003C3AC3"/>
    <w:rsid w:val="003C432D"/>
    <w:rsid w:val="003C4ADA"/>
    <w:rsid w:val="003C4B5B"/>
    <w:rsid w:val="003C5493"/>
    <w:rsid w:val="003C5849"/>
    <w:rsid w:val="003C592E"/>
    <w:rsid w:val="003C632F"/>
    <w:rsid w:val="003C7CD7"/>
    <w:rsid w:val="003C7EDB"/>
    <w:rsid w:val="003D0C99"/>
    <w:rsid w:val="003D0D52"/>
    <w:rsid w:val="003D0DDF"/>
    <w:rsid w:val="003D123C"/>
    <w:rsid w:val="003D162F"/>
    <w:rsid w:val="003D1CA2"/>
    <w:rsid w:val="003D1F6D"/>
    <w:rsid w:val="003D2B0D"/>
    <w:rsid w:val="003D2BA9"/>
    <w:rsid w:val="003D2C65"/>
    <w:rsid w:val="003D3A8F"/>
    <w:rsid w:val="003D422C"/>
    <w:rsid w:val="003D4343"/>
    <w:rsid w:val="003D455B"/>
    <w:rsid w:val="003D487A"/>
    <w:rsid w:val="003D4CD7"/>
    <w:rsid w:val="003D4FF5"/>
    <w:rsid w:val="003D546F"/>
    <w:rsid w:val="003D590D"/>
    <w:rsid w:val="003D601C"/>
    <w:rsid w:val="003D60BA"/>
    <w:rsid w:val="003D61F1"/>
    <w:rsid w:val="003D63AD"/>
    <w:rsid w:val="003D6A77"/>
    <w:rsid w:val="003D6CD0"/>
    <w:rsid w:val="003D7089"/>
    <w:rsid w:val="003E054F"/>
    <w:rsid w:val="003E0CC4"/>
    <w:rsid w:val="003E12A4"/>
    <w:rsid w:val="003E1508"/>
    <w:rsid w:val="003E169D"/>
    <w:rsid w:val="003E1F15"/>
    <w:rsid w:val="003E3564"/>
    <w:rsid w:val="003E3C0F"/>
    <w:rsid w:val="003E45C8"/>
    <w:rsid w:val="003E4B19"/>
    <w:rsid w:val="003E55FB"/>
    <w:rsid w:val="003E5B46"/>
    <w:rsid w:val="003E6138"/>
    <w:rsid w:val="003E6259"/>
    <w:rsid w:val="003E69EC"/>
    <w:rsid w:val="003E73DA"/>
    <w:rsid w:val="003F01A3"/>
    <w:rsid w:val="003F0EC4"/>
    <w:rsid w:val="003F2664"/>
    <w:rsid w:val="003F2A0B"/>
    <w:rsid w:val="003F2A14"/>
    <w:rsid w:val="003F2B72"/>
    <w:rsid w:val="003F2E43"/>
    <w:rsid w:val="003F38C4"/>
    <w:rsid w:val="003F3D8D"/>
    <w:rsid w:val="003F62B6"/>
    <w:rsid w:val="003F65AA"/>
    <w:rsid w:val="003F664F"/>
    <w:rsid w:val="003F68A8"/>
    <w:rsid w:val="003F7013"/>
    <w:rsid w:val="003F7119"/>
    <w:rsid w:val="003F75A6"/>
    <w:rsid w:val="003F767D"/>
    <w:rsid w:val="004004A6"/>
    <w:rsid w:val="004004AC"/>
    <w:rsid w:val="004009C4"/>
    <w:rsid w:val="0040108A"/>
    <w:rsid w:val="004014A9"/>
    <w:rsid w:val="00401805"/>
    <w:rsid w:val="00402180"/>
    <w:rsid w:val="00402CB7"/>
    <w:rsid w:val="00403B1E"/>
    <w:rsid w:val="00403D52"/>
    <w:rsid w:val="00403D82"/>
    <w:rsid w:val="004047EB"/>
    <w:rsid w:val="00404B02"/>
    <w:rsid w:val="00404BA0"/>
    <w:rsid w:val="00404D54"/>
    <w:rsid w:val="004050CE"/>
    <w:rsid w:val="004050D6"/>
    <w:rsid w:val="00405239"/>
    <w:rsid w:val="0040543B"/>
    <w:rsid w:val="00405ACE"/>
    <w:rsid w:val="00405B21"/>
    <w:rsid w:val="00406155"/>
    <w:rsid w:val="004072B5"/>
    <w:rsid w:val="004077F1"/>
    <w:rsid w:val="00410E65"/>
    <w:rsid w:val="004110D7"/>
    <w:rsid w:val="004113AC"/>
    <w:rsid w:val="00411FBB"/>
    <w:rsid w:val="00413005"/>
    <w:rsid w:val="004133A4"/>
    <w:rsid w:val="00413425"/>
    <w:rsid w:val="00413B1E"/>
    <w:rsid w:val="00414347"/>
    <w:rsid w:val="00414CA9"/>
    <w:rsid w:val="00415A58"/>
    <w:rsid w:val="00416256"/>
    <w:rsid w:val="0041695A"/>
    <w:rsid w:val="00417306"/>
    <w:rsid w:val="004179E3"/>
    <w:rsid w:val="00417B51"/>
    <w:rsid w:val="004206A7"/>
    <w:rsid w:val="00420C83"/>
    <w:rsid w:val="00420F07"/>
    <w:rsid w:val="00421988"/>
    <w:rsid w:val="004219F4"/>
    <w:rsid w:val="004219FC"/>
    <w:rsid w:val="00421DCE"/>
    <w:rsid w:val="00422057"/>
    <w:rsid w:val="004223F8"/>
    <w:rsid w:val="00422C7D"/>
    <w:rsid w:val="00422CBB"/>
    <w:rsid w:val="00423103"/>
    <w:rsid w:val="004234B3"/>
    <w:rsid w:val="0042375B"/>
    <w:rsid w:val="00423935"/>
    <w:rsid w:val="0042421B"/>
    <w:rsid w:val="004245A4"/>
    <w:rsid w:val="00424CB2"/>
    <w:rsid w:val="0042562D"/>
    <w:rsid w:val="00425BD0"/>
    <w:rsid w:val="00426E35"/>
    <w:rsid w:val="00426F3D"/>
    <w:rsid w:val="004303F8"/>
    <w:rsid w:val="00431179"/>
    <w:rsid w:val="00431AAF"/>
    <w:rsid w:val="0043264C"/>
    <w:rsid w:val="00432DBB"/>
    <w:rsid w:val="004340DB"/>
    <w:rsid w:val="00434286"/>
    <w:rsid w:val="0043435B"/>
    <w:rsid w:val="00434ED1"/>
    <w:rsid w:val="004353DA"/>
    <w:rsid w:val="004355A2"/>
    <w:rsid w:val="004358F2"/>
    <w:rsid w:val="00435C6D"/>
    <w:rsid w:val="00435DE6"/>
    <w:rsid w:val="00436A4C"/>
    <w:rsid w:val="00436B97"/>
    <w:rsid w:val="0044027B"/>
    <w:rsid w:val="004406B5"/>
    <w:rsid w:val="0044089F"/>
    <w:rsid w:val="00440B90"/>
    <w:rsid w:val="00440D8A"/>
    <w:rsid w:val="00441281"/>
    <w:rsid w:val="004428F9"/>
    <w:rsid w:val="00443A80"/>
    <w:rsid w:val="00443D59"/>
    <w:rsid w:val="00443E1D"/>
    <w:rsid w:val="00444B32"/>
    <w:rsid w:val="00444C27"/>
    <w:rsid w:val="00445628"/>
    <w:rsid w:val="00445ACB"/>
    <w:rsid w:val="00445C2E"/>
    <w:rsid w:val="004463E2"/>
    <w:rsid w:val="00446A32"/>
    <w:rsid w:val="00446FCD"/>
    <w:rsid w:val="004473E8"/>
    <w:rsid w:val="00447C59"/>
    <w:rsid w:val="00450212"/>
    <w:rsid w:val="0045208E"/>
    <w:rsid w:val="00452CCD"/>
    <w:rsid w:val="00452DB5"/>
    <w:rsid w:val="00453D1B"/>
    <w:rsid w:val="00453FB6"/>
    <w:rsid w:val="00455094"/>
    <w:rsid w:val="004553F5"/>
    <w:rsid w:val="00455FAF"/>
    <w:rsid w:val="004562C5"/>
    <w:rsid w:val="00456A2A"/>
    <w:rsid w:val="00456B25"/>
    <w:rsid w:val="004570B8"/>
    <w:rsid w:val="00457138"/>
    <w:rsid w:val="00457785"/>
    <w:rsid w:val="004616E5"/>
    <w:rsid w:val="00462006"/>
    <w:rsid w:val="00462590"/>
    <w:rsid w:val="00462782"/>
    <w:rsid w:val="004627A2"/>
    <w:rsid w:val="004627E7"/>
    <w:rsid w:val="00462AC9"/>
    <w:rsid w:val="00462C4F"/>
    <w:rsid w:val="00463A9A"/>
    <w:rsid w:val="0046431D"/>
    <w:rsid w:val="004658AB"/>
    <w:rsid w:val="00466016"/>
    <w:rsid w:val="00466344"/>
    <w:rsid w:val="004666F1"/>
    <w:rsid w:val="00466B05"/>
    <w:rsid w:val="00466B17"/>
    <w:rsid w:val="00467DAE"/>
    <w:rsid w:val="004701C6"/>
    <w:rsid w:val="004702C6"/>
    <w:rsid w:val="00470ED7"/>
    <w:rsid w:val="004727B5"/>
    <w:rsid w:val="00472A9B"/>
    <w:rsid w:val="00472AB7"/>
    <w:rsid w:val="0047318D"/>
    <w:rsid w:val="00473C35"/>
    <w:rsid w:val="00473CA9"/>
    <w:rsid w:val="00475536"/>
    <w:rsid w:val="004757B7"/>
    <w:rsid w:val="004759EF"/>
    <w:rsid w:val="004769AC"/>
    <w:rsid w:val="00476E3E"/>
    <w:rsid w:val="00476F4D"/>
    <w:rsid w:val="0047764C"/>
    <w:rsid w:val="004802A5"/>
    <w:rsid w:val="0048033F"/>
    <w:rsid w:val="0048067B"/>
    <w:rsid w:val="00480C2D"/>
    <w:rsid w:val="00481AC2"/>
    <w:rsid w:val="00481AEF"/>
    <w:rsid w:val="0048286B"/>
    <w:rsid w:val="00482B45"/>
    <w:rsid w:val="00482C16"/>
    <w:rsid w:val="0048611E"/>
    <w:rsid w:val="004904BE"/>
    <w:rsid w:val="004908B8"/>
    <w:rsid w:val="004912D1"/>
    <w:rsid w:val="00491E7E"/>
    <w:rsid w:val="00492016"/>
    <w:rsid w:val="00492179"/>
    <w:rsid w:val="004926B8"/>
    <w:rsid w:val="00492BCA"/>
    <w:rsid w:val="00492CA7"/>
    <w:rsid w:val="00492FA3"/>
    <w:rsid w:val="0049324F"/>
    <w:rsid w:val="004934C1"/>
    <w:rsid w:val="00493668"/>
    <w:rsid w:val="00494720"/>
    <w:rsid w:val="0049502C"/>
    <w:rsid w:val="004953C5"/>
    <w:rsid w:val="004954B3"/>
    <w:rsid w:val="004954E6"/>
    <w:rsid w:val="004955FD"/>
    <w:rsid w:val="00495719"/>
    <w:rsid w:val="00496062"/>
    <w:rsid w:val="00496EAC"/>
    <w:rsid w:val="004A05CE"/>
    <w:rsid w:val="004A0ED3"/>
    <w:rsid w:val="004A152E"/>
    <w:rsid w:val="004A17BA"/>
    <w:rsid w:val="004A1D5D"/>
    <w:rsid w:val="004A2365"/>
    <w:rsid w:val="004A2B18"/>
    <w:rsid w:val="004A2E7B"/>
    <w:rsid w:val="004A3059"/>
    <w:rsid w:val="004A422F"/>
    <w:rsid w:val="004A5252"/>
    <w:rsid w:val="004A5455"/>
    <w:rsid w:val="004A5BA8"/>
    <w:rsid w:val="004A5DA0"/>
    <w:rsid w:val="004A60A7"/>
    <w:rsid w:val="004A696E"/>
    <w:rsid w:val="004A6BAA"/>
    <w:rsid w:val="004A6CA3"/>
    <w:rsid w:val="004A6E98"/>
    <w:rsid w:val="004B056B"/>
    <w:rsid w:val="004B2023"/>
    <w:rsid w:val="004B238C"/>
    <w:rsid w:val="004B244D"/>
    <w:rsid w:val="004B351C"/>
    <w:rsid w:val="004B374D"/>
    <w:rsid w:val="004B3DF5"/>
    <w:rsid w:val="004B3FB3"/>
    <w:rsid w:val="004B4055"/>
    <w:rsid w:val="004B4455"/>
    <w:rsid w:val="004B4659"/>
    <w:rsid w:val="004B51E6"/>
    <w:rsid w:val="004B5385"/>
    <w:rsid w:val="004B63E1"/>
    <w:rsid w:val="004B666C"/>
    <w:rsid w:val="004B672E"/>
    <w:rsid w:val="004B70FE"/>
    <w:rsid w:val="004B7516"/>
    <w:rsid w:val="004B7CD1"/>
    <w:rsid w:val="004B7E07"/>
    <w:rsid w:val="004C02AE"/>
    <w:rsid w:val="004C0653"/>
    <w:rsid w:val="004C12E6"/>
    <w:rsid w:val="004C1625"/>
    <w:rsid w:val="004C1919"/>
    <w:rsid w:val="004C1C42"/>
    <w:rsid w:val="004C1CD0"/>
    <w:rsid w:val="004C2A31"/>
    <w:rsid w:val="004C3128"/>
    <w:rsid w:val="004C4385"/>
    <w:rsid w:val="004C4AD2"/>
    <w:rsid w:val="004C4FB4"/>
    <w:rsid w:val="004C5153"/>
    <w:rsid w:val="004C54F0"/>
    <w:rsid w:val="004C5CC3"/>
    <w:rsid w:val="004C5E34"/>
    <w:rsid w:val="004C609A"/>
    <w:rsid w:val="004C68B4"/>
    <w:rsid w:val="004C6D4B"/>
    <w:rsid w:val="004C7B6C"/>
    <w:rsid w:val="004D0011"/>
    <w:rsid w:val="004D00DE"/>
    <w:rsid w:val="004D0B24"/>
    <w:rsid w:val="004D0BFA"/>
    <w:rsid w:val="004D109C"/>
    <w:rsid w:val="004D11CA"/>
    <w:rsid w:val="004D18D1"/>
    <w:rsid w:val="004D1E8E"/>
    <w:rsid w:val="004D220A"/>
    <w:rsid w:val="004D2848"/>
    <w:rsid w:val="004D2B17"/>
    <w:rsid w:val="004D3401"/>
    <w:rsid w:val="004D383D"/>
    <w:rsid w:val="004D48DC"/>
    <w:rsid w:val="004D4CA9"/>
    <w:rsid w:val="004D4DA9"/>
    <w:rsid w:val="004D4F06"/>
    <w:rsid w:val="004D4F0B"/>
    <w:rsid w:val="004D5449"/>
    <w:rsid w:val="004D5C1A"/>
    <w:rsid w:val="004D66D3"/>
    <w:rsid w:val="004D6D21"/>
    <w:rsid w:val="004D7253"/>
    <w:rsid w:val="004D72CB"/>
    <w:rsid w:val="004D7917"/>
    <w:rsid w:val="004D79AB"/>
    <w:rsid w:val="004D7BC0"/>
    <w:rsid w:val="004E07B0"/>
    <w:rsid w:val="004E1323"/>
    <w:rsid w:val="004E19D6"/>
    <w:rsid w:val="004E20A7"/>
    <w:rsid w:val="004E27F0"/>
    <w:rsid w:val="004E2F93"/>
    <w:rsid w:val="004E36E3"/>
    <w:rsid w:val="004E45B4"/>
    <w:rsid w:val="004E4C19"/>
    <w:rsid w:val="004E5007"/>
    <w:rsid w:val="004E5DE4"/>
    <w:rsid w:val="004E5EF6"/>
    <w:rsid w:val="004E6423"/>
    <w:rsid w:val="004E65E5"/>
    <w:rsid w:val="004E66DE"/>
    <w:rsid w:val="004E7341"/>
    <w:rsid w:val="004E7817"/>
    <w:rsid w:val="004E79A7"/>
    <w:rsid w:val="004F0559"/>
    <w:rsid w:val="004F07C4"/>
    <w:rsid w:val="004F0C71"/>
    <w:rsid w:val="004F155C"/>
    <w:rsid w:val="004F17D9"/>
    <w:rsid w:val="004F2529"/>
    <w:rsid w:val="004F28B3"/>
    <w:rsid w:val="004F2EED"/>
    <w:rsid w:val="004F301C"/>
    <w:rsid w:val="004F3BF4"/>
    <w:rsid w:val="004F3C27"/>
    <w:rsid w:val="004F46C5"/>
    <w:rsid w:val="004F4876"/>
    <w:rsid w:val="004F4FF9"/>
    <w:rsid w:val="004F5EA8"/>
    <w:rsid w:val="004F62D7"/>
    <w:rsid w:val="004F64D1"/>
    <w:rsid w:val="004F6C89"/>
    <w:rsid w:val="004F6F9F"/>
    <w:rsid w:val="004F758D"/>
    <w:rsid w:val="005007DA"/>
    <w:rsid w:val="00500B96"/>
    <w:rsid w:val="00500E34"/>
    <w:rsid w:val="00501ED4"/>
    <w:rsid w:val="005020F0"/>
    <w:rsid w:val="00502C47"/>
    <w:rsid w:val="005032D1"/>
    <w:rsid w:val="00503303"/>
    <w:rsid w:val="005036E1"/>
    <w:rsid w:val="0050398C"/>
    <w:rsid w:val="005039BC"/>
    <w:rsid w:val="00503D74"/>
    <w:rsid w:val="00504958"/>
    <w:rsid w:val="00504CEE"/>
    <w:rsid w:val="00504EF1"/>
    <w:rsid w:val="00505152"/>
    <w:rsid w:val="005054AF"/>
    <w:rsid w:val="0050583B"/>
    <w:rsid w:val="00506BC5"/>
    <w:rsid w:val="00506CE8"/>
    <w:rsid w:val="005101B4"/>
    <w:rsid w:val="005106AC"/>
    <w:rsid w:val="0051111B"/>
    <w:rsid w:val="00512299"/>
    <w:rsid w:val="005122A0"/>
    <w:rsid w:val="005123C1"/>
    <w:rsid w:val="00513699"/>
    <w:rsid w:val="005136AF"/>
    <w:rsid w:val="00513977"/>
    <w:rsid w:val="00513E83"/>
    <w:rsid w:val="00515149"/>
    <w:rsid w:val="00515612"/>
    <w:rsid w:val="0051591E"/>
    <w:rsid w:val="005159DB"/>
    <w:rsid w:val="0051681B"/>
    <w:rsid w:val="00516E39"/>
    <w:rsid w:val="0051706E"/>
    <w:rsid w:val="005178A0"/>
    <w:rsid w:val="00517954"/>
    <w:rsid w:val="00517A59"/>
    <w:rsid w:val="00520C77"/>
    <w:rsid w:val="00520CE2"/>
    <w:rsid w:val="00521F6A"/>
    <w:rsid w:val="00522874"/>
    <w:rsid w:val="00522DBD"/>
    <w:rsid w:val="00522DCD"/>
    <w:rsid w:val="00522DDE"/>
    <w:rsid w:val="005230EF"/>
    <w:rsid w:val="005237F3"/>
    <w:rsid w:val="0052383B"/>
    <w:rsid w:val="00523A2D"/>
    <w:rsid w:val="0052419A"/>
    <w:rsid w:val="005247B8"/>
    <w:rsid w:val="00524CCA"/>
    <w:rsid w:val="005250BB"/>
    <w:rsid w:val="00525964"/>
    <w:rsid w:val="00525DE1"/>
    <w:rsid w:val="00525E3D"/>
    <w:rsid w:val="0052769B"/>
    <w:rsid w:val="00527BC4"/>
    <w:rsid w:val="00527BCD"/>
    <w:rsid w:val="00527F87"/>
    <w:rsid w:val="005304D9"/>
    <w:rsid w:val="00530B10"/>
    <w:rsid w:val="0053112E"/>
    <w:rsid w:val="00531670"/>
    <w:rsid w:val="0053397C"/>
    <w:rsid w:val="00533BEF"/>
    <w:rsid w:val="0053416C"/>
    <w:rsid w:val="00535202"/>
    <w:rsid w:val="005359E3"/>
    <w:rsid w:val="0053606A"/>
    <w:rsid w:val="0053639C"/>
    <w:rsid w:val="00536A3A"/>
    <w:rsid w:val="00536EA0"/>
    <w:rsid w:val="00537586"/>
    <w:rsid w:val="00537B67"/>
    <w:rsid w:val="005402E9"/>
    <w:rsid w:val="00540F30"/>
    <w:rsid w:val="00541BA2"/>
    <w:rsid w:val="00541BFE"/>
    <w:rsid w:val="00541D78"/>
    <w:rsid w:val="0054252B"/>
    <w:rsid w:val="00542D85"/>
    <w:rsid w:val="00542E08"/>
    <w:rsid w:val="00543532"/>
    <w:rsid w:val="00543A41"/>
    <w:rsid w:val="00543B7D"/>
    <w:rsid w:val="005441C3"/>
    <w:rsid w:val="00544A59"/>
    <w:rsid w:val="00544C49"/>
    <w:rsid w:val="00544C79"/>
    <w:rsid w:val="00545154"/>
    <w:rsid w:val="00545C85"/>
    <w:rsid w:val="00545E7E"/>
    <w:rsid w:val="0054706B"/>
    <w:rsid w:val="005477C3"/>
    <w:rsid w:val="0055065C"/>
    <w:rsid w:val="00550934"/>
    <w:rsid w:val="00550F5C"/>
    <w:rsid w:val="005510E0"/>
    <w:rsid w:val="00551B64"/>
    <w:rsid w:val="005524F0"/>
    <w:rsid w:val="00552D48"/>
    <w:rsid w:val="00553078"/>
    <w:rsid w:val="00553473"/>
    <w:rsid w:val="00553DC8"/>
    <w:rsid w:val="00553EAC"/>
    <w:rsid w:val="00553F34"/>
    <w:rsid w:val="00554982"/>
    <w:rsid w:val="00554C07"/>
    <w:rsid w:val="00555D3C"/>
    <w:rsid w:val="00555DFB"/>
    <w:rsid w:val="00556073"/>
    <w:rsid w:val="0055669F"/>
    <w:rsid w:val="005569E9"/>
    <w:rsid w:val="00556A48"/>
    <w:rsid w:val="00556C42"/>
    <w:rsid w:val="00556F7D"/>
    <w:rsid w:val="00557B0A"/>
    <w:rsid w:val="00557ED6"/>
    <w:rsid w:val="00560B31"/>
    <w:rsid w:val="00560BEB"/>
    <w:rsid w:val="00560FFE"/>
    <w:rsid w:val="00561027"/>
    <w:rsid w:val="00561BC7"/>
    <w:rsid w:val="00561F12"/>
    <w:rsid w:val="005620E2"/>
    <w:rsid w:val="00562592"/>
    <w:rsid w:val="00562F01"/>
    <w:rsid w:val="00562F52"/>
    <w:rsid w:val="00563B90"/>
    <w:rsid w:val="00563FA2"/>
    <w:rsid w:val="005645AA"/>
    <w:rsid w:val="00564C39"/>
    <w:rsid w:val="005653DC"/>
    <w:rsid w:val="005654EA"/>
    <w:rsid w:val="005661BD"/>
    <w:rsid w:val="00566262"/>
    <w:rsid w:val="00566930"/>
    <w:rsid w:val="00567AB8"/>
    <w:rsid w:val="00570411"/>
    <w:rsid w:val="00570688"/>
    <w:rsid w:val="005709F3"/>
    <w:rsid w:val="00570CBB"/>
    <w:rsid w:val="00570EC2"/>
    <w:rsid w:val="0057101D"/>
    <w:rsid w:val="00571331"/>
    <w:rsid w:val="0057144C"/>
    <w:rsid w:val="0057198C"/>
    <w:rsid w:val="00571E38"/>
    <w:rsid w:val="00572172"/>
    <w:rsid w:val="00572A4A"/>
    <w:rsid w:val="00572C0C"/>
    <w:rsid w:val="00573501"/>
    <w:rsid w:val="005750F6"/>
    <w:rsid w:val="00575225"/>
    <w:rsid w:val="0057638C"/>
    <w:rsid w:val="00576D32"/>
    <w:rsid w:val="00577471"/>
    <w:rsid w:val="00577689"/>
    <w:rsid w:val="0057791B"/>
    <w:rsid w:val="00577A5F"/>
    <w:rsid w:val="00577C4E"/>
    <w:rsid w:val="00577D8A"/>
    <w:rsid w:val="005821EC"/>
    <w:rsid w:val="0058321C"/>
    <w:rsid w:val="00583B02"/>
    <w:rsid w:val="00584F8C"/>
    <w:rsid w:val="00585973"/>
    <w:rsid w:val="00585A8D"/>
    <w:rsid w:val="00587624"/>
    <w:rsid w:val="0058779E"/>
    <w:rsid w:val="00587FA4"/>
    <w:rsid w:val="00590E78"/>
    <w:rsid w:val="005914E6"/>
    <w:rsid w:val="0059190F"/>
    <w:rsid w:val="0059232E"/>
    <w:rsid w:val="005924A1"/>
    <w:rsid w:val="005924F7"/>
    <w:rsid w:val="00592860"/>
    <w:rsid w:val="00593057"/>
    <w:rsid w:val="005934A7"/>
    <w:rsid w:val="00593885"/>
    <w:rsid w:val="00593F76"/>
    <w:rsid w:val="00594944"/>
    <w:rsid w:val="00595ADF"/>
    <w:rsid w:val="00595D4F"/>
    <w:rsid w:val="0059617C"/>
    <w:rsid w:val="0059720F"/>
    <w:rsid w:val="00597761"/>
    <w:rsid w:val="00597D36"/>
    <w:rsid w:val="005A094F"/>
    <w:rsid w:val="005A16FB"/>
    <w:rsid w:val="005A1BC0"/>
    <w:rsid w:val="005A1C66"/>
    <w:rsid w:val="005A2606"/>
    <w:rsid w:val="005A33D8"/>
    <w:rsid w:val="005A397D"/>
    <w:rsid w:val="005A42F7"/>
    <w:rsid w:val="005A478D"/>
    <w:rsid w:val="005A512C"/>
    <w:rsid w:val="005A67CA"/>
    <w:rsid w:val="005A6F80"/>
    <w:rsid w:val="005A7B4D"/>
    <w:rsid w:val="005A7B9C"/>
    <w:rsid w:val="005B054E"/>
    <w:rsid w:val="005B065E"/>
    <w:rsid w:val="005B07AB"/>
    <w:rsid w:val="005B17B2"/>
    <w:rsid w:val="005B1E07"/>
    <w:rsid w:val="005B1E95"/>
    <w:rsid w:val="005B273E"/>
    <w:rsid w:val="005B2EFE"/>
    <w:rsid w:val="005B3084"/>
    <w:rsid w:val="005B32A5"/>
    <w:rsid w:val="005B3312"/>
    <w:rsid w:val="005B355D"/>
    <w:rsid w:val="005B428F"/>
    <w:rsid w:val="005B58CC"/>
    <w:rsid w:val="005B6BA5"/>
    <w:rsid w:val="005B7DE3"/>
    <w:rsid w:val="005C0CA1"/>
    <w:rsid w:val="005C19D3"/>
    <w:rsid w:val="005C1E57"/>
    <w:rsid w:val="005C2B92"/>
    <w:rsid w:val="005C2D08"/>
    <w:rsid w:val="005C2EF0"/>
    <w:rsid w:val="005C3BD0"/>
    <w:rsid w:val="005C43EB"/>
    <w:rsid w:val="005C4DEF"/>
    <w:rsid w:val="005C577D"/>
    <w:rsid w:val="005C5A61"/>
    <w:rsid w:val="005C5AA5"/>
    <w:rsid w:val="005C5BF0"/>
    <w:rsid w:val="005C5FC4"/>
    <w:rsid w:val="005C6474"/>
    <w:rsid w:val="005C647F"/>
    <w:rsid w:val="005C676F"/>
    <w:rsid w:val="005C6993"/>
    <w:rsid w:val="005C6E2F"/>
    <w:rsid w:val="005C7150"/>
    <w:rsid w:val="005C7D8E"/>
    <w:rsid w:val="005D070D"/>
    <w:rsid w:val="005D0E66"/>
    <w:rsid w:val="005D0EBD"/>
    <w:rsid w:val="005D17BF"/>
    <w:rsid w:val="005D17C5"/>
    <w:rsid w:val="005D254F"/>
    <w:rsid w:val="005D29DB"/>
    <w:rsid w:val="005D34F4"/>
    <w:rsid w:val="005D3FEE"/>
    <w:rsid w:val="005D426E"/>
    <w:rsid w:val="005D5129"/>
    <w:rsid w:val="005D5763"/>
    <w:rsid w:val="005D5A95"/>
    <w:rsid w:val="005D7B27"/>
    <w:rsid w:val="005D7FBA"/>
    <w:rsid w:val="005E04F8"/>
    <w:rsid w:val="005E07DF"/>
    <w:rsid w:val="005E153A"/>
    <w:rsid w:val="005E1AE9"/>
    <w:rsid w:val="005E2080"/>
    <w:rsid w:val="005E2E75"/>
    <w:rsid w:val="005E3735"/>
    <w:rsid w:val="005E3F09"/>
    <w:rsid w:val="005E499A"/>
    <w:rsid w:val="005E540D"/>
    <w:rsid w:val="005E5D1F"/>
    <w:rsid w:val="005E61F2"/>
    <w:rsid w:val="005E6807"/>
    <w:rsid w:val="005E73F1"/>
    <w:rsid w:val="005E7881"/>
    <w:rsid w:val="005E7E20"/>
    <w:rsid w:val="005E7FDB"/>
    <w:rsid w:val="005F06C4"/>
    <w:rsid w:val="005F0BDB"/>
    <w:rsid w:val="005F1B80"/>
    <w:rsid w:val="005F1E73"/>
    <w:rsid w:val="005F2DCC"/>
    <w:rsid w:val="005F33E9"/>
    <w:rsid w:val="005F4170"/>
    <w:rsid w:val="005F4570"/>
    <w:rsid w:val="005F472D"/>
    <w:rsid w:val="005F4C2A"/>
    <w:rsid w:val="005F4C6D"/>
    <w:rsid w:val="005F4E03"/>
    <w:rsid w:val="005F5097"/>
    <w:rsid w:val="005F62DF"/>
    <w:rsid w:val="005F65E8"/>
    <w:rsid w:val="005F686B"/>
    <w:rsid w:val="005F75E2"/>
    <w:rsid w:val="005F788C"/>
    <w:rsid w:val="00600367"/>
    <w:rsid w:val="00601E06"/>
    <w:rsid w:val="00602774"/>
    <w:rsid w:val="006029D1"/>
    <w:rsid w:val="006031CA"/>
    <w:rsid w:val="006035A3"/>
    <w:rsid w:val="006039EF"/>
    <w:rsid w:val="00603BC3"/>
    <w:rsid w:val="006052A7"/>
    <w:rsid w:val="00605764"/>
    <w:rsid w:val="00605E09"/>
    <w:rsid w:val="006061C9"/>
    <w:rsid w:val="00606317"/>
    <w:rsid w:val="00606672"/>
    <w:rsid w:val="00606B27"/>
    <w:rsid w:val="006071C2"/>
    <w:rsid w:val="006077FF"/>
    <w:rsid w:val="00607C13"/>
    <w:rsid w:val="00607D4A"/>
    <w:rsid w:val="00610199"/>
    <w:rsid w:val="00610EA6"/>
    <w:rsid w:val="0061109E"/>
    <w:rsid w:val="00611A68"/>
    <w:rsid w:val="00611BA9"/>
    <w:rsid w:val="00611BD8"/>
    <w:rsid w:val="00611ED8"/>
    <w:rsid w:val="0061413E"/>
    <w:rsid w:val="00614B28"/>
    <w:rsid w:val="00614DD8"/>
    <w:rsid w:val="00614FBA"/>
    <w:rsid w:val="0061505D"/>
    <w:rsid w:val="006153C0"/>
    <w:rsid w:val="00615858"/>
    <w:rsid w:val="00616939"/>
    <w:rsid w:val="00616A68"/>
    <w:rsid w:val="00616CAB"/>
    <w:rsid w:val="006173EE"/>
    <w:rsid w:val="00617CA6"/>
    <w:rsid w:val="006200C9"/>
    <w:rsid w:val="006205DA"/>
    <w:rsid w:val="006207B4"/>
    <w:rsid w:val="00620BAB"/>
    <w:rsid w:val="006212A6"/>
    <w:rsid w:val="00621BFC"/>
    <w:rsid w:val="006225FE"/>
    <w:rsid w:val="00622D07"/>
    <w:rsid w:val="00623BEC"/>
    <w:rsid w:val="0062409C"/>
    <w:rsid w:val="00624C11"/>
    <w:rsid w:val="0062549D"/>
    <w:rsid w:val="00625736"/>
    <w:rsid w:val="006257AA"/>
    <w:rsid w:val="00625DA7"/>
    <w:rsid w:val="00626137"/>
    <w:rsid w:val="0062708A"/>
    <w:rsid w:val="0062776D"/>
    <w:rsid w:val="00630C85"/>
    <w:rsid w:val="006311B2"/>
    <w:rsid w:val="0063131E"/>
    <w:rsid w:val="006316AE"/>
    <w:rsid w:val="00631748"/>
    <w:rsid w:val="00631AF6"/>
    <w:rsid w:val="00631FC9"/>
    <w:rsid w:val="00632009"/>
    <w:rsid w:val="00632077"/>
    <w:rsid w:val="00632A2C"/>
    <w:rsid w:val="00633FD8"/>
    <w:rsid w:val="006345D3"/>
    <w:rsid w:val="00634E05"/>
    <w:rsid w:val="0063569A"/>
    <w:rsid w:val="0063621F"/>
    <w:rsid w:val="006362B4"/>
    <w:rsid w:val="00636576"/>
    <w:rsid w:val="00636604"/>
    <w:rsid w:val="00637791"/>
    <w:rsid w:val="0063780F"/>
    <w:rsid w:val="006378D6"/>
    <w:rsid w:val="00637ACC"/>
    <w:rsid w:val="00637C79"/>
    <w:rsid w:val="006400D9"/>
    <w:rsid w:val="006404B4"/>
    <w:rsid w:val="00641181"/>
    <w:rsid w:val="00642910"/>
    <w:rsid w:val="006429B8"/>
    <w:rsid w:val="006431FF"/>
    <w:rsid w:val="00643CA1"/>
    <w:rsid w:val="00643DAA"/>
    <w:rsid w:val="00643DDB"/>
    <w:rsid w:val="00643FE3"/>
    <w:rsid w:val="0064445D"/>
    <w:rsid w:val="00644D5F"/>
    <w:rsid w:val="006450A8"/>
    <w:rsid w:val="0064538E"/>
    <w:rsid w:val="00645470"/>
    <w:rsid w:val="0064584A"/>
    <w:rsid w:val="0064606C"/>
    <w:rsid w:val="006469BE"/>
    <w:rsid w:val="00647192"/>
    <w:rsid w:val="00647932"/>
    <w:rsid w:val="00647DCD"/>
    <w:rsid w:val="0065027B"/>
    <w:rsid w:val="00650E9B"/>
    <w:rsid w:val="0065146C"/>
    <w:rsid w:val="00651F0B"/>
    <w:rsid w:val="006529D2"/>
    <w:rsid w:val="00652F2B"/>
    <w:rsid w:val="00653603"/>
    <w:rsid w:val="006536D0"/>
    <w:rsid w:val="00654555"/>
    <w:rsid w:val="0065516E"/>
    <w:rsid w:val="00655194"/>
    <w:rsid w:val="00655793"/>
    <w:rsid w:val="006564FE"/>
    <w:rsid w:val="00656D76"/>
    <w:rsid w:val="0066178F"/>
    <w:rsid w:val="00661B95"/>
    <w:rsid w:val="00662132"/>
    <w:rsid w:val="00662BCF"/>
    <w:rsid w:val="00662E12"/>
    <w:rsid w:val="00662F4B"/>
    <w:rsid w:val="0066367A"/>
    <w:rsid w:val="0066437B"/>
    <w:rsid w:val="00664822"/>
    <w:rsid w:val="00664D23"/>
    <w:rsid w:val="00665091"/>
    <w:rsid w:val="0066594E"/>
    <w:rsid w:val="006660E7"/>
    <w:rsid w:val="006668BE"/>
    <w:rsid w:val="00666A4D"/>
    <w:rsid w:val="00667BCB"/>
    <w:rsid w:val="006703B9"/>
    <w:rsid w:val="00670E35"/>
    <w:rsid w:val="00673CF8"/>
    <w:rsid w:val="006747FE"/>
    <w:rsid w:val="00674F84"/>
    <w:rsid w:val="00675511"/>
    <w:rsid w:val="00676BE5"/>
    <w:rsid w:val="0067745B"/>
    <w:rsid w:val="006775BC"/>
    <w:rsid w:val="00680240"/>
    <w:rsid w:val="006806F2"/>
    <w:rsid w:val="00680AE3"/>
    <w:rsid w:val="006841F8"/>
    <w:rsid w:val="0068449F"/>
    <w:rsid w:val="006845F2"/>
    <w:rsid w:val="00685049"/>
    <w:rsid w:val="00685D35"/>
    <w:rsid w:val="006865F2"/>
    <w:rsid w:val="00686BB4"/>
    <w:rsid w:val="00687073"/>
    <w:rsid w:val="0068713C"/>
    <w:rsid w:val="00687685"/>
    <w:rsid w:val="006876EF"/>
    <w:rsid w:val="006907C2"/>
    <w:rsid w:val="00690E25"/>
    <w:rsid w:val="0069109D"/>
    <w:rsid w:val="006914D0"/>
    <w:rsid w:val="00691589"/>
    <w:rsid w:val="006919B4"/>
    <w:rsid w:val="00691A12"/>
    <w:rsid w:val="00692CFB"/>
    <w:rsid w:val="0069300B"/>
    <w:rsid w:val="0069343A"/>
    <w:rsid w:val="00693D11"/>
    <w:rsid w:val="00694201"/>
    <w:rsid w:val="00694AF5"/>
    <w:rsid w:val="006958A3"/>
    <w:rsid w:val="006969B5"/>
    <w:rsid w:val="006971E7"/>
    <w:rsid w:val="00697893"/>
    <w:rsid w:val="00697B92"/>
    <w:rsid w:val="00697BE9"/>
    <w:rsid w:val="006A0148"/>
    <w:rsid w:val="006A0B31"/>
    <w:rsid w:val="006A200B"/>
    <w:rsid w:val="006A2074"/>
    <w:rsid w:val="006A23C6"/>
    <w:rsid w:val="006A25BF"/>
    <w:rsid w:val="006A267D"/>
    <w:rsid w:val="006A29B3"/>
    <w:rsid w:val="006A3243"/>
    <w:rsid w:val="006A34F8"/>
    <w:rsid w:val="006A3632"/>
    <w:rsid w:val="006A39B0"/>
    <w:rsid w:val="006A4160"/>
    <w:rsid w:val="006A4A22"/>
    <w:rsid w:val="006A52C6"/>
    <w:rsid w:val="006A6803"/>
    <w:rsid w:val="006A6E50"/>
    <w:rsid w:val="006A6F1F"/>
    <w:rsid w:val="006A70FC"/>
    <w:rsid w:val="006A749A"/>
    <w:rsid w:val="006A7787"/>
    <w:rsid w:val="006A7CC2"/>
    <w:rsid w:val="006B1133"/>
    <w:rsid w:val="006B117D"/>
    <w:rsid w:val="006B13C3"/>
    <w:rsid w:val="006B23AD"/>
    <w:rsid w:val="006B2A90"/>
    <w:rsid w:val="006B3894"/>
    <w:rsid w:val="006B3AE7"/>
    <w:rsid w:val="006B4781"/>
    <w:rsid w:val="006B4B9B"/>
    <w:rsid w:val="006B52C4"/>
    <w:rsid w:val="006B6731"/>
    <w:rsid w:val="006B67D1"/>
    <w:rsid w:val="006B68D1"/>
    <w:rsid w:val="006B6A97"/>
    <w:rsid w:val="006B6F3F"/>
    <w:rsid w:val="006B79BD"/>
    <w:rsid w:val="006B7B56"/>
    <w:rsid w:val="006C0B23"/>
    <w:rsid w:val="006C12ED"/>
    <w:rsid w:val="006C1E91"/>
    <w:rsid w:val="006C1EC1"/>
    <w:rsid w:val="006C26B1"/>
    <w:rsid w:val="006C2994"/>
    <w:rsid w:val="006C29BF"/>
    <w:rsid w:val="006C3131"/>
    <w:rsid w:val="006C3272"/>
    <w:rsid w:val="006C33F1"/>
    <w:rsid w:val="006C42E4"/>
    <w:rsid w:val="006C4559"/>
    <w:rsid w:val="006C467C"/>
    <w:rsid w:val="006C4A3E"/>
    <w:rsid w:val="006C4EBF"/>
    <w:rsid w:val="006C5AA5"/>
    <w:rsid w:val="006D1405"/>
    <w:rsid w:val="006D1E7B"/>
    <w:rsid w:val="006D2870"/>
    <w:rsid w:val="006D32CB"/>
    <w:rsid w:val="006D33B6"/>
    <w:rsid w:val="006D3C31"/>
    <w:rsid w:val="006D40E3"/>
    <w:rsid w:val="006D4294"/>
    <w:rsid w:val="006D4FED"/>
    <w:rsid w:val="006D576E"/>
    <w:rsid w:val="006D58BA"/>
    <w:rsid w:val="006D5B8D"/>
    <w:rsid w:val="006D5DC6"/>
    <w:rsid w:val="006D5FBF"/>
    <w:rsid w:val="006D5FEE"/>
    <w:rsid w:val="006D6C0F"/>
    <w:rsid w:val="006D70F7"/>
    <w:rsid w:val="006D78A7"/>
    <w:rsid w:val="006D79A9"/>
    <w:rsid w:val="006E0E61"/>
    <w:rsid w:val="006E1AF2"/>
    <w:rsid w:val="006E1F88"/>
    <w:rsid w:val="006E2477"/>
    <w:rsid w:val="006E4541"/>
    <w:rsid w:val="006E4C57"/>
    <w:rsid w:val="006E531E"/>
    <w:rsid w:val="006E5EEC"/>
    <w:rsid w:val="006E6018"/>
    <w:rsid w:val="006E6378"/>
    <w:rsid w:val="006E68F1"/>
    <w:rsid w:val="006E6FB3"/>
    <w:rsid w:val="006F06C2"/>
    <w:rsid w:val="006F0E1B"/>
    <w:rsid w:val="006F0FBF"/>
    <w:rsid w:val="006F16B0"/>
    <w:rsid w:val="006F1C2A"/>
    <w:rsid w:val="006F3E1E"/>
    <w:rsid w:val="006F4A97"/>
    <w:rsid w:val="006F4BEA"/>
    <w:rsid w:val="006F5563"/>
    <w:rsid w:val="006F5927"/>
    <w:rsid w:val="006F5E28"/>
    <w:rsid w:val="006F624F"/>
    <w:rsid w:val="006F7B1D"/>
    <w:rsid w:val="006F7DCA"/>
    <w:rsid w:val="00700663"/>
    <w:rsid w:val="0070079C"/>
    <w:rsid w:val="00701964"/>
    <w:rsid w:val="00701D51"/>
    <w:rsid w:val="0070202C"/>
    <w:rsid w:val="007026A5"/>
    <w:rsid w:val="00702A02"/>
    <w:rsid w:val="00704077"/>
    <w:rsid w:val="0070418A"/>
    <w:rsid w:val="007047D3"/>
    <w:rsid w:val="00704A12"/>
    <w:rsid w:val="007052EB"/>
    <w:rsid w:val="007054FB"/>
    <w:rsid w:val="00705651"/>
    <w:rsid w:val="00705F84"/>
    <w:rsid w:val="0070627B"/>
    <w:rsid w:val="00706A4D"/>
    <w:rsid w:val="00706CF0"/>
    <w:rsid w:val="007070A9"/>
    <w:rsid w:val="00707603"/>
    <w:rsid w:val="00711C4A"/>
    <w:rsid w:val="007120BB"/>
    <w:rsid w:val="00712ABB"/>
    <w:rsid w:val="007138C4"/>
    <w:rsid w:val="00713DCC"/>
    <w:rsid w:val="007148D6"/>
    <w:rsid w:val="00714F49"/>
    <w:rsid w:val="00714F78"/>
    <w:rsid w:val="007155F9"/>
    <w:rsid w:val="00715E01"/>
    <w:rsid w:val="00715E9F"/>
    <w:rsid w:val="00716AA7"/>
    <w:rsid w:val="00716BDB"/>
    <w:rsid w:val="00716F57"/>
    <w:rsid w:val="00717512"/>
    <w:rsid w:val="00717D64"/>
    <w:rsid w:val="00717E05"/>
    <w:rsid w:val="00720A5A"/>
    <w:rsid w:val="00720CE4"/>
    <w:rsid w:val="00720D7E"/>
    <w:rsid w:val="0072111A"/>
    <w:rsid w:val="00721EB2"/>
    <w:rsid w:val="00721FB0"/>
    <w:rsid w:val="00722780"/>
    <w:rsid w:val="007229BD"/>
    <w:rsid w:val="00722A59"/>
    <w:rsid w:val="0072444C"/>
    <w:rsid w:val="007253E1"/>
    <w:rsid w:val="0072568C"/>
    <w:rsid w:val="00725A3B"/>
    <w:rsid w:val="00725C4E"/>
    <w:rsid w:val="00726033"/>
    <w:rsid w:val="007261E0"/>
    <w:rsid w:val="00726319"/>
    <w:rsid w:val="007268AB"/>
    <w:rsid w:val="00726E8E"/>
    <w:rsid w:val="007270DB"/>
    <w:rsid w:val="007271EC"/>
    <w:rsid w:val="007273BE"/>
    <w:rsid w:val="0072789A"/>
    <w:rsid w:val="00727A69"/>
    <w:rsid w:val="00730441"/>
    <w:rsid w:val="00730AB3"/>
    <w:rsid w:val="00731939"/>
    <w:rsid w:val="00731A16"/>
    <w:rsid w:val="007326C9"/>
    <w:rsid w:val="007327B2"/>
    <w:rsid w:val="00732A54"/>
    <w:rsid w:val="00732DD1"/>
    <w:rsid w:val="0073346C"/>
    <w:rsid w:val="007334EF"/>
    <w:rsid w:val="007345F4"/>
    <w:rsid w:val="007347A2"/>
    <w:rsid w:val="00734D5C"/>
    <w:rsid w:val="00734E7A"/>
    <w:rsid w:val="0073501E"/>
    <w:rsid w:val="007355F6"/>
    <w:rsid w:val="00735761"/>
    <w:rsid w:val="00735BDA"/>
    <w:rsid w:val="00736CC8"/>
    <w:rsid w:val="00737967"/>
    <w:rsid w:val="00737A20"/>
    <w:rsid w:val="0074018D"/>
    <w:rsid w:val="007403C7"/>
    <w:rsid w:val="007405F5"/>
    <w:rsid w:val="00740BFB"/>
    <w:rsid w:val="00740D7E"/>
    <w:rsid w:val="007418CE"/>
    <w:rsid w:val="007421DA"/>
    <w:rsid w:val="00742595"/>
    <w:rsid w:val="00742894"/>
    <w:rsid w:val="00742AE2"/>
    <w:rsid w:val="00743FAD"/>
    <w:rsid w:val="00744046"/>
    <w:rsid w:val="00744915"/>
    <w:rsid w:val="0074557D"/>
    <w:rsid w:val="007457EE"/>
    <w:rsid w:val="00745BEA"/>
    <w:rsid w:val="00745CB2"/>
    <w:rsid w:val="00747BB3"/>
    <w:rsid w:val="00752D5E"/>
    <w:rsid w:val="00752EB6"/>
    <w:rsid w:val="00753102"/>
    <w:rsid w:val="007539BA"/>
    <w:rsid w:val="00753C8A"/>
    <w:rsid w:val="00754112"/>
    <w:rsid w:val="00754B38"/>
    <w:rsid w:val="00755873"/>
    <w:rsid w:val="00755BAF"/>
    <w:rsid w:val="0075681D"/>
    <w:rsid w:val="0076042C"/>
    <w:rsid w:val="00760452"/>
    <w:rsid w:val="00760A20"/>
    <w:rsid w:val="00761C20"/>
    <w:rsid w:val="007624C4"/>
    <w:rsid w:val="00762D40"/>
    <w:rsid w:val="00762E49"/>
    <w:rsid w:val="007633B1"/>
    <w:rsid w:val="00763AB0"/>
    <w:rsid w:val="0076410D"/>
    <w:rsid w:val="0076427E"/>
    <w:rsid w:val="00764C48"/>
    <w:rsid w:val="00764D63"/>
    <w:rsid w:val="00764F5F"/>
    <w:rsid w:val="0076528E"/>
    <w:rsid w:val="0076535A"/>
    <w:rsid w:val="00765639"/>
    <w:rsid w:val="00765771"/>
    <w:rsid w:val="00766C18"/>
    <w:rsid w:val="0076743E"/>
    <w:rsid w:val="00767791"/>
    <w:rsid w:val="00767F2C"/>
    <w:rsid w:val="0077035A"/>
    <w:rsid w:val="00770BD3"/>
    <w:rsid w:val="00771366"/>
    <w:rsid w:val="00772319"/>
    <w:rsid w:val="00773350"/>
    <w:rsid w:val="00773F1D"/>
    <w:rsid w:val="00775928"/>
    <w:rsid w:val="00775BD3"/>
    <w:rsid w:val="00776FB1"/>
    <w:rsid w:val="00777558"/>
    <w:rsid w:val="00777E7E"/>
    <w:rsid w:val="00780FAB"/>
    <w:rsid w:val="00781255"/>
    <w:rsid w:val="00781326"/>
    <w:rsid w:val="00782AE3"/>
    <w:rsid w:val="00782DF4"/>
    <w:rsid w:val="0078369D"/>
    <w:rsid w:val="00783BFB"/>
    <w:rsid w:val="00784F50"/>
    <w:rsid w:val="0078535F"/>
    <w:rsid w:val="00785914"/>
    <w:rsid w:val="00786D31"/>
    <w:rsid w:val="007877F7"/>
    <w:rsid w:val="007903ED"/>
    <w:rsid w:val="00791073"/>
    <w:rsid w:val="00791280"/>
    <w:rsid w:val="00791450"/>
    <w:rsid w:val="00791C41"/>
    <w:rsid w:val="00792D19"/>
    <w:rsid w:val="0079394C"/>
    <w:rsid w:val="00793D4C"/>
    <w:rsid w:val="00793FB1"/>
    <w:rsid w:val="007947DB"/>
    <w:rsid w:val="0079591F"/>
    <w:rsid w:val="00795C20"/>
    <w:rsid w:val="007967EE"/>
    <w:rsid w:val="00797C27"/>
    <w:rsid w:val="007A02BC"/>
    <w:rsid w:val="007A02E2"/>
    <w:rsid w:val="007A07BA"/>
    <w:rsid w:val="007A09DD"/>
    <w:rsid w:val="007A09F8"/>
    <w:rsid w:val="007A0F00"/>
    <w:rsid w:val="007A1554"/>
    <w:rsid w:val="007A168D"/>
    <w:rsid w:val="007A16CC"/>
    <w:rsid w:val="007A1D61"/>
    <w:rsid w:val="007A1E64"/>
    <w:rsid w:val="007A1F82"/>
    <w:rsid w:val="007A2462"/>
    <w:rsid w:val="007A377C"/>
    <w:rsid w:val="007A3839"/>
    <w:rsid w:val="007A38FB"/>
    <w:rsid w:val="007A3948"/>
    <w:rsid w:val="007A4161"/>
    <w:rsid w:val="007A423F"/>
    <w:rsid w:val="007A42C6"/>
    <w:rsid w:val="007A47D3"/>
    <w:rsid w:val="007A5FA1"/>
    <w:rsid w:val="007A613F"/>
    <w:rsid w:val="007A68D9"/>
    <w:rsid w:val="007A6930"/>
    <w:rsid w:val="007A6D5D"/>
    <w:rsid w:val="007B049F"/>
    <w:rsid w:val="007B0B98"/>
    <w:rsid w:val="007B159C"/>
    <w:rsid w:val="007B2289"/>
    <w:rsid w:val="007B2C03"/>
    <w:rsid w:val="007B3031"/>
    <w:rsid w:val="007B3583"/>
    <w:rsid w:val="007B4262"/>
    <w:rsid w:val="007B449C"/>
    <w:rsid w:val="007B5502"/>
    <w:rsid w:val="007B57BB"/>
    <w:rsid w:val="007B5BBB"/>
    <w:rsid w:val="007B5D66"/>
    <w:rsid w:val="007B6B72"/>
    <w:rsid w:val="007B6F7B"/>
    <w:rsid w:val="007B7045"/>
    <w:rsid w:val="007B7101"/>
    <w:rsid w:val="007B740D"/>
    <w:rsid w:val="007B7482"/>
    <w:rsid w:val="007C0C42"/>
    <w:rsid w:val="007C116A"/>
    <w:rsid w:val="007C14D9"/>
    <w:rsid w:val="007C1572"/>
    <w:rsid w:val="007C2624"/>
    <w:rsid w:val="007C2AEA"/>
    <w:rsid w:val="007C2B2A"/>
    <w:rsid w:val="007C31EF"/>
    <w:rsid w:val="007C3C64"/>
    <w:rsid w:val="007C407D"/>
    <w:rsid w:val="007C46AC"/>
    <w:rsid w:val="007C475A"/>
    <w:rsid w:val="007C4981"/>
    <w:rsid w:val="007C4BBC"/>
    <w:rsid w:val="007C5329"/>
    <w:rsid w:val="007C5774"/>
    <w:rsid w:val="007C69CF"/>
    <w:rsid w:val="007C6B30"/>
    <w:rsid w:val="007C6F2B"/>
    <w:rsid w:val="007C6FB8"/>
    <w:rsid w:val="007C74DB"/>
    <w:rsid w:val="007C783E"/>
    <w:rsid w:val="007C7B0A"/>
    <w:rsid w:val="007D0B7E"/>
    <w:rsid w:val="007D0E3B"/>
    <w:rsid w:val="007D0EE5"/>
    <w:rsid w:val="007D13ED"/>
    <w:rsid w:val="007D2770"/>
    <w:rsid w:val="007D2BB0"/>
    <w:rsid w:val="007D3A31"/>
    <w:rsid w:val="007D4109"/>
    <w:rsid w:val="007D445A"/>
    <w:rsid w:val="007D49CE"/>
    <w:rsid w:val="007D4B30"/>
    <w:rsid w:val="007D4E0C"/>
    <w:rsid w:val="007D514E"/>
    <w:rsid w:val="007D51C4"/>
    <w:rsid w:val="007D53D1"/>
    <w:rsid w:val="007D6352"/>
    <w:rsid w:val="007D763E"/>
    <w:rsid w:val="007E04B1"/>
    <w:rsid w:val="007E0585"/>
    <w:rsid w:val="007E0953"/>
    <w:rsid w:val="007E0C37"/>
    <w:rsid w:val="007E1267"/>
    <w:rsid w:val="007E1921"/>
    <w:rsid w:val="007E1ADC"/>
    <w:rsid w:val="007E2FA1"/>
    <w:rsid w:val="007E4AC2"/>
    <w:rsid w:val="007E5158"/>
    <w:rsid w:val="007E5C17"/>
    <w:rsid w:val="007E5D13"/>
    <w:rsid w:val="007E5E39"/>
    <w:rsid w:val="007E60FE"/>
    <w:rsid w:val="007E61D6"/>
    <w:rsid w:val="007E6822"/>
    <w:rsid w:val="007E6C68"/>
    <w:rsid w:val="007E7306"/>
    <w:rsid w:val="007E7309"/>
    <w:rsid w:val="007E755E"/>
    <w:rsid w:val="007E7D46"/>
    <w:rsid w:val="007F2400"/>
    <w:rsid w:val="007F268B"/>
    <w:rsid w:val="007F35F8"/>
    <w:rsid w:val="007F40A4"/>
    <w:rsid w:val="007F478E"/>
    <w:rsid w:val="007F478F"/>
    <w:rsid w:val="007F50EF"/>
    <w:rsid w:val="007F5131"/>
    <w:rsid w:val="007F54E7"/>
    <w:rsid w:val="007F595F"/>
    <w:rsid w:val="007F5C51"/>
    <w:rsid w:val="007F5FF5"/>
    <w:rsid w:val="007F60D1"/>
    <w:rsid w:val="007F629F"/>
    <w:rsid w:val="007F689C"/>
    <w:rsid w:val="007F6E69"/>
    <w:rsid w:val="007F6FD4"/>
    <w:rsid w:val="0080027F"/>
    <w:rsid w:val="0080066A"/>
    <w:rsid w:val="00800891"/>
    <w:rsid w:val="00800FBF"/>
    <w:rsid w:val="00801432"/>
    <w:rsid w:val="0080166F"/>
    <w:rsid w:val="00801870"/>
    <w:rsid w:val="00801DF5"/>
    <w:rsid w:val="00801FDC"/>
    <w:rsid w:val="00802004"/>
    <w:rsid w:val="00803174"/>
    <w:rsid w:val="00803287"/>
    <w:rsid w:val="00803B7D"/>
    <w:rsid w:val="00804074"/>
    <w:rsid w:val="0080417D"/>
    <w:rsid w:val="00805285"/>
    <w:rsid w:val="0080557D"/>
    <w:rsid w:val="0080593D"/>
    <w:rsid w:val="008063C8"/>
    <w:rsid w:val="0080685B"/>
    <w:rsid w:val="00807453"/>
    <w:rsid w:val="00807862"/>
    <w:rsid w:val="00807B13"/>
    <w:rsid w:val="00807D78"/>
    <w:rsid w:val="00810512"/>
    <w:rsid w:val="008110CB"/>
    <w:rsid w:val="00812378"/>
    <w:rsid w:val="00812B15"/>
    <w:rsid w:val="00812B37"/>
    <w:rsid w:val="008130E3"/>
    <w:rsid w:val="0081395D"/>
    <w:rsid w:val="008148B9"/>
    <w:rsid w:val="008149DF"/>
    <w:rsid w:val="00814F06"/>
    <w:rsid w:val="00815000"/>
    <w:rsid w:val="008157F8"/>
    <w:rsid w:val="0081586D"/>
    <w:rsid w:val="00815DB2"/>
    <w:rsid w:val="00816B11"/>
    <w:rsid w:val="008171B0"/>
    <w:rsid w:val="0081752B"/>
    <w:rsid w:val="0081753C"/>
    <w:rsid w:val="008176A2"/>
    <w:rsid w:val="0082051C"/>
    <w:rsid w:val="008205DA"/>
    <w:rsid w:val="0082076C"/>
    <w:rsid w:val="00820B48"/>
    <w:rsid w:val="008213BE"/>
    <w:rsid w:val="00821BFF"/>
    <w:rsid w:val="00822206"/>
    <w:rsid w:val="008229DC"/>
    <w:rsid w:val="0082502C"/>
    <w:rsid w:val="0082530E"/>
    <w:rsid w:val="00825FE0"/>
    <w:rsid w:val="00826071"/>
    <w:rsid w:val="008266C2"/>
    <w:rsid w:val="00826888"/>
    <w:rsid w:val="00826B56"/>
    <w:rsid w:val="008273DA"/>
    <w:rsid w:val="0083009B"/>
    <w:rsid w:val="00830EFB"/>
    <w:rsid w:val="00831185"/>
    <w:rsid w:val="008311FD"/>
    <w:rsid w:val="00831F6D"/>
    <w:rsid w:val="00831FCC"/>
    <w:rsid w:val="008332AA"/>
    <w:rsid w:val="00834799"/>
    <w:rsid w:val="00834CB9"/>
    <w:rsid w:val="008355B3"/>
    <w:rsid w:val="008356F2"/>
    <w:rsid w:val="008357D4"/>
    <w:rsid w:val="008361CC"/>
    <w:rsid w:val="0083647D"/>
    <w:rsid w:val="008373E7"/>
    <w:rsid w:val="008377CE"/>
    <w:rsid w:val="00840CE8"/>
    <w:rsid w:val="00841C1D"/>
    <w:rsid w:val="00841D98"/>
    <w:rsid w:val="008425BB"/>
    <w:rsid w:val="0084282E"/>
    <w:rsid w:val="00842832"/>
    <w:rsid w:val="00842990"/>
    <w:rsid w:val="00842C78"/>
    <w:rsid w:val="00843A30"/>
    <w:rsid w:val="00844127"/>
    <w:rsid w:val="008447CB"/>
    <w:rsid w:val="0084493F"/>
    <w:rsid w:val="00844F9B"/>
    <w:rsid w:val="008459F3"/>
    <w:rsid w:val="00845B2A"/>
    <w:rsid w:val="00845BBA"/>
    <w:rsid w:val="00845E9E"/>
    <w:rsid w:val="00845F90"/>
    <w:rsid w:val="00847BF9"/>
    <w:rsid w:val="00851E3D"/>
    <w:rsid w:val="008528F1"/>
    <w:rsid w:val="00852BE1"/>
    <w:rsid w:val="00853F74"/>
    <w:rsid w:val="00855676"/>
    <w:rsid w:val="00856115"/>
    <w:rsid w:val="00856269"/>
    <w:rsid w:val="008564BF"/>
    <w:rsid w:val="00857568"/>
    <w:rsid w:val="0085786D"/>
    <w:rsid w:val="008610E2"/>
    <w:rsid w:val="008610EA"/>
    <w:rsid w:val="00861BC0"/>
    <w:rsid w:val="00861C56"/>
    <w:rsid w:val="00862CAD"/>
    <w:rsid w:val="008639DA"/>
    <w:rsid w:val="00863FC0"/>
    <w:rsid w:val="008643BB"/>
    <w:rsid w:val="00864477"/>
    <w:rsid w:val="008644EA"/>
    <w:rsid w:val="008644FC"/>
    <w:rsid w:val="0086474F"/>
    <w:rsid w:val="00864A3C"/>
    <w:rsid w:val="00864B10"/>
    <w:rsid w:val="00865CD3"/>
    <w:rsid w:val="008667DD"/>
    <w:rsid w:val="00866F6A"/>
    <w:rsid w:val="00866FF5"/>
    <w:rsid w:val="0086739E"/>
    <w:rsid w:val="008677AD"/>
    <w:rsid w:val="008678EB"/>
    <w:rsid w:val="00867C92"/>
    <w:rsid w:val="00870174"/>
    <w:rsid w:val="00870749"/>
    <w:rsid w:val="008717C6"/>
    <w:rsid w:val="00871CF1"/>
    <w:rsid w:val="0087209E"/>
    <w:rsid w:val="00872C97"/>
    <w:rsid w:val="00872CCB"/>
    <w:rsid w:val="00873731"/>
    <w:rsid w:val="008739D8"/>
    <w:rsid w:val="00873AF1"/>
    <w:rsid w:val="00874C4E"/>
    <w:rsid w:val="00874E88"/>
    <w:rsid w:val="008758B4"/>
    <w:rsid w:val="00876A4F"/>
    <w:rsid w:val="00876DF9"/>
    <w:rsid w:val="0087720D"/>
    <w:rsid w:val="008774AC"/>
    <w:rsid w:val="0087765B"/>
    <w:rsid w:val="00877DC7"/>
    <w:rsid w:val="0088000D"/>
    <w:rsid w:val="00880149"/>
    <w:rsid w:val="00880692"/>
    <w:rsid w:val="00880E74"/>
    <w:rsid w:val="00881952"/>
    <w:rsid w:val="00881CC9"/>
    <w:rsid w:val="00882002"/>
    <w:rsid w:val="00882AFC"/>
    <w:rsid w:val="0088387C"/>
    <w:rsid w:val="00883E48"/>
    <w:rsid w:val="0088435D"/>
    <w:rsid w:val="00884436"/>
    <w:rsid w:val="00884C87"/>
    <w:rsid w:val="00884C8D"/>
    <w:rsid w:val="00884F05"/>
    <w:rsid w:val="008850A2"/>
    <w:rsid w:val="0088578C"/>
    <w:rsid w:val="008858A2"/>
    <w:rsid w:val="0088634E"/>
    <w:rsid w:val="00886656"/>
    <w:rsid w:val="00886812"/>
    <w:rsid w:val="0088775C"/>
    <w:rsid w:val="00887768"/>
    <w:rsid w:val="00890143"/>
    <w:rsid w:val="00890371"/>
    <w:rsid w:val="008904F9"/>
    <w:rsid w:val="008906B3"/>
    <w:rsid w:val="00890A0F"/>
    <w:rsid w:val="00890A90"/>
    <w:rsid w:val="00891BFE"/>
    <w:rsid w:val="00892AF7"/>
    <w:rsid w:val="00893461"/>
    <w:rsid w:val="00893945"/>
    <w:rsid w:val="008944DF"/>
    <w:rsid w:val="008949AB"/>
    <w:rsid w:val="00894D79"/>
    <w:rsid w:val="008950C5"/>
    <w:rsid w:val="00895955"/>
    <w:rsid w:val="008971E0"/>
    <w:rsid w:val="008972DE"/>
    <w:rsid w:val="00897457"/>
    <w:rsid w:val="0089745E"/>
    <w:rsid w:val="008A07EA"/>
    <w:rsid w:val="008A082C"/>
    <w:rsid w:val="008A0AFC"/>
    <w:rsid w:val="008A1412"/>
    <w:rsid w:val="008A1623"/>
    <w:rsid w:val="008A20A6"/>
    <w:rsid w:val="008A2329"/>
    <w:rsid w:val="008A2DC4"/>
    <w:rsid w:val="008A358A"/>
    <w:rsid w:val="008A3928"/>
    <w:rsid w:val="008A3AD6"/>
    <w:rsid w:val="008A3B82"/>
    <w:rsid w:val="008A4744"/>
    <w:rsid w:val="008A50B4"/>
    <w:rsid w:val="008A546C"/>
    <w:rsid w:val="008A5CC1"/>
    <w:rsid w:val="008A62AD"/>
    <w:rsid w:val="008A662F"/>
    <w:rsid w:val="008A6B5E"/>
    <w:rsid w:val="008A6FC7"/>
    <w:rsid w:val="008A727C"/>
    <w:rsid w:val="008B0E2D"/>
    <w:rsid w:val="008B0FB2"/>
    <w:rsid w:val="008B11F8"/>
    <w:rsid w:val="008B1504"/>
    <w:rsid w:val="008B18A6"/>
    <w:rsid w:val="008B18C9"/>
    <w:rsid w:val="008B1B0B"/>
    <w:rsid w:val="008B2E98"/>
    <w:rsid w:val="008B4147"/>
    <w:rsid w:val="008B47D7"/>
    <w:rsid w:val="008B4D63"/>
    <w:rsid w:val="008B50C3"/>
    <w:rsid w:val="008B591F"/>
    <w:rsid w:val="008B6F8A"/>
    <w:rsid w:val="008B77F5"/>
    <w:rsid w:val="008C00E2"/>
    <w:rsid w:val="008C018A"/>
    <w:rsid w:val="008C0B31"/>
    <w:rsid w:val="008C1112"/>
    <w:rsid w:val="008C16A5"/>
    <w:rsid w:val="008C1CEA"/>
    <w:rsid w:val="008C1DCF"/>
    <w:rsid w:val="008C1FAB"/>
    <w:rsid w:val="008C2227"/>
    <w:rsid w:val="008C2665"/>
    <w:rsid w:val="008C2B78"/>
    <w:rsid w:val="008C5127"/>
    <w:rsid w:val="008C53AD"/>
    <w:rsid w:val="008C63D8"/>
    <w:rsid w:val="008C6AD4"/>
    <w:rsid w:val="008C6F66"/>
    <w:rsid w:val="008C790B"/>
    <w:rsid w:val="008C7B34"/>
    <w:rsid w:val="008D0153"/>
    <w:rsid w:val="008D02B8"/>
    <w:rsid w:val="008D07B7"/>
    <w:rsid w:val="008D0AC7"/>
    <w:rsid w:val="008D0DEA"/>
    <w:rsid w:val="008D1FA5"/>
    <w:rsid w:val="008D2567"/>
    <w:rsid w:val="008D275A"/>
    <w:rsid w:val="008D46FF"/>
    <w:rsid w:val="008D48B8"/>
    <w:rsid w:val="008D49B5"/>
    <w:rsid w:val="008D5156"/>
    <w:rsid w:val="008D57BD"/>
    <w:rsid w:val="008D5E84"/>
    <w:rsid w:val="008D687C"/>
    <w:rsid w:val="008D693D"/>
    <w:rsid w:val="008D71C6"/>
    <w:rsid w:val="008D7E6D"/>
    <w:rsid w:val="008D7FEE"/>
    <w:rsid w:val="008E03E1"/>
    <w:rsid w:val="008E0501"/>
    <w:rsid w:val="008E0CFD"/>
    <w:rsid w:val="008E1C8E"/>
    <w:rsid w:val="008E2243"/>
    <w:rsid w:val="008E22C3"/>
    <w:rsid w:val="008E25E3"/>
    <w:rsid w:val="008E2604"/>
    <w:rsid w:val="008E27D5"/>
    <w:rsid w:val="008E2DE3"/>
    <w:rsid w:val="008E2F1E"/>
    <w:rsid w:val="008E418A"/>
    <w:rsid w:val="008E4EC7"/>
    <w:rsid w:val="008E538F"/>
    <w:rsid w:val="008E5B19"/>
    <w:rsid w:val="008E6066"/>
    <w:rsid w:val="008E60F4"/>
    <w:rsid w:val="008E629E"/>
    <w:rsid w:val="008E630C"/>
    <w:rsid w:val="008E7059"/>
    <w:rsid w:val="008E7877"/>
    <w:rsid w:val="008F03E8"/>
    <w:rsid w:val="008F05E1"/>
    <w:rsid w:val="008F0969"/>
    <w:rsid w:val="008F0A79"/>
    <w:rsid w:val="008F0CA2"/>
    <w:rsid w:val="008F0FCB"/>
    <w:rsid w:val="008F10E9"/>
    <w:rsid w:val="008F11D6"/>
    <w:rsid w:val="008F17CC"/>
    <w:rsid w:val="008F1C92"/>
    <w:rsid w:val="008F1E65"/>
    <w:rsid w:val="008F1F45"/>
    <w:rsid w:val="008F24C1"/>
    <w:rsid w:val="008F26BD"/>
    <w:rsid w:val="008F2BEA"/>
    <w:rsid w:val="008F311E"/>
    <w:rsid w:val="008F3A8C"/>
    <w:rsid w:val="008F421F"/>
    <w:rsid w:val="008F5BA8"/>
    <w:rsid w:val="008F5C96"/>
    <w:rsid w:val="008F64AE"/>
    <w:rsid w:val="008F64C2"/>
    <w:rsid w:val="008F6FE4"/>
    <w:rsid w:val="008F7478"/>
    <w:rsid w:val="0090095A"/>
    <w:rsid w:val="009010C4"/>
    <w:rsid w:val="00901701"/>
    <w:rsid w:val="00901A46"/>
    <w:rsid w:val="00901A76"/>
    <w:rsid w:val="00902688"/>
    <w:rsid w:val="00902734"/>
    <w:rsid w:val="00902B45"/>
    <w:rsid w:val="009037B0"/>
    <w:rsid w:val="00903FEF"/>
    <w:rsid w:val="0090404C"/>
    <w:rsid w:val="00904397"/>
    <w:rsid w:val="009048AD"/>
    <w:rsid w:val="00904D7F"/>
    <w:rsid w:val="00905C53"/>
    <w:rsid w:val="00906758"/>
    <w:rsid w:val="00906917"/>
    <w:rsid w:val="00906D4A"/>
    <w:rsid w:val="00906F04"/>
    <w:rsid w:val="00906FA3"/>
    <w:rsid w:val="0090747E"/>
    <w:rsid w:val="009075B0"/>
    <w:rsid w:val="009076DB"/>
    <w:rsid w:val="00907C1D"/>
    <w:rsid w:val="00910309"/>
    <w:rsid w:val="00910A41"/>
    <w:rsid w:val="00910D5E"/>
    <w:rsid w:val="00911A27"/>
    <w:rsid w:val="0091259C"/>
    <w:rsid w:val="00912ADF"/>
    <w:rsid w:val="00912D44"/>
    <w:rsid w:val="0091392E"/>
    <w:rsid w:val="00913E7E"/>
    <w:rsid w:val="00914113"/>
    <w:rsid w:val="009142D7"/>
    <w:rsid w:val="009142D8"/>
    <w:rsid w:val="009142F3"/>
    <w:rsid w:val="0091476D"/>
    <w:rsid w:val="009149FE"/>
    <w:rsid w:val="00914D5B"/>
    <w:rsid w:val="00915981"/>
    <w:rsid w:val="00915BD0"/>
    <w:rsid w:val="00915FBF"/>
    <w:rsid w:val="009165F1"/>
    <w:rsid w:val="0091796D"/>
    <w:rsid w:val="0092049F"/>
    <w:rsid w:val="009205B2"/>
    <w:rsid w:val="009210F3"/>
    <w:rsid w:val="0092124E"/>
    <w:rsid w:val="00921492"/>
    <w:rsid w:val="009217B2"/>
    <w:rsid w:val="009221D4"/>
    <w:rsid w:val="009222C6"/>
    <w:rsid w:val="009237AB"/>
    <w:rsid w:val="00923C17"/>
    <w:rsid w:val="00923ECF"/>
    <w:rsid w:val="0092451E"/>
    <w:rsid w:val="00924553"/>
    <w:rsid w:val="009246D2"/>
    <w:rsid w:val="0092482F"/>
    <w:rsid w:val="0092507C"/>
    <w:rsid w:val="00925A33"/>
    <w:rsid w:val="00926540"/>
    <w:rsid w:val="009271C3"/>
    <w:rsid w:val="00927374"/>
    <w:rsid w:val="009273E7"/>
    <w:rsid w:val="00927923"/>
    <w:rsid w:val="00927AC8"/>
    <w:rsid w:val="00927FB9"/>
    <w:rsid w:val="009302BA"/>
    <w:rsid w:val="00930372"/>
    <w:rsid w:val="0093052A"/>
    <w:rsid w:val="0093082B"/>
    <w:rsid w:val="00930B74"/>
    <w:rsid w:val="009310DD"/>
    <w:rsid w:val="00931BF5"/>
    <w:rsid w:val="00931DCB"/>
    <w:rsid w:val="009326B0"/>
    <w:rsid w:val="00932A8D"/>
    <w:rsid w:val="00932D42"/>
    <w:rsid w:val="00933015"/>
    <w:rsid w:val="00933361"/>
    <w:rsid w:val="00933935"/>
    <w:rsid w:val="00933B81"/>
    <w:rsid w:val="00933C8D"/>
    <w:rsid w:val="00933F1C"/>
    <w:rsid w:val="00933FAF"/>
    <w:rsid w:val="00934093"/>
    <w:rsid w:val="00934C5B"/>
    <w:rsid w:val="00934C8B"/>
    <w:rsid w:val="00934EC2"/>
    <w:rsid w:val="00935A35"/>
    <w:rsid w:val="00936B7E"/>
    <w:rsid w:val="0093798C"/>
    <w:rsid w:val="00937BEB"/>
    <w:rsid w:val="00940137"/>
    <w:rsid w:val="00940679"/>
    <w:rsid w:val="0094067F"/>
    <w:rsid w:val="00940C7E"/>
    <w:rsid w:val="009410E6"/>
    <w:rsid w:val="0094139A"/>
    <w:rsid w:val="00942104"/>
    <w:rsid w:val="0094308F"/>
    <w:rsid w:val="009431CE"/>
    <w:rsid w:val="0094349C"/>
    <w:rsid w:val="00943DC0"/>
    <w:rsid w:val="00943E91"/>
    <w:rsid w:val="009443DB"/>
    <w:rsid w:val="00945507"/>
    <w:rsid w:val="00945A75"/>
    <w:rsid w:val="009468E8"/>
    <w:rsid w:val="009469B9"/>
    <w:rsid w:val="00946A14"/>
    <w:rsid w:val="009471D7"/>
    <w:rsid w:val="00947416"/>
    <w:rsid w:val="00947B91"/>
    <w:rsid w:val="00950106"/>
    <w:rsid w:val="009504A4"/>
    <w:rsid w:val="00950792"/>
    <w:rsid w:val="0095118B"/>
    <w:rsid w:val="00951A78"/>
    <w:rsid w:val="00952581"/>
    <w:rsid w:val="00952D96"/>
    <w:rsid w:val="00953597"/>
    <w:rsid w:val="0095393C"/>
    <w:rsid w:val="00953DCD"/>
    <w:rsid w:val="00954364"/>
    <w:rsid w:val="00954D6A"/>
    <w:rsid w:val="00954DE6"/>
    <w:rsid w:val="0095511F"/>
    <w:rsid w:val="00955A58"/>
    <w:rsid w:val="00955A8A"/>
    <w:rsid w:val="00956361"/>
    <w:rsid w:val="00956DCF"/>
    <w:rsid w:val="00960251"/>
    <w:rsid w:val="00960D3D"/>
    <w:rsid w:val="00961240"/>
    <w:rsid w:val="00962746"/>
    <w:rsid w:val="00962EC8"/>
    <w:rsid w:val="00963E44"/>
    <w:rsid w:val="009642FD"/>
    <w:rsid w:val="00964F14"/>
    <w:rsid w:val="00965075"/>
    <w:rsid w:val="00966331"/>
    <w:rsid w:val="009665BE"/>
    <w:rsid w:val="009668C6"/>
    <w:rsid w:val="009678DC"/>
    <w:rsid w:val="00967DED"/>
    <w:rsid w:val="00970055"/>
    <w:rsid w:val="00971054"/>
    <w:rsid w:val="009714E3"/>
    <w:rsid w:val="00971B1E"/>
    <w:rsid w:val="00971D02"/>
    <w:rsid w:val="009722E2"/>
    <w:rsid w:val="009724B7"/>
    <w:rsid w:val="00973153"/>
    <w:rsid w:val="00973229"/>
    <w:rsid w:val="009732B8"/>
    <w:rsid w:val="009743E1"/>
    <w:rsid w:val="00974ADF"/>
    <w:rsid w:val="00974D61"/>
    <w:rsid w:val="009752D2"/>
    <w:rsid w:val="009756D9"/>
    <w:rsid w:val="00975C1F"/>
    <w:rsid w:val="00976CFE"/>
    <w:rsid w:val="00976DA8"/>
    <w:rsid w:val="00976FCE"/>
    <w:rsid w:val="00977976"/>
    <w:rsid w:val="00980507"/>
    <w:rsid w:val="00982579"/>
    <w:rsid w:val="0098262A"/>
    <w:rsid w:val="009827F9"/>
    <w:rsid w:val="009829F7"/>
    <w:rsid w:val="009836BE"/>
    <w:rsid w:val="009839D1"/>
    <w:rsid w:val="00983B4C"/>
    <w:rsid w:val="00983BE8"/>
    <w:rsid w:val="0098441D"/>
    <w:rsid w:val="00984523"/>
    <w:rsid w:val="00984F9A"/>
    <w:rsid w:val="00985520"/>
    <w:rsid w:val="0098577D"/>
    <w:rsid w:val="00985BF7"/>
    <w:rsid w:val="00985DD3"/>
    <w:rsid w:val="00986189"/>
    <w:rsid w:val="0098648A"/>
    <w:rsid w:val="00987311"/>
    <w:rsid w:val="00987698"/>
    <w:rsid w:val="00987704"/>
    <w:rsid w:val="00987D8E"/>
    <w:rsid w:val="009909D2"/>
    <w:rsid w:val="00990E9C"/>
    <w:rsid w:val="009912A3"/>
    <w:rsid w:val="00991AC5"/>
    <w:rsid w:val="00991B60"/>
    <w:rsid w:val="00993647"/>
    <w:rsid w:val="00993BF0"/>
    <w:rsid w:val="0099435B"/>
    <w:rsid w:val="009946A9"/>
    <w:rsid w:val="009948AC"/>
    <w:rsid w:val="00994C2C"/>
    <w:rsid w:val="00994DB2"/>
    <w:rsid w:val="009956DF"/>
    <w:rsid w:val="0099595C"/>
    <w:rsid w:val="009968CF"/>
    <w:rsid w:val="00996C24"/>
    <w:rsid w:val="00996C96"/>
    <w:rsid w:val="009974F8"/>
    <w:rsid w:val="00997D74"/>
    <w:rsid w:val="009A145B"/>
    <w:rsid w:val="009A1BD5"/>
    <w:rsid w:val="009A1C6C"/>
    <w:rsid w:val="009A1F7F"/>
    <w:rsid w:val="009A303D"/>
    <w:rsid w:val="009A3256"/>
    <w:rsid w:val="009A406F"/>
    <w:rsid w:val="009A4907"/>
    <w:rsid w:val="009A52D0"/>
    <w:rsid w:val="009A5354"/>
    <w:rsid w:val="009A5792"/>
    <w:rsid w:val="009A6768"/>
    <w:rsid w:val="009A6A1D"/>
    <w:rsid w:val="009A6A42"/>
    <w:rsid w:val="009A6AEA"/>
    <w:rsid w:val="009A6EA4"/>
    <w:rsid w:val="009A72DD"/>
    <w:rsid w:val="009A76FF"/>
    <w:rsid w:val="009A78A6"/>
    <w:rsid w:val="009A7C35"/>
    <w:rsid w:val="009B0267"/>
    <w:rsid w:val="009B02F8"/>
    <w:rsid w:val="009B04E7"/>
    <w:rsid w:val="009B0A6C"/>
    <w:rsid w:val="009B1079"/>
    <w:rsid w:val="009B1AAB"/>
    <w:rsid w:val="009B22BC"/>
    <w:rsid w:val="009B2400"/>
    <w:rsid w:val="009B2D8B"/>
    <w:rsid w:val="009B2F50"/>
    <w:rsid w:val="009B3649"/>
    <w:rsid w:val="009B4C0D"/>
    <w:rsid w:val="009B553E"/>
    <w:rsid w:val="009B63A7"/>
    <w:rsid w:val="009B63E0"/>
    <w:rsid w:val="009B67C4"/>
    <w:rsid w:val="009B6EB4"/>
    <w:rsid w:val="009B7825"/>
    <w:rsid w:val="009B7AA8"/>
    <w:rsid w:val="009C03EF"/>
    <w:rsid w:val="009C04FA"/>
    <w:rsid w:val="009C12D2"/>
    <w:rsid w:val="009C1510"/>
    <w:rsid w:val="009C1540"/>
    <w:rsid w:val="009C1D2C"/>
    <w:rsid w:val="009C2B61"/>
    <w:rsid w:val="009C2BBF"/>
    <w:rsid w:val="009C2EB5"/>
    <w:rsid w:val="009C3526"/>
    <w:rsid w:val="009C4612"/>
    <w:rsid w:val="009C475C"/>
    <w:rsid w:val="009C49A5"/>
    <w:rsid w:val="009C4EDD"/>
    <w:rsid w:val="009C5A9C"/>
    <w:rsid w:val="009C5D1A"/>
    <w:rsid w:val="009C63CA"/>
    <w:rsid w:val="009C6406"/>
    <w:rsid w:val="009C69B0"/>
    <w:rsid w:val="009C6DB5"/>
    <w:rsid w:val="009C6DF8"/>
    <w:rsid w:val="009C74A4"/>
    <w:rsid w:val="009D04DA"/>
    <w:rsid w:val="009D0C8B"/>
    <w:rsid w:val="009D10ED"/>
    <w:rsid w:val="009D1C09"/>
    <w:rsid w:val="009D25AD"/>
    <w:rsid w:val="009D3377"/>
    <w:rsid w:val="009D3545"/>
    <w:rsid w:val="009D3565"/>
    <w:rsid w:val="009D35BB"/>
    <w:rsid w:val="009D44E9"/>
    <w:rsid w:val="009D47D3"/>
    <w:rsid w:val="009D559B"/>
    <w:rsid w:val="009D5EC8"/>
    <w:rsid w:val="009D6401"/>
    <w:rsid w:val="009D6BA9"/>
    <w:rsid w:val="009D6C97"/>
    <w:rsid w:val="009D722B"/>
    <w:rsid w:val="009D7AA0"/>
    <w:rsid w:val="009E1625"/>
    <w:rsid w:val="009E1E74"/>
    <w:rsid w:val="009E2FFB"/>
    <w:rsid w:val="009E3236"/>
    <w:rsid w:val="009E39D3"/>
    <w:rsid w:val="009E3C52"/>
    <w:rsid w:val="009E3F98"/>
    <w:rsid w:val="009E478D"/>
    <w:rsid w:val="009E4BD7"/>
    <w:rsid w:val="009E56C1"/>
    <w:rsid w:val="009E5849"/>
    <w:rsid w:val="009E69A9"/>
    <w:rsid w:val="009E70CC"/>
    <w:rsid w:val="009E7D1D"/>
    <w:rsid w:val="009F024A"/>
    <w:rsid w:val="009F06BF"/>
    <w:rsid w:val="009F0D15"/>
    <w:rsid w:val="009F13B2"/>
    <w:rsid w:val="009F2013"/>
    <w:rsid w:val="009F27C0"/>
    <w:rsid w:val="009F2A46"/>
    <w:rsid w:val="009F2B3A"/>
    <w:rsid w:val="009F2DFF"/>
    <w:rsid w:val="009F34D4"/>
    <w:rsid w:val="009F36EA"/>
    <w:rsid w:val="009F3972"/>
    <w:rsid w:val="009F4491"/>
    <w:rsid w:val="009F52BA"/>
    <w:rsid w:val="009F5D8B"/>
    <w:rsid w:val="009F5F52"/>
    <w:rsid w:val="009F6AA6"/>
    <w:rsid w:val="009F7492"/>
    <w:rsid w:val="009F779E"/>
    <w:rsid w:val="009F78EB"/>
    <w:rsid w:val="00A004B8"/>
    <w:rsid w:val="00A0065A"/>
    <w:rsid w:val="00A013D6"/>
    <w:rsid w:val="00A01A8A"/>
    <w:rsid w:val="00A01B3C"/>
    <w:rsid w:val="00A01E46"/>
    <w:rsid w:val="00A021E3"/>
    <w:rsid w:val="00A02216"/>
    <w:rsid w:val="00A022B1"/>
    <w:rsid w:val="00A0276C"/>
    <w:rsid w:val="00A0325A"/>
    <w:rsid w:val="00A03904"/>
    <w:rsid w:val="00A03D92"/>
    <w:rsid w:val="00A044DF"/>
    <w:rsid w:val="00A04C6A"/>
    <w:rsid w:val="00A04EB2"/>
    <w:rsid w:val="00A058D5"/>
    <w:rsid w:val="00A05AD3"/>
    <w:rsid w:val="00A05C28"/>
    <w:rsid w:val="00A05C4E"/>
    <w:rsid w:val="00A06E00"/>
    <w:rsid w:val="00A070CD"/>
    <w:rsid w:val="00A073BE"/>
    <w:rsid w:val="00A07674"/>
    <w:rsid w:val="00A0771C"/>
    <w:rsid w:val="00A07883"/>
    <w:rsid w:val="00A07FDB"/>
    <w:rsid w:val="00A1041F"/>
    <w:rsid w:val="00A10B1F"/>
    <w:rsid w:val="00A10D66"/>
    <w:rsid w:val="00A10EF4"/>
    <w:rsid w:val="00A11369"/>
    <w:rsid w:val="00A11393"/>
    <w:rsid w:val="00A122E1"/>
    <w:rsid w:val="00A1243E"/>
    <w:rsid w:val="00A12C82"/>
    <w:rsid w:val="00A13477"/>
    <w:rsid w:val="00A13A74"/>
    <w:rsid w:val="00A13C9D"/>
    <w:rsid w:val="00A1525B"/>
    <w:rsid w:val="00A16501"/>
    <w:rsid w:val="00A2084A"/>
    <w:rsid w:val="00A235DA"/>
    <w:rsid w:val="00A23958"/>
    <w:rsid w:val="00A23D87"/>
    <w:rsid w:val="00A24B29"/>
    <w:rsid w:val="00A24F62"/>
    <w:rsid w:val="00A254DC"/>
    <w:rsid w:val="00A25510"/>
    <w:rsid w:val="00A2597F"/>
    <w:rsid w:val="00A26360"/>
    <w:rsid w:val="00A2678B"/>
    <w:rsid w:val="00A269AA"/>
    <w:rsid w:val="00A27B8A"/>
    <w:rsid w:val="00A308B3"/>
    <w:rsid w:val="00A30C71"/>
    <w:rsid w:val="00A317DE"/>
    <w:rsid w:val="00A328CF"/>
    <w:rsid w:val="00A3335A"/>
    <w:rsid w:val="00A340BD"/>
    <w:rsid w:val="00A35B3F"/>
    <w:rsid w:val="00A35D4D"/>
    <w:rsid w:val="00A35F87"/>
    <w:rsid w:val="00A3607C"/>
    <w:rsid w:val="00A361C6"/>
    <w:rsid w:val="00A36277"/>
    <w:rsid w:val="00A368E7"/>
    <w:rsid w:val="00A36AE9"/>
    <w:rsid w:val="00A3783D"/>
    <w:rsid w:val="00A379F5"/>
    <w:rsid w:val="00A40458"/>
    <w:rsid w:val="00A41AED"/>
    <w:rsid w:val="00A422BE"/>
    <w:rsid w:val="00A42548"/>
    <w:rsid w:val="00A42F8A"/>
    <w:rsid w:val="00A431BD"/>
    <w:rsid w:val="00A43203"/>
    <w:rsid w:val="00A43717"/>
    <w:rsid w:val="00A43FF9"/>
    <w:rsid w:val="00A4413F"/>
    <w:rsid w:val="00A45AE7"/>
    <w:rsid w:val="00A45C4E"/>
    <w:rsid w:val="00A464AD"/>
    <w:rsid w:val="00A46D39"/>
    <w:rsid w:val="00A472B0"/>
    <w:rsid w:val="00A47E1D"/>
    <w:rsid w:val="00A510CD"/>
    <w:rsid w:val="00A52001"/>
    <w:rsid w:val="00A52408"/>
    <w:rsid w:val="00A524A7"/>
    <w:rsid w:val="00A525BD"/>
    <w:rsid w:val="00A526FA"/>
    <w:rsid w:val="00A53357"/>
    <w:rsid w:val="00A5363A"/>
    <w:rsid w:val="00A53C70"/>
    <w:rsid w:val="00A54B0D"/>
    <w:rsid w:val="00A55791"/>
    <w:rsid w:val="00A55F88"/>
    <w:rsid w:val="00A56ECE"/>
    <w:rsid w:val="00A576B8"/>
    <w:rsid w:val="00A602CE"/>
    <w:rsid w:val="00A60A3D"/>
    <w:rsid w:val="00A617C5"/>
    <w:rsid w:val="00A61892"/>
    <w:rsid w:val="00A633F2"/>
    <w:rsid w:val="00A63914"/>
    <w:rsid w:val="00A63A27"/>
    <w:rsid w:val="00A641C2"/>
    <w:rsid w:val="00A64D38"/>
    <w:rsid w:val="00A65459"/>
    <w:rsid w:val="00A66770"/>
    <w:rsid w:val="00A66ABE"/>
    <w:rsid w:val="00A66FCE"/>
    <w:rsid w:val="00A6722B"/>
    <w:rsid w:val="00A67840"/>
    <w:rsid w:val="00A67B85"/>
    <w:rsid w:val="00A70947"/>
    <w:rsid w:val="00A71607"/>
    <w:rsid w:val="00A7168B"/>
    <w:rsid w:val="00A719BA"/>
    <w:rsid w:val="00A720DE"/>
    <w:rsid w:val="00A72FE5"/>
    <w:rsid w:val="00A73298"/>
    <w:rsid w:val="00A7423A"/>
    <w:rsid w:val="00A742DB"/>
    <w:rsid w:val="00A74A06"/>
    <w:rsid w:val="00A7518C"/>
    <w:rsid w:val="00A75360"/>
    <w:rsid w:val="00A75504"/>
    <w:rsid w:val="00A759AF"/>
    <w:rsid w:val="00A75B48"/>
    <w:rsid w:val="00A7634A"/>
    <w:rsid w:val="00A76402"/>
    <w:rsid w:val="00A76910"/>
    <w:rsid w:val="00A76AF9"/>
    <w:rsid w:val="00A76EAE"/>
    <w:rsid w:val="00A7745D"/>
    <w:rsid w:val="00A7747A"/>
    <w:rsid w:val="00A77595"/>
    <w:rsid w:val="00A82246"/>
    <w:rsid w:val="00A82940"/>
    <w:rsid w:val="00A833C2"/>
    <w:rsid w:val="00A83476"/>
    <w:rsid w:val="00A839E5"/>
    <w:rsid w:val="00A83A40"/>
    <w:rsid w:val="00A83FBD"/>
    <w:rsid w:val="00A84699"/>
    <w:rsid w:val="00A84DB4"/>
    <w:rsid w:val="00A84DF7"/>
    <w:rsid w:val="00A85137"/>
    <w:rsid w:val="00A86428"/>
    <w:rsid w:val="00A864BC"/>
    <w:rsid w:val="00A86761"/>
    <w:rsid w:val="00A86A39"/>
    <w:rsid w:val="00A87463"/>
    <w:rsid w:val="00A879E8"/>
    <w:rsid w:val="00A87EF7"/>
    <w:rsid w:val="00A902B1"/>
    <w:rsid w:val="00A909F8"/>
    <w:rsid w:val="00A90A6C"/>
    <w:rsid w:val="00A90AA9"/>
    <w:rsid w:val="00A912D9"/>
    <w:rsid w:val="00A91802"/>
    <w:rsid w:val="00A921EC"/>
    <w:rsid w:val="00A92510"/>
    <w:rsid w:val="00A925C9"/>
    <w:rsid w:val="00A932CD"/>
    <w:rsid w:val="00A946FE"/>
    <w:rsid w:val="00A952C1"/>
    <w:rsid w:val="00A95655"/>
    <w:rsid w:val="00A95B4D"/>
    <w:rsid w:val="00A95BAF"/>
    <w:rsid w:val="00A96239"/>
    <w:rsid w:val="00A9658E"/>
    <w:rsid w:val="00A97011"/>
    <w:rsid w:val="00A979B1"/>
    <w:rsid w:val="00A97B74"/>
    <w:rsid w:val="00A97BBD"/>
    <w:rsid w:val="00AA0D3D"/>
    <w:rsid w:val="00AA2218"/>
    <w:rsid w:val="00AA262F"/>
    <w:rsid w:val="00AA2D0A"/>
    <w:rsid w:val="00AA2F1B"/>
    <w:rsid w:val="00AA30AD"/>
    <w:rsid w:val="00AA3A14"/>
    <w:rsid w:val="00AA4794"/>
    <w:rsid w:val="00AA4B68"/>
    <w:rsid w:val="00AA57F8"/>
    <w:rsid w:val="00AA665B"/>
    <w:rsid w:val="00AA78C6"/>
    <w:rsid w:val="00AB0928"/>
    <w:rsid w:val="00AB1B4F"/>
    <w:rsid w:val="00AB258B"/>
    <w:rsid w:val="00AB28AF"/>
    <w:rsid w:val="00AB2D66"/>
    <w:rsid w:val="00AB2EB0"/>
    <w:rsid w:val="00AB30F2"/>
    <w:rsid w:val="00AB3923"/>
    <w:rsid w:val="00AB4673"/>
    <w:rsid w:val="00AB60F4"/>
    <w:rsid w:val="00AB6C43"/>
    <w:rsid w:val="00AB6CD3"/>
    <w:rsid w:val="00AB6F9D"/>
    <w:rsid w:val="00AB71A2"/>
    <w:rsid w:val="00AB768E"/>
    <w:rsid w:val="00AB7993"/>
    <w:rsid w:val="00AC048F"/>
    <w:rsid w:val="00AC1EFF"/>
    <w:rsid w:val="00AC203E"/>
    <w:rsid w:val="00AC20A7"/>
    <w:rsid w:val="00AC233C"/>
    <w:rsid w:val="00AC2721"/>
    <w:rsid w:val="00AC288D"/>
    <w:rsid w:val="00AC2BDA"/>
    <w:rsid w:val="00AC2D0B"/>
    <w:rsid w:val="00AC34D8"/>
    <w:rsid w:val="00AC42A5"/>
    <w:rsid w:val="00AC4789"/>
    <w:rsid w:val="00AC5474"/>
    <w:rsid w:val="00AC5942"/>
    <w:rsid w:val="00AC5B2E"/>
    <w:rsid w:val="00AC5BB9"/>
    <w:rsid w:val="00AC5E57"/>
    <w:rsid w:val="00AC6000"/>
    <w:rsid w:val="00AC6440"/>
    <w:rsid w:val="00AC66C0"/>
    <w:rsid w:val="00AC6876"/>
    <w:rsid w:val="00AC75FB"/>
    <w:rsid w:val="00AD00B1"/>
    <w:rsid w:val="00AD016C"/>
    <w:rsid w:val="00AD0215"/>
    <w:rsid w:val="00AD124A"/>
    <w:rsid w:val="00AD1733"/>
    <w:rsid w:val="00AD193A"/>
    <w:rsid w:val="00AD1C7B"/>
    <w:rsid w:val="00AD1E49"/>
    <w:rsid w:val="00AD1E88"/>
    <w:rsid w:val="00AD264B"/>
    <w:rsid w:val="00AD28EE"/>
    <w:rsid w:val="00AD3034"/>
    <w:rsid w:val="00AD32F1"/>
    <w:rsid w:val="00AD33F3"/>
    <w:rsid w:val="00AD3695"/>
    <w:rsid w:val="00AD36EB"/>
    <w:rsid w:val="00AD388F"/>
    <w:rsid w:val="00AD4C81"/>
    <w:rsid w:val="00AD5BE2"/>
    <w:rsid w:val="00AD5D07"/>
    <w:rsid w:val="00AD64D6"/>
    <w:rsid w:val="00AD68F9"/>
    <w:rsid w:val="00AD6DA0"/>
    <w:rsid w:val="00AE041A"/>
    <w:rsid w:val="00AE1345"/>
    <w:rsid w:val="00AE1A7D"/>
    <w:rsid w:val="00AE1A7F"/>
    <w:rsid w:val="00AE2194"/>
    <w:rsid w:val="00AE285D"/>
    <w:rsid w:val="00AE2926"/>
    <w:rsid w:val="00AE2995"/>
    <w:rsid w:val="00AE2C93"/>
    <w:rsid w:val="00AE2DAD"/>
    <w:rsid w:val="00AE309F"/>
    <w:rsid w:val="00AE3241"/>
    <w:rsid w:val="00AE383F"/>
    <w:rsid w:val="00AE42B5"/>
    <w:rsid w:val="00AE4570"/>
    <w:rsid w:val="00AE45F0"/>
    <w:rsid w:val="00AE4D62"/>
    <w:rsid w:val="00AE4F03"/>
    <w:rsid w:val="00AE4F30"/>
    <w:rsid w:val="00AE5AC5"/>
    <w:rsid w:val="00AE64B1"/>
    <w:rsid w:val="00AE6C02"/>
    <w:rsid w:val="00AE6ED9"/>
    <w:rsid w:val="00AE7464"/>
    <w:rsid w:val="00AE74F2"/>
    <w:rsid w:val="00AE7596"/>
    <w:rsid w:val="00AE7D12"/>
    <w:rsid w:val="00AF05F6"/>
    <w:rsid w:val="00AF0F2C"/>
    <w:rsid w:val="00AF183D"/>
    <w:rsid w:val="00AF186C"/>
    <w:rsid w:val="00AF19AD"/>
    <w:rsid w:val="00AF1AFB"/>
    <w:rsid w:val="00AF296D"/>
    <w:rsid w:val="00AF2AC2"/>
    <w:rsid w:val="00AF301D"/>
    <w:rsid w:val="00AF3E3B"/>
    <w:rsid w:val="00AF3F38"/>
    <w:rsid w:val="00AF4198"/>
    <w:rsid w:val="00AF42ED"/>
    <w:rsid w:val="00AF4842"/>
    <w:rsid w:val="00AF49F4"/>
    <w:rsid w:val="00AF6AB9"/>
    <w:rsid w:val="00AF7284"/>
    <w:rsid w:val="00AF732D"/>
    <w:rsid w:val="00B000C3"/>
    <w:rsid w:val="00B02037"/>
    <w:rsid w:val="00B0219F"/>
    <w:rsid w:val="00B0241B"/>
    <w:rsid w:val="00B02BEE"/>
    <w:rsid w:val="00B03166"/>
    <w:rsid w:val="00B040EA"/>
    <w:rsid w:val="00B0466E"/>
    <w:rsid w:val="00B0497B"/>
    <w:rsid w:val="00B0515F"/>
    <w:rsid w:val="00B056F6"/>
    <w:rsid w:val="00B05D78"/>
    <w:rsid w:val="00B0633E"/>
    <w:rsid w:val="00B07A8B"/>
    <w:rsid w:val="00B07BED"/>
    <w:rsid w:val="00B108CE"/>
    <w:rsid w:val="00B1192D"/>
    <w:rsid w:val="00B11A05"/>
    <w:rsid w:val="00B1244C"/>
    <w:rsid w:val="00B12651"/>
    <w:rsid w:val="00B12C11"/>
    <w:rsid w:val="00B12E26"/>
    <w:rsid w:val="00B1306F"/>
    <w:rsid w:val="00B136C5"/>
    <w:rsid w:val="00B13700"/>
    <w:rsid w:val="00B1397C"/>
    <w:rsid w:val="00B13CBF"/>
    <w:rsid w:val="00B14DED"/>
    <w:rsid w:val="00B15775"/>
    <w:rsid w:val="00B15888"/>
    <w:rsid w:val="00B16631"/>
    <w:rsid w:val="00B166FB"/>
    <w:rsid w:val="00B16926"/>
    <w:rsid w:val="00B17CB5"/>
    <w:rsid w:val="00B17DA9"/>
    <w:rsid w:val="00B2011F"/>
    <w:rsid w:val="00B20654"/>
    <w:rsid w:val="00B211FE"/>
    <w:rsid w:val="00B22192"/>
    <w:rsid w:val="00B23B5C"/>
    <w:rsid w:val="00B248EC"/>
    <w:rsid w:val="00B24D00"/>
    <w:rsid w:val="00B25106"/>
    <w:rsid w:val="00B25764"/>
    <w:rsid w:val="00B25AAF"/>
    <w:rsid w:val="00B2645D"/>
    <w:rsid w:val="00B269A0"/>
    <w:rsid w:val="00B271F0"/>
    <w:rsid w:val="00B27F2E"/>
    <w:rsid w:val="00B30CB2"/>
    <w:rsid w:val="00B31424"/>
    <w:rsid w:val="00B31483"/>
    <w:rsid w:val="00B3156B"/>
    <w:rsid w:val="00B3162B"/>
    <w:rsid w:val="00B31795"/>
    <w:rsid w:val="00B31C18"/>
    <w:rsid w:val="00B31D7B"/>
    <w:rsid w:val="00B32997"/>
    <w:rsid w:val="00B33712"/>
    <w:rsid w:val="00B337A6"/>
    <w:rsid w:val="00B33EFB"/>
    <w:rsid w:val="00B3461C"/>
    <w:rsid w:val="00B34834"/>
    <w:rsid w:val="00B34C0F"/>
    <w:rsid w:val="00B354DD"/>
    <w:rsid w:val="00B3584D"/>
    <w:rsid w:val="00B36C3A"/>
    <w:rsid w:val="00B370D4"/>
    <w:rsid w:val="00B3715C"/>
    <w:rsid w:val="00B412BA"/>
    <w:rsid w:val="00B4139A"/>
    <w:rsid w:val="00B41A2F"/>
    <w:rsid w:val="00B41BA5"/>
    <w:rsid w:val="00B422D1"/>
    <w:rsid w:val="00B42700"/>
    <w:rsid w:val="00B42CDC"/>
    <w:rsid w:val="00B42EEF"/>
    <w:rsid w:val="00B437FB"/>
    <w:rsid w:val="00B43F95"/>
    <w:rsid w:val="00B4409A"/>
    <w:rsid w:val="00B4425B"/>
    <w:rsid w:val="00B45E5C"/>
    <w:rsid w:val="00B46085"/>
    <w:rsid w:val="00B463F9"/>
    <w:rsid w:val="00B46ED1"/>
    <w:rsid w:val="00B46F0D"/>
    <w:rsid w:val="00B47118"/>
    <w:rsid w:val="00B47C72"/>
    <w:rsid w:val="00B5039A"/>
    <w:rsid w:val="00B5065F"/>
    <w:rsid w:val="00B5190F"/>
    <w:rsid w:val="00B51A95"/>
    <w:rsid w:val="00B527A4"/>
    <w:rsid w:val="00B52A18"/>
    <w:rsid w:val="00B52EFD"/>
    <w:rsid w:val="00B53390"/>
    <w:rsid w:val="00B5377E"/>
    <w:rsid w:val="00B53A9F"/>
    <w:rsid w:val="00B544CA"/>
    <w:rsid w:val="00B54BDC"/>
    <w:rsid w:val="00B54BE8"/>
    <w:rsid w:val="00B5502E"/>
    <w:rsid w:val="00B55524"/>
    <w:rsid w:val="00B55A3D"/>
    <w:rsid w:val="00B55A4C"/>
    <w:rsid w:val="00B564D5"/>
    <w:rsid w:val="00B56B0E"/>
    <w:rsid w:val="00B56D7B"/>
    <w:rsid w:val="00B5747E"/>
    <w:rsid w:val="00B61569"/>
    <w:rsid w:val="00B61B71"/>
    <w:rsid w:val="00B629D7"/>
    <w:rsid w:val="00B64B3B"/>
    <w:rsid w:val="00B64CAE"/>
    <w:rsid w:val="00B652A9"/>
    <w:rsid w:val="00B659ED"/>
    <w:rsid w:val="00B66769"/>
    <w:rsid w:val="00B66BB1"/>
    <w:rsid w:val="00B703F7"/>
    <w:rsid w:val="00B70807"/>
    <w:rsid w:val="00B70D25"/>
    <w:rsid w:val="00B70D6E"/>
    <w:rsid w:val="00B710F9"/>
    <w:rsid w:val="00B7183C"/>
    <w:rsid w:val="00B71BE9"/>
    <w:rsid w:val="00B7348A"/>
    <w:rsid w:val="00B73A34"/>
    <w:rsid w:val="00B73CC7"/>
    <w:rsid w:val="00B74502"/>
    <w:rsid w:val="00B74BFE"/>
    <w:rsid w:val="00B75519"/>
    <w:rsid w:val="00B755AC"/>
    <w:rsid w:val="00B75D48"/>
    <w:rsid w:val="00B75ECF"/>
    <w:rsid w:val="00B76818"/>
    <w:rsid w:val="00B76931"/>
    <w:rsid w:val="00B76A83"/>
    <w:rsid w:val="00B76C50"/>
    <w:rsid w:val="00B76E45"/>
    <w:rsid w:val="00B7707B"/>
    <w:rsid w:val="00B77631"/>
    <w:rsid w:val="00B77AD4"/>
    <w:rsid w:val="00B805D5"/>
    <w:rsid w:val="00B80731"/>
    <w:rsid w:val="00B80F1F"/>
    <w:rsid w:val="00B81060"/>
    <w:rsid w:val="00B81211"/>
    <w:rsid w:val="00B819FB"/>
    <w:rsid w:val="00B824F2"/>
    <w:rsid w:val="00B82C32"/>
    <w:rsid w:val="00B83305"/>
    <w:rsid w:val="00B85AF7"/>
    <w:rsid w:val="00B86131"/>
    <w:rsid w:val="00B86191"/>
    <w:rsid w:val="00B86467"/>
    <w:rsid w:val="00B86CA1"/>
    <w:rsid w:val="00B86D8E"/>
    <w:rsid w:val="00B86F62"/>
    <w:rsid w:val="00B871DF"/>
    <w:rsid w:val="00B874AE"/>
    <w:rsid w:val="00B87783"/>
    <w:rsid w:val="00B87C18"/>
    <w:rsid w:val="00B90214"/>
    <w:rsid w:val="00B90FD2"/>
    <w:rsid w:val="00B91C73"/>
    <w:rsid w:val="00B92531"/>
    <w:rsid w:val="00B92DE8"/>
    <w:rsid w:val="00B92E64"/>
    <w:rsid w:val="00B92F37"/>
    <w:rsid w:val="00B93082"/>
    <w:rsid w:val="00B93CEC"/>
    <w:rsid w:val="00B94328"/>
    <w:rsid w:val="00B9447A"/>
    <w:rsid w:val="00B9487B"/>
    <w:rsid w:val="00B9538F"/>
    <w:rsid w:val="00B963D7"/>
    <w:rsid w:val="00B96645"/>
    <w:rsid w:val="00B967A5"/>
    <w:rsid w:val="00B968A4"/>
    <w:rsid w:val="00B96EBC"/>
    <w:rsid w:val="00B978F0"/>
    <w:rsid w:val="00B97B9D"/>
    <w:rsid w:val="00B97C7A"/>
    <w:rsid w:val="00B97E60"/>
    <w:rsid w:val="00BA05B2"/>
    <w:rsid w:val="00BA0A24"/>
    <w:rsid w:val="00BA0CD4"/>
    <w:rsid w:val="00BA0D09"/>
    <w:rsid w:val="00BA0ECA"/>
    <w:rsid w:val="00BA1083"/>
    <w:rsid w:val="00BA18DD"/>
    <w:rsid w:val="00BA1C82"/>
    <w:rsid w:val="00BA2757"/>
    <w:rsid w:val="00BA3097"/>
    <w:rsid w:val="00BA34E1"/>
    <w:rsid w:val="00BA351E"/>
    <w:rsid w:val="00BA37E5"/>
    <w:rsid w:val="00BA498F"/>
    <w:rsid w:val="00BA4CE9"/>
    <w:rsid w:val="00BA4DFC"/>
    <w:rsid w:val="00BA5C28"/>
    <w:rsid w:val="00BA624E"/>
    <w:rsid w:val="00BA79DD"/>
    <w:rsid w:val="00BB059A"/>
    <w:rsid w:val="00BB166E"/>
    <w:rsid w:val="00BB17ED"/>
    <w:rsid w:val="00BB1C04"/>
    <w:rsid w:val="00BB1DFA"/>
    <w:rsid w:val="00BB24CE"/>
    <w:rsid w:val="00BB320B"/>
    <w:rsid w:val="00BB3238"/>
    <w:rsid w:val="00BB3282"/>
    <w:rsid w:val="00BB3807"/>
    <w:rsid w:val="00BB3AC6"/>
    <w:rsid w:val="00BB4160"/>
    <w:rsid w:val="00BB4778"/>
    <w:rsid w:val="00BB47C4"/>
    <w:rsid w:val="00BB4B0B"/>
    <w:rsid w:val="00BB4C7D"/>
    <w:rsid w:val="00BB52C9"/>
    <w:rsid w:val="00BB5590"/>
    <w:rsid w:val="00BB56F8"/>
    <w:rsid w:val="00BB594C"/>
    <w:rsid w:val="00BB5ACF"/>
    <w:rsid w:val="00BB6557"/>
    <w:rsid w:val="00BB68D1"/>
    <w:rsid w:val="00BB6E4D"/>
    <w:rsid w:val="00BB6F3F"/>
    <w:rsid w:val="00BB7731"/>
    <w:rsid w:val="00BC0141"/>
    <w:rsid w:val="00BC069B"/>
    <w:rsid w:val="00BC1A5B"/>
    <w:rsid w:val="00BC1BBA"/>
    <w:rsid w:val="00BC1C89"/>
    <w:rsid w:val="00BC1DC2"/>
    <w:rsid w:val="00BC1FE2"/>
    <w:rsid w:val="00BC3095"/>
    <w:rsid w:val="00BC4E3A"/>
    <w:rsid w:val="00BC558E"/>
    <w:rsid w:val="00BC589F"/>
    <w:rsid w:val="00BC5EB9"/>
    <w:rsid w:val="00BC6183"/>
    <w:rsid w:val="00BC61AE"/>
    <w:rsid w:val="00BC675E"/>
    <w:rsid w:val="00BC7770"/>
    <w:rsid w:val="00BC7F60"/>
    <w:rsid w:val="00BD00EF"/>
    <w:rsid w:val="00BD1199"/>
    <w:rsid w:val="00BD1848"/>
    <w:rsid w:val="00BD1C77"/>
    <w:rsid w:val="00BD1D33"/>
    <w:rsid w:val="00BD1FEF"/>
    <w:rsid w:val="00BD20E7"/>
    <w:rsid w:val="00BD226C"/>
    <w:rsid w:val="00BD2C8F"/>
    <w:rsid w:val="00BD35E2"/>
    <w:rsid w:val="00BD3E01"/>
    <w:rsid w:val="00BD4C22"/>
    <w:rsid w:val="00BD54CF"/>
    <w:rsid w:val="00BD5927"/>
    <w:rsid w:val="00BD5B46"/>
    <w:rsid w:val="00BD6ACF"/>
    <w:rsid w:val="00BD75EC"/>
    <w:rsid w:val="00BD76A8"/>
    <w:rsid w:val="00BD7888"/>
    <w:rsid w:val="00BE0773"/>
    <w:rsid w:val="00BE105E"/>
    <w:rsid w:val="00BE12EF"/>
    <w:rsid w:val="00BE24DA"/>
    <w:rsid w:val="00BE2FCA"/>
    <w:rsid w:val="00BE3CF4"/>
    <w:rsid w:val="00BE3E56"/>
    <w:rsid w:val="00BE4698"/>
    <w:rsid w:val="00BE4F81"/>
    <w:rsid w:val="00BE5D63"/>
    <w:rsid w:val="00BE63BF"/>
    <w:rsid w:val="00BE6632"/>
    <w:rsid w:val="00BE66E2"/>
    <w:rsid w:val="00BE69BC"/>
    <w:rsid w:val="00BE6ABD"/>
    <w:rsid w:val="00BE6B45"/>
    <w:rsid w:val="00BE704E"/>
    <w:rsid w:val="00BE79B2"/>
    <w:rsid w:val="00BF02A9"/>
    <w:rsid w:val="00BF0337"/>
    <w:rsid w:val="00BF038A"/>
    <w:rsid w:val="00BF0546"/>
    <w:rsid w:val="00BF11F8"/>
    <w:rsid w:val="00BF1FEB"/>
    <w:rsid w:val="00BF2A0F"/>
    <w:rsid w:val="00BF2B95"/>
    <w:rsid w:val="00BF41C8"/>
    <w:rsid w:val="00BF4747"/>
    <w:rsid w:val="00BF4E6D"/>
    <w:rsid w:val="00BF53CC"/>
    <w:rsid w:val="00BF5723"/>
    <w:rsid w:val="00BF5873"/>
    <w:rsid w:val="00BF78A5"/>
    <w:rsid w:val="00C00547"/>
    <w:rsid w:val="00C00DD4"/>
    <w:rsid w:val="00C01F99"/>
    <w:rsid w:val="00C02CE6"/>
    <w:rsid w:val="00C037F0"/>
    <w:rsid w:val="00C03EE9"/>
    <w:rsid w:val="00C048D6"/>
    <w:rsid w:val="00C048E5"/>
    <w:rsid w:val="00C06230"/>
    <w:rsid w:val="00C10830"/>
    <w:rsid w:val="00C10936"/>
    <w:rsid w:val="00C109E5"/>
    <w:rsid w:val="00C11865"/>
    <w:rsid w:val="00C11A4C"/>
    <w:rsid w:val="00C11D69"/>
    <w:rsid w:val="00C11F06"/>
    <w:rsid w:val="00C121FE"/>
    <w:rsid w:val="00C12200"/>
    <w:rsid w:val="00C1255A"/>
    <w:rsid w:val="00C12D1C"/>
    <w:rsid w:val="00C13051"/>
    <w:rsid w:val="00C13384"/>
    <w:rsid w:val="00C134E3"/>
    <w:rsid w:val="00C15539"/>
    <w:rsid w:val="00C15B17"/>
    <w:rsid w:val="00C15B59"/>
    <w:rsid w:val="00C163DD"/>
    <w:rsid w:val="00C1663B"/>
    <w:rsid w:val="00C16B33"/>
    <w:rsid w:val="00C203D9"/>
    <w:rsid w:val="00C2057A"/>
    <w:rsid w:val="00C20EE5"/>
    <w:rsid w:val="00C21D0C"/>
    <w:rsid w:val="00C22331"/>
    <w:rsid w:val="00C235B5"/>
    <w:rsid w:val="00C246CA"/>
    <w:rsid w:val="00C253BA"/>
    <w:rsid w:val="00C259CC"/>
    <w:rsid w:val="00C262ED"/>
    <w:rsid w:val="00C26D1D"/>
    <w:rsid w:val="00C272D2"/>
    <w:rsid w:val="00C273BA"/>
    <w:rsid w:val="00C30B6E"/>
    <w:rsid w:val="00C31F2B"/>
    <w:rsid w:val="00C328DB"/>
    <w:rsid w:val="00C32970"/>
    <w:rsid w:val="00C32F5F"/>
    <w:rsid w:val="00C337A6"/>
    <w:rsid w:val="00C3383A"/>
    <w:rsid w:val="00C33B81"/>
    <w:rsid w:val="00C33E32"/>
    <w:rsid w:val="00C33F02"/>
    <w:rsid w:val="00C33F4F"/>
    <w:rsid w:val="00C3546E"/>
    <w:rsid w:val="00C35574"/>
    <w:rsid w:val="00C35854"/>
    <w:rsid w:val="00C35E28"/>
    <w:rsid w:val="00C35E62"/>
    <w:rsid w:val="00C36696"/>
    <w:rsid w:val="00C3679B"/>
    <w:rsid w:val="00C36C52"/>
    <w:rsid w:val="00C40058"/>
    <w:rsid w:val="00C40424"/>
    <w:rsid w:val="00C40636"/>
    <w:rsid w:val="00C40BD0"/>
    <w:rsid w:val="00C413E1"/>
    <w:rsid w:val="00C41460"/>
    <w:rsid w:val="00C4210C"/>
    <w:rsid w:val="00C423D4"/>
    <w:rsid w:val="00C425C6"/>
    <w:rsid w:val="00C42CF2"/>
    <w:rsid w:val="00C432C6"/>
    <w:rsid w:val="00C43CD3"/>
    <w:rsid w:val="00C45251"/>
    <w:rsid w:val="00C45C84"/>
    <w:rsid w:val="00C45E7A"/>
    <w:rsid w:val="00C46742"/>
    <w:rsid w:val="00C47601"/>
    <w:rsid w:val="00C476F0"/>
    <w:rsid w:val="00C50184"/>
    <w:rsid w:val="00C5079C"/>
    <w:rsid w:val="00C5105D"/>
    <w:rsid w:val="00C512B1"/>
    <w:rsid w:val="00C51C18"/>
    <w:rsid w:val="00C51F3C"/>
    <w:rsid w:val="00C539D3"/>
    <w:rsid w:val="00C53C9E"/>
    <w:rsid w:val="00C53D4E"/>
    <w:rsid w:val="00C549CE"/>
    <w:rsid w:val="00C54FAD"/>
    <w:rsid w:val="00C550F9"/>
    <w:rsid w:val="00C5584B"/>
    <w:rsid w:val="00C55C8C"/>
    <w:rsid w:val="00C55E0C"/>
    <w:rsid w:val="00C564DB"/>
    <w:rsid w:val="00C56B17"/>
    <w:rsid w:val="00C56D7A"/>
    <w:rsid w:val="00C578F2"/>
    <w:rsid w:val="00C5795C"/>
    <w:rsid w:val="00C57C06"/>
    <w:rsid w:val="00C57CB1"/>
    <w:rsid w:val="00C604A5"/>
    <w:rsid w:val="00C60632"/>
    <w:rsid w:val="00C60683"/>
    <w:rsid w:val="00C60A63"/>
    <w:rsid w:val="00C61064"/>
    <w:rsid w:val="00C6118A"/>
    <w:rsid w:val="00C61CB9"/>
    <w:rsid w:val="00C630D7"/>
    <w:rsid w:val="00C63F6B"/>
    <w:rsid w:val="00C6489E"/>
    <w:rsid w:val="00C65378"/>
    <w:rsid w:val="00C654E7"/>
    <w:rsid w:val="00C65550"/>
    <w:rsid w:val="00C657FA"/>
    <w:rsid w:val="00C659C1"/>
    <w:rsid w:val="00C67E27"/>
    <w:rsid w:val="00C701C8"/>
    <w:rsid w:val="00C70644"/>
    <w:rsid w:val="00C71F02"/>
    <w:rsid w:val="00C72251"/>
    <w:rsid w:val="00C72659"/>
    <w:rsid w:val="00C72792"/>
    <w:rsid w:val="00C72A04"/>
    <w:rsid w:val="00C744C1"/>
    <w:rsid w:val="00C7471D"/>
    <w:rsid w:val="00C74E38"/>
    <w:rsid w:val="00C75505"/>
    <w:rsid w:val="00C75AA4"/>
    <w:rsid w:val="00C7651E"/>
    <w:rsid w:val="00C766D6"/>
    <w:rsid w:val="00C76C5A"/>
    <w:rsid w:val="00C77E77"/>
    <w:rsid w:val="00C80D02"/>
    <w:rsid w:val="00C811F0"/>
    <w:rsid w:val="00C81B33"/>
    <w:rsid w:val="00C8235F"/>
    <w:rsid w:val="00C82403"/>
    <w:rsid w:val="00C8252E"/>
    <w:rsid w:val="00C828F4"/>
    <w:rsid w:val="00C82F72"/>
    <w:rsid w:val="00C834CD"/>
    <w:rsid w:val="00C84056"/>
    <w:rsid w:val="00C840C5"/>
    <w:rsid w:val="00C84237"/>
    <w:rsid w:val="00C84BAB"/>
    <w:rsid w:val="00C85469"/>
    <w:rsid w:val="00C857EE"/>
    <w:rsid w:val="00C858CE"/>
    <w:rsid w:val="00C85E63"/>
    <w:rsid w:val="00C8600E"/>
    <w:rsid w:val="00C86663"/>
    <w:rsid w:val="00C8687A"/>
    <w:rsid w:val="00C8710A"/>
    <w:rsid w:val="00C873F0"/>
    <w:rsid w:val="00C876B1"/>
    <w:rsid w:val="00C87823"/>
    <w:rsid w:val="00C87C1A"/>
    <w:rsid w:val="00C909FD"/>
    <w:rsid w:val="00C90ADF"/>
    <w:rsid w:val="00C90F61"/>
    <w:rsid w:val="00C910BD"/>
    <w:rsid w:val="00C911F5"/>
    <w:rsid w:val="00C913C2"/>
    <w:rsid w:val="00C91551"/>
    <w:rsid w:val="00C915B2"/>
    <w:rsid w:val="00C9163A"/>
    <w:rsid w:val="00C91749"/>
    <w:rsid w:val="00C924DC"/>
    <w:rsid w:val="00C93018"/>
    <w:rsid w:val="00C93058"/>
    <w:rsid w:val="00C93976"/>
    <w:rsid w:val="00C9400C"/>
    <w:rsid w:val="00C942F8"/>
    <w:rsid w:val="00C94ABA"/>
    <w:rsid w:val="00C956B9"/>
    <w:rsid w:val="00C95782"/>
    <w:rsid w:val="00C959E3"/>
    <w:rsid w:val="00C96057"/>
    <w:rsid w:val="00C9632A"/>
    <w:rsid w:val="00C9691A"/>
    <w:rsid w:val="00C97147"/>
    <w:rsid w:val="00C971FB"/>
    <w:rsid w:val="00C97DC7"/>
    <w:rsid w:val="00CA07C6"/>
    <w:rsid w:val="00CA160A"/>
    <w:rsid w:val="00CA19DC"/>
    <w:rsid w:val="00CA2309"/>
    <w:rsid w:val="00CA501D"/>
    <w:rsid w:val="00CA54CA"/>
    <w:rsid w:val="00CA620A"/>
    <w:rsid w:val="00CA6382"/>
    <w:rsid w:val="00CA666A"/>
    <w:rsid w:val="00CA6985"/>
    <w:rsid w:val="00CA78CD"/>
    <w:rsid w:val="00CA78DE"/>
    <w:rsid w:val="00CA7C93"/>
    <w:rsid w:val="00CA7EFD"/>
    <w:rsid w:val="00CB0112"/>
    <w:rsid w:val="00CB128B"/>
    <w:rsid w:val="00CB12B9"/>
    <w:rsid w:val="00CB1B3A"/>
    <w:rsid w:val="00CB226A"/>
    <w:rsid w:val="00CB2E14"/>
    <w:rsid w:val="00CB301C"/>
    <w:rsid w:val="00CB37A8"/>
    <w:rsid w:val="00CB4216"/>
    <w:rsid w:val="00CB4E57"/>
    <w:rsid w:val="00CB5625"/>
    <w:rsid w:val="00CB5D0D"/>
    <w:rsid w:val="00CB7286"/>
    <w:rsid w:val="00CB76D4"/>
    <w:rsid w:val="00CB7E68"/>
    <w:rsid w:val="00CC01C1"/>
    <w:rsid w:val="00CC0544"/>
    <w:rsid w:val="00CC09F9"/>
    <w:rsid w:val="00CC16F7"/>
    <w:rsid w:val="00CC23F2"/>
    <w:rsid w:val="00CC23FE"/>
    <w:rsid w:val="00CC2580"/>
    <w:rsid w:val="00CC30FF"/>
    <w:rsid w:val="00CC4017"/>
    <w:rsid w:val="00CC4161"/>
    <w:rsid w:val="00CC4179"/>
    <w:rsid w:val="00CC50D8"/>
    <w:rsid w:val="00CC56F6"/>
    <w:rsid w:val="00CC5F23"/>
    <w:rsid w:val="00CC6B32"/>
    <w:rsid w:val="00CC709F"/>
    <w:rsid w:val="00CC71CD"/>
    <w:rsid w:val="00CC7A30"/>
    <w:rsid w:val="00CD0478"/>
    <w:rsid w:val="00CD055F"/>
    <w:rsid w:val="00CD0C15"/>
    <w:rsid w:val="00CD0C7A"/>
    <w:rsid w:val="00CD11B0"/>
    <w:rsid w:val="00CD14A8"/>
    <w:rsid w:val="00CD20CA"/>
    <w:rsid w:val="00CD218D"/>
    <w:rsid w:val="00CD2714"/>
    <w:rsid w:val="00CD292B"/>
    <w:rsid w:val="00CD2AFF"/>
    <w:rsid w:val="00CD3354"/>
    <w:rsid w:val="00CD370D"/>
    <w:rsid w:val="00CD42F8"/>
    <w:rsid w:val="00CD435B"/>
    <w:rsid w:val="00CD4A66"/>
    <w:rsid w:val="00CD4CE4"/>
    <w:rsid w:val="00CD52CF"/>
    <w:rsid w:val="00CD5839"/>
    <w:rsid w:val="00CD59C3"/>
    <w:rsid w:val="00CD6499"/>
    <w:rsid w:val="00CD669C"/>
    <w:rsid w:val="00CD6EE0"/>
    <w:rsid w:val="00CD7136"/>
    <w:rsid w:val="00CD7D8E"/>
    <w:rsid w:val="00CE0007"/>
    <w:rsid w:val="00CE02DB"/>
    <w:rsid w:val="00CE0A45"/>
    <w:rsid w:val="00CE0CF2"/>
    <w:rsid w:val="00CE108C"/>
    <w:rsid w:val="00CE15DA"/>
    <w:rsid w:val="00CE1C88"/>
    <w:rsid w:val="00CE20ED"/>
    <w:rsid w:val="00CE2226"/>
    <w:rsid w:val="00CE2269"/>
    <w:rsid w:val="00CE276E"/>
    <w:rsid w:val="00CE27FE"/>
    <w:rsid w:val="00CE2D49"/>
    <w:rsid w:val="00CE3BC3"/>
    <w:rsid w:val="00CE3E96"/>
    <w:rsid w:val="00CE47F0"/>
    <w:rsid w:val="00CE51B2"/>
    <w:rsid w:val="00CE525A"/>
    <w:rsid w:val="00CE5B87"/>
    <w:rsid w:val="00CE5BE4"/>
    <w:rsid w:val="00CE6708"/>
    <w:rsid w:val="00CE67FF"/>
    <w:rsid w:val="00CE6DFD"/>
    <w:rsid w:val="00CE7646"/>
    <w:rsid w:val="00CE7AC9"/>
    <w:rsid w:val="00CF0839"/>
    <w:rsid w:val="00CF10D3"/>
    <w:rsid w:val="00CF1353"/>
    <w:rsid w:val="00CF20F9"/>
    <w:rsid w:val="00CF26C8"/>
    <w:rsid w:val="00CF2ADC"/>
    <w:rsid w:val="00CF2B17"/>
    <w:rsid w:val="00CF2BA1"/>
    <w:rsid w:val="00CF326B"/>
    <w:rsid w:val="00CF3629"/>
    <w:rsid w:val="00CF39BC"/>
    <w:rsid w:val="00CF3C39"/>
    <w:rsid w:val="00CF4072"/>
    <w:rsid w:val="00CF489F"/>
    <w:rsid w:val="00CF49A8"/>
    <w:rsid w:val="00CF530B"/>
    <w:rsid w:val="00CF5B15"/>
    <w:rsid w:val="00CF70B5"/>
    <w:rsid w:val="00CF70FD"/>
    <w:rsid w:val="00CF74C0"/>
    <w:rsid w:val="00CF7670"/>
    <w:rsid w:val="00CF7D88"/>
    <w:rsid w:val="00D000EB"/>
    <w:rsid w:val="00D0050B"/>
    <w:rsid w:val="00D00CE5"/>
    <w:rsid w:val="00D010CC"/>
    <w:rsid w:val="00D01C11"/>
    <w:rsid w:val="00D01C55"/>
    <w:rsid w:val="00D02A9A"/>
    <w:rsid w:val="00D02EAA"/>
    <w:rsid w:val="00D0402B"/>
    <w:rsid w:val="00D04A8B"/>
    <w:rsid w:val="00D04BDF"/>
    <w:rsid w:val="00D05CCE"/>
    <w:rsid w:val="00D06209"/>
    <w:rsid w:val="00D066E5"/>
    <w:rsid w:val="00D067BF"/>
    <w:rsid w:val="00D0699F"/>
    <w:rsid w:val="00D06A02"/>
    <w:rsid w:val="00D10834"/>
    <w:rsid w:val="00D11AC7"/>
    <w:rsid w:val="00D11B36"/>
    <w:rsid w:val="00D1227B"/>
    <w:rsid w:val="00D127FE"/>
    <w:rsid w:val="00D128F1"/>
    <w:rsid w:val="00D128FB"/>
    <w:rsid w:val="00D12C5A"/>
    <w:rsid w:val="00D12DF7"/>
    <w:rsid w:val="00D130C7"/>
    <w:rsid w:val="00D135CD"/>
    <w:rsid w:val="00D13909"/>
    <w:rsid w:val="00D13CA1"/>
    <w:rsid w:val="00D13F2F"/>
    <w:rsid w:val="00D140D5"/>
    <w:rsid w:val="00D147D3"/>
    <w:rsid w:val="00D1558B"/>
    <w:rsid w:val="00D158DB"/>
    <w:rsid w:val="00D161FA"/>
    <w:rsid w:val="00D16954"/>
    <w:rsid w:val="00D16A61"/>
    <w:rsid w:val="00D16C91"/>
    <w:rsid w:val="00D17166"/>
    <w:rsid w:val="00D1756D"/>
    <w:rsid w:val="00D17B97"/>
    <w:rsid w:val="00D20D0B"/>
    <w:rsid w:val="00D20FD4"/>
    <w:rsid w:val="00D214C2"/>
    <w:rsid w:val="00D21C73"/>
    <w:rsid w:val="00D223FF"/>
    <w:rsid w:val="00D228E1"/>
    <w:rsid w:val="00D23E69"/>
    <w:rsid w:val="00D24B15"/>
    <w:rsid w:val="00D26700"/>
    <w:rsid w:val="00D2687F"/>
    <w:rsid w:val="00D26FCC"/>
    <w:rsid w:val="00D26FFE"/>
    <w:rsid w:val="00D270A8"/>
    <w:rsid w:val="00D27512"/>
    <w:rsid w:val="00D305C2"/>
    <w:rsid w:val="00D3099C"/>
    <w:rsid w:val="00D30D39"/>
    <w:rsid w:val="00D31A58"/>
    <w:rsid w:val="00D32E52"/>
    <w:rsid w:val="00D32F93"/>
    <w:rsid w:val="00D33036"/>
    <w:rsid w:val="00D34872"/>
    <w:rsid w:val="00D34D63"/>
    <w:rsid w:val="00D34E2F"/>
    <w:rsid w:val="00D34FFB"/>
    <w:rsid w:val="00D357C4"/>
    <w:rsid w:val="00D357DE"/>
    <w:rsid w:val="00D36478"/>
    <w:rsid w:val="00D36CCF"/>
    <w:rsid w:val="00D36FD8"/>
    <w:rsid w:val="00D37367"/>
    <w:rsid w:val="00D37707"/>
    <w:rsid w:val="00D37B1F"/>
    <w:rsid w:val="00D407FA"/>
    <w:rsid w:val="00D40AD0"/>
    <w:rsid w:val="00D430D7"/>
    <w:rsid w:val="00D4330A"/>
    <w:rsid w:val="00D43535"/>
    <w:rsid w:val="00D43DC1"/>
    <w:rsid w:val="00D43F69"/>
    <w:rsid w:val="00D44078"/>
    <w:rsid w:val="00D44FDA"/>
    <w:rsid w:val="00D45376"/>
    <w:rsid w:val="00D45810"/>
    <w:rsid w:val="00D45B0C"/>
    <w:rsid w:val="00D45C32"/>
    <w:rsid w:val="00D46239"/>
    <w:rsid w:val="00D46728"/>
    <w:rsid w:val="00D46788"/>
    <w:rsid w:val="00D46F92"/>
    <w:rsid w:val="00D50AF7"/>
    <w:rsid w:val="00D51099"/>
    <w:rsid w:val="00D51152"/>
    <w:rsid w:val="00D5258C"/>
    <w:rsid w:val="00D5448D"/>
    <w:rsid w:val="00D550E2"/>
    <w:rsid w:val="00D55B69"/>
    <w:rsid w:val="00D55CEC"/>
    <w:rsid w:val="00D55EF5"/>
    <w:rsid w:val="00D5614A"/>
    <w:rsid w:val="00D56D28"/>
    <w:rsid w:val="00D56F36"/>
    <w:rsid w:val="00D572D9"/>
    <w:rsid w:val="00D578F9"/>
    <w:rsid w:val="00D60001"/>
    <w:rsid w:val="00D60424"/>
    <w:rsid w:val="00D605FB"/>
    <w:rsid w:val="00D60B9B"/>
    <w:rsid w:val="00D60BBC"/>
    <w:rsid w:val="00D618CE"/>
    <w:rsid w:val="00D62264"/>
    <w:rsid w:val="00D627B9"/>
    <w:rsid w:val="00D62812"/>
    <w:rsid w:val="00D62B82"/>
    <w:rsid w:val="00D62E4B"/>
    <w:rsid w:val="00D63CB9"/>
    <w:rsid w:val="00D646A5"/>
    <w:rsid w:val="00D64ADE"/>
    <w:rsid w:val="00D656A5"/>
    <w:rsid w:val="00D65831"/>
    <w:rsid w:val="00D65B20"/>
    <w:rsid w:val="00D66B7E"/>
    <w:rsid w:val="00D66D9F"/>
    <w:rsid w:val="00D6767D"/>
    <w:rsid w:val="00D6767F"/>
    <w:rsid w:val="00D67917"/>
    <w:rsid w:val="00D67D67"/>
    <w:rsid w:val="00D67FB1"/>
    <w:rsid w:val="00D71A3B"/>
    <w:rsid w:val="00D725ED"/>
    <w:rsid w:val="00D72DFF"/>
    <w:rsid w:val="00D72E1A"/>
    <w:rsid w:val="00D73B98"/>
    <w:rsid w:val="00D74A7F"/>
    <w:rsid w:val="00D74B82"/>
    <w:rsid w:val="00D74DDC"/>
    <w:rsid w:val="00D7506E"/>
    <w:rsid w:val="00D75209"/>
    <w:rsid w:val="00D75577"/>
    <w:rsid w:val="00D761A6"/>
    <w:rsid w:val="00D76226"/>
    <w:rsid w:val="00D765E0"/>
    <w:rsid w:val="00D76800"/>
    <w:rsid w:val="00D76970"/>
    <w:rsid w:val="00D770AD"/>
    <w:rsid w:val="00D772AE"/>
    <w:rsid w:val="00D778B0"/>
    <w:rsid w:val="00D8046F"/>
    <w:rsid w:val="00D80507"/>
    <w:rsid w:val="00D805CF"/>
    <w:rsid w:val="00D80A0F"/>
    <w:rsid w:val="00D81324"/>
    <w:rsid w:val="00D8158D"/>
    <w:rsid w:val="00D81C3B"/>
    <w:rsid w:val="00D8273A"/>
    <w:rsid w:val="00D82DD0"/>
    <w:rsid w:val="00D83B5C"/>
    <w:rsid w:val="00D84049"/>
    <w:rsid w:val="00D840FA"/>
    <w:rsid w:val="00D84987"/>
    <w:rsid w:val="00D850E1"/>
    <w:rsid w:val="00D854C3"/>
    <w:rsid w:val="00D8619E"/>
    <w:rsid w:val="00D86F27"/>
    <w:rsid w:val="00D870F2"/>
    <w:rsid w:val="00D87CA3"/>
    <w:rsid w:val="00D9024D"/>
    <w:rsid w:val="00D9113A"/>
    <w:rsid w:val="00D91B17"/>
    <w:rsid w:val="00D93371"/>
    <w:rsid w:val="00D94606"/>
    <w:rsid w:val="00D94E9D"/>
    <w:rsid w:val="00D9587E"/>
    <w:rsid w:val="00D95DC3"/>
    <w:rsid w:val="00D9693E"/>
    <w:rsid w:val="00D96B94"/>
    <w:rsid w:val="00D96D6D"/>
    <w:rsid w:val="00D97196"/>
    <w:rsid w:val="00D975FE"/>
    <w:rsid w:val="00D97A67"/>
    <w:rsid w:val="00D97FA0"/>
    <w:rsid w:val="00DA034F"/>
    <w:rsid w:val="00DA04B8"/>
    <w:rsid w:val="00DA0551"/>
    <w:rsid w:val="00DA0A65"/>
    <w:rsid w:val="00DA0D42"/>
    <w:rsid w:val="00DA116A"/>
    <w:rsid w:val="00DA128F"/>
    <w:rsid w:val="00DA188E"/>
    <w:rsid w:val="00DA1B80"/>
    <w:rsid w:val="00DA1E7E"/>
    <w:rsid w:val="00DA3150"/>
    <w:rsid w:val="00DA3522"/>
    <w:rsid w:val="00DA388A"/>
    <w:rsid w:val="00DA39F7"/>
    <w:rsid w:val="00DA42E3"/>
    <w:rsid w:val="00DA4EE3"/>
    <w:rsid w:val="00DA580F"/>
    <w:rsid w:val="00DA5C84"/>
    <w:rsid w:val="00DA5CB0"/>
    <w:rsid w:val="00DA60C0"/>
    <w:rsid w:val="00DA650E"/>
    <w:rsid w:val="00DA686B"/>
    <w:rsid w:val="00DA736D"/>
    <w:rsid w:val="00DA799C"/>
    <w:rsid w:val="00DB063A"/>
    <w:rsid w:val="00DB1333"/>
    <w:rsid w:val="00DB1849"/>
    <w:rsid w:val="00DB1D42"/>
    <w:rsid w:val="00DB23E4"/>
    <w:rsid w:val="00DB2DF6"/>
    <w:rsid w:val="00DB355B"/>
    <w:rsid w:val="00DB38B2"/>
    <w:rsid w:val="00DB3D3C"/>
    <w:rsid w:val="00DB4703"/>
    <w:rsid w:val="00DB5433"/>
    <w:rsid w:val="00DB5462"/>
    <w:rsid w:val="00DB58C6"/>
    <w:rsid w:val="00DB6310"/>
    <w:rsid w:val="00DB6B13"/>
    <w:rsid w:val="00DB75E1"/>
    <w:rsid w:val="00DC011A"/>
    <w:rsid w:val="00DC0978"/>
    <w:rsid w:val="00DC157F"/>
    <w:rsid w:val="00DC17EE"/>
    <w:rsid w:val="00DC1984"/>
    <w:rsid w:val="00DC1D97"/>
    <w:rsid w:val="00DC243B"/>
    <w:rsid w:val="00DC2B2A"/>
    <w:rsid w:val="00DC4BC1"/>
    <w:rsid w:val="00DC5DE2"/>
    <w:rsid w:val="00DC5F7B"/>
    <w:rsid w:val="00DC71C7"/>
    <w:rsid w:val="00DC7532"/>
    <w:rsid w:val="00DC75BC"/>
    <w:rsid w:val="00DC7A9C"/>
    <w:rsid w:val="00DD0076"/>
    <w:rsid w:val="00DD0586"/>
    <w:rsid w:val="00DD14C6"/>
    <w:rsid w:val="00DD1690"/>
    <w:rsid w:val="00DD1EFF"/>
    <w:rsid w:val="00DD1F28"/>
    <w:rsid w:val="00DD2C0D"/>
    <w:rsid w:val="00DD32A7"/>
    <w:rsid w:val="00DD3873"/>
    <w:rsid w:val="00DD3F4B"/>
    <w:rsid w:val="00DD4B50"/>
    <w:rsid w:val="00DD53F4"/>
    <w:rsid w:val="00DD5504"/>
    <w:rsid w:val="00DD5F55"/>
    <w:rsid w:val="00DD6F17"/>
    <w:rsid w:val="00DD7408"/>
    <w:rsid w:val="00DD7554"/>
    <w:rsid w:val="00DD7730"/>
    <w:rsid w:val="00DE0B9F"/>
    <w:rsid w:val="00DE1521"/>
    <w:rsid w:val="00DE1A76"/>
    <w:rsid w:val="00DE1E55"/>
    <w:rsid w:val="00DE2159"/>
    <w:rsid w:val="00DE2BA4"/>
    <w:rsid w:val="00DE2EDA"/>
    <w:rsid w:val="00DE376B"/>
    <w:rsid w:val="00DE391D"/>
    <w:rsid w:val="00DE3C49"/>
    <w:rsid w:val="00DE3E36"/>
    <w:rsid w:val="00DE4C9F"/>
    <w:rsid w:val="00DE4DE4"/>
    <w:rsid w:val="00DE5317"/>
    <w:rsid w:val="00DE540A"/>
    <w:rsid w:val="00DE5A04"/>
    <w:rsid w:val="00DE5B71"/>
    <w:rsid w:val="00DE5B9D"/>
    <w:rsid w:val="00DE6094"/>
    <w:rsid w:val="00DE6B11"/>
    <w:rsid w:val="00DF018A"/>
    <w:rsid w:val="00DF0EDD"/>
    <w:rsid w:val="00DF241C"/>
    <w:rsid w:val="00DF25D7"/>
    <w:rsid w:val="00DF282D"/>
    <w:rsid w:val="00DF3172"/>
    <w:rsid w:val="00DF383F"/>
    <w:rsid w:val="00DF45CA"/>
    <w:rsid w:val="00DF4999"/>
    <w:rsid w:val="00DF4A35"/>
    <w:rsid w:val="00DF58FC"/>
    <w:rsid w:val="00DF5B99"/>
    <w:rsid w:val="00DF5BCF"/>
    <w:rsid w:val="00DF68DB"/>
    <w:rsid w:val="00DF6C30"/>
    <w:rsid w:val="00DF6FB1"/>
    <w:rsid w:val="00DF76A1"/>
    <w:rsid w:val="00E001A8"/>
    <w:rsid w:val="00E00271"/>
    <w:rsid w:val="00E0045C"/>
    <w:rsid w:val="00E00AB5"/>
    <w:rsid w:val="00E01187"/>
    <w:rsid w:val="00E01A02"/>
    <w:rsid w:val="00E0254A"/>
    <w:rsid w:val="00E03144"/>
    <w:rsid w:val="00E03BCD"/>
    <w:rsid w:val="00E03E32"/>
    <w:rsid w:val="00E045C6"/>
    <w:rsid w:val="00E04E02"/>
    <w:rsid w:val="00E05484"/>
    <w:rsid w:val="00E05ED2"/>
    <w:rsid w:val="00E05F0F"/>
    <w:rsid w:val="00E05F69"/>
    <w:rsid w:val="00E062A1"/>
    <w:rsid w:val="00E07455"/>
    <w:rsid w:val="00E079F5"/>
    <w:rsid w:val="00E10280"/>
    <w:rsid w:val="00E11BCD"/>
    <w:rsid w:val="00E1242C"/>
    <w:rsid w:val="00E12692"/>
    <w:rsid w:val="00E1288A"/>
    <w:rsid w:val="00E13810"/>
    <w:rsid w:val="00E13DA3"/>
    <w:rsid w:val="00E14570"/>
    <w:rsid w:val="00E14851"/>
    <w:rsid w:val="00E1517F"/>
    <w:rsid w:val="00E15295"/>
    <w:rsid w:val="00E152F0"/>
    <w:rsid w:val="00E15BA6"/>
    <w:rsid w:val="00E15E33"/>
    <w:rsid w:val="00E171A4"/>
    <w:rsid w:val="00E20002"/>
    <w:rsid w:val="00E20146"/>
    <w:rsid w:val="00E20AC2"/>
    <w:rsid w:val="00E2159F"/>
    <w:rsid w:val="00E218C2"/>
    <w:rsid w:val="00E2202D"/>
    <w:rsid w:val="00E22185"/>
    <w:rsid w:val="00E232F9"/>
    <w:rsid w:val="00E23AE6"/>
    <w:rsid w:val="00E23FF0"/>
    <w:rsid w:val="00E244CB"/>
    <w:rsid w:val="00E254E2"/>
    <w:rsid w:val="00E257F8"/>
    <w:rsid w:val="00E25F47"/>
    <w:rsid w:val="00E25FC8"/>
    <w:rsid w:val="00E26618"/>
    <w:rsid w:val="00E26B98"/>
    <w:rsid w:val="00E27333"/>
    <w:rsid w:val="00E2769E"/>
    <w:rsid w:val="00E27ED0"/>
    <w:rsid w:val="00E27EEE"/>
    <w:rsid w:val="00E3026F"/>
    <w:rsid w:val="00E303F2"/>
    <w:rsid w:val="00E3063D"/>
    <w:rsid w:val="00E30808"/>
    <w:rsid w:val="00E30F9F"/>
    <w:rsid w:val="00E310BE"/>
    <w:rsid w:val="00E31C98"/>
    <w:rsid w:val="00E31D74"/>
    <w:rsid w:val="00E32790"/>
    <w:rsid w:val="00E33A6D"/>
    <w:rsid w:val="00E34079"/>
    <w:rsid w:val="00E34B8A"/>
    <w:rsid w:val="00E35393"/>
    <w:rsid w:val="00E355FA"/>
    <w:rsid w:val="00E379B5"/>
    <w:rsid w:val="00E37DB3"/>
    <w:rsid w:val="00E40766"/>
    <w:rsid w:val="00E4157E"/>
    <w:rsid w:val="00E427A5"/>
    <w:rsid w:val="00E42C85"/>
    <w:rsid w:val="00E42D28"/>
    <w:rsid w:val="00E432B7"/>
    <w:rsid w:val="00E43790"/>
    <w:rsid w:val="00E4386F"/>
    <w:rsid w:val="00E44B2E"/>
    <w:rsid w:val="00E4535F"/>
    <w:rsid w:val="00E45D2F"/>
    <w:rsid w:val="00E46198"/>
    <w:rsid w:val="00E46239"/>
    <w:rsid w:val="00E4668F"/>
    <w:rsid w:val="00E46782"/>
    <w:rsid w:val="00E467C9"/>
    <w:rsid w:val="00E47440"/>
    <w:rsid w:val="00E47515"/>
    <w:rsid w:val="00E47F20"/>
    <w:rsid w:val="00E508A5"/>
    <w:rsid w:val="00E517EF"/>
    <w:rsid w:val="00E52A67"/>
    <w:rsid w:val="00E52D76"/>
    <w:rsid w:val="00E52EFC"/>
    <w:rsid w:val="00E5321D"/>
    <w:rsid w:val="00E53628"/>
    <w:rsid w:val="00E53A54"/>
    <w:rsid w:val="00E555C2"/>
    <w:rsid w:val="00E556C7"/>
    <w:rsid w:val="00E55ECC"/>
    <w:rsid w:val="00E566A7"/>
    <w:rsid w:val="00E5778E"/>
    <w:rsid w:val="00E57A3B"/>
    <w:rsid w:val="00E57E8E"/>
    <w:rsid w:val="00E57F2A"/>
    <w:rsid w:val="00E6038D"/>
    <w:rsid w:val="00E6053E"/>
    <w:rsid w:val="00E60AC2"/>
    <w:rsid w:val="00E60E58"/>
    <w:rsid w:val="00E62512"/>
    <w:rsid w:val="00E626D9"/>
    <w:rsid w:val="00E62A84"/>
    <w:rsid w:val="00E63C8D"/>
    <w:rsid w:val="00E643FB"/>
    <w:rsid w:val="00E64B21"/>
    <w:rsid w:val="00E64E78"/>
    <w:rsid w:val="00E6598E"/>
    <w:rsid w:val="00E666BE"/>
    <w:rsid w:val="00E67209"/>
    <w:rsid w:val="00E67358"/>
    <w:rsid w:val="00E677A0"/>
    <w:rsid w:val="00E67C1A"/>
    <w:rsid w:val="00E70191"/>
    <w:rsid w:val="00E7026B"/>
    <w:rsid w:val="00E70B16"/>
    <w:rsid w:val="00E71214"/>
    <w:rsid w:val="00E71BB5"/>
    <w:rsid w:val="00E71EDC"/>
    <w:rsid w:val="00E71F12"/>
    <w:rsid w:val="00E7201A"/>
    <w:rsid w:val="00E740A7"/>
    <w:rsid w:val="00E74694"/>
    <w:rsid w:val="00E747D0"/>
    <w:rsid w:val="00E75404"/>
    <w:rsid w:val="00E75664"/>
    <w:rsid w:val="00E75684"/>
    <w:rsid w:val="00E75836"/>
    <w:rsid w:val="00E75BD7"/>
    <w:rsid w:val="00E76333"/>
    <w:rsid w:val="00E764B2"/>
    <w:rsid w:val="00E76C41"/>
    <w:rsid w:val="00E7725E"/>
    <w:rsid w:val="00E774C8"/>
    <w:rsid w:val="00E77C4D"/>
    <w:rsid w:val="00E80558"/>
    <w:rsid w:val="00E80CB2"/>
    <w:rsid w:val="00E8172D"/>
    <w:rsid w:val="00E819FF"/>
    <w:rsid w:val="00E81C6B"/>
    <w:rsid w:val="00E8234A"/>
    <w:rsid w:val="00E82EA6"/>
    <w:rsid w:val="00E833FC"/>
    <w:rsid w:val="00E8375C"/>
    <w:rsid w:val="00E83866"/>
    <w:rsid w:val="00E83B5D"/>
    <w:rsid w:val="00E83C89"/>
    <w:rsid w:val="00E83CCF"/>
    <w:rsid w:val="00E83EF0"/>
    <w:rsid w:val="00E840DE"/>
    <w:rsid w:val="00E847E5"/>
    <w:rsid w:val="00E857CC"/>
    <w:rsid w:val="00E85BDA"/>
    <w:rsid w:val="00E85D21"/>
    <w:rsid w:val="00E8632F"/>
    <w:rsid w:val="00E87A0D"/>
    <w:rsid w:val="00E87B97"/>
    <w:rsid w:val="00E900B6"/>
    <w:rsid w:val="00E90521"/>
    <w:rsid w:val="00E9055B"/>
    <w:rsid w:val="00E90984"/>
    <w:rsid w:val="00E90DB1"/>
    <w:rsid w:val="00E910C7"/>
    <w:rsid w:val="00E936C3"/>
    <w:rsid w:val="00E942DB"/>
    <w:rsid w:val="00E9431B"/>
    <w:rsid w:val="00E94349"/>
    <w:rsid w:val="00E949AF"/>
    <w:rsid w:val="00E95548"/>
    <w:rsid w:val="00E95640"/>
    <w:rsid w:val="00E95D54"/>
    <w:rsid w:val="00E961CD"/>
    <w:rsid w:val="00E96879"/>
    <w:rsid w:val="00E97BBB"/>
    <w:rsid w:val="00EA05A1"/>
    <w:rsid w:val="00EA07D7"/>
    <w:rsid w:val="00EA1310"/>
    <w:rsid w:val="00EA1C03"/>
    <w:rsid w:val="00EA1EA0"/>
    <w:rsid w:val="00EA2C88"/>
    <w:rsid w:val="00EA3063"/>
    <w:rsid w:val="00EA3414"/>
    <w:rsid w:val="00EA36D2"/>
    <w:rsid w:val="00EA3B8A"/>
    <w:rsid w:val="00EA3C5E"/>
    <w:rsid w:val="00EA4128"/>
    <w:rsid w:val="00EA46D5"/>
    <w:rsid w:val="00EA4AE6"/>
    <w:rsid w:val="00EA5BDF"/>
    <w:rsid w:val="00EA5D66"/>
    <w:rsid w:val="00EA5E0E"/>
    <w:rsid w:val="00EA62AF"/>
    <w:rsid w:val="00EB0399"/>
    <w:rsid w:val="00EB1050"/>
    <w:rsid w:val="00EB1DA0"/>
    <w:rsid w:val="00EB284F"/>
    <w:rsid w:val="00EB2A65"/>
    <w:rsid w:val="00EB2CBC"/>
    <w:rsid w:val="00EB3521"/>
    <w:rsid w:val="00EB3957"/>
    <w:rsid w:val="00EB3C3F"/>
    <w:rsid w:val="00EB3DD2"/>
    <w:rsid w:val="00EB5382"/>
    <w:rsid w:val="00EB57BC"/>
    <w:rsid w:val="00EB5BB2"/>
    <w:rsid w:val="00EB633B"/>
    <w:rsid w:val="00EB6353"/>
    <w:rsid w:val="00EC0168"/>
    <w:rsid w:val="00EC0273"/>
    <w:rsid w:val="00EC0D4E"/>
    <w:rsid w:val="00EC1AF5"/>
    <w:rsid w:val="00EC2484"/>
    <w:rsid w:val="00EC2800"/>
    <w:rsid w:val="00EC316E"/>
    <w:rsid w:val="00EC37B0"/>
    <w:rsid w:val="00EC4176"/>
    <w:rsid w:val="00EC4EA3"/>
    <w:rsid w:val="00EC661A"/>
    <w:rsid w:val="00EC6C7D"/>
    <w:rsid w:val="00EC6CF9"/>
    <w:rsid w:val="00EC7035"/>
    <w:rsid w:val="00EC73AE"/>
    <w:rsid w:val="00EC74B9"/>
    <w:rsid w:val="00EC7D00"/>
    <w:rsid w:val="00ED068E"/>
    <w:rsid w:val="00ED2711"/>
    <w:rsid w:val="00ED2750"/>
    <w:rsid w:val="00ED3613"/>
    <w:rsid w:val="00ED5279"/>
    <w:rsid w:val="00ED5B63"/>
    <w:rsid w:val="00ED6226"/>
    <w:rsid w:val="00ED6992"/>
    <w:rsid w:val="00ED763D"/>
    <w:rsid w:val="00ED798C"/>
    <w:rsid w:val="00EE04A7"/>
    <w:rsid w:val="00EE0771"/>
    <w:rsid w:val="00EE08ED"/>
    <w:rsid w:val="00EE1894"/>
    <w:rsid w:val="00EE1B9D"/>
    <w:rsid w:val="00EE1DAB"/>
    <w:rsid w:val="00EE2D72"/>
    <w:rsid w:val="00EE2E0B"/>
    <w:rsid w:val="00EE453A"/>
    <w:rsid w:val="00EE5B41"/>
    <w:rsid w:val="00EE5EA6"/>
    <w:rsid w:val="00EE6767"/>
    <w:rsid w:val="00EE72C8"/>
    <w:rsid w:val="00EE73E1"/>
    <w:rsid w:val="00EE74BD"/>
    <w:rsid w:val="00EE7F88"/>
    <w:rsid w:val="00EF0042"/>
    <w:rsid w:val="00EF01AF"/>
    <w:rsid w:val="00EF0470"/>
    <w:rsid w:val="00EF05ED"/>
    <w:rsid w:val="00EF119E"/>
    <w:rsid w:val="00EF1A9F"/>
    <w:rsid w:val="00EF1D69"/>
    <w:rsid w:val="00EF1E06"/>
    <w:rsid w:val="00EF2E7E"/>
    <w:rsid w:val="00EF2FF3"/>
    <w:rsid w:val="00EF4892"/>
    <w:rsid w:val="00EF48D0"/>
    <w:rsid w:val="00EF4DE8"/>
    <w:rsid w:val="00EF5D06"/>
    <w:rsid w:val="00EF7729"/>
    <w:rsid w:val="00EF7954"/>
    <w:rsid w:val="00EF79B0"/>
    <w:rsid w:val="00F007DB"/>
    <w:rsid w:val="00F02313"/>
    <w:rsid w:val="00F023BA"/>
    <w:rsid w:val="00F027A7"/>
    <w:rsid w:val="00F03110"/>
    <w:rsid w:val="00F0315F"/>
    <w:rsid w:val="00F03539"/>
    <w:rsid w:val="00F036F1"/>
    <w:rsid w:val="00F037A4"/>
    <w:rsid w:val="00F03EC4"/>
    <w:rsid w:val="00F03ED0"/>
    <w:rsid w:val="00F04359"/>
    <w:rsid w:val="00F04914"/>
    <w:rsid w:val="00F04BAC"/>
    <w:rsid w:val="00F04E1D"/>
    <w:rsid w:val="00F05994"/>
    <w:rsid w:val="00F06D45"/>
    <w:rsid w:val="00F073BA"/>
    <w:rsid w:val="00F0755D"/>
    <w:rsid w:val="00F079C7"/>
    <w:rsid w:val="00F07B0F"/>
    <w:rsid w:val="00F07B9B"/>
    <w:rsid w:val="00F07BFE"/>
    <w:rsid w:val="00F07CF9"/>
    <w:rsid w:val="00F10786"/>
    <w:rsid w:val="00F10873"/>
    <w:rsid w:val="00F11031"/>
    <w:rsid w:val="00F114C6"/>
    <w:rsid w:val="00F119D9"/>
    <w:rsid w:val="00F12E14"/>
    <w:rsid w:val="00F1388A"/>
    <w:rsid w:val="00F13DB1"/>
    <w:rsid w:val="00F14922"/>
    <w:rsid w:val="00F14A19"/>
    <w:rsid w:val="00F14E51"/>
    <w:rsid w:val="00F155AC"/>
    <w:rsid w:val="00F163C8"/>
    <w:rsid w:val="00F1752F"/>
    <w:rsid w:val="00F17829"/>
    <w:rsid w:val="00F17B42"/>
    <w:rsid w:val="00F17CFC"/>
    <w:rsid w:val="00F20CC8"/>
    <w:rsid w:val="00F20DA1"/>
    <w:rsid w:val="00F2122B"/>
    <w:rsid w:val="00F21C69"/>
    <w:rsid w:val="00F22006"/>
    <w:rsid w:val="00F22337"/>
    <w:rsid w:val="00F229AC"/>
    <w:rsid w:val="00F23731"/>
    <w:rsid w:val="00F237A2"/>
    <w:rsid w:val="00F23A94"/>
    <w:rsid w:val="00F23C43"/>
    <w:rsid w:val="00F23F28"/>
    <w:rsid w:val="00F24370"/>
    <w:rsid w:val="00F2640B"/>
    <w:rsid w:val="00F26F2A"/>
    <w:rsid w:val="00F273B9"/>
    <w:rsid w:val="00F27702"/>
    <w:rsid w:val="00F2799A"/>
    <w:rsid w:val="00F27AFF"/>
    <w:rsid w:val="00F30F69"/>
    <w:rsid w:val="00F312F8"/>
    <w:rsid w:val="00F3178A"/>
    <w:rsid w:val="00F317E9"/>
    <w:rsid w:val="00F31D02"/>
    <w:rsid w:val="00F31D0C"/>
    <w:rsid w:val="00F321B8"/>
    <w:rsid w:val="00F334A4"/>
    <w:rsid w:val="00F34701"/>
    <w:rsid w:val="00F3485D"/>
    <w:rsid w:val="00F34A03"/>
    <w:rsid w:val="00F34E28"/>
    <w:rsid w:val="00F34F79"/>
    <w:rsid w:val="00F352F2"/>
    <w:rsid w:val="00F3530F"/>
    <w:rsid w:val="00F3665B"/>
    <w:rsid w:val="00F366D4"/>
    <w:rsid w:val="00F369EB"/>
    <w:rsid w:val="00F36C30"/>
    <w:rsid w:val="00F370BE"/>
    <w:rsid w:val="00F375B1"/>
    <w:rsid w:val="00F37CC1"/>
    <w:rsid w:val="00F4014F"/>
    <w:rsid w:val="00F401CB"/>
    <w:rsid w:val="00F407F1"/>
    <w:rsid w:val="00F40801"/>
    <w:rsid w:val="00F40A91"/>
    <w:rsid w:val="00F40EAF"/>
    <w:rsid w:val="00F411B6"/>
    <w:rsid w:val="00F413A5"/>
    <w:rsid w:val="00F41966"/>
    <w:rsid w:val="00F4303E"/>
    <w:rsid w:val="00F44744"/>
    <w:rsid w:val="00F4511A"/>
    <w:rsid w:val="00F456AA"/>
    <w:rsid w:val="00F45A39"/>
    <w:rsid w:val="00F45D4C"/>
    <w:rsid w:val="00F46610"/>
    <w:rsid w:val="00F46661"/>
    <w:rsid w:val="00F46E28"/>
    <w:rsid w:val="00F47289"/>
    <w:rsid w:val="00F476B1"/>
    <w:rsid w:val="00F47706"/>
    <w:rsid w:val="00F478A0"/>
    <w:rsid w:val="00F503C2"/>
    <w:rsid w:val="00F50E07"/>
    <w:rsid w:val="00F5229E"/>
    <w:rsid w:val="00F52738"/>
    <w:rsid w:val="00F53082"/>
    <w:rsid w:val="00F533BC"/>
    <w:rsid w:val="00F53E78"/>
    <w:rsid w:val="00F53EDD"/>
    <w:rsid w:val="00F54547"/>
    <w:rsid w:val="00F54567"/>
    <w:rsid w:val="00F54BE7"/>
    <w:rsid w:val="00F54E07"/>
    <w:rsid w:val="00F5514B"/>
    <w:rsid w:val="00F5566A"/>
    <w:rsid w:val="00F5599C"/>
    <w:rsid w:val="00F55FC7"/>
    <w:rsid w:val="00F562CB"/>
    <w:rsid w:val="00F5638E"/>
    <w:rsid w:val="00F56AAF"/>
    <w:rsid w:val="00F570AE"/>
    <w:rsid w:val="00F575DA"/>
    <w:rsid w:val="00F57D83"/>
    <w:rsid w:val="00F57F16"/>
    <w:rsid w:val="00F60A7E"/>
    <w:rsid w:val="00F60B72"/>
    <w:rsid w:val="00F613A9"/>
    <w:rsid w:val="00F61E2D"/>
    <w:rsid w:val="00F6227C"/>
    <w:rsid w:val="00F6254A"/>
    <w:rsid w:val="00F62B73"/>
    <w:rsid w:val="00F634AB"/>
    <w:rsid w:val="00F642DA"/>
    <w:rsid w:val="00F643A8"/>
    <w:rsid w:val="00F644A3"/>
    <w:rsid w:val="00F64DA2"/>
    <w:rsid w:val="00F660C1"/>
    <w:rsid w:val="00F661A7"/>
    <w:rsid w:val="00F67C60"/>
    <w:rsid w:val="00F70083"/>
    <w:rsid w:val="00F70674"/>
    <w:rsid w:val="00F70A92"/>
    <w:rsid w:val="00F70B64"/>
    <w:rsid w:val="00F717FD"/>
    <w:rsid w:val="00F72087"/>
    <w:rsid w:val="00F72AF4"/>
    <w:rsid w:val="00F731E0"/>
    <w:rsid w:val="00F738DE"/>
    <w:rsid w:val="00F73A03"/>
    <w:rsid w:val="00F73EC5"/>
    <w:rsid w:val="00F74B82"/>
    <w:rsid w:val="00F74D60"/>
    <w:rsid w:val="00F75305"/>
    <w:rsid w:val="00F75D5E"/>
    <w:rsid w:val="00F761B0"/>
    <w:rsid w:val="00F76EAA"/>
    <w:rsid w:val="00F76EFB"/>
    <w:rsid w:val="00F77111"/>
    <w:rsid w:val="00F801E3"/>
    <w:rsid w:val="00F80FCF"/>
    <w:rsid w:val="00F81972"/>
    <w:rsid w:val="00F819A0"/>
    <w:rsid w:val="00F81A62"/>
    <w:rsid w:val="00F83463"/>
    <w:rsid w:val="00F83742"/>
    <w:rsid w:val="00F839C4"/>
    <w:rsid w:val="00F83AA3"/>
    <w:rsid w:val="00F83BAF"/>
    <w:rsid w:val="00F85242"/>
    <w:rsid w:val="00F852D2"/>
    <w:rsid w:val="00F852E6"/>
    <w:rsid w:val="00F855B9"/>
    <w:rsid w:val="00F85688"/>
    <w:rsid w:val="00F858CC"/>
    <w:rsid w:val="00F867BD"/>
    <w:rsid w:val="00F86EFB"/>
    <w:rsid w:val="00F873C6"/>
    <w:rsid w:val="00F87B9F"/>
    <w:rsid w:val="00F9072B"/>
    <w:rsid w:val="00F90FE3"/>
    <w:rsid w:val="00F926A3"/>
    <w:rsid w:val="00F92927"/>
    <w:rsid w:val="00F932B7"/>
    <w:rsid w:val="00F951AB"/>
    <w:rsid w:val="00F95E64"/>
    <w:rsid w:val="00F96676"/>
    <w:rsid w:val="00F96F7C"/>
    <w:rsid w:val="00F96FB7"/>
    <w:rsid w:val="00F971A0"/>
    <w:rsid w:val="00F97B23"/>
    <w:rsid w:val="00FA0E00"/>
    <w:rsid w:val="00FA2330"/>
    <w:rsid w:val="00FA259A"/>
    <w:rsid w:val="00FA2E11"/>
    <w:rsid w:val="00FA3329"/>
    <w:rsid w:val="00FA40B7"/>
    <w:rsid w:val="00FA41B4"/>
    <w:rsid w:val="00FA4382"/>
    <w:rsid w:val="00FA4D90"/>
    <w:rsid w:val="00FA4F62"/>
    <w:rsid w:val="00FA525A"/>
    <w:rsid w:val="00FA552E"/>
    <w:rsid w:val="00FA5A83"/>
    <w:rsid w:val="00FA5EBC"/>
    <w:rsid w:val="00FA603C"/>
    <w:rsid w:val="00FA655E"/>
    <w:rsid w:val="00FA6780"/>
    <w:rsid w:val="00FA67BA"/>
    <w:rsid w:val="00FA6E86"/>
    <w:rsid w:val="00FA79CD"/>
    <w:rsid w:val="00FB00C0"/>
    <w:rsid w:val="00FB02DC"/>
    <w:rsid w:val="00FB0756"/>
    <w:rsid w:val="00FB0DEE"/>
    <w:rsid w:val="00FB0F05"/>
    <w:rsid w:val="00FB117A"/>
    <w:rsid w:val="00FB1711"/>
    <w:rsid w:val="00FB319F"/>
    <w:rsid w:val="00FB3698"/>
    <w:rsid w:val="00FB3918"/>
    <w:rsid w:val="00FB3C5F"/>
    <w:rsid w:val="00FB3F27"/>
    <w:rsid w:val="00FB43A4"/>
    <w:rsid w:val="00FB4565"/>
    <w:rsid w:val="00FB5127"/>
    <w:rsid w:val="00FB51BF"/>
    <w:rsid w:val="00FB5820"/>
    <w:rsid w:val="00FB5C80"/>
    <w:rsid w:val="00FB6699"/>
    <w:rsid w:val="00FB6824"/>
    <w:rsid w:val="00FC0F67"/>
    <w:rsid w:val="00FC1731"/>
    <w:rsid w:val="00FC1770"/>
    <w:rsid w:val="00FC1B22"/>
    <w:rsid w:val="00FC3CE9"/>
    <w:rsid w:val="00FC3DC9"/>
    <w:rsid w:val="00FC43BC"/>
    <w:rsid w:val="00FC5454"/>
    <w:rsid w:val="00FC57A3"/>
    <w:rsid w:val="00FC5857"/>
    <w:rsid w:val="00FC5D3B"/>
    <w:rsid w:val="00FC663A"/>
    <w:rsid w:val="00FC76AB"/>
    <w:rsid w:val="00FC7D33"/>
    <w:rsid w:val="00FC7D9E"/>
    <w:rsid w:val="00FC7E3B"/>
    <w:rsid w:val="00FD010B"/>
    <w:rsid w:val="00FD01F2"/>
    <w:rsid w:val="00FD07F9"/>
    <w:rsid w:val="00FD08A4"/>
    <w:rsid w:val="00FD09D5"/>
    <w:rsid w:val="00FD0DC0"/>
    <w:rsid w:val="00FD0E2E"/>
    <w:rsid w:val="00FD189F"/>
    <w:rsid w:val="00FD193F"/>
    <w:rsid w:val="00FD1F26"/>
    <w:rsid w:val="00FD21A9"/>
    <w:rsid w:val="00FD28F6"/>
    <w:rsid w:val="00FD38F5"/>
    <w:rsid w:val="00FD38FA"/>
    <w:rsid w:val="00FD39F1"/>
    <w:rsid w:val="00FD47B6"/>
    <w:rsid w:val="00FD51F4"/>
    <w:rsid w:val="00FD6809"/>
    <w:rsid w:val="00FD774A"/>
    <w:rsid w:val="00FD7970"/>
    <w:rsid w:val="00FD79A4"/>
    <w:rsid w:val="00FE0B1D"/>
    <w:rsid w:val="00FE133C"/>
    <w:rsid w:val="00FE1952"/>
    <w:rsid w:val="00FE2210"/>
    <w:rsid w:val="00FE2A6D"/>
    <w:rsid w:val="00FE2F41"/>
    <w:rsid w:val="00FE31F3"/>
    <w:rsid w:val="00FE38B1"/>
    <w:rsid w:val="00FE4166"/>
    <w:rsid w:val="00FE4E6F"/>
    <w:rsid w:val="00FE6E47"/>
    <w:rsid w:val="00FE7012"/>
    <w:rsid w:val="00FF002C"/>
    <w:rsid w:val="00FF0ADD"/>
    <w:rsid w:val="00FF139F"/>
    <w:rsid w:val="00FF16E5"/>
    <w:rsid w:val="00FF174B"/>
    <w:rsid w:val="00FF1792"/>
    <w:rsid w:val="00FF189F"/>
    <w:rsid w:val="00FF200B"/>
    <w:rsid w:val="00FF2589"/>
    <w:rsid w:val="00FF2879"/>
    <w:rsid w:val="00FF4A95"/>
    <w:rsid w:val="00FF5802"/>
    <w:rsid w:val="00FF5A54"/>
    <w:rsid w:val="00FF5AB7"/>
    <w:rsid w:val="00FF7938"/>
    <w:rsid w:val="00FF7CC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5396"/>
  <w15:docId w15:val="{42AE82E2-7746-46E1-A16A-EEC904F7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1AE"/>
    <w:pPr>
      <w:spacing w:after="200" w:line="276" w:lineRule="auto"/>
    </w:pPr>
    <w:rPr>
      <w:rFonts w:ascii="Calibri" w:eastAsia="ヒラギノ角ゴ Pro W3" w:hAnsi="Calibri" w:cs="Times New Roman"/>
      <w:color w:val="000000"/>
      <w:kern w:val="0"/>
      <w:szCs w:val="24"/>
      <w:lang w:val="en-US"/>
      <w14:ligatures w14:val="none"/>
    </w:rPr>
  </w:style>
  <w:style w:type="paragraph" w:styleId="Titre1">
    <w:name w:val="heading 1"/>
    <w:basedOn w:val="Normal"/>
    <w:next w:val="Normal"/>
    <w:link w:val="Titre1Car"/>
    <w:uiPriority w:val="9"/>
    <w:qFormat/>
    <w:rsid w:val="00BC61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C61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2736AF"/>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ubli1">
    <w:name w:val="Publi1"/>
    <w:basedOn w:val="Titre1"/>
    <w:next w:val="Publi2"/>
    <w:qFormat/>
    <w:rsid w:val="00BC61AE"/>
    <w:pPr>
      <w:numPr>
        <w:numId w:val="1"/>
      </w:numPr>
      <w:spacing w:before="480"/>
    </w:pPr>
    <w:rPr>
      <w:rFonts w:ascii="Times New Roman" w:hAnsi="Times New Roman"/>
      <w:b/>
      <w:bCs/>
      <w:color w:val="auto"/>
      <w:sz w:val="28"/>
      <w:szCs w:val="28"/>
    </w:rPr>
  </w:style>
  <w:style w:type="paragraph" w:customStyle="1" w:styleId="Publi2">
    <w:name w:val="Publi2"/>
    <w:basedOn w:val="Titre2"/>
    <w:next w:val="PubliManuscript"/>
    <w:qFormat/>
    <w:rsid w:val="00BC61AE"/>
    <w:pPr>
      <w:numPr>
        <w:ilvl w:val="1"/>
        <w:numId w:val="1"/>
      </w:numPr>
      <w:spacing w:before="120"/>
    </w:pPr>
    <w:rPr>
      <w:rFonts w:ascii="Times New Roman" w:hAnsi="Times New Roman"/>
      <w:b/>
      <w:bCs/>
      <w:i/>
      <w:color w:val="000000" w:themeColor="text1"/>
      <w:sz w:val="24"/>
    </w:rPr>
  </w:style>
  <w:style w:type="paragraph" w:customStyle="1" w:styleId="PubliManuscript">
    <w:name w:val="PubliManuscript"/>
    <w:basedOn w:val="Normal"/>
    <w:qFormat/>
    <w:rsid w:val="00BC61AE"/>
    <w:pPr>
      <w:widowControl w:val="0"/>
      <w:spacing w:before="120" w:after="120" w:line="480" w:lineRule="auto"/>
      <w:ind w:firstLine="567"/>
      <w:jc w:val="both"/>
    </w:pPr>
    <w:rPr>
      <w:rFonts w:ascii="Times New Roman" w:hAnsi="Times New Roman"/>
    </w:rPr>
  </w:style>
  <w:style w:type="character" w:styleId="Lienhypertexte">
    <w:name w:val="Hyperlink"/>
    <w:basedOn w:val="Policepardfaut"/>
    <w:uiPriority w:val="99"/>
    <w:unhideWhenUsed/>
    <w:rsid w:val="00BC61AE"/>
    <w:rPr>
      <w:color w:val="0563C1" w:themeColor="hyperlink"/>
      <w:u w:val="single"/>
    </w:rPr>
  </w:style>
  <w:style w:type="character" w:customStyle="1" w:styleId="Titre1Car">
    <w:name w:val="Titre 1 Car"/>
    <w:basedOn w:val="Policepardfaut"/>
    <w:link w:val="Titre1"/>
    <w:uiPriority w:val="9"/>
    <w:rsid w:val="00BC61AE"/>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Titre2Car">
    <w:name w:val="Titre 2 Car"/>
    <w:basedOn w:val="Policepardfaut"/>
    <w:link w:val="Titre2"/>
    <w:uiPriority w:val="9"/>
    <w:semiHidden/>
    <w:rsid w:val="00BC61AE"/>
    <w:rPr>
      <w:rFonts w:asciiTheme="majorHAnsi" w:eastAsiaTheme="majorEastAsia" w:hAnsiTheme="majorHAnsi" w:cstheme="majorBidi"/>
      <w:color w:val="2F5496" w:themeColor="accent1" w:themeShade="BF"/>
      <w:kern w:val="0"/>
      <w:sz w:val="26"/>
      <w:szCs w:val="26"/>
      <w:lang w:val="en-US"/>
      <w14:ligatures w14:val="none"/>
    </w:rPr>
  </w:style>
  <w:style w:type="paragraph" w:styleId="Paragraphedeliste">
    <w:name w:val="List Paragraph"/>
    <w:basedOn w:val="Normal"/>
    <w:uiPriority w:val="34"/>
    <w:qFormat/>
    <w:rsid w:val="00310916"/>
    <w:pPr>
      <w:spacing w:after="0" w:line="240" w:lineRule="auto"/>
      <w:ind w:left="720"/>
      <w:contextualSpacing/>
    </w:pPr>
    <w:rPr>
      <w:rFonts w:ascii="Times New Roman" w:eastAsia="Times New Roman" w:hAnsi="Times New Roman"/>
      <w:color w:val="auto"/>
      <w:sz w:val="24"/>
      <w:lang w:val="fr-BE" w:eastAsia="fr-BE"/>
    </w:rPr>
  </w:style>
  <w:style w:type="character" w:styleId="Marquedecommentaire">
    <w:name w:val="annotation reference"/>
    <w:basedOn w:val="Policepardfaut"/>
    <w:uiPriority w:val="99"/>
    <w:semiHidden/>
    <w:unhideWhenUsed/>
    <w:rsid w:val="006B23AD"/>
    <w:rPr>
      <w:sz w:val="16"/>
      <w:szCs w:val="16"/>
    </w:rPr>
  </w:style>
  <w:style w:type="paragraph" w:styleId="Commentaire">
    <w:name w:val="annotation text"/>
    <w:basedOn w:val="Normal"/>
    <w:link w:val="CommentaireCar"/>
    <w:uiPriority w:val="99"/>
    <w:unhideWhenUsed/>
    <w:rsid w:val="006B23AD"/>
    <w:pPr>
      <w:spacing w:line="240" w:lineRule="auto"/>
    </w:pPr>
    <w:rPr>
      <w:sz w:val="20"/>
      <w:szCs w:val="20"/>
    </w:rPr>
  </w:style>
  <w:style w:type="character" w:customStyle="1" w:styleId="CommentaireCar">
    <w:name w:val="Commentaire Car"/>
    <w:basedOn w:val="Policepardfaut"/>
    <w:link w:val="Commentaire"/>
    <w:uiPriority w:val="99"/>
    <w:rsid w:val="006B23AD"/>
    <w:rPr>
      <w:rFonts w:ascii="Calibri" w:eastAsia="ヒラギノ角ゴ Pro W3" w:hAnsi="Calibri" w:cs="Times New Roman"/>
      <w:color w:val="000000"/>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6B23AD"/>
    <w:rPr>
      <w:b/>
      <w:bCs/>
    </w:rPr>
  </w:style>
  <w:style w:type="character" w:customStyle="1" w:styleId="ObjetducommentaireCar">
    <w:name w:val="Objet du commentaire Car"/>
    <w:basedOn w:val="CommentaireCar"/>
    <w:link w:val="Objetducommentaire"/>
    <w:uiPriority w:val="99"/>
    <w:semiHidden/>
    <w:rsid w:val="006B23AD"/>
    <w:rPr>
      <w:rFonts w:ascii="Calibri" w:eastAsia="ヒラギノ角ゴ Pro W3" w:hAnsi="Calibri" w:cs="Times New Roman"/>
      <w:b/>
      <w:bCs/>
      <w:color w:val="000000"/>
      <w:kern w:val="0"/>
      <w:sz w:val="20"/>
      <w:szCs w:val="20"/>
      <w:lang w:val="en-US"/>
      <w14:ligatures w14:val="none"/>
    </w:rPr>
  </w:style>
  <w:style w:type="character" w:customStyle="1" w:styleId="Titre3Car">
    <w:name w:val="Titre 3 Car"/>
    <w:basedOn w:val="Policepardfaut"/>
    <w:link w:val="Titre3"/>
    <w:uiPriority w:val="9"/>
    <w:rsid w:val="002736AF"/>
    <w:rPr>
      <w:rFonts w:asciiTheme="majorHAnsi" w:eastAsiaTheme="majorEastAsia" w:hAnsiTheme="majorHAnsi" w:cstheme="majorBidi"/>
      <w:color w:val="1F3763" w:themeColor="accent1" w:themeShade="7F"/>
      <w:kern w:val="0"/>
      <w:sz w:val="24"/>
      <w:szCs w:val="24"/>
      <w:lang w:val="en-US"/>
      <w14:ligatures w14:val="none"/>
    </w:rPr>
  </w:style>
  <w:style w:type="paragraph" w:styleId="Sansinterligne">
    <w:name w:val="No Spacing"/>
    <w:uiPriority w:val="1"/>
    <w:qFormat/>
    <w:rsid w:val="0009213F"/>
    <w:pPr>
      <w:spacing w:after="0" w:line="240" w:lineRule="auto"/>
    </w:pPr>
    <w:rPr>
      <w:rFonts w:ascii="Calibri" w:eastAsia="ヒラギノ角ゴ Pro W3" w:hAnsi="Calibri" w:cs="Times New Roman"/>
      <w:color w:val="000000"/>
      <w:kern w:val="0"/>
      <w:szCs w:val="24"/>
      <w:lang w:val="en-US"/>
      <w14:ligatures w14:val="none"/>
    </w:rPr>
  </w:style>
  <w:style w:type="character" w:styleId="Numrodeligne">
    <w:name w:val="line number"/>
    <w:basedOn w:val="Policepardfaut"/>
    <w:uiPriority w:val="99"/>
    <w:semiHidden/>
    <w:unhideWhenUsed/>
    <w:rsid w:val="006C4559"/>
  </w:style>
  <w:style w:type="character" w:styleId="Mentionnonrsolue">
    <w:name w:val="Unresolved Mention"/>
    <w:basedOn w:val="Policepardfaut"/>
    <w:uiPriority w:val="99"/>
    <w:semiHidden/>
    <w:unhideWhenUsed/>
    <w:rsid w:val="005E3F09"/>
    <w:rPr>
      <w:color w:val="605E5C"/>
      <w:shd w:val="clear" w:color="auto" w:fill="E1DFDD"/>
    </w:rPr>
  </w:style>
  <w:style w:type="paragraph" w:styleId="Rvision">
    <w:name w:val="Revision"/>
    <w:hidden/>
    <w:uiPriority w:val="99"/>
    <w:semiHidden/>
    <w:rsid w:val="005E3F09"/>
    <w:pPr>
      <w:spacing w:after="0" w:line="240" w:lineRule="auto"/>
    </w:pPr>
    <w:rPr>
      <w:rFonts w:ascii="Calibri" w:eastAsia="ヒラギノ角ゴ Pro W3" w:hAnsi="Calibri" w:cs="Times New Roman"/>
      <w:color w:val="000000"/>
      <w:kern w:val="0"/>
      <w:szCs w:val="24"/>
      <w:lang w:val="en-US"/>
      <w14:ligatures w14:val="none"/>
    </w:rPr>
  </w:style>
  <w:style w:type="character" w:styleId="Accentuation">
    <w:name w:val="Emphasis"/>
    <w:basedOn w:val="Policepardfaut"/>
    <w:uiPriority w:val="20"/>
    <w:qFormat/>
    <w:rsid w:val="000B27E5"/>
    <w:rPr>
      <w:i/>
      <w:iCs/>
    </w:rPr>
  </w:style>
  <w:style w:type="character" w:customStyle="1" w:styleId="cf01">
    <w:name w:val="cf01"/>
    <w:basedOn w:val="Policepardfaut"/>
    <w:rsid w:val="00862CAD"/>
    <w:rPr>
      <w:rFonts w:ascii="Segoe UI" w:hAnsi="Segoe UI" w:cs="Segoe UI" w:hint="default"/>
      <w:sz w:val="18"/>
      <w:szCs w:val="18"/>
    </w:rPr>
  </w:style>
  <w:style w:type="character" w:customStyle="1" w:styleId="anchor-text">
    <w:name w:val="anchor-text"/>
    <w:basedOn w:val="Policepardfaut"/>
    <w:rsid w:val="007271EC"/>
  </w:style>
  <w:style w:type="paragraph" w:styleId="NormalWeb">
    <w:name w:val="Normal (Web)"/>
    <w:basedOn w:val="Normal"/>
    <w:uiPriority w:val="99"/>
    <w:semiHidden/>
    <w:unhideWhenUsed/>
    <w:rsid w:val="003E5B46"/>
    <w:pPr>
      <w:spacing w:before="100" w:beforeAutospacing="1" w:after="100" w:afterAutospacing="1" w:line="240" w:lineRule="auto"/>
    </w:pPr>
    <w:rPr>
      <w:rFonts w:ascii="Times New Roman" w:eastAsia="Times New Roman" w:hAnsi="Times New Roman"/>
      <w:color w:val="auto"/>
      <w:sz w:val="24"/>
      <w:lang w:val="fr-BE" w:eastAsia="fr-BE"/>
    </w:rPr>
  </w:style>
  <w:style w:type="paragraph" w:styleId="PrformatHTML">
    <w:name w:val="HTML Preformatted"/>
    <w:basedOn w:val="Normal"/>
    <w:link w:val="PrformatHTMLCar"/>
    <w:uiPriority w:val="99"/>
    <w:semiHidden/>
    <w:unhideWhenUsed/>
    <w:rsid w:val="00F9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fr-BE" w:eastAsia="fr-BE"/>
    </w:rPr>
  </w:style>
  <w:style w:type="character" w:customStyle="1" w:styleId="PrformatHTMLCar">
    <w:name w:val="Préformaté HTML Car"/>
    <w:basedOn w:val="Policepardfaut"/>
    <w:link w:val="PrformatHTML"/>
    <w:uiPriority w:val="99"/>
    <w:semiHidden/>
    <w:rsid w:val="00F97B23"/>
    <w:rPr>
      <w:rFonts w:ascii="Courier New" w:eastAsia="Times New Roman" w:hAnsi="Courier New" w:cs="Courier New"/>
      <w:kern w:val="0"/>
      <w:sz w:val="20"/>
      <w:szCs w:val="20"/>
      <w:lang w:eastAsia="fr-BE"/>
      <w14:ligatures w14:val="none"/>
    </w:rPr>
  </w:style>
  <w:style w:type="character" w:styleId="CodeHTML">
    <w:name w:val="HTML Code"/>
    <w:basedOn w:val="Policepardfaut"/>
    <w:uiPriority w:val="99"/>
    <w:semiHidden/>
    <w:unhideWhenUsed/>
    <w:rsid w:val="00F97B23"/>
    <w:rPr>
      <w:rFonts w:ascii="Courier New" w:eastAsia="Times New Roman" w:hAnsi="Courier New" w:cs="Courier New"/>
      <w:sz w:val="20"/>
      <w:szCs w:val="20"/>
    </w:rPr>
  </w:style>
  <w:style w:type="character" w:styleId="Textedelespacerserv">
    <w:name w:val="Placeholder Text"/>
    <w:basedOn w:val="Policepardfaut"/>
    <w:uiPriority w:val="99"/>
    <w:semiHidden/>
    <w:rsid w:val="00F929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7507">
      <w:bodyDiv w:val="1"/>
      <w:marLeft w:val="0"/>
      <w:marRight w:val="0"/>
      <w:marTop w:val="0"/>
      <w:marBottom w:val="0"/>
      <w:divBdr>
        <w:top w:val="none" w:sz="0" w:space="0" w:color="auto"/>
        <w:left w:val="none" w:sz="0" w:space="0" w:color="auto"/>
        <w:bottom w:val="none" w:sz="0" w:space="0" w:color="auto"/>
        <w:right w:val="none" w:sz="0" w:space="0" w:color="auto"/>
      </w:divBdr>
    </w:div>
    <w:div w:id="107966829">
      <w:bodyDiv w:val="1"/>
      <w:marLeft w:val="0"/>
      <w:marRight w:val="0"/>
      <w:marTop w:val="0"/>
      <w:marBottom w:val="0"/>
      <w:divBdr>
        <w:top w:val="none" w:sz="0" w:space="0" w:color="auto"/>
        <w:left w:val="none" w:sz="0" w:space="0" w:color="auto"/>
        <w:bottom w:val="none" w:sz="0" w:space="0" w:color="auto"/>
        <w:right w:val="none" w:sz="0" w:space="0" w:color="auto"/>
      </w:divBdr>
      <w:divsChild>
        <w:div w:id="262997663">
          <w:marLeft w:val="0"/>
          <w:marRight w:val="0"/>
          <w:marTop w:val="0"/>
          <w:marBottom w:val="0"/>
          <w:divBdr>
            <w:top w:val="none" w:sz="0" w:space="0" w:color="auto"/>
            <w:left w:val="none" w:sz="0" w:space="0" w:color="auto"/>
            <w:bottom w:val="none" w:sz="0" w:space="0" w:color="auto"/>
            <w:right w:val="none" w:sz="0" w:space="0" w:color="auto"/>
          </w:divBdr>
          <w:divsChild>
            <w:div w:id="829832800">
              <w:marLeft w:val="0"/>
              <w:marRight w:val="0"/>
              <w:marTop w:val="0"/>
              <w:marBottom w:val="0"/>
              <w:divBdr>
                <w:top w:val="none" w:sz="0" w:space="0" w:color="auto"/>
                <w:left w:val="none" w:sz="0" w:space="0" w:color="auto"/>
                <w:bottom w:val="none" w:sz="0" w:space="0" w:color="auto"/>
                <w:right w:val="none" w:sz="0" w:space="0" w:color="auto"/>
              </w:divBdr>
              <w:divsChild>
                <w:div w:id="389353851">
                  <w:marLeft w:val="0"/>
                  <w:marRight w:val="0"/>
                  <w:marTop w:val="0"/>
                  <w:marBottom w:val="0"/>
                  <w:divBdr>
                    <w:top w:val="none" w:sz="0" w:space="0" w:color="auto"/>
                    <w:left w:val="none" w:sz="0" w:space="0" w:color="auto"/>
                    <w:bottom w:val="none" w:sz="0" w:space="0" w:color="auto"/>
                    <w:right w:val="none" w:sz="0" w:space="0" w:color="auto"/>
                  </w:divBdr>
                  <w:divsChild>
                    <w:div w:id="3127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9495">
      <w:bodyDiv w:val="1"/>
      <w:marLeft w:val="0"/>
      <w:marRight w:val="0"/>
      <w:marTop w:val="0"/>
      <w:marBottom w:val="0"/>
      <w:divBdr>
        <w:top w:val="none" w:sz="0" w:space="0" w:color="auto"/>
        <w:left w:val="none" w:sz="0" w:space="0" w:color="auto"/>
        <w:bottom w:val="none" w:sz="0" w:space="0" w:color="auto"/>
        <w:right w:val="none" w:sz="0" w:space="0" w:color="auto"/>
      </w:divBdr>
      <w:divsChild>
        <w:div w:id="1646004946">
          <w:marLeft w:val="0"/>
          <w:marRight w:val="0"/>
          <w:marTop w:val="0"/>
          <w:marBottom w:val="0"/>
          <w:divBdr>
            <w:top w:val="none" w:sz="0" w:space="0" w:color="auto"/>
            <w:left w:val="none" w:sz="0" w:space="0" w:color="auto"/>
            <w:bottom w:val="none" w:sz="0" w:space="0" w:color="auto"/>
            <w:right w:val="none" w:sz="0" w:space="0" w:color="auto"/>
          </w:divBdr>
        </w:div>
      </w:divsChild>
    </w:div>
    <w:div w:id="241375057">
      <w:bodyDiv w:val="1"/>
      <w:marLeft w:val="0"/>
      <w:marRight w:val="0"/>
      <w:marTop w:val="0"/>
      <w:marBottom w:val="0"/>
      <w:divBdr>
        <w:top w:val="none" w:sz="0" w:space="0" w:color="auto"/>
        <w:left w:val="none" w:sz="0" w:space="0" w:color="auto"/>
        <w:bottom w:val="none" w:sz="0" w:space="0" w:color="auto"/>
        <w:right w:val="none" w:sz="0" w:space="0" w:color="auto"/>
      </w:divBdr>
    </w:div>
    <w:div w:id="241647592">
      <w:bodyDiv w:val="1"/>
      <w:marLeft w:val="0"/>
      <w:marRight w:val="0"/>
      <w:marTop w:val="0"/>
      <w:marBottom w:val="0"/>
      <w:divBdr>
        <w:top w:val="none" w:sz="0" w:space="0" w:color="auto"/>
        <w:left w:val="none" w:sz="0" w:space="0" w:color="auto"/>
        <w:bottom w:val="none" w:sz="0" w:space="0" w:color="auto"/>
        <w:right w:val="none" w:sz="0" w:space="0" w:color="auto"/>
      </w:divBdr>
      <w:divsChild>
        <w:div w:id="2147235497">
          <w:marLeft w:val="2707"/>
          <w:marRight w:val="0"/>
          <w:marTop w:val="100"/>
          <w:marBottom w:val="0"/>
          <w:divBdr>
            <w:top w:val="none" w:sz="0" w:space="0" w:color="auto"/>
            <w:left w:val="none" w:sz="0" w:space="0" w:color="auto"/>
            <w:bottom w:val="none" w:sz="0" w:space="0" w:color="auto"/>
            <w:right w:val="none" w:sz="0" w:space="0" w:color="auto"/>
          </w:divBdr>
        </w:div>
      </w:divsChild>
    </w:div>
    <w:div w:id="251551710">
      <w:bodyDiv w:val="1"/>
      <w:marLeft w:val="0"/>
      <w:marRight w:val="0"/>
      <w:marTop w:val="0"/>
      <w:marBottom w:val="0"/>
      <w:divBdr>
        <w:top w:val="none" w:sz="0" w:space="0" w:color="auto"/>
        <w:left w:val="none" w:sz="0" w:space="0" w:color="auto"/>
        <w:bottom w:val="none" w:sz="0" w:space="0" w:color="auto"/>
        <w:right w:val="none" w:sz="0" w:space="0" w:color="auto"/>
      </w:divBdr>
    </w:div>
    <w:div w:id="277027921">
      <w:bodyDiv w:val="1"/>
      <w:marLeft w:val="0"/>
      <w:marRight w:val="0"/>
      <w:marTop w:val="0"/>
      <w:marBottom w:val="0"/>
      <w:divBdr>
        <w:top w:val="none" w:sz="0" w:space="0" w:color="auto"/>
        <w:left w:val="none" w:sz="0" w:space="0" w:color="auto"/>
        <w:bottom w:val="none" w:sz="0" w:space="0" w:color="auto"/>
        <w:right w:val="none" w:sz="0" w:space="0" w:color="auto"/>
      </w:divBdr>
    </w:div>
    <w:div w:id="295568202">
      <w:bodyDiv w:val="1"/>
      <w:marLeft w:val="0"/>
      <w:marRight w:val="0"/>
      <w:marTop w:val="0"/>
      <w:marBottom w:val="0"/>
      <w:divBdr>
        <w:top w:val="none" w:sz="0" w:space="0" w:color="auto"/>
        <w:left w:val="none" w:sz="0" w:space="0" w:color="auto"/>
        <w:bottom w:val="none" w:sz="0" w:space="0" w:color="auto"/>
        <w:right w:val="none" w:sz="0" w:space="0" w:color="auto"/>
      </w:divBdr>
    </w:div>
    <w:div w:id="333991664">
      <w:bodyDiv w:val="1"/>
      <w:marLeft w:val="0"/>
      <w:marRight w:val="0"/>
      <w:marTop w:val="0"/>
      <w:marBottom w:val="0"/>
      <w:divBdr>
        <w:top w:val="none" w:sz="0" w:space="0" w:color="auto"/>
        <w:left w:val="none" w:sz="0" w:space="0" w:color="auto"/>
        <w:bottom w:val="none" w:sz="0" w:space="0" w:color="auto"/>
        <w:right w:val="none" w:sz="0" w:space="0" w:color="auto"/>
      </w:divBdr>
      <w:divsChild>
        <w:div w:id="702940808">
          <w:marLeft w:val="0"/>
          <w:marRight w:val="0"/>
          <w:marTop w:val="0"/>
          <w:marBottom w:val="0"/>
          <w:divBdr>
            <w:top w:val="none" w:sz="0" w:space="0" w:color="auto"/>
            <w:left w:val="none" w:sz="0" w:space="0" w:color="auto"/>
            <w:bottom w:val="none" w:sz="0" w:space="0" w:color="auto"/>
            <w:right w:val="none" w:sz="0" w:space="0" w:color="auto"/>
          </w:divBdr>
          <w:divsChild>
            <w:div w:id="2091733979">
              <w:marLeft w:val="0"/>
              <w:marRight w:val="0"/>
              <w:marTop w:val="0"/>
              <w:marBottom w:val="0"/>
              <w:divBdr>
                <w:top w:val="none" w:sz="0" w:space="0" w:color="auto"/>
                <w:left w:val="none" w:sz="0" w:space="0" w:color="auto"/>
                <w:bottom w:val="none" w:sz="0" w:space="0" w:color="auto"/>
                <w:right w:val="none" w:sz="0" w:space="0" w:color="auto"/>
              </w:divBdr>
              <w:divsChild>
                <w:div w:id="1752507705">
                  <w:marLeft w:val="0"/>
                  <w:marRight w:val="0"/>
                  <w:marTop w:val="0"/>
                  <w:marBottom w:val="0"/>
                  <w:divBdr>
                    <w:top w:val="none" w:sz="0" w:space="0" w:color="auto"/>
                    <w:left w:val="none" w:sz="0" w:space="0" w:color="auto"/>
                    <w:bottom w:val="none" w:sz="0" w:space="0" w:color="auto"/>
                    <w:right w:val="none" w:sz="0" w:space="0" w:color="auto"/>
                  </w:divBdr>
                  <w:divsChild>
                    <w:div w:id="153183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91057">
      <w:bodyDiv w:val="1"/>
      <w:marLeft w:val="0"/>
      <w:marRight w:val="0"/>
      <w:marTop w:val="0"/>
      <w:marBottom w:val="0"/>
      <w:divBdr>
        <w:top w:val="none" w:sz="0" w:space="0" w:color="auto"/>
        <w:left w:val="none" w:sz="0" w:space="0" w:color="auto"/>
        <w:bottom w:val="none" w:sz="0" w:space="0" w:color="auto"/>
        <w:right w:val="none" w:sz="0" w:space="0" w:color="auto"/>
      </w:divBdr>
      <w:divsChild>
        <w:div w:id="1506742921">
          <w:marLeft w:val="0"/>
          <w:marRight w:val="0"/>
          <w:marTop w:val="0"/>
          <w:marBottom w:val="0"/>
          <w:divBdr>
            <w:top w:val="none" w:sz="0" w:space="0" w:color="auto"/>
            <w:left w:val="none" w:sz="0" w:space="0" w:color="auto"/>
            <w:bottom w:val="none" w:sz="0" w:space="0" w:color="auto"/>
            <w:right w:val="none" w:sz="0" w:space="0" w:color="auto"/>
          </w:divBdr>
          <w:divsChild>
            <w:div w:id="1759331245">
              <w:marLeft w:val="0"/>
              <w:marRight w:val="0"/>
              <w:marTop w:val="0"/>
              <w:marBottom w:val="0"/>
              <w:divBdr>
                <w:top w:val="none" w:sz="0" w:space="0" w:color="auto"/>
                <w:left w:val="none" w:sz="0" w:space="0" w:color="auto"/>
                <w:bottom w:val="none" w:sz="0" w:space="0" w:color="auto"/>
                <w:right w:val="none" w:sz="0" w:space="0" w:color="auto"/>
              </w:divBdr>
              <w:divsChild>
                <w:div w:id="603028571">
                  <w:marLeft w:val="0"/>
                  <w:marRight w:val="0"/>
                  <w:marTop w:val="0"/>
                  <w:marBottom w:val="0"/>
                  <w:divBdr>
                    <w:top w:val="none" w:sz="0" w:space="0" w:color="auto"/>
                    <w:left w:val="none" w:sz="0" w:space="0" w:color="auto"/>
                    <w:bottom w:val="none" w:sz="0" w:space="0" w:color="auto"/>
                    <w:right w:val="none" w:sz="0" w:space="0" w:color="auto"/>
                  </w:divBdr>
                  <w:divsChild>
                    <w:div w:id="14507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088361">
      <w:bodyDiv w:val="1"/>
      <w:marLeft w:val="0"/>
      <w:marRight w:val="0"/>
      <w:marTop w:val="0"/>
      <w:marBottom w:val="0"/>
      <w:divBdr>
        <w:top w:val="none" w:sz="0" w:space="0" w:color="auto"/>
        <w:left w:val="none" w:sz="0" w:space="0" w:color="auto"/>
        <w:bottom w:val="none" w:sz="0" w:space="0" w:color="auto"/>
        <w:right w:val="none" w:sz="0" w:space="0" w:color="auto"/>
      </w:divBdr>
      <w:divsChild>
        <w:div w:id="629020541">
          <w:marLeft w:val="2707"/>
          <w:marRight w:val="0"/>
          <w:marTop w:val="100"/>
          <w:marBottom w:val="0"/>
          <w:divBdr>
            <w:top w:val="none" w:sz="0" w:space="0" w:color="auto"/>
            <w:left w:val="none" w:sz="0" w:space="0" w:color="auto"/>
            <w:bottom w:val="none" w:sz="0" w:space="0" w:color="auto"/>
            <w:right w:val="none" w:sz="0" w:space="0" w:color="auto"/>
          </w:divBdr>
        </w:div>
      </w:divsChild>
    </w:div>
    <w:div w:id="409431791">
      <w:bodyDiv w:val="1"/>
      <w:marLeft w:val="0"/>
      <w:marRight w:val="0"/>
      <w:marTop w:val="0"/>
      <w:marBottom w:val="0"/>
      <w:divBdr>
        <w:top w:val="none" w:sz="0" w:space="0" w:color="auto"/>
        <w:left w:val="none" w:sz="0" w:space="0" w:color="auto"/>
        <w:bottom w:val="none" w:sz="0" w:space="0" w:color="auto"/>
        <w:right w:val="none" w:sz="0" w:space="0" w:color="auto"/>
      </w:divBdr>
      <w:divsChild>
        <w:div w:id="44839570">
          <w:marLeft w:val="0"/>
          <w:marRight w:val="0"/>
          <w:marTop w:val="0"/>
          <w:marBottom w:val="0"/>
          <w:divBdr>
            <w:top w:val="none" w:sz="0" w:space="0" w:color="auto"/>
            <w:left w:val="none" w:sz="0" w:space="0" w:color="auto"/>
            <w:bottom w:val="none" w:sz="0" w:space="0" w:color="auto"/>
            <w:right w:val="none" w:sz="0" w:space="0" w:color="auto"/>
          </w:divBdr>
          <w:divsChild>
            <w:div w:id="496119508">
              <w:marLeft w:val="0"/>
              <w:marRight w:val="0"/>
              <w:marTop w:val="0"/>
              <w:marBottom w:val="0"/>
              <w:divBdr>
                <w:top w:val="none" w:sz="0" w:space="0" w:color="auto"/>
                <w:left w:val="none" w:sz="0" w:space="0" w:color="auto"/>
                <w:bottom w:val="none" w:sz="0" w:space="0" w:color="auto"/>
                <w:right w:val="none" w:sz="0" w:space="0" w:color="auto"/>
              </w:divBdr>
              <w:divsChild>
                <w:div w:id="379213614">
                  <w:marLeft w:val="0"/>
                  <w:marRight w:val="0"/>
                  <w:marTop w:val="0"/>
                  <w:marBottom w:val="0"/>
                  <w:divBdr>
                    <w:top w:val="none" w:sz="0" w:space="0" w:color="auto"/>
                    <w:left w:val="none" w:sz="0" w:space="0" w:color="auto"/>
                    <w:bottom w:val="none" w:sz="0" w:space="0" w:color="auto"/>
                    <w:right w:val="none" w:sz="0" w:space="0" w:color="auto"/>
                  </w:divBdr>
                  <w:divsChild>
                    <w:div w:id="62373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23048">
      <w:bodyDiv w:val="1"/>
      <w:marLeft w:val="0"/>
      <w:marRight w:val="0"/>
      <w:marTop w:val="0"/>
      <w:marBottom w:val="0"/>
      <w:divBdr>
        <w:top w:val="none" w:sz="0" w:space="0" w:color="auto"/>
        <w:left w:val="none" w:sz="0" w:space="0" w:color="auto"/>
        <w:bottom w:val="none" w:sz="0" w:space="0" w:color="auto"/>
        <w:right w:val="none" w:sz="0" w:space="0" w:color="auto"/>
      </w:divBdr>
    </w:div>
    <w:div w:id="450898381">
      <w:bodyDiv w:val="1"/>
      <w:marLeft w:val="0"/>
      <w:marRight w:val="0"/>
      <w:marTop w:val="0"/>
      <w:marBottom w:val="0"/>
      <w:divBdr>
        <w:top w:val="none" w:sz="0" w:space="0" w:color="auto"/>
        <w:left w:val="none" w:sz="0" w:space="0" w:color="auto"/>
        <w:bottom w:val="none" w:sz="0" w:space="0" w:color="auto"/>
        <w:right w:val="none" w:sz="0" w:space="0" w:color="auto"/>
      </w:divBdr>
    </w:div>
    <w:div w:id="452483280">
      <w:bodyDiv w:val="1"/>
      <w:marLeft w:val="0"/>
      <w:marRight w:val="0"/>
      <w:marTop w:val="0"/>
      <w:marBottom w:val="0"/>
      <w:divBdr>
        <w:top w:val="none" w:sz="0" w:space="0" w:color="auto"/>
        <w:left w:val="none" w:sz="0" w:space="0" w:color="auto"/>
        <w:bottom w:val="none" w:sz="0" w:space="0" w:color="auto"/>
        <w:right w:val="none" w:sz="0" w:space="0" w:color="auto"/>
      </w:divBdr>
      <w:divsChild>
        <w:div w:id="1750925750">
          <w:marLeft w:val="0"/>
          <w:marRight w:val="0"/>
          <w:marTop w:val="0"/>
          <w:marBottom w:val="0"/>
          <w:divBdr>
            <w:top w:val="none" w:sz="0" w:space="0" w:color="auto"/>
            <w:left w:val="none" w:sz="0" w:space="0" w:color="auto"/>
            <w:bottom w:val="none" w:sz="0" w:space="0" w:color="auto"/>
            <w:right w:val="none" w:sz="0" w:space="0" w:color="auto"/>
          </w:divBdr>
          <w:divsChild>
            <w:div w:id="1969432017">
              <w:marLeft w:val="0"/>
              <w:marRight w:val="0"/>
              <w:marTop w:val="0"/>
              <w:marBottom w:val="0"/>
              <w:divBdr>
                <w:top w:val="none" w:sz="0" w:space="0" w:color="auto"/>
                <w:left w:val="none" w:sz="0" w:space="0" w:color="auto"/>
                <w:bottom w:val="none" w:sz="0" w:space="0" w:color="auto"/>
                <w:right w:val="none" w:sz="0" w:space="0" w:color="auto"/>
              </w:divBdr>
              <w:divsChild>
                <w:div w:id="1202745592">
                  <w:marLeft w:val="0"/>
                  <w:marRight w:val="0"/>
                  <w:marTop w:val="0"/>
                  <w:marBottom w:val="0"/>
                  <w:divBdr>
                    <w:top w:val="none" w:sz="0" w:space="0" w:color="auto"/>
                    <w:left w:val="none" w:sz="0" w:space="0" w:color="auto"/>
                    <w:bottom w:val="none" w:sz="0" w:space="0" w:color="auto"/>
                    <w:right w:val="none" w:sz="0" w:space="0" w:color="auto"/>
                  </w:divBdr>
                  <w:divsChild>
                    <w:div w:id="43510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72581">
      <w:bodyDiv w:val="1"/>
      <w:marLeft w:val="0"/>
      <w:marRight w:val="0"/>
      <w:marTop w:val="0"/>
      <w:marBottom w:val="0"/>
      <w:divBdr>
        <w:top w:val="none" w:sz="0" w:space="0" w:color="auto"/>
        <w:left w:val="none" w:sz="0" w:space="0" w:color="auto"/>
        <w:bottom w:val="none" w:sz="0" w:space="0" w:color="auto"/>
        <w:right w:val="none" w:sz="0" w:space="0" w:color="auto"/>
      </w:divBdr>
      <w:divsChild>
        <w:div w:id="581573290">
          <w:marLeft w:val="0"/>
          <w:marRight w:val="0"/>
          <w:marTop w:val="0"/>
          <w:marBottom w:val="0"/>
          <w:divBdr>
            <w:top w:val="none" w:sz="0" w:space="0" w:color="auto"/>
            <w:left w:val="none" w:sz="0" w:space="0" w:color="auto"/>
            <w:bottom w:val="none" w:sz="0" w:space="0" w:color="auto"/>
            <w:right w:val="none" w:sz="0" w:space="0" w:color="auto"/>
          </w:divBdr>
        </w:div>
      </w:divsChild>
    </w:div>
    <w:div w:id="488059476">
      <w:bodyDiv w:val="1"/>
      <w:marLeft w:val="0"/>
      <w:marRight w:val="0"/>
      <w:marTop w:val="0"/>
      <w:marBottom w:val="0"/>
      <w:divBdr>
        <w:top w:val="none" w:sz="0" w:space="0" w:color="auto"/>
        <w:left w:val="none" w:sz="0" w:space="0" w:color="auto"/>
        <w:bottom w:val="none" w:sz="0" w:space="0" w:color="auto"/>
        <w:right w:val="none" w:sz="0" w:space="0" w:color="auto"/>
      </w:divBdr>
      <w:divsChild>
        <w:div w:id="60568493">
          <w:marLeft w:val="0"/>
          <w:marRight w:val="0"/>
          <w:marTop w:val="0"/>
          <w:marBottom w:val="0"/>
          <w:divBdr>
            <w:top w:val="none" w:sz="0" w:space="0" w:color="auto"/>
            <w:left w:val="none" w:sz="0" w:space="0" w:color="auto"/>
            <w:bottom w:val="none" w:sz="0" w:space="0" w:color="auto"/>
            <w:right w:val="none" w:sz="0" w:space="0" w:color="auto"/>
          </w:divBdr>
          <w:divsChild>
            <w:div w:id="1628315357">
              <w:marLeft w:val="0"/>
              <w:marRight w:val="0"/>
              <w:marTop w:val="0"/>
              <w:marBottom w:val="0"/>
              <w:divBdr>
                <w:top w:val="none" w:sz="0" w:space="0" w:color="auto"/>
                <w:left w:val="none" w:sz="0" w:space="0" w:color="auto"/>
                <w:bottom w:val="none" w:sz="0" w:space="0" w:color="auto"/>
                <w:right w:val="none" w:sz="0" w:space="0" w:color="auto"/>
              </w:divBdr>
              <w:divsChild>
                <w:div w:id="513109826">
                  <w:marLeft w:val="0"/>
                  <w:marRight w:val="0"/>
                  <w:marTop w:val="0"/>
                  <w:marBottom w:val="0"/>
                  <w:divBdr>
                    <w:top w:val="none" w:sz="0" w:space="0" w:color="auto"/>
                    <w:left w:val="none" w:sz="0" w:space="0" w:color="auto"/>
                    <w:bottom w:val="none" w:sz="0" w:space="0" w:color="auto"/>
                    <w:right w:val="none" w:sz="0" w:space="0" w:color="auto"/>
                  </w:divBdr>
                  <w:divsChild>
                    <w:div w:id="14496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387535">
      <w:bodyDiv w:val="1"/>
      <w:marLeft w:val="0"/>
      <w:marRight w:val="0"/>
      <w:marTop w:val="0"/>
      <w:marBottom w:val="0"/>
      <w:divBdr>
        <w:top w:val="none" w:sz="0" w:space="0" w:color="auto"/>
        <w:left w:val="none" w:sz="0" w:space="0" w:color="auto"/>
        <w:bottom w:val="none" w:sz="0" w:space="0" w:color="auto"/>
        <w:right w:val="none" w:sz="0" w:space="0" w:color="auto"/>
      </w:divBdr>
    </w:div>
    <w:div w:id="531772040">
      <w:bodyDiv w:val="1"/>
      <w:marLeft w:val="0"/>
      <w:marRight w:val="0"/>
      <w:marTop w:val="0"/>
      <w:marBottom w:val="0"/>
      <w:divBdr>
        <w:top w:val="none" w:sz="0" w:space="0" w:color="auto"/>
        <w:left w:val="none" w:sz="0" w:space="0" w:color="auto"/>
        <w:bottom w:val="none" w:sz="0" w:space="0" w:color="auto"/>
        <w:right w:val="none" w:sz="0" w:space="0" w:color="auto"/>
      </w:divBdr>
      <w:divsChild>
        <w:div w:id="1439636850">
          <w:marLeft w:val="2707"/>
          <w:marRight w:val="0"/>
          <w:marTop w:val="100"/>
          <w:marBottom w:val="0"/>
          <w:divBdr>
            <w:top w:val="none" w:sz="0" w:space="0" w:color="auto"/>
            <w:left w:val="none" w:sz="0" w:space="0" w:color="auto"/>
            <w:bottom w:val="none" w:sz="0" w:space="0" w:color="auto"/>
            <w:right w:val="none" w:sz="0" w:space="0" w:color="auto"/>
          </w:divBdr>
        </w:div>
      </w:divsChild>
    </w:div>
    <w:div w:id="567544397">
      <w:bodyDiv w:val="1"/>
      <w:marLeft w:val="0"/>
      <w:marRight w:val="0"/>
      <w:marTop w:val="0"/>
      <w:marBottom w:val="0"/>
      <w:divBdr>
        <w:top w:val="none" w:sz="0" w:space="0" w:color="auto"/>
        <w:left w:val="none" w:sz="0" w:space="0" w:color="auto"/>
        <w:bottom w:val="none" w:sz="0" w:space="0" w:color="auto"/>
        <w:right w:val="none" w:sz="0" w:space="0" w:color="auto"/>
      </w:divBdr>
      <w:divsChild>
        <w:div w:id="676154224">
          <w:marLeft w:val="0"/>
          <w:marRight w:val="0"/>
          <w:marTop w:val="0"/>
          <w:marBottom w:val="0"/>
          <w:divBdr>
            <w:top w:val="none" w:sz="0" w:space="0" w:color="auto"/>
            <w:left w:val="none" w:sz="0" w:space="0" w:color="auto"/>
            <w:bottom w:val="none" w:sz="0" w:space="0" w:color="auto"/>
            <w:right w:val="none" w:sz="0" w:space="0" w:color="auto"/>
          </w:divBdr>
          <w:divsChild>
            <w:div w:id="1821338135">
              <w:marLeft w:val="0"/>
              <w:marRight w:val="0"/>
              <w:marTop w:val="0"/>
              <w:marBottom w:val="0"/>
              <w:divBdr>
                <w:top w:val="none" w:sz="0" w:space="0" w:color="auto"/>
                <w:left w:val="none" w:sz="0" w:space="0" w:color="auto"/>
                <w:bottom w:val="none" w:sz="0" w:space="0" w:color="auto"/>
                <w:right w:val="none" w:sz="0" w:space="0" w:color="auto"/>
              </w:divBdr>
              <w:divsChild>
                <w:div w:id="1585992039">
                  <w:marLeft w:val="0"/>
                  <w:marRight w:val="0"/>
                  <w:marTop w:val="0"/>
                  <w:marBottom w:val="0"/>
                  <w:divBdr>
                    <w:top w:val="none" w:sz="0" w:space="0" w:color="auto"/>
                    <w:left w:val="none" w:sz="0" w:space="0" w:color="auto"/>
                    <w:bottom w:val="none" w:sz="0" w:space="0" w:color="auto"/>
                    <w:right w:val="none" w:sz="0" w:space="0" w:color="auto"/>
                  </w:divBdr>
                  <w:divsChild>
                    <w:div w:id="202030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82317">
      <w:bodyDiv w:val="1"/>
      <w:marLeft w:val="0"/>
      <w:marRight w:val="0"/>
      <w:marTop w:val="0"/>
      <w:marBottom w:val="0"/>
      <w:divBdr>
        <w:top w:val="none" w:sz="0" w:space="0" w:color="auto"/>
        <w:left w:val="none" w:sz="0" w:space="0" w:color="auto"/>
        <w:bottom w:val="none" w:sz="0" w:space="0" w:color="auto"/>
        <w:right w:val="none" w:sz="0" w:space="0" w:color="auto"/>
      </w:divBdr>
      <w:divsChild>
        <w:div w:id="91898866">
          <w:marLeft w:val="0"/>
          <w:marRight w:val="0"/>
          <w:marTop w:val="0"/>
          <w:marBottom w:val="0"/>
          <w:divBdr>
            <w:top w:val="none" w:sz="0" w:space="0" w:color="auto"/>
            <w:left w:val="none" w:sz="0" w:space="0" w:color="auto"/>
            <w:bottom w:val="none" w:sz="0" w:space="0" w:color="auto"/>
            <w:right w:val="none" w:sz="0" w:space="0" w:color="auto"/>
          </w:divBdr>
        </w:div>
      </w:divsChild>
    </w:div>
    <w:div w:id="597494003">
      <w:bodyDiv w:val="1"/>
      <w:marLeft w:val="0"/>
      <w:marRight w:val="0"/>
      <w:marTop w:val="0"/>
      <w:marBottom w:val="0"/>
      <w:divBdr>
        <w:top w:val="none" w:sz="0" w:space="0" w:color="auto"/>
        <w:left w:val="none" w:sz="0" w:space="0" w:color="auto"/>
        <w:bottom w:val="none" w:sz="0" w:space="0" w:color="auto"/>
        <w:right w:val="none" w:sz="0" w:space="0" w:color="auto"/>
      </w:divBdr>
      <w:divsChild>
        <w:div w:id="1978559583">
          <w:marLeft w:val="0"/>
          <w:marRight w:val="0"/>
          <w:marTop w:val="0"/>
          <w:marBottom w:val="0"/>
          <w:divBdr>
            <w:top w:val="none" w:sz="0" w:space="0" w:color="auto"/>
            <w:left w:val="none" w:sz="0" w:space="0" w:color="auto"/>
            <w:bottom w:val="none" w:sz="0" w:space="0" w:color="auto"/>
            <w:right w:val="none" w:sz="0" w:space="0" w:color="auto"/>
          </w:divBdr>
        </w:div>
      </w:divsChild>
    </w:div>
    <w:div w:id="605426769">
      <w:bodyDiv w:val="1"/>
      <w:marLeft w:val="0"/>
      <w:marRight w:val="0"/>
      <w:marTop w:val="0"/>
      <w:marBottom w:val="0"/>
      <w:divBdr>
        <w:top w:val="none" w:sz="0" w:space="0" w:color="auto"/>
        <w:left w:val="none" w:sz="0" w:space="0" w:color="auto"/>
        <w:bottom w:val="none" w:sz="0" w:space="0" w:color="auto"/>
        <w:right w:val="none" w:sz="0" w:space="0" w:color="auto"/>
      </w:divBdr>
      <w:divsChild>
        <w:div w:id="857474279">
          <w:marLeft w:val="0"/>
          <w:marRight w:val="0"/>
          <w:marTop w:val="0"/>
          <w:marBottom w:val="0"/>
          <w:divBdr>
            <w:top w:val="none" w:sz="0" w:space="0" w:color="auto"/>
            <w:left w:val="none" w:sz="0" w:space="0" w:color="auto"/>
            <w:bottom w:val="none" w:sz="0" w:space="0" w:color="auto"/>
            <w:right w:val="none" w:sz="0" w:space="0" w:color="auto"/>
          </w:divBdr>
          <w:divsChild>
            <w:div w:id="253363538">
              <w:marLeft w:val="0"/>
              <w:marRight w:val="0"/>
              <w:marTop w:val="0"/>
              <w:marBottom w:val="0"/>
              <w:divBdr>
                <w:top w:val="none" w:sz="0" w:space="0" w:color="auto"/>
                <w:left w:val="none" w:sz="0" w:space="0" w:color="auto"/>
                <w:bottom w:val="none" w:sz="0" w:space="0" w:color="auto"/>
                <w:right w:val="none" w:sz="0" w:space="0" w:color="auto"/>
              </w:divBdr>
              <w:divsChild>
                <w:div w:id="1436095430">
                  <w:marLeft w:val="0"/>
                  <w:marRight w:val="0"/>
                  <w:marTop w:val="0"/>
                  <w:marBottom w:val="0"/>
                  <w:divBdr>
                    <w:top w:val="none" w:sz="0" w:space="0" w:color="auto"/>
                    <w:left w:val="none" w:sz="0" w:space="0" w:color="auto"/>
                    <w:bottom w:val="none" w:sz="0" w:space="0" w:color="auto"/>
                    <w:right w:val="none" w:sz="0" w:space="0" w:color="auto"/>
                  </w:divBdr>
                  <w:divsChild>
                    <w:div w:id="8371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697756">
      <w:bodyDiv w:val="1"/>
      <w:marLeft w:val="0"/>
      <w:marRight w:val="0"/>
      <w:marTop w:val="0"/>
      <w:marBottom w:val="0"/>
      <w:divBdr>
        <w:top w:val="none" w:sz="0" w:space="0" w:color="auto"/>
        <w:left w:val="none" w:sz="0" w:space="0" w:color="auto"/>
        <w:bottom w:val="none" w:sz="0" w:space="0" w:color="auto"/>
        <w:right w:val="none" w:sz="0" w:space="0" w:color="auto"/>
      </w:divBdr>
      <w:divsChild>
        <w:div w:id="1064916929">
          <w:marLeft w:val="0"/>
          <w:marRight w:val="0"/>
          <w:marTop w:val="0"/>
          <w:marBottom w:val="0"/>
          <w:divBdr>
            <w:top w:val="none" w:sz="0" w:space="0" w:color="auto"/>
            <w:left w:val="none" w:sz="0" w:space="0" w:color="auto"/>
            <w:bottom w:val="none" w:sz="0" w:space="0" w:color="auto"/>
            <w:right w:val="none" w:sz="0" w:space="0" w:color="auto"/>
          </w:divBdr>
          <w:divsChild>
            <w:div w:id="914435016">
              <w:marLeft w:val="0"/>
              <w:marRight w:val="0"/>
              <w:marTop w:val="0"/>
              <w:marBottom w:val="0"/>
              <w:divBdr>
                <w:top w:val="none" w:sz="0" w:space="0" w:color="auto"/>
                <w:left w:val="none" w:sz="0" w:space="0" w:color="auto"/>
                <w:bottom w:val="none" w:sz="0" w:space="0" w:color="auto"/>
                <w:right w:val="none" w:sz="0" w:space="0" w:color="auto"/>
              </w:divBdr>
              <w:divsChild>
                <w:div w:id="1774664279">
                  <w:marLeft w:val="0"/>
                  <w:marRight w:val="0"/>
                  <w:marTop w:val="0"/>
                  <w:marBottom w:val="0"/>
                  <w:divBdr>
                    <w:top w:val="none" w:sz="0" w:space="0" w:color="auto"/>
                    <w:left w:val="none" w:sz="0" w:space="0" w:color="auto"/>
                    <w:bottom w:val="none" w:sz="0" w:space="0" w:color="auto"/>
                    <w:right w:val="none" w:sz="0" w:space="0" w:color="auto"/>
                  </w:divBdr>
                  <w:divsChild>
                    <w:div w:id="17015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480711">
      <w:bodyDiv w:val="1"/>
      <w:marLeft w:val="0"/>
      <w:marRight w:val="0"/>
      <w:marTop w:val="0"/>
      <w:marBottom w:val="0"/>
      <w:divBdr>
        <w:top w:val="none" w:sz="0" w:space="0" w:color="auto"/>
        <w:left w:val="none" w:sz="0" w:space="0" w:color="auto"/>
        <w:bottom w:val="none" w:sz="0" w:space="0" w:color="auto"/>
        <w:right w:val="none" w:sz="0" w:space="0" w:color="auto"/>
      </w:divBdr>
      <w:divsChild>
        <w:div w:id="1262369937">
          <w:marLeft w:val="0"/>
          <w:marRight w:val="0"/>
          <w:marTop w:val="0"/>
          <w:marBottom w:val="0"/>
          <w:divBdr>
            <w:top w:val="none" w:sz="0" w:space="0" w:color="auto"/>
            <w:left w:val="none" w:sz="0" w:space="0" w:color="auto"/>
            <w:bottom w:val="none" w:sz="0" w:space="0" w:color="auto"/>
            <w:right w:val="none" w:sz="0" w:space="0" w:color="auto"/>
          </w:divBdr>
          <w:divsChild>
            <w:div w:id="1294016246">
              <w:marLeft w:val="0"/>
              <w:marRight w:val="0"/>
              <w:marTop w:val="0"/>
              <w:marBottom w:val="0"/>
              <w:divBdr>
                <w:top w:val="none" w:sz="0" w:space="0" w:color="auto"/>
                <w:left w:val="none" w:sz="0" w:space="0" w:color="auto"/>
                <w:bottom w:val="none" w:sz="0" w:space="0" w:color="auto"/>
                <w:right w:val="none" w:sz="0" w:space="0" w:color="auto"/>
              </w:divBdr>
              <w:divsChild>
                <w:div w:id="815757576">
                  <w:marLeft w:val="0"/>
                  <w:marRight w:val="0"/>
                  <w:marTop w:val="0"/>
                  <w:marBottom w:val="0"/>
                  <w:divBdr>
                    <w:top w:val="none" w:sz="0" w:space="0" w:color="auto"/>
                    <w:left w:val="none" w:sz="0" w:space="0" w:color="auto"/>
                    <w:bottom w:val="none" w:sz="0" w:space="0" w:color="auto"/>
                    <w:right w:val="none" w:sz="0" w:space="0" w:color="auto"/>
                  </w:divBdr>
                  <w:divsChild>
                    <w:div w:id="10044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540081">
      <w:bodyDiv w:val="1"/>
      <w:marLeft w:val="0"/>
      <w:marRight w:val="0"/>
      <w:marTop w:val="0"/>
      <w:marBottom w:val="0"/>
      <w:divBdr>
        <w:top w:val="none" w:sz="0" w:space="0" w:color="auto"/>
        <w:left w:val="none" w:sz="0" w:space="0" w:color="auto"/>
        <w:bottom w:val="none" w:sz="0" w:space="0" w:color="auto"/>
        <w:right w:val="none" w:sz="0" w:space="0" w:color="auto"/>
      </w:divBdr>
    </w:div>
    <w:div w:id="762191298">
      <w:bodyDiv w:val="1"/>
      <w:marLeft w:val="0"/>
      <w:marRight w:val="0"/>
      <w:marTop w:val="0"/>
      <w:marBottom w:val="0"/>
      <w:divBdr>
        <w:top w:val="none" w:sz="0" w:space="0" w:color="auto"/>
        <w:left w:val="none" w:sz="0" w:space="0" w:color="auto"/>
        <w:bottom w:val="none" w:sz="0" w:space="0" w:color="auto"/>
        <w:right w:val="none" w:sz="0" w:space="0" w:color="auto"/>
      </w:divBdr>
      <w:divsChild>
        <w:div w:id="667826791">
          <w:marLeft w:val="0"/>
          <w:marRight w:val="0"/>
          <w:marTop w:val="0"/>
          <w:marBottom w:val="0"/>
          <w:divBdr>
            <w:top w:val="none" w:sz="0" w:space="0" w:color="auto"/>
            <w:left w:val="none" w:sz="0" w:space="0" w:color="auto"/>
            <w:bottom w:val="none" w:sz="0" w:space="0" w:color="auto"/>
            <w:right w:val="none" w:sz="0" w:space="0" w:color="auto"/>
          </w:divBdr>
          <w:divsChild>
            <w:div w:id="2144230040">
              <w:marLeft w:val="0"/>
              <w:marRight w:val="0"/>
              <w:marTop w:val="0"/>
              <w:marBottom w:val="0"/>
              <w:divBdr>
                <w:top w:val="none" w:sz="0" w:space="0" w:color="auto"/>
                <w:left w:val="none" w:sz="0" w:space="0" w:color="auto"/>
                <w:bottom w:val="none" w:sz="0" w:space="0" w:color="auto"/>
                <w:right w:val="none" w:sz="0" w:space="0" w:color="auto"/>
              </w:divBdr>
              <w:divsChild>
                <w:div w:id="1961179987">
                  <w:marLeft w:val="0"/>
                  <w:marRight w:val="0"/>
                  <w:marTop w:val="0"/>
                  <w:marBottom w:val="0"/>
                  <w:divBdr>
                    <w:top w:val="none" w:sz="0" w:space="0" w:color="auto"/>
                    <w:left w:val="none" w:sz="0" w:space="0" w:color="auto"/>
                    <w:bottom w:val="none" w:sz="0" w:space="0" w:color="auto"/>
                    <w:right w:val="none" w:sz="0" w:space="0" w:color="auto"/>
                  </w:divBdr>
                  <w:divsChild>
                    <w:div w:id="9097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12218">
      <w:bodyDiv w:val="1"/>
      <w:marLeft w:val="0"/>
      <w:marRight w:val="0"/>
      <w:marTop w:val="0"/>
      <w:marBottom w:val="0"/>
      <w:divBdr>
        <w:top w:val="none" w:sz="0" w:space="0" w:color="auto"/>
        <w:left w:val="none" w:sz="0" w:space="0" w:color="auto"/>
        <w:bottom w:val="none" w:sz="0" w:space="0" w:color="auto"/>
        <w:right w:val="none" w:sz="0" w:space="0" w:color="auto"/>
      </w:divBdr>
      <w:divsChild>
        <w:div w:id="132715912">
          <w:marLeft w:val="0"/>
          <w:marRight w:val="0"/>
          <w:marTop w:val="0"/>
          <w:marBottom w:val="0"/>
          <w:divBdr>
            <w:top w:val="single" w:sz="2" w:space="0" w:color="FFFFFF"/>
            <w:left w:val="single" w:sz="2" w:space="0" w:color="FFFFFF"/>
            <w:bottom w:val="single" w:sz="2" w:space="0" w:color="FFFFFF"/>
            <w:right w:val="single" w:sz="2" w:space="0" w:color="FFFFFF"/>
          </w:divBdr>
          <w:divsChild>
            <w:div w:id="1411925377">
              <w:marLeft w:val="0"/>
              <w:marRight w:val="0"/>
              <w:marTop w:val="0"/>
              <w:marBottom w:val="0"/>
              <w:divBdr>
                <w:top w:val="none" w:sz="0" w:space="0" w:color="auto"/>
                <w:left w:val="none" w:sz="0" w:space="0" w:color="auto"/>
                <w:bottom w:val="none" w:sz="0" w:space="0" w:color="auto"/>
                <w:right w:val="none" w:sz="0" w:space="0" w:color="auto"/>
              </w:divBdr>
            </w:div>
          </w:divsChild>
        </w:div>
        <w:div w:id="316226253">
          <w:marLeft w:val="0"/>
          <w:marRight w:val="0"/>
          <w:marTop w:val="0"/>
          <w:marBottom w:val="0"/>
          <w:divBdr>
            <w:top w:val="single" w:sz="2" w:space="0" w:color="FFFFFF"/>
            <w:left w:val="single" w:sz="2" w:space="0" w:color="FFFFFF"/>
            <w:bottom w:val="single" w:sz="2" w:space="0" w:color="FFFFFF"/>
            <w:right w:val="single" w:sz="2" w:space="0" w:color="FFFFFF"/>
          </w:divBdr>
          <w:divsChild>
            <w:div w:id="19743729">
              <w:marLeft w:val="0"/>
              <w:marRight w:val="0"/>
              <w:marTop w:val="0"/>
              <w:marBottom w:val="0"/>
              <w:divBdr>
                <w:top w:val="none" w:sz="0" w:space="0" w:color="auto"/>
                <w:left w:val="none" w:sz="0" w:space="0" w:color="auto"/>
                <w:bottom w:val="none" w:sz="0" w:space="0" w:color="auto"/>
                <w:right w:val="none" w:sz="0" w:space="0" w:color="auto"/>
              </w:divBdr>
            </w:div>
          </w:divsChild>
        </w:div>
        <w:div w:id="1919705513">
          <w:marLeft w:val="0"/>
          <w:marRight w:val="0"/>
          <w:marTop w:val="0"/>
          <w:marBottom w:val="0"/>
          <w:divBdr>
            <w:top w:val="single" w:sz="2" w:space="0" w:color="FFFFFF"/>
            <w:left w:val="single" w:sz="2" w:space="0" w:color="FFFFFF"/>
            <w:bottom w:val="single" w:sz="2" w:space="0" w:color="FFFFFF"/>
            <w:right w:val="single" w:sz="2" w:space="0" w:color="FFFFFF"/>
          </w:divBdr>
          <w:divsChild>
            <w:div w:id="18443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12610">
      <w:bodyDiv w:val="1"/>
      <w:marLeft w:val="0"/>
      <w:marRight w:val="0"/>
      <w:marTop w:val="0"/>
      <w:marBottom w:val="0"/>
      <w:divBdr>
        <w:top w:val="none" w:sz="0" w:space="0" w:color="auto"/>
        <w:left w:val="none" w:sz="0" w:space="0" w:color="auto"/>
        <w:bottom w:val="none" w:sz="0" w:space="0" w:color="auto"/>
        <w:right w:val="none" w:sz="0" w:space="0" w:color="auto"/>
      </w:divBdr>
      <w:divsChild>
        <w:div w:id="1976174894">
          <w:marLeft w:val="0"/>
          <w:marRight w:val="0"/>
          <w:marTop w:val="0"/>
          <w:marBottom w:val="0"/>
          <w:divBdr>
            <w:top w:val="none" w:sz="0" w:space="0" w:color="auto"/>
            <w:left w:val="none" w:sz="0" w:space="0" w:color="auto"/>
            <w:bottom w:val="none" w:sz="0" w:space="0" w:color="auto"/>
            <w:right w:val="none" w:sz="0" w:space="0" w:color="auto"/>
          </w:divBdr>
          <w:divsChild>
            <w:div w:id="2020961904">
              <w:marLeft w:val="0"/>
              <w:marRight w:val="0"/>
              <w:marTop w:val="0"/>
              <w:marBottom w:val="0"/>
              <w:divBdr>
                <w:top w:val="none" w:sz="0" w:space="0" w:color="auto"/>
                <w:left w:val="none" w:sz="0" w:space="0" w:color="auto"/>
                <w:bottom w:val="none" w:sz="0" w:space="0" w:color="auto"/>
                <w:right w:val="none" w:sz="0" w:space="0" w:color="auto"/>
              </w:divBdr>
              <w:divsChild>
                <w:div w:id="693381813">
                  <w:marLeft w:val="0"/>
                  <w:marRight w:val="0"/>
                  <w:marTop w:val="0"/>
                  <w:marBottom w:val="0"/>
                  <w:divBdr>
                    <w:top w:val="none" w:sz="0" w:space="0" w:color="auto"/>
                    <w:left w:val="none" w:sz="0" w:space="0" w:color="auto"/>
                    <w:bottom w:val="none" w:sz="0" w:space="0" w:color="auto"/>
                    <w:right w:val="none" w:sz="0" w:space="0" w:color="auto"/>
                  </w:divBdr>
                  <w:divsChild>
                    <w:div w:id="11661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90859">
      <w:bodyDiv w:val="1"/>
      <w:marLeft w:val="0"/>
      <w:marRight w:val="0"/>
      <w:marTop w:val="0"/>
      <w:marBottom w:val="0"/>
      <w:divBdr>
        <w:top w:val="none" w:sz="0" w:space="0" w:color="auto"/>
        <w:left w:val="none" w:sz="0" w:space="0" w:color="auto"/>
        <w:bottom w:val="none" w:sz="0" w:space="0" w:color="auto"/>
        <w:right w:val="none" w:sz="0" w:space="0" w:color="auto"/>
      </w:divBdr>
      <w:divsChild>
        <w:div w:id="440996633">
          <w:marLeft w:val="0"/>
          <w:marRight w:val="0"/>
          <w:marTop w:val="0"/>
          <w:marBottom w:val="0"/>
          <w:divBdr>
            <w:top w:val="none" w:sz="0" w:space="0" w:color="auto"/>
            <w:left w:val="none" w:sz="0" w:space="0" w:color="auto"/>
            <w:bottom w:val="none" w:sz="0" w:space="0" w:color="auto"/>
            <w:right w:val="none" w:sz="0" w:space="0" w:color="auto"/>
          </w:divBdr>
        </w:div>
      </w:divsChild>
    </w:div>
    <w:div w:id="829251803">
      <w:bodyDiv w:val="1"/>
      <w:marLeft w:val="0"/>
      <w:marRight w:val="0"/>
      <w:marTop w:val="0"/>
      <w:marBottom w:val="0"/>
      <w:divBdr>
        <w:top w:val="none" w:sz="0" w:space="0" w:color="auto"/>
        <w:left w:val="none" w:sz="0" w:space="0" w:color="auto"/>
        <w:bottom w:val="none" w:sz="0" w:space="0" w:color="auto"/>
        <w:right w:val="none" w:sz="0" w:space="0" w:color="auto"/>
      </w:divBdr>
      <w:divsChild>
        <w:div w:id="962536729">
          <w:marLeft w:val="0"/>
          <w:marRight w:val="0"/>
          <w:marTop w:val="0"/>
          <w:marBottom w:val="0"/>
          <w:divBdr>
            <w:top w:val="none" w:sz="0" w:space="0" w:color="auto"/>
            <w:left w:val="none" w:sz="0" w:space="0" w:color="auto"/>
            <w:bottom w:val="none" w:sz="0" w:space="0" w:color="auto"/>
            <w:right w:val="none" w:sz="0" w:space="0" w:color="auto"/>
          </w:divBdr>
          <w:divsChild>
            <w:div w:id="284698611">
              <w:marLeft w:val="0"/>
              <w:marRight w:val="0"/>
              <w:marTop w:val="0"/>
              <w:marBottom w:val="0"/>
              <w:divBdr>
                <w:top w:val="none" w:sz="0" w:space="0" w:color="auto"/>
                <w:left w:val="none" w:sz="0" w:space="0" w:color="auto"/>
                <w:bottom w:val="none" w:sz="0" w:space="0" w:color="auto"/>
                <w:right w:val="none" w:sz="0" w:space="0" w:color="auto"/>
              </w:divBdr>
              <w:divsChild>
                <w:div w:id="1332102493">
                  <w:marLeft w:val="0"/>
                  <w:marRight w:val="0"/>
                  <w:marTop w:val="0"/>
                  <w:marBottom w:val="0"/>
                  <w:divBdr>
                    <w:top w:val="none" w:sz="0" w:space="0" w:color="auto"/>
                    <w:left w:val="none" w:sz="0" w:space="0" w:color="auto"/>
                    <w:bottom w:val="none" w:sz="0" w:space="0" w:color="auto"/>
                    <w:right w:val="none" w:sz="0" w:space="0" w:color="auto"/>
                  </w:divBdr>
                  <w:divsChild>
                    <w:div w:id="20541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4363">
      <w:bodyDiv w:val="1"/>
      <w:marLeft w:val="0"/>
      <w:marRight w:val="0"/>
      <w:marTop w:val="0"/>
      <w:marBottom w:val="0"/>
      <w:divBdr>
        <w:top w:val="none" w:sz="0" w:space="0" w:color="auto"/>
        <w:left w:val="none" w:sz="0" w:space="0" w:color="auto"/>
        <w:bottom w:val="none" w:sz="0" w:space="0" w:color="auto"/>
        <w:right w:val="none" w:sz="0" w:space="0" w:color="auto"/>
      </w:divBdr>
    </w:div>
    <w:div w:id="835804311">
      <w:bodyDiv w:val="1"/>
      <w:marLeft w:val="0"/>
      <w:marRight w:val="0"/>
      <w:marTop w:val="0"/>
      <w:marBottom w:val="0"/>
      <w:divBdr>
        <w:top w:val="none" w:sz="0" w:space="0" w:color="auto"/>
        <w:left w:val="none" w:sz="0" w:space="0" w:color="auto"/>
        <w:bottom w:val="none" w:sz="0" w:space="0" w:color="auto"/>
        <w:right w:val="none" w:sz="0" w:space="0" w:color="auto"/>
      </w:divBdr>
    </w:div>
    <w:div w:id="886913977">
      <w:bodyDiv w:val="1"/>
      <w:marLeft w:val="0"/>
      <w:marRight w:val="0"/>
      <w:marTop w:val="0"/>
      <w:marBottom w:val="0"/>
      <w:divBdr>
        <w:top w:val="none" w:sz="0" w:space="0" w:color="auto"/>
        <w:left w:val="none" w:sz="0" w:space="0" w:color="auto"/>
        <w:bottom w:val="none" w:sz="0" w:space="0" w:color="auto"/>
        <w:right w:val="none" w:sz="0" w:space="0" w:color="auto"/>
      </w:divBdr>
    </w:div>
    <w:div w:id="903370870">
      <w:bodyDiv w:val="1"/>
      <w:marLeft w:val="0"/>
      <w:marRight w:val="0"/>
      <w:marTop w:val="0"/>
      <w:marBottom w:val="0"/>
      <w:divBdr>
        <w:top w:val="none" w:sz="0" w:space="0" w:color="auto"/>
        <w:left w:val="none" w:sz="0" w:space="0" w:color="auto"/>
        <w:bottom w:val="none" w:sz="0" w:space="0" w:color="auto"/>
        <w:right w:val="none" w:sz="0" w:space="0" w:color="auto"/>
      </w:divBdr>
      <w:divsChild>
        <w:div w:id="742216911">
          <w:marLeft w:val="0"/>
          <w:marRight w:val="0"/>
          <w:marTop w:val="0"/>
          <w:marBottom w:val="0"/>
          <w:divBdr>
            <w:top w:val="none" w:sz="0" w:space="0" w:color="auto"/>
            <w:left w:val="none" w:sz="0" w:space="0" w:color="auto"/>
            <w:bottom w:val="none" w:sz="0" w:space="0" w:color="auto"/>
            <w:right w:val="none" w:sz="0" w:space="0" w:color="auto"/>
          </w:divBdr>
        </w:div>
      </w:divsChild>
    </w:div>
    <w:div w:id="906652991">
      <w:bodyDiv w:val="1"/>
      <w:marLeft w:val="0"/>
      <w:marRight w:val="0"/>
      <w:marTop w:val="0"/>
      <w:marBottom w:val="0"/>
      <w:divBdr>
        <w:top w:val="none" w:sz="0" w:space="0" w:color="auto"/>
        <w:left w:val="none" w:sz="0" w:space="0" w:color="auto"/>
        <w:bottom w:val="none" w:sz="0" w:space="0" w:color="auto"/>
        <w:right w:val="none" w:sz="0" w:space="0" w:color="auto"/>
      </w:divBdr>
    </w:div>
    <w:div w:id="968703574">
      <w:bodyDiv w:val="1"/>
      <w:marLeft w:val="0"/>
      <w:marRight w:val="0"/>
      <w:marTop w:val="0"/>
      <w:marBottom w:val="0"/>
      <w:divBdr>
        <w:top w:val="none" w:sz="0" w:space="0" w:color="auto"/>
        <w:left w:val="none" w:sz="0" w:space="0" w:color="auto"/>
        <w:bottom w:val="none" w:sz="0" w:space="0" w:color="auto"/>
        <w:right w:val="none" w:sz="0" w:space="0" w:color="auto"/>
      </w:divBdr>
      <w:divsChild>
        <w:div w:id="1207065351">
          <w:marLeft w:val="0"/>
          <w:marRight w:val="0"/>
          <w:marTop w:val="0"/>
          <w:marBottom w:val="0"/>
          <w:divBdr>
            <w:top w:val="none" w:sz="0" w:space="0" w:color="auto"/>
            <w:left w:val="none" w:sz="0" w:space="0" w:color="auto"/>
            <w:bottom w:val="none" w:sz="0" w:space="0" w:color="auto"/>
            <w:right w:val="none" w:sz="0" w:space="0" w:color="auto"/>
          </w:divBdr>
          <w:divsChild>
            <w:div w:id="1599748395">
              <w:marLeft w:val="0"/>
              <w:marRight w:val="0"/>
              <w:marTop w:val="0"/>
              <w:marBottom w:val="0"/>
              <w:divBdr>
                <w:top w:val="none" w:sz="0" w:space="0" w:color="auto"/>
                <w:left w:val="none" w:sz="0" w:space="0" w:color="auto"/>
                <w:bottom w:val="none" w:sz="0" w:space="0" w:color="auto"/>
                <w:right w:val="none" w:sz="0" w:space="0" w:color="auto"/>
              </w:divBdr>
              <w:divsChild>
                <w:div w:id="639454683">
                  <w:marLeft w:val="0"/>
                  <w:marRight w:val="0"/>
                  <w:marTop w:val="0"/>
                  <w:marBottom w:val="0"/>
                  <w:divBdr>
                    <w:top w:val="none" w:sz="0" w:space="0" w:color="auto"/>
                    <w:left w:val="none" w:sz="0" w:space="0" w:color="auto"/>
                    <w:bottom w:val="none" w:sz="0" w:space="0" w:color="auto"/>
                    <w:right w:val="none" w:sz="0" w:space="0" w:color="auto"/>
                  </w:divBdr>
                  <w:divsChild>
                    <w:div w:id="100600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753267">
      <w:bodyDiv w:val="1"/>
      <w:marLeft w:val="0"/>
      <w:marRight w:val="0"/>
      <w:marTop w:val="0"/>
      <w:marBottom w:val="0"/>
      <w:divBdr>
        <w:top w:val="none" w:sz="0" w:space="0" w:color="auto"/>
        <w:left w:val="none" w:sz="0" w:space="0" w:color="auto"/>
        <w:bottom w:val="none" w:sz="0" w:space="0" w:color="auto"/>
        <w:right w:val="none" w:sz="0" w:space="0" w:color="auto"/>
      </w:divBdr>
    </w:div>
    <w:div w:id="1055543723">
      <w:bodyDiv w:val="1"/>
      <w:marLeft w:val="0"/>
      <w:marRight w:val="0"/>
      <w:marTop w:val="0"/>
      <w:marBottom w:val="0"/>
      <w:divBdr>
        <w:top w:val="none" w:sz="0" w:space="0" w:color="auto"/>
        <w:left w:val="none" w:sz="0" w:space="0" w:color="auto"/>
        <w:bottom w:val="none" w:sz="0" w:space="0" w:color="auto"/>
        <w:right w:val="none" w:sz="0" w:space="0" w:color="auto"/>
      </w:divBdr>
    </w:div>
    <w:div w:id="1069693028">
      <w:bodyDiv w:val="1"/>
      <w:marLeft w:val="0"/>
      <w:marRight w:val="0"/>
      <w:marTop w:val="0"/>
      <w:marBottom w:val="0"/>
      <w:divBdr>
        <w:top w:val="none" w:sz="0" w:space="0" w:color="auto"/>
        <w:left w:val="none" w:sz="0" w:space="0" w:color="auto"/>
        <w:bottom w:val="none" w:sz="0" w:space="0" w:color="auto"/>
        <w:right w:val="none" w:sz="0" w:space="0" w:color="auto"/>
      </w:divBdr>
      <w:divsChild>
        <w:div w:id="974069180">
          <w:marLeft w:val="0"/>
          <w:marRight w:val="0"/>
          <w:marTop w:val="0"/>
          <w:marBottom w:val="0"/>
          <w:divBdr>
            <w:top w:val="none" w:sz="0" w:space="0" w:color="auto"/>
            <w:left w:val="none" w:sz="0" w:space="0" w:color="auto"/>
            <w:bottom w:val="none" w:sz="0" w:space="0" w:color="auto"/>
            <w:right w:val="none" w:sz="0" w:space="0" w:color="auto"/>
          </w:divBdr>
          <w:divsChild>
            <w:div w:id="1941521414">
              <w:marLeft w:val="0"/>
              <w:marRight w:val="0"/>
              <w:marTop w:val="0"/>
              <w:marBottom w:val="0"/>
              <w:divBdr>
                <w:top w:val="none" w:sz="0" w:space="0" w:color="auto"/>
                <w:left w:val="none" w:sz="0" w:space="0" w:color="auto"/>
                <w:bottom w:val="none" w:sz="0" w:space="0" w:color="auto"/>
                <w:right w:val="none" w:sz="0" w:space="0" w:color="auto"/>
              </w:divBdr>
              <w:divsChild>
                <w:div w:id="991569175">
                  <w:marLeft w:val="0"/>
                  <w:marRight w:val="0"/>
                  <w:marTop w:val="0"/>
                  <w:marBottom w:val="0"/>
                  <w:divBdr>
                    <w:top w:val="none" w:sz="0" w:space="0" w:color="auto"/>
                    <w:left w:val="none" w:sz="0" w:space="0" w:color="auto"/>
                    <w:bottom w:val="none" w:sz="0" w:space="0" w:color="auto"/>
                    <w:right w:val="none" w:sz="0" w:space="0" w:color="auto"/>
                  </w:divBdr>
                  <w:divsChild>
                    <w:div w:id="1810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3612">
      <w:bodyDiv w:val="1"/>
      <w:marLeft w:val="0"/>
      <w:marRight w:val="0"/>
      <w:marTop w:val="0"/>
      <w:marBottom w:val="0"/>
      <w:divBdr>
        <w:top w:val="none" w:sz="0" w:space="0" w:color="auto"/>
        <w:left w:val="none" w:sz="0" w:space="0" w:color="auto"/>
        <w:bottom w:val="none" w:sz="0" w:space="0" w:color="auto"/>
        <w:right w:val="none" w:sz="0" w:space="0" w:color="auto"/>
      </w:divBdr>
      <w:divsChild>
        <w:div w:id="2102219543">
          <w:marLeft w:val="0"/>
          <w:marRight w:val="0"/>
          <w:marTop w:val="0"/>
          <w:marBottom w:val="0"/>
          <w:divBdr>
            <w:top w:val="none" w:sz="0" w:space="0" w:color="auto"/>
            <w:left w:val="none" w:sz="0" w:space="0" w:color="auto"/>
            <w:bottom w:val="none" w:sz="0" w:space="0" w:color="auto"/>
            <w:right w:val="none" w:sz="0" w:space="0" w:color="auto"/>
          </w:divBdr>
          <w:divsChild>
            <w:div w:id="1098403695">
              <w:marLeft w:val="0"/>
              <w:marRight w:val="0"/>
              <w:marTop w:val="0"/>
              <w:marBottom w:val="0"/>
              <w:divBdr>
                <w:top w:val="none" w:sz="0" w:space="0" w:color="auto"/>
                <w:left w:val="none" w:sz="0" w:space="0" w:color="auto"/>
                <w:bottom w:val="none" w:sz="0" w:space="0" w:color="auto"/>
                <w:right w:val="none" w:sz="0" w:space="0" w:color="auto"/>
              </w:divBdr>
              <w:divsChild>
                <w:div w:id="646932429">
                  <w:marLeft w:val="0"/>
                  <w:marRight w:val="0"/>
                  <w:marTop w:val="0"/>
                  <w:marBottom w:val="0"/>
                  <w:divBdr>
                    <w:top w:val="none" w:sz="0" w:space="0" w:color="auto"/>
                    <w:left w:val="none" w:sz="0" w:space="0" w:color="auto"/>
                    <w:bottom w:val="none" w:sz="0" w:space="0" w:color="auto"/>
                    <w:right w:val="none" w:sz="0" w:space="0" w:color="auto"/>
                  </w:divBdr>
                  <w:divsChild>
                    <w:div w:id="16973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924630">
      <w:bodyDiv w:val="1"/>
      <w:marLeft w:val="0"/>
      <w:marRight w:val="0"/>
      <w:marTop w:val="0"/>
      <w:marBottom w:val="0"/>
      <w:divBdr>
        <w:top w:val="none" w:sz="0" w:space="0" w:color="auto"/>
        <w:left w:val="none" w:sz="0" w:space="0" w:color="auto"/>
        <w:bottom w:val="none" w:sz="0" w:space="0" w:color="auto"/>
        <w:right w:val="none" w:sz="0" w:space="0" w:color="auto"/>
      </w:divBdr>
    </w:div>
    <w:div w:id="1147821536">
      <w:bodyDiv w:val="1"/>
      <w:marLeft w:val="0"/>
      <w:marRight w:val="0"/>
      <w:marTop w:val="0"/>
      <w:marBottom w:val="0"/>
      <w:divBdr>
        <w:top w:val="none" w:sz="0" w:space="0" w:color="auto"/>
        <w:left w:val="none" w:sz="0" w:space="0" w:color="auto"/>
        <w:bottom w:val="none" w:sz="0" w:space="0" w:color="auto"/>
        <w:right w:val="none" w:sz="0" w:space="0" w:color="auto"/>
      </w:divBdr>
    </w:div>
    <w:div w:id="1152790876">
      <w:bodyDiv w:val="1"/>
      <w:marLeft w:val="0"/>
      <w:marRight w:val="0"/>
      <w:marTop w:val="0"/>
      <w:marBottom w:val="0"/>
      <w:divBdr>
        <w:top w:val="none" w:sz="0" w:space="0" w:color="auto"/>
        <w:left w:val="none" w:sz="0" w:space="0" w:color="auto"/>
        <w:bottom w:val="none" w:sz="0" w:space="0" w:color="auto"/>
        <w:right w:val="none" w:sz="0" w:space="0" w:color="auto"/>
      </w:divBdr>
    </w:div>
    <w:div w:id="1191340950">
      <w:bodyDiv w:val="1"/>
      <w:marLeft w:val="0"/>
      <w:marRight w:val="0"/>
      <w:marTop w:val="0"/>
      <w:marBottom w:val="0"/>
      <w:divBdr>
        <w:top w:val="none" w:sz="0" w:space="0" w:color="auto"/>
        <w:left w:val="none" w:sz="0" w:space="0" w:color="auto"/>
        <w:bottom w:val="none" w:sz="0" w:space="0" w:color="auto"/>
        <w:right w:val="none" w:sz="0" w:space="0" w:color="auto"/>
      </w:divBdr>
      <w:divsChild>
        <w:div w:id="1671833004">
          <w:marLeft w:val="0"/>
          <w:marRight w:val="0"/>
          <w:marTop w:val="0"/>
          <w:marBottom w:val="0"/>
          <w:divBdr>
            <w:top w:val="none" w:sz="0" w:space="0" w:color="auto"/>
            <w:left w:val="none" w:sz="0" w:space="0" w:color="auto"/>
            <w:bottom w:val="none" w:sz="0" w:space="0" w:color="auto"/>
            <w:right w:val="none" w:sz="0" w:space="0" w:color="auto"/>
          </w:divBdr>
          <w:divsChild>
            <w:div w:id="1269772918">
              <w:marLeft w:val="0"/>
              <w:marRight w:val="0"/>
              <w:marTop w:val="0"/>
              <w:marBottom w:val="0"/>
              <w:divBdr>
                <w:top w:val="none" w:sz="0" w:space="0" w:color="auto"/>
                <w:left w:val="none" w:sz="0" w:space="0" w:color="auto"/>
                <w:bottom w:val="none" w:sz="0" w:space="0" w:color="auto"/>
                <w:right w:val="none" w:sz="0" w:space="0" w:color="auto"/>
              </w:divBdr>
              <w:divsChild>
                <w:div w:id="221798615">
                  <w:marLeft w:val="0"/>
                  <w:marRight w:val="0"/>
                  <w:marTop w:val="0"/>
                  <w:marBottom w:val="0"/>
                  <w:divBdr>
                    <w:top w:val="none" w:sz="0" w:space="0" w:color="auto"/>
                    <w:left w:val="none" w:sz="0" w:space="0" w:color="auto"/>
                    <w:bottom w:val="none" w:sz="0" w:space="0" w:color="auto"/>
                    <w:right w:val="none" w:sz="0" w:space="0" w:color="auto"/>
                  </w:divBdr>
                  <w:divsChild>
                    <w:div w:id="12410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656947">
      <w:bodyDiv w:val="1"/>
      <w:marLeft w:val="0"/>
      <w:marRight w:val="0"/>
      <w:marTop w:val="0"/>
      <w:marBottom w:val="0"/>
      <w:divBdr>
        <w:top w:val="none" w:sz="0" w:space="0" w:color="auto"/>
        <w:left w:val="none" w:sz="0" w:space="0" w:color="auto"/>
        <w:bottom w:val="none" w:sz="0" w:space="0" w:color="auto"/>
        <w:right w:val="none" w:sz="0" w:space="0" w:color="auto"/>
      </w:divBdr>
    </w:div>
    <w:div w:id="1259406104">
      <w:bodyDiv w:val="1"/>
      <w:marLeft w:val="0"/>
      <w:marRight w:val="0"/>
      <w:marTop w:val="0"/>
      <w:marBottom w:val="0"/>
      <w:divBdr>
        <w:top w:val="none" w:sz="0" w:space="0" w:color="auto"/>
        <w:left w:val="none" w:sz="0" w:space="0" w:color="auto"/>
        <w:bottom w:val="none" w:sz="0" w:space="0" w:color="auto"/>
        <w:right w:val="none" w:sz="0" w:space="0" w:color="auto"/>
      </w:divBdr>
      <w:divsChild>
        <w:div w:id="1517621468">
          <w:marLeft w:val="0"/>
          <w:marRight w:val="0"/>
          <w:marTop w:val="0"/>
          <w:marBottom w:val="0"/>
          <w:divBdr>
            <w:top w:val="none" w:sz="0" w:space="0" w:color="auto"/>
            <w:left w:val="none" w:sz="0" w:space="0" w:color="auto"/>
            <w:bottom w:val="none" w:sz="0" w:space="0" w:color="auto"/>
            <w:right w:val="none" w:sz="0" w:space="0" w:color="auto"/>
          </w:divBdr>
        </w:div>
      </w:divsChild>
    </w:div>
    <w:div w:id="1295991084">
      <w:bodyDiv w:val="1"/>
      <w:marLeft w:val="0"/>
      <w:marRight w:val="0"/>
      <w:marTop w:val="0"/>
      <w:marBottom w:val="0"/>
      <w:divBdr>
        <w:top w:val="none" w:sz="0" w:space="0" w:color="auto"/>
        <w:left w:val="none" w:sz="0" w:space="0" w:color="auto"/>
        <w:bottom w:val="none" w:sz="0" w:space="0" w:color="auto"/>
        <w:right w:val="none" w:sz="0" w:space="0" w:color="auto"/>
      </w:divBdr>
      <w:divsChild>
        <w:div w:id="1395087298">
          <w:marLeft w:val="0"/>
          <w:marRight w:val="0"/>
          <w:marTop w:val="0"/>
          <w:marBottom w:val="0"/>
          <w:divBdr>
            <w:top w:val="none" w:sz="0" w:space="0" w:color="auto"/>
            <w:left w:val="none" w:sz="0" w:space="0" w:color="auto"/>
            <w:bottom w:val="none" w:sz="0" w:space="0" w:color="auto"/>
            <w:right w:val="none" w:sz="0" w:space="0" w:color="auto"/>
          </w:divBdr>
        </w:div>
      </w:divsChild>
    </w:div>
    <w:div w:id="1322007725">
      <w:bodyDiv w:val="1"/>
      <w:marLeft w:val="0"/>
      <w:marRight w:val="0"/>
      <w:marTop w:val="0"/>
      <w:marBottom w:val="0"/>
      <w:divBdr>
        <w:top w:val="none" w:sz="0" w:space="0" w:color="auto"/>
        <w:left w:val="none" w:sz="0" w:space="0" w:color="auto"/>
        <w:bottom w:val="none" w:sz="0" w:space="0" w:color="auto"/>
        <w:right w:val="none" w:sz="0" w:space="0" w:color="auto"/>
      </w:divBdr>
      <w:divsChild>
        <w:div w:id="1912501532">
          <w:marLeft w:val="0"/>
          <w:marRight w:val="0"/>
          <w:marTop w:val="0"/>
          <w:marBottom w:val="0"/>
          <w:divBdr>
            <w:top w:val="none" w:sz="0" w:space="0" w:color="auto"/>
            <w:left w:val="none" w:sz="0" w:space="0" w:color="auto"/>
            <w:bottom w:val="none" w:sz="0" w:space="0" w:color="auto"/>
            <w:right w:val="none" w:sz="0" w:space="0" w:color="auto"/>
          </w:divBdr>
          <w:divsChild>
            <w:div w:id="1502693257">
              <w:marLeft w:val="0"/>
              <w:marRight w:val="0"/>
              <w:marTop w:val="0"/>
              <w:marBottom w:val="0"/>
              <w:divBdr>
                <w:top w:val="none" w:sz="0" w:space="0" w:color="auto"/>
                <w:left w:val="none" w:sz="0" w:space="0" w:color="auto"/>
                <w:bottom w:val="none" w:sz="0" w:space="0" w:color="auto"/>
                <w:right w:val="none" w:sz="0" w:space="0" w:color="auto"/>
              </w:divBdr>
              <w:divsChild>
                <w:div w:id="1438791392">
                  <w:marLeft w:val="0"/>
                  <w:marRight w:val="0"/>
                  <w:marTop w:val="0"/>
                  <w:marBottom w:val="0"/>
                  <w:divBdr>
                    <w:top w:val="none" w:sz="0" w:space="0" w:color="auto"/>
                    <w:left w:val="none" w:sz="0" w:space="0" w:color="auto"/>
                    <w:bottom w:val="none" w:sz="0" w:space="0" w:color="auto"/>
                    <w:right w:val="none" w:sz="0" w:space="0" w:color="auto"/>
                  </w:divBdr>
                  <w:divsChild>
                    <w:div w:id="104263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796413">
      <w:bodyDiv w:val="1"/>
      <w:marLeft w:val="0"/>
      <w:marRight w:val="0"/>
      <w:marTop w:val="0"/>
      <w:marBottom w:val="0"/>
      <w:divBdr>
        <w:top w:val="none" w:sz="0" w:space="0" w:color="auto"/>
        <w:left w:val="none" w:sz="0" w:space="0" w:color="auto"/>
        <w:bottom w:val="none" w:sz="0" w:space="0" w:color="auto"/>
        <w:right w:val="none" w:sz="0" w:space="0" w:color="auto"/>
      </w:divBdr>
      <w:divsChild>
        <w:div w:id="121970472">
          <w:marLeft w:val="0"/>
          <w:marRight w:val="0"/>
          <w:marTop w:val="0"/>
          <w:marBottom w:val="0"/>
          <w:divBdr>
            <w:top w:val="none" w:sz="0" w:space="0" w:color="auto"/>
            <w:left w:val="none" w:sz="0" w:space="0" w:color="auto"/>
            <w:bottom w:val="none" w:sz="0" w:space="0" w:color="auto"/>
            <w:right w:val="none" w:sz="0" w:space="0" w:color="auto"/>
          </w:divBdr>
        </w:div>
      </w:divsChild>
    </w:div>
    <w:div w:id="1375428997">
      <w:bodyDiv w:val="1"/>
      <w:marLeft w:val="0"/>
      <w:marRight w:val="0"/>
      <w:marTop w:val="0"/>
      <w:marBottom w:val="0"/>
      <w:divBdr>
        <w:top w:val="none" w:sz="0" w:space="0" w:color="auto"/>
        <w:left w:val="none" w:sz="0" w:space="0" w:color="auto"/>
        <w:bottom w:val="none" w:sz="0" w:space="0" w:color="auto"/>
        <w:right w:val="none" w:sz="0" w:space="0" w:color="auto"/>
      </w:divBdr>
      <w:divsChild>
        <w:div w:id="1002583060">
          <w:marLeft w:val="0"/>
          <w:marRight w:val="0"/>
          <w:marTop w:val="0"/>
          <w:marBottom w:val="0"/>
          <w:divBdr>
            <w:top w:val="none" w:sz="0" w:space="0" w:color="auto"/>
            <w:left w:val="none" w:sz="0" w:space="0" w:color="auto"/>
            <w:bottom w:val="none" w:sz="0" w:space="0" w:color="auto"/>
            <w:right w:val="none" w:sz="0" w:space="0" w:color="auto"/>
          </w:divBdr>
        </w:div>
      </w:divsChild>
    </w:div>
    <w:div w:id="1426460746">
      <w:bodyDiv w:val="1"/>
      <w:marLeft w:val="0"/>
      <w:marRight w:val="0"/>
      <w:marTop w:val="0"/>
      <w:marBottom w:val="0"/>
      <w:divBdr>
        <w:top w:val="none" w:sz="0" w:space="0" w:color="auto"/>
        <w:left w:val="none" w:sz="0" w:space="0" w:color="auto"/>
        <w:bottom w:val="none" w:sz="0" w:space="0" w:color="auto"/>
        <w:right w:val="none" w:sz="0" w:space="0" w:color="auto"/>
      </w:divBdr>
    </w:div>
    <w:div w:id="1486819183">
      <w:bodyDiv w:val="1"/>
      <w:marLeft w:val="0"/>
      <w:marRight w:val="0"/>
      <w:marTop w:val="0"/>
      <w:marBottom w:val="0"/>
      <w:divBdr>
        <w:top w:val="none" w:sz="0" w:space="0" w:color="auto"/>
        <w:left w:val="none" w:sz="0" w:space="0" w:color="auto"/>
        <w:bottom w:val="none" w:sz="0" w:space="0" w:color="auto"/>
        <w:right w:val="none" w:sz="0" w:space="0" w:color="auto"/>
      </w:divBdr>
    </w:div>
    <w:div w:id="1534343728">
      <w:bodyDiv w:val="1"/>
      <w:marLeft w:val="0"/>
      <w:marRight w:val="0"/>
      <w:marTop w:val="0"/>
      <w:marBottom w:val="0"/>
      <w:divBdr>
        <w:top w:val="none" w:sz="0" w:space="0" w:color="auto"/>
        <w:left w:val="none" w:sz="0" w:space="0" w:color="auto"/>
        <w:bottom w:val="none" w:sz="0" w:space="0" w:color="auto"/>
        <w:right w:val="none" w:sz="0" w:space="0" w:color="auto"/>
      </w:divBdr>
      <w:divsChild>
        <w:div w:id="1582526918">
          <w:marLeft w:val="0"/>
          <w:marRight w:val="0"/>
          <w:marTop w:val="0"/>
          <w:marBottom w:val="0"/>
          <w:divBdr>
            <w:top w:val="none" w:sz="0" w:space="0" w:color="auto"/>
            <w:left w:val="none" w:sz="0" w:space="0" w:color="auto"/>
            <w:bottom w:val="none" w:sz="0" w:space="0" w:color="auto"/>
            <w:right w:val="none" w:sz="0" w:space="0" w:color="auto"/>
          </w:divBdr>
          <w:divsChild>
            <w:div w:id="1394230473">
              <w:marLeft w:val="0"/>
              <w:marRight w:val="0"/>
              <w:marTop w:val="0"/>
              <w:marBottom w:val="0"/>
              <w:divBdr>
                <w:top w:val="none" w:sz="0" w:space="0" w:color="auto"/>
                <w:left w:val="none" w:sz="0" w:space="0" w:color="auto"/>
                <w:bottom w:val="none" w:sz="0" w:space="0" w:color="auto"/>
                <w:right w:val="none" w:sz="0" w:space="0" w:color="auto"/>
              </w:divBdr>
              <w:divsChild>
                <w:div w:id="540477106">
                  <w:marLeft w:val="0"/>
                  <w:marRight w:val="0"/>
                  <w:marTop w:val="0"/>
                  <w:marBottom w:val="0"/>
                  <w:divBdr>
                    <w:top w:val="none" w:sz="0" w:space="0" w:color="auto"/>
                    <w:left w:val="none" w:sz="0" w:space="0" w:color="auto"/>
                    <w:bottom w:val="none" w:sz="0" w:space="0" w:color="auto"/>
                    <w:right w:val="none" w:sz="0" w:space="0" w:color="auto"/>
                  </w:divBdr>
                  <w:divsChild>
                    <w:div w:id="4073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839769">
      <w:bodyDiv w:val="1"/>
      <w:marLeft w:val="0"/>
      <w:marRight w:val="0"/>
      <w:marTop w:val="0"/>
      <w:marBottom w:val="0"/>
      <w:divBdr>
        <w:top w:val="none" w:sz="0" w:space="0" w:color="auto"/>
        <w:left w:val="none" w:sz="0" w:space="0" w:color="auto"/>
        <w:bottom w:val="none" w:sz="0" w:space="0" w:color="auto"/>
        <w:right w:val="none" w:sz="0" w:space="0" w:color="auto"/>
      </w:divBdr>
      <w:divsChild>
        <w:div w:id="421074291">
          <w:marLeft w:val="0"/>
          <w:marRight w:val="0"/>
          <w:marTop w:val="0"/>
          <w:marBottom w:val="0"/>
          <w:divBdr>
            <w:top w:val="none" w:sz="0" w:space="0" w:color="auto"/>
            <w:left w:val="none" w:sz="0" w:space="0" w:color="auto"/>
            <w:bottom w:val="none" w:sz="0" w:space="0" w:color="auto"/>
            <w:right w:val="none" w:sz="0" w:space="0" w:color="auto"/>
          </w:divBdr>
          <w:divsChild>
            <w:div w:id="1140418308">
              <w:marLeft w:val="0"/>
              <w:marRight w:val="0"/>
              <w:marTop w:val="0"/>
              <w:marBottom w:val="0"/>
              <w:divBdr>
                <w:top w:val="none" w:sz="0" w:space="0" w:color="auto"/>
                <w:left w:val="none" w:sz="0" w:space="0" w:color="auto"/>
                <w:bottom w:val="none" w:sz="0" w:space="0" w:color="auto"/>
                <w:right w:val="none" w:sz="0" w:space="0" w:color="auto"/>
              </w:divBdr>
              <w:divsChild>
                <w:div w:id="1686399315">
                  <w:marLeft w:val="0"/>
                  <w:marRight w:val="0"/>
                  <w:marTop w:val="0"/>
                  <w:marBottom w:val="0"/>
                  <w:divBdr>
                    <w:top w:val="none" w:sz="0" w:space="0" w:color="auto"/>
                    <w:left w:val="none" w:sz="0" w:space="0" w:color="auto"/>
                    <w:bottom w:val="none" w:sz="0" w:space="0" w:color="auto"/>
                    <w:right w:val="none" w:sz="0" w:space="0" w:color="auto"/>
                  </w:divBdr>
                  <w:divsChild>
                    <w:div w:id="14376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176128">
      <w:bodyDiv w:val="1"/>
      <w:marLeft w:val="0"/>
      <w:marRight w:val="0"/>
      <w:marTop w:val="0"/>
      <w:marBottom w:val="0"/>
      <w:divBdr>
        <w:top w:val="none" w:sz="0" w:space="0" w:color="auto"/>
        <w:left w:val="none" w:sz="0" w:space="0" w:color="auto"/>
        <w:bottom w:val="none" w:sz="0" w:space="0" w:color="auto"/>
        <w:right w:val="none" w:sz="0" w:space="0" w:color="auto"/>
      </w:divBdr>
      <w:divsChild>
        <w:div w:id="1460688704">
          <w:marLeft w:val="0"/>
          <w:marRight w:val="0"/>
          <w:marTop w:val="0"/>
          <w:marBottom w:val="0"/>
          <w:divBdr>
            <w:top w:val="none" w:sz="0" w:space="0" w:color="auto"/>
            <w:left w:val="none" w:sz="0" w:space="0" w:color="auto"/>
            <w:bottom w:val="none" w:sz="0" w:space="0" w:color="auto"/>
            <w:right w:val="none" w:sz="0" w:space="0" w:color="auto"/>
          </w:divBdr>
          <w:divsChild>
            <w:div w:id="1991327894">
              <w:marLeft w:val="0"/>
              <w:marRight w:val="0"/>
              <w:marTop w:val="0"/>
              <w:marBottom w:val="0"/>
              <w:divBdr>
                <w:top w:val="none" w:sz="0" w:space="0" w:color="auto"/>
                <w:left w:val="none" w:sz="0" w:space="0" w:color="auto"/>
                <w:bottom w:val="none" w:sz="0" w:space="0" w:color="auto"/>
                <w:right w:val="none" w:sz="0" w:space="0" w:color="auto"/>
              </w:divBdr>
              <w:divsChild>
                <w:div w:id="1575511934">
                  <w:marLeft w:val="0"/>
                  <w:marRight w:val="0"/>
                  <w:marTop w:val="0"/>
                  <w:marBottom w:val="0"/>
                  <w:divBdr>
                    <w:top w:val="none" w:sz="0" w:space="0" w:color="auto"/>
                    <w:left w:val="none" w:sz="0" w:space="0" w:color="auto"/>
                    <w:bottom w:val="none" w:sz="0" w:space="0" w:color="auto"/>
                    <w:right w:val="none" w:sz="0" w:space="0" w:color="auto"/>
                  </w:divBdr>
                  <w:divsChild>
                    <w:div w:id="19312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27478">
      <w:bodyDiv w:val="1"/>
      <w:marLeft w:val="0"/>
      <w:marRight w:val="0"/>
      <w:marTop w:val="0"/>
      <w:marBottom w:val="0"/>
      <w:divBdr>
        <w:top w:val="none" w:sz="0" w:space="0" w:color="auto"/>
        <w:left w:val="none" w:sz="0" w:space="0" w:color="auto"/>
        <w:bottom w:val="none" w:sz="0" w:space="0" w:color="auto"/>
        <w:right w:val="none" w:sz="0" w:space="0" w:color="auto"/>
      </w:divBdr>
    </w:div>
    <w:div w:id="1684357659">
      <w:bodyDiv w:val="1"/>
      <w:marLeft w:val="0"/>
      <w:marRight w:val="0"/>
      <w:marTop w:val="0"/>
      <w:marBottom w:val="0"/>
      <w:divBdr>
        <w:top w:val="none" w:sz="0" w:space="0" w:color="auto"/>
        <w:left w:val="none" w:sz="0" w:space="0" w:color="auto"/>
        <w:bottom w:val="none" w:sz="0" w:space="0" w:color="auto"/>
        <w:right w:val="none" w:sz="0" w:space="0" w:color="auto"/>
      </w:divBdr>
      <w:divsChild>
        <w:div w:id="405109638">
          <w:marLeft w:val="0"/>
          <w:marRight w:val="0"/>
          <w:marTop w:val="0"/>
          <w:marBottom w:val="0"/>
          <w:divBdr>
            <w:top w:val="none" w:sz="0" w:space="0" w:color="auto"/>
            <w:left w:val="none" w:sz="0" w:space="0" w:color="auto"/>
            <w:bottom w:val="none" w:sz="0" w:space="0" w:color="auto"/>
            <w:right w:val="none" w:sz="0" w:space="0" w:color="auto"/>
          </w:divBdr>
          <w:divsChild>
            <w:div w:id="1236939533">
              <w:marLeft w:val="0"/>
              <w:marRight w:val="0"/>
              <w:marTop w:val="0"/>
              <w:marBottom w:val="0"/>
              <w:divBdr>
                <w:top w:val="none" w:sz="0" w:space="0" w:color="auto"/>
                <w:left w:val="none" w:sz="0" w:space="0" w:color="auto"/>
                <w:bottom w:val="none" w:sz="0" w:space="0" w:color="auto"/>
                <w:right w:val="none" w:sz="0" w:space="0" w:color="auto"/>
              </w:divBdr>
              <w:divsChild>
                <w:div w:id="1099370933">
                  <w:marLeft w:val="0"/>
                  <w:marRight w:val="0"/>
                  <w:marTop w:val="0"/>
                  <w:marBottom w:val="0"/>
                  <w:divBdr>
                    <w:top w:val="none" w:sz="0" w:space="0" w:color="auto"/>
                    <w:left w:val="none" w:sz="0" w:space="0" w:color="auto"/>
                    <w:bottom w:val="none" w:sz="0" w:space="0" w:color="auto"/>
                    <w:right w:val="none" w:sz="0" w:space="0" w:color="auto"/>
                  </w:divBdr>
                  <w:divsChild>
                    <w:div w:id="14312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78612">
      <w:bodyDiv w:val="1"/>
      <w:marLeft w:val="0"/>
      <w:marRight w:val="0"/>
      <w:marTop w:val="0"/>
      <w:marBottom w:val="0"/>
      <w:divBdr>
        <w:top w:val="none" w:sz="0" w:space="0" w:color="auto"/>
        <w:left w:val="none" w:sz="0" w:space="0" w:color="auto"/>
        <w:bottom w:val="none" w:sz="0" w:space="0" w:color="auto"/>
        <w:right w:val="none" w:sz="0" w:space="0" w:color="auto"/>
      </w:divBdr>
      <w:divsChild>
        <w:div w:id="1337881397">
          <w:marLeft w:val="0"/>
          <w:marRight w:val="0"/>
          <w:marTop w:val="0"/>
          <w:marBottom w:val="0"/>
          <w:divBdr>
            <w:top w:val="none" w:sz="0" w:space="0" w:color="auto"/>
            <w:left w:val="none" w:sz="0" w:space="0" w:color="auto"/>
            <w:bottom w:val="none" w:sz="0" w:space="0" w:color="auto"/>
            <w:right w:val="none" w:sz="0" w:space="0" w:color="auto"/>
          </w:divBdr>
          <w:divsChild>
            <w:div w:id="1139958269">
              <w:marLeft w:val="0"/>
              <w:marRight w:val="0"/>
              <w:marTop w:val="0"/>
              <w:marBottom w:val="0"/>
              <w:divBdr>
                <w:top w:val="none" w:sz="0" w:space="0" w:color="auto"/>
                <w:left w:val="none" w:sz="0" w:space="0" w:color="auto"/>
                <w:bottom w:val="none" w:sz="0" w:space="0" w:color="auto"/>
                <w:right w:val="none" w:sz="0" w:space="0" w:color="auto"/>
              </w:divBdr>
              <w:divsChild>
                <w:div w:id="1629436213">
                  <w:marLeft w:val="0"/>
                  <w:marRight w:val="0"/>
                  <w:marTop w:val="0"/>
                  <w:marBottom w:val="0"/>
                  <w:divBdr>
                    <w:top w:val="none" w:sz="0" w:space="0" w:color="auto"/>
                    <w:left w:val="none" w:sz="0" w:space="0" w:color="auto"/>
                    <w:bottom w:val="none" w:sz="0" w:space="0" w:color="auto"/>
                    <w:right w:val="none" w:sz="0" w:space="0" w:color="auto"/>
                  </w:divBdr>
                  <w:divsChild>
                    <w:div w:id="7070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566263">
      <w:bodyDiv w:val="1"/>
      <w:marLeft w:val="0"/>
      <w:marRight w:val="0"/>
      <w:marTop w:val="0"/>
      <w:marBottom w:val="0"/>
      <w:divBdr>
        <w:top w:val="none" w:sz="0" w:space="0" w:color="auto"/>
        <w:left w:val="none" w:sz="0" w:space="0" w:color="auto"/>
        <w:bottom w:val="none" w:sz="0" w:space="0" w:color="auto"/>
        <w:right w:val="none" w:sz="0" w:space="0" w:color="auto"/>
      </w:divBdr>
      <w:divsChild>
        <w:div w:id="1014309793">
          <w:marLeft w:val="0"/>
          <w:marRight w:val="0"/>
          <w:marTop w:val="0"/>
          <w:marBottom w:val="0"/>
          <w:divBdr>
            <w:top w:val="none" w:sz="0" w:space="0" w:color="auto"/>
            <w:left w:val="none" w:sz="0" w:space="0" w:color="auto"/>
            <w:bottom w:val="none" w:sz="0" w:space="0" w:color="auto"/>
            <w:right w:val="none" w:sz="0" w:space="0" w:color="auto"/>
          </w:divBdr>
          <w:divsChild>
            <w:div w:id="1910768054">
              <w:marLeft w:val="0"/>
              <w:marRight w:val="0"/>
              <w:marTop w:val="0"/>
              <w:marBottom w:val="0"/>
              <w:divBdr>
                <w:top w:val="none" w:sz="0" w:space="0" w:color="auto"/>
                <w:left w:val="none" w:sz="0" w:space="0" w:color="auto"/>
                <w:bottom w:val="none" w:sz="0" w:space="0" w:color="auto"/>
                <w:right w:val="none" w:sz="0" w:space="0" w:color="auto"/>
              </w:divBdr>
              <w:divsChild>
                <w:div w:id="2011247209">
                  <w:marLeft w:val="0"/>
                  <w:marRight w:val="0"/>
                  <w:marTop w:val="0"/>
                  <w:marBottom w:val="0"/>
                  <w:divBdr>
                    <w:top w:val="none" w:sz="0" w:space="0" w:color="auto"/>
                    <w:left w:val="none" w:sz="0" w:space="0" w:color="auto"/>
                    <w:bottom w:val="none" w:sz="0" w:space="0" w:color="auto"/>
                    <w:right w:val="none" w:sz="0" w:space="0" w:color="auto"/>
                  </w:divBdr>
                  <w:divsChild>
                    <w:div w:id="18321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777396">
      <w:bodyDiv w:val="1"/>
      <w:marLeft w:val="0"/>
      <w:marRight w:val="0"/>
      <w:marTop w:val="0"/>
      <w:marBottom w:val="0"/>
      <w:divBdr>
        <w:top w:val="none" w:sz="0" w:space="0" w:color="auto"/>
        <w:left w:val="none" w:sz="0" w:space="0" w:color="auto"/>
        <w:bottom w:val="none" w:sz="0" w:space="0" w:color="auto"/>
        <w:right w:val="none" w:sz="0" w:space="0" w:color="auto"/>
      </w:divBdr>
      <w:divsChild>
        <w:div w:id="665942578">
          <w:marLeft w:val="0"/>
          <w:marRight w:val="0"/>
          <w:marTop w:val="0"/>
          <w:marBottom w:val="0"/>
          <w:divBdr>
            <w:top w:val="none" w:sz="0" w:space="0" w:color="auto"/>
            <w:left w:val="none" w:sz="0" w:space="0" w:color="auto"/>
            <w:bottom w:val="none" w:sz="0" w:space="0" w:color="auto"/>
            <w:right w:val="none" w:sz="0" w:space="0" w:color="auto"/>
          </w:divBdr>
          <w:divsChild>
            <w:div w:id="711463077">
              <w:marLeft w:val="0"/>
              <w:marRight w:val="0"/>
              <w:marTop w:val="0"/>
              <w:marBottom w:val="0"/>
              <w:divBdr>
                <w:top w:val="none" w:sz="0" w:space="0" w:color="auto"/>
                <w:left w:val="none" w:sz="0" w:space="0" w:color="auto"/>
                <w:bottom w:val="none" w:sz="0" w:space="0" w:color="auto"/>
                <w:right w:val="none" w:sz="0" w:space="0" w:color="auto"/>
              </w:divBdr>
              <w:divsChild>
                <w:div w:id="395669680">
                  <w:marLeft w:val="0"/>
                  <w:marRight w:val="0"/>
                  <w:marTop w:val="0"/>
                  <w:marBottom w:val="0"/>
                  <w:divBdr>
                    <w:top w:val="none" w:sz="0" w:space="0" w:color="auto"/>
                    <w:left w:val="none" w:sz="0" w:space="0" w:color="auto"/>
                    <w:bottom w:val="none" w:sz="0" w:space="0" w:color="auto"/>
                    <w:right w:val="none" w:sz="0" w:space="0" w:color="auto"/>
                  </w:divBdr>
                  <w:divsChild>
                    <w:div w:id="9685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663095">
      <w:bodyDiv w:val="1"/>
      <w:marLeft w:val="0"/>
      <w:marRight w:val="0"/>
      <w:marTop w:val="0"/>
      <w:marBottom w:val="0"/>
      <w:divBdr>
        <w:top w:val="none" w:sz="0" w:space="0" w:color="auto"/>
        <w:left w:val="none" w:sz="0" w:space="0" w:color="auto"/>
        <w:bottom w:val="none" w:sz="0" w:space="0" w:color="auto"/>
        <w:right w:val="none" w:sz="0" w:space="0" w:color="auto"/>
      </w:divBdr>
      <w:divsChild>
        <w:div w:id="586378958">
          <w:marLeft w:val="0"/>
          <w:marRight w:val="0"/>
          <w:marTop w:val="0"/>
          <w:marBottom w:val="0"/>
          <w:divBdr>
            <w:top w:val="none" w:sz="0" w:space="0" w:color="auto"/>
            <w:left w:val="none" w:sz="0" w:space="0" w:color="auto"/>
            <w:bottom w:val="none" w:sz="0" w:space="0" w:color="auto"/>
            <w:right w:val="none" w:sz="0" w:space="0" w:color="auto"/>
          </w:divBdr>
          <w:divsChild>
            <w:div w:id="113598081">
              <w:marLeft w:val="0"/>
              <w:marRight w:val="0"/>
              <w:marTop w:val="0"/>
              <w:marBottom w:val="0"/>
              <w:divBdr>
                <w:top w:val="none" w:sz="0" w:space="0" w:color="auto"/>
                <w:left w:val="none" w:sz="0" w:space="0" w:color="auto"/>
                <w:bottom w:val="none" w:sz="0" w:space="0" w:color="auto"/>
                <w:right w:val="none" w:sz="0" w:space="0" w:color="auto"/>
              </w:divBdr>
              <w:divsChild>
                <w:div w:id="515658021">
                  <w:marLeft w:val="0"/>
                  <w:marRight w:val="0"/>
                  <w:marTop w:val="0"/>
                  <w:marBottom w:val="0"/>
                  <w:divBdr>
                    <w:top w:val="none" w:sz="0" w:space="0" w:color="auto"/>
                    <w:left w:val="none" w:sz="0" w:space="0" w:color="auto"/>
                    <w:bottom w:val="none" w:sz="0" w:space="0" w:color="auto"/>
                    <w:right w:val="none" w:sz="0" w:space="0" w:color="auto"/>
                  </w:divBdr>
                  <w:divsChild>
                    <w:div w:id="53157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781493">
      <w:bodyDiv w:val="1"/>
      <w:marLeft w:val="0"/>
      <w:marRight w:val="0"/>
      <w:marTop w:val="0"/>
      <w:marBottom w:val="0"/>
      <w:divBdr>
        <w:top w:val="none" w:sz="0" w:space="0" w:color="auto"/>
        <w:left w:val="none" w:sz="0" w:space="0" w:color="auto"/>
        <w:bottom w:val="none" w:sz="0" w:space="0" w:color="auto"/>
        <w:right w:val="none" w:sz="0" w:space="0" w:color="auto"/>
      </w:divBdr>
      <w:divsChild>
        <w:div w:id="67116444">
          <w:marLeft w:val="0"/>
          <w:marRight w:val="0"/>
          <w:marTop w:val="0"/>
          <w:marBottom w:val="0"/>
          <w:divBdr>
            <w:top w:val="none" w:sz="0" w:space="0" w:color="auto"/>
            <w:left w:val="none" w:sz="0" w:space="0" w:color="auto"/>
            <w:bottom w:val="none" w:sz="0" w:space="0" w:color="auto"/>
            <w:right w:val="none" w:sz="0" w:space="0" w:color="auto"/>
          </w:divBdr>
          <w:divsChild>
            <w:div w:id="177551277">
              <w:marLeft w:val="0"/>
              <w:marRight w:val="0"/>
              <w:marTop w:val="0"/>
              <w:marBottom w:val="0"/>
              <w:divBdr>
                <w:top w:val="none" w:sz="0" w:space="0" w:color="auto"/>
                <w:left w:val="none" w:sz="0" w:space="0" w:color="auto"/>
                <w:bottom w:val="none" w:sz="0" w:space="0" w:color="auto"/>
                <w:right w:val="none" w:sz="0" w:space="0" w:color="auto"/>
              </w:divBdr>
              <w:divsChild>
                <w:div w:id="1561401639">
                  <w:marLeft w:val="0"/>
                  <w:marRight w:val="0"/>
                  <w:marTop w:val="0"/>
                  <w:marBottom w:val="0"/>
                  <w:divBdr>
                    <w:top w:val="none" w:sz="0" w:space="0" w:color="auto"/>
                    <w:left w:val="none" w:sz="0" w:space="0" w:color="auto"/>
                    <w:bottom w:val="none" w:sz="0" w:space="0" w:color="auto"/>
                    <w:right w:val="none" w:sz="0" w:space="0" w:color="auto"/>
                  </w:divBdr>
                  <w:divsChild>
                    <w:div w:id="30979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716978">
      <w:bodyDiv w:val="1"/>
      <w:marLeft w:val="0"/>
      <w:marRight w:val="0"/>
      <w:marTop w:val="0"/>
      <w:marBottom w:val="0"/>
      <w:divBdr>
        <w:top w:val="none" w:sz="0" w:space="0" w:color="auto"/>
        <w:left w:val="none" w:sz="0" w:space="0" w:color="auto"/>
        <w:bottom w:val="none" w:sz="0" w:space="0" w:color="auto"/>
        <w:right w:val="none" w:sz="0" w:space="0" w:color="auto"/>
      </w:divBdr>
      <w:divsChild>
        <w:div w:id="90470561">
          <w:marLeft w:val="0"/>
          <w:marRight w:val="0"/>
          <w:marTop w:val="0"/>
          <w:marBottom w:val="0"/>
          <w:divBdr>
            <w:top w:val="none" w:sz="0" w:space="0" w:color="auto"/>
            <w:left w:val="none" w:sz="0" w:space="0" w:color="auto"/>
            <w:bottom w:val="none" w:sz="0" w:space="0" w:color="auto"/>
            <w:right w:val="none" w:sz="0" w:space="0" w:color="auto"/>
          </w:divBdr>
          <w:divsChild>
            <w:div w:id="362051783">
              <w:marLeft w:val="0"/>
              <w:marRight w:val="0"/>
              <w:marTop w:val="0"/>
              <w:marBottom w:val="0"/>
              <w:divBdr>
                <w:top w:val="none" w:sz="0" w:space="0" w:color="auto"/>
                <w:left w:val="none" w:sz="0" w:space="0" w:color="auto"/>
                <w:bottom w:val="none" w:sz="0" w:space="0" w:color="auto"/>
                <w:right w:val="none" w:sz="0" w:space="0" w:color="auto"/>
              </w:divBdr>
              <w:divsChild>
                <w:div w:id="2119253213">
                  <w:marLeft w:val="0"/>
                  <w:marRight w:val="0"/>
                  <w:marTop w:val="0"/>
                  <w:marBottom w:val="0"/>
                  <w:divBdr>
                    <w:top w:val="none" w:sz="0" w:space="0" w:color="auto"/>
                    <w:left w:val="none" w:sz="0" w:space="0" w:color="auto"/>
                    <w:bottom w:val="none" w:sz="0" w:space="0" w:color="auto"/>
                    <w:right w:val="none" w:sz="0" w:space="0" w:color="auto"/>
                  </w:divBdr>
                  <w:divsChild>
                    <w:div w:id="12177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25612">
      <w:bodyDiv w:val="1"/>
      <w:marLeft w:val="0"/>
      <w:marRight w:val="0"/>
      <w:marTop w:val="0"/>
      <w:marBottom w:val="0"/>
      <w:divBdr>
        <w:top w:val="none" w:sz="0" w:space="0" w:color="auto"/>
        <w:left w:val="none" w:sz="0" w:space="0" w:color="auto"/>
        <w:bottom w:val="none" w:sz="0" w:space="0" w:color="auto"/>
        <w:right w:val="none" w:sz="0" w:space="0" w:color="auto"/>
      </w:divBdr>
      <w:divsChild>
        <w:div w:id="536091666">
          <w:marLeft w:val="0"/>
          <w:marRight w:val="0"/>
          <w:marTop w:val="0"/>
          <w:marBottom w:val="0"/>
          <w:divBdr>
            <w:top w:val="none" w:sz="0" w:space="0" w:color="auto"/>
            <w:left w:val="none" w:sz="0" w:space="0" w:color="auto"/>
            <w:bottom w:val="none" w:sz="0" w:space="0" w:color="auto"/>
            <w:right w:val="none" w:sz="0" w:space="0" w:color="auto"/>
          </w:divBdr>
          <w:divsChild>
            <w:div w:id="653871553">
              <w:marLeft w:val="0"/>
              <w:marRight w:val="0"/>
              <w:marTop w:val="0"/>
              <w:marBottom w:val="0"/>
              <w:divBdr>
                <w:top w:val="none" w:sz="0" w:space="0" w:color="auto"/>
                <w:left w:val="none" w:sz="0" w:space="0" w:color="auto"/>
                <w:bottom w:val="none" w:sz="0" w:space="0" w:color="auto"/>
                <w:right w:val="none" w:sz="0" w:space="0" w:color="auto"/>
              </w:divBdr>
              <w:divsChild>
                <w:div w:id="1073431948">
                  <w:marLeft w:val="0"/>
                  <w:marRight w:val="0"/>
                  <w:marTop w:val="0"/>
                  <w:marBottom w:val="0"/>
                  <w:divBdr>
                    <w:top w:val="none" w:sz="0" w:space="0" w:color="auto"/>
                    <w:left w:val="none" w:sz="0" w:space="0" w:color="auto"/>
                    <w:bottom w:val="none" w:sz="0" w:space="0" w:color="auto"/>
                    <w:right w:val="none" w:sz="0" w:space="0" w:color="auto"/>
                  </w:divBdr>
                  <w:divsChild>
                    <w:div w:id="76978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438354">
      <w:bodyDiv w:val="1"/>
      <w:marLeft w:val="0"/>
      <w:marRight w:val="0"/>
      <w:marTop w:val="0"/>
      <w:marBottom w:val="0"/>
      <w:divBdr>
        <w:top w:val="none" w:sz="0" w:space="0" w:color="auto"/>
        <w:left w:val="none" w:sz="0" w:space="0" w:color="auto"/>
        <w:bottom w:val="none" w:sz="0" w:space="0" w:color="auto"/>
        <w:right w:val="none" w:sz="0" w:space="0" w:color="auto"/>
      </w:divBdr>
      <w:divsChild>
        <w:div w:id="440416373">
          <w:marLeft w:val="0"/>
          <w:marRight w:val="0"/>
          <w:marTop w:val="0"/>
          <w:marBottom w:val="0"/>
          <w:divBdr>
            <w:top w:val="none" w:sz="0" w:space="0" w:color="auto"/>
            <w:left w:val="none" w:sz="0" w:space="0" w:color="auto"/>
            <w:bottom w:val="none" w:sz="0" w:space="0" w:color="auto"/>
            <w:right w:val="none" w:sz="0" w:space="0" w:color="auto"/>
          </w:divBdr>
          <w:divsChild>
            <w:div w:id="2059208478">
              <w:marLeft w:val="0"/>
              <w:marRight w:val="0"/>
              <w:marTop w:val="0"/>
              <w:marBottom w:val="0"/>
              <w:divBdr>
                <w:top w:val="none" w:sz="0" w:space="0" w:color="auto"/>
                <w:left w:val="none" w:sz="0" w:space="0" w:color="auto"/>
                <w:bottom w:val="none" w:sz="0" w:space="0" w:color="auto"/>
                <w:right w:val="none" w:sz="0" w:space="0" w:color="auto"/>
              </w:divBdr>
              <w:divsChild>
                <w:div w:id="1086153338">
                  <w:marLeft w:val="0"/>
                  <w:marRight w:val="0"/>
                  <w:marTop w:val="0"/>
                  <w:marBottom w:val="0"/>
                  <w:divBdr>
                    <w:top w:val="none" w:sz="0" w:space="0" w:color="auto"/>
                    <w:left w:val="none" w:sz="0" w:space="0" w:color="auto"/>
                    <w:bottom w:val="none" w:sz="0" w:space="0" w:color="auto"/>
                    <w:right w:val="none" w:sz="0" w:space="0" w:color="auto"/>
                  </w:divBdr>
                  <w:divsChild>
                    <w:div w:id="196773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18523">
      <w:bodyDiv w:val="1"/>
      <w:marLeft w:val="0"/>
      <w:marRight w:val="0"/>
      <w:marTop w:val="0"/>
      <w:marBottom w:val="0"/>
      <w:divBdr>
        <w:top w:val="none" w:sz="0" w:space="0" w:color="auto"/>
        <w:left w:val="none" w:sz="0" w:space="0" w:color="auto"/>
        <w:bottom w:val="none" w:sz="0" w:space="0" w:color="auto"/>
        <w:right w:val="none" w:sz="0" w:space="0" w:color="auto"/>
      </w:divBdr>
    </w:div>
    <w:div w:id="1904755109">
      <w:bodyDiv w:val="1"/>
      <w:marLeft w:val="0"/>
      <w:marRight w:val="0"/>
      <w:marTop w:val="0"/>
      <w:marBottom w:val="0"/>
      <w:divBdr>
        <w:top w:val="none" w:sz="0" w:space="0" w:color="auto"/>
        <w:left w:val="none" w:sz="0" w:space="0" w:color="auto"/>
        <w:bottom w:val="none" w:sz="0" w:space="0" w:color="auto"/>
        <w:right w:val="none" w:sz="0" w:space="0" w:color="auto"/>
      </w:divBdr>
      <w:divsChild>
        <w:div w:id="540675232">
          <w:marLeft w:val="0"/>
          <w:marRight w:val="0"/>
          <w:marTop w:val="0"/>
          <w:marBottom w:val="0"/>
          <w:divBdr>
            <w:top w:val="none" w:sz="0" w:space="0" w:color="auto"/>
            <w:left w:val="none" w:sz="0" w:space="0" w:color="auto"/>
            <w:bottom w:val="none" w:sz="0" w:space="0" w:color="auto"/>
            <w:right w:val="none" w:sz="0" w:space="0" w:color="auto"/>
          </w:divBdr>
          <w:divsChild>
            <w:div w:id="524366829">
              <w:marLeft w:val="0"/>
              <w:marRight w:val="0"/>
              <w:marTop w:val="0"/>
              <w:marBottom w:val="0"/>
              <w:divBdr>
                <w:top w:val="none" w:sz="0" w:space="0" w:color="auto"/>
                <w:left w:val="none" w:sz="0" w:space="0" w:color="auto"/>
                <w:bottom w:val="none" w:sz="0" w:space="0" w:color="auto"/>
                <w:right w:val="none" w:sz="0" w:space="0" w:color="auto"/>
              </w:divBdr>
              <w:divsChild>
                <w:div w:id="1794985313">
                  <w:marLeft w:val="0"/>
                  <w:marRight w:val="0"/>
                  <w:marTop w:val="0"/>
                  <w:marBottom w:val="0"/>
                  <w:divBdr>
                    <w:top w:val="none" w:sz="0" w:space="0" w:color="auto"/>
                    <w:left w:val="none" w:sz="0" w:space="0" w:color="auto"/>
                    <w:bottom w:val="none" w:sz="0" w:space="0" w:color="auto"/>
                    <w:right w:val="none" w:sz="0" w:space="0" w:color="auto"/>
                  </w:divBdr>
                  <w:divsChild>
                    <w:div w:id="8743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4070">
      <w:bodyDiv w:val="1"/>
      <w:marLeft w:val="0"/>
      <w:marRight w:val="0"/>
      <w:marTop w:val="0"/>
      <w:marBottom w:val="0"/>
      <w:divBdr>
        <w:top w:val="none" w:sz="0" w:space="0" w:color="auto"/>
        <w:left w:val="none" w:sz="0" w:space="0" w:color="auto"/>
        <w:bottom w:val="none" w:sz="0" w:space="0" w:color="auto"/>
        <w:right w:val="none" w:sz="0" w:space="0" w:color="auto"/>
      </w:divBdr>
    </w:div>
    <w:div w:id="1976838396">
      <w:bodyDiv w:val="1"/>
      <w:marLeft w:val="0"/>
      <w:marRight w:val="0"/>
      <w:marTop w:val="0"/>
      <w:marBottom w:val="0"/>
      <w:divBdr>
        <w:top w:val="none" w:sz="0" w:space="0" w:color="auto"/>
        <w:left w:val="none" w:sz="0" w:space="0" w:color="auto"/>
        <w:bottom w:val="none" w:sz="0" w:space="0" w:color="auto"/>
        <w:right w:val="none" w:sz="0" w:space="0" w:color="auto"/>
      </w:divBdr>
      <w:divsChild>
        <w:div w:id="717513087">
          <w:marLeft w:val="0"/>
          <w:marRight w:val="0"/>
          <w:marTop w:val="0"/>
          <w:marBottom w:val="0"/>
          <w:divBdr>
            <w:top w:val="none" w:sz="0" w:space="0" w:color="auto"/>
            <w:left w:val="none" w:sz="0" w:space="0" w:color="auto"/>
            <w:bottom w:val="none" w:sz="0" w:space="0" w:color="auto"/>
            <w:right w:val="none" w:sz="0" w:space="0" w:color="auto"/>
          </w:divBdr>
          <w:divsChild>
            <w:div w:id="1777208315">
              <w:marLeft w:val="0"/>
              <w:marRight w:val="0"/>
              <w:marTop w:val="0"/>
              <w:marBottom w:val="0"/>
              <w:divBdr>
                <w:top w:val="none" w:sz="0" w:space="0" w:color="auto"/>
                <w:left w:val="none" w:sz="0" w:space="0" w:color="auto"/>
                <w:bottom w:val="none" w:sz="0" w:space="0" w:color="auto"/>
                <w:right w:val="none" w:sz="0" w:space="0" w:color="auto"/>
              </w:divBdr>
              <w:divsChild>
                <w:div w:id="650594926">
                  <w:marLeft w:val="0"/>
                  <w:marRight w:val="0"/>
                  <w:marTop w:val="0"/>
                  <w:marBottom w:val="0"/>
                  <w:divBdr>
                    <w:top w:val="none" w:sz="0" w:space="0" w:color="auto"/>
                    <w:left w:val="none" w:sz="0" w:space="0" w:color="auto"/>
                    <w:bottom w:val="none" w:sz="0" w:space="0" w:color="auto"/>
                    <w:right w:val="none" w:sz="0" w:space="0" w:color="auto"/>
                  </w:divBdr>
                  <w:divsChild>
                    <w:div w:id="13273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443062">
      <w:bodyDiv w:val="1"/>
      <w:marLeft w:val="0"/>
      <w:marRight w:val="0"/>
      <w:marTop w:val="0"/>
      <w:marBottom w:val="0"/>
      <w:divBdr>
        <w:top w:val="none" w:sz="0" w:space="0" w:color="auto"/>
        <w:left w:val="none" w:sz="0" w:space="0" w:color="auto"/>
        <w:bottom w:val="none" w:sz="0" w:space="0" w:color="auto"/>
        <w:right w:val="none" w:sz="0" w:space="0" w:color="auto"/>
      </w:divBdr>
      <w:divsChild>
        <w:div w:id="405689066">
          <w:marLeft w:val="0"/>
          <w:marRight w:val="0"/>
          <w:marTop w:val="0"/>
          <w:marBottom w:val="0"/>
          <w:divBdr>
            <w:top w:val="none" w:sz="0" w:space="0" w:color="auto"/>
            <w:left w:val="none" w:sz="0" w:space="0" w:color="auto"/>
            <w:bottom w:val="none" w:sz="0" w:space="0" w:color="auto"/>
            <w:right w:val="none" w:sz="0" w:space="0" w:color="auto"/>
          </w:divBdr>
          <w:divsChild>
            <w:div w:id="2069107630">
              <w:marLeft w:val="0"/>
              <w:marRight w:val="0"/>
              <w:marTop w:val="0"/>
              <w:marBottom w:val="0"/>
              <w:divBdr>
                <w:top w:val="none" w:sz="0" w:space="0" w:color="auto"/>
                <w:left w:val="none" w:sz="0" w:space="0" w:color="auto"/>
                <w:bottom w:val="none" w:sz="0" w:space="0" w:color="auto"/>
                <w:right w:val="none" w:sz="0" w:space="0" w:color="auto"/>
              </w:divBdr>
              <w:divsChild>
                <w:div w:id="535504558">
                  <w:marLeft w:val="0"/>
                  <w:marRight w:val="0"/>
                  <w:marTop w:val="0"/>
                  <w:marBottom w:val="0"/>
                  <w:divBdr>
                    <w:top w:val="none" w:sz="0" w:space="0" w:color="auto"/>
                    <w:left w:val="none" w:sz="0" w:space="0" w:color="auto"/>
                    <w:bottom w:val="none" w:sz="0" w:space="0" w:color="auto"/>
                    <w:right w:val="none" w:sz="0" w:space="0" w:color="auto"/>
                  </w:divBdr>
                  <w:divsChild>
                    <w:div w:id="20090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118355">
      <w:bodyDiv w:val="1"/>
      <w:marLeft w:val="0"/>
      <w:marRight w:val="0"/>
      <w:marTop w:val="0"/>
      <w:marBottom w:val="0"/>
      <w:divBdr>
        <w:top w:val="none" w:sz="0" w:space="0" w:color="auto"/>
        <w:left w:val="none" w:sz="0" w:space="0" w:color="auto"/>
        <w:bottom w:val="none" w:sz="0" w:space="0" w:color="auto"/>
        <w:right w:val="none" w:sz="0" w:space="0" w:color="auto"/>
      </w:divBdr>
    </w:div>
    <w:div w:id="2111855601">
      <w:bodyDiv w:val="1"/>
      <w:marLeft w:val="0"/>
      <w:marRight w:val="0"/>
      <w:marTop w:val="0"/>
      <w:marBottom w:val="0"/>
      <w:divBdr>
        <w:top w:val="none" w:sz="0" w:space="0" w:color="auto"/>
        <w:left w:val="none" w:sz="0" w:space="0" w:color="auto"/>
        <w:bottom w:val="none" w:sz="0" w:space="0" w:color="auto"/>
        <w:right w:val="none" w:sz="0" w:space="0" w:color="auto"/>
      </w:divBdr>
      <w:divsChild>
        <w:div w:id="395860248">
          <w:marLeft w:val="0"/>
          <w:marRight w:val="0"/>
          <w:marTop w:val="0"/>
          <w:marBottom w:val="0"/>
          <w:divBdr>
            <w:top w:val="none" w:sz="0" w:space="0" w:color="auto"/>
            <w:left w:val="none" w:sz="0" w:space="0" w:color="auto"/>
            <w:bottom w:val="none" w:sz="0" w:space="0" w:color="auto"/>
            <w:right w:val="none" w:sz="0" w:space="0" w:color="auto"/>
          </w:divBdr>
          <w:divsChild>
            <w:div w:id="947274400">
              <w:marLeft w:val="0"/>
              <w:marRight w:val="0"/>
              <w:marTop w:val="0"/>
              <w:marBottom w:val="0"/>
              <w:divBdr>
                <w:top w:val="none" w:sz="0" w:space="0" w:color="auto"/>
                <w:left w:val="none" w:sz="0" w:space="0" w:color="auto"/>
                <w:bottom w:val="none" w:sz="0" w:space="0" w:color="auto"/>
                <w:right w:val="none" w:sz="0" w:space="0" w:color="auto"/>
              </w:divBdr>
              <w:divsChild>
                <w:div w:id="7298279">
                  <w:marLeft w:val="0"/>
                  <w:marRight w:val="0"/>
                  <w:marTop w:val="0"/>
                  <w:marBottom w:val="0"/>
                  <w:divBdr>
                    <w:top w:val="none" w:sz="0" w:space="0" w:color="auto"/>
                    <w:left w:val="none" w:sz="0" w:space="0" w:color="auto"/>
                    <w:bottom w:val="none" w:sz="0" w:space="0" w:color="auto"/>
                    <w:right w:val="none" w:sz="0" w:space="0" w:color="auto"/>
                  </w:divBdr>
                  <w:divsChild>
                    <w:div w:id="99681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citotenv.2019.134597" TargetMode="External"/><Relationship Id="rId18" Type="http://schemas.openxmlformats.org/officeDocument/2006/relationships/hyperlink" Target="https://doi.org/10.1016/j.eja.2025.127875" TargetMode="External"/><Relationship Id="rId26" Type="http://schemas.openxmlformats.org/officeDocument/2006/relationships/hyperlink" Target="https://doi.org/10.5194/soil-7-217-2021" TargetMode="External"/><Relationship Id="rId3" Type="http://schemas.openxmlformats.org/officeDocument/2006/relationships/styles" Target="styles.xml"/><Relationship Id="rId21" Type="http://schemas.openxmlformats.org/officeDocument/2006/relationships/hyperlink" Target="https://doi.org/10.1038/nature15374" TargetMode="Externa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yperlink" Target="https://doi.org/10.1111/sum.13098" TargetMode="External"/><Relationship Id="rId25" Type="http://schemas.openxmlformats.org/officeDocument/2006/relationships/hyperlink" Target="https://doi.org/10.1890/08002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scitotenv.2023.169061" TargetMode="External"/><Relationship Id="rId20" Type="http://schemas.openxmlformats.org/officeDocument/2006/relationships/hyperlink" Target="https://doi.org/10.1111/gfs.12592" TargetMode="External"/><Relationship Id="rId29" Type="http://schemas.openxmlformats.org/officeDocument/2006/relationships/hyperlink" Target="https://doi.org/10.1038/s41612-021-00169-8" TargetMode="External"/><Relationship Id="rId1" Type="http://schemas.openxmlformats.org/officeDocument/2006/relationships/customXml" Target="../customXml/item1.xml"/><Relationship Id="rId6" Type="http://schemas.openxmlformats.org/officeDocument/2006/relationships/hyperlink" Target="mailto:mathieu.delandmeter@gmail.com" TargetMode="External"/><Relationship Id="rId11" Type="http://schemas.openxmlformats.org/officeDocument/2006/relationships/image" Target="media/image5.tiff"/><Relationship Id="rId24" Type="http://schemas.openxmlformats.org/officeDocument/2006/relationships/hyperlink" Target="https://doi.org/10.1126/science.111785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11/ejss.12193" TargetMode="External"/><Relationship Id="rId23" Type="http://schemas.openxmlformats.org/officeDocument/2006/relationships/hyperlink" Target="https://doi.org/10.1146/annurev-publhealth-031816-044356" TargetMode="External"/><Relationship Id="rId28" Type="http://schemas.openxmlformats.org/officeDocument/2006/relationships/hyperlink" Target="https://doi.org/10.5194/bg-10-1675-2013" TargetMode="External"/><Relationship Id="rId10" Type="http://schemas.openxmlformats.org/officeDocument/2006/relationships/image" Target="media/image4.tiff"/><Relationship Id="rId19" Type="http://schemas.openxmlformats.org/officeDocument/2006/relationships/hyperlink" Target="https://doi.org/10.1016/j.animal.2023.100790" TargetMode="External"/><Relationship Id="rId31" Type="http://schemas.openxmlformats.org/officeDocument/2006/relationships/hyperlink" Target="http://etat.agriculture.wallonie.be" TargetMode="External"/><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hyperlink" Target="https://doi.org/10.1038/s41612-019-0086-4" TargetMode="External"/><Relationship Id="rId22" Type="http://schemas.openxmlformats.org/officeDocument/2006/relationships/hyperlink" Target="https://doi.org/10.1146/annurev-ecolsys-112414-054234" TargetMode="External"/><Relationship Id="rId27" Type="http://schemas.openxmlformats.org/officeDocument/2006/relationships/hyperlink" Target="https://www.r-project.org/" TargetMode="External"/><Relationship Id="rId30" Type="http://schemas.openxmlformats.org/officeDocument/2006/relationships/hyperlink" Target="https://doi.org/10.1016/j.agee.2013.10.012" TargetMode="External"/><Relationship Id="rId8" Type="http://schemas.openxmlformats.org/officeDocument/2006/relationships/image" Target="media/image2.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A86F1-BDC4-4B96-BE3A-A4BAA7C18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2103</TotalTime>
  <Pages>32</Pages>
  <Words>11456</Words>
  <Characters>63011</Characters>
  <Application>Microsoft Office Word</Application>
  <DocSecurity>0</DocSecurity>
  <Lines>525</Lines>
  <Paragraphs>148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Delandmeter</dc:creator>
  <cp:keywords/>
  <dc:description/>
  <cp:lastModifiedBy>Mathieu Delandmeter</cp:lastModifiedBy>
  <cp:revision>1776</cp:revision>
  <dcterms:created xsi:type="dcterms:W3CDTF">2023-10-20T12:49:00Z</dcterms:created>
  <dcterms:modified xsi:type="dcterms:W3CDTF">2026-05-26T20:18:00Z</dcterms:modified>
</cp:coreProperties>
</file>