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F58D5" w14:textId="398C065E" w:rsidR="00607CF3" w:rsidRPr="00871092" w:rsidRDefault="00607CF3" w:rsidP="00871092">
      <w:pPr>
        <w:spacing w:after="0" w:line="240" w:lineRule="auto"/>
        <w:jc w:val="center"/>
        <w:rPr>
          <w:rFonts w:asciiTheme="majorBidi" w:hAnsiTheme="majorBidi" w:cstheme="majorBidi"/>
          <w:b/>
          <w:bCs/>
        </w:rPr>
      </w:pPr>
      <w:r w:rsidRPr="00871092">
        <w:rPr>
          <w:rFonts w:asciiTheme="majorBidi" w:hAnsiTheme="majorBidi" w:cstheme="majorBidi"/>
          <w:b/>
          <w:bCs/>
        </w:rPr>
        <w:t xml:space="preserve">Mineralogical </w:t>
      </w:r>
      <w:r w:rsidR="001000A9">
        <w:rPr>
          <w:rFonts w:asciiTheme="majorBidi" w:hAnsiTheme="majorBidi" w:cstheme="majorBidi"/>
          <w:b/>
          <w:bCs/>
        </w:rPr>
        <w:t>c</w:t>
      </w:r>
      <w:r w:rsidR="001000A9" w:rsidRPr="00871092">
        <w:rPr>
          <w:rFonts w:asciiTheme="majorBidi" w:hAnsiTheme="majorBidi" w:cstheme="majorBidi"/>
          <w:b/>
          <w:bCs/>
        </w:rPr>
        <w:t xml:space="preserve">ontrol </w:t>
      </w:r>
      <w:r w:rsidRPr="00871092">
        <w:rPr>
          <w:rFonts w:asciiTheme="majorBidi" w:hAnsiTheme="majorBidi" w:cstheme="majorBidi"/>
          <w:b/>
          <w:bCs/>
        </w:rPr>
        <w:t xml:space="preserve">on the </w:t>
      </w:r>
      <w:r w:rsidR="001000A9">
        <w:rPr>
          <w:rFonts w:asciiTheme="majorBidi" w:hAnsiTheme="majorBidi" w:cstheme="majorBidi"/>
          <w:b/>
          <w:bCs/>
        </w:rPr>
        <w:t>l</w:t>
      </w:r>
      <w:r w:rsidR="001000A9" w:rsidRPr="00871092">
        <w:rPr>
          <w:rFonts w:asciiTheme="majorBidi" w:hAnsiTheme="majorBidi" w:cstheme="majorBidi"/>
          <w:b/>
          <w:bCs/>
        </w:rPr>
        <w:t xml:space="preserve">eaching </w:t>
      </w:r>
      <w:r w:rsidRPr="00871092">
        <w:rPr>
          <w:rFonts w:asciiTheme="majorBidi" w:hAnsiTheme="majorBidi" w:cstheme="majorBidi"/>
          <w:b/>
          <w:bCs/>
        </w:rPr>
        <w:t xml:space="preserve">of </w:t>
      </w:r>
      <w:r w:rsidR="001000A9">
        <w:rPr>
          <w:rFonts w:asciiTheme="majorBidi" w:hAnsiTheme="majorBidi" w:cstheme="majorBidi"/>
          <w:b/>
          <w:bCs/>
        </w:rPr>
        <w:t>p</w:t>
      </w:r>
      <w:r w:rsidR="001000A9" w:rsidRPr="00871092">
        <w:rPr>
          <w:rFonts w:asciiTheme="majorBidi" w:hAnsiTheme="majorBidi" w:cstheme="majorBidi"/>
          <w:b/>
          <w:bCs/>
        </w:rPr>
        <w:t xml:space="preserve">otentially </w:t>
      </w:r>
      <w:r w:rsidR="001000A9">
        <w:rPr>
          <w:rFonts w:asciiTheme="majorBidi" w:hAnsiTheme="majorBidi" w:cstheme="majorBidi"/>
          <w:b/>
          <w:bCs/>
        </w:rPr>
        <w:t>t</w:t>
      </w:r>
      <w:r w:rsidR="001000A9" w:rsidRPr="00871092">
        <w:rPr>
          <w:rFonts w:asciiTheme="majorBidi" w:hAnsiTheme="majorBidi" w:cstheme="majorBidi"/>
          <w:b/>
          <w:bCs/>
        </w:rPr>
        <w:t xml:space="preserve">oxic </w:t>
      </w:r>
      <w:r w:rsidR="001000A9">
        <w:rPr>
          <w:rFonts w:asciiTheme="majorBidi" w:hAnsiTheme="majorBidi" w:cstheme="majorBidi"/>
          <w:b/>
          <w:bCs/>
        </w:rPr>
        <w:t>e</w:t>
      </w:r>
      <w:r w:rsidR="001000A9" w:rsidRPr="00871092">
        <w:rPr>
          <w:rFonts w:asciiTheme="majorBidi" w:hAnsiTheme="majorBidi" w:cstheme="majorBidi"/>
          <w:b/>
          <w:bCs/>
        </w:rPr>
        <w:t xml:space="preserve">lements </w:t>
      </w:r>
      <w:r w:rsidRPr="00871092">
        <w:rPr>
          <w:rFonts w:asciiTheme="majorBidi" w:hAnsiTheme="majorBidi" w:cstheme="majorBidi"/>
          <w:b/>
          <w:bCs/>
        </w:rPr>
        <w:t xml:space="preserve">and </w:t>
      </w:r>
      <w:r w:rsidR="001000A9">
        <w:rPr>
          <w:rFonts w:asciiTheme="majorBidi" w:hAnsiTheme="majorBidi" w:cstheme="majorBidi"/>
          <w:b/>
          <w:bCs/>
        </w:rPr>
        <w:t>r</w:t>
      </w:r>
      <w:r w:rsidR="001000A9" w:rsidRPr="00871092">
        <w:rPr>
          <w:rFonts w:asciiTheme="majorBidi" w:hAnsiTheme="majorBidi" w:cstheme="majorBidi"/>
          <w:b/>
          <w:bCs/>
        </w:rPr>
        <w:t xml:space="preserve">adionuclides </w:t>
      </w:r>
      <w:r w:rsidRPr="00871092">
        <w:rPr>
          <w:rFonts w:asciiTheme="majorBidi" w:hAnsiTheme="majorBidi" w:cstheme="majorBidi"/>
          <w:b/>
          <w:bCs/>
        </w:rPr>
        <w:t xml:space="preserve">from </w:t>
      </w:r>
      <w:r w:rsidR="001000A9">
        <w:rPr>
          <w:rFonts w:asciiTheme="majorBidi" w:hAnsiTheme="majorBidi" w:cstheme="majorBidi"/>
          <w:b/>
          <w:bCs/>
        </w:rPr>
        <w:t xml:space="preserve">raw </w:t>
      </w:r>
      <w:r w:rsidRPr="00871092">
        <w:rPr>
          <w:rFonts w:asciiTheme="majorBidi" w:hAnsiTheme="majorBidi" w:cstheme="majorBidi"/>
          <w:b/>
          <w:bCs/>
        </w:rPr>
        <w:t xml:space="preserve">Moroccan </w:t>
      </w:r>
      <w:r w:rsidR="001000A9">
        <w:rPr>
          <w:rFonts w:asciiTheme="majorBidi" w:hAnsiTheme="majorBidi" w:cstheme="majorBidi"/>
          <w:b/>
          <w:bCs/>
        </w:rPr>
        <w:t>c</w:t>
      </w:r>
      <w:r w:rsidR="001000A9" w:rsidRPr="00871092">
        <w:rPr>
          <w:rFonts w:asciiTheme="majorBidi" w:hAnsiTheme="majorBidi" w:cstheme="majorBidi"/>
          <w:b/>
          <w:bCs/>
        </w:rPr>
        <w:t>lays</w:t>
      </w:r>
    </w:p>
    <w:p w14:paraId="372FCBE8" w14:textId="77777777" w:rsidR="00607CF3" w:rsidRPr="00871092" w:rsidRDefault="00607CF3" w:rsidP="00871092">
      <w:pPr>
        <w:spacing w:after="0" w:line="240" w:lineRule="auto"/>
        <w:jc w:val="center"/>
        <w:rPr>
          <w:rFonts w:asciiTheme="majorBidi" w:hAnsiTheme="majorBidi" w:cstheme="majorBidi"/>
          <w:b/>
          <w:bCs/>
          <w:lang w:val="en-US"/>
        </w:rPr>
      </w:pPr>
    </w:p>
    <w:p w14:paraId="3FAE45AB" w14:textId="5969F1A5" w:rsidR="00607CF3" w:rsidRPr="00871092" w:rsidRDefault="00607CF3" w:rsidP="00556630">
      <w:pPr>
        <w:spacing w:after="0" w:line="240" w:lineRule="auto"/>
        <w:jc w:val="center"/>
        <w:rPr>
          <w:rFonts w:asciiTheme="majorBidi" w:hAnsiTheme="majorBidi" w:cstheme="majorBidi"/>
          <w:color w:val="000000" w:themeColor="text1"/>
        </w:rPr>
      </w:pPr>
      <w:r w:rsidRPr="00871092">
        <w:rPr>
          <w:rFonts w:asciiTheme="majorBidi" w:hAnsiTheme="majorBidi" w:cstheme="majorBidi"/>
          <w:color w:val="000000" w:themeColor="text1"/>
        </w:rPr>
        <w:t>Achraf Harrou</w:t>
      </w:r>
      <w:r w:rsidRPr="00871092">
        <w:rPr>
          <w:rFonts w:asciiTheme="majorBidi" w:hAnsiTheme="majorBidi" w:cstheme="majorBidi"/>
          <w:color w:val="000000" w:themeColor="text1"/>
          <w:vertAlign w:val="superscript"/>
        </w:rPr>
        <w:t>1,2</w:t>
      </w:r>
      <w:r w:rsidRPr="00871092">
        <w:rPr>
          <w:rFonts w:asciiTheme="majorBidi" w:hAnsiTheme="majorBidi" w:cstheme="majorBidi"/>
          <w:color w:val="000000" w:themeColor="text1"/>
        </w:rPr>
        <w:t>,</w:t>
      </w:r>
      <w:r w:rsidRPr="00871092">
        <w:rPr>
          <w:rFonts w:asciiTheme="majorBidi" w:hAnsiTheme="majorBidi" w:cstheme="majorBidi"/>
          <w:color w:val="000000" w:themeColor="text1"/>
          <w:lang w:val="en-US"/>
        </w:rPr>
        <w:t xml:space="preserve"> </w:t>
      </w:r>
      <w:proofErr w:type="spellStart"/>
      <w:r w:rsidRPr="00871092">
        <w:rPr>
          <w:rFonts w:asciiTheme="majorBidi" w:hAnsiTheme="majorBidi" w:cstheme="majorBidi"/>
          <w:color w:val="000000" w:themeColor="text1"/>
          <w:lang w:val="en-US"/>
        </w:rPr>
        <w:t>Abdelouassia</w:t>
      </w:r>
      <w:proofErr w:type="spellEnd"/>
      <w:r w:rsidRPr="00871092">
        <w:rPr>
          <w:rFonts w:asciiTheme="majorBidi" w:hAnsiTheme="majorBidi" w:cstheme="majorBidi"/>
          <w:color w:val="000000" w:themeColor="text1"/>
          <w:lang w:val="en-US"/>
        </w:rPr>
        <w:t xml:space="preserve"> Dira</w:t>
      </w:r>
      <w:r w:rsidR="00160FC0">
        <w:rPr>
          <w:rFonts w:asciiTheme="majorBidi" w:hAnsiTheme="majorBidi" w:cstheme="majorBidi"/>
          <w:color w:val="000000" w:themeColor="text1"/>
          <w:vertAlign w:val="superscript"/>
          <w:lang w:val="en-US"/>
        </w:rPr>
        <w:t>2,3</w:t>
      </w:r>
      <w:r w:rsidRPr="00FE28EB">
        <w:rPr>
          <w:rFonts w:asciiTheme="majorBidi" w:hAnsiTheme="majorBidi" w:cstheme="majorBidi"/>
          <w:color w:val="000000" w:themeColor="text1"/>
          <w:lang w:val="en-US"/>
        </w:rPr>
        <w:t>,</w:t>
      </w:r>
      <w:r w:rsidRPr="00FE28EB">
        <w:rPr>
          <w:rFonts w:asciiTheme="majorBidi" w:hAnsiTheme="majorBidi" w:cstheme="majorBidi"/>
          <w:color w:val="000000" w:themeColor="text1"/>
        </w:rPr>
        <w:t xml:space="preserve"> Marouen Jouini</w:t>
      </w:r>
      <w:r w:rsidR="00160FC0" w:rsidRPr="00FE28EB">
        <w:rPr>
          <w:rFonts w:asciiTheme="majorBidi" w:hAnsiTheme="majorBidi" w:cstheme="majorBidi"/>
          <w:color w:val="000000" w:themeColor="text1"/>
          <w:vertAlign w:val="superscript"/>
        </w:rPr>
        <w:t>1</w:t>
      </w:r>
      <w:r w:rsidRPr="00FE28EB">
        <w:rPr>
          <w:rFonts w:asciiTheme="majorBidi" w:hAnsiTheme="majorBidi" w:cstheme="majorBidi"/>
          <w:color w:val="000000" w:themeColor="text1"/>
        </w:rPr>
        <w:t>, Abdellatif Elghali</w:t>
      </w:r>
      <w:r w:rsidR="00160FC0" w:rsidRPr="00FE28EB">
        <w:rPr>
          <w:rFonts w:asciiTheme="majorBidi" w:hAnsiTheme="majorBidi" w:cstheme="majorBidi"/>
          <w:color w:val="000000" w:themeColor="text1"/>
          <w:vertAlign w:val="superscript"/>
        </w:rPr>
        <w:t>1</w:t>
      </w:r>
      <w:r w:rsidRPr="00FE28EB">
        <w:rPr>
          <w:rFonts w:asciiTheme="majorBidi" w:hAnsiTheme="majorBidi" w:cstheme="majorBidi"/>
          <w:color w:val="000000" w:themeColor="text1"/>
        </w:rPr>
        <w:t xml:space="preserve">, </w:t>
      </w:r>
      <w:r w:rsidR="002E10A5" w:rsidRPr="00FE28EB">
        <w:rPr>
          <w:rFonts w:asciiTheme="majorBidi" w:hAnsiTheme="majorBidi" w:cstheme="majorBidi"/>
          <w:color w:val="000000" w:themeColor="text1"/>
        </w:rPr>
        <w:t>Juan Pedro Bolívar Raya</w:t>
      </w:r>
      <w:r w:rsidR="00160FC0" w:rsidRPr="00FE28EB">
        <w:rPr>
          <w:rFonts w:asciiTheme="majorBidi" w:hAnsiTheme="majorBidi" w:cstheme="majorBidi"/>
          <w:color w:val="000000" w:themeColor="text1"/>
          <w:vertAlign w:val="superscript"/>
        </w:rPr>
        <w:t>4</w:t>
      </w:r>
      <w:r w:rsidR="002E10A5" w:rsidRPr="00FE28EB">
        <w:rPr>
          <w:rFonts w:asciiTheme="majorBidi" w:hAnsiTheme="majorBidi" w:cstheme="majorBidi"/>
          <w:color w:val="000000" w:themeColor="text1"/>
        </w:rPr>
        <w:t xml:space="preserve">, </w:t>
      </w:r>
      <w:r w:rsidR="00055ADC" w:rsidRPr="00FE28EB">
        <w:rPr>
          <w:rFonts w:asciiTheme="majorBidi" w:hAnsiTheme="majorBidi" w:cstheme="majorBidi"/>
          <w:color w:val="000000" w:themeColor="text1"/>
        </w:rPr>
        <w:t>Nathalie Fagel</w:t>
      </w:r>
      <w:r w:rsidR="008F39B1" w:rsidRPr="00FE28EB">
        <w:rPr>
          <w:rFonts w:asciiTheme="majorBidi" w:hAnsiTheme="majorBidi" w:cstheme="majorBidi"/>
          <w:color w:val="000000" w:themeColor="text1"/>
          <w:vertAlign w:val="superscript"/>
        </w:rPr>
        <w:t>5</w:t>
      </w:r>
      <w:r w:rsidR="00055ADC" w:rsidRPr="00FE28EB">
        <w:rPr>
          <w:rFonts w:asciiTheme="majorBidi" w:hAnsiTheme="majorBidi" w:cstheme="majorBidi"/>
          <w:color w:val="000000" w:themeColor="text1"/>
        </w:rPr>
        <w:t>,</w:t>
      </w:r>
      <w:r w:rsidR="00556630" w:rsidRPr="002646A5">
        <w:rPr>
          <w:rFonts w:asciiTheme="majorBidi" w:hAnsiTheme="majorBidi" w:cstheme="majorBidi"/>
          <w:color w:val="000000" w:themeColor="text1"/>
        </w:rPr>
        <w:t xml:space="preserve"> </w:t>
      </w:r>
      <w:r w:rsidR="00556630" w:rsidRPr="00375714">
        <w:rPr>
          <w:rFonts w:asciiTheme="majorBidi" w:hAnsiTheme="majorBidi" w:cstheme="majorBidi"/>
          <w:color w:val="000000" w:themeColor="text1"/>
        </w:rPr>
        <w:t>Meriam El Ouahabi</w:t>
      </w:r>
      <w:r w:rsidR="00556630" w:rsidRPr="00375714">
        <w:rPr>
          <w:rFonts w:asciiTheme="majorBidi" w:hAnsiTheme="majorBidi" w:cstheme="majorBidi"/>
          <w:color w:val="000000" w:themeColor="text1"/>
          <w:vertAlign w:val="superscript"/>
        </w:rPr>
        <w:t>6</w:t>
      </w:r>
      <w:r w:rsidR="00556630" w:rsidRPr="00FE28EB">
        <w:rPr>
          <w:rFonts w:asciiTheme="majorBidi" w:hAnsiTheme="majorBidi" w:cstheme="majorBidi"/>
          <w:color w:val="000000" w:themeColor="text1"/>
        </w:rPr>
        <w:t xml:space="preserve">, </w:t>
      </w:r>
      <w:r w:rsidR="00556630" w:rsidRPr="00FE28EB">
        <w:rPr>
          <w:rFonts w:asciiTheme="majorBidi" w:hAnsiTheme="majorBidi" w:cstheme="majorBidi"/>
          <w:color w:val="000000" w:themeColor="text1"/>
        </w:rPr>
        <w:t xml:space="preserve"> </w:t>
      </w:r>
      <w:r w:rsidRPr="00FE28EB">
        <w:rPr>
          <w:rFonts w:asciiTheme="majorBidi" w:hAnsiTheme="majorBidi" w:cstheme="majorBidi"/>
          <w:color w:val="000000" w:themeColor="text1"/>
        </w:rPr>
        <w:t>El</w:t>
      </w:r>
      <w:r w:rsidR="00BC00D8">
        <w:rPr>
          <w:rFonts w:asciiTheme="majorBidi" w:hAnsiTheme="majorBidi" w:cstheme="majorBidi"/>
          <w:color w:val="000000" w:themeColor="text1"/>
        </w:rPr>
        <w:t xml:space="preserve"> </w:t>
      </w:r>
      <w:r w:rsidRPr="00871092">
        <w:rPr>
          <w:rFonts w:asciiTheme="majorBidi" w:hAnsiTheme="majorBidi" w:cstheme="majorBidi"/>
          <w:color w:val="000000" w:themeColor="text1"/>
        </w:rPr>
        <w:t>Khadir Gharibi</w:t>
      </w:r>
      <w:r w:rsidR="00160FC0">
        <w:rPr>
          <w:rFonts w:asciiTheme="majorBidi" w:hAnsiTheme="majorBidi" w:cstheme="majorBidi"/>
          <w:color w:val="000000" w:themeColor="text1"/>
          <w:vertAlign w:val="superscript"/>
        </w:rPr>
        <w:t>2</w:t>
      </w:r>
      <w:r w:rsidRPr="00871092">
        <w:rPr>
          <w:rFonts w:asciiTheme="majorBidi" w:hAnsiTheme="majorBidi" w:cstheme="majorBidi"/>
          <w:color w:val="000000" w:themeColor="text1"/>
          <w:vertAlign w:val="superscript"/>
        </w:rPr>
        <w:t>,*</w:t>
      </w:r>
    </w:p>
    <w:p w14:paraId="1BB3886A" w14:textId="77777777" w:rsidR="00607CF3" w:rsidRPr="00871092" w:rsidRDefault="00607CF3" w:rsidP="00871092">
      <w:pPr>
        <w:spacing w:after="0" w:line="240" w:lineRule="auto"/>
        <w:jc w:val="both"/>
        <w:rPr>
          <w:rFonts w:asciiTheme="majorBidi" w:hAnsiTheme="majorBidi" w:cstheme="majorBidi"/>
          <w:color w:val="000000" w:themeColor="text1"/>
          <w:vertAlign w:val="superscript"/>
        </w:rPr>
      </w:pPr>
      <w:bookmarkStart w:id="0" w:name="_Hlk168040381"/>
    </w:p>
    <w:p w14:paraId="799435BD" w14:textId="272C13FC" w:rsidR="00607CF3" w:rsidRDefault="00160FC0" w:rsidP="00871092">
      <w:pPr>
        <w:spacing w:after="0" w:line="240" w:lineRule="auto"/>
        <w:jc w:val="both"/>
        <w:rPr>
          <w:rFonts w:asciiTheme="majorBidi" w:hAnsiTheme="majorBidi" w:cstheme="majorBidi"/>
          <w:color w:val="000000" w:themeColor="text1"/>
        </w:rPr>
      </w:pPr>
      <w:r>
        <w:rPr>
          <w:rFonts w:asciiTheme="majorBidi" w:hAnsiTheme="majorBidi" w:cstheme="majorBidi"/>
          <w:color w:val="000000" w:themeColor="text1"/>
          <w:vertAlign w:val="superscript"/>
        </w:rPr>
        <w:t>1</w:t>
      </w:r>
      <w:r w:rsidR="00607CF3" w:rsidRPr="00871092">
        <w:rPr>
          <w:rFonts w:asciiTheme="majorBidi" w:hAnsiTheme="majorBidi" w:cstheme="majorBidi"/>
          <w:color w:val="000000" w:themeColor="text1"/>
        </w:rPr>
        <w:t xml:space="preserve"> Geology and Sustainable Mining Institute (GSMI), Mohammed VI Polytechnic University (UM6P), 43150, </w:t>
      </w:r>
      <w:proofErr w:type="spellStart"/>
      <w:r w:rsidR="00607CF3" w:rsidRPr="00871092">
        <w:rPr>
          <w:rFonts w:asciiTheme="majorBidi" w:hAnsiTheme="majorBidi" w:cstheme="majorBidi"/>
          <w:color w:val="000000" w:themeColor="text1"/>
        </w:rPr>
        <w:t>Benguerir</w:t>
      </w:r>
      <w:proofErr w:type="spellEnd"/>
      <w:r w:rsidR="00607CF3" w:rsidRPr="00871092">
        <w:rPr>
          <w:rFonts w:asciiTheme="majorBidi" w:hAnsiTheme="majorBidi" w:cstheme="majorBidi"/>
          <w:color w:val="000000" w:themeColor="text1"/>
        </w:rPr>
        <w:t>, Morocco</w:t>
      </w:r>
    </w:p>
    <w:p w14:paraId="65E8A03C" w14:textId="74528AF8" w:rsidR="00160FC0" w:rsidRDefault="00160FC0" w:rsidP="00160FC0">
      <w:pPr>
        <w:spacing w:after="0" w:line="240" w:lineRule="auto"/>
        <w:jc w:val="both"/>
        <w:rPr>
          <w:rFonts w:asciiTheme="majorBidi" w:hAnsiTheme="majorBidi" w:cstheme="majorBidi"/>
          <w:color w:val="000000" w:themeColor="text1"/>
        </w:rPr>
      </w:pPr>
      <w:r>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Laboratory of Applied Chemistry and Environment, Faculty of Sciences, Mohammed First University, 60000 Oujda, Morocco </w:t>
      </w:r>
    </w:p>
    <w:p w14:paraId="0711D5C3" w14:textId="39551158" w:rsidR="00160FC0" w:rsidRPr="000E3D8F" w:rsidRDefault="00160FC0" w:rsidP="00160FC0">
      <w:pPr>
        <w:spacing w:after="0" w:line="240" w:lineRule="auto"/>
        <w:jc w:val="both"/>
        <w:rPr>
          <w:rFonts w:asciiTheme="majorBidi" w:hAnsiTheme="majorBidi" w:cstheme="majorBidi"/>
          <w:color w:val="000000" w:themeColor="text1"/>
          <w:lang w:val="es-ES"/>
        </w:rPr>
      </w:pPr>
      <w:r w:rsidRPr="000E3D8F">
        <w:rPr>
          <w:rFonts w:asciiTheme="majorBidi" w:hAnsiTheme="majorBidi" w:cstheme="majorBidi"/>
          <w:color w:val="000000" w:themeColor="text1"/>
          <w:vertAlign w:val="superscript"/>
          <w:lang w:val="es-ES"/>
        </w:rPr>
        <w:t>3</w:t>
      </w:r>
      <w:r w:rsidRPr="000E3D8F">
        <w:rPr>
          <w:rFonts w:asciiTheme="majorBidi" w:hAnsiTheme="majorBidi" w:cstheme="majorBidi"/>
          <w:color w:val="000000" w:themeColor="text1"/>
          <w:lang w:val="es-ES"/>
        </w:rPr>
        <w:t xml:space="preserve"> Materiales Polifuncionales Basados en Carbono (UGR-</w:t>
      </w:r>
      <w:proofErr w:type="spellStart"/>
      <w:r w:rsidRPr="000E3D8F">
        <w:rPr>
          <w:rFonts w:asciiTheme="majorBidi" w:hAnsiTheme="majorBidi" w:cstheme="majorBidi"/>
          <w:color w:val="000000" w:themeColor="text1"/>
          <w:lang w:val="es-ES"/>
        </w:rPr>
        <w:t>Carbon</w:t>
      </w:r>
      <w:proofErr w:type="spellEnd"/>
      <w:r w:rsidRPr="000E3D8F">
        <w:rPr>
          <w:rFonts w:asciiTheme="majorBidi" w:hAnsiTheme="majorBidi" w:cstheme="majorBidi"/>
          <w:color w:val="000000" w:themeColor="text1"/>
          <w:lang w:val="es-ES"/>
        </w:rPr>
        <w:t xml:space="preserve">), Dpto. Química </w:t>
      </w:r>
      <w:proofErr w:type="spellStart"/>
      <w:r w:rsidRPr="000E3D8F">
        <w:rPr>
          <w:rFonts w:asciiTheme="majorBidi" w:hAnsiTheme="majorBidi" w:cstheme="majorBidi"/>
          <w:color w:val="000000" w:themeColor="text1"/>
          <w:lang w:val="es-ES"/>
        </w:rPr>
        <w:t>Inorganica</w:t>
      </w:r>
      <w:proofErr w:type="spellEnd"/>
      <w:r w:rsidRPr="000E3D8F">
        <w:rPr>
          <w:rFonts w:asciiTheme="majorBidi" w:hAnsiTheme="majorBidi" w:cstheme="majorBidi"/>
          <w:color w:val="000000" w:themeColor="text1"/>
          <w:lang w:val="es-ES"/>
        </w:rPr>
        <w:t xml:space="preserve"> - Unidad de Excelencia Química Aplicada a Biomedicina y Medioambiente - Universidad de Granada (UEQ-UGR), Granada ES18071, España.</w:t>
      </w:r>
    </w:p>
    <w:p w14:paraId="3B355EB3" w14:textId="1DAA31A0" w:rsidR="002E10A5" w:rsidRDefault="00160FC0" w:rsidP="00871092">
      <w:pPr>
        <w:spacing w:after="0" w:line="240" w:lineRule="auto"/>
        <w:jc w:val="both"/>
        <w:rPr>
          <w:rFonts w:asciiTheme="majorBidi" w:hAnsiTheme="majorBidi" w:cstheme="majorBidi"/>
          <w:color w:val="000000" w:themeColor="text1"/>
        </w:rPr>
      </w:pPr>
      <w:r>
        <w:rPr>
          <w:rFonts w:asciiTheme="majorBidi" w:hAnsiTheme="majorBidi" w:cstheme="majorBidi"/>
          <w:color w:val="000000" w:themeColor="text1"/>
          <w:vertAlign w:val="superscript"/>
        </w:rPr>
        <w:t>4</w:t>
      </w:r>
      <w:r w:rsidR="002E10A5">
        <w:rPr>
          <w:rFonts w:asciiTheme="majorBidi" w:hAnsiTheme="majorBidi" w:cstheme="majorBidi"/>
          <w:color w:val="000000" w:themeColor="text1"/>
        </w:rPr>
        <w:t xml:space="preserve"> </w:t>
      </w:r>
      <w:r w:rsidR="002E10A5" w:rsidRPr="002E10A5">
        <w:rPr>
          <w:rFonts w:asciiTheme="majorBidi" w:hAnsiTheme="majorBidi" w:cstheme="majorBidi"/>
          <w:color w:val="000000" w:themeColor="text1"/>
        </w:rPr>
        <w:t>Center On Natural Resources, Health and the Environment (RENSMA), University of Huelva, 21071, Huelva, Spain</w:t>
      </w:r>
    </w:p>
    <w:p w14:paraId="6EFF1E23" w14:textId="26931BA9" w:rsidR="00160FC0" w:rsidRDefault="00160FC0" w:rsidP="00871092">
      <w:pPr>
        <w:spacing w:after="0" w:line="240" w:lineRule="auto"/>
        <w:jc w:val="both"/>
        <w:rPr>
          <w:rFonts w:asciiTheme="majorBidi" w:hAnsiTheme="majorBidi" w:cstheme="majorBidi"/>
          <w:color w:val="000000" w:themeColor="text1"/>
          <w:lang w:val="fr-BE"/>
        </w:rPr>
      </w:pPr>
      <w:r w:rsidRPr="000F084C">
        <w:rPr>
          <w:rFonts w:asciiTheme="majorBidi" w:hAnsiTheme="majorBidi" w:cstheme="majorBidi"/>
          <w:color w:val="000000" w:themeColor="text1"/>
          <w:vertAlign w:val="superscript"/>
          <w:lang w:val="fr-BE"/>
        </w:rPr>
        <w:t>5</w:t>
      </w:r>
      <w:r w:rsidR="008F39B1" w:rsidRPr="000F084C">
        <w:rPr>
          <w:rFonts w:asciiTheme="majorBidi" w:hAnsiTheme="majorBidi" w:cstheme="majorBidi"/>
          <w:color w:val="000000" w:themeColor="text1"/>
          <w:lang w:val="fr-BE"/>
        </w:rPr>
        <w:t xml:space="preserve"> Laboratoire Argiles, Géochimie et </w:t>
      </w:r>
      <w:r w:rsidR="001000A9" w:rsidRPr="000F084C">
        <w:rPr>
          <w:rFonts w:asciiTheme="majorBidi" w:hAnsiTheme="majorBidi" w:cstheme="majorBidi"/>
          <w:color w:val="000000" w:themeColor="text1"/>
          <w:lang w:val="fr-BE"/>
        </w:rPr>
        <w:t>Environ</w:t>
      </w:r>
      <w:r w:rsidR="001000A9">
        <w:rPr>
          <w:rFonts w:asciiTheme="majorBidi" w:hAnsiTheme="majorBidi" w:cstheme="majorBidi"/>
          <w:color w:val="000000" w:themeColor="text1"/>
          <w:lang w:val="fr-BE"/>
        </w:rPr>
        <w:t>n</w:t>
      </w:r>
      <w:r w:rsidR="001000A9" w:rsidRPr="000F084C">
        <w:rPr>
          <w:rFonts w:asciiTheme="majorBidi" w:hAnsiTheme="majorBidi" w:cstheme="majorBidi"/>
          <w:color w:val="000000" w:themeColor="text1"/>
          <w:lang w:val="fr-BE"/>
        </w:rPr>
        <w:t>ement</w:t>
      </w:r>
      <w:r w:rsidR="008F39B1" w:rsidRPr="000F084C">
        <w:rPr>
          <w:rFonts w:asciiTheme="majorBidi" w:hAnsiTheme="majorBidi" w:cstheme="majorBidi"/>
          <w:color w:val="000000" w:themeColor="text1"/>
          <w:lang w:val="fr-BE"/>
        </w:rPr>
        <w:t xml:space="preserve"> </w:t>
      </w:r>
      <w:r w:rsidR="00BC00D8" w:rsidRPr="000F084C">
        <w:rPr>
          <w:rFonts w:asciiTheme="majorBidi" w:hAnsiTheme="majorBidi" w:cstheme="majorBidi"/>
          <w:color w:val="000000" w:themeColor="text1"/>
          <w:lang w:val="fr-BE"/>
        </w:rPr>
        <w:t>s</w:t>
      </w:r>
      <w:r w:rsidR="00BC00D8">
        <w:rPr>
          <w:rFonts w:asciiTheme="majorBidi" w:hAnsiTheme="majorBidi" w:cstheme="majorBidi"/>
          <w:color w:val="000000" w:themeColor="text1"/>
          <w:lang w:val="fr-BE"/>
        </w:rPr>
        <w:t>é</w:t>
      </w:r>
      <w:r w:rsidR="00BC00D8" w:rsidRPr="000F084C">
        <w:rPr>
          <w:rFonts w:asciiTheme="majorBidi" w:hAnsiTheme="majorBidi" w:cstheme="majorBidi"/>
          <w:color w:val="000000" w:themeColor="text1"/>
          <w:lang w:val="fr-BE"/>
        </w:rPr>
        <w:t xml:space="preserve">dimentaires </w:t>
      </w:r>
      <w:r w:rsidR="008F39B1" w:rsidRPr="000F084C">
        <w:rPr>
          <w:rFonts w:asciiTheme="majorBidi" w:hAnsiTheme="majorBidi" w:cstheme="majorBidi"/>
          <w:color w:val="000000" w:themeColor="text1"/>
          <w:lang w:val="fr-BE"/>
        </w:rPr>
        <w:t>(</w:t>
      </w:r>
      <w:proofErr w:type="spellStart"/>
      <w:r w:rsidR="008F39B1" w:rsidRPr="000F084C">
        <w:rPr>
          <w:rFonts w:asciiTheme="majorBidi" w:hAnsiTheme="majorBidi" w:cstheme="majorBidi"/>
          <w:color w:val="000000" w:themeColor="text1"/>
          <w:lang w:val="fr-BE"/>
        </w:rPr>
        <w:t>AGEs</w:t>
      </w:r>
      <w:proofErr w:type="spellEnd"/>
      <w:r w:rsidR="008F39B1" w:rsidRPr="000F084C">
        <w:rPr>
          <w:rFonts w:asciiTheme="majorBidi" w:hAnsiTheme="majorBidi" w:cstheme="majorBidi"/>
          <w:color w:val="000000" w:themeColor="text1"/>
          <w:lang w:val="fr-BE"/>
        </w:rPr>
        <w:t>), Département de Géologie,</w:t>
      </w:r>
      <w:r w:rsidR="001000A9" w:rsidRPr="001000A9">
        <w:rPr>
          <w:rFonts w:asciiTheme="majorBidi" w:hAnsiTheme="majorBidi" w:cstheme="majorBidi"/>
          <w:color w:val="000000" w:themeColor="text1"/>
          <w:lang w:val="fr-BE"/>
        </w:rPr>
        <w:t xml:space="preserve"> </w:t>
      </w:r>
      <w:r w:rsidR="001000A9" w:rsidRPr="000F084C">
        <w:rPr>
          <w:rFonts w:asciiTheme="majorBidi" w:hAnsiTheme="majorBidi" w:cstheme="majorBidi"/>
          <w:color w:val="000000" w:themeColor="text1"/>
          <w:lang w:val="fr-BE"/>
        </w:rPr>
        <w:t>Université de Liège</w:t>
      </w:r>
      <w:r w:rsidR="001000A9">
        <w:rPr>
          <w:rFonts w:asciiTheme="majorBidi" w:hAnsiTheme="majorBidi" w:cstheme="majorBidi"/>
          <w:color w:val="000000" w:themeColor="text1"/>
          <w:lang w:val="fr-BE"/>
        </w:rPr>
        <w:t xml:space="preserve">, </w:t>
      </w:r>
      <w:r w:rsidR="008F39B1" w:rsidRPr="000F084C">
        <w:rPr>
          <w:rFonts w:asciiTheme="majorBidi" w:hAnsiTheme="majorBidi" w:cstheme="majorBidi"/>
          <w:color w:val="000000" w:themeColor="text1"/>
          <w:lang w:val="fr-BE"/>
        </w:rPr>
        <w:t xml:space="preserve">Quartier Agora, Bâtiment, B18, Allée du </w:t>
      </w:r>
      <w:r w:rsidR="001000A9">
        <w:rPr>
          <w:rFonts w:asciiTheme="majorBidi" w:hAnsiTheme="majorBidi" w:cstheme="majorBidi"/>
          <w:color w:val="000000" w:themeColor="text1"/>
          <w:lang w:val="fr-BE"/>
        </w:rPr>
        <w:t>6</w:t>
      </w:r>
      <w:r w:rsidR="001000A9" w:rsidRPr="000F084C">
        <w:rPr>
          <w:rFonts w:asciiTheme="majorBidi" w:hAnsiTheme="majorBidi" w:cstheme="majorBidi"/>
          <w:color w:val="000000" w:themeColor="text1"/>
          <w:lang w:val="fr-BE"/>
        </w:rPr>
        <w:t xml:space="preserve"> </w:t>
      </w:r>
      <w:r w:rsidR="008F39B1" w:rsidRPr="000F084C">
        <w:rPr>
          <w:rFonts w:asciiTheme="majorBidi" w:hAnsiTheme="majorBidi" w:cstheme="majorBidi"/>
          <w:color w:val="000000" w:themeColor="text1"/>
          <w:lang w:val="fr-BE"/>
        </w:rPr>
        <w:t>Août, 14, Sart-</w:t>
      </w:r>
      <w:proofErr w:type="spellStart"/>
      <w:r w:rsidR="008F39B1" w:rsidRPr="000F084C">
        <w:rPr>
          <w:rFonts w:asciiTheme="majorBidi" w:hAnsiTheme="majorBidi" w:cstheme="majorBidi"/>
          <w:color w:val="000000" w:themeColor="text1"/>
          <w:lang w:val="fr-BE"/>
        </w:rPr>
        <w:t>Tilman</w:t>
      </w:r>
      <w:proofErr w:type="spellEnd"/>
      <w:r w:rsidR="008F39B1" w:rsidRPr="000F084C">
        <w:rPr>
          <w:rFonts w:asciiTheme="majorBidi" w:hAnsiTheme="majorBidi" w:cstheme="majorBidi"/>
          <w:color w:val="000000" w:themeColor="text1"/>
          <w:lang w:val="fr-BE"/>
        </w:rPr>
        <w:t>, B-4000 Liège,</w:t>
      </w:r>
      <w:r w:rsidR="008F39B1" w:rsidRPr="000F084C">
        <w:rPr>
          <w:rFonts w:asciiTheme="majorBidi" w:hAnsiTheme="majorBidi" w:cstheme="majorBidi"/>
          <w:color w:val="000000" w:themeColor="text1"/>
          <w:lang w:val="fr-BE"/>
        </w:rPr>
        <w:cr/>
      </w:r>
      <w:proofErr w:type="spellStart"/>
      <w:r w:rsidR="008F39B1" w:rsidRPr="000F084C">
        <w:rPr>
          <w:rFonts w:asciiTheme="majorBidi" w:hAnsiTheme="majorBidi" w:cstheme="majorBidi"/>
          <w:color w:val="000000" w:themeColor="text1"/>
          <w:lang w:val="fr-BE"/>
        </w:rPr>
        <w:t>Belgium</w:t>
      </w:r>
      <w:proofErr w:type="spellEnd"/>
    </w:p>
    <w:p w14:paraId="52069670" w14:textId="64715A02" w:rsidR="00556630" w:rsidRPr="00556630" w:rsidRDefault="00556630" w:rsidP="00556630">
      <w:pPr>
        <w:spacing w:after="0" w:line="240" w:lineRule="auto"/>
        <w:jc w:val="both"/>
        <w:rPr>
          <w:rFonts w:asciiTheme="majorBidi" w:hAnsiTheme="majorBidi" w:cstheme="majorBidi"/>
          <w:color w:val="000000" w:themeColor="text1"/>
          <w:lang w:val="fr-BE"/>
        </w:rPr>
      </w:pPr>
      <w:r w:rsidRPr="00375714">
        <w:rPr>
          <w:rFonts w:asciiTheme="majorBidi" w:hAnsiTheme="majorBidi" w:cstheme="majorBidi"/>
          <w:color w:val="000000" w:themeColor="text1"/>
          <w:vertAlign w:val="superscript"/>
          <w:lang w:val="fr-BE"/>
        </w:rPr>
        <w:t>6</w:t>
      </w:r>
      <w:r>
        <w:rPr>
          <w:rFonts w:asciiTheme="majorBidi" w:hAnsiTheme="majorBidi" w:cstheme="majorBidi"/>
          <w:color w:val="000000" w:themeColor="text1"/>
          <w:lang w:val="fr-BE"/>
        </w:rPr>
        <w:t xml:space="preserve"> </w:t>
      </w:r>
      <w:r w:rsidRPr="00375714">
        <w:rPr>
          <w:rFonts w:asciiTheme="majorBidi" w:hAnsiTheme="majorBidi" w:cstheme="majorBidi"/>
          <w:color w:val="000000" w:themeColor="text1"/>
          <w:lang w:val="fr-BE"/>
        </w:rPr>
        <w:t xml:space="preserve">UR. Art, Archéologie et Patrimoine (AAP), Université de Liège, Liège, </w:t>
      </w:r>
      <w:proofErr w:type="spellStart"/>
      <w:r w:rsidRPr="00375714">
        <w:rPr>
          <w:rFonts w:asciiTheme="majorBidi" w:hAnsiTheme="majorBidi" w:cstheme="majorBidi"/>
          <w:color w:val="000000" w:themeColor="text1"/>
          <w:lang w:val="fr-BE"/>
        </w:rPr>
        <w:t>Belgium</w:t>
      </w:r>
      <w:proofErr w:type="spellEnd"/>
    </w:p>
    <w:p w14:paraId="03352124" w14:textId="77777777" w:rsidR="00607CF3" w:rsidRPr="000F084C" w:rsidRDefault="00607CF3" w:rsidP="00871092">
      <w:pPr>
        <w:spacing w:after="0" w:line="240" w:lineRule="auto"/>
        <w:rPr>
          <w:rFonts w:asciiTheme="majorBidi" w:hAnsiTheme="majorBidi" w:cstheme="majorBidi"/>
          <w:color w:val="000000" w:themeColor="text1"/>
          <w:lang w:val="fr-BE"/>
        </w:rPr>
      </w:pPr>
    </w:p>
    <w:bookmarkEnd w:id="0"/>
    <w:p w14:paraId="28451FAC" w14:textId="24FB1BFE"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Cambria Math" w:hAnsi="Cambria Math" w:cs="Cambria Math"/>
          <w:color w:val="000000" w:themeColor="text1"/>
          <w:vertAlign w:val="superscript"/>
        </w:rPr>
        <w:t>∗</w:t>
      </w:r>
      <w:r w:rsidRPr="00871092">
        <w:rPr>
          <w:rFonts w:asciiTheme="majorBidi" w:hAnsiTheme="majorBidi" w:cstheme="majorBidi"/>
          <w:color w:val="000000" w:themeColor="text1"/>
        </w:rPr>
        <w:t xml:space="preserve">Corresponding author: </w:t>
      </w:r>
      <w:hyperlink r:id="rId8" w:history="1">
        <w:r w:rsidR="00924DB4" w:rsidRPr="000F084C">
          <w:rPr>
            <w:rStyle w:val="Lienhypertexte"/>
            <w:rFonts w:asciiTheme="majorBidi" w:hAnsiTheme="majorBidi" w:cstheme="majorBidi"/>
          </w:rPr>
          <w:t>gharibi_elkhadir@yahoo.fr</w:t>
        </w:r>
      </w:hyperlink>
      <w:r w:rsidR="00375714">
        <w:rPr>
          <w:rFonts w:asciiTheme="majorBidi" w:hAnsiTheme="majorBidi" w:cstheme="majorBidi"/>
          <w:color w:val="000000" w:themeColor="text1"/>
        </w:rPr>
        <w:t xml:space="preserve">, </w:t>
      </w:r>
      <w:hyperlink r:id="rId9" w:history="1">
        <w:r w:rsidR="00D26413" w:rsidRPr="008940BC">
          <w:rPr>
            <w:rStyle w:val="Lienhypertexte"/>
            <w:rFonts w:asciiTheme="majorBidi" w:hAnsiTheme="majorBidi" w:cstheme="majorBidi"/>
          </w:rPr>
          <w:t>Harrou201@gmail.com</w:t>
        </w:r>
      </w:hyperlink>
      <w:r w:rsidR="00D26413">
        <w:rPr>
          <w:rFonts w:asciiTheme="majorBidi" w:hAnsiTheme="majorBidi" w:cstheme="majorBidi"/>
          <w:color w:val="000000" w:themeColor="text1"/>
        </w:rPr>
        <w:t xml:space="preserve"> </w:t>
      </w:r>
    </w:p>
    <w:p w14:paraId="7EDCC8CC" w14:textId="77777777" w:rsidR="00607CF3" w:rsidRPr="00871092" w:rsidRDefault="00607CF3" w:rsidP="00871092">
      <w:pPr>
        <w:spacing w:after="0" w:line="240" w:lineRule="auto"/>
        <w:jc w:val="both"/>
        <w:rPr>
          <w:rFonts w:asciiTheme="majorBidi" w:hAnsiTheme="majorBidi" w:cstheme="majorBidi"/>
          <w:color w:val="000000" w:themeColor="text1"/>
        </w:rPr>
      </w:pPr>
    </w:p>
    <w:p w14:paraId="77103D9B" w14:textId="77777777" w:rsidR="00607CF3" w:rsidRPr="00871092" w:rsidRDefault="00607CF3" w:rsidP="00871092">
      <w:pPr>
        <w:spacing w:after="0" w:line="240" w:lineRule="auto"/>
        <w:rPr>
          <w:rFonts w:asciiTheme="majorBidi" w:hAnsiTheme="majorBidi" w:cstheme="majorBidi"/>
          <w:color w:val="000000" w:themeColor="text1"/>
        </w:rPr>
      </w:pPr>
      <w:r w:rsidRPr="00871092">
        <w:rPr>
          <w:rFonts w:asciiTheme="majorBidi" w:hAnsiTheme="majorBidi" w:cstheme="majorBidi"/>
          <w:b/>
          <w:bCs/>
          <w:color w:val="000000" w:themeColor="text1"/>
        </w:rPr>
        <w:t>Abstract</w:t>
      </w:r>
    </w:p>
    <w:p w14:paraId="3760D112" w14:textId="7F9ADD71" w:rsidR="00843A96" w:rsidRPr="00871092" w:rsidRDefault="00843A96" w:rsidP="00871092">
      <w:pPr>
        <w:spacing w:after="0" w:line="240" w:lineRule="auto"/>
        <w:jc w:val="both"/>
        <w:rPr>
          <w:rFonts w:asciiTheme="majorBidi" w:hAnsiTheme="majorBidi" w:cstheme="majorBidi"/>
          <w:color w:val="000000" w:themeColor="text1"/>
        </w:rPr>
      </w:pPr>
      <w:r w:rsidRPr="000E3D8F">
        <w:rPr>
          <w:rFonts w:asciiTheme="majorBidi" w:hAnsiTheme="majorBidi" w:cstheme="majorBidi"/>
          <w:color w:val="000000" w:themeColor="text1"/>
        </w:rPr>
        <w:t>T</w:t>
      </w:r>
      <w:r w:rsidR="00B93FB1" w:rsidRPr="000E3D8F">
        <w:rPr>
          <w:rFonts w:asciiTheme="majorBidi" w:hAnsiTheme="majorBidi" w:cstheme="majorBidi"/>
          <w:color w:val="000000" w:themeColor="text1"/>
        </w:rPr>
        <w:t>his</w:t>
      </w:r>
      <w:r w:rsidRPr="000E3D8F">
        <w:rPr>
          <w:rFonts w:asciiTheme="majorBidi" w:hAnsiTheme="majorBidi" w:cstheme="majorBidi"/>
          <w:color w:val="000000" w:themeColor="text1"/>
        </w:rPr>
        <w:t xml:space="preserve"> study</w:t>
      </w:r>
      <w:r w:rsidR="00B93FB1" w:rsidRPr="000E3D8F">
        <w:rPr>
          <w:rFonts w:asciiTheme="majorBidi" w:hAnsiTheme="majorBidi" w:cstheme="majorBidi"/>
          <w:color w:val="000000" w:themeColor="text1"/>
        </w:rPr>
        <w:t xml:space="preserve"> </w:t>
      </w:r>
      <w:r w:rsidR="001000A9" w:rsidRPr="00576927">
        <w:rPr>
          <w:rFonts w:asciiTheme="majorBidi" w:hAnsiTheme="majorBidi" w:cstheme="majorBidi"/>
          <w:color w:val="000000" w:themeColor="text1"/>
        </w:rPr>
        <w:t xml:space="preserve">aims </w:t>
      </w:r>
      <w:r w:rsidR="00B93FB1" w:rsidRPr="00576927">
        <w:rPr>
          <w:rFonts w:asciiTheme="majorBidi" w:hAnsiTheme="majorBidi" w:cstheme="majorBidi"/>
          <w:color w:val="000000" w:themeColor="text1"/>
        </w:rPr>
        <w:t>to</w:t>
      </w:r>
      <w:r w:rsidRPr="00576927">
        <w:rPr>
          <w:rFonts w:asciiTheme="majorBidi" w:hAnsiTheme="majorBidi" w:cstheme="majorBidi"/>
          <w:color w:val="000000" w:themeColor="text1"/>
        </w:rPr>
        <w:t xml:space="preserve"> investigate the mineralogical control on the leaching of Potentially Toxic Elements </w:t>
      </w:r>
      <w:r w:rsidRPr="000E3D8F">
        <w:rPr>
          <w:rFonts w:asciiTheme="majorBidi" w:hAnsiTheme="majorBidi" w:cstheme="majorBidi"/>
          <w:color w:val="000000" w:themeColor="text1"/>
        </w:rPr>
        <w:t>(PTEs</w:t>
      </w:r>
      <w:r w:rsidR="00B93FB1" w:rsidRPr="000E3D8F">
        <w:rPr>
          <w:rFonts w:asciiTheme="majorBidi" w:hAnsiTheme="majorBidi" w:cstheme="majorBidi"/>
          <w:color w:val="000000" w:themeColor="text1"/>
        </w:rPr>
        <w:t xml:space="preserve">: </w:t>
      </w:r>
      <w:r w:rsidR="00E87B88" w:rsidRPr="000E3D8F">
        <w:rPr>
          <w:rFonts w:asciiTheme="majorBidi" w:hAnsiTheme="majorBidi" w:cstheme="majorBidi"/>
          <w:color w:val="000000" w:themeColor="text1"/>
        </w:rPr>
        <w:t>Ag, As, Cd, Co, Cr, Cu, Li, Mn, Mo, Ni, Pb, Se, Sn, V, Zn</w:t>
      </w:r>
      <w:r w:rsidRPr="000E3D8F">
        <w:rPr>
          <w:rFonts w:asciiTheme="majorBidi" w:hAnsiTheme="majorBidi" w:cstheme="majorBidi"/>
          <w:color w:val="000000" w:themeColor="text1"/>
        </w:rPr>
        <w:t>)</w:t>
      </w:r>
      <w:r w:rsidRPr="00576927">
        <w:rPr>
          <w:rFonts w:asciiTheme="majorBidi" w:hAnsiTheme="majorBidi" w:cstheme="majorBidi"/>
          <w:color w:val="000000" w:themeColor="text1"/>
        </w:rPr>
        <w:t xml:space="preserve"> and radionuclides</w:t>
      </w:r>
      <w:r w:rsidR="006A24D8" w:rsidRPr="00576927">
        <w:rPr>
          <w:rFonts w:asciiTheme="majorBidi" w:hAnsiTheme="majorBidi" w:cstheme="majorBidi"/>
          <w:color w:val="000000" w:themeColor="text1"/>
        </w:rPr>
        <w:t xml:space="preserve"> </w:t>
      </w:r>
      <w:r w:rsidR="006A24D8" w:rsidRPr="000E3D8F">
        <w:rPr>
          <w:rFonts w:asciiTheme="majorBidi" w:hAnsiTheme="majorBidi" w:cstheme="majorBidi"/>
          <w:color w:val="000000" w:themeColor="text1"/>
        </w:rPr>
        <w:t>(Po, U, Th, Ra)</w:t>
      </w:r>
      <w:r w:rsidR="006A24D8" w:rsidRPr="00576927">
        <w:rPr>
          <w:rFonts w:asciiTheme="majorBidi" w:hAnsiTheme="majorBidi" w:cstheme="majorBidi"/>
          <w:color w:val="000000" w:themeColor="text1"/>
        </w:rPr>
        <w:t xml:space="preserve"> </w:t>
      </w:r>
      <w:r w:rsidRPr="00576927">
        <w:rPr>
          <w:rFonts w:asciiTheme="majorBidi" w:hAnsiTheme="majorBidi" w:cstheme="majorBidi"/>
          <w:color w:val="000000" w:themeColor="text1"/>
        </w:rPr>
        <w:t xml:space="preserve">from three </w:t>
      </w:r>
      <w:r w:rsidR="001000A9" w:rsidRPr="00576927">
        <w:rPr>
          <w:rFonts w:asciiTheme="majorBidi" w:hAnsiTheme="majorBidi" w:cstheme="majorBidi"/>
          <w:color w:val="000000" w:themeColor="text1"/>
        </w:rPr>
        <w:t xml:space="preserve">raw </w:t>
      </w:r>
      <w:r w:rsidRPr="00576927">
        <w:rPr>
          <w:rFonts w:asciiTheme="majorBidi" w:hAnsiTheme="majorBidi" w:cstheme="majorBidi"/>
          <w:color w:val="000000" w:themeColor="text1"/>
        </w:rPr>
        <w:t xml:space="preserve">Moroccan clays: a montmorillonite-rich bentonite, </w:t>
      </w:r>
      <w:r w:rsidR="001000A9" w:rsidRPr="00576927">
        <w:rPr>
          <w:rFonts w:asciiTheme="majorBidi" w:hAnsiTheme="majorBidi" w:cstheme="majorBidi"/>
          <w:color w:val="000000" w:themeColor="text1"/>
        </w:rPr>
        <w:t>a</w:t>
      </w:r>
      <w:r w:rsidRPr="00576927">
        <w:rPr>
          <w:rFonts w:asciiTheme="majorBidi" w:hAnsiTheme="majorBidi" w:cstheme="majorBidi"/>
          <w:color w:val="000000" w:themeColor="text1"/>
        </w:rPr>
        <w:t xml:space="preserve"> kaolin, and </w:t>
      </w:r>
      <w:r w:rsidR="001000A9" w:rsidRPr="00576927">
        <w:rPr>
          <w:rFonts w:asciiTheme="majorBidi" w:hAnsiTheme="majorBidi" w:cstheme="majorBidi"/>
          <w:color w:val="000000" w:themeColor="text1"/>
        </w:rPr>
        <w:t xml:space="preserve">a </w:t>
      </w:r>
      <w:proofErr w:type="spellStart"/>
      <w:r w:rsidRPr="00576927">
        <w:rPr>
          <w:rFonts w:asciiTheme="majorBidi" w:hAnsiTheme="majorBidi" w:cstheme="majorBidi"/>
          <w:color w:val="000000" w:themeColor="text1"/>
        </w:rPr>
        <w:t>stevensite</w:t>
      </w:r>
      <w:proofErr w:type="spellEnd"/>
      <w:r w:rsidRPr="00576927">
        <w:rPr>
          <w:rFonts w:asciiTheme="majorBidi" w:hAnsiTheme="majorBidi" w:cstheme="majorBidi"/>
          <w:color w:val="000000" w:themeColor="text1"/>
        </w:rPr>
        <w:t xml:space="preserve">-rich </w:t>
      </w:r>
      <w:proofErr w:type="spellStart"/>
      <w:r w:rsidRPr="00576927">
        <w:rPr>
          <w:rFonts w:asciiTheme="majorBidi" w:hAnsiTheme="majorBidi" w:cstheme="majorBidi"/>
          <w:color w:val="000000" w:themeColor="text1"/>
        </w:rPr>
        <w:t>ghassoul</w:t>
      </w:r>
      <w:proofErr w:type="spellEnd"/>
      <w:r w:rsidR="001000A9" w:rsidRPr="00576927">
        <w:rPr>
          <w:rFonts w:asciiTheme="majorBidi" w:hAnsiTheme="majorBidi" w:cstheme="majorBidi"/>
          <w:color w:val="000000" w:themeColor="text1"/>
        </w:rPr>
        <w:t>.</w:t>
      </w:r>
      <w:r w:rsidR="00D96C12">
        <w:rPr>
          <w:rFonts w:asciiTheme="majorBidi" w:hAnsiTheme="majorBidi" w:cstheme="majorBidi"/>
          <w:color w:val="000000" w:themeColor="text1"/>
        </w:rPr>
        <w:t xml:space="preserve"> </w:t>
      </w:r>
      <w:r w:rsidR="00B938DA" w:rsidRPr="00871092">
        <w:rPr>
          <w:rFonts w:asciiTheme="majorBidi" w:hAnsiTheme="majorBidi" w:cstheme="majorBidi"/>
          <w:color w:val="000000" w:themeColor="text1"/>
        </w:rPr>
        <w:t>A</w:t>
      </w:r>
      <w:r w:rsidR="00D96C12">
        <w:rPr>
          <w:rFonts w:asciiTheme="majorBidi" w:hAnsiTheme="majorBidi" w:cstheme="majorBidi"/>
          <w:color w:val="000000" w:themeColor="text1"/>
        </w:rPr>
        <w:t xml:space="preserve"> </w:t>
      </w:r>
      <w:r w:rsidR="00B938DA">
        <w:rPr>
          <w:rFonts w:asciiTheme="majorBidi" w:hAnsiTheme="majorBidi" w:cstheme="majorBidi"/>
          <w:color w:val="000000" w:themeColor="text1"/>
        </w:rPr>
        <w:t>multidisciplinary</w:t>
      </w:r>
      <w:r w:rsidR="00B938DA" w:rsidRPr="00871092">
        <w:rPr>
          <w:rFonts w:asciiTheme="majorBidi" w:hAnsiTheme="majorBidi" w:cstheme="majorBidi"/>
          <w:color w:val="000000" w:themeColor="text1"/>
        </w:rPr>
        <w:t xml:space="preserve"> methodology</w:t>
      </w:r>
      <w:r w:rsidR="00700239" w:rsidRPr="00576927">
        <w:rPr>
          <w:rFonts w:asciiTheme="majorBidi" w:hAnsiTheme="majorBidi" w:cstheme="majorBidi"/>
          <w:color w:val="000000" w:themeColor="text1"/>
        </w:rPr>
        <w:t xml:space="preserve"> </w:t>
      </w:r>
      <w:r w:rsidR="001000A9" w:rsidRPr="00576927">
        <w:rPr>
          <w:rFonts w:asciiTheme="majorBidi" w:hAnsiTheme="majorBidi" w:cstheme="majorBidi"/>
          <w:color w:val="000000" w:themeColor="text1"/>
        </w:rPr>
        <w:t xml:space="preserve">combines </w:t>
      </w:r>
      <w:r w:rsidR="00700239" w:rsidRPr="00576927">
        <w:rPr>
          <w:rFonts w:asciiTheme="majorBidi" w:hAnsiTheme="majorBidi" w:cstheme="majorBidi"/>
          <w:color w:val="000000" w:themeColor="text1"/>
        </w:rPr>
        <w:t>mineralogical (XRD), chemical (XRF</w:t>
      </w:r>
      <w:r w:rsidR="00D96C12">
        <w:rPr>
          <w:rFonts w:asciiTheme="majorBidi" w:hAnsiTheme="majorBidi" w:cstheme="majorBidi"/>
          <w:color w:val="000000" w:themeColor="text1"/>
        </w:rPr>
        <w:t>, ICP/OES</w:t>
      </w:r>
      <w:r w:rsidR="00700239" w:rsidRPr="00576927">
        <w:rPr>
          <w:rFonts w:asciiTheme="majorBidi" w:hAnsiTheme="majorBidi" w:cstheme="majorBidi"/>
          <w:color w:val="000000" w:themeColor="text1"/>
        </w:rPr>
        <w:t>)</w:t>
      </w:r>
      <w:r w:rsidR="006C7FB8" w:rsidRPr="00576927">
        <w:rPr>
          <w:rFonts w:asciiTheme="majorBidi" w:hAnsiTheme="majorBidi" w:cstheme="majorBidi"/>
          <w:color w:val="000000" w:themeColor="text1"/>
        </w:rPr>
        <w:t xml:space="preserve">, </w:t>
      </w:r>
      <w:r w:rsidR="006C7FB8" w:rsidRPr="000E3D8F">
        <w:rPr>
          <w:rFonts w:asciiTheme="majorBidi" w:hAnsiTheme="majorBidi" w:cstheme="majorBidi"/>
          <w:color w:val="000000" w:themeColor="text1"/>
        </w:rPr>
        <w:t>radioactivity</w:t>
      </w:r>
      <w:r w:rsidR="00500C6A" w:rsidRPr="000E3D8F">
        <w:rPr>
          <w:rFonts w:asciiTheme="majorBidi" w:hAnsiTheme="majorBidi" w:cstheme="majorBidi"/>
          <w:color w:val="000000" w:themeColor="text1"/>
        </w:rPr>
        <w:t xml:space="preserve"> </w:t>
      </w:r>
      <w:r w:rsidR="006C7FB8" w:rsidRPr="000E3D8F">
        <w:rPr>
          <w:rFonts w:asciiTheme="majorBidi" w:hAnsiTheme="majorBidi" w:cstheme="majorBidi"/>
          <w:color w:val="000000" w:themeColor="text1"/>
        </w:rPr>
        <w:t>spectrometry</w:t>
      </w:r>
      <w:r w:rsidR="006C7FB8" w:rsidRPr="000E3D8F" w:rsidDel="006C7FB8">
        <w:rPr>
          <w:rFonts w:asciiTheme="majorBidi" w:hAnsiTheme="majorBidi" w:cstheme="majorBidi"/>
          <w:color w:val="000000" w:themeColor="text1"/>
        </w:rPr>
        <w:t xml:space="preserve"> </w:t>
      </w:r>
      <w:r w:rsidR="00700239" w:rsidRPr="000E3D8F">
        <w:rPr>
          <w:rFonts w:asciiTheme="majorBidi" w:hAnsiTheme="majorBidi" w:cstheme="majorBidi"/>
          <w:color w:val="000000" w:themeColor="text1"/>
        </w:rPr>
        <w:t xml:space="preserve">characterization </w:t>
      </w:r>
      <w:r w:rsidR="00700239" w:rsidRPr="00871092">
        <w:rPr>
          <w:rFonts w:asciiTheme="majorBidi" w:hAnsiTheme="majorBidi" w:cstheme="majorBidi"/>
          <w:color w:val="000000" w:themeColor="text1"/>
        </w:rPr>
        <w:t>with standardized leaching tests (EN 12457-4)</w:t>
      </w:r>
      <w:r w:rsidR="001000A9">
        <w:rPr>
          <w:rFonts w:asciiTheme="majorBidi" w:hAnsiTheme="majorBidi" w:cstheme="majorBidi"/>
          <w:color w:val="000000" w:themeColor="text1"/>
        </w:rPr>
        <w:t xml:space="preserve"> </w:t>
      </w:r>
      <w:r w:rsidR="001000A9" w:rsidRPr="00871092">
        <w:rPr>
          <w:rFonts w:asciiTheme="majorBidi" w:hAnsiTheme="majorBidi" w:cstheme="majorBidi"/>
          <w:color w:val="000000" w:themeColor="text1"/>
        </w:rPr>
        <w:t>to quantify elemental mobility and assess environmental risk</w:t>
      </w:r>
      <w:r w:rsidR="00700239" w:rsidRPr="00871092">
        <w:rPr>
          <w:rFonts w:asciiTheme="majorBidi" w:hAnsiTheme="majorBidi" w:cstheme="majorBidi"/>
          <w:color w:val="000000" w:themeColor="text1"/>
        </w:rPr>
        <w:t>.</w:t>
      </w:r>
      <w:r w:rsidR="001000A9">
        <w:rPr>
          <w:rFonts w:asciiTheme="majorBidi" w:hAnsiTheme="majorBidi" w:cstheme="majorBidi"/>
          <w:color w:val="000000" w:themeColor="text1"/>
        </w:rPr>
        <w:t xml:space="preserve"> </w:t>
      </w:r>
      <w:r w:rsidR="00700239" w:rsidRPr="00871092">
        <w:rPr>
          <w:rFonts w:asciiTheme="majorBidi" w:hAnsiTheme="majorBidi" w:cstheme="majorBidi"/>
          <w:color w:val="000000" w:themeColor="text1"/>
        </w:rPr>
        <w:t xml:space="preserve">The results revealed distinct leaching signatures </w:t>
      </w:r>
      <w:r w:rsidR="001000A9">
        <w:rPr>
          <w:rFonts w:asciiTheme="majorBidi" w:hAnsiTheme="majorBidi" w:cstheme="majorBidi"/>
          <w:color w:val="000000" w:themeColor="text1"/>
        </w:rPr>
        <w:t>controll</w:t>
      </w:r>
      <w:r w:rsidR="00700239" w:rsidRPr="00871092">
        <w:rPr>
          <w:rFonts w:asciiTheme="majorBidi" w:hAnsiTheme="majorBidi" w:cstheme="majorBidi"/>
          <w:color w:val="000000" w:themeColor="text1"/>
        </w:rPr>
        <w:t xml:space="preserve">ed by </w:t>
      </w:r>
      <w:r w:rsidR="001000A9">
        <w:rPr>
          <w:rFonts w:asciiTheme="majorBidi" w:hAnsiTheme="majorBidi" w:cstheme="majorBidi"/>
          <w:color w:val="000000" w:themeColor="text1"/>
        </w:rPr>
        <w:t xml:space="preserve">the </w:t>
      </w:r>
      <w:r w:rsidR="00700239" w:rsidRPr="00871092">
        <w:rPr>
          <w:rFonts w:asciiTheme="majorBidi" w:hAnsiTheme="majorBidi" w:cstheme="majorBidi"/>
          <w:color w:val="000000" w:themeColor="text1"/>
        </w:rPr>
        <w:t xml:space="preserve">clay mineralogy. </w:t>
      </w:r>
      <w:r w:rsidR="001000A9">
        <w:rPr>
          <w:rFonts w:asciiTheme="majorBidi" w:hAnsiTheme="majorBidi" w:cstheme="majorBidi"/>
          <w:color w:val="000000" w:themeColor="text1"/>
        </w:rPr>
        <w:t>The</w:t>
      </w:r>
      <w:r w:rsidRPr="00871092">
        <w:rPr>
          <w:rFonts w:asciiTheme="majorBidi" w:hAnsiTheme="majorBidi" w:cstheme="majorBidi"/>
          <w:color w:val="000000" w:themeColor="text1"/>
        </w:rPr>
        <w:t xml:space="preserve"> </w:t>
      </w:r>
      <w:r w:rsidR="001000A9" w:rsidRPr="00871092">
        <w:rPr>
          <w:rFonts w:asciiTheme="majorBidi" w:hAnsiTheme="majorBidi" w:cstheme="majorBidi"/>
          <w:color w:val="000000" w:themeColor="text1"/>
        </w:rPr>
        <w:t xml:space="preserve">high cation exchange capacity </w:t>
      </w:r>
      <w:r w:rsidR="001000A9">
        <w:rPr>
          <w:rFonts w:asciiTheme="majorBidi" w:hAnsiTheme="majorBidi" w:cstheme="majorBidi"/>
          <w:color w:val="000000" w:themeColor="text1"/>
        </w:rPr>
        <w:t>of</w:t>
      </w:r>
      <w:r w:rsidR="001000A9"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rPr>
        <w:t>montmorillonite</w:t>
      </w:r>
      <w:r w:rsidR="001000A9">
        <w:rPr>
          <w:rFonts w:asciiTheme="majorBidi" w:hAnsiTheme="majorBidi" w:cstheme="majorBidi"/>
          <w:color w:val="000000" w:themeColor="text1"/>
        </w:rPr>
        <w:t>-rich</w:t>
      </w:r>
      <w:r w:rsidRPr="00871092">
        <w:rPr>
          <w:rFonts w:asciiTheme="majorBidi" w:hAnsiTheme="majorBidi" w:cstheme="majorBidi"/>
          <w:color w:val="000000" w:themeColor="text1"/>
        </w:rPr>
        <w:t xml:space="preserve"> bentonite</w:t>
      </w:r>
      <w:r w:rsidR="001000A9">
        <w:rPr>
          <w:rFonts w:asciiTheme="majorBidi" w:hAnsiTheme="majorBidi" w:cstheme="majorBidi"/>
          <w:color w:val="000000" w:themeColor="text1"/>
        </w:rPr>
        <w:t xml:space="preserve"> favors </w:t>
      </w:r>
      <w:r w:rsidRPr="00871092">
        <w:rPr>
          <w:rFonts w:asciiTheme="majorBidi" w:hAnsiTheme="majorBidi" w:cstheme="majorBidi"/>
          <w:color w:val="000000" w:themeColor="text1"/>
        </w:rPr>
        <w:t>cation release (</w:t>
      </w:r>
      <w:r w:rsidR="001000A9">
        <w:rPr>
          <w:rFonts w:asciiTheme="majorBidi" w:hAnsiTheme="majorBidi" w:cstheme="majorBidi"/>
          <w:color w:val="000000" w:themeColor="text1"/>
        </w:rPr>
        <w:t xml:space="preserve">e.g. </w:t>
      </w:r>
      <w:r w:rsidRPr="00871092">
        <w:rPr>
          <w:rFonts w:asciiTheme="majorBidi" w:hAnsiTheme="majorBidi" w:cstheme="majorBidi"/>
          <w:color w:val="000000" w:themeColor="text1"/>
        </w:rPr>
        <w:t xml:space="preserve">Zn, exceeding inert waste limits), with moderate </w:t>
      </w:r>
      <w:r w:rsidR="001000A9">
        <w:rPr>
          <w:rFonts w:asciiTheme="majorBidi" w:hAnsiTheme="majorBidi" w:cstheme="majorBidi"/>
          <w:color w:val="000000" w:themeColor="text1"/>
        </w:rPr>
        <w:t xml:space="preserve">mobility of </w:t>
      </w:r>
      <w:r w:rsidRPr="00871092">
        <w:rPr>
          <w:rFonts w:asciiTheme="majorBidi" w:hAnsiTheme="majorBidi" w:cstheme="majorBidi"/>
          <w:color w:val="000000" w:themeColor="text1"/>
        </w:rPr>
        <w:t xml:space="preserve">As (~12%) and Mo (~11%). </w:t>
      </w:r>
      <w:r w:rsidR="001000A9" w:rsidRPr="00871092">
        <w:rPr>
          <w:rFonts w:asciiTheme="majorBidi" w:hAnsiTheme="majorBidi" w:cstheme="majorBidi"/>
          <w:color w:val="000000" w:themeColor="text1"/>
        </w:rPr>
        <w:t>Kaolin remain</w:t>
      </w:r>
      <w:r w:rsidR="00576927">
        <w:rPr>
          <w:rFonts w:asciiTheme="majorBidi" w:hAnsiTheme="majorBidi" w:cstheme="majorBidi"/>
          <w:color w:val="000000" w:themeColor="text1"/>
        </w:rPr>
        <w:t>s</w:t>
      </w:r>
      <w:r w:rsidR="001000A9" w:rsidRPr="00871092">
        <w:rPr>
          <w:rFonts w:asciiTheme="majorBidi" w:hAnsiTheme="majorBidi" w:cstheme="majorBidi"/>
          <w:color w:val="000000" w:themeColor="text1"/>
        </w:rPr>
        <w:t xml:space="preserve"> stable. </w:t>
      </w:r>
      <w:proofErr w:type="spellStart"/>
      <w:r w:rsidR="001000A9" w:rsidRPr="008E57A7">
        <w:rPr>
          <w:rFonts w:asciiTheme="majorBidi" w:hAnsiTheme="majorBidi" w:cstheme="majorBidi"/>
          <w:color w:val="000000" w:themeColor="text1"/>
          <w:lang w:val="en-US"/>
        </w:rPr>
        <w:t>Ghassoul</w:t>
      </w:r>
      <w:proofErr w:type="spellEnd"/>
      <w:r w:rsidR="00576927">
        <w:rPr>
          <w:rFonts w:asciiTheme="majorBidi" w:hAnsiTheme="majorBidi" w:cstheme="majorBidi"/>
          <w:color w:val="000000" w:themeColor="text1"/>
          <w:lang w:val="en-US"/>
        </w:rPr>
        <w:t xml:space="preserve"> </w:t>
      </w:r>
      <w:r w:rsidR="00576927">
        <w:rPr>
          <w:rFonts w:asciiTheme="majorBidi" w:hAnsiTheme="majorBidi" w:cstheme="majorBidi"/>
          <w:color w:val="000000" w:themeColor="text1"/>
        </w:rPr>
        <w:t>e</w:t>
      </w:r>
      <w:r w:rsidR="00576927" w:rsidRPr="00871092">
        <w:rPr>
          <w:rFonts w:asciiTheme="majorBidi" w:hAnsiTheme="majorBidi" w:cstheme="majorBidi"/>
          <w:color w:val="000000" w:themeColor="text1"/>
        </w:rPr>
        <w:t>xhibit</w:t>
      </w:r>
      <w:r w:rsidR="00576927">
        <w:rPr>
          <w:rFonts w:asciiTheme="majorBidi" w:hAnsiTheme="majorBidi" w:cstheme="majorBidi"/>
          <w:color w:val="000000" w:themeColor="text1"/>
        </w:rPr>
        <w:t>s</w:t>
      </w:r>
      <w:r w:rsidR="00576927" w:rsidRPr="00871092">
        <w:rPr>
          <w:rFonts w:asciiTheme="majorBidi" w:hAnsiTheme="majorBidi" w:cstheme="majorBidi"/>
          <w:color w:val="000000" w:themeColor="text1"/>
        </w:rPr>
        <w:t xml:space="preserve"> exceptionally high mobility of molybdenum (~91</w:t>
      </w:r>
      <w:r w:rsidR="00576927">
        <w:rPr>
          <w:rFonts w:asciiTheme="majorBidi" w:hAnsiTheme="majorBidi" w:cstheme="majorBidi"/>
          <w:color w:val="000000" w:themeColor="text1"/>
        </w:rPr>
        <w:t>.3</w:t>
      </w:r>
      <w:r w:rsidR="00576927" w:rsidRPr="00871092">
        <w:rPr>
          <w:rFonts w:asciiTheme="majorBidi" w:hAnsiTheme="majorBidi" w:cstheme="majorBidi"/>
          <w:color w:val="000000" w:themeColor="text1"/>
        </w:rPr>
        <w:t>%) and moderate mobility of arsenic (~</w:t>
      </w:r>
      <w:r w:rsidR="00576927">
        <w:rPr>
          <w:rFonts w:asciiTheme="majorBidi" w:hAnsiTheme="majorBidi" w:cstheme="majorBidi"/>
          <w:color w:val="000000" w:themeColor="text1"/>
        </w:rPr>
        <w:t>22.6</w:t>
      </w:r>
      <w:r w:rsidR="00576927" w:rsidRPr="00871092">
        <w:rPr>
          <w:rFonts w:asciiTheme="majorBidi" w:hAnsiTheme="majorBidi" w:cstheme="majorBidi"/>
          <w:color w:val="000000" w:themeColor="text1"/>
        </w:rPr>
        <w:t>%) under mildly alkaline conditions</w:t>
      </w:r>
      <w:r w:rsidR="00576927">
        <w:rPr>
          <w:rFonts w:asciiTheme="majorBidi" w:hAnsiTheme="majorBidi" w:cstheme="majorBidi"/>
          <w:color w:val="000000" w:themeColor="text1"/>
        </w:rPr>
        <w:t>.</w:t>
      </w:r>
      <w:r w:rsidR="00576927" w:rsidRPr="00871092">
        <w:rPr>
          <w:rFonts w:asciiTheme="majorBidi" w:hAnsiTheme="majorBidi" w:cstheme="majorBidi"/>
          <w:color w:val="000000" w:themeColor="text1"/>
        </w:rPr>
        <w:t xml:space="preserve"> </w:t>
      </w:r>
      <w:r w:rsidR="00576927">
        <w:rPr>
          <w:rFonts w:asciiTheme="majorBidi" w:hAnsiTheme="majorBidi" w:cstheme="majorBidi"/>
          <w:color w:val="000000" w:themeColor="text1"/>
        </w:rPr>
        <w:t xml:space="preserve">However, even </w:t>
      </w:r>
      <w:proofErr w:type="spellStart"/>
      <w:r w:rsidR="00576927">
        <w:rPr>
          <w:rFonts w:asciiTheme="majorBidi" w:hAnsiTheme="majorBidi" w:cstheme="majorBidi"/>
          <w:color w:val="000000" w:themeColor="text1"/>
        </w:rPr>
        <w:t>ghassoul</w:t>
      </w:r>
      <w:proofErr w:type="spellEnd"/>
      <w:r w:rsidR="00576927">
        <w:rPr>
          <w:rFonts w:asciiTheme="majorBidi" w:hAnsiTheme="majorBidi" w:cstheme="majorBidi"/>
          <w:color w:val="000000" w:themeColor="text1"/>
        </w:rPr>
        <w:t xml:space="preserve"> is highly </w:t>
      </w:r>
      <w:r w:rsidRPr="00871092">
        <w:rPr>
          <w:rFonts w:asciiTheme="majorBidi" w:hAnsiTheme="majorBidi" w:cstheme="majorBidi"/>
          <w:color w:val="000000" w:themeColor="text1"/>
        </w:rPr>
        <w:t xml:space="preserve">radioactivity, leachate concentrations of alpha-emitting radionuclides </w:t>
      </w:r>
      <w:r w:rsidR="00576927">
        <w:rPr>
          <w:rFonts w:asciiTheme="majorBidi" w:hAnsiTheme="majorBidi" w:cstheme="majorBidi"/>
          <w:color w:val="000000" w:themeColor="text1"/>
        </w:rPr>
        <w:t>a</w:t>
      </w:r>
      <w:r w:rsidR="00576927" w:rsidRPr="00871092">
        <w:rPr>
          <w:rFonts w:asciiTheme="majorBidi" w:hAnsiTheme="majorBidi" w:cstheme="majorBidi"/>
          <w:color w:val="000000" w:themeColor="text1"/>
        </w:rPr>
        <w:t xml:space="preserve">re </w:t>
      </w:r>
      <w:r w:rsidR="00576927">
        <w:rPr>
          <w:rFonts w:asciiTheme="majorBidi" w:hAnsiTheme="majorBidi" w:cstheme="majorBidi"/>
          <w:color w:val="000000" w:themeColor="text1"/>
        </w:rPr>
        <w:t>limited</w:t>
      </w:r>
      <w:r w:rsidR="00576927"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rPr>
        <w:t>(&lt;15 Bq kg</w:t>
      </w:r>
      <w:r w:rsidR="00700239"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w:t>
      </w:r>
      <w:r w:rsidR="00576927">
        <w:rPr>
          <w:rFonts w:asciiTheme="majorBidi" w:hAnsiTheme="majorBidi" w:cstheme="majorBidi"/>
          <w:color w:val="000000" w:themeColor="text1"/>
        </w:rPr>
        <w:t xml:space="preserve">causing </w:t>
      </w:r>
      <w:r w:rsidRPr="00871092">
        <w:rPr>
          <w:rFonts w:asciiTheme="majorBidi" w:hAnsiTheme="majorBidi" w:cstheme="majorBidi"/>
          <w:color w:val="000000" w:themeColor="text1"/>
        </w:rPr>
        <w:t>negligible radiological risk.</w:t>
      </w:r>
      <w:r w:rsidR="00576927">
        <w:rPr>
          <w:rFonts w:asciiTheme="majorBidi" w:hAnsiTheme="majorBidi" w:cstheme="majorBidi"/>
          <w:color w:val="000000" w:themeColor="text1"/>
        </w:rPr>
        <w:t xml:space="preserve"> </w:t>
      </w:r>
      <w:r w:rsidRPr="00871092">
        <w:rPr>
          <w:rFonts w:asciiTheme="majorBidi" w:hAnsiTheme="majorBidi" w:cstheme="majorBidi"/>
          <w:color w:val="000000" w:themeColor="text1"/>
        </w:rPr>
        <w:t xml:space="preserve">These findings demonstrate that </w:t>
      </w:r>
      <w:r w:rsidR="00576927">
        <w:rPr>
          <w:rFonts w:asciiTheme="majorBidi" w:hAnsiTheme="majorBidi" w:cstheme="majorBidi"/>
          <w:color w:val="000000" w:themeColor="text1"/>
        </w:rPr>
        <w:t xml:space="preserve">the </w:t>
      </w:r>
      <w:r w:rsidRPr="00871092">
        <w:rPr>
          <w:rFonts w:asciiTheme="majorBidi" w:hAnsiTheme="majorBidi" w:cstheme="majorBidi"/>
          <w:color w:val="000000" w:themeColor="text1"/>
        </w:rPr>
        <w:t xml:space="preserve">clay mineralogy, rather than total contaminant concentration, is the primary factor dictating leaching behavior. </w:t>
      </w:r>
      <w:r w:rsidR="00700239" w:rsidRPr="00871092">
        <w:rPr>
          <w:rFonts w:asciiTheme="majorBidi" w:hAnsiTheme="majorBidi" w:cstheme="majorBidi"/>
          <w:color w:val="000000" w:themeColor="text1"/>
        </w:rPr>
        <w:t xml:space="preserve">This underscores the necessity of mineralogy-specific risk assessments for the safe management and application of industrial clays, particularly </w:t>
      </w:r>
      <w:proofErr w:type="spellStart"/>
      <w:r w:rsidR="00700239" w:rsidRPr="00871092">
        <w:rPr>
          <w:rFonts w:asciiTheme="majorBidi" w:hAnsiTheme="majorBidi" w:cstheme="majorBidi"/>
          <w:color w:val="000000" w:themeColor="text1"/>
        </w:rPr>
        <w:t>stevensite</w:t>
      </w:r>
      <w:proofErr w:type="spellEnd"/>
      <w:r w:rsidR="00700239" w:rsidRPr="00871092">
        <w:rPr>
          <w:rFonts w:asciiTheme="majorBidi" w:hAnsiTheme="majorBidi" w:cstheme="majorBidi"/>
          <w:color w:val="000000" w:themeColor="text1"/>
        </w:rPr>
        <w:t xml:space="preserve">-rich </w:t>
      </w:r>
      <w:proofErr w:type="spellStart"/>
      <w:r w:rsidR="00700239" w:rsidRPr="00871092">
        <w:rPr>
          <w:rFonts w:asciiTheme="majorBidi" w:hAnsiTheme="majorBidi" w:cstheme="majorBidi"/>
          <w:color w:val="000000" w:themeColor="text1"/>
        </w:rPr>
        <w:t>ghassoul</w:t>
      </w:r>
      <w:proofErr w:type="spellEnd"/>
      <w:r w:rsidR="00700239" w:rsidRPr="00871092">
        <w:rPr>
          <w:rFonts w:asciiTheme="majorBidi" w:hAnsiTheme="majorBidi" w:cstheme="majorBidi"/>
          <w:color w:val="000000" w:themeColor="text1"/>
        </w:rPr>
        <w:t>, in consumer and environmental contexts.</w:t>
      </w:r>
    </w:p>
    <w:p w14:paraId="526C78D2" w14:textId="77777777" w:rsidR="00607CF3" w:rsidRPr="00871092" w:rsidRDefault="00607CF3" w:rsidP="00871092">
      <w:pPr>
        <w:spacing w:after="0" w:line="240" w:lineRule="auto"/>
        <w:jc w:val="both"/>
        <w:rPr>
          <w:rFonts w:asciiTheme="majorBidi" w:hAnsiTheme="majorBidi" w:cstheme="majorBidi"/>
          <w:color w:val="000000" w:themeColor="text1"/>
        </w:rPr>
      </w:pPr>
    </w:p>
    <w:p w14:paraId="1C40E020" w14:textId="7CADBB19" w:rsidR="00D26E3E" w:rsidRDefault="00607CF3" w:rsidP="00D26E3E">
      <w:pPr>
        <w:spacing w:after="0" w:line="240" w:lineRule="auto"/>
        <w:jc w:val="both"/>
        <w:rPr>
          <w:rFonts w:asciiTheme="majorBidi" w:hAnsiTheme="majorBidi" w:cstheme="majorBidi"/>
          <w:b/>
          <w:bCs/>
          <w:color w:val="000000" w:themeColor="text1"/>
        </w:rPr>
      </w:pPr>
      <w:r w:rsidRPr="00871092">
        <w:rPr>
          <w:rFonts w:asciiTheme="majorBidi" w:hAnsiTheme="majorBidi" w:cstheme="majorBidi"/>
          <w:b/>
          <w:bCs/>
          <w:color w:val="000000" w:themeColor="text1"/>
        </w:rPr>
        <w:t xml:space="preserve">Keywords: </w:t>
      </w:r>
      <w:r w:rsidRPr="00871092">
        <w:rPr>
          <w:rFonts w:asciiTheme="majorBidi" w:hAnsiTheme="majorBidi" w:cstheme="majorBidi"/>
          <w:color w:val="000000" w:themeColor="text1"/>
        </w:rPr>
        <w:t xml:space="preserve">bentonite, kaolin,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mobility, environment.</w:t>
      </w:r>
    </w:p>
    <w:p w14:paraId="73712F65" w14:textId="77777777" w:rsidR="00D26E3E" w:rsidRDefault="00D26E3E" w:rsidP="00D26E3E">
      <w:pPr>
        <w:spacing w:after="0" w:line="240" w:lineRule="auto"/>
        <w:jc w:val="both"/>
        <w:rPr>
          <w:rFonts w:asciiTheme="majorBidi" w:hAnsiTheme="majorBidi" w:cstheme="majorBidi"/>
          <w:b/>
          <w:bCs/>
          <w:color w:val="000000" w:themeColor="text1"/>
        </w:rPr>
      </w:pPr>
    </w:p>
    <w:p w14:paraId="0853AAD6" w14:textId="1E4D5410" w:rsidR="00607CF3" w:rsidRPr="00871092" w:rsidRDefault="00607CF3" w:rsidP="00D26E3E">
      <w:pPr>
        <w:spacing w:after="0" w:line="240" w:lineRule="auto"/>
        <w:jc w:val="both"/>
        <w:rPr>
          <w:rFonts w:asciiTheme="majorBidi" w:hAnsiTheme="majorBidi" w:cstheme="majorBidi"/>
          <w:b/>
          <w:bCs/>
          <w:color w:val="000000" w:themeColor="text1"/>
        </w:rPr>
      </w:pPr>
      <w:r w:rsidRPr="00871092">
        <w:rPr>
          <w:rFonts w:asciiTheme="majorBidi" w:hAnsiTheme="majorBidi" w:cstheme="majorBidi"/>
          <w:b/>
          <w:bCs/>
          <w:color w:val="000000" w:themeColor="text1"/>
        </w:rPr>
        <w:t>Graphical Abstract</w:t>
      </w:r>
    </w:p>
    <w:p w14:paraId="0CCD7AB5" w14:textId="27C508BE" w:rsidR="00607CF3" w:rsidRDefault="00D26E3E" w:rsidP="00871092">
      <w:pPr>
        <w:spacing w:after="0" w:line="240" w:lineRule="auto"/>
        <w:jc w:val="both"/>
        <w:rPr>
          <w:rFonts w:asciiTheme="majorBidi" w:hAnsiTheme="majorBidi" w:cstheme="majorBidi"/>
          <w:b/>
          <w:bCs/>
          <w:color w:val="000000" w:themeColor="text1"/>
        </w:rPr>
      </w:pPr>
      <w:r>
        <w:rPr>
          <w:rFonts w:asciiTheme="majorBidi" w:hAnsiTheme="majorBidi" w:cstheme="majorBidi"/>
          <w:b/>
          <w:bCs/>
          <w:noProof/>
          <w:color w:val="000000" w:themeColor="text1"/>
        </w:rPr>
        <w:lastRenderedPageBreak/>
        <w:drawing>
          <wp:inline distT="0" distB="0" distL="0" distR="0" wp14:anchorId="5E295F47" wp14:editId="0BEBC942">
            <wp:extent cx="5739765" cy="3227705"/>
            <wp:effectExtent l="0" t="0" r="0" b="0"/>
            <wp:docPr id="103257237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9765" cy="3227705"/>
                    </a:xfrm>
                    <a:prstGeom prst="rect">
                      <a:avLst/>
                    </a:prstGeom>
                    <a:noFill/>
                    <a:ln>
                      <a:noFill/>
                    </a:ln>
                  </pic:spPr>
                </pic:pic>
              </a:graphicData>
            </a:graphic>
          </wp:inline>
        </w:drawing>
      </w:r>
    </w:p>
    <w:p w14:paraId="7412079A" w14:textId="77777777" w:rsidR="00721A96" w:rsidRPr="00871092" w:rsidRDefault="00721A96" w:rsidP="00871092">
      <w:pPr>
        <w:spacing w:after="0" w:line="240" w:lineRule="auto"/>
        <w:jc w:val="both"/>
        <w:rPr>
          <w:rFonts w:asciiTheme="majorBidi" w:hAnsiTheme="majorBidi" w:cstheme="majorBidi"/>
          <w:b/>
          <w:bCs/>
          <w:color w:val="000000" w:themeColor="text1"/>
        </w:rPr>
      </w:pPr>
    </w:p>
    <w:p w14:paraId="41E9369D" w14:textId="77777777" w:rsidR="00607CF3" w:rsidRPr="00871092" w:rsidRDefault="00607CF3" w:rsidP="00871092">
      <w:pPr>
        <w:spacing w:after="0" w:line="240" w:lineRule="auto"/>
        <w:jc w:val="both"/>
        <w:rPr>
          <w:rFonts w:asciiTheme="majorBidi" w:hAnsiTheme="majorBidi" w:cstheme="majorBidi"/>
          <w:color w:val="000000" w:themeColor="text1"/>
        </w:rPr>
      </w:pPr>
    </w:p>
    <w:p w14:paraId="2AE0FC1A" w14:textId="77777777" w:rsidR="00607CF3" w:rsidRPr="00871092" w:rsidRDefault="00607CF3" w:rsidP="00871092">
      <w:pPr>
        <w:pStyle w:val="Titre1"/>
        <w:spacing w:before="0" w:after="0" w:line="240" w:lineRule="auto"/>
        <w:rPr>
          <w:color w:val="000000" w:themeColor="text1"/>
          <w:sz w:val="22"/>
          <w:szCs w:val="22"/>
        </w:rPr>
      </w:pPr>
      <w:r w:rsidRPr="00871092">
        <w:rPr>
          <w:color w:val="000000" w:themeColor="text1"/>
          <w:sz w:val="22"/>
          <w:szCs w:val="22"/>
        </w:rPr>
        <w:t xml:space="preserve">Introduction </w:t>
      </w:r>
    </w:p>
    <w:p w14:paraId="14344DD6" w14:textId="4DEFC239" w:rsidR="00607CF3" w:rsidRPr="00871092" w:rsidRDefault="00607CF3" w:rsidP="00871092">
      <w:pPr>
        <w:spacing w:after="0" w:line="240" w:lineRule="auto"/>
        <w:jc w:val="both"/>
        <w:rPr>
          <w:rFonts w:asciiTheme="majorBidi" w:hAnsiTheme="majorBidi" w:cstheme="majorBidi"/>
          <w:color w:val="000000" w:themeColor="text1"/>
        </w:rPr>
      </w:pPr>
      <w:bookmarkStart w:id="1" w:name="_Hlk180246522"/>
      <w:r w:rsidRPr="00871092">
        <w:rPr>
          <w:rFonts w:asciiTheme="majorBidi" w:hAnsiTheme="majorBidi" w:cstheme="majorBidi"/>
          <w:color w:val="000000" w:themeColor="text1"/>
        </w:rPr>
        <w:t>The pollution of soils and water by potentially toxic elements (PTEs: Ag, As, Cd, Co, Cr, Cu, Li, Mn, Mo, Ni, Pb, Se, Sn, V, Zn) and radionuclides (Po, U, Th, Ra) poses a growing global threat to ecosystems and public health (</w:t>
      </w:r>
      <w:r w:rsidRPr="00871092">
        <w:rPr>
          <w:rFonts w:asciiTheme="majorBidi" w:hAnsiTheme="majorBidi" w:cstheme="majorBidi"/>
          <w:color w:val="5B9BD5" w:themeColor="accent1"/>
        </w:rPr>
        <w:t>Khan et al., 2021; Adeola et al., 2023</w:t>
      </w:r>
      <w:r w:rsidRPr="00871092">
        <w:rPr>
          <w:rFonts w:asciiTheme="majorBidi" w:hAnsiTheme="majorBidi" w:cstheme="majorBidi"/>
          <w:color w:val="000000" w:themeColor="text1"/>
        </w:rPr>
        <w:t>). These contaminants, originating from industrial, mining and nuclear activities, tend to persist in the environment, bioaccumulate in living organisms and generate long-term risks (</w:t>
      </w:r>
      <w:r w:rsidRPr="00871092">
        <w:rPr>
          <w:rFonts w:asciiTheme="majorBidi" w:hAnsiTheme="majorBidi" w:cstheme="majorBidi"/>
          <w:color w:val="5B9BD5" w:themeColor="accent1"/>
        </w:rPr>
        <w:t xml:space="preserve">Novikau and </w:t>
      </w:r>
      <w:proofErr w:type="spellStart"/>
      <w:r w:rsidRPr="00871092">
        <w:rPr>
          <w:rFonts w:asciiTheme="majorBidi" w:hAnsiTheme="majorBidi" w:cstheme="majorBidi"/>
          <w:color w:val="5B9BD5" w:themeColor="accent1"/>
        </w:rPr>
        <w:t>Lujaniene</w:t>
      </w:r>
      <w:proofErr w:type="spellEnd"/>
      <w:r w:rsidRPr="00871092">
        <w:rPr>
          <w:rFonts w:asciiTheme="majorBidi" w:hAnsiTheme="majorBidi" w:cstheme="majorBidi"/>
          <w:color w:val="5B9BD5" w:themeColor="accent1"/>
        </w:rPr>
        <w:t>, 2022</w:t>
      </w:r>
      <w:r w:rsidRPr="00871092">
        <w:rPr>
          <w:rFonts w:asciiTheme="majorBidi" w:hAnsiTheme="majorBidi" w:cstheme="majorBidi"/>
          <w:color w:val="000000" w:themeColor="text1"/>
        </w:rPr>
        <w:t xml:space="preserve">). Among the natural materials considered for mitigation, clay minerals, particularly </w:t>
      </w:r>
      <w:r w:rsidR="00576927">
        <w:rPr>
          <w:rFonts w:asciiTheme="majorBidi" w:hAnsiTheme="majorBidi" w:cstheme="majorBidi"/>
          <w:color w:val="000000" w:themeColor="text1"/>
        </w:rPr>
        <w:t>montmorillonite</w:t>
      </w:r>
      <w:r w:rsidRPr="00871092">
        <w:rPr>
          <w:rFonts w:asciiTheme="majorBidi" w:hAnsiTheme="majorBidi" w:cstheme="majorBidi"/>
          <w:color w:val="000000" w:themeColor="text1"/>
        </w:rPr>
        <w:t xml:space="preserve">,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and kaolin are widely used due to their low permeability, high cation-exchange capacity (CEC), and their ability to delay contaminant migration in both engineered and natural barriers (</w:t>
      </w:r>
      <w:r w:rsidRPr="00871092">
        <w:rPr>
          <w:rFonts w:asciiTheme="majorBidi" w:hAnsiTheme="majorBidi" w:cstheme="majorBidi"/>
          <w:color w:val="5B9BD5" w:themeColor="accent1"/>
        </w:rPr>
        <w:t>Singh and Um, 2023; Yang et al., 2024</w:t>
      </w:r>
      <w:r w:rsidRPr="00871092">
        <w:rPr>
          <w:rFonts w:asciiTheme="majorBidi" w:hAnsiTheme="majorBidi" w:cstheme="majorBidi"/>
          <w:color w:val="000000" w:themeColor="text1"/>
        </w:rPr>
        <w:t>).</w:t>
      </w:r>
    </w:p>
    <w:p w14:paraId="359ABCCC" w14:textId="139F6B59" w:rsidR="00607CF3" w:rsidRPr="00871092" w:rsidRDefault="00576927" w:rsidP="00871092">
      <w:pPr>
        <w:spacing w:after="0" w:line="240" w:lineRule="auto"/>
        <w:jc w:val="both"/>
        <w:rPr>
          <w:rFonts w:asciiTheme="majorBidi" w:hAnsiTheme="majorBidi" w:cstheme="majorBidi"/>
          <w:color w:val="000000" w:themeColor="text1"/>
        </w:rPr>
      </w:pPr>
      <w:r>
        <w:rPr>
          <w:rFonts w:asciiTheme="majorBidi" w:hAnsiTheme="majorBidi" w:cstheme="majorBidi"/>
          <w:color w:val="000000" w:themeColor="text1"/>
        </w:rPr>
        <w:t>C</w:t>
      </w:r>
      <w:r w:rsidR="00607CF3" w:rsidRPr="00871092">
        <w:rPr>
          <w:rFonts w:asciiTheme="majorBidi" w:hAnsiTheme="majorBidi" w:cstheme="majorBidi"/>
          <w:color w:val="000000" w:themeColor="text1"/>
        </w:rPr>
        <w:t>lay-based adsorbents have demonstrated high efficiency in removing metals and radionuclides. For instance, Spanish and Romanian bentonites achieved over 90% removal of Hg</w:t>
      </w:r>
      <w:r w:rsidR="00607CF3" w:rsidRPr="00871092">
        <w:rPr>
          <w:rFonts w:asciiTheme="majorBidi" w:hAnsiTheme="majorBidi" w:cstheme="majorBidi"/>
          <w:color w:val="000000" w:themeColor="text1"/>
          <w:vertAlign w:val="superscript"/>
        </w:rPr>
        <w:t>2+</w:t>
      </w:r>
      <w:r w:rsidR="00607CF3" w:rsidRPr="00871092">
        <w:rPr>
          <w:rFonts w:asciiTheme="majorBidi" w:hAnsiTheme="majorBidi" w:cstheme="majorBidi"/>
          <w:color w:val="000000" w:themeColor="text1"/>
        </w:rPr>
        <w:t>, Cd</w:t>
      </w:r>
      <w:r w:rsidR="00607CF3" w:rsidRPr="00871092">
        <w:rPr>
          <w:rFonts w:asciiTheme="majorBidi" w:hAnsiTheme="majorBidi" w:cstheme="majorBidi"/>
          <w:color w:val="000000" w:themeColor="text1"/>
          <w:vertAlign w:val="superscript"/>
        </w:rPr>
        <w:t>2+</w:t>
      </w:r>
      <w:r w:rsidR="00607CF3" w:rsidRPr="00871092">
        <w:rPr>
          <w:rFonts w:asciiTheme="majorBidi" w:hAnsiTheme="majorBidi" w:cstheme="majorBidi"/>
          <w:color w:val="000000" w:themeColor="text1"/>
        </w:rPr>
        <w:t>, and Pb</w:t>
      </w:r>
      <w:r w:rsidR="00607CF3" w:rsidRPr="00871092">
        <w:rPr>
          <w:rFonts w:asciiTheme="majorBidi" w:hAnsiTheme="majorBidi" w:cstheme="majorBidi"/>
          <w:color w:val="000000" w:themeColor="text1"/>
          <w:vertAlign w:val="superscript"/>
        </w:rPr>
        <w:t>2+</w:t>
      </w:r>
      <w:r w:rsidR="00607CF3" w:rsidRPr="00871092">
        <w:rPr>
          <w:rFonts w:asciiTheme="majorBidi" w:hAnsiTheme="majorBidi" w:cstheme="majorBidi"/>
          <w:color w:val="000000" w:themeColor="text1"/>
        </w:rPr>
        <w:t xml:space="preserve"> (</w:t>
      </w:r>
      <w:r w:rsidR="00607CF3" w:rsidRPr="00871092">
        <w:rPr>
          <w:rFonts w:asciiTheme="majorBidi" w:hAnsiTheme="majorBidi" w:cstheme="majorBidi"/>
          <w:color w:val="5B9BD5" w:themeColor="accent1"/>
        </w:rPr>
        <w:t>Alvarez-Ayuso and Garcia-Sanchez, 2003; Fernández-Nava et al., 2011</w:t>
      </w:r>
      <w:r w:rsidR="00607CF3" w:rsidRPr="00871092">
        <w:rPr>
          <w:rFonts w:asciiTheme="majorBidi" w:hAnsiTheme="majorBidi" w:cstheme="majorBidi"/>
          <w:color w:val="000000" w:themeColor="text1"/>
        </w:rPr>
        <w:t>), while Egyptian bentonite removed up to 93% of U(VI) at pH 6-8 (</w:t>
      </w:r>
      <w:r w:rsidR="00607CF3" w:rsidRPr="00871092">
        <w:rPr>
          <w:rFonts w:asciiTheme="majorBidi" w:hAnsiTheme="majorBidi" w:cstheme="majorBidi"/>
          <w:color w:val="5B9BD5" w:themeColor="accent1"/>
        </w:rPr>
        <w:t>Burham and Sayed, 2016</w:t>
      </w:r>
      <w:r w:rsidR="00607CF3" w:rsidRPr="00871092">
        <w:rPr>
          <w:rFonts w:asciiTheme="majorBidi" w:hAnsiTheme="majorBidi" w:cstheme="majorBidi"/>
          <w:color w:val="000000" w:themeColor="text1"/>
        </w:rPr>
        <w:t xml:space="preserve">). Kaolin from different regions </w:t>
      </w:r>
      <w:r w:rsidR="00474689">
        <w:rPr>
          <w:rFonts w:asciiTheme="majorBidi" w:hAnsiTheme="majorBidi" w:cstheme="majorBidi"/>
          <w:color w:val="000000" w:themeColor="text1"/>
        </w:rPr>
        <w:t xml:space="preserve">was also </w:t>
      </w:r>
      <w:r w:rsidR="00607CF3" w:rsidRPr="00871092">
        <w:rPr>
          <w:rFonts w:asciiTheme="majorBidi" w:hAnsiTheme="majorBidi" w:cstheme="majorBidi"/>
          <w:color w:val="000000" w:themeColor="text1"/>
        </w:rPr>
        <w:t>effective in adsorbing Cu</w:t>
      </w:r>
      <w:r w:rsidR="00607CF3" w:rsidRPr="00871092">
        <w:rPr>
          <w:rFonts w:asciiTheme="majorBidi" w:hAnsiTheme="majorBidi" w:cstheme="majorBidi"/>
          <w:color w:val="000000" w:themeColor="text1"/>
          <w:vertAlign w:val="superscript"/>
        </w:rPr>
        <w:t>2+</w:t>
      </w:r>
      <w:r w:rsidR="00607CF3" w:rsidRPr="00871092">
        <w:rPr>
          <w:rFonts w:asciiTheme="majorBidi" w:hAnsiTheme="majorBidi" w:cstheme="majorBidi"/>
          <w:color w:val="000000" w:themeColor="text1"/>
        </w:rPr>
        <w:t>, Cd</w:t>
      </w:r>
      <w:r w:rsidR="00607CF3" w:rsidRPr="00871092">
        <w:rPr>
          <w:rFonts w:asciiTheme="majorBidi" w:hAnsiTheme="majorBidi" w:cstheme="majorBidi"/>
          <w:color w:val="000000" w:themeColor="text1"/>
          <w:vertAlign w:val="superscript"/>
        </w:rPr>
        <w:t>2+</w:t>
      </w:r>
      <w:r w:rsidR="00607CF3" w:rsidRPr="00871092">
        <w:rPr>
          <w:rFonts w:asciiTheme="majorBidi" w:hAnsiTheme="majorBidi" w:cstheme="majorBidi"/>
          <w:color w:val="000000" w:themeColor="text1"/>
        </w:rPr>
        <w:t>, Zn</w:t>
      </w:r>
      <w:r w:rsidR="00607CF3" w:rsidRPr="00871092">
        <w:rPr>
          <w:rFonts w:asciiTheme="majorBidi" w:hAnsiTheme="majorBidi" w:cstheme="majorBidi"/>
          <w:color w:val="000000" w:themeColor="text1"/>
          <w:vertAlign w:val="superscript"/>
        </w:rPr>
        <w:t>2+</w:t>
      </w:r>
      <w:r w:rsidR="00607CF3" w:rsidRPr="00871092">
        <w:rPr>
          <w:rFonts w:asciiTheme="majorBidi" w:hAnsiTheme="majorBidi" w:cstheme="majorBidi"/>
          <w:color w:val="000000" w:themeColor="text1"/>
        </w:rPr>
        <w:t>, and other metal ions (</w:t>
      </w:r>
      <w:r w:rsidR="00607CF3" w:rsidRPr="00871092">
        <w:rPr>
          <w:rFonts w:asciiTheme="majorBidi" w:hAnsiTheme="majorBidi" w:cstheme="majorBidi"/>
          <w:color w:val="5B9BD5" w:themeColor="accent1"/>
        </w:rPr>
        <w:t xml:space="preserve">Yavuz et al., 2003; Srivastava et al., 2005; </w:t>
      </w:r>
      <w:proofErr w:type="spellStart"/>
      <w:r w:rsidR="00607CF3" w:rsidRPr="00871092">
        <w:rPr>
          <w:rFonts w:asciiTheme="majorBidi" w:hAnsiTheme="majorBidi" w:cstheme="majorBidi"/>
          <w:color w:val="5B9BD5" w:themeColor="accent1"/>
        </w:rPr>
        <w:t>Matłok</w:t>
      </w:r>
      <w:proofErr w:type="spellEnd"/>
      <w:r w:rsidR="00607CF3" w:rsidRPr="00871092">
        <w:rPr>
          <w:rFonts w:asciiTheme="majorBidi" w:hAnsiTheme="majorBidi" w:cstheme="majorBidi"/>
          <w:color w:val="5B9BD5" w:themeColor="accent1"/>
        </w:rPr>
        <w:t xml:space="preserve"> et al., 2015; Chai et al., 2020</w:t>
      </w:r>
      <w:r w:rsidR="00607CF3" w:rsidRPr="00871092">
        <w:rPr>
          <w:rFonts w:asciiTheme="majorBidi" w:hAnsiTheme="majorBidi" w:cstheme="majorBidi"/>
          <w:color w:val="000000" w:themeColor="text1"/>
        </w:rPr>
        <w:t>).</w:t>
      </w:r>
    </w:p>
    <w:p w14:paraId="15214860" w14:textId="65E5F9AB" w:rsidR="00112F3C"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Morocco holds significant reserves of bentonite,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clays, and kaolin. Bentonite, primarily dominated by montmorillonite, is particularly effective in adsorbing metal ions due to its swelling capacity, large surface area, and strong surface reactivity (</w:t>
      </w:r>
      <w:proofErr w:type="spellStart"/>
      <w:r w:rsidRPr="00871092">
        <w:rPr>
          <w:rFonts w:asciiTheme="majorBidi" w:hAnsiTheme="majorBidi" w:cstheme="majorBidi"/>
          <w:color w:val="5B9BD5" w:themeColor="accent1"/>
        </w:rPr>
        <w:t>Segad</w:t>
      </w:r>
      <w:proofErr w:type="spellEnd"/>
      <w:r w:rsidRPr="00871092">
        <w:rPr>
          <w:rFonts w:asciiTheme="majorBidi" w:hAnsiTheme="majorBidi" w:cstheme="majorBidi"/>
          <w:color w:val="5B9BD5" w:themeColor="accent1"/>
        </w:rPr>
        <w:t xml:space="preserve"> et al., 2010</w:t>
      </w:r>
      <w:r w:rsidRPr="00871092">
        <w:rPr>
          <w:rFonts w:asciiTheme="majorBidi" w:hAnsiTheme="majorBidi" w:cstheme="majorBidi"/>
          <w:color w:val="000000" w:themeColor="text1"/>
        </w:rPr>
        <w:t>). Its high CEC makes it suitable for the retention of uranium and thorium at near-neutral pH (</w:t>
      </w:r>
      <w:proofErr w:type="spellStart"/>
      <w:r w:rsidRPr="00871092">
        <w:rPr>
          <w:rFonts w:asciiTheme="majorBidi" w:hAnsiTheme="majorBidi" w:cstheme="majorBidi"/>
          <w:color w:val="5B9BD5" w:themeColor="accent1"/>
        </w:rPr>
        <w:t>Bachmaf</w:t>
      </w:r>
      <w:proofErr w:type="spellEnd"/>
      <w:r w:rsidRPr="00871092">
        <w:rPr>
          <w:rFonts w:asciiTheme="majorBidi" w:hAnsiTheme="majorBidi" w:cstheme="majorBidi"/>
          <w:color w:val="5B9BD5" w:themeColor="accent1"/>
        </w:rPr>
        <w:t xml:space="preserve"> et al., 2008; </w:t>
      </w:r>
      <w:proofErr w:type="spellStart"/>
      <w:r w:rsidRPr="00871092">
        <w:rPr>
          <w:rFonts w:asciiTheme="majorBidi" w:hAnsiTheme="majorBidi" w:cstheme="majorBidi"/>
          <w:color w:val="5B9BD5" w:themeColor="accent1"/>
        </w:rPr>
        <w:t>Khouya</w:t>
      </w:r>
      <w:proofErr w:type="spellEnd"/>
      <w:r w:rsidRPr="00871092">
        <w:rPr>
          <w:rFonts w:asciiTheme="majorBidi" w:hAnsiTheme="majorBidi" w:cstheme="majorBidi"/>
          <w:color w:val="5B9BD5" w:themeColor="accent1"/>
        </w:rPr>
        <w:t xml:space="preserve"> et al., 2010; </w:t>
      </w:r>
      <w:proofErr w:type="spellStart"/>
      <w:r w:rsidR="00E11144" w:rsidRPr="00871092">
        <w:rPr>
          <w:rFonts w:asciiTheme="majorBidi" w:hAnsiTheme="majorBidi" w:cstheme="majorBidi"/>
          <w:color w:val="5B9BD5" w:themeColor="accent1"/>
        </w:rPr>
        <w:t>Seliman</w:t>
      </w:r>
      <w:proofErr w:type="spellEnd"/>
      <w:r w:rsidR="00E11144" w:rsidRPr="00871092">
        <w:rPr>
          <w:rFonts w:asciiTheme="majorBidi" w:hAnsiTheme="majorBidi" w:cstheme="majorBidi"/>
          <w:color w:val="5B9BD5" w:themeColor="accent1"/>
        </w:rPr>
        <w:t xml:space="preserve"> et al., 2014;</w:t>
      </w:r>
      <w:r w:rsidR="00E11144">
        <w:rPr>
          <w:rFonts w:asciiTheme="majorBidi" w:hAnsiTheme="majorBidi" w:cstheme="majorBidi"/>
          <w:color w:val="5B9BD5" w:themeColor="accent1"/>
        </w:rPr>
        <w:t xml:space="preserve"> </w:t>
      </w:r>
      <w:proofErr w:type="spellStart"/>
      <w:r w:rsidRPr="00871092">
        <w:rPr>
          <w:rFonts w:asciiTheme="majorBidi" w:hAnsiTheme="majorBidi" w:cstheme="majorBidi"/>
          <w:color w:val="5B9BD5" w:themeColor="accent1"/>
        </w:rPr>
        <w:t>Harrou</w:t>
      </w:r>
      <w:proofErr w:type="spellEnd"/>
      <w:r w:rsidRPr="00871092">
        <w:rPr>
          <w:rFonts w:asciiTheme="majorBidi" w:hAnsiTheme="majorBidi" w:cstheme="majorBidi"/>
          <w:color w:val="5B9BD5" w:themeColor="accent1"/>
        </w:rPr>
        <w:t xml:space="preserve"> et al., 2024</w:t>
      </w:r>
      <w:r w:rsidRPr="00871092">
        <w:rPr>
          <w:rFonts w:asciiTheme="majorBidi" w:hAnsiTheme="majorBidi" w:cstheme="majorBidi"/>
          <w:color w:val="000000" w:themeColor="text1"/>
        </w:rPr>
        <w:t>). Bentonite effectively adsorbs Pb²⁺ ions at pH 5 via ion exchange and surface complexation, with adsorption capacity increasing at higher pH values</w:t>
      </w:r>
      <w:r w:rsidRPr="00871092" w:rsidDel="004B76FA">
        <w:rPr>
          <w:rFonts w:asciiTheme="majorBidi" w:hAnsiTheme="majorBidi" w:cstheme="majorBidi"/>
          <w:color w:val="000000" w:themeColor="text1"/>
        </w:rPr>
        <w:t xml:space="preserve"> </w:t>
      </w:r>
      <w:r w:rsidRPr="00871092">
        <w:rPr>
          <w:rFonts w:asciiTheme="majorBidi" w:hAnsiTheme="majorBidi" w:cstheme="majorBidi"/>
          <w:color w:val="000000" w:themeColor="text1"/>
        </w:rPr>
        <w:t>(</w:t>
      </w:r>
      <w:r w:rsidRPr="00871092">
        <w:rPr>
          <w:rFonts w:asciiTheme="majorBidi" w:hAnsiTheme="majorBidi" w:cstheme="majorBidi"/>
          <w:color w:val="5B9BD5" w:themeColor="accent1"/>
        </w:rPr>
        <w:t xml:space="preserve">Ait </w:t>
      </w:r>
      <w:proofErr w:type="spellStart"/>
      <w:r w:rsidRPr="00871092">
        <w:rPr>
          <w:rFonts w:asciiTheme="majorBidi" w:hAnsiTheme="majorBidi" w:cstheme="majorBidi"/>
          <w:color w:val="5B9BD5" w:themeColor="accent1"/>
        </w:rPr>
        <w:t>Hmeid</w:t>
      </w:r>
      <w:proofErr w:type="spellEnd"/>
      <w:r w:rsidRPr="00871092">
        <w:rPr>
          <w:rFonts w:asciiTheme="majorBidi" w:hAnsiTheme="majorBidi" w:cstheme="majorBidi"/>
          <w:color w:val="5B9BD5" w:themeColor="accent1"/>
        </w:rPr>
        <w:t xml:space="preserve"> et al., 2021</w:t>
      </w:r>
      <w:r w:rsidRPr="00871092">
        <w:rPr>
          <w:rFonts w:asciiTheme="majorBidi" w:hAnsiTheme="majorBidi" w:cstheme="majorBidi"/>
          <w:color w:val="000000" w:themeColor="text1"/>
        </w:rPr>
        <w:t>).</w:t>
      </w:r>
    </w:p>
    <w:p w14:paraId="7F5162EB" w14:textId="010FE366"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Although </w:t>
      </w:r>
      <w:r w:rsidR="001F542E">
        <w:rPr>
          <w:rFonts w:asciiTheme="majorBidi" w:hAnsiTheme="majorBidi" w:cstheme="majorBidi"/>
          <w:color w:val="000000" w:themeColor="text1"/>
        </w:rPr>
        <w:t xml:space="preserve">natural </w:t>
      </w:r>
      <w:r w:rsidRPr="00871092">
        <w:rPr>
          <w:rFonts w:asciiTheme="majorBidi" w:hAnsiTheme="majorBidi" w:cstheme="majorBidi"/>
          <w:color w:val="000000" w:themeColor="text1"/>
        </w:rPr>
        <w:t xml:space="preserve">kaolin generally showed lower reactivity due to its smaller surface area and limited exchange sites, </w:t>
      </w:r>
      <w:r w:rsidR="00576927">
        <w:rPr>
          <w:rFonts w:asciiTheme="majorBidi" w:hAnsiTheme="majorBidi" w:cstheme="majorBidi"/>
          <w:color w:val="000000" w:themeColor="text1"/>
        </w:rPr>
        <w:t xml:space="preserve">some </w:t>
      </w:r>
      <w:r w:rsidRPr="00871092">
        <w:rPr>
          <w:rFonts w:asciiTheme="majorBidi" w:hAnsiTheme="majorBidi" w:cstheme="majorBidi"/>
          <w:color w:val="000000" w:themeColor="text1"/>
        </w:rPr>
        <w:t>studies confirmed its ability to retain metal ions.</w:t>
      </w:r>
      <w:r w:rsidR="002741CD">
        <w:rPr>
          <w:rFonts w:asciiTheme="majorBidi" w:hAnsiTheme="majorBidi" w:cstheme="majorBidi"/>
          <w:color w:val="000000" w:themeColor="text1"/>
        </w:rPr>
        <w:t xml:space="preserve"> </w:t>
      </w:r>
      <w:r w:rsidR="00576927">
        <w:rPr>
          <w:rFonts w:asciiTheme="majorBidi" w:hAnsiTheme="majorBidi" w:cstheme="majorBidi"/>
          <w:color w:val="000000" w:themeColor="text1"/>
        </w:rPr>
        <w:t>For instance, i</w:t>
      </w:r>
      <w:r w:rsidR="00576927" w:rsidRPr="002741CD">
        <w:rPr>
          <w:rFonts w:asciiTheme="majorBidi" w:hAnsiTheme="majorBidi" w:cstheme="majorBidi"/>
          <w:color w:val="000000" w:themeColor="text1"/>
        </w:rPr>
        <w:t xml:space="preserve">n </w:t>
      </w:r>
      <w:r w:rsidR="002741CD" w:rsidRPr="002741CD">
        <w:rPr>
          <w:rFonts w:asciiTheme="majorBidi" w:hAnsiTheme="majorBidi" w:cstheme="majorBidi"/>
          <w:color w:val="000000" w:themeColor="text1"/>
        </w:rPr>
        <w:t>Morocc</w:t>
      </w:r>
      <w:r w:rsidR="00576927">
        <w:rPr>
          <w:rFonts w:asciiTheme="majorBidi" w:hAnsiTheme="majorBidi" w:cstheme="majorBidi"/>
          <w:color w:val="000000" w:themeColor="text1"/>
        </w:rPr>
        <w:t>o</w:t>
      </w:r>
      <w:r w:rsidR="002741CD" w:rsidRPr="002741CD">
        <w:rPr>
          <w:rFonts w:asciiTheme="majorBidi" w:hAnsiTheme="majorBidi" w:cstheme="majorBidi"/>
          <w:color w:val="000000" w:themeColor="text1"/>
        </w:rPr>
        <w:t xml:space="preserve">, </w:t>
      </w:r>
      <w:proofErr w:type="spellStart"/>
      <w:r w:rsidR="00576927">
        <w:rPr>
          <w:rFonts w:asciiTheme="majorBidi" w:hAnsiTheme="majorBidi" w:cstheme="majorBidi"/>
          <w:color w:val="000000" w:themeColor="text1"/>
        </w:rPr>
        <w:t>i</w:t>
      </w:r>
      <w:r w:rsidRPr="00871092">
        <w:rPr>
          <w:rFonts w:asciiTheme="majorBidi" w:hAnsiTheme="majorBidi" w:cstheme="majorBidi"/>
          <w:color w:val="000000" w:themeColor="text1"/>
        </w:rPr>
        <w:t>llitic</w:t>
      </w:r>
      <w:proofErr w:type="spellEnd"/>
      <w:r w:rsidRPr="00871092">
        <w:rPr>
          <w:rFonts w:asciiTheme="majorBidi" w:hAnsiTheme="majorBidi" w:cstheme="majorBidi"/>
          <w:color w:val="000000" w:themeColor="text1"/>
        </w:rPr>
        <w:t xml:space="preserve"> and kaolinitic clays from </w:t>
      </w:r>
      <w:proofErr w:type="spellStart"/>
      <w:r w:rsidRPr="00871092">
        <w:rPr>
          <w:rFonts w:asciiTheme="majorBidi" w:hAnsiTheme="majorBidi" w:cstheme="majorBidi"/>
          <w:color w:val="000000" w:themeColor="text1"/>
        </w:rPr>
        <w:t>Salé</w:t>
      </w:r>
      <w:proofErr w:type="spellEnd"/>
      <w:r w:rsidRPr="00871092">
        <w:rPr>
          <w:rFonts w:asciiTheme="majorBidi" w:hAnsiTheme="majorBidi" w:cstheme="majorBidi"/>
          <w:color w:val="000000" w:themeColor="text1"/>
        </w:rPr>
        <w:t xml:space="preserve"> shown to effectively adsorb Cu</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w:t>
      </w:r>
      <w:r w:rsidRPr="00871092">
        <w:rPr>
          <w:rFonts w:asciiTheme="majorBidi" w:hAnsiTheme="majorBidi" w:cstheme="majorBidi"/>
          <w:color w:val="5B9BD5" w:themeColor="accent1"/>
        </w:rPr>
        <w:t>Es-</w:t>
      </w:r>
      <w:proofErr w:type="spellStart"/>
      <w:r w:rsidRPr="00871092">
        <w:rPr>
          <w:rFonts w:asciiTheme="majorBidi" w:hAnsiTheme="majorBidi" w:cstheme="majorBidi"/>
          <w:color w:val="5B9BD5" w:themeColor="accent1"/>
        </w:rPr>
        <w:t>sahbany</w:t>
      </w:r>
      <w:proofErr w:type="spellEnd"/>
      <w:r w:rsidRPr="00871092">
        <w:rPr>
          <w:rFonts w:asciiTheme="majorBidi" w:hAnsiTheme="majorBidi" w:cstheme="majorBidi"/>
          <w:color w:val="5B9BD5" w:themeColor="accent1"/>
        </w:rPr>
        <w:t xml:space="preserve"> et al., 2016</w:t>
      </w:r>
      <w:r w:rsidRPr="00871092">
        <w:rPr>
          <w:rFonts w:asciiTheme="majorBidi" w:hAnsiTheme="majorBidi" w:cstheme="majorBidi"/>
          <w:color w:val="000000" w:themeColor="text1"/>
        </w:rPr>
        <w:t>)</w:t>
      </w:r>
      <w:r w:rsidR="001F542E">
        <w:rPr>
          <w:rFonts w:asciiTheme="majorBidi" w:hAnsiTheme="majorBidi" w:cstheme="majorBidi"/>
          <w:color w:val="000000" w:themeColor="text1"/>
        </w:rPr>
        <w:t xml:space="preserve">. In addition, </w:t>
      </w:r>
      <w:r w:rsidR="00576927">
        <w:rPr>
          <w:rFonts w:asciiTheme="majorBidi" w:hAnsiTheme="majorBidi" w:cstheme="majorBidi"/>
          <w:color w:val="000000" w:themeColor="text1"/>
        </w:rPr>
        <w:t>raw</w:t>
      </w:r>
      <w:r w:rsidR="00576927"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rPr>
        <w:t>clay from Marrakech mostly retained Cd</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Cu</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and Pb</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w:t>
      </w:r>
      <w:r w:rsidRPr="00871092">
        <w:rPr>
          <w:rFonts w:asciiTheme="majorBidi" w:hAnsiTheme="majorBidi" w:cstheme="majorBidi"/>
          <w:color w:val="5B9BD5" w:themeColor="accent1"/>
        </w:rPr>
        <w:t>Abbou et al., 2021</w:t>
      </w:r>
      <w:r w:rsidRPr="00871092">
        <w:rPr>
          <w:rFonts w:asciiTheme="majorBidi" w:hAnsiTheme="majorBidi" w:cstheme="majorBidi"/>
          <w:color w:val="000000" w:themeColor="text1"/>
        </w:rPr>
        <w:t xml:space="preserve">). </w:t>
      </w:r>
      <w:r w:rsidR="00C86A6C">
        <w:rPr>
          <w:rFonts w:asciiTheme="majorBidi" w:hAnsiTheme="majorBidi" w:cstheme="majorBidi"/>
          <w:color w:val="000000" w:themeColor="text1"/>
        </w:rPr>
        <w:t>Likely, c</w:t>
      </w:r>
      <w:r w:rsidR="00C86A6C" w:rsidRPr="00871092">
        <w:rPr>
          <w:rFonts w:asciiTheme="majorBidi" w:hAnsiTheme="majorBidi" w:cstheme="majorBidi"/>
          <w:color w:val="000000" w:themeColor="text1"/>
        </w:rPr>
        <w:t xml:space="preserve">lays </w:t>
      </w:r>
      <w:r w:rsidRPr="00871092">
        <w:rPr>
          <w:rFonts w:asciiTheme="majorBidi" w:hAnsiTheme="majorBidi" w:cstheme="majorBidi"/>
          <w:color w:val="000000" w:themeColor="text1"/>
        </w:rPr>
        <w:t>from northern Morocco also exhibited good Ni</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removal capacities (</w:t>
      </w:r>
      <w:r w:rsidRPr="00871092">
        <w:rPr>
          <w:rFonts w:asciiTheme="majorBidi" w:hAnsiTheme="majorBidi" w:cstheme="majorBidi"/>
          <w:color w:val="5B9BD5" w:themeColor="accent1"/>
        </w:rPr>
        <w:t>Bentahar et al., 2021; Loutfi et al., 2021</w:t>
      </w:r>
      <w:r w:rsidRPr="00871092">
        <w:rPr>
          <w:rFonts w:asciiTheme="majorBidi" w:hAnsiTheme="majorBidi" w:cstheme="majorBidi"/>
          <w:color w:val="000000" w:themeColor="text1"/>
        </w:rPr>
        <w:t xml:space="preserve">). </w:t>
      </w:r>
    </w:p>
    <w:p w14:paraId="704CBED7" w14:textId="0AE341A4" w:rsidR="00607CF3" w:rsidRPr="00871092" w:rsidRDefault="00607CF3" w:rsidP="00871092">
      <w:pPr>
        <w:spacing w:after="0" w:line="240" w:lineRule="auto"/>
        <w:jc w:val="both"/>
        <w:rPr>
          <w:rFonts w:asciiTheme="majorBidi" w:hAnsiTheme="majorBidi" w:cstheme="majorBidi"/>
          <w:color w:val="000000" w:themeColor="text1"/>
        </w:rPr>
      </w:pP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a smectite-rich clay found in the Middle Atlas Mountains, showed strong potential for contaminant removal under different pH conditions. It was demonstrated that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/alginate beads achieved efficient Cd</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removal, with adsorption described by Langmuir isotherms and pseudo-second-order kinetics (</w:t>
      </w:r>
      <w:proofErr w:type="spellStart"/>
      <w:r w:rsidRPr="00871092">
        <w:rPr>
          <w:rFonts w:asciiTheme="majorBidi" w:hAnsiTheme="majorBidi" w:cstheme="majorBidi"/>
          <w:color w:val="5B9BD5" w:themeColor="accent1"/>
        </w:rPr>
        <w:t>Achchatar</w:t>
      </w:r>
      <w:proofErr w:type="spellEnd"/>
      <w:r w:rsidRPr="00871092">
        <w:rPr>
          <w:rFonts w:asciiTheme="majorBidi" w:hAnsiTheme="majorBidi" w:cstheme="majorBidi"/>
          <w:color w:val="5B9BD5" w:themeColor="accent1"/>
        </w:rPr>
        <w:t xml:space="preserve"> et al., 2025</w:t>
      </w:r>
      <w:r w:rsidRPr="00871092">
        <w:rPr>
          <w:rFonts w:asciiTheme="majorBidi" w:hAnsiTheme="majorBidi" w:cstheme="majorBidi"/>
          <w:color w:val="000000" w:themeColor="text1"/>
        </w:rPr>
        <w:t>). Additionally, the uptake of Hg</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and Cr</w:t>
      </w:r>
      <w:r w:rsidRPr="00871092">
        <w:rPr>
          <w:rFonts w:asciiTheme="majorBidi" w:hAnsiTheme="majorBidi" w:cstheme="majorBidi"/>
          <w:color w:val="000000" w:themeColor="text1"/>
          <w:vertAlign w:val="superscript"/>
        </w:rPr>
        <w:t>6+</w:t>
      </w:r>
      <w:r w:rsidRPr="00871092">
        <w:rPr>
          <w:rFonts w:asciiTheme="majorBidi" w:hAnsiTheme="majorBidi" w:cstheme="majorBidi"/>
          <w:color w:val="000000" w:themeColor="text1"/>
        </w:rPr>
        <w:t xml:space="preserve"> by natural Moroccan </w:t>
      </w:r>
      <w:proofErr w:type="spellStart"/>
      <w:r w:rsidRPr="00871092">
        <w:rPr>
          <w:rFonts w:asciiTheme="majorBidi" w:hAnsiTheme="majorBidi" w:cstheme="majorBidi"/>
          <w:color w:val="000000" w:themeColor="text1"/>
        </w:rPr>
        <w:t>stevensite</w:t>
      </w:r>
      <w:proofErr w:type="spellEnd"/>
      <w:r w:rsidRPr="00871092">
        <w:rPr>
          <w:rFonts w:asciiTheme="majorBidi" w:hAnsiTheme="majorBidi" w:cstheme="majorBidi"/>
          <w:color w:val="000000" w:themeColor="text1"/>
        </w:rPr>
        <w:t xml:space="preserve"> has been confirmed under acidic to neutral pH conditions (</w:t>
      </w:r>
      <w:proofErr w:type="spellStart"/>
      <w:r w:rsidRPr="00871092">
        <w:rPr>
          <w:rFonts w:asciiTheme="majorBidi" w:hAnsiTheme="majorBidi" w:cstheme="majorBidi"/>
          <w:color w:val="5B9BD5" w:themeColor="accent1"/>
        </w:rPr>
        <w:t>Benhammou</w:t>
      </w:r>
      <w:proofErr w:type="spellEnd"/>
      <w:r w:rsidRPr="00871092">
        <w:rPr>
          <w:rFonts w:asciiTheme="majorBidi" w:hAnsiTheme="majorBidi" w:cstheme="majorBidi"/>
          <w:color w:val="5B9BD5" w:themeColor="accent1"/>
        </w:rPr>
        <w:t xml:space="preserve"> et al., 2005</w:t>
      </w:r>
      <w:r w:rsidRPr="00871092">
        <w:rPr>
          <w:rFonts w:asciiTheme="majorBidi" w:hAnsiTheme="majorBidi" w:cstheme="majorBidi"/>
          <w:color w:val="000000" w:themeColor="text1"/>
        </w:rPr>
        <w:t>).</w:t>
      </w:r>
    </w:p>
    <w:p w14:paraId="4B42267B" w14:textId="5B85AC87" w:rsidR="00607CF3" w:rsidRPr="00871092" w:rsidRDefault="00607CF3" w:rsidP="00EC263E">
      <w:pPr>
        <w:spacing w:after="0" w:line="240" w:lineRule="auto"/>
        <w:jc w:val="both"/>
        <w:rPr>
          <w:rFonts w:asciiTheme="majorBidi" w:hAnsiTheme="majorBidi" w:cstheme="majorBidi"/>
          <w:color w:val="000000" w:themeColor="text1"/>
        </w:rPr>
      </w:pPr>
      <w:proofErr w:type="spellStart"/>
      <w:r w:rsidRPr="00871092">
        <w:rPr>
          <w:rFonts w:asciiTheme="majorBidi" w:hAnsiTheme="majorBidi" w:cstheme="majorBidi"/>
          <w:color w:val="000000" w:themeColor="text1"/>
        </w:rPr>
        <w:lastRenderedPageBreak/>
        <w:t>Ghassoul</w:t>
      </w:r>
      <w:proofErr w:type="spellEnd"/>
      <w:r w:rsidRPr="00871092">
        <w:rPr>
          <w:rFonts w:asciiTheme="majorBidi" w:hAnsiTheme="majorBidi" w:cstheme="majorBidi"/>
          <w:color w:val="000000" w:themeColor="text1"/>
        </w:rPr>
        <w:t xml:space="preserve"> </w:t>
      </w:r>
      <w:r w:rsidR="00C86A6C">
        <w:rPr>
          <w:rFonts w:asciiTheme="majorBidi" w:hAnsiTheme="majorBidi" w:cstheme="majorBidi"/>
          <w:color w:val="000000" w:themeColor="text1"/>
        </w:rPr>
        <w:t>wa</w:t>
      </w:r>
      <w:r w:rsidR="00C86A6C" w:rsidRPr="00871092">
        <w:rPr>
          <w:rFonts w:asciiTheme="majorBidi" w:hAnsiTheme="majorBidi" w:cstheme="majorBidi"/>
          <w:color w:val="000000" w:themeColor="text1"/>
        </w:rPr>
        <w:t xml:space="preserve">s </w:t>
      </w:r>
      <w:r w:rsidR="00C86A6C">
        <w:rPr>
          <w:rFonts w:asciiTheme="majorBidi" w:hAnsiTheme="majorBidi" w:cstheme="majorBidi"/>
          <w:color w:val="000000" w:themeColor="text1"/>
        </w:rPr>
        <w:t>only found</w:t>
      </w:r>
      <w:r w:rsidRPr="00871092">
        <w:rPr>
          <w:rFonts w:asciiTheme="majorBidi" w:hAnsiTheme="majorBidi" w:cstheme="majorBidi"/>
          <w:color w:val="000000" w:themeColor="text1"/>
        </w:rPr>
        <w:t xml:space="preserve"> </w:t>
      </w:r>
      <w:r w:rsidR="00C86A6C">
        <w:rPr>
          <w:rFonts w:asciiTheme="majorBidi" w:hAnsiTheme="majorBidi" w:cstheme="majorBidi"/>
          <w:color w:val="000000" w:themeColor="text1"/>
        </w:rPr>
        <w:t xml:space="preserve">in </w:t>
      </w:r>
      <w:r w:rsidRPr="00871092">
        <w:rPr>
          <w:rFonts w:asciiTheme="majorBidi" w:hAnsiTheme="majorBidi" w:cstheme="majorBidi"/>
          <w:color w:val="000000" w:themeColor="text1"/>
        </w:rPr>
        <w:t>Morocc</w:t>
      </w:r>
      <w:r w:rsidR="00C86A6C">
        <w:rPr>
          <w:rFonts w:asciiTheme="majorBidi" w:hAnsiTheme="majorBidi" w:cstheme="majorBidi"/>
          <w:color w:val="000000" w:themeColor="text1"/>
        </w:rPr>
        <w:t>o</w:t>
      </w:r>
      <w:r w:rsidRPr="00871092">
        <w:rPr>
          <w:rFonts w:asciiTheme="majorBidi" w:hAnsiTheme="majorBidi" w:cstheme="majorBidi"/>
          <w:color w:val="000000" w:themeColor="text1"/>
        </w:rPr>
        <w:t xml:space="preserve">. However, </w:t>
      </w:r>
      <w:proofErr w:type="spellStart"/>
      <w:r w:rsidRPr="00871092">
        <w:rPr>
          <w:rFonts w:asciiTheme="majorBidi" w:hAnsiTheme="majorBidi" w:cstheme="majorBidi"/>
          <w:color w:val="000000" w:themeColor="text1"/>
        </w:rPr>
        <w:t>stevensite</w:t>
      </w:r>
      <w:proofErr w:type="spellEnd"/>
      <w:r w:rsidR="00C86A6C">
        <w:rPr>
          <w:rFonts w:asciiTheme="majorBidi" w:hAnsiTheme="majorBidi" w:cstheme="majorBidi"/>
          <w:color w:val="000000" w:themeColor="text1"/>
        </w:rPr>
        <w:t>-rich clay deposits</w:t>
      </w:r>
      <w:r w:rsidRPr="00871092">
        <w:rPr>
          <w:rFonts w:asciiTheme="majorBidi" w:hAnsiTheme="majorBidi" w:cstheme="majorBidi"/>
          <w:color w:val="000000" w:themeColor="text1"/>
        </w:rPr>
        <w:t>, do exist in other parts of the world, such as the Amargosa Desert (USA), the Mediterranean Madrid Basin (Spain), and Neogene magnesian clays in Anatolia (Turkey) (</w:t>
      </w:r>
      <w:r w:rsidRPr="00871092">
        <w:rPr>
          <w:rFonts w:asciiTheme="majorBidi" w:hAnsiTheme="majorBidi" w:cstheme="majorBidi"/>
          <w:color w:val="5B9BD5" w:themeColor="accent1"/>
        </w:rPr>
        <w:t xml:space="preserve">Eberl et al., 1982; </w:t>
      </w:r>
      <w:proofErr w:type="spellStart"/>
      <w:r w:rsidRPr="00871092">
        <w:rPr>
          <w:rFonts w:asciiTheme="majorBidi" w:hAnsiTheme="majorBidi" w:cstheme="majorBidi"/>
          <w:color w:val="5B9BD5" w:themeColor="accent1"/>
        </w:rPr>
        <w:t>Yeniyol</w:t>
      </w:r>
      <w:proofErr w:type="spellEnd"/>
      <w:r w:rsidRPr="00871092">
        <w:rPr>
          <w:rFonts w:asciiTheme="majorBidi" w:hAnsiTheme="majorBidi" w:cstheme="majorBidi"/>
          <w:color w:val="5B9BD5" w:themeColor="accent1"/>
        </w:rPr>
        <w:t>, 2014; Herranz and Pozo, 2022</w:t>
      </w:r>
      <w:r w:rsidRPr="00871092">
        <w:rPr>
          <w:rFonts w:asciiTheme="majorBidi" w:hAnsiTheme="majorBidi" w:cstheme="majorBidi"/>
          <w:color w:val="000000" w:themeColor="text1"/>
        </w:rPr>
        <w:t xml:space="preserve">). While </w:t>
      </w:r>
      <w:r w:rsidR="00EC263E" w:rsidRPr="00EC263E">
        <w:rPr>
          <w:rFonts w:asciiTheme="majorBidi" w:hAnsiTheme="majorBidi" w:cstheme="majorBidi"/>
          <w:color w:val="000000" w:themeColor="text1"/>
        </w:rPr>
        <w:t>smectite-rich soils from Anatolia, have been investigated through single and competitive batch sorption experiments</w:t>
      </w:r>
      <w:r w:rsidR="00EC263E">
        <w:rPr>
          <w:rFonts w:asciiTheme="majorBidi" w:hAnsiTheme="majorBidi" w:cstheme="majorBidi"/>
          <w:color w:val="000000" w:themeColor="text1"/>
        </w:rPr>
        <w:t xml:space="preserve">, </w:t>
      </w:r>
      <w:r w:rsidR="00EC263E" w:rsidRPr="00EC263E">
        <w:rPr>
          <w:rFonts w:asciiTheme="majorBidi" w:hAnsiTheme="majorBidi" w:cstheme="majorBidi"/>
          <w:color w:val="000000" w:themeColor="text1"/>
        </w:rPr>
        <w:t>revealing preferential adsorption of Pb</w:t>
      </w:r>
      <w:r w:rsidR="00EC263E" w:rsidRPr="000F084C">
        <w:rPr>
          <w:rFonts w:asciiTheme="majorBidi" w:hAnsiTheme="majorBidi" w:cstheme="majorBidi"/>
          <w:color w:val="000000" w:themeColor="text1"/>
          <w:vertAlign w:val="superscript"/>
        </w:rPr>
        <w:t>2+</w:t>
      </w:r>
      <w:r w:rsidR="00EC263E" w:rsidRPr="00EC263E">
        <w:rPr>
          <w:rFonts w:asciiTheme="majorBidi" w:hAnsiTheme="majorBidi" w:cstheme="majorBidi"/>
          <w:color w:val="000000" w:themeColor="text1"/>
        </w:rPr>
        <w:t xml:space="preserve"> and Cu</w:t>
      </w:r>
      <w:r w:rsidR="00EC263E" w:rsidRPr="000F084C">
        <w:rPr>
          <w:rFonts w:asciiTheme="majorBidi" w:hAnsiTheme="majorBidi" w:cstheme="majorBidi"/>
          <w:color w:val="000000" w:themeColor="text1"/>
          <w:vertAlign w:val="superscript"/>
        </w:rPr>
        <w:t>2+</w:t>
      </w:r>
      <w:r w:rsidR="00EC263E" w:rsidRPr="00EC263E">
        <w:rPr>
          <w:rFonts w:asciiTheme="majorBidi" w:hAnsiTheme="majorBidi" w:cstheme="majorBidi"/>
          <w:color w:val="000000" w:themeColor="text1"/>
        </w:rPr>
        <w:t xml:space="preserve"> relative to Cd</w:t>
      </w:r>
      <w:r w:rsidR="00EC263E" w:rsidRPr="000F084C">
        <w:rPr>
          <w:rFonts w:asciiTheme="majorBidi" w:hAnsiTheme="majorBidi" w:cstheme="majorBidi"/>
          <w:color w:val="000000" w:themeColor="text1"/>
          <w:vertAlign w:val="superscript"/>
        </w:rPr>
        <w:t>2+</w:t>
      </w:r>
      <w:r w:rsidR="00EC263E" w:rsidRPr="00EC263E">
        <w:rPr>
          <w:rFonts w:asciiTheme="majorBidi" w:hAnsiTheme="majorBidi" w:cstheme="majorBidi"/>
          <w:color w:val="000000" w:themeColor="text1"/>
        </w:rPr>
        <w:t xml:space="preserve"> and Zn</w:t>
      </w:r>
      <w:r w:rsidR="00EC263E" w:rsidRPr="000F084C">
        <w:rPr>
          <w:rFonts w:asciiTheme="majorBidi" w:hAnsiTheme="majorBidi" w:cstheme="majorBidi"/>
          <w:color w:val="000000" w:themeColor="text1"/>
          <w:vertAlign w:val="superscript"/>
        </w:rPr>
        <w:t>2+</w:t>
      </w:r>
      <w:r w:rsidR="00EC263E">
        <w:rPr>
          <w:rFonts w:asciiTheme="majorBidi" w:hAnsiTheme="majorBidi" w:cstheme="majorBidi"/>
          <w:color w:val="000000" w:themeColor="text1"/>
        </w:rPr>
        <w:t xml:space="preserve">, </w:t>
      </w:r>
      <w:r w:rsidR="00EC263E" w:rsidRPr="00EC263E">
        <w:rPr>
          <w:rFonts w:asciiTheme="majorBidi" w:hAnsiTheme="majorBidi" w:cstheme="majorBidi"/>
          <w:color w:val="000000" w:themeColor="text1"/>
        </w:rPr>
        <w:t>these studies do not examine the desorption behavior of these metals scope</w:t>
      </w:r>
      <w:r w:rsidR="00EC263E">
        <w:rPr>
          <w:rFonts w:asciiTheme="majorBidi" w:hAnsiTheme="majorBidi" w:cstheme="majorBidi"/>
          <w:color w:val="000000" w:themeColor="text1"/>
        </w:rPr>
        <w:t xml:space="preserve"> (</w:t>
      </w:r>
      <w:r w:rsidRPr="00871092">
        <w:rPr>
          <w:rFonts w:asciiTheme="majorBidi" w:hAnsiTheme="majorBidi" w:cstheme="majorBidi"/>
          <w:color w:val="5B9BD5" w:themeColor="accent1"/>
        </w:rPr>
        <w:t>Keçeci et al., 2020</w:t>
      </w:r>
      <w:r w:rsidRPr="00871092">
        <w:rPr>
          <w:rFonts w:asciiTheme="majorBidi" w:hAnsiTheme="majorBidi" w:cstheme="majorBidi"/>
          <w:color w:val="000000" w:themeColor="text1"/>
        </w:rPr>
        <w:t xml:space="preserve">). </w:t>
      </w:r>
    </w:p>
    <w:p w14:paraId="43CB1792" w14:textId="593E5578"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While the adsorption capacity of these clays </w:t>
      </w:r>
      <w:r w:rsidR="00C86A6C">
        <w:rPr>
          <w:rFonts w:asciiTheme="majorBidi" w:hAnsiTheme="majorBidi" w:cstheme="majorBidi"/>
          <w:color w:val="000000" w:themeColor="text1"/>
        </w:rPr>
        <w:t>was</w:t>
      </w:r>
      <w:r w:rsidRPr="00871092">
        <w:rPr>
          <w:rFonts w:asciiTheme="majorBidi" w:hAnsiTheme="majorBidi" w:cstheme="majorBidi"/>
          <w:color w:val="000000" w:themeColor="text1"/>
        </w:rPr>
        <w:t xml:space="preserve"> documented, few studies have assessed their behavior under environmental conditions, particularly regarding the potential remobilization of toxic elements from raw and unmodified clays. Most prior works have focused on controlled wastewater treatment scenarios involving chemically or structurally modified clays. Moreover, comparative environmental assessment of raw clays remains barely discussed. </w:t>
      </w:r>
    </w:p>
    <w:p w14:paraId="6154228A" w14:textId="4238DFE0"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To assess the contamination levels and potential environmental risks of raw clays, this study employed a suite of indices, </w:t>
      </w:r>
      <w:r w:rsidR="00C86A6C">
        <w:rPr>
          <w:rFonts w:asciiTheme="majorBidi" w:hAnsiTheme="majorBidi" w:cstheme="majorBidi"/>
          <w:color w:val="000000" w:themeColor="text1"/>
        </w:rPr>
        <w:t>i.e.</w:t>
      </w:r>
      <w:r w:rsidR="00C86A6C" w:rsidRPr="00871092">
        <w:rPr>
          <w:rFonts w:asciiTheme="majorBidi" w:hAnsiTheme="majorBidi" w:cstheme="majorBidi"/>
          <w:color w:val="000000" w:themeColor="text1"/>
        </w:rPr>
        <w:t xml:space="preserve"> </w:t>
      </w:r>
      <w:r w:rsidR="00C86A6C">
        <w:rPr>
          <w:rFonts w:asciiTheme="majorBidi" w:hAnsiTheme="majorBidi" w:cstheme="majorBidi"/>
          <w:color w:val="000000" w:themeColor="text1"/>
        </w:rPr>
        <w:t>s</w:t>
      </w:r>
      <w:r w:rsidR="00C86A6C" w:rsidRPr="00871092">
        <w:rPr>
          <w:rFonts w:asciiTheme="majorBidi" w:hAnsiTheme="majorBidi" w:cstheme="majorBidi"/>
          <w:color w:val="000000" w:themeColor="text1"/>
        </w:rPr>
        <w:t xml:space="preserve">ingle </w:t>
      </w:r>
      <w:r w:rsidR="00C86A6C">
        <w:rPr>
          <w:rFonts w:asciiTheme="majorBidi" w:hAnsiTheme="majorBidi" w:cstheme="majorBidi"/>
          <w:color w:val="000000" w:themeColor="text1"/>
        </w:rPr>
        <w:t>e</w:t>
      </w:r>
      <w:r w:rsidR="00C86A6C" w:rsidRPr="00871092">
        <w:rPr>
          <w:rFonts w:asciiTheme="majorBidi" w:hAnsiTheme="majorBidi" w:cstheme="majorBidi"/>
          <w:color w:val="000000" w:themeColor="text1"/>
        </w:rPr>
        <w:t xml:space="preserve">lement </w:t>
      </w:r>
      <w:r w:rsidR="00C86A6C">
        <w:rPr>
          <w:rFonts w:asciiTheme="majorBidi" w:hAnsiTheme="majorBidi" w:cstheme="majorBidi"/>
          <w:color w:val="000000" w:themeColor="text1"/>
        </w:rPr>
        <w:t>i</w:t>
      </w:r>
      <w:r w:rsidR="00C86A6C" w:rsidRPr="00871092">
        <w:rPr>
          <w:rFonts w:asciiTheme="majorBidi" w:hAnsiTheme="majorBidi" w:cstheme="majorBidi"/>
          <w:color w:val="000000" w:themeColor="text1"/>
        </w:rPr>
        <w:t>ndices</w:t>
      </w:r>
      <w:r w:rsidRPr="00871092">
        <w:rPr>
          <w:rFonts w:asciiTheme="majorBidi" w:hAnsiTheme="majorBidi" w:cstheme="majorBidi"/>
          <w:color w:val="000000" w:themeColor="text1"/>
        </w:rPr>
        <w:t xml:space="preserve">, </w:t>
      </w:r>
      <w:r w:rsidR="00C86A6C">
        <w:rPr>
          <w:rFonts w:asciiTheme="majorBidi" w:hAnsiTheme="majorBidi" w:cstheme="majorBidi"/>
          <w:color w:val="000000" w:themeColor="text1"/>
        </w:rPr>
        <w:t>m</w:t>
      </w:r>
      <w:r w:rsidR="00C86A6C" w:rsidRPr="00871092">
        <w:rPr>
          <w:rFonts w:asciiTheme="majorBidi" w:hAnsiTheme="majorBidi" w:cstheme="majorBidi"/>
          <w:color w:val="000000" w:themeColor="text1"/>
        </w:rPr>
        <w:t>ulti</w:t>
      </w:r>
      <w:r w:rsidRPr="00871092">
        <w:rPr>
          <w:rFonts w:asciiTheme="majorBidi" w:hAnsiTheme="majorBidi" w:cstheme="majorBidi"/>
          <w:color w:val="000000" w:themeColor="text1"/>
        </w:rPr>
        <w:t>-</w:t>
      </w:r>
      <w:r w:rsidR="00C86A6C">
        <w:rPr>
          <w:rFonts w:asciiTheme="majorBidi" w:hAnsiTheme="majorBidi" w:cstheme="majorBidi"/>
          <w:color w:val="000000" w:themeColor="text1"/>
        </w:rPr>
        <w:t>e</w:t>
      </w:r>
      <w:r w:rsidR="00C86A6C" w:rsidRPr="00871092">
        <w:rPr>
          <w:rFonts w:asciiTheme="majorBidi" w:hAnsiTheme="majorBidi" w:cstheme="majorBidi"/>
          <w:color w:val="000000" w:themeColor="text1"/>
        </w:rPr>
        <w:t>lement</w:t>
      </w:r>
      <w:r w:rsidRPr="00871092">
        <w:rPr>
          <w:rFonts w:asciiTheme="majorBidi" w:hAnsiTheme="majorBidi" w:cstheme="majorBidi"/>
          <w:color w:val="000000" w:themeColor="text1"/>
        </w:rPr>
        <w:t>/</w:t>
      </w:r>
      <w:r w:rsidR="00C86A6C">
        <w:rPr>
          <w:rFonts w:asciiTheme="majorBidi" w:hAnsiTheme="majorBidi" w:cstheme="majorBidi"/>
          <w:color w:val="000000" w:themeColor="text1"/>
        </w:rPr>
        <w:t>i</w:t>
      </w:r>
      <w:r w:rsidR="00C86A6C" w:rsidRPr="00871092">
        <w:rPr>
          <w:rFonts w:asciiTheme="majorBidi" w:hAnsiTheme="majorBidi" w:cstheme="majorBidi"/>
          <w:color w:val="000000" w:themeColor="text1"/>
        </w:rPr>
        <w:t xml:space="preserve">ntegrated </w:t>
      </w:r>
      <w:r w:rsidR="00C86A6C">
        <w:rPr>
          <w:rFonts w:asciiTheme="majorBidi" w:hAnsiTheme="majorBidi" w:cstheme="majorBidi"/>
          <w:color w:val="000000" w:themeColor="text1"/>
        </w:rPr>
        <w:t>i</w:t>
      </w:r>
      <w:r w:rsidR="00C86A6C" w:rsidRPr="00871092">
        <w:rPr>
          <w:rFonts w:asciiTheme="majorBidi" w:hAnsiTheme="majorBidi" w:cstheme="majorBidi"/>
          <w:color w:val="000000" w:themeColor="text1"/>
        </w:rPr>
        <w:t>ndices</w:t>
      </w:r>
      <w:r w:rsidRPr="00871092">
        <w:rPr>
          <w:rFonts w:asciiTheme="majorBidi" w:hAnsiTheme="majorBidi" w:cstheme="majorBidi"/>
          <w:color w:val="000000" w:themeColor="text1"/>
        </w:rPr>
        <w:t xml:space="preserve">, and a </w:t>
      </w:r>
      <w:r w:rsidR="00C86A6C">
        <w:rPr>
          <w:rFonts w:asciiTheme="majorBidi" w:hAnsiTheme="majorBidi" w:cstheme="majorBidi"/>
          <w:color w:val="000000" w:themeColor="text1"/>
        </w:rPr>
        <w:t>p</w:t>
      </w:r>
      <w:r w:rsidR="00C86A6C" w:rsidRPr="00871092">
        <w:rPr>
          <w:rFonts w:asciiTheme="majorBidi" w:hAnsiTheme="majorBidi" w:cstheme="majorBidi"/>
          <w:color w:val="000000" w:themeColor="text1"/>
        </w:rPr>
        <w:t xml:space="preserve">otential </w:t>
      </w:r>
      <w:r w:rsidR="00C86A6C">
        <w:rPr>
          <w:rFonts w:asciiTheme="majorBidi" w:hAnsiTheme="majorBidi" w:cstheme="majorBidi"/>
          <w:color w:val="000000" w:themeColor="text1"/>
        </w:rPr>
        <w:t>e</w:t>
      </w:r>
      <w:r w:rsidR="00C86A6C" w:rsidRPr="00871092">
        <w:rPr>
          <w:rFonts w:asciiTheme="majorBidi" w:hAnsiTheme="majorBidi" w:cstheme="majorBidi"/>
          <w:color w:val="000000" w:themeColor="text1"/>
        </w:rPr>
        <w:t xml:space="preserve">cological </w:t>
      </w:r>
      <w:r w:rsidR="00C86A6C">
        <w:rPr>
          <w:rFonts w:asciiTheme="majorBidi" w:hAnsiTheme="majorBidi" w:cstheme="majorBidi"/>
          <w:color w:val="000000" w:themeColor="text1"/>
        </w:rPr>
        <w:t>r</w:t>
      </w:r>
      <w:r w:rsidR="00C86A6C" w:rsidRPr="00871092">
        <w:rPr>
          <w:rFonts w:asciiTheme="majorBidi" w:hAnsiTheme="majorBidi" w:cstheme="majorBidi"/>
          <w:color w:val="000000" w:themeColor="text1"/>
        </w:rPr>
        <w:t xml:space="preserve">isk </w:t>
      </w:r>
      <w:r w:rsidR="00C86A6C">
        <w:rPr>
          <w:rFonts w:asciiTheme="majorBidi" w:hAnsiTheme="majorBidi" w:cstheme="majorBidi"/>
          <w:color w:val="000000" w:themeColor="text1"/>
        </w:rPr>
        <w:t>a</w:t>
      </w:r>
      <w:r w:rsidR="00C86A6C" w:rsidRPr="00871092">
        <w:rPr>
          <w:rFonts w:asciiTheme="majorBidi" w:hAnsiTheme="majorBidi" w:cstheme="majorBidi"/>
          <w:color w:val="000000" w:themeColor="text1"/>
        </w:rPr>
        <w:t>ssessment</w:t>
      </w:r>
      <w:r w:rsidRPr="00871092">
        <w:rPr>
          <w:rFonts w:asciiTheme="majorBidi" w:hAnsiTheme="majorBidi" w:cstheme="majorBidi"/>
          <w:color w:val="000000" w:themeColor="text1"/>
        </w:rPr>
        <w:t>. Furthermore, a standardized batch leaching protocol (EN 12457-4 test) was applied. This test provides an operational definition of release under water-saturated conditions and allows for direct benchmarking against the EU Waste Acceptance Criteria (</w:t>
      </w:r>
      <w:r w:rsidRPr="00871092">
        <w:rPr>
          <w:rFonts w:asciiTheme="majorBidi" w:hAnsiTheme="majorBidi" w:cstheme="majorBidi"/>
          <w:color w:val="5B9BD5" w:themeColor="accent1"/>
        </w:rPr>
        <w:t>Council Decision 2003</w:t>
      </w:r>
      <w:r w:rsidRPr="00871092">
        <w:rPr>
          <w:rFonts w:asciiTheme="majorBidi" w:hAnsiTheme="majorBidi" w:cstheme="majorBidi"/>
          <w:color w:val="000000" w:themeColor="text1"/>
        </w:rPr>
        <w:t>).</w:t>
      </w:r>
      <w:r w:rsidR="002949CF">
        <w:rPr>
          <w:rFonts w:asciiTheme="majorBidi" w:hAnsiTheme="majorBidi" w:cstheme="majorBidi"/>
          <w:color w:val="000000" w:themeColor="text1"/>
        </w:rPr>
        <w:t xml:space="preserve"> </w:t>
      </w:r>
      <w:r w:rsidRPr="00871092">
        <w:rPr>
          <w:rFonts w:asciiTheme="majorBidi" w:hAnsiTheme="majorBidi" w:cstheme="majorBidi"/>
          <w:color w:val="000000" w:themeColor="text1"/>
        </w:rPr>
        <w:t>This procedure offers insights into the degree of metal pollution, natural versus anthropogenic contributions (</w:t>
      </w:r>
      <w:r w:rsidRPr="00871092">
        <w:rPr>
          <w:rFonts w:asciiTheme="majorBidi" w:hAnsiTheme="majorBidi" w:cstheme="majorBidi"/>
          <w:color w:val="5B9BD5" w:themeColor="accent1"/>
        </w:rPr>
        <w:t>Ghosh et al., 2019; Shaheen et al., 2019; Mensah et al., 2020</w:t>
      </w:r>
      <w:r w:rsidRPr="00871092">
        <w:rPr>
          <w:rFonts w:asciiTheme="majorBidi" w:hAnsiTheme="majorBidi" w:cstheme="majorBidi"/>
          <w:color w:val="000000" w:themeColor="text1"/>
        </w:rPr>
        <w:t>). In addition, a human health risk assessment index was employed to evaluate potential non-carcinogenic and carcinogenic risks linked to exposure to potentially toxic elements (</w:t>
      </w:r>
      <w:r w:rsidRPr="00871092">
        <w:rPr>
          <w:rFonts w:asciiTheme="majorBidi" w:hAnsiTheme="majorBidi" w:cstheme="majorBidi"/>
          <w:color w:val="5B9BD5" w:themeColor="accent1"/>
        </w:rPr>
        <w:t>USEPA, 2001; ATSDR, 2007</w:t>
      </w:r>
      <w:r w:rsidRPr="00871092">
        <w:rPr>
          <w:rFonts w:asciiTheme="majorBidi" w:hAnsiTheme="majorBidi" w:cstheme="majorBidi"/>
          <w:color w:val="000000" w:themeColor="text1"/>
        </w:rPr>
        <w:t xml:space="preserve">). </w:t>
      </w:r>
    </w:p>
    <w:p w14:paraId="73BDF48D" w14:textId="3B3394B8" w:rsidR="00607CF3" w:rsidRPr="00871092" w:rsidRDefault="00C86A6C" w:rsidP="00871092">
      <w:pPr>
        <w:spacing w:after="0" w:line="240" w:lineRule="auto"/>
        <w:jc w:val="both"/>
        <w:rPr>
          <w:rFonts w:asciiTheme="majorBidi" w:hAnsiTheme="majorBidi" w:cstheme="majorBidi"/>
          <w:strike/>
          <w:color w:val="000000" w:themeColor="text1"/>
        </w:rPr>
      </w:pPr>
      <w:r>
        <w:rPr>
          <w:rFonts w:asciiTheme="majorBidi" w:hAnsiTheme="majorBidi" w:cstheme="majorBidi"/>
          <w:color w:val="000000" w:themeColor="text1"/>
        </w:rPr>
        <w:t>T</w:t>
      </w:r>
      <w:r w:rsidR="00607CF3" w:rsidRPr="00871092">
        <w:rPr>
          <w:rFonts w:asciiTheme="majorBidi" w:hAnsiTheme="majorBidi" w:cstheme="majorBidi"/>
          <w:color w:val="000000" w:themeColor="text1"/>
        </w:rPr>
        <w:t xml:space="preserve">his study aims to compare and characterize the pollution and risk profiles of bentonite, </w:t>
      </w:r>
      <w:proofErr w:type="spellStart"/>
      <w:r w:rsidR="00607CF3" w:rsidRPr="00871092">
        <w:rPr>
          <w:rFonts w:asciiTheme="majorBidi" w:hAnsiTheme="majorBidi" w:cstheme="majorBidi"/>
          <w:color w:val="000000" w:themeColor="text1"/>
        </w:rPr>
        <w:t>ghassoul</w:t>
      </w:r>
      <w:proofErr w:type="spellEnd"/>
      <w:r w:rsidR="00607CF3" w:rsidRPr="00871092">
        <w:rPr>
          <w:rFonts w:asciiTheme="majorBidi" w:hAnsiTheme="majorBidi" w:cstheme="majorBidi"/>
          <w:color w:val="000000" w:themeColor="text1"/>
        </w:rPr>
        <w:t xml:space="preserve">, and kaolin from Moroccan deposits, thereby providing a </w:t>
      </w:r>
      <w:r>
        <w:rPr>
          <w:rFonts w:asciiTheme="majorBidi" w:hAnsiTheme="majorBidi" w:cstheme="majorBidi"/>
          <w:color w:val="000000" w:themeColor="text1"/>
        </w:rPr>
        <w:t>better</w:t>
      </w:r>
      <w:r w:rsidRPr="00871092">
        <w:rPr>
          <w:rFonts w:asciiTheme="majorBidi" w:hAnsiTheme="majorBidi" w:cstheme="majorBidi"/>
          <w:color w:val="000000" w:themeColor="text1"/>
        </w:rPr>
        <w:t xml:space="preserve"> </w:t>
      </w:r>
      <w:r w:rsidR="00607CF3" w:rsidRPr="00871092">
        <w:rPr>
          <w:rFonts w:asciiTheme="majorBidi" w:hAnsiTheme="majorBidi" w:cstheme="majorBidi"/>
          <w:color w:val="000000" w:themeColor="text1"/>
        </w:rPr>
        <w:t xml:space="preserve">understanding of their suitability for environmental and industrial applications. </w:t>
      </w:r>
      <w:bookmarkStart w:id="2" w:name="_Hlk187772333"/>
    </w:p>
    <w:p w14:paraId="595BBF0E" w14:textId="77777777" w:rsidR="00607CF3" w:rsidRPr="00871092" w:rsidRDefault="00607CF3" w:rsidP="00871092">
      <w:pPr>
        <w:spacing w:after="0" w:line="240" w:lineRule="auto"/>
        <w:jc w:val="both"/>
        <w:rPr>
          <w:rFonts w:asciiTheme="majorBidi" w:hAnsiTheme="majorBidi" w:cstheme="majorBidi"/>
          <w:color w:val="000000" w:themeColor="text1"/>
        </w:rPr>
      </w:pPr>
    </w:p>
    <w:bookmarkEnd w:id="2"/>
    <w:p w14:paraId="2FBD636A" w14:textId="77777777" w:rsidR="00607CF3" w:rsidRPr="00871092" w:rsidRDefault="00607CF3" w:rsidP="00871092">
      <w:pPr>
        <w:pStyle w:val="Titre1"/>
        <w:spacing w:before="0" w:after="0" w:line="240" w:lineRule="auto"/>
        <w:rPr>
          <w:color w:val="000000" w:themeColor="text1"/>
          <w:sz w:val="22"/>
          <w:szCs w:val="22"/>
        </w:rPr>
      </w:pPr>
      <w:r w:rsidRPr="00871092">
        <w:rPr>
          <w:color w:val="000000" w:themeColor="text1"/>
          <w:sz w:val="22"/>
          <w:szCs w:val="22"/>
        </w:rPr>
        <w:t xml:space="preserve">Material and methods </w:t>
      </w:r>
    </w:p>
    <w:p w14:paraId="0F9B9F7E" w14:textId="77777777" w:rsidR="00607CF3" w:rsidRPr="00871092" w:rsidRDefault="00607CF3" w:rsidP="00871092">
      <w:pPr>
        <w:pStyle w:val="Titre2"/>
        <w:spacing w:before="0" w:after="0" w:line="240" w:lineRule="auto"/>
        <w:rPr>
          <w:rFonts w:cstheme="majorBidi"/>
          <w:color w:val="000000" w:themeColor="text1"/>
          <w:sz w:val="22"/>
          <w:szCs w:val="22"/>
        </w:rPr>
      </w:pPr>
      <w:r w:rsidRPr="00871092">
        <w:rPr>
          <w:rFonts w:cstheme="majorBidi"/>
          <w:color w:val="000000" w:themeColor="text1"/>
          <w:sz w:val="22"/>
          <w:szCs w:val="22"/>
        </w:rPr>
        <w:t xml:space="preserve">Sampling </w:t>
      </w:r>
    </w:p>
    <w:p w14:paraId="5CB13E9B" w14:textId="2E8B5F2A" w:rsidR="00607CF3"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A satellite image showing the geographical locations of the three clay deposits selected for this study, chosen for their industrial relevance and geological significance, </w:t>
      </w:r>
      <w:r w:rsidR="00C86A6C">
        <w:rPr>
          <w:rFonts w:asciiTheme="majorBidi" w:hAnsiTheme="majorBidi" w:cstheme="majorBidi"/>
          <w:color w:val="000000" w:themeColor="text1"/>
        </w:rPr>
        <w:t>is</w:t>
      </w:r>
      <w:r w:rsidR="00C86A6C"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rPr>
        <w:t xml:space="preserve">presented </w:t>
      </w:r>
      <w:r w:rsidR="00C86A6C">
        <w:rPr>
          <w:rFonts w:asciiTheme="majorBidi" w:hAnsiTheme="majorBidi" w:cstheme="majorBidi"/>
          <w:color w:val="000000" w:themeColor="text1"/>
        </w:rPr>
        <w:t>o</w:t>
      </w:r>
      <w:r w:rsidR="00C86A6C" w:rsidRPr="00871092">
        <w:rPr>
          <w:rFonts w:asciiTheme="majorBidi" w:hAnsiTheme="majorBidi" w:cstheme="majorBidi"/>
          <w:color w:val="000000" w:themeColor="text1"/>
        </w:rPr>
        <w:t xml:space="preserve">n </w:t>
      </w:r>
      <w:r w:rsidR="00526480" w:rsidRPr="00871092">
        <w:rPr>
          <w:rFonts w:asciiTheme="majorBidi" w:hAnsiTheme="majorBidi" w:cstheme="majorBidi"/>
          <w:color w:val="5B9BD5" w:themeColor="accent1"/>
        </w:rPr>
        <w:t>Fig</w:t>
      </w:r>
      <w:r w:rsidR="00F57FC8">
        <w:rPr>
          <w:rFonts w:asciiTheme="majorBidi" w:hAnsiTheme="majorBidi" w:cstheme="majorBidi"/>
          <w:color w:val="5B9BD5" w:themeColor="accent1"/>
        </w:rPr>
        <w:t>.</w:t>
      </w:r>
      <w:r w:rsidRPr="00871092">
        <w:rPr>
          <w:rFonts w:asciiTheme="majorBidi" w:hAnsiTheme="majorBidi" w:cstheme="majorBidi"/>
          <w:color w:val="5B9BD5" w:themeColor="accent1"/>
        </w:rPr>
        <w:t xml:space="preserve"> 1</w:t>
      </w:r>
      <w:r w:rsidRPr="00871092">
        <w:rPr>
          <w:rFonts w:asciiTheme="majorBidi" w:hAnsiTheme="majorBidi" w:cstheme="majorBidi"/>
          <w:color w:val="000000" w:themeColor="text1"/>
        </w:rPr>
        <w:t xml:space="preserve">. The sampling sites include bentonite from the Trebia deposit near </w:t>
      </w:r>
      <w:proofErr w:type="spellStart"/>
      <w:r w:rsidRPr="00871092">
        <w:rPr>
          <w:rFonts w:asciiTheme="majorBidi" w:hAnsiTheme="majorBidi" w:cstheme="majorBidi"/>
          <w:color w:val="000000" w:themeColor="text1"/>
        </w:rPr>
        <w:t>Nador</w:t>
      </w:r>
      <w:proofErr w:type="spellEnd"/>
      <w:r w:rsidRPr="00871092">
        <w:rPr>
          <w:rFonts w:asciiTheme="majorBidi" w:hAnsiTheme="majorBidi" w:cstheme="majorBidi"/>
          <w:color w:val="000000" w:themeColor="text1"/>
        </w:rPr>
        <w:t xml:space="preserve"> (35°7'60"N; 3°6'18"W), kaolin from the </w:t>
      </w:r>
      <w:proofErr w:type="spellStart"/>
      <w:r w:rsidRPr="00871092">
        <w:rPr>
          <w:rFonts w:asciiTheme="majorBidi" w:hAnsiTheme="majorBidi" w:cstheme="majorBidi"/>
          <w:color w:val="000000" w:themeColor="text1"/>
        </w:rPr>
        <w:t>Guenfouda</w:t>
      </w:r>
      <w:proofErr w:type="spellEnd"/>
      <w:r w:rsidRPr="00871092">
        <w:rPr>
          <w:rFonts w:asciiTheme="majorBidi" w:hAnsiTheme="majorBidi" w:cstheme="majorBidi"/>
          <w:color w:val="000000" w:themeColor="text1"/>
        </w:rPr>
        <w:t xml:space="preserve"> deposit south of Oujda (34°26'20"N; 2°02'32"W), and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(a smectite-rich clay) from the </w:t>
      </w:r>
      <w:proofErr w:type="spellStart"/>
      <w:r w:rsidRPr="00871092">
        <w:rPr>
          <w:rFonts w:asciiTheme="majorBidi" w:hAnsiTheme="majorBidi" w:cstheme="majorBidi"/>
          <w:color w:val="000000" w:themeColor="text1"/>
        </w:rPr>
        <w:t>Tamdefelt</w:t>
      </w:r>
      <w:proofErr w:type="spellEnd"/>
      <w:r w:rsidRPr="00871092">
        <w:rPr>
          <w:rFonts w:asciiTheme="majorBidi" w:hAnsiTheme="majorBidi" w:cstheme="majorBidi"/>
          <w:color w:val="000000" w:themeColor="text1"/>
        </w:rPr>
        <w:t xml:space="preserve"> deposit in </w:t>
      </w:r>
      <w:proofErr w:type="spellStart"/>
      <w:r w:rsidRPr="00871092">
        <w:rPr>
          <w:rFonts w:asciiTheme="majorBidi" w:hAnsiTheme="majorBidi" w:cstheme="majorBidi"/>
          <w:color w:val="000000" w:themeColor="text1"/>
        </w:rPr>
        <w:t>Jbel</w:t>
      </w:r>
      <w:proofErr w:type="spellEnd"/>
      <w:r w:rsidRPr="00871092">
        <w:rPr>
          <w:rFonts w:asciiTheme="majorBidi" w:hAnsiTheme="majorBidi" w:cstheme="majorBidi"/>
          <w:color w:val="000000" w:themeColor="text1"/>
        </w:rPr>
        <w:t xml:space="preserve">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near </w:t>
      </w:r>
      <w:proofErr w:type="spellStart"/>
      <w:r w:rsidRPr="00871092">
        <w:rPr>
          <w:rFonts w:asciiTheme="majorBidi" w:hAnsiTheme="majorBidi" w:cstheme="majorBidi"/>
          <w:color w:val="000000" w:themeColor="text1"/>
        </w:rPr>
        <w:t>Missour</w:t>
      </w:r>
      <w:proofErr w:type="spellEnd"/>
      <w:r w:rsidRPr="00871092">
        <w:rPr>
          <w:rFonts w:asciiTheme="majorBidi" w:hAnsiTheme="majorBidi" w:cstheme="majorBidi"/>
          <w:color w:val="000000" w:themeColor="text1"/>
        </w:rPr>
        <w:t xml:space="preserve"> (32°57'47"N; 4°19'40"W). </w:t>
      </w:r>
      <w:r w:rsidR="00C86A6C">
        <w:rPr>
          <w:rFonts w:asciiTheme="majorBidi" w:hAnsiTheme="majorBidi" w:cstheme="majorBidi"/>
          <w:color w:val="000000" w:themeColor="text1"/>
        </w:rPr>
        <w:t xml:space="preserve">For </w:t>
      </w:r>
      <w:r w:rsidRPr="00871092">
        <w:rPr>
          <w:rFonts w:asciiTheme="majorBidi" w:hAnsiTheme="majorBidi" w:cstheme="majorBidi"/>
          <w:color w:val="000000" w:themeColor="text1"/>
        </w:rPr>
        <w:t>each site, three surface samples (0-30 cm depth) were collected. Samples were subsequently air-dried for 24 hours in a laboratory oven, ground using an electric mill, and sieved through a 250 µm mesh to obtain fine fractions suitable for analysis. The</w:t>
      </w:r>
      <w:r w:rsidR="00C86A6C">
        <w:rPr>
          <w:rFonts w:asciiTheme="majorBidi" w:hAnsiTheme="majorBidi" w:cstheme="majorBidi"/>
          <w:color w:val="000000" w:themeColor="text1"/>
        </w:rPr>
        <w:t xml:space="preserve"> </w:t>
      </w:r>
      <w:r w:rsidRPr="00871092">
        <w:rPr>
          <w:rFonts w:asciiTheme="majorBidi" w:hAnsiTheme="majorBidi" w:cstheme="majorBidi"/>
          <w:color w:val="000000" w:themeColor="text1"/>
        </w:rPr>
        <w:t xml:space="preserve">samples were </w:t>
      </w:r>
      <w:r w:rsidR="00C86A6C">
        <w:rPr>
          <w:rFonts w:asciiTheme="majorBidi" w:hAnsiTheme="majorBidi" w:cstheme="majorBidi"/>
          <w:color w:val="000000" w:themeColor="text1"/>
        </w:rPr>
        <w:t>analysed</w:t>
      </w:r>
      <w:r w:rsidRPr="00871092">
        <w:rPr>
          <w:rFonts w:asciiTheme="majorBidi" w:hAnsiTheme="majorBidi" w:cstheme="majorBidi"/>
          <w:color w:val="000000" w:themeColor="text1"/>
        </w:rPr>
        <w:t xml:space="preserve"> </w:t>
      </w:r>
      <w:r w:rsidR="00C86A6C">
        <w:rPr>
          <w:rFonts w:asciiTheme="majorBidi" w:hAnsiTheme="majorBidi" w:cstheme="majorBidi"/>
          <w:color w:val="000000" w:themeColor="text1"/>
        </w:rPr>
        <w:t>for</w:t>
      </w:r>
      <w:r w:rsidR="00C86A6C"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rPr>
        <w:t>mineralogical, chemical, and leaching analyses to evaluate their composition and the potential mobility of toxic elements (Ag, As, Cd, Co, Cr, Cu, Li, Mn, Mo, Ni, Pb, Se, Sn, V, Zn)</w:t>
      </w:r>
      <w:r w:rsidRPr="00871092" w:rsidDel="00762E14">
        <w:rPr>
          <w:rFonts w:asciiTheme="majorBidi" w:hAnsiTheme="majorBidi" w:cstheme="majorBidi"/>
          <w:color w:val="000000" w:themeColor="text1"/>
        </w:rPr>
        <w:t xml:space="preserve"> </w:t>
      </w:r>
      <w:r w:rsidRPr="00871092">
        <w:rPr>
          <w:rFonts w:asciiTheme="majorBidi" w:hAnsiTheme="majorBidi" w:cstheme="majorBidi"/>
          <w:color w:val="000000" w:themeColor="text1"/>
        </w:rPr>
        <w:t>and radionuclides (Po, U, Th, Ra).</w:t>
      </w:r>
    </w:p>
    <w:p w14:paraId="39784AEA" w14:textId="67342B86" w:rsidR="00F57FC8" w:rsidRDefault="00E70CA3" w:rsidP="000F084C">
      <w:pPr>
        <w:spacing w:after="0" w:line="240" w:lineRule="auto"/>
        <w:jc w:val="center"/>
        <w:rPr>
          <w:rFonts w:asciiTheme="majorBidi" w:hAnsiTheme="majorBidi" w:cstheme="majorBidi"/>
          <w:b/>
          <w:bCs/>
          <w:color w:val="000000" w:themeColor="text1"/>
        </w:rPr>
      </w:pPr>
      <w:r>
        <w:rPr>
          <w:rFonts w:asciiTheme="majorBidi" w:hAnsiTheme="majorBidi" w:cstheme="majorBidi"/>
          <w:b/>
          <w:bCs/>
          <w:color w:val="000000" w:themeColor="text1"/>
        </w:rPr>
        <w:lastRenderedPageBreak/>
        <w:pict w14:anchorId="50782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406.65pt">
            <v:imagedata r:id="rId11" o:title="Map Clays studied Achraf-GSMI-01-24-11"/>
          </v:shape>
        </w:pict>
      </w:r>
    </w:p>
    <w:p w14:paraId="5F3E6E73" w14:textId="7ABF347B" w:rsidR="00F57FC8" w:rsidRPr="000F084C" w:rsidRDefault="00F57FC8" w:rsidP="000F084C">
      <w:pPr>
        <w:pStyle w:val="Lgende"/>
        <w:spacing w:line="276" w:lineRule="auto"/>
        <w:jc w:val="center"/>
        <w:rPr>
          <w:rFonts w:asciiTheme="majorBidi" w:hAnsiTheme="majorBidi" w:cstheme="majorBidi"/>
          <w:b w:val="0"/>
          <w:bCs w:val="0"/>
          <w:color w:val="000000" w:themeColor="text1"/>
        </w:rPr>
      </w:pPr>
      <w:r w:rsidRPr="00B241D4">
        <w:rPr>
          <w:rFonts w:asciiTheme="majorBidi" w:hAnsiTheme="majorBidi" w:cstheme="majorBidi"/>
          <w:color w:val="000000" w:themeColor="text1"/>
          <w:sz w:val="22"/>
          <w:szCs w:val="22"/>
        </w:rPr>
        <w:t xml:space="preserve">Fig. </w:t>
      </w:r>
      <w:r w:rsidRPr="00B241D4">
        <w:rPr>
          <w:rFonts w:asciiTheme="majorBidi" w:hAnsiTheme="majorBidi" w:cstheme="majorBidi"/>
          <w:color w:val="000000" w:themeColor="text1"/>
          <w:sz w:val="22"/>
          <w:szCs w:val="22"/>
        </w:rPr>
        <w:fldChar w:fldCharType="begin"/>
      </w:r>
      <w:r w:rsidRPr="00B241D4">
        <w:rPr>
          <w:rFonts w:asciiTheme="majorBidi" w:hAnsiTheme="majorBidi" w:cstheme="majorBidi"/>
          <w:color w:val="000000" w:themeColor="text1"/>
          <w:sz w:val="22"/>
          <w:szCs w:val="22"/>
        </w:rPr>
        <w:instrText xml:space="preserve"> SEQ Figure \* ARABIC </w:instrText>
      </w:r>
      <w:r w:rsidRPr="00B241D4">
        <w:rPr>
          <w:rFonts w:asciiTheme="majorBidi" w:hAnsiTheme="majorBidi" w:cstheme="majorBidi"/>
          <w:color w:val="000000" w:themeColor="text1"/>
          <w:sz w:val="22"/>
          <w:szCs w:val="22"/>
        </w:rPr>
        <w:fldChar w:fldCharType="separate"/>
      </w:r>
      <w:r w:rsidRPr="00B241D4">
        <w:rPr>
          <w:rFonts w:asciiTheme="majorBidi" w:hAnsiTheme="majorBidi" w:cstheme="majorBidi"/>
          <w:color w:val="000000" w:themeColor="text1"/>
          <w:sz w:val="22"/>
          <w:szCs w:val="22"/>
        </w:rPr>
        <w:t>1</w:t>
      </w:r>
      <w:r w:rsidRPr="00B241D4">
        <w:rPr>
          <w:rFonts w:asciiTheme="majorBidi" w:hAnsiTheme="majorBidi" w:cstheme="majorBidi"/>
          <w:color w:val="000000" w:themeColor="text1"/>
          <w:sz w:val="22"/>
          <w:szCs w:val="22"/>
        </w:rPr>
        <w:fldChar w:fldCharType="end"/>
      </w:r>
      <w:r w:rsidRPr="00B241D4">
        <w:rPr>
          <w:rFonts w:asciiTheme="majorBidi" w:hAnsiTheme="majorBidi" w:cstheme="majorBidi"/>
          <w:color w:val="000000" w:themeColor="text1"/>
          <w:sz w:val="22"/>
          <w:szCs w:val="22"/>
        </w:rPr>
        <w:t xml:space="preserve"> </w:t>
      </w:r>
      <w:r w:rsidRPr="00B241D4">
        <w:rPr>
          <w:rFonts w:asciiTheme="majorBidi" w:hAnsiTheme="majorBidi" w:cstheme="majorBidi"/>
          <w:b w:val="0"/>
          <w:bCs w:val="0"/>
          <w:color w:val="000000" w:themeColor="text1"/>
          <w:sz w:val="22"/>
          <w:szCs w:val="22"/>
        </w:rPr>
        <w:t xml:space="preserve">Satellite-based spatial localization of bentonite, kaolin, and </w:t>
      </w:r>
      <w:proofErr w:type="spellStart"/>
      <w:r w:rsidRPr="00B241D4">
        <w:rPr>
          <w:rFonts w:asciiTheme="majorBidi" w:hAnsiTheme="majorBidi" w:cstheme="majorBidi"/>
          <w:b w:val="0"/>
          <w:bCs w:val="0"/>
          <w:color w:val="000000" w:themeColor="text1"/>
          <w:sz w:val="22"/>
          <w:szCs w:val="22"/>
        </w:rPr>
        <w:t>ghassoul</w:t>
      </w:r>
      <w:proofErr w:type="spellEnd"/>
      <w:r w:rsidRPr="00B241D4">
        <w:rPr>
          <w:rFonts w:asciiTheme="majorBidi" w:hAnsiTheme="majorBidi" w:cstheme="majorBidi"/>
          <w:b w:val="0"/>
          <w:bCs w:val="0"/>
          <w:color w:val="000000" w:themeColor="text1"/>
          <w:sz w:val="22"/>
          <w:szCs w:val="22"/>
        </w:rPr>
        <w:t xml:space="preserve"> deposits in the study area</w:t>
      </w:r>
      <w:r w:rsidR="00C86A6C">
        <w:rPr>
          <w:rFonts w:asciiTheme="majorBidi" w:hAnsiTheme="majorBidi" w:cstheme="majorBidi"/>
          <w:b w:val="0"/>
          <w:bCs w:val="0"/>
          <w:color w:val="000000" w:themeColor="text1"/>
          <w:sz w:val="22"/>
          <w:szCs w:val="22"/>
        </w:rPr>
        <w:t xml:space="preserve">. </w:t>
      </w:r>
    </w:p>
    <w:p w14:paraId="16BB98A7" w14:textId="77777777" w:rsidR="00607CF3" w:rsidRPr="00871092" w:rsidRDefault="00607CF3" w:rsidP="00871092">
      <w:pPr>
        <w:spacing w:after="0" w:line="240" w:lineRule="auto"/>
        <w:rPr>
          <w:rFonts w:asciiTheme="majorBidi" w:hAnsiTheme="majorBidi" w:cstheme="majorBidi"/>
        </w:rPr>
      </w:pPr>
    </w:p>
    <w:p w14:paraId="35DBF810" w14:textId="33CE955E" w:rsidR="00607CF3" w:rsidRPr="00871092" w:rsidRDefault="00607CF3" w:rsidP="00871092">
      <w:pPr>
        <w:pStyle w:val="Titre2"/>
        <w:spacing w:before="0" w:after="0" w:line="240" w:lineRule="auto"/>
        <w:jc w:val="both"/>
        <w:rPr>
          <w:rFonts w:cstheme="majorBidi"/>
          <w:color w:val="000000" w:themeColor="text1"/>
          <w:sz w:val="22"/>
          <w:szCs w:val="22"/>
        </w:rPr>
      </w:pPr>
      <w:r w:rsidRPr="00871092">
        <w:rPr>
          <w:rFonts w:cstheme="majorBidi"/>
          <w:color w:val="000000" w:themeColor="text1"/>
          <w:sz w:val="22"/>
          <w:szCs w:val="22"/>
        </w:rPr>
        <w:t>Physical, chemical and mineralogical characterization</w:t>
      </w:r>
    </w:p>
    <w:p w14:paraId="11E5581C" w14:textId="324F1C13" w:rsidR="00C86A6C" w:rsidRPr="00871092" w:rsidRDefault="00C86A6C" w:rsidP="00871092">
      <w:pPr>
        <w:tabs>
          <w:tab w:val="left" w:pos="284"/>
        </w:tabs>
        <w:spacing w:after="0" w:line="240" w:lineRule="auto"/>
        <w:jc w:val="both"/>
        <w:rPr>
          <w:rFonts w:asciiTheme="majorBidi" w:hAnsiTheme="majorBidi" w:cstheme="majorBidi"/>
          <w:color w:val="000000" w:themeColor="text1"/>
        </w:rPr>
      </w:pPr>
      <w:r>
        <w:rPr>
          <w:rFonts w:asciiTheme="majorBidi" w:hAnsiTheme="majorBidi" w:cstheme="majorBidi"/>
          <w:color w:val="000000" w:themeColor="text1"/>
        </w:rPr>
        <w:t>P</w:t>
      </w:r>
      <w:r w:rsidR="00607CF3" w:rsidRPr="00871092">
        <w:rPr>
          <w:rFonts w:asciiTheme="majorBidi" w:hAnsiTheme="majorBidi" w:cstheme="majorBidi"/>
          <w:color w:val="000000" w:themeColor="text1"/>
        </w:rPr>
        <w:t>hysical, mineralogical, chemical</w:t>
      </w:r>
      <w:r w:rsidR="00C24136">
        <w:rPr>
          <w:rFonts w:asciiTheme="majorBidi" w:hAnsiTheme="majorBidi" w:cstheme="majorBidi"/>
          <w:color w:val="000000" w:themeColor="text1"/>
        </w:rPr>
        <w:t xml:space="preserve"> and </w:t>
      </w:r>
      <w:r w:rsidR="00607CF3" w:rsidRPr="00871092">
        <w:rPr>
          <w:rFonts w:asciiTheme="majorBidi" w:hAnsiTheme="majorBidi" w:cstheme="majorBidi"/>
          <w:color w:val="000000" w:themeColor="text1"/>
        </w:rPr>
        <w:t>morphological properties of the clay samples</w:t>
      </w:r>
      <w:r>
        <w:rPr>
          <w:rFonts w:asciiTheme="majorBidi" w:hAnsiTheme="majorBidi" w:cstheme="majorBidi"/>
          <w:color w:val="000000" w:themeColor="text1"/>
        </w:rPr>
        <w:t xml:space="preserve"> were analyzed. </w:t>
      </w:r>
    </w:p>
    <w:p w14:paraId="6BA0AA49" w14:textId="1FF4DE25" w:rsidR="00607CF3" w:rsidRPr="00871092" w:rsidRDefault="00607CF3" w:rsidP="00871092">
      <w:pPr>
        <w:tabs>
          <w:tab w:val="left" w:pos="284"/>
        </w:tabs>
        <w:spacing w:after="0" w:line="240" w:lineRule="auto"/>
        <w:jc w:val="both"/>
        <w:rPr>
          <w:rFonts w:asciiTheme="majorBidi" w:hAnsiTheme="majorBidi" w:cstheme="majorBidi"/>
          <w:color w:val="000000" w:themeColor="text1"/>
        </w:rPr>
      </w:pPr>
      <w:r w:rsidRPr="00871092">
        <w:rPr>
          <w:rFonts w:asciiTheme="majorBidi" w:eastAsia="Times New Roman" w:hAnsiTheme="majorBidi" w:cstheme="majorBidi"/>
          <w:color w:val="000000" w:themeColor="text1"/>
          <w:kern w:val="0"/>
        </w:rPr>
        <w:t>The specific surface area (SSA) of the raw clays was determined using the methylene blue adsorption method, in accordance with the French standard NF P 94-068 (</w:t>
      </w:r>
      <w:r w:rsidRPr="00871092">
        <w:rPr>
          <w:rFonts w:asciiTheme="majorBidi" w:eastAsia="Times New Roman" w:hAnsiTheme="majorBidi" w:cstheme="majorBidi"/>
          <w:color w:val="5B9BD5" w:themeColor="accent1"/>
          <w:kern w:val="0"/>
        </w:rPr>
        <w:t>AFNOR, 1998</w:t>
      </w:r>
      <w:r w:rsidRPr="00871092">
        <w:rPr>
          <w:rFonts w:asciiTheme="majorBidi" w:eastAsia="Times New Roman" w:hAnsiTheme="majorBidi" w:cstheme="majorBidi"/>
          <w:color w:val="000000" w:themeColor="text1"/>
          <w:kern w:val="0"/>
        </w:rPr>
        <w:t>). This technique is based on the progressive adsorption of methylene blue dye onto the surface of clay particles until saturation is reached. The amount of dye adsorbed at the saturation point is then used to calculate the SSA.</w:t>
      </w:r>
      <w:r w:rsidRPr="00871092">
        <w:rPr>
          <w:rFonts w:asciiTheme="majorBidi" w:hAnsiTheme="majorBidi" w:cstheme="majorBidi"/>
          <w:color w:val="000000" w:themeColor="text1"/>
        </w:rPr>
        <w:t xml:space="preserve"> The CEC of the three raw clays was determined using the cobalt hexamine method, following the French standard NF X 31-130 (</w:t>
      </w:r>
      <w:r w:rsidRPr="00871092">
        <w:rPr>
          <w:rFonts w:asciiTheme="majorBidi" w:hAnsiTheme="majorBidi" w:cstheme="majorBidi"/>
          <w:color w:val="5B9BD5" w:themeColor="accent1"/>
          <w:lang w:val="en-US"/>
        </w:rPr>
        <w:t>AFNOR, 1999</w:t>
      </w:r>
      <w:r w:rsidRPr="00871092">
        <w:rPr>
          <w:rFonts w:asciiTheme="majorBidi" w:hAnsiTheme="majorBidi" w:cstheme="majorBidi"/>
          <w:color w:val="000000" w:themeColor="text1"/>
        </w:rPr>
        <w:t>). This method is based on the ability of the clay to retain Co(NH₃)</w:t>
      </w:r>
      <w:r w:rsidRPr="00871092">
        <w:rPr>
          <w:rFonts w:asciiTheme="majorBidi" w:hAnsiTheme="majorBidi" w:cstheme="majorBidi"/>
          <w:color w:val="000000" w:themeColor="text1"/>
          <w:vertAlign w:val="subscript"/>
        </w:rPr>
        <w:t>6</w:t>
      </w:r>
      <w:r w:rsidRPr="00871092">
        <w:rPr>
          <w:rFonts w:asciiTheme="majorBidi" w:hAnsiTheme="majorBidi" w:cstheme="majorBidi"/>
          <w:color w:val="000000" w:themeColor="text1"/>
          <w:vertAlign w:val="superscript"/>
        </w:rPr>
        <w:t>3+</w:t>
      </w:r>
      <w:r w:rsidRPr="00871092">
        <w:rPr>
          <w:rFonts w:asciiTheme="majorBidi" w:hAnsiTheme="majorBidi" w:cstheme="majorBidi"/>
          <w:color w:val="000000" w:themeColor="text1"/>
        </w:rPr>
        <w:t xml:space="preserve"> cations to balance its negative charge. The CEC values are estimated by measuring the amount of cobalt remaining in the solution.</w:t>
      </w:r>
    </w:p>
    <w:p w14:paraId="0DB19E58" w14:textId="6337853D" w:rsidR="00607CF3" w:rsidRPr="00871092" w:rsidRDefault="00607CF3" w:rsidP="00871092">
      <w:pPr>
        <w:tabs>
          <w:tab w:val="left" w:pos="284"/>
        </w:tabs>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Major chemical elements of the raw clay were determined on pellets by X-ray fluorescence analysis (XRF) using a spectrometer ARL </w:t>
      </w:r>
      <w:proofErr w:type="spellStart"/>
      <w:r w:rsidRPr="00871092">
        <w:rPr>
          <w:rFonts w:asciiTheme="majorBidi" w:hAnsiTheme="majorBidi" w:cstheme="majorBidi"/>
          <w:color w:val="000000" w:themeColor="text1"/>
        </w:rPr>
        <w:t>perform’X</w:t>
      </w:r>
      <w:proofErr w:type="spellEnd"/>
      <w:r w:rsidRPr="00871092">
        <w:rPr>
          <w:rFonts w:asciiTheme="majorBidi" w:hAnsiTheme="majorBidi" w:cstheme="majorBidi"/>
          <w:color w:val="000000" w:themeColor="text1"/>
        </w:rPr>
        <w:t xml:space="preserve"> 4200. The clay samples were ground, sieved to 250 </w:t>
      </w:r>
      <w:proofErr w:type="spellStart"/>
      <w:r w:rsidRPr="00871092">
        <w:rPr>
          <w:rFonts w:asciiTheme="majorBidi" w:hAnsiTheme="majorBidi" w:cstheme="majorBidi"/>
          <w:color w:val="000000" w:themeColor="text1"/>
        </w:rPr>
        <w:t>μm</w:t>
      </w:r>
      <w:proofErr w:type="spellEnd"/>
      <w:r w:rsidRPr="00871092">
        <w:rPr>
          <w:rFonts w:asciiTheme="majorBidi" w:hAnsiTheme="majorBidi" w:cstheme="majorBidi"/>
          <w:color w:val="000000" w:themeColor="text1"/>
        </w:rPr>
        <w:t xml:space="preserve"> and heated to 1000°C for 4 hours to quantify the loss-on-ignition (LOI). For total elemental analysis, approximately 0.2 g of each dried and homogenized clay sample was </w:t>
      </w:r>
      <w:r w:rsidR="00C24136">
        <w:rPr>
          <w:rFonts w:asciiTheme="majorBidi" w:hAnsiTheme="majorBidi" w:cstheme="majorBidi"/>
          <w:color w:val="000000" w:themeColor="text1"/>
        </w:rPr>
        <w:t>acid</w:t>
      </w:r>
      <w:r w:rsidR="00C24136"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rPr>
        <w:t>digest in Teflon vessels. The digestion protocol involved a sequential addition of HNO</w:t>
      </w:r>
      <w:r w:rsidRPr="00871092">
        <w:rPr>
          <w:rFonts w:asciiTheme="majorBidi" w:hAnsiTheme="majorBidi" w:cstheme="majorBidi"/>
          <w:color w:val="000000" w:themeColor="text1"/>
          <w:vertAlign w:val="subscript"/>
        </w:rPr>
        <w:t>3</w:t>
      </w:r>
      <w:r w:rsidRPr="00871092">
        <w:rPr>
          <w:rFonts w:asciiTheme="majorBidi" w:hAnsiTheme="majorBidi" w:cstheme="majorBidi"/>
          <w:color w:val="000000" w:themeColor="text1"/>
        </w:rPr>
        <w:t xml:space="preserve"> (6 </w:t>
      </w:r>
      <w:r w:rsidR="00C24136" w:rsidRPr="00871092">
        <w:rPr>
          <w:rFonts w:asciiTheme="majorBidi" w:hAnsiTheme="majorBidi" w:cstheme="majorBidi"/>
          <w:color w:val="000000" w:themeColor="text1"/>
        </w:rPr>
        <w:t>m</w:t>
      </w:r>
      <w:r w:rsidR="00C24136">
        <w:rPr>
          <w:rFonts w:asciiTheme="majorBidi" w:hAnsiTheme="majorBidi" w:cstheme="majorBidi"/>
          <w:color w:val="000000" w:themeColor="text1"/>
        </w:rPr>
        <w:t>l</w:t>
      </w:r>
      <w:r w:rsidRPr="00871092">
        <w:rPr>
          <w:rFonts w:asciiTheme="majorBidi" w:hAnsiTheme="majorBidi" w:cstheme="majorBidi"/>
          <w:color w:val="000000" w:themeColor="text1"/>
        </w:rPr>
        <w:t xml:space="preserve">), HCl (2 </w:t>
      </w:r>
      <w:r w:rsidR="00C24136" w:rsidRPr="00871092">
        <w:rPr>
          <w:rFonts w:asciiTheme="majorBidi" w:hAnsiTheme="majorBidi" w:cstheme="majorBidi"/>
          <w:color w:val="000000" w:themeColor="text1"/>
        </w:rPr>
        <w:t>m</w:t>
      </w:r>
      <w:r w:rsidR="00C24136">
        <w:rPr>
          <w:rFonts w:asciiTheme="majorBidi" w:hAnsiTheme="majorBidi" w:cstheme="majorBidi"/>
          <w:color w:val="000000" w:themeColor="text1"/>
        </w:rPr>
        <w:t>l</w:t>
      </w:r>
      <w:r w:rsidRPr="00871092">
        <w:rPr>
          <w:rFonts w:asciiTheme="majorBidi" w:hAnsiTheme="majorBidi" w:cstheme="majorBidi"/>
          <w:color w:val="000000" w:themeColor="text1"/>
        </w:rPr>
        <w:t xml:space="preserve">), and HF (2 </w:t>
      </w:r>
      <w:r w:rsidR="00C24136" w:rsidRPr="00871092">
        <w:rPr>
          <w:rFonts w:asciiTheme="majorBidi" w:hAnsiTheme="majorBidi" w:cstheme="majorBidi"/>
          <w:color w:val="000000" w:themeColor="text1"/>
        </w:rPr>
        <w:t>m</w:t>
      </w:r>
      <w:r w:rsidR="00C24136">
        <w:rPr>
          <w:rFonts w:asciiTheme="majorBidi" w:hAnsiTheme="majorBidi" w:cstheme="majorBidi"/>
          <w:color w:val="000000" w:themeColor="text1"/>
        </w:rPr>
        <w:t>l</w:t>
      </w:r>
      <w:r w:rsidRPr="00871092">
        <w:rPr>
          <w:rFonts w:asciiTheme="majorBidi" w:hAnsiTheme="majorBidi" w:cstheme="majorBidi"/>
          <w:color w:val="000000" w:themeColor="text1"/>
        </w:rPr>
        <w:t>), followed by heating at 150°C for 6 hours. After cooling, the samples were evaporated to near-dryness, and the residues were re-dissolved in 2% HNO</w:t>
      </w:r>
      <w:r w:rsidRPr="00871092">
        <w:rPr>
          <w:rFonts w:asciiTheme="majorBidi" w:hAnsiTheme="majorBidi" w:cstheme="majorBidi"/>
          <w:color w:val="000000" w:themeColor="text1"/>
          <w:vertAlign w:val="subscript"/>
        </w:rPr>
        <w:t>3</w:t>
      </w:r>
      <w:r w:rsidRPr="00871092">
        <w:rPr>
          <w:rFonts w:asciiTheme="majorBidi" w:hAnsiTheme="majorBidi" w:cstheme="majorBidi"/>
          <w:color w:val="000000" w:themeColor="text1"/>
        </w:rPr>
        <w:t xml:space="preserve"> and diluted to a final volume of 50 </w:t>
      </w:r>
      <w:r w:rsidR="00C24136" w:rsidRPr="00871092">
        <w:rPr>
          <w:rFonts w:asciiTheme="majorBidi" w:hAnsiTheme="majorBidi" w:cstheme="majorBidi"/>
          <w:color w:val="000000" w:themeColor="text1"/>
        </w:rPr>
        <w:t>m</w:t>
      </w:r>
      <w:r w:rsidR="00C24136">
        <w:rPr>
          <w:rFonts w:asciiTheme="majorBidi" w:hAnsiTheme="majorBidi" w:cstheme="majorBidi"/>
          <w:color w:val="000000" w:themeColor="text1"/>
        </w:rPr>
        <w:t>l</w:t>
      </w:r>
      <w:r w:rsidRPr="00871092">
        <w:rPr>
          <w:rFonts w:asciiTheme="majorBidi" w:hAnsiTheme="majorBidi" w:cstheme="majorBidi"/>
          <w:color w:val="000000" w:themeColor="text1"/>
        </w:rPr>
        <w:t>. This method achieves dissolution of silicate matrices, enabling accurate determination of total elemental concentrations.</w:t>
      </w:r>
      <w:r w:rsidR="006B7F1F">
        <w:rPr>
          <w:rFonts w:asciiTheme="majorBidi" w:hAnsiTheme="majorBidi" w:cstheme="majorBidi"/>
          <w:color w:val="000000" w:themeColor="text1"/>
        </w:rPr>
        <w:t xml:space="preserve"> </w:t>
      </w:r>
      <w:r w:rsidRPr="00871092">
        <w:rPr>
          <w:rFonts w:asciiTheme="majorBidi" w:hAnsiTheme="majorBidi" w:cstheme="majorBidi"/>
          <w:color w:val="000000" w:themeColor="text1"/>
        </w:rPr>
        <w:t xml:space="preserve">The Inductively Coupled </w:t>
      </w:r>
      <w:r w:rsidR="00C24136" w:rsidRPr="00871092">
        <w:rPr>
          <w:rFonts w:asciiTheme="majorBidi" w:hAnsiTheme="majorBidi" w:cstheme="majorBidi"/>
          <w:color w:val="000000" w:themeColor="text1"/>
        </w:rPr>
        <w:t>Plasma</w:t>
      </w:r>
      <w:r w:rsidR="00C24136">
        <w:rPr>
          <w:rFonts w:asciiTheme="majorBidi" w:hAnsiTheme="majorBidi" w:cstheme="majorBidi"/>
          <w:color w:val="000000" w:themeColor="text1"/>
        </w:rPr>
        <w:t>-</w:t>
      </w:r>
      <w:r w:rsidRPr="00871092">
        <w:rPr>
          <w:rFonts w:asciiTheme="majorBidi" w:hAnsiTheme="majorBidi" w:cstheme="majorBidi"/>
          <w:color w:val="000000" w:themeColor="text1"/>
        </w:rPr>
        <w:t>Atomic Emission Spectrometry (ICP-</w:t>
      </w:r>
      <w:r w:rsidR="00C24136">
        <w:rPr>
          <w:rFonts w:asciiTheme="majorBidi" w:hAnsiTheme="majorBidi" w:cstheme="majorBidi"/>
          <w:color w:val="000000" w:themeColor="text1"/>
        </w:rPr>
        <w:t>A</w:t>
      </w:r>
      <w:r w:rsidR="00C24136" w:rsidRPr="00871092">
        <w:rPr>
          <w:rFonts w:asciiTheme="majorBidi" w:hAnsiTheme="majorBidi" w:cstheme="majorBidi"/>
          <w:color w:val="000000" w:themeColor="text1"/>
        </w:rPr>
        <w:t>ES</w:t>
      </w:r>
      <w:r w:rsidR="00C24136">
        <w:rPr>
          <w:rFonts w:asciiTheme="majorBidi" w:hAnsiTheme="majorBidi" w:cstheme="majorBidi"/>
          <w:color w:val="000000" w:themeColor="text1"/>
        </w:rPr>
        <w:t>,</w:t>
      </w:r>
      <w:r w:rsidRPr="00871092">
        <w:rPr>
          <w:rFonts w:asciiTheme="majorBidi" w:hAnsiTheme="majorBidi" w:cstheme="majorBidi"/>
          <w:color w:val="000000" w:themeColor="text1"/>
        </w:rPr>
        <w:t xml:space="preserve"> Jobin Yvon Ultima 2 instrument) was used to determine the concentrations of PTEs in the leachates obtained from the clay </w:t>
      </w:r>
      <w:r w:rsidRPr="00871092">
        <w:rPr>
          <w:rFonts w:asciiTheme="majorBidi" w:hAnsiTheme="majorBidi" w:cstheme="majorBidi"/>
          <w:color w:val="000000" w:themeColor="text1"/>
        </w:rPr>
        <w:lastRenderedPageBreak/>
        <w:t xml:space="preserve">samples. The Inductively Coupled </w:t>
      </w:r>
      <w:r w:rsidR="00C24136" w:rsidRPr="00871092">
        <w:rPr>
          <w:rFonts w:asciiTheme="majorBidi" w:hAnsiTheme="majorBidi" w:cstheme="majorBidi"/>
          <w:color w:val="000000" w:themeColor="text1"/>
        </w:rPr>
        <w:t>Plasma</w:t>
      </w:r>
      <w:r w:rsidR="00C24136">
        <w:rPr>
          <w:rFonts w:asciiTheme="majorBidi" w:hAnsiTheme="majorBidi" w:cstheme="majorBidi"/>
          <w:color w:val="000000" w:themeColor="text1"/>
        </w:rPr>
        <w:t>-</w:t>
      </w:r>
      <w:r w:rsidRPr="00871092">
        <w:rPr>
          <w:rFonts w:asciiTheme="majorBidi" w:hAnsiTheme="majorBidi" w:cstheme="majorBidi"/>
          <w:color w:val="000000" w:themeColor="text1"/>
        </w:rPr>
        <w:t>Mass Spectrometry (ICP</w:t>
      </w:r>
      <w:r w:rsidR="00374489">
        <w:rPr>
          <w:rFonts w:asciiTheme="majorBidi" w:hAnsiTheme="majorBidi" w:cstheme="majorBidi"/>
          <w:color w:val="000000" w:themeColor="text1"/>
        </w:rPr>
        <w:t>-</w:t>
      </w:r>
      <w:r w:rsidRPr="00871092">
        <w:rPr>
          <w:rFonts w:asciiTheme="majorBidi" w:hAnsiTheme="majorBidi" w:cstheme="majorBidi"/>
          <w:color w:val="000000" w:themeColor="text1"/>
        </w:rPr>
        <w:t>MS</w:t>
      </w:r>
      <w:r w:rsidR="00C24136">
        <w:rPr>
          <w:rFonts w:asciiTheme="majorBidi" w:hAnsiTheme="majorBidi" w:cstheme="majorBidi"/>
          <w:color w:val="000000" w:themeColor="text1"/>
        </w:rPr>
        <w:t>,</w:t>
      </w:r>
      <w:r w:rsidRPr="00871092">
        <w:rPr>
          <w:rFonts w:asciiTheme="majorBidi" w:hAnsiTheme="majorBidi" w:cstheme="majorBidi"/>
          <w:color w:val="000000" w:themeColor="text1"/>
        </w:rPr>
        <w:t xml:space="preserve"> HP4500®) was used for determining the trace elements of clay samples. </w:t>
      </w:r>
    </w:p>
    <w:p w14:paraId="72145821" w14:textId="34C4489B" w:rsidR="00607CF3" w:rsidRPr="000E3D8F" w:rsidRDefault="00607CF3" w:rsidP="00871092">
      <w:pPr>
        <w:tabs>
          <w:tab w:val="left" w:pos="284"/>
        </w:tabs>
        <w:spacing w:after="0" w:line="240" w:lineRule="auto"/>
        <w:jc w:val="both"/>
        <w:rPr>
          <w:rFonts w:asciiTheme="majorBidi" w:hAnsiTheme="majorBidi" w:cstheme="majorBidi"/>
          <w:strike/>
          <w:color w:val="000000" w:themeColor="text1"/>
          <w:lang w:val="en-US"/>
        </w:rPr>
      </w:pPr>
      <w:r w:rsidRPr="00871092">
        <w:rPr>
          <w:rFonts w:asciiTheme="majorBidi" w:hAnsiTheme="majorBidi" w:cstheme="majorBidi"/>
          <w:color w:val="000000" w:themeColor="text1"/>
        </w:rPr>
        <w:t xml:space="preserve">Alpha-particle spectrometry was performed with an EG&amp;G </w:t>
      </w:r>
      <w:proofErr w:type="spellStart"/>
      <w:r w:rsidRPr="00871092">
        <w:rPr>
          <w:rFonts w:asciiTheme="majorBidi" w:hAnsiTheme="majorBidi" w:cstheme="majorBidi"/>
          <w:color w:val="000000" w:themeColor="text1"/>
        </w:rPr>
        <w:t>Ortec</w:t>
      </w:r>
      <w:proofErr w:type="spellEnd"/>
      <w:r w:rsidRPr="00871092">
        <w:rPr>
          <w:rFonts w:asciiTheme="majorBidi" w:hAnsiTheme="majorBidi" w:cstheme="majorBidi"/>
          <w:color w:val="000000" w:themeColor="text1"/>
        </w:rPr>
        <w:t xml:space="preserve"> alpha-particle spectrometer system comprising eight chambers, each one equipped with a 450 mm</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ion-implanted semiconductor detector (PIPS type), which provides an efficiency of around 25 %. U-, Th-isotopes, and </w:t>
      </w:r>
      <w:r w:rsidRPr="00871092">
        <w:rPr>
          <w:rFonts w:asciiTheme="majorBidi" w:hAnsiTheme="majorBidi" w:cstheme="majorBidi"/>
          <w:color w:val="000000" w:themeColor="text1"/>
          <w:vertAlign w:val="superscript"/>
        </w:rPr>
        <w:t>210</w:t>
      </w:r>
      <w:r w:rsidRPr="00871092">
        <w:rPr>
          <w:rFonts w:asciiTheme="majorBidi" w:hAnsiTheme="majorBidi" w:cstheme="majorBidi"/>
          <w:color w:val="000000" w:themeColor="text1"/>
        </w:rPr>
        <w:t xml:space="preserve">Po were </w:t>
      </w:r>
      <w:proofErr w:type="spellStart"/>
      <w:r w:rsidRPr="00871092">
        <w:rPr>
          <w:rFonts w:asciiTheme="majorBidi" w:hAnsiTheme="majorBidi" w:cstheme="majorBidi"/>
          <w:color w:val="000000" w:themeColor="text1"/>
        </w:rPr>
        <w:t>radiochemically</w:t>
      </w:r>
      <w:proofErr w:type="spellEnd"/>
      <w:r w:rsidRPr="00871092">
        <w:rPr>
          <w:rFonts w:asciiTheme="majorBidi" w:hAnsiTheme="majorBidi" w:cstheme="majorBidi"/>
          <w:color w:val="000000" w:themeColor="text1"/>
        </w:rPr>
        <w:t xml:space="preserve"> isolated and quantified via alpha spectrometry with PIPS type Si detectors (REF) (</w:t>
      </w:r>
      <w:proofErr w:type="spellStart"/>
      <w:r w:rsidRPr="00871092">
        <w:rPr>
          <w:rFonts w:asciiTheme="majorBidi" w:hAnsiTheme="majorBidi" w:cstheme="majorBidi"/>
          <w:color w:val="5B9BD5" w:themeColor="accent1"/>
          <w:shd w:val="clear" w:color="auto" w:fill="FFFFFF"/>
          <w:lang w:val="en-US"/>
        </w:rPr>
        <w:t>Gázquez</w:t>
      </w:r>
      <w:proofErr w:type="spellEnd"/>
      <w:r w:rsidRPr="00871092">
        <w:rPr>
          <w:rFonts w:asciiTheme="majorBidi" w:hAnsiTheme="majorBidi" w:cstheme="majorBidi"/>
          <w:color w:val="5B9BD5" w:themeColor="accent1"/>
          <w:shd w:val="clear" w:color="auto" w:fill="FFFFFF"/>
          <w:lang w:val="en-US"/>
        </w:rPr>
        <w:t xml:space="preserve"> et al., 2023</w:t>
      </w:r>
      <w:r w:rsidRPr="00871092">
        <w:rPr>
          <w:rFonts w:asciiTheme="majorBidi" w:hAnsiTheme="majorBidi" w:cstheme="majorBidi"/>
          <w:color w:val="222222"/>
          <w:shd w:val="clear" w:color="auto" w:fill="FFFFFF"/>
          <w:lang w:val="en-US"/>
        </w:rPr>
        <w:t>)</w:t>
      </w:r>
      <w:r w:rsidRPr="00871092">
        <w:rPr>
          <w:rFonts w:asciiTheme="majorBidi" w:hAnsiTheme="majorBidi" w:cstheme="majorBidi"/>
          <w:color w:val="000000" w:themeColor="text1"/>
        </w:rPr>
        <w:t xml:space="preserve">. </w:t>
      </w:r>
      <w:r w:rsidR="00374489">
        <w:rPr>
          <w:rFonts w:asciiTheme="majorBidi" w:hAnsiTheme="majorBidi" w:cstheme="majorBidi"/>
          <w:color w:val="000000" w:themeColor="text1"/>
        </w:rPr>
        <w:t>R</w:t>
      </w:r>
      <w:r w:rsidRPr="00871092">
        <w:rPr>
          <w:rFonts w:asciiTheme="majorBidi" w:hAnsiTheme="majorBidi" w:cstheme="majorBidi"/>
          <w:color w:val="000000" w:themeColor="text1"/>
        </w:rPr>
        <w:t>adionuclides conce</w:t>
      </w:r>
      <w:r w:rsidR="00374489">
        <w:rPr>
          <w:rFonts w:asciiTheme="majorBidi" w:hAnsiTheme="majorBidi" w:cstheme="majorBidi"/>
          <w:color w:val="000000" w:themeColor="text1"/>
        </w:rPr>
        <w:t>n</w:t>
      </w:r>
      <w:r w:rsidRPr="00871092">
        <w:rPr>
          <w:rFonts w:asciiTheme="majorBidi" w:hAnsiTheme="majorBidi" w:cstheme="majorBidi"/>
          <w:color w:val="000000" w:themeColor="text1"/>
        </w:rPr>
        <w:t xml:space="preserve">trations in solid samples </w:t>
      </w:r>
      <w:r w:rsidR="00374489" w:rsidRPr="00871092">
        <w:rPr>
          <w:rFonts w:asciiTheme="majorBidi" w:hAnsiTheme="majorBidi" w:cstheme="majorBidi"/>
          <w:color w:val="000000" w:themeColor="text1"/>
        </w:rPr>
        <w:t xml:space="preserve">were determined </w:t>
      </w:r>
      <w:r w:rsidRPr="00871092">
        <w:rPr>
          <w:rFonts w:asciiTheme="majorBidi" w:hAnsiTheme="majorBidi" w:cstheme="majorBidi"/>
          <w:color w:val="000000" w:themeColor="text1"/>
        </w:rPr>
        <w:t>by gamma spectrometry using a high-purity Germanium (</w:t>
      </w:r>
      <w:proofErr w:type="spellStart"/>
      <w:r w:rsidRPr="00871092">
        <w:rPr>
          <w:rFonts w:asciiTheme="majorBidi" w:hAnsiTheme="majorBidi" w:cstheme="majorBidi"/>
          <w:color w:val="000000" w:themeColor="text1"/>
        </w:rPr>
        <w:t>HPGe</w:t>
      </w:r>
      <w:proofErr w:type="spellEnd"/>
      <w:r w:rsidRPr="00871092">
        <w:rPr>
          <w:rFonts w:asciiTheme="majorBidi" w:hAnsiTheme="majorBidi" w:cstheme="majorBidi"/>
          <w:color w:val="000000" w:themeColor="text1"/>
        </w:rPr>
        <w:t xml:space="preserve">) detector (model GCW3023), following the methodologies detailed by </w:t>
      </w:r>
      <w:r w:rsidRPr="00871092">
        <w:rPr>
          <w:rFonts w:asciiTheme="majorBidi" w:hAnsiTheme="majorBidi" w:cstheme="majorBidi"/>
          <w:color w:val="222222"/>
          <w:shd w:val="clear" w:color="auto" w:fill="FFFFFF"/>
          <w:lang w:val="en-US"/>
        </w:rPr>
        <w:t>Barba-Lobo</w:t>
      </w:r>
      <w:r w:rsidRPr="00871092" w:rsidDel="00393032">
        <w:rPr>
          <w:rFonts w:asciiTheme="majorBidi" w:hAnsiTheme="majorBidi" w:cstheme="majorBidi"/>
          <w:color w:val="000000" w:themeColor="text1"/>
        </w:rPr>
        <w:t xml:space="preserve"> </w:t>
      </w:r>
      <w:r w:rsidRPr="00871092">
        <w:rPr>
          <w:rFonts w:asciiTheme="majorBidi" w:hAnsiTheme="majorBidi" w:cstheme="majorBidi"/>
          <w:color w:val="000000" w:themeColor="text1"/>
        </w:rPr>
        <w:t xml:space="preserve">et al. </w:t>
      </w:r>
      <w:r w:rsidRPr="000E3D8F">
        <w:rPr>
          <w:rFonts w:asciiTheme="majorBidi" w:hAnsiTheme="majorBidi" w:cstheme="majorBidi"/>
          <w:color w:val="000000" w:themeColor="text1"/>
          <w:lang w:val="en-US"/>
        </w:rPr>
        <w:t>(</w:t>
      </w:r>
      <w:r w:rsidRPr="000E3D8F">
        <w:rPr>
          <w:rFonts w:asciiTheme="majorBidi" w:hAnsiTheme="majorBidi" w:cstheme="majorBidi"/>
          <w:color w:val="5B9BD5" w:themeColor="accent1"/>
          <w:lang w:val="en-US"/>
        </w:rPr>
        <w:t>2024</w:t>
      </w:r>
      <w:r w:rsidRPr="000E3D8F">
        <w:rPr>
          <w:rFonts w:asciiTheme="majorBidi" w:hAnsiTheme="majorBidi" w:cstheme="majorBidi"/>
          <w:color w:val="000000" w:themeColor="text1"/>
          <w:lang w:val="en-US"/>
        </w:rPr>
        <w:t>).</w:t>
      </w:r>
    </w:p>
    <w:p w14:paraId="32B065DF" w14:textId="63FF719D" w:rsidR="00C24136" w:rsidRDefault="00607CF3" w:rsidP="00871092">
      <w:pPr>
        <w:tabs>
          <w:tab w:val="left" w:pos="284"/>
        </w:tabs>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The X-ray diffraction (XRD) was performed using a Shimadzu 6100 diffractometer, equipped with </w:t>
      </w:r>
      <w:proofErr w:type="spellStart"/>
      <w:r w:rsidRPr="00871092">
        <w:rPr>
          <w:rFonts w:asciiTheme="majorBidi" w:hAnsiTheme="majorBidi" w:cstheme="majorBidi"/>
          <w:color w:val="000000" w:themeColor="text1"/>
        </w:rPr>
        <w:t>CuK</w:t>
      </w:r>
      <w:proofErr w:type="spellEnd"/>
      <w:r w:rsidRPr="00871092">
        <w:rPr>
          <w:rFonts w:asciiTheme="majorBidi" w:hAnsiTheme="majorBidi" w:cstheme="majorBidi"/>
          <w:color w:val="000000" w:themeColor="text1"/>
        </w:rPr>
        <w:t>α radiation (λ=1.54 nm), in in the range [2°</w:t>
      </w:r>
      <w:r w:rsidR="00C24136">
        <w:rPr>
          <w:rFonts w:asciiTheme="majorBidi" w:hAnsiTheme="majorBidi" w:cstheme="majorBidi"/>
          <w:color w:val="000000" w:themeColor="text1"/>
        </w:rPr>
        <w:t>-</w:t>
      </w:r>
      <w:r w:rsidRPr="00871092">
        <w:rPr>
          <w:rFonts w:asciiTheme="majorBidi" w:hAnsiTheme="majorBidi" w:cstheme="majorBidi"/>
          <w:color w:val="000000" w:themeColor="text1"/>
        </w:rPr>
        <w:t xml:space="preserve">70°] 2θ with a step size of 0.004°. Mineral phases identification was carried out using </w:t>
      </w:r>
      <w:proofErr w:type="spellStart"/>
      <w:r w:rsidRPr="00871092">
        <w:rPr>
          <w:rFonts w:asciiTheme="majorBidi" w:hAnsiTheme="majorBidi" w:cstheme="majorBidi"/>
          <w:color w:val="000000" w:themeColor="text1"/>
        </w:rPr>
        <w:t>HighScore</w:t>
      </w:r>
      <w:proofErr w:type="spellEnd"/>
      <w:r w:rsidRPr="00871092">
        <w:rPr>
          <w:rFonts w:asciiTheme="majorBidi" w:hAnsiTheme="majorBidi" w:cstheme="majorBidi"/>
          <w:color w:val="000000" w:themeColor="text1"/>
        </w:rPr>
        <w:t xml:space="preserve"> Plus software (version 4.9) in with the Crystallography Open Database (COD). </w:t>
      </w:r>
    </w:p>
    <w:p w14:paraId="778F6513" w14:textId="59B688EC" w:rsidR="00C24136" w:rsidRDefault="00607CF3" w:rsidP="000E3D8F">
      <w:pPr>
        <w:tabs>
          <w:tab w:val="left" w:pos="284"/>
        </w:tabs>
        <w:spacing w:after="0" w:line="240" w:lineRule="auto"/>
        <w:jc w:val="both"/>
      </w:pPr>
      <w:r w:rsidRPr="00871092">
        <w:rPr>
          <w:rFonts w:asciiTheme="majorBidi" w:hAnsiTheme="majorBidi" w:cstheme="majorBidi"/>
          <w:color w:val="000000" w:themeColor="text1"/>
        </w:rPr>
        <w:t>The Scanning Electron Microscopy (SEM) was conducted using a Quanta 200 instrument with a resolution of 3.5 nm, coupled with Energy Dispersive X-ray Spectroscopy (EDS) providing resolution of 133 eV. The analyses were performed on carbon-coated clay samples to examine surface morphology and elemental composition.</w:t>
      </w:r>
    </w:p>
    <w:p w14:paraId="27341EA9" w14:textId="509A8447" w:rsidR="00C24136" w:rsidRPr="00871092" w:rsidRDefault="00C24136" w:rsidP="000E3D8F">
      <w:pPr>
        <w:pStyle w:val="Titre2"/>
        <w:numPr>
          <w:ilvl w:val="0"/>
          <w:numId w:val="0"/>
        </w:numPr>
        <w:spacing w:before="0" w:after="0" w:line="240" w:lineRule="auto"/>
        <w:ind w:left="576" w:hanging="576"/>
        <w:rPr>
          <w:rFonts w:cstheme="majorBidi"/>
          <w:color w:val="000000" w:themeColor="text1"/>
          <w:sz w:val="22"/>
          <w:szCs w:val="22"/>
        </w:rPr>
      </w:pPr>
      <w:r>
        <w:rPr>
          <w:rFonts w:cstheme="majorBidi"/>
          <w:color w:val="000000" w:themeColor="text1"/>
          <w:sz w:val="22"/>
          <w:szCs w:val="22"/>
        </w:rPr>
        <w:t>2.3. Indices</w:t>
      </w:r>
    </w:p>
    <w:p w14:paraId="01FA8ED8" w14:textId="0A64869C" w:rsidR="00C24136" w:rsidRPr="00871092" w:rsidRDefault="00C24136" w:rsidP="00C24136">
      <w:pPr>
        <w:pStyle w:val="ds-markdown-paragraph"/>
        <w:spacing w:before="0" w:beforeAutospacing="0" w:after="0" w:afterAutospacing="0"/>
        <w:mirrorIndents/>
        <w:jc w:val="both"/>
        <w:rPr>
          <w:rFonts w:asciiTheme="majorBidi" w:hAnsiTheme="majorBidi" w:cstheme="majorBidi"/>
          <w:sz w:val="22"/>
          <w:szCs w:val="22"/>
        </w:rPr>
      </w:pPr>
      <w:r>
        <w:rPr>
          <w:rFonts w:asciiTheme="majorBidi" w:hAnsiTheme="majorBidi" w:cstheme="majorBidi"/>
          <w:color w:val="0F1115"/>
          <w:sz w:val="22"/>
          <w:szCs w:val="22"/>
        </w:rPr>
        <w:t xml:space="preserve">Severa </w:t>
      </w:r>
      <w:r w:rsidR="00607CF3" w:rsidRPr="00871092">
        <w:rPr>
          <w:rFonts w:asciiTheme="majorBidi" w:hAnsiTheme="majorBidi" w:cstheme="majorBidi"/>
          <w:color w:val="0F1115"/>
          <w:sz w:val="22"/>
          <w:szCs w:val="22"/>
        </w:rPr>
        <w:t>indices quantify the degree of PTE</w:t>
      </w:r>
      <w:r w:rsidR="005F6E76">
        <w:rPr>
          <w:rFonts w:asciiTheme="majorBidi" w:hAnsiTheme="majorBidi" w:cstheme="majorBidi"/>
          <w:color w:val="0F1115"/>
          <w:sz w:val="22"/>
          <w:szCs w:val="22"/>
        </w:rPr>
        <w:t>s</w:t>
      </w:r>
      <w:r w:rsidR="00607CF3" w:rsidRPr="00871092">
        <w:rPr>
          <w:rFonts w:asciiTheme="majorBidi" w:hAnsiTheme="majorBidi" w:cstheme="majorBidi"/>
          <w:color w:val="0F1115"/>
          <w:sz w:val="22"/>
          <w:szCs w:val="22"/>
        </w:rPr>
        <w:t xml:space="preserve"> pollution and aid in identifying the ecological impacts of </w:t>
      </w:r>
      <w:proofErr w:type="spellStart"/>
      <w:r w:rsidR="00607CF3" w:rsidRPr="00871092">
        <w:rPr>
          <w:rFonts w:asciiTheme="majorBidi" w:hAnsiTheme="majorBidi" w:cstheme="majorBidi"/>
          <w:color w:val="0F1115"/>
          <w:sz w:val="22"/>
          <w:szCs w:val="22"/>
        </w:rPr>
        <w:t>elemens</w:t>
      </w:r>
      <w:proofErr w:type="spellEnd"/>
      <w:r w:rsidR="00607CF3" w:rsidRPr="00871092">
        <w:rPr>
          <w:rFonts w:asciiTheme="majorBidi" w:hAnsiTheme="majorBidi" w:cstheme="majorBidi"/>
          <w:color w:val="0F1115"/>
          <w:sz w:val="22"/>
          <w:szCs w:val="22"/>
        </w:rPr>
        <w:t>, distinguishing between natural and anthropogenic sources (</w:t>
      </w:r>
      <w:r w:rsidR="00607CF3" w:rsidRPr="00871092">
        <w:rPr>
          <w:rFonts w:asciiTheme="majorBidi" w:hAnsiTheme="majorBidi" w:cstheme="majorBidi"/>
          <w:color w:val="5B9BD5" w:themeColor="accent1"/>
          <w:sz w:val="22"/>
          <w:szCs w:val="22"/>
        </w:rPr>
        <w:t xml:space="preserve">Li et al., 2015; Gope et al., 2017; </w:t>
      </w:r>
      <w:proofErr w:type="spellStart"/>
      <w:r w:rsidR="00607CF3" w:rsidRPr="00871092">
        <w:rPr>
          <w:rFonts w:asciiTheme="majorBidi" w:hAnsiTheme="majorBidi" w:cstheme="majorBidi"/>
          <w:color w:val="5B9BD5" w:themeColor="accent1"/>
          <w:sz w:val="22"/>
          <w:szCs w:val="22"/>
        </w:rPr>
        <w:t>Rinklebe</w:t>
      </w:r>
      <w:proofErr w:type="spellEnd"/>
      <w:r w:rsidR="00607CF3" w:rsidRPr="00871092">
        <w:rPr>
          <w:rFonts w:asciiTheme="majorBidi" w:hAnsiTheme="majorBidi" w:cstheme="majorBidi"/>
          <w:color w:val="5B9BD5" w:themeColor="accent1"/>
          <w:sz w:val="22"/>
          <w:szCs w:val="22"/>
        </w:rPr>
        <w:t xml:space="preserve"> et al., 2019; Shaheen et al., 2020</w:t>
      </w:r>
      <w:r w:rsidR="00607CF3" w:rsidRPr="00871092">
        <w:rPr>
          <w:rFonts w:asciiTheme="majorBidi" w:hAnsiTheme="majorBidi" w:cstheme="majorBidi"/>
          <w:color w:val="0F1115"/>
          <w:sz w:val="22"/>
          <w:szCs w:val="22"/>
        </w:rPr>
        <w:t>).</w:t>
      </w:r>
    </w:p>
    <w:p w14:paraId="176FC872" w14:textId="5F0252AC" w:rsidR="00607CF3" w:rsidRPr="00871092" w:rsidRDefault="00C24136" w:rsidP="00C24136">
      <w:pPr>
        <w:pStyle w:val="ds-markdown-paragraph"/>
        <w:spacing w:before="0" w:beforeAutospacing="0" w:after="0" w:afterAutospacing="0"/>
        <w:mirrorIndents/>
        <w:jc w:val="both"/>
        <w:rPr>
          <w:rFonts w:asciiTheme="majorBidi" w:hAnsiTheme="majorBidi" w:cstheme="majorBidi"/>
          <w:color w:val="0F1115"/>
          <w:sz w:val="22"/>
          <w:szCs w:val="22"/>
        </w:rPr>
      </w:pPr>
      <w:r>
        <w:rPr>
          <w:rFonts w:cstheme="majorBidi"/>
          <w:sz w:val="22"/>
          <w:szCs w:val="22"/>
        </w:rPr>
        <w:t xml:space="preserve">The </w:t>
      </w:r>
      <w:r w:rsidR="00607CF3" w:rsidRPr="00871092">
        <w:rPr>
          <w:rFonts w:asciiTheme="majorBidi" w:hAnsiTheme="majorBidi" w:cstheme="majorBidi"/>
          <w:color w:val="0F1115"/>
          <w:sz w:val="22"/>
          <w:szCs w:val="22"/>
        </w:rPr>
        <w:t>Contamination Factor (CF) is a fundamental index defined as the ratio between the concentration of PTEs in the clay sample (</w:t>
      </w:r>
      <w:r w:rsidR="00607CF3" w:rsidRPr="00871092">
        <w:rPr>
          <w:rStyle w:val="katex-mathml"/>
          <w:rFonts w:asciiTheme="majorBidi" w:eastAsiaTheme="majorEastAsia" w:hAnsiTheme="majorBidi" w:cstheme="majorBidi"/>
          <w:color w:val="0F1115"/>
          <w:sz w:val="22"/>
          <w:szCs w:val="22"/>
          <w:bdr w:val="none" w:sz="0" w:space="0" w:color="auto" w:frame="1"/>
        </w:rPr>
        <w:t>C</w:t>
      </w:r>
      <w:r w:rsidR="00607CF3" w:rsidRPr="00871092">
        <w:rPr>
          <w:rStyle w:val="katex-mathml"/>
          <w:rFonts w:asciiTheme="majorBidi" w:eastAsiaTheme="majorEastAsia" w:hAnsiTheme="majorBidi" w:cstheme="majorBidi"/>
          <w:color w:val="0F1115"/>
          <w:sz w:val="22"/>
          <w:szCs w:val="22"/>
          <w:bdr w:val="none" w:sz="0" w:space="0" w:color="auto" w:frame="1"/>
          <w:vertAlign w:val="subscript"/>
        </w:rPr>
        <w:t>S</w:t>
      </w:r>
      <w:r w:rsidR="00607CF3" w:rsidRPr="00871092">
        <w:rPr>
          <w:rStyle w:val="vlist-s"/>
          <w:rFonts w:asciiTheme="majorBidi" w:eastAsiaTheme="minorEastAsia" w:hAnsiTheme="majorBidi" w:cstheme="majorBidi"/>
          <w:color w:val="0F1115"/>
          <w:sz w:val="22"/>
          <w:szCs w:val="22"/>
        </w:rPr>
        <w:t>​</w:t>
      </w:r>
      <w:r w:rsidR="00607CF3" w:rsidRPr="00871092">
        <w:rPr>
          <w:rFonts w:asciiTheme="majorBidi" w:hAnsiTheme="majorBidi" w:cstheme="majorBidi"/>
          <w:color w:val="0F1115"/>
          <w:sz w:val="22"/>
          <w:szCs w:val="22"/>
        </w:rPr>
        <w:t>) and its corresponding background or reference concentration (</w:t>
      </w:r>
      <w:proofErr w:type="spellStart"/>
      <w:r w:rsidR="00607CF3" w:rsidRPr="00871092">
        <w:rPr>
          <w:rStyle w:val="katex-mathml"/>
          <w:rFonts w:asciiTheme="majorBidi" w:eastAsiaTheme="majorEastAsia" w:hAnsiTheme="majorBidi" w:cstheme="majorBidi"/>
          <w:color w:val="0F1115"/>
          <w:sz w:val="22"/>
          <w:szCs w:val="22"/>
          <w:bdr w:val="none" w:sz="0" w:space="0" w:color="auto" w:frame="1"/>
        </w:rPr>
        <w:t>C</w:t>
      </w:r>
      <w:r w:rsidR="00607CF3" w:rsidRPr="00871092">
        <w:rPr>
          <w:rStyle w:val="katex-mathml"/>
          <w:rFonts w:asciiTheme="majorBidi" w:eastAsiaTheme="majorEastAsia" w:hAnsiTheme="majorBidi" w:cstheme="majorBidi"/>
          <w:color w:val="0F1115"/>
          <w:sz w:val="22"/>
          <w:szCs w:val="22"/>
          <w:bdr w:val="none" w:sz="0" w:space="0" w:color="auto" w:frame="1"/>
          <w:vertAlign w:val="subscript"/>
        </w:rPr>
        <w:t>RefS</w:t>
      </w:r>
      <w:proofErr w:type="spellEnd"/>
      <w:r w:rsidR="00607CF3" w:rsidRPr="00871092">
        <w:rPr>
          <w:rFonts w:asciiTheme="majorBidi" w:hAnsiTheme="majorBidi" w:cstheme="majorBidi"/>
          <w:color w:val="0F1115"/>
          <w:sz w:val="22"/>
          <w:szCs w:val="22"/>
        </w:rPr>
        <w:t>) (</w:t>
      </w:r>
      <w:r w:rsidR="00607CF3" w:rsidRPr="00871092">
        <w:rPr>
          <w:rFonts w:asciiTheme="majorBidi" w:hAnsiTheme="majorBidi" w:cstheme="majorBidi"/>
          <w:color w:val="5B9BD5" w:themeColor="accent1"/>
          <w:sz w:val="22"/>
          <w:szCs w:val="22"/>
        </w:rPr>
        <w:t>Kowalska et al., 2018</w:t>
      </w:r>
      <w:r w:rsidR="00607CF3" w:rsidRPr="00871092">
        <w:rPr>
          <w:rFonts w:asciiTheme="majorBidi" w:hAnsiTheme="majorBidi" w:cstheme="majorBidi"/>
          <w:color w:val="0F1115"/>
          <w:sz w:val="22"/>
          <w:szCs w:val="22"/>
        </w:rPr>
        <w:t>).</w:t>
      </w:r>
    </w:p>
    <w:p w14:paraId="36697144" w14:textId="77777777" w:rsidR="00607CF3" w:rsidRPr="00871092" w:rsidRDefault="00607CF3" w:rsidP="00871092">
      <w:pPr>
        <w:spacing w:after="0" w:line="240" w:lineRule="auto"/>
        <w:jc w:val="center"/>
        <w:rPr>
          <w:rFonts w:asciiTheme="majorBidi" w:hAnsiTheme="majorBidi" w:cstheme="majorBidi"/>
          <w:color w:val="000000" w:themeColor="text1"/>
        </w:rPr>
      </w:pPr>
      <m:oMath>
        <m:r>
          <m:rPr>
            <m:sty m:val="p"/>
          </m:rPr>
          <w:rPr>
            <w:rFonts w:ascii="Cambria Math" w:hAnsi="Cambria Math" w:cstheme="majorBidi"/>
            <w:color w:val="000000" w:themeColor="text1"/>
          </w:rPr>
          <m:t>CF=</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m:t>
            </m:r>
          </m:e>
          <m:sub>
            <m:r>
              <m:rPr>
                <m:sty m:val="p"/>
              </m:rPr>
              <w:rPr>
                <w:rFonts w:ascii="Cambria Math" w:hAnsi="Cambria Math" w:cstheme="majorBidi"/>
                <w:color w:val="000000" w:themeColor="text1"/>
              </w:rPr>
              <m:t>S</m:t>
            </m:r>
          </m:sub>
        </m:sSub>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m:t>
            </m:r>
          </m:e>
          <m:sub>
            <m:r>
              <m:rPr>
                <m:sty m:val="p"/>
              </m:rPr>
              <w:rPr>
                <w:rFonts w:ascii="Cambria Math" w:hAnsi="Cambria Math" w:cstheme="majorBidi"/>
                <w:color w:val="000000" w:themeColor="text1"/>
              </w:rPr>
              <m:t>RefS</m:t>
            </m:r>
          </m:sub>
        </m:sSub>
      </m:oMath>
      <w:r w:rsidRPr="00871092">
        <w:rPr>
          <w:rFonts w:asciiTheme="majorBidi" w:hAnsiTheme="majorBidi" w:cstheme="majorBidi"/>
          <w:color w:val="000000" w:themeColor="text1"/>
        </w:rPr>
        <w:t xml:space="preserve">           (1)</w:t>
      </w:r>
    </w:p>
    <w:p w14:paraId="062B0BDB" w14:textId="0E7C578F" w:rsidR="00607CF3" w:rsidRPr="00871092" w:rsidRDefault="00C24136" w:rsidP="00C24136">
      <w:pPr>
        <w:pStyle w:val="ds-markdown-paragraph"/>
        <w:spacing w:before="0" w:beforeAutospacing="0" w:after="0" w:afterAutospacing="0"/>
        <w:mirrorIndents/>
        <w:jc w:val="both"/>
        <w:rPr>
          <w:rFonts w:asciiTheme="majorBidi" w:hAnsiTheme="majorBidi" w:cstheme="majorBidi"/>
          <w:color w:val="0F1115"/>
          <w:sz w:val="22"/>
          <w:szCs w:val="22"/>
        </w:rPr>
      </w:pPr>
      <w:r w:rsidRPr="00C24136">
        <w:rPr>
          <w:rFonts w:asciiTheme="majorBidi" w:hAnsiTheme="majorBidi" w:cstheme="majorBidi"/>
          <w:color w:val="0F1115"/>
          <w:sz w:val="22"/>
          <w:szCs w:val="22"/>
        </w:rPr>
        <w:t>-</w:t>
      </w:r>
      <w:r>
        <w:rPr>
          <w:rFonts w:asciiTheme="majorBidi" w:hAnsiTheme="majorBidi" w:cstheme="majorBidi"/>
          <w:color w:val="0F1115"/>
          <w:sz w:val="22"/>
          <w:szCs w:val="22"/>
        </w:rPr>
        <w:t xml:space="preserve"> </w:t>
      </w:r>
      <w:r w:rsidR="00607CF3" w:rsidRPr="00871092">
        <w:rPr>
          <w:rFonts w:asciiTheme="majorBidi" w:hAnsiTheme="majorBidi" w:cstheme="majorBidi"/>
          <w:color w:val="0F1115"/>
          <w:sz w:val="22"/>
          <w:szCs w:val="22"/>
        </w:rPr>
        <w:t xml:space="preserve">The CF is widely used for initial, element-specific screening and is classified as: </w:t>
      </w:r>
      <w:r w:rsidR="00374489">
        <w:rPr>
          <w:rFonts w:asciiTheme="majorBidi" w:hAnsiTheme="majorBidi" w:cstheme="majorBidi"/>
          <w:color w:val="0F1115"/>
          <w:sz w:val="22"/>
          <w:szCs w:val="22"/>
        </w:rPr>
        <w:t>l</w:t>
      </w:r>
      <w:r w:rsidR="00607CF3" w:rsidRPr="00871092">
        <w:rPr>
          <w:rFonts w:asciiTheme="majorBidi" w:hAnsiTheme="majorBidi" w:cstheme="majorBidi"/>
          <w:color w:val="0F1115"/>
          <w:sz w:val="22"/>
          <w:szCs w:val="22"/>
        </w:rPr>
        <w:t>ow (</w:t>
      </w:r>
      <w:r w:rsidR="00607CF3" w:rsidRPr="00871092">
        <w:rPr>
          <w:rStyle w:val="katex-mathml"/>
          <w:rFonts w:asciiTheme="majorBidi" w:eastAsiaTheme="majorEastAsia" w:hAnsiTheme="majorBidi" w:cstheme="majorBidi"/>
          <w:color w:val="0F1115"/>
          <w:sz w:val="22"/>
          <w:szCs w:val="22"/>
          <w:bdr w:val="none" w:sz="0" w:space="0" w:color="auto" w:frame="1"/>
        </w:rPr>
        <w:t>CF&lt;1</w:t>
      </w:r>
      <w:r w:rsidR="00607CF3" w:rsidRPr="00871092">
        <w:rPr>
          <w:rFonts w:asciiTheme="majorBidi" w:hAnsiTheme="majorBidi" w:cstheme="majorBidi"/>
          <w:color w:val="0F1115"/>
          <w:sz w:val="22"/>
          <w:szCs w:val="22"/>
        </w:rPr>
        <w:t xml:space="preserve">), </w:t>
      </w:r>
      <w:r w:rsidR="00374489">
        <w:rPr>
          <w:rFonts w:asciiTheme="majorBidi" w:hAnsiTheme="majorBidi" w:cstheme="majorBidi"/>
          <w:color w:val="0F1115"/>
          <w:sz w:val="22"/>
          <w:szCs w:val="22"/>
        </w:rPr>
        <w:t>m</w:t>
      </w:r>
      <w:r w:rsidR="00607CF3" w:rsidRPr="00871092">
        <w:rPr>
          <w:rFonts w:asciiTheme="majorBidi" w:hAnsiTheme="majorBidi" w:cstheme="majorBidi"/>
          <w:color w:val="0F1115"/>
          <w:sz w:val="22"/>
          <w:szCs w:val="22"/>
        </w:rPr>
        <w:t>oderate (</w:t>
      </w:r>
      <w:r w:rsidR="00607CF3" w:rsidRPr="00871092">
        <w:rPr>
          <w:rStyle w:val="katex-mathml"/>
          <w:rFonts w:asciiTheme="majorBidi" w:eastAsiaTheme="majorEastAsia" w:hAnsiTheme="majorBidi" w:cstheme="majorBidi"/>
          <w:color w:val="0F1115"/>
          <w:sz w:val="22"/>
          <w:szCs w:val="22"/>
          <w:bdr w:val="none" w:sz="0" w:space="0" w:color="auto" w:frame="1"/>
        </w:rPr>
        <w:t>1≤CF&lt;3</w:t>
      </w:r>
      <w:r w:rsidR="00607CF3" w:rsidRPr="00871092">
        <w:rPr>
          <w:rFonts w:asciiTheme="majorBidi" w:hAnsiTheme="majorBidi" w:cstheme="majorBidi"/>
          <w:color w:val="0F1115"/>
          <w:sz w:val="22"/>
          <w:szCs w:val="22"/>
        </w:rPr>
        <w:t xml:space="preserve">), </w:t>
      </w:r>
      <w:r w:rsidR="00374489">
        <w:rPr>
          <w:rFonts w:asciiTheme="majorBidi" w:hAnsiTheme="majorBidi" w:cstheme="majorBidi"/>
          <w:color w:val="0F1115"/>
          <w:sz w:val="22"/>
          <w:szCs w:val="22"/>
        </w:rPr>
        <w:t>c</w:t>
      </w:r>
      <w:r w:rsidR="00607CF3" w:rsidRPr="00871092">
        <w:rPr>
          <w:rFonts w:asciiTheme="majorBidi" w:hAnsiTheme="majorBidi" w:cstheme="majorBidi"/>
          <w:color w:val="0F1115"/>
          <w:sz w:val="22"/>
          <w:szCs w:val="22"/>
        </w:rPr>
        <w:t>onsiderable (</w:t>
      </w:r>
      <w:r w:rsidR="00607CF3" w:rsidRPr="00871092">
        <w:rPr>
          <w:rStyle w:val="katex-mathml"/>
          <w:rFonts w:asciiTheme="majorBidi" w:eastAsiaTheme="majorEastAsia" w:hAnsiTheme="majorBidi" w:cstheme="majorBidi"/>
          <w:color w:val="0F1115"/>
          <w:sz w:val="22"/>
          <w:szCs w:val="22"/>
          <w:bdr w:val="none" w:sz="0" w:space="0" w:color="auto" w:frame="1"/>
        </w:rPr>
        <w:t>3≤CF&lt;6</w:t>
      </w:r>
      <w:r w:rsidR="00607CF3" w:rsidRPr="00871092">
        <w:rPr>
          <w:rFonts w:asciiTheme="majorBidi" w:hAnsiTheme="majorBidi" w:cstheme="majorBidi"/>
          <w:color w:val="0F1115"/>
          <w:sz w:val="22"/>
          <w:szCs w:val="22"/>
        </w:rPr>
        <w:t xml:space="preserve">), or </w:t>
      </w:r>
      <w:r w:rsidR="00374489">
        <w:rPr>
          <w:rFonts w:asciiTheme="majorBidi" w:hAnsiTheme="majorBidi" w:cstheme="majorBidi"/>
          <w:color w:val="0F1115"/>
          <w:sz w:val="22"/>
          <w:szCs w:val="22"/>
        </w:rPr>
        <w:t>v</w:t>
      </w:r>
      <w:r w:rsidR="00607CF3" w:rsidRPr="00871092">
        <w:rPr>
          <w:rFonts w:asciiTheme="majorBidi" w:hAnsiTheme="majorBidi" w:cstheme="majorBidi"/>
          <w:color w:val="0F1115"/>
          <w:sz w:val="22"/>
          <w:szCs w:val="22"/>
        </w:rPr>
        <w:t xml:space="preserve">ery </w:t>
      </w:r>
      <w:r w:rsidR="00374489">
        <w:rPr>
          <w:rFonts w:asciiTheme="majorBidi" w:hAnsiTheme="majorBidi" w:cstheme="majorBidi"/>
          <w:color w:val="0F1115"/>
          <w:sz w:val="22"/>
          <w:szCs w:val="22"/>
        </w:rPr>
        <w:t>h</w:t>
      </w:r>
      <w:r w:rsidR="00607CF3" w:rsidRPr="00871092">
        <w:rPr>
          <w:rFonts w:asciiTheme="majorBidi" w:hAnsiTheme="majorBidi" w:cstheme="majorBidi"/>
          <w:color w:val="0F1115"/>
          <w:sz w:val="22"/>
          <w:szCs w:val="22"/>
        </w:rPr>
        <w:t>igh (</w:t>
      </w:r>
      <w:r w:rsidR="00607CF3" w:rsidRPr="00871092">
        <w:rPr>
          <w:rStyle w:val="katex-mathml"/>
          <w:rFonts w:asciiTheme="majorBidi" w:eastAsiaTheme="majorEastAsia" w:hAnsiTheme="majorBidi" w:cstheme="majorBidi"/>
          <w:color w:val="0F1115"/>
          <w:sz w:val="22"/>
          <w:szCs w:val="22"/>
          <w:bdr w:val="none" w:sz="0" w:space="0" w:color="auto" w:frame="1"/>
        </w:rPr>
        <w:t>CF≥6</w:t>
      </w:r>
      <w:r w:rsidR="00607CF3" w:rsidRPr="00871092">
        <w:rPr>
          <w:rFonts w:asciiTheme="majorBidi" w:hAnsiTheme="majorBidi" w:cstheme="majorBidi"/>
          <w:color w:val="0F1115"/>
          <w:sz w:val="22"/>
          <w:szCs w:val="22"/>
        </w:rPr>
        <w:t>) (Antoniadis et al., 2017; Ghosh et al., 2019; Mensah et al., 2020).</w:t>
      </w:r>
    </w:p>
    <w:p w14:paraId="087969B0" w14:textId="0D787905" w:rsidR="00607CF3" w:rsidRPr="00871092" w:rsidRDefault="00C24136" w:rsidP="000E3D8F">
      <w:pPr>
        <w:pStyle w:val="Paragraphedeliste"/>
        <w:ind w:left="0"/>
        <w:rPr>
          <w:rFonts w:eastAsia="Times New Roman"/>
        </w:rPr>
      </w:pPr>
      <w:r>
        <w:rPr>
          <w:rFonts w:cstheme="majorBidi"/>
          <w:color w:val="000000" w:themeColor="text1"/>
          <w:lang w:val="en-US"/>
        </w:rPr>
        <w:t xml:space="preserve">- </w:t>
      </w:r>
      <w:r w:rsidR="00607CF3" w:rsidRPr="00871092">
        <w:rPr>
          <w:rFonts w:asciiTheme="majorBidi" w:eastAsia="Times New Roman" w:hAnsiTheme="majorBidi"/>
        </w:rPr>
        <w:t>The Enrichment Factor (EF) is utilized to distinguish between anthropogenic and geogenic sources of PTEs by normalizing the element’s concentration against a conservative reference element, such as Aluminum (Al) in this study (</w:t>
      </w:r>
      <w:proofErr w:type="spellStart"/>
      <w:r w:rsidR="00607CF3" w:rsidRPr="00871092">
        <w:rPr>
          <w:rFonts w:asciiTheme="majorBidi" w:eastAsia="Times New Roman" w:hAnsiTheme="majorBidi"/>
          <w:color w:val="5B9BD5" w:themeColor="accent1"/>
        </w:rPr>
        <w:t>Leharne</w:t>
      </w:r>
      <w:proofErr w:type="spellEnd"/>
      <w:r w:rsidR="00607CF3" w:rsidRPr="00871092">
        <w:rPr>
          <w:rFonts w:asciiTheme="majorBidi" w:eastAsia="Times New Roman" w:hAnsiTheme="majorBidi"/>
          <w:color w:val="5B9BD5" w:themeColor="accent1"/>
        </w:rPr>
        <w:t xml:space="preserve"> et al., 1992; Zoller et al., 1974</w:t>
      </w:r>
      <w:r w:rsidR="00607CF3" w:rsidRPr="00871092">
        <w:rPr>
          <w:rFonts w:asciiTheme="majorBidi" w:eastAsia="Times New Roman" w:hAnsiTheme="majorBidi"/>
        </w:rPr>
        <w:t>). This normalization corrects for natural variations in the matrix composition.</w:t>
      </w:r>
    </w:p>
    <w:p w14:paraId="34D8369E" w14:textId="53D9FE52" w:rsidR="00607CF3" w:rsidRPr="000F084C" w:rsidRDefault="00607CF3" w:rsidP="00871092">
      <w:pPr>
        <w:spacing w:after="0" w:line="240" w:lineRule="auto"/>
        <w:jc w:val="center"/>
        <w:rPr>
          <w:rFonts w:asciiTheme="majorBidi" w:hAnsiTheme="majorBidi" w:cstheme="majorBidi"/>
          <w:color w:val="000000" w:themeColor="text1"/>
        </w:rPr>
      </w:pPr>
      <m:oMath>
        <m:r>
          <m:rPr>
            <m:sty m:val="p"/>
          </m:rPr>
          <w:rPr>
            <w:rFonts w:ascii="Cambria Math" w:hAnsi="Cambria Math" w:cstheme="majorBidi"/>
            <w:color w:val="000000" w:themeColor="text1"/>
          </w:rPr>
          <m:t>EF=(</m:t>
        </m:r>
        <m:f>
          <m:fPr>
            <m:type m:val="lin"/>
            <m:ctrlPr>
              <w:rPr>
                <w:rFonts w:ascii="Cambria Math" w:hAnsi="Cambria Math" w:cstheme="majorBidi"/>
                <w:iCs/>
                <w:color w:val="000000" w:themeColor="text1"/>
              </w:rPr>
            </m:ctrlPr>
          </m:fPr>
          <m:num>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m:t>
                </m:r>
              </m:e>
              <m:sub>
                <m:r>
                  <m:rPr>
                    <m:sty m:val="p"/>
                  </m:rPr>
                  <w:rPr>
                    <w:rFonts w:ascii="Cambria Math" w:hAnsi="Cambria Math" w:cstheme="majorBidi"/>
                    <w:color w:val="000000" w:themeColor="text1"/>
                  </w:rPr>
                  <m:t>S</m:t>
                </m:r>
              </m:sub>
            </m:sSub>
          </m:num>
          <m:den>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C(Al)</m:t>
                </m:r>
              </m:e>
              <m:sub>
                <m:r>
                  <m:rPr>
                    <m:sty m:val="p"/>
                  </m:rPr>
                  <w:rPr>
                    <w:rFonts w:ascii="Cambria Math" w:hAnsi="Cambria Math" w:cstheme="majorBidi"/>
                    <w:color w:val="000000" w:themeColor="text1"/>
                  </w:rPr>
                  <m:t>S</m:t>
                </m:r>
              </m:sub>
            </m:sSub>
          </m:den>
        </m:f>
        <m:r>
          <m:rPr>
            <m:sty m:val="p"/>
          </m:rPr>
          <w:rPr>
            <w:rFonts w:ascii="Cambria Math" w:hAnsi="Cambria Math" w:cstheme="majorBidi"/>
            <w:color w:val="000000" w:themeColor="text1"/>
          </w:rPr>
          <m:t>)/(</m:t>
        </m:r>
        <m:f>
          <m:fPr>
            <m:type m:val="lin"/>
            <m:ctrlPr>
              <w:rPr>
                <w:rFonts w:ascii="Cambria Math" w:hAnsi="Cambria Math" w:cstheme="majorBidi"/>
                <w:iCs/>
                <w:color w:val="000000" w:themeColor="text1"/>
              </w:rPr>
            </m:ctrlPr>
          </m:fPr>
          <m:num>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m:t>
                </m:r>
              </m:e>
              <m:sub>
                <m:r>
                  <m:rPr>
                    <m:sty m:val="p"/>
                  </m:rPr>
                  <w:rPr>
                    <w:rFonts w:ascii="Cambria Math" w:hAnsi="Cambria Math" w:cstheme="majorBidi"/>
                    <w:color w:val="000000" w:themeColor="text1"/>
                  </w:rPr>
                  <m:t>RefS</m:t>
                </m:r>
              </m:sub>
            </m:sSub>
          </m:num>
          <m:den>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C(Al)</m:t>
                </m:r>
              </m:e>
              <m:sub>
                <m:r>
                  <m:rPr>
                    <m:sty m:val="p"/>
                  </m:rPr>
                  <w:rPr>
                    <w:rFonts w:ascii="Cambria Math" w:hAnsi="Cambria Math" w:cstheme="majorBidi"/>
                    <w:color w:val="000000" w:themeColor="text1"/>
                  </w:rPr>
                  <m:t>Refs</m:t>
                </m:r>
              </m:sub>
            </m:sSub>
          </m:den>
        </m:f>
        <m:r>
          <m:rPr>
            <m:sty m:val="p"/>
          </m:rPr>
          <w:rPr>
            <w:rFonts w:ascii="Cambria Math" w:hAnsi="Cambria Math" w:cstheme="majorBidi"/>
            <w:color w:val="000000" w:themeColor="text1"/>
          </w:rPr>
          <m:t>)</m:t>
        </m:r>
      </m:oMath>
      <w:r w:rsidRPr="000F084C">
        <w:rPr>
          <w:rFonts w:asciiTheme="majorBidi" w:hAnsiTheme="majorBidi" w:cstheme="majorBidi"/>
          <w:color w:val="000000" w:themeColor="text1"/>
        </w:rPr>
        <w:t xml:space="preserve">           (2)</w:t>
      </w:r>
    </w:p>
    <w:p w14:paraId="6CFE78FC" w14:textId="77777777" w:rsidR="00526480" w:rsidRPr="000F084C" w:rsidRDefault="00526480" w:rsidP="00871092">
      <w:pPr>
        <w:spacing w:after="0" w:line="240" w:lineRule="auto"/>
        <w:jc w:val="center"/>
        <w:rPr>
          <w:rFonts w:asciiTheme="majorBidi" w:hAnsiTheme="majorBidi" w:cstheme="majorBidi"/>
          <w:color w:val="000000" w:themeColor="text1"/>
        </w:rPr>
      </w:pPr>
    </w:p>
    <w:p w14:paraId="47BB2CB9" w14:textId="61C75EED" w:rsidR="00607CF3" w:rsidRPr="00843FD7" w:rsidRDefault="00607CF3"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Where C(Al)</w:t>
      </w:r>
      <w:r w:rsidRPr="00871092">
        <w:rPr>
          <w:rFonts w:asciiTheme="majorBidi" w:eastAsia="Times New Roman" w:hAnsiTheme="majorBidi" w:cstheme="majorBidi"/>
          <w:i/>
          <w:iCs/>
        </w:rPr>
        <w:t>s</w:t>
      </w:r>
      <w:r w:rsidRPr="00871092">
        <w:rPr>
          <w:rFonts w:asciiTheme="majorBidi" w:eastAsia="Times New Roman" w:hAnsiTheme="majorBidi" w:cstheme="majorBidi"/>
        </w:rPr>
        <w:t> is the concentration of the reference element (Al) in the studied clays, and C(Al</w:t>
      </w:r>
      <w:r w:rsidRPr="00871092">
        <w:rPr>
          <w:rFonts w:asciiTheme="majorBidi" w:eastAsia="Times New Roman" w:hAnsiTheme="majorBidi" w:cstheme="majorBidi"/>
          <w:i/>
          <w:iCs/>
        </w:rPr>
        <w:t>)</w:t>
      </w:r>
      <w:r w:rsidRPr="00871092">
        <w:rPr>
          <w:rFonts w:asciiTheme="majorBidi" w:eastAsia="Times New Roman" w:hAnsiTheme="majorBidi" w:cstheme="majorBidi"/>
        </w:rPr>
        <w:t xml:space="preserve"> is the worldwide average concentration of Al in clays (</w:t>
      </w:r>
      <w:proofErr w:type="spellStart"/>
      <w:r w:rsidRPr="00871092">
        <w:rPr>
          <w:rFonts w:asciiTheme="majorBidi" w:eastAsia="Times New Roman" w:hAnsiTheme="majorBidi" w:cstheme="majorBidi"/>
          <w:color w:val="5B9BD5" w:themeColor="accent1"/>
        </w:rPr>
        <w:t>Kabata-Pendias</w:t>
      </w:r>
      <w:proofErr w:type="spellEnd"/>
      <w:r w:rsidRPr="00871092">
        <w:rPr>
          <w:rFonts w:asciiTheme="majorBidi" w:eastAsia="Times New Roman" w:hAnsiTheme="majorBidi" w:cstheme="majorBidi"/>
          <w:color w:val="5B9BD5" w:themeColor="accent1"/>
        </w:rPr>
        <w:t>, 2011</w:t>
      </w:r>
      <w:r w:rsidRPr="00871092">
        <w:rPr>
          <w:rFonts w:asciiTheme="majorBidi" w:eastAsia="Times New Roman" w:hAnsiTheme="majorBidi" w:cstheme="majorBidi"/>
        </w:rPr>
        <w:t>). The EF is interpreted as follows: EF &lt; 1 (</w:t>
      </w:r>
      <w:r w:rsidR="00374489">
        <w:rPr>
          <w:rFonts w:asciiTheme="majorBidi" w:eastAsia="Times New Roman" w:hAnsiTheme="majorBidi" w:cstheme="majorBidi"/>
        </w:rPr>
        <w:t>n</w:t>
      </w:r>
      <w:r w:rsidRPr="00871092">
        <w:rPr>
          <w:rFonts w:asciiTheme="majorBidi" w:eastAsia="Times New Roman" w:hAnsiTheme="majorBidi" w:cstheme="majorBidi"/>
        </w:rPr>
        <w:t>o enrichment/</w:t>
      </w:r>
      <w:r w:rsidR="00374489">
        <w:rPr>
          <w:rFonts w:asciiTheme="majorBidi" w:eastAsia="Times New Roman" w:hAnsiTheme="majorBidi" w:cstheme="majorBidi"/>
        </w:rPr>
        <w:t>d</w:t>
      </w:r>
      <w:r w:rsidRPr="00871092">
        <w:rPr>
          <w:rFonts w:asciiTheme="majorBidi" w:eastAsia="Times New Roman" w:hAnsiTheme="majorBidi" w:cstheme="majorBidi"/>
        </w:rPr>
        <w:t>epletion), 1 ≤ EF &lt; 3 (</w:t>
      </w:r>
      <w:r w:rsidR="00374489">
        <w:rPr>
          <w:rFonts w:asciiTheme="majorBidi" w:eastAsia="Times New Roman" w:hAnsiTheme="majorBidi" w:cstheme="majorBidi"/>
        </w:rPr>
        <w:t>m</w:t>
      </w:r>
      <w:r w:rsidRPr="00871092">
        <w:rPr>
          <w:rFonts w:asciiTheme="majorBidi" w:eastAsia="Times New Roman" w:hAnsiTheme="majorBidi" w:cstheme="majorBidi"/>
        </w:rPr>
        <w:t>inor enrichment), 3 ≤ EF &lt; 5 (</w:t>
      </w:r>
      <w:r w:rsidR="00374489">
        <w:rPr>
          <w:rFonts w:asciiTheme="majorBidi" w:eastAsia="Times New Roman" w:hAnsiTheme="majorBidi" w:cstheme="majorBidi"/>
        </w:rPr>
        <w:t>m</w:t>
      </w:r>
      <w:r w:rsidRPr="00871092">
        <w:rPr>
          <w:rFonts w:asciiTheme="majorBidi" w:eastAsia="Times New Roman" w:hAnsiTheme="majorBidi" w:cstheme="majorBidi"/>
        </w:rPr>
        <w:t xml:space="preserve">oderate </w:t>
      </w:r>
      <w:r w:rsidRPr="00843FD7">
        <w:rPr>
          <w:rFonts w:asciiTheme="majorBidi" w:eastAsia="Times New Roman" w:hAnsiTheme="majorBidi" w:cstheme="majorBidi"/>
        </w:rPr>
        <w:t>enrichment), 5 ≤ EF &lt; 10 (</w:t>
      </w:r>
      <w:r w:rsidR="00374489" w:rsidRPr="00843FD7">
        <w:rPr>
          <w:rFonts w:asciiTheme="majorBidi" w:eastAsia="Times New Roman" w:hAnsiTheme="majorBidi" w:cstheme="majorBidi"/>
        </w:rPr>
        <w:t>m</w:t>
      </w:r>
      <w:r w:rsidRPr="00843FD7">
        <w:rPr>
          <w:rFonts w:asciiTheme="majorBidi" w:eastAsia="Times New Roman" w:hAnsiTheme="majorBidi" w:cstheme="majorBidi"/>
        </w:rPr>
        <w:t>oderately severe enrichment), 10 ≤ EF &lt; 25 (</w:t>
      </w:r>
      <w:r w:rsidR="00374489" w:rsidRPr="00843FD7">
        <w:rPr>
          <w:rFonts w:asciiTheme="majorBidi" w:eastAsia="Times New Roman" w:hAnsiTheme="majorBidi" w:cstheme="majorBidi"/>
        </w:rPr>
        <w:t>s</w:t>
      </w:r>
      <w:r w:rsidRPr="00843FD7">
        <w:rPr>
          <w:rFonts w:asciiTheme="majorBidi" w:eastAsia="Times New Roman" w:hAnsiTheme="majorBidi" w:cstheme="majorBidi"/>
        </w:rPr>
        <w:t>evere enrichment), 25 ≤ EF</w:t>
      </w:r>
      <w:r w:rsidRPr="00843FD7">
        <w:rPr>
          <w:rFonts w:asciiTheme="majorBidi" w:eastAsia="Times New Roman" w:hAnsiTheme="majorBidi" w:cstheme="majorBidi"/>
          <w:color w:val="111827"/>
          <w:shd w:val="clear" w:color="auto" w:fill="E2E8F0"/>
        </w:rPr>
        <w:t xml:space="preserve"> </w:t>
      </w:r>
      <w:r w:rsidRPr="00843FD7">
        <w:rPr>
          <w:rFonts w:asciiTheme="majorBidi" w:eastAsia="Times New Roman" w:hAnsiTheme="majorBidi" w:cstheme="majorBidi"/>
        </w:rPr>
        <w:t>&lt; 50 (</w:t>
      </w:r>
      <w:r w:rsidR="00374489" w:rsidRPr="00843FD7">
        <w:rPr>
          <w:rFonts w:asciiTheme="majorBidi" w:eastAsia="Times New Roman" w:hAnsiTheme="majorBidi" w:cstheme="majorBidi"/>
        </w:rPr>
        <w:t>v</w:t>
      </w:r>
      <w:r w:rsidRPr="00843FD7">
        <w:rPr>
          <w:rFonts w:asciiTheme="majorBidi" w:eastAsia="Times New Roman" w:hAnsiTheme="majorBidi" w:cstheme="majorBidi"/>
        </w:rPr>
        <w:t>ery severe enrichment), and EF &gt; 50 (Extremely severe enrichment) (</w:t>
      </w:r>
      <w:r w:rsidRPr="00843FD7">
        <w:rPr>
          <w:rFonts w:asciiTheme="majorBidi" w:eastAsia="Times New Roman" w:hAnsiTheme="majorBidi" w:cstheme="majorBidi"/>
          <w:color w:val="5B9BD5" w:themeColor="accent1"/>
        </w:rPr>
        <w:t>Shaheen et al., 2019</w:t>
      </w:r>
      <w:r w:rsidR="00E11144" w:rsidRPr="00843FD7">
        <w:rPr>
          <w:rFonts w:asciiTheme="majorBidi" w:eastAsia="Times New Roman" w:hAnsiTheme="majorBidi" w:cstheme="majorBidi"/>
          <w:color w:val="5B9BD5" w:themeColor="accent1"/>
        </w:rPr>
        <w:t>; Khanam et al., 2020</w:t>
      </w:r>
      <w:r w:rsidRPr="00843FD7">
        <w:rPr>
          <w:rFonts w:asciiTheme="majorBidi" w:eastAsia="Times New Roman" w:hAnsiTheme="majorBidi" w:cstheme="majorBidi"/>
        </w:rPr>
        <w:t>).</w:t>
      </w:r>
    </w:p>
    <w:p w14:paraId="78CD95FB" w14:textId="38918716" w:rsidR="00526480" w:rsidRPr="00843FD7" w:rsidRDefault="00C24136" w:rsidP="000E3D8F">
      <w:pPr>
        <w:pStyle w:val="Paragraphedeliste"/>
        <w:ind w:left="0"/>
        <w:rPr>
          <w:rFonts w:eastAsia="Times New Roman"/>
        </w:rPr>
      </w:pPr>
      <w:r w:rsidRPr="00843FD7">
        <w:rPr>
          <w:rFonts w:asciiTheme="majorBidi" w:eastAsia="Times New Roman" w:hAnsiTheme="majorBidi"/>
        </w:rPr>
        <w:t>-</w:t>
      </w:r>
      <w:r w:rsidR="00607CF3" w:rsidRPr="000E3D8F">
        <w:rPr>
          <w:rFonts w:asciiTheme="majorBidi" w:eastAsia="Times New Roman" w:hAnsiTheme="majorBidi"/>
        </w:rPr>
        <w:t>The Geo-Accumulation Index (</w:t>
      </w:r>
      <w:proofErr w:type="spellStart"/>
      <w:r w:rsidR="00607CF3" w:rsidRPr="000E3D8F">
        <w:rPr>
          <w:rFonts w:asciiTheme="majorBidi" w:eastAsia="Times New Roman" w:hAnsiTheme="majorBidi"/>
        </w:rPr>
        <w:t>I</w:t>
      </w:r>
      <w:r w:rsidR="00607CF3" w:rsidRPr="000E3D8F">
        <w:rPr>
          <w:rFonts w:asciiTheme="majorBidi" w:eastAsia="Times New Roman" w:hAnsiTheme="majorBidi"/>
          <w:vertAlign w:val="subscript"/>
        </w:rPr>
        <w:t>geo</w:t>
      </w:r>
      <w:proofErr w:type="spellEnd"/>
      <w:r w:rsidR="00607CF3" w:rsidRPr="000E3D8F">
        <w:rPr>
          <w:rFonts w:asciiTheme="majorBidi" w:eastAsia="Times New Roman" w:hAnsiTheme="majorBidi"/>
        </w:rPr>
        <w:t>), developed by Müller (</w:t>
      </w:r>
      <w:r w:rsidR="00607CF3" w:rsidRPr="000E3D8F">
        <w:rPr>
          <w:rFonts w:asciiTheme="majorBidi" w:eastAsia="Times New Roman" w:hAnsiTheme="majorBidi"/>
          <w:color w:val="5B9BD5" w:themeColor="accent1"/>
        </w:rPr>
        <w:t>1969</w:t>
      </w:r>
      <w:r w:rsidR="00607CF3" w:rsidRPr="000E3D8F">
        <w:rPr>
          <w:rFonts w:asciiTheme="majorBidi" w:eastAsia="Times New Roman" w:hAnsiTheme="majorBidi"/>
        </w:rPr>
        <w:t xml:space="preserve">), compares the current PTE concentration with a pre-industrial background level. The factor of 1.5 is incorporated to account for natural fluctuations in the background data. </w:t>
      </w:r>
    </w:p>
    <w:p w14:paraId="0B6BC176" w14:textId="51A2B05A" w:rsidR="00607CF3" w:rsidRPr="00843FD7" w:rsidRDefault="00607CF3" w:rsidP="00871092">
      <w:pPr>
        <w:spacing w:after="0" w:line="240" w:lineRule="auto"/>
        <w:jc w:val="center"/>
        <w:rPr>
          <w:rFonts w:asciiTheme="majorBidi" w:hAnsiTheme="majorBidi" w:cstheme="majorBidi"/>
          <w:color w:val="000000" w:themeColor="text1"/>
        </w:rPr>
      </w:pPr>
      <w:r w:rsidRPr="00843FD7">
        <w:rPr>
          <w:rFonts w:asciiTheme="majorBidi" w:hAnsiTheme="majorBidi" w:cstheme="majorBidi"/>
          <w:color w:val="000000" w:themeColor="text1"/>
        </w:rPr>
        <w:t xml:space="preserve">  </w:t>
      </w:r>
      <m:oMath>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I</m:t>
            </m:r>
          </m:e>
          <m:sub>
            <m:r>
              <m:rPr>
                <m:sty m:val="p"/>
              </m:rPr>
              <w:rPr>
                <w:rFonts w:ascii="Cambria Math" w:hAnsi="Cambria Math" w:cstheme="majorBidi"/>
                <w:color w:val="000000" w:themeColor="text1"/>
              </w:rPr>
              <m:t>geo</m:t>
            </m:r>
          </m:sub>
        </m:sSub>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log</m:t>
            </m:r>
          </m:e>
          <m:sub>
            <m:r>
              <m:rPr>
                <m:sty m:val="p"/>
              </m:rPr>
              <w:rPr>
                <w:rFonts w:ascii="Cambria Math" w:hAnsi="Cambria Math" w:cstheme="majorBidi"/>
                <w:color w:val="000000" w:themeColor="text1"/>
              </w:rPr>
              <m:t>2</m:t>
            </m:r>
          </m:sub>
        </m:sSub>
        <m:r>
          <m:rPr>
            <m:sty m:val="p"/>
          </m:rPr>
          <w:rPr>
            <w:rFonts w:ascii="Cambria Math" w:hAnsi="Cambria Math" w:cstheme="majorBidi"/>
            <w:color w:val="000000" w:themeColor="text1"/>
          </w:rPr>
          <m:t xml:space="preserve"> (</m:t>
        </m:r>
        <m:f>
          <m:fPr>
            <m:type m:val="lin"/>
            <m:ctrlPr>
              <w:rPr>
                <w:rFonts w:ascii="Cambria Math" w:hAnsi="Cambria Math" w:cstheme="majorBidi"/>
                <w:iCs/>
                <w:color w:val="000000" w:themeColor="text1"/>
              </w:rPr>
            </m:ctrlPr>
          </m:fPr>
          <m:num>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m:t>
                </m:r>
              </m:e>
              <m:sub>
                <m:r>
                  <m:rPr>
                    <m:sty m:val="p"/>
                  </m:rPr>
                  <w:rPr>
                    <w:rFonts w:ascii="Cambria Math" w:hAnsi="Cambria Math" w:cstheme="majorBidi"/>
                    <w:color w:val="000000" w:themeColor="text1"/>
                  </w:rPr>
                  <m:t>S</m:t>
                </m:r>
              </m:sub>
            </m:sSub>
          </m:num>
          <m:den>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1.5*C</m:t>
                </m:r>
              </m:e>
              <m:sub>
                <m:r>
                  <m:rPr>
                    <m:sty m:val="p"/>
                  </m:rPr>
                  <w:rPr>
                    <w:rFonts w:ascii="Cambria Math" w:hAnsi="Cambria Math" w:cstheme="majorBidi"/>
                    <w:color w:val="000000" w:themeColor="text1"/>
                  </w:rPr>
                  <m:t>RefS</m:t>
                </m:r>
              </m:sub>
            </m:sSub>
          </m:den>
        </m:f>
        <m:r>
          <m:rPr>
            <m:sty m:val="p"/>
          </m:rPr>
          <w:rPr>
            <w:rFonts w:ascii="Cambria Math" w:hAnsi="Cambria Math" w:cstheme="majorBidi"/>
            <w:color w:val="000000" w:themeColor="text1"/>
          </w:rPr>
          <m:t>)</m:t>
        </m:r>
      </m:oMath>
      <w:r w:rsidRPr="00843FD7">
        <w:rPr>
          <w:rFonts w:asciiTheme="majorBidi" w:hAnsiTheme="majorBidi" w:cstheme="majorBidi"/>
          <w:color w:val="000000" w:themeColor="text1"/>
        </w:rPr>
        <w:t xml:space="preserve">           (3)</w:t>
      </w:r>
    </w:p>
    <w:p w14:paraId="7CE3B7D5" w14:textId="41F81A6E" w:rsidR="00607CF3" w:rsidRPr="00843FD7" w:rsidRDefault="00607CF3" w:rsidP="00871092">
      <w:pPr>
        <w:spacing w:after="0" w:line="240" w:lineRule="auto"/>
        <w:jc w:val="both"/>
        <w:rPr>
          <w:rFonts w:asciiTheme="majorBidi" w:eastAsia="Times New Roman" w:hAnsiTheme="majorBidi" w:cstheme="majorBidi"/>
        </w:rPr>
      </w:pPr>
      <w:r w:rsidRPr="00843FD7">
        <w:rPr>
          <w:rFonts w:asciiTheme="majorBidi" w:eastAsia="Times New Roman" w:hAnsiTheme="majorBidi" w:cstheme="majorBidi"/>
        </w:rPr>
        <w:t>The classification system is: </w:t>
      </w:r>
      <w:proofErr w:type="spellStart"/>
      <w:r w:rsidRPr="00843FD7">
        <w:rPr>
          <w:rFonts w:asciiTheme="majorBidi" w:eastAsia="Times New Roman" w:hAnsiTheme="majorBidi" w:cstheme="majorBidi"/>
        </w:rPr>
        <w:t>I</w:t>
      </w:r>
      <w:r w:rsidRPr="00843FD7">
        <w:rPr>
          <w:rFonts w:asciiTheme="majorBidi" w:eastAsia="Times New Roman" w:hAnsiTheme="majorBidi" w:cstheme="majorBidi"/>
          <w:vertAlign w:val="subscript"/>
        </w:rPr>
        <w:t>geo</w:t>
      </w:r>
      <w:proofErr w:type="spellEnd"/>
      <w:r w:rsidRPr="00843FD7">
        <w:rPr>
          <w:rFonts w:asciiTheme="majorBidi" w:eastAsia="Times New Roman" w:hAnsiTheme="majorBidi" w:cstheme="majorBidi"/>
        </w:rPr>
        <w:t xml:space="preserve"> ≤ 0 (</w:t>
      </w:r>
      <w:r w:rsidR="00374489" w:rsidRPr="00843FD7">
        <w:rPr>
          <w:rFonts w:asciiTheme="majorBidi" w:eastAsia="Times New Roman" w:hAnsiTheme="majorBidi" w:cstheme="majorBidi"/>
        </w:rPr>
        <w:t>u</w:t>
      </w:r>
      <w:r w:rsidRPr="00843FD7">
        <w:rPr>
          <w:rFonts w:asciiTheme="majorBidi" w:eastAsia="Times New Roman" w:hAnsiTheme="majorBidi" w:cstheme="majorBidi"/>
        </w:rPr>
        <w:t xml:space="preserve">ncontaminated), 0 &lt; </w:t>
      </w:r>
      <w:proofErr w:type="spellStart"/>
      <w:r w:rsidRPr="00843FD7">
        <w:rPr>
          <w:rFonts w:asciiTheme="majorBidi" w:eastAsia="Times New Roman" w:hAnsiTheme="majorBidi" w:cstheme="majorBidi"/>
        </w:rPr>
        <w:t>I</w:t>
      </w:r>
      <w:r w:rsidRPr="00843FD7">
        <w:rPr>
          <w:rFonts w:asciiTheme="majorBidi" w:eastAsia="Times New Roman" w:hAnsiTheme="majorBidi" w:cstheme="majorBidi"/>
          <w:vertAlign w:val="subscript"/>
        </w:rPr>
        <w:t>geo</w:t>
      </w:r>
      <w:proofErr w:type="spellEnd"/>
      <w:r w:rsidRPr="00843FD7">
        <w:rPr>
          <w:rFonts w:asciiTheme="majorBidi" w:eastAsia="Times New Roman" w:hAnsiTheme="majorBidi" w:cstheme="majorBidi"/>
        </w:rPr>
        <w:t xml:space="preserve"> ≤ 1 (</w:t>
      </w:r>
      <w:r w:rsidR="00374489" w:rsidRPr="00843FD7">
        <w:rPr>
          <w:rFonts w:asciiTheme="majorBidi" w:eastAsia="Times New Roman" w:hAnsiTheme="majorBidi" w:cstheme="majorBidi"/>
        </w:rPr>
        <w:t>u</w:t>
      </w:r>
      <w:r w:rsidRPr="00843FD7">
        <w:rPr>
          <w:rFonts w:asciiTheme="majorBidi" w:eastAsia="Times New Roman" w:hAnsiTheme="majorBidi" w:cstheme="majorBidi"/>
        </w:rPr>
        <w:t xml:space="preserve">ncontaminated to moderately contaminated), 1 &lt; </w:t>
      </w:r>
      <w:proofErr w:type="spellStart"/>
      <w:r w:rsidRPr="00843FD7">
        <w:rPr>
          <w:rFonts w:asciiTheme="majorBidi" w:eastAsia="Times New Roman" w:hAnsiTheme="majorBidi" w:cstheme="majorBidi"/>
        </w:rPr>
        <w:t>I</w:t>
      </w:r>
      <w:r w:rsidRPr="00843FD7">
        <w:rPr>
          <w:rFonts w:asciiTheme="majorBidi" w:eastAsia="Times New Roman" w:hAnsiTheme="majorBidi" w:cstheme="majorBidi"/>
          <w:vertAlign w:val="subscript"/>
        </w:rPr>
        <w:t>geo</w:t>
      </w:r>
      <w:proofErr w:type="spellEnd"/>
      <w:r w:rsidRPr="00843FD7">
        <w:rPr>
          <w:rFonts w:asciiTheme="majorBidi" w:eastAsia="Times New Roman" w:hAnsiTheme="majorBidi" w:cstheme="majorBidi"/>
        </w:rPr>
        <w:t xml:space="preserve"> ≤ 2 (</w:t>
      </w:r>
      <w:r w:rsidR="00374489" w:rsidRPr="00843FD7">
        <w:rPr>
          <w:rFonts w:asciiTheme="majorBidi" w:eastAsia="Times New Roman" w:hAnsiTheme="majorBidi" w:cstheme="majorBidi"/>
        </w:rPr>
        <w:t>m</w:t>
      </w:r>
      <w:r w:rsidRPr="00843FD7">
        <w:rPr>
          <w:rFonts w:asciiTheme="majorBidi" w:eastAsia="Times New Roman" w:hAnsiTheme="majorBidi" w:cstheme="majorBidi"/>
        </w:rPr>
        <w:t xml:space="preserve">oderately contaminated), 2 &lt; </w:t>
      </w:r>
      <w:proofErr w:type="spellStart"/>
      <w:r w:rsidRPr="00843FD7">
        <w:rPr>
          <w:rFonts w:asciiTheme="majorBidi" w:eastAsia="Times New Roman" w:hAnsiTheme="majorBidi" w:cstheme="majorBidi"/>
        </w:rPr>
        <w:t>I</w:t>
      </w:r>
      <w:r w:rsidRPr="00843FD7">
        <w:rPr>
          <w:rFonts w:asciiTheme="majorBidi" w:eastAsia="Times New Roman" w:hAnsiTheme="majorBidi" w:cstheme="majorBidi"/>
          <w:vertAlign w:val="subscript"/>
        </w:rPr>
        <w:t>geo</w:t>
      </w:r>
      <w:proofErr w:type="spellEnd"/>
      <w:r w:rsidRPr="00843FD7">
        <w:rPr>
          <w:rFonts w:asciiTheme="majorBidi" w:eastAsia="Times New Roman" w:hAnsiTheme="majorBidi" w:cstheme="majorBidi"/>
        </w:rPr>
        <w:t xml:space="preserve"> ≤ 3 (</w:t>
      </w:r>
      <w:r w:rsidR="00374489" w:rsidRPr="00843FD7">
        <w:rPr>
          <w:rFonts w:asciiTheme="majorBidi" w:eastAsia="Times New Roman" w:hAnsiTheme="majorBidi" w:cstheme="majorBidi"/>
        </w:rPr>
        <w:t>m</w:t>
      </w:r>
      <w:r w:rsidRPr="00843FD7">
        <w:rPr>
          <w:rFonts w:asciiTheme="majorBidi" w:eastAsia="Times New Roman" w:hAnsiTheme="majorBidi" w:cstheme="majorBidi"/>
        </w:rPr>
        <w:t xml:space="preserve">oderately to heavily contaminated), 3 &lt; </w:t>
      </w:r>
      <w:proofErr w:type="spellStart"/>
      <w:r w:rsidRPr="00843FD7">
        <w:rPr>
          <w:rFonts w:asciiTheme="majorBidi" w:eastAsia="Times New Roman" w:hAnsiTheme="majorBidi" w:cstheme="majorBidi"/>
        </w:rPr>
        <w:t>I</w:t>
      </w:r>
      <w:r w:rsidRPr="00843FD7">
        <w:rPr>
          <w:rFonts w:asciiTheme="majorBidi" w:eastAsia="Times New Roman" w:hAnsiTheme="majorBidi" w:cstheme="majorBidi"/>
          <w:vertAlign w:val="subscript"/>
        </w:rPr>
        <w:t>geo</w:t>
      </w:r>
      <w:proofErr w:type="spellEnd"/>
      <w:r w:rsidRPr="00843FD7">
        <w:rPr>
          <w:rFonts w:asciiTheme="majorBidi" w:eastAsia="Times New Roman" w:hAnsiTheme="majorBidi" w:cstheme="majorBidi"/>
        </w:rPr>
        <w:t xml:space="preserve"> ≤ 4 (</w:t>
      </w:r>
      <w:r w:rsidR="00374489" w:rsidRPr="00843FD7">
        <w:rPr>
          <w:rFonts w:asciiTheme="majorBidi" w:eastAsia="Times New Roman" w:hAnsiTheme="majorBidi" w:cstheme="majorBidi"/>
        </w:rPr>
        <w:t>h</w:t>
      </w:r>
      <w:r w:rsidRPr="00843FD7">
        <w:rPr>
          <w:rFonts w:asciiTheme="majorBidi" w:eastAsia="Times New Roman" w:hAnsiTheme="majorBidi" w:cstheme="majorBidi"/>
        </w:rPr>
        <w:t xml:space="preserve">eavily contaminated), 4 &lt; </w:t>
      </w:r>
      <w:proofErr w:type="spellStart"/>
      <w:r w:rsidRPr="00843FD7">
        <w:rPr>
          <w:rFonts w:asciiTheme="majorBidi" w:eastAsia="Times New Roman" w:hAnsiTheme="majorBidi" w:cstheme="majorBidi"/>
        </w:rPr>
        <w:t>I</w:t>
      </w:r>
      <w:r w:rsidRPr="00843FD7">
        <w:rPr>
          <w:rFonts w:asciiTheme="majorBidi" w:eastAsia="Times New Roman" w:hAnsiTheme="majorBidi" w:cstheme="majorBidi"/>
          <w:vertAlign w:val="subscript"/>
        </w:rPr>
        <w:t>geo</w:t>
      </w:r>
      <w:proofErr w:type="spellEnd"/>
      <w:r w:rsidRPr="00843FD7">
        <w:rPr>
          <w:rFonts w:asciiTheme="majorBidi" w:eastAsia="Times New Roman" w:hAnsiTheme="majorBidi" w:cstheme="majorBidi"/>
        </w:rPr>
        <w:t xml:space="preserve"> ≤ 5 (</w:t>
      </w:r>
      <w:r w:rsidR="00374489" w:rsidRPr="00843FD7">
        <w:rPr>
          <w:rFonts w:asciiTheme="majorBidi" w:eastAsia="Times New Roman" w:hAnsiTheme="majorBidi" w:cstheme="majorBidi"/>
        </w:rPr>
        <w:t>h</w:t>
      </w:r>
      <w:r w:rsidRPr="00843FD7">
        <w:rPr>
          <w:rFonts w:asciiTheme="majorBidi" w:eastAsia="Times New Roman" w:hAnsiTheme="majorBidi" w:cstheme="majorBidi"/>
        </w:rPr>
        <w:t>eavily to extremely contaminated), and </w:t>
      </w:r>
      <w:proofErr w:type="spellStart"/>
      <w:r w:rsidRPr="00843FD7">
        <w:rPr>
          <w:rFonts w:asciiTheme="majorBidi" w:eastAsia="Times New Roman" w:hAnsiTheme="majorBidi" w:cstheme="majorBidi"/>
        </w:rPr>
        <w:t>I</w:t>
      </w:r>
      <w:r w:rsidRPr="00843FD7">
        <w:rPr>
          <w:rFonts w:asciiTheme="majorBidi" w:eastAsia="Times New Roman" w:hAnsiTheme="majorBidi" w:cstheme="majorBidi"/>
          <w:vertAlign w:val="subscript"/>
        </w:rPr>
        <w:t>geo</w:t>
      </w:r>
      <w:proofErr w:type="spellEnd"/>
      <w:r w:rsidRPr="00843FD7">
        <w:rPr>
          <w:rFonts w:asciiTheme="majorBidi" w:eastAsia="Times New Roman" w:hAnsiTheme="majorBidi" w:cstheme="majorBidi"/>
        </w:rPr>
        <w:t xml:space="preserve"> &gt; 5 (</w:t>
      </w:r>
      <w:r w:rsidR="00374489" w:rsidRPr="00843FD7">
        <w:rPr>
          <w:rFonts w:asciiTheme="majorBidi" w:eastAsia="Times New Roman" w:hAnsiTheme="majorBidi" w:cstheme="majorBidi"/>
        </w:rPr>
        <w:t>e</w:t>
      </w:r>
      <w:r w:rsidRPr="00843FD7">
        <w:rPr>
          <w:rFonts w:asciiTheme="majorBidi" w:eastAsia="Times New Roman" w:hAnsiTheme="majorBidi" w:cstheme="majorBidi"/>
        </w:rPr>
        <w:t>xtreme</w:t>
      </w:r>
      <w:r w:rsidR="00526480" w:rsidRPr="00843FD7">
        <w:rPr>
          <w:rFonts w:asciiTheme="majorBidi" w:eastAsia="Times New Roman" w:hAnsiTheme="majorBidi" w:cstheme="majorBidi"/>
        </w:rPr>
        <w:t>ly contaminated).</w:t>
      </w:r>
    </w:p>
    <w:p w14:paraId="2764F713" w14:textId="16DE5444" w:rsidR="00607CF3" w:rsidRPr="00843FD7" w:rsidRDefault="00843FD7" w:rsidP="00871092">
      <w:pPr>
        <w:spacing w:after="0" w:line="240" w:lineRule="auto"/>
        <w:jc w:val="both"/>
        <w:rPr>
          <w:rFonts w:asciiTheme="majorBidi" w:hAnsiTheme="majorBidi" w:cstheme="majorBidi"/>
        </w:rPr>
      </w:pPr>
      <w:r>
        <w:rPr>
          <w:rFonts w:eastAsia="Times New Roman" w:cstheme="majorBidi"/>
        </w:rPr>
        <w:t>-</w:t>
      </w:r>
      <w:r w:rsidR="00607CF3" w:rsidRPr="00843FD7">
        <w:rPr>
          <w:rFonts w:asciiTheme="majorBidi" w:eastAsia="Times New Roman" w:hAnsiTheme="majorBidi" w:cstheme="majorBidi"/>
        </w:rPr>
        <w:t>The Pollution Load Index (PLI), proposed by Tomlinson et al. (</w:t>
      </w:r>
      <w:r w:rsidR="00607CF3" w:rsidRPr="00843FD7">
        <w:rPr>
          <w:rFonts w:asciiTheme="majorBidi" w:eastAsia="Times New Roman" w:hAnsiTheme="majorBidi" w:cstheme="majorBidi"/>
          <w:color w:val="5B9BD5" w:themeColor="accent1"/>
        </w:rPr>
        <w:t>1980</w:t>
      </w:r>
      <w:r w:rsidR="00607CF3" w:rsidRPr="00843FD7">
        <w:rPr>
          <w:rFonts w:asciiTheme="majorBidi" w:eastAsia="Times New Roman" w:hAnsiTheme="majorBidi" w:cstheme="majorBidi"/>
        </w:rPr>
        <w:t>), provides a simple, comparative measure for the overall toxicity of a sample by integrating the contamination levels of multiple PTEs. It is calculated as the n-</w:t>
      </w:r>
      <w:proofErr w:type="spellStart"/>
      <w:r w:rsidR="00607CF3" w:rsidRPr="00843FD7">
        <w:rPr>
          <w:rFonts w:asciiTheme="majorBidi" w:eastAsia="Times New Roman" w:hAnsiTheme="majorBidi" w:cstheme="majorBidi"/>
        </w:rPr>
        <w:t>th</w:t>
      </w:r>
      <w:proofErr w:type="spellEnd"/>
      <w:r w:rsidR="00607CF3" w:rsidRPr="00843FD7">
        <w:rPr>
          <w:rFonts w:asciiTheme="majorBidi" w:eastAsia="Times New Roman" w:hAnsiTheme="majorBidi" w:cstheme="majorBidi"/>
        </w:rPr>
        <w:t xml:space="preserve"> root of the product of the Contamination Factors (</w:t>
      </w:r>
      <w:proofErr w:type="spellStart"/>
      <w:r w:rsidR="00607CF3" w:rsidRPr="00843FD7">
        <w:rPr>
          <w:rFonts w:asciiTheme="majorBidi" w:eastAsia="Times New Roman" w:hAnsiTheme="majorBidi" w:cstheme="majorBidi"/>
        </w:rPr>
        <w:t>CF</w:t>
      </w:r>
      <w:r w:rsidR="00607CF3" w:rsidRPr="00843FD7">
        <w:rPr>
          <w:rFonts w:asciiTheme="majorBidi" w:eastAsia="Times New Roman" w:hAnsiTheme="majorBidi" w:cstheme="majorBidi"/>
          <w:vertAlign w:val="subscript"/>
        </w:rPr>
        <w:t>i</w:t>
      </w:r>
      <w:proofErr w:type="spellEnd"/>
      <w:r w:rsidR="00607CF3" w:rsidRPr="00843FD7">
        <w:rPr>
          <w:rFonts w:asciiTheme="majorBidi" w:eastAsia="Times New Roman" w:hAnsiTheme="majorBidi" w:cstheme="majorBidi"/>
        </w:rPr>
        <w:t xml:space="preserve">) for n elements. </w:t>
      </w:r>
      <w:r w:rsidR="00607CF3" w:rsidRPr="00B938DA">
        <w:rPr>
          <w:rFonts w:asciiTheme="majorBidi" w:hAnsiTheme="majorBidi" w:cstheme="majorBidi"/>
          <w:lang w:val="fr-BE"/>
        </w:rPr>
        <w:t xml:space="preserve">PLI = 1 </w:t>
      </w:r>
      <w:proofErr w:type="spellStart"/>
      <w:r w:rsidR="00607CF3" w:rsidRPr="00B938DA">
        <w:rPr>
          <w:rFonts w:asciiTheme="majorBidi" w:hAnsiTheme="majorBidi" w:cstheme="majorBidi"/>
          <w:lang w:val="fr-BE"/>
        </w:rPr>
        <w:t>indicates</w:t>
      </w:r>
      <w:proofErr w:type="spellEnd"/>
      <w:r w:rsidR="00607CF3" w:rsidRPr="00B938DA">
        <w:rPr>
          <w:rFonts w:asciiTheme="majorBidi" w:hAnsiTheme="majorBidi" w:cstheme="majorBidi"/>
          <w:lang w:val="fr-BE"/>
        </w:rPr>
        <w:t xml:space="preserve"> </w:t>
      </w:r>
      <w:proofErr w:type="spellStart"/>
      <w:r w:rsidR="00607CF3" w:rsidRPr="00B938DA">
        <w:rPr>
          <w:rFonts w:asciiTheme="majorBidi" w:hAnsiTheme="majorBidi" w:cstheme="majorBidi"/>
          <w:lang w:val="fr-BE"/>
        </w:rPr>
        <w:t>baseline</w:t>
      </w:r>
      <w:proofErr w:type="spellEnd"/>
      <w:r w:rsidR="00607CF3" w:rsidRPr="00B938DA">
        <w:rPr>
          <w:rFonts w:asciiTheme="majorBidi" w:hAnsiTheme="majorBidi" w:cstheme="majorBidi"/>
          <w:lang w:val="fr-BE"/>
        </w:rPr>
        <w:t xml:space="preserve">/background; PLI &gt; 1 </w:t>
      </w:r>
      <w:proofErr w:type="spellStart"/>
      <w:r w:rsidR="00607CF3" w:rsidRPr="00B938DA">
        <w:rPr>
          <w:rFonts w:asciiTheme="majorBidi" w:hAnsiTheme="majorBidi" w:cstheme="majorBidi"/>
          <w:lang w:val="fr-BE"/>
        </w:rPr>
        <w:t>indicates</w:t>
      </w:r>
      <w:proofErr w:type="spellEnd"/>
      <w:r w:rsidR="00607CF3" w:rsidRPr="00B938DA">
        <w:rPr>
          <w:rFonts w:asciiTheme="majorBidi" w:hAnsiTheme="majorBidi" w:cstheme="majorBidi"/>
          <w:lang w:val="fr-BE"/>
        </w:rPr>
        <w:t xml:space="preserve"> pollution; </w:t>
      </w:r>
      <w:proofErr w:type="spellStart"/>
      <w:r w:rsidR="00607CF3" w:rsidRPr="00B938DA">
        <w:rPr>
          <w:rFonts w:asciiTheme="majorBidi" w:hAnsiTheme="majorBidi" w:cstheme="majorBidi"/>
          <w:lang w:val="fr-BE"/>
        </w:rPr>
        <w:t>larger</w:t>
      </w:r>
      <w:proofErr w:type="spellEnd"/>
      <w:r w:rsidR="00607CF3" w:rsidRPr="00B938DA">
        <w:rPr>
          <w:rFonts w:asciiTheme="majorBidi" w:hAnsiTheme="majorBidi" w:cstheme="majorBidi"/>
          <w:lang w:val="fr-BE"/>
        </w:rPr>
        <w:t xml:space="preserve"> values </w:t>
      </w:r>
      <w:proofErr w:type="spellStart"/>
      <w:r w:rsidR="00607CF3" w:rsidRPr="00B938DA">
        <w:rPr>
          <w:rFonts w:asciiTheme="majorBidi" w:hAnsiTheme="majorBidi" w:cstheme="majorBidi"/>
          <w:lang w:val="fr-BE"/>
        </w:rPr>
        <w:t>indicate</w:t>
      </w:r>
      <w:proofErr w:type="spellEnd"/>
      <w:r w:rsidR="00607CF3" w:rsidRPr="00B938DA">
        <w:rPr>
          <w:rFonts w:asciiTheme="majorBidi" w:hAnsiTheme="majorBidi" w:cstheme="majorBidi"/>
          <w:lang w:val="fr-BE"/>
        </w:rPr>
        <w:t xml:space="preserve"> </w:t>
      </w:r>
      <w:proofErr w:type="spellStart"/>
      <w:r w:rsidR="00607CF3" w:rsidRPr="00B938DA">
        <w:rPr>
          <w:rFonts w:asciiTheme="majorBidi" w:hAnsiTheme="majorBidi" w:cstheme="majorBidi"/>
          <w:lang w:val="fr-BE"/>
        </w:rPr>
        <w:t>greater</w:t>
      </w:r>
      <w:proofErr w:type="spellEnd"/>
      <w:r w:rsidR="00607CF3" w:rsidRPr="00B938DA">
        <w:rPr>
          <w:rFonts w:asciiTheme="majorBidi" w:hAnsiTheme="majorBidi" w:cstheme="majorBidi"/>
          <w:lang w:val="fr-BE"/>
        </w:rPr>
        <w:t xml:space="preserve"> cumulative </w:t>
      </w:r>
      <w:r w:rsidR="00607CF3" w:rsidRPr="00B938DA">
        <w:rPr>
          <w:rFonts w:asciiTheme="majorBidi" w:hAnsiTheme="majorBidi" w:cstheme="majorBidi"/>
          <w:lang w:val="fr-BE"/>
        </w:rPr>
        <w:lastRenderedPageBreak/>
        <w:t>pollution (</w:t>
      </w:r>
      <w:proofErr w:type="spellStart"/>
      <w:r w:rsidR="00607CF3" w:rsidRPr="00B938DA">
        <w:rPr>
          <w:rFonts w:asciiTheme="majorBidi" w:hAnsiTheme="majorBidi" w:cstheme="majorBidi"/>
          <w:color w:val="5B9BD5" w:themeColor="accent1"/>
          <w:lang w:val="fr-BE"/>
        </w:rPr>
        <w:t>Kowalska</w:t>
      </w:r>
      <w:proofErr w:type="spellEnd"/>
      <w:r w:rsidR="00607CF3" w:rsidRPr="00B938DA">
        <w:rPr>
          <w:rFonts w:asciiTheme="majorBidi" w:hAnsiTheme="majorBidi" w:cstheme="majorBidi"/>
          <w:color w:val="5B9BD5" w:themeColor="accent1"/>
          <w:lang w:val="fr-BE"/>
        </w:rPr>
        <w:t xml:space="preserve"> et al., 2018; Saleh et al., 2021</w:t>
      </w:r>
      <w:r w:rsidR="00607CF3" w:rsidRPr="00B938DA">
        <w:rPr>
          <w:rFonts w:asciiTheme="majorBidi" w:hAnsiTheme="majorBidi" w:cstheme="majorBidi"/>
          <w:lang w:val="fr-BE"/>
        </w:rPr>
        <w:t xml:space="preserve">). </w:t>
      </w:r>
      <w:r w:rsidR="00607CF3" w:rsidRPr="00843FD7">
        <w:rPr>
          <w:rFonts w:asciiTheme="majorBidi" w:hAnsiTheme="majorBidi" w:cstheme="majorBidi"/>
        </w:rPr>
        <w:t>While a value &lt; 1 indicates no overall pollution load.</w:t>
      </w:r>
    </w:p>
    <w:p w14:paraId="02D64722" w14:textId="7A488C5C" w:rsidR="00607CF3" w:rsidRPr="000E3D8F" w:rsidRDefault="00843FD7" w:rsidP="000E3D8F">
      <w:pPr>
        <w:spacing w:after="0" w:line="240" w:lineRule="auto"/>
        <w:jc w:val="center"/>
      </w:pPr>
      <m:oMath>
        <m:r>
          <m:rPr>
            <m:sty m:val="p"/>
          </m:rPr>
          <w:rPr>
            <w:rFonts w:ascii="Cambria Math" w:hAnsi="Cambria Math" w:cstheme="majorBidi"/>
            <w:color w:val="000000" w:themeColor="text1"/>
          </w:rPr>
          <m:t>PLI=</m:t>
        </m:r>
        <m:sSup>
          <m:sSupPr>
            <m:ctrlPr>
              <w:rPr>
                <w:rFonts w:ascii="Cambria Math" w:hAnsi="Cambria Math" w:cstheme="majorBidi"/>
                <w:iCs/>
                <w:color w:val="000000" w:themeColor="text1"/>
              </w:rPr>
            </m:ctrlPr>
          </m:sSupPr>
          <m:e>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CF</m:t>
                </m:r>
              </m:e>
              <m:sub>
                <m:r>
                  <m:rPr>
                    <m:sty m:val="p"/>
                  </m:rPr>
                  <w:rPr>
                    <w:rFonts w:ascii="Cambria Math" w:hAnsi="Cambria Math" w:cstheme="majorBidi"/>
                    <w:color w:val="000000" w:themeColor="text1"/>
                  </w:rPr>
                  <m:t>S,1</m:t>
                </m:r>
              </m:sub>
            </m:sSub>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CF</m:t>
                </m:r>
              </m:e>
              <m:sub>
                <m:r>
                  <m:rPr>
                    <m:sty m:val="p"/>
                  </m:rPr>
                  <w:rPr>
                    <w:rFonts w:ascii="Cambria Math" w:hAnsi="Cambria Math" w:cstheme="majorBidi"/>
                    <w:color w:val="000000" w:themeColor="text1"/>
                  </w:rPr>
                  <m:t>S,2</m:t>
                </m:r>
              </m:sub>
            </m:sSub>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CF</m:t>
                </m:r>
              </m:e>
              <m:sub>
                <m:r>
                  <m:rPr>
                    <m:sty m:val="p"/>
                  </m:rPr>
                  <w:rPr>
                    <w:rFonts w:ascii="Cambria Math" w:hAnsi="Cambria Math" w:cstheme="majorBidi"/>
                    <w:color w:val="000000" w:themeColor="text1"/>
                  </w:rPr>
                  <m:t>S,n</m:t>
                </m:r>
              </m:sub>
            </m:sSub>
            <m:r>
              <m:rPr>
                <m:sty m:val="p"/>
              </m:rPr>
              <w:rPr>
                <w:rFonts w:ascii="Cambria Math" w:hAnsi="Cambria Math" w:cstheme="majorBidi"/>
                <w:color w:val="000000" w:themeColor="text1"/>
              </w:rPr>
              <m:t>)</m:t>
            </m:r>
          </m:e>
          <m:sup>
            <m:r>
              <m:rPr>
                <m:sty m:val="p"/>
              </m:rPr>
              <w:rPr>
                <w:rFonts w:ascii="Cambria Math" w:hAnsi="Cambria Math" w:cstheme="majorBidi"/>
                <w:color w:val="000000" w:themeColor="text1"/>
              </w:rPr>
              <m:t>1/n</m:t>
            </m:r>
          </m:sup>
        </m:sSup>
      </m:oMath>
      <w:r w:rsidR="00607CF3" w:rsidRPr="00843FD7">
        <w:rPr>
          <w:rFonts w:asciiTheme="majorBidi" w:hAnsiTheme="majorBidi" w:cstheme="majorBidi"/>
          <w:color w:val="000000" w:themeColor="text1"/>
        </w:rPr>
        <w:t xml:space="preserve">          (4)</w:t>
      </w:r>
    </w:p>
    <w:p w14:paraId="7173A702" w14:textId="1C798AA2" w:rsidR="00607CF3" w:rsidRPr="000E3D8F" w:rsidRDefault="00843FD7" w:rsidP="000E3D8F">
      <w:pPr>
        <w:pStyle w:val="Paragraphedeliste"/>
        <w:spacing w:after="0" w:line="240" w:lineRule="auto"/>
        <w:ind w:left="0"/>
        <w:jc w:val="both"/>
        <w:rPr>
          <w:rFonts w:asciiTheme="majorBidi" w:eastAsia="Times New Roman" w:hAnsiTheme="majorBidi" w:cstheme="majorBidi"/>
        </w:rPr>
      </w:pPr>
      <w:r>
        <w:rPr>
          <w:rFonts w:asciiTheme="majorBidi" w:eastAsia="Times New Roman" w:hAnsiTheme="majorBidi" w:cstheme="majorBidi"/>
        </w:rPr>
        <w:t>-</w:t>
      </w:r>
      <w:r w:rsidR="00607CF3" w:rsidRPr="000E3D8F">
        <w:rPr>
          <w:rFonts w:asciiTheme="majorBidi" w:eastAsia="Times New Roman" w:hAnsiTheme="majorBidi" w:cstheme="majorBidi"/>
        </w:rPr>
        <w:t>The Degree of Contamination (</w:t>
      </w:r>
      <w:proofErr w:type="spellStart"/>
      <w:r w:rsidR="00607CF3" w:rsidRPr="000E3D8F">
        <w:rPr>
          <w:rFonts w:asciiTheme="majorBidi" w:eastAsia="Times New Roman" w:hAnsiTheme="majorBidi" w:cstheme="majorBidi"/>
        </w:rPr>
        <w:t>C</w:t>
      </w:r>
      <w:r w:rsidR="00607CF3" w:rsidRPr="000E3D8F">
        <w:rPr>
          <w:rFonts w:asciiTheme="majorBidi" w:eastAsia="Times New Roman" w:hAnsiTheme="majorBidi" w:cstheme="majorBidi"/>
          <w:vertAlign w:val="subscript"/>
        </w:rPr>
        <w:t>deg</w:t>
      </w:r>
      <w:proofErr w:type="spellEnd"/>
      <w:r w:rsidR="00607CF3" w:rsidRPr="000E3D8F">
        <w:rPr>
          <w:rFonts w:asciiTheme="majorBidi" w:eastAsia="Times New Roman" w:hAnsiTheme="majorBidi" w:cstheme="majorBidi"/>
        </w:rPr>
        <w:t>) is the sum of all Contamination Factors (</w:t>
      </w:r>
      <w:proofErr w:type="spellStart"/>
      <w:r w:rsidR="00607CF3" w:rsidRPr="000E3D8F">
        <w:rPr>
          <w:rFonts w:asciiTheme="majorBidi" w:eastAsia="Times New Roman" w:hAnsiTheme="majorBidi" w:cstheme="majorBidi"/>
        </w:rPr>
        <w:t>CFi</w:t>
      </w:r>
      <w:proofErr w:type="spellEnd"/>
      <w:r w:rsidR="00607CF3" w:rsidRPr="000E3D8F">
        <w:rPr>
          <w:rFonts w:asciiTheme="majorBidi" w:eastAsia="Times New Roman" w:hAnsiTheme="majorBidi" w:cstheme="majorBidi"/>
        </w:rPr>
        <w:t>) for all elements studied. The Modified Degree of Contamination (</w:t>
      </w:r>
      <w:proofErr w:type="spellStart"/>
      <w:r w:rsidR="00607CF3" w:rsidRPr="000E3D8F">
        <w:rPr>
          <w:rFonts w:asciiTheme="majorBidi" w:eastAsia="Times New Roman" w:hAnsiTheme="majorBidi" w:cstheme="majorBidi"/>
        </w:rPr>
        <w:t>mC</w:t>
      </w:r>
      <w:r w:rsidR="00607CF3" w:rsidRPr="000E3D8F">
        <w:rPr>
          <w:rFonts w:asciiTheme="majorBidi" w:eastAsia="Times New Roman" w:hAnsiTheme="majorBidi" w:cstheme="majorBidi"/>
          <w:vertAlign w:val="subscript"/>
        </w:rPr>
        <w:t>d</w:t>
      </w:r>
      <w:proofErr w:type="spellEnd"/>
      <w:r w:rsidR="00607CF3" w:rsidRPr="000E3D8F">
        <w:rPr>
          <w:rFonts w:asciiTheme="majorBidi" w:eastAsia="Times New Roman" w:hAnsiTheme="majorBidi" w:cstheme="majorBidi"/>
        </w:rPr>
        <w:t>) is the average of the contamination factors. The classification for </w:t>
      </w:r>
      <w:proofErr w:type="spellStart"/>
      <w:r w:rsidR="00607CF3" w:rsidRPr="000E3D8F">
        <w:rPr>
          <w:rFonts w:asciiTheme="majorBidi" w:eastAsia="Times New Roman" w:hAnsiTheme="majorBidi" w:cstheme="majorBidi"/>
        </w:rPr>
        <w:t>mC</w:t>
      </w:r>
      <w:r w:rsidR="00607CF3" w:rsidRPr="000E3D8F">
        <w:rPr>
          <w:rFonts w:asciiTheme="majorBidi" w:eastAsia="Times New Roman" w:hAnsiTheme="majorBidi" w:cstheme="majorBidi"/>
          <w:vertAlign w:val="subscript"/>
        </w:rPr>
        <w:t>d</w:t>
      </w:r>
      <w:proofErr w:type="spellEnd"/>
      <w:r w:rsidR="00607CF3" w:rsidRPr="000E3D8F">
        <w:rPr>
          <w:rFonts w:asciiTheme="majorBidi" w:eastAsia="Times New Roman" w:hAnsiTheme="majorBidi" w:cstheme="majorBidi"/>
        </w:rPr>
        <w:t xml:space="preserve"> is typically: </w:t>
      </w:r>
      <w:r w:rsidR="002057A8" w:rsidRPr="000E3D8F">
        <w:rPr>
          <w:rFonts w:asciiTheme="majorBidi" w:eastAsia="Times New Roman" w:hAnsiTheme="majorBidi" w:cstheme="majorBidi"/>
        </w:rPr>
        <w:t>l</w:t>
      </w:r>
      <w:r w:rsidR="00607CF3" w:rsidRPr="000E3D8F">
        <w:rPr>
          <w:rFonts w:asciiTheme="majorBidi" w:eastAsia="Times New Roman" w:hAnsiTheme="majorBidi" w:cstheme="majorBidi"/>
        </w:rPr>
        <w:t>ow (</w:t>
      </w:r>
      <w:proofErr w:type="spellStart"/>
      <w:r w:rsidR="00607CF3" w:rsidRPr="000E3D8F">
        <w:rPr>
          <w:rFonts w:asciiTheme="majorBidi" w:eastAsia="Times New Roman" w:hAnsiTheme="majorBidi" w:cstheme="majorBidi"/>
        </w:rPr>
        <w:t>mC</w:t>
      </w:r>
      <w:r w:rsidR="00607CF3" w:rsidRPr="000E3D8F">
        <w:rPr>
          <w:rFonts w:asciiTheme="majorBidi" w:eastAsia="Times New Roman" w:hAnsiTheme="majorBidi" w:cstheme="majorBidi"/>
          <w:vertAlign w:val="subscript"/>
        </w:rPr>
        <w:t>d</w:t>
      </w:r>
      <w:proofErr w:type="spellEnd"/>
      <w:r w:rsidR="00607CF3" w:rsidRPr="000E3D8F">
        <w:rPr>
          <w:rFonts w:asciiTheme="majorBidi" w:eastAsia="Times New Roman" w:hAnsiTheme="majorBidi" w:cstheme="majorBidi"/>
        </w:rPr>
        <w:t xml:space="preserve"> &lt; 1), </w:t>
      </w:r>
      <w:r w:rsidR="002057A8" w:rsidRPr="000E3D8F">
        <w:rPr>
          <w:rFonts w:asciiTheme="majorBidi" w:eastAsia="Times New Roman" w:hAnsiTheme="majorBidi" w:cstheme="majorBidi"/>
        </w:rPr>
        <w:t>m</w:t>
      </w:r>
      <w:r w:rsidR="00607CF3" w:rsidRPr="000E3D8F">
        <w:rPr>
          <w:rFonts w:asciiTheme="majorBidi" w:eastAsia="Times New Roman" w:hAnsiTheme="majorBidi" w:cstheme="majorBidi"/>
        </w:rPr>
        <w:t xml:space="preserve">oderate (1 ≤ </w:t>
      </w:r>
      <w:proofErr w:type="spellStart"/>
      <w:r w:rsidR="00607CF3" w:rsidRPr="000E3D8F">
        <w:rPr>
          <w:rFonts w:asciiTheme="majorBidi" w:eastAsia="Times New Roman" w:hAnsiTheme="majorBidi" w:cstheme="majorBidi"/>
        </w:rPr>
        <w:t>mC</w:t>
      </w:r>
      <w:r w:rsidR="00607CF3" w:rsidRPr="000E3D8F">
        <w:rPr>
          <w:rFonts w:asciiTheme="majorBidi" w:eastAsia="Times New Roman" w:hAnsiTheme="majorBidi" w:cstheme="majorBidi"/>
          <w:vertAlign w:val="subscript"/>
        </w:rPr>
        <w:t>d</w:t>
      </w:r>
      <w:proofErr w:type="spellEnd"/>
      <w:r w:rsidR="00607CF3" w:rsidRPr="000E3D8F">
        <w:rPr>
          <w:rFonts w:asciiTheme="majorBidi" w:eastAsia="Times New Roman" w:hAnsiTheme="majorBidi" w:cstheme="majorBidi"/>
        </w:rPr>
        <w:t xml:space="preserve"> &lt; 2), </w:t>
      </w:r>
      <w:r w:rsidR="002057A8" w:rsidRPr="000E3D8F">
        <w:rPr>
          <w:rFonts w:asciiTheme="majorBidi" w:eastAsia="Times New Roman" w:hAnsiTheme="majorBidi" w:cstheme="majorBidi"/>
        </w:rPr>
        <w:t>h</w:t>
      </w:r>
      <w:r w:rsidR="00607CF3" w:rsidRPr="000E3D8F">
        <w:rPr>
          <w:rFonts w:asciiTheme="majorBidi" w:eastAsia="Times New Roman" w:hAnsiTheme="majorBidi" w:cstheme="majorBidi"/>
        </w:rPr>
        <w:t xml:space="preserve">igh (2 ≤ </w:t>
      </w:r>
      <w:proofErr w:type="spellStart"/>
      <w:r w:rsidR="00607CF3" w:rsidRPr="000E3D8F">
        <w:rPr>
          <w:rFonts w:asciiTheme="majorBidi" w:eastAsia="Times New Roman" w:hAnsiTheme="majorBidi" w:cstheme="majorBidi"/>
        </w:rPr>
        <w:t>mC</w:t>
      </w:r>
      <w:r w:rsidR="00607CF3" w:rsidRPr="000E3D8F">
        <w:rPr>
          <w:rFonts w:asciiTheme="majorBidi" w:eastAsia="Times New Roman" w:hAnsiTheme="majorBidi" w:cstheme="majorBidi"/>
          <w:vertAlign w:val="subscript"/>
        </w:rPr>
        <w:t>d</w:t>
      </w:r>
      <w:proofErr w:type="spellEnd"/>
      <w:r w:rsidR="00607CF3" w:rsidRPr="000E3D8F">
        <w:rPr>
          <w:rFonts w:asciiTheme="majorBidi" w:eastAsia="Times New Roman" w:hAnsiTheme="majorBidi" w:cstheme="majorBidi"/>
        </w:rPr>
        <w:t xml:space="preserve"> &lt; 4), and </w:t>
      </w:r>
      <w:r w:rsidR="002057A8" w:rsidRPr="000E3D8F">
        <w:rPr>
          <w:rFonts w:asciiTheme="majorBidi" w:eastAsia="Times New Roman" w:hAnsiTheme="majorBidi" w:cstheme="majorBidi"/>
        </w:rPr>
        <w:t>v</w:t>
      </w:r>
      <w:r w:rsidR="00607CF3" w:rsidRPr="000E3D8F">
        <w:rPr>
          <w:rFonts w:asciiTheme="majorBidi" w:eastAsia="Times New Roman" w:hAnsiTheme="majorBidi" w:cstheme="majorBidi"/>
        </w:rPr>
        <w:t xml:space="preserve">ery </w:t>
      </w:r>
      <w:r w:rsidR="002057A8" w:rsidRPr="000E3D8F">
        <w:rPr>
          <w:rFonts w:asciiTheme="majorBidi" w:eastAsia="Times New Roman" w:hAnsiTheme="majorBidi" w:cstheme="majorBidi"/>
        </w:rPr>
        <w:t>h</w:t>
      </w:r>
      <w:r w:rsidR="00607CF3" w:rsidRPr="000E3D8F">
        <w:rPr>
          <w:rFonts w:asciiTheme="majorBidi" w:eastAsia="Times New Roman" w:hAnsiTheme="majorBidi" w:cstheme="majorBidi"/>
        </w:rPr>
        <w:t>igh (</w:t>
      </w:r>
      <w:proofErr w:type="spellStart"/>
      <w:r w:rsidR="00607CF3" w:rsidRPr="000E3D8F">
        <w:rPr>
          <w:rFonts w:asciiTheme="majorBidi" w:eastAsia="Times New Roman" w:hAnsiTheme="majorBidi" w:cstheme="majorBidi"/>
        </w:rPr>
        <w:t>mC</w:t>
      </w:r>
      <w:r w:rsidR="00607CF3" w:rsidRPr="000E3D8F">
        <w:rPr>
          <w:rFonts w:asciiTheme="majorBidi" w:eastAsia="Times New Roman" w:hAnsiTheme="majorBidi" w:cstheme="majorBidi"/>
          <w:vertAlign w:val="subscript"/>
        </w:rPr>
        <w:t>d</w:t>
      </w:r>
      <w:proofErr w:type="spellEnd"/>
      <w:r w:rsidR="00607CF3" w:rsidRPr="000E3D8F">
        <w:rPr>
          <w:rFonts w:asciiTheme="majorBidi" w:eastAsia="Times New Roman" w:hAnsiTheme="majorBidi" w:cstheme="majorBidi"/>
        </w:rPr>
        <w:t xml:space="preserve"> ≥ 4</w:t>
      </w:r>
      <w:r w:rsidR="00526480" w:rsidRPr="000E3D8F">
        <w:rPr>
          <w:rFonts w:asciiTheme="majorBidi" w:eastAsia="Times New Roman" w:hAnsiTheme="majorBidi" w:cstheme="majorBidi"/>
        </w:rPr>
        <w:t>) (</w:t>
      </w:r>
      <w:r w:rsidR="00526480" w:rsidRPr="000E3D8F">
        <w:rPr>
          <w:rFonts w:asciiTheme="majorBidi" w:eastAsia="Times New Roman" w:hAnsiTheme="majorBidi" w:cstheme="majorBidi"/>
          <w:color w:val="5B9BD5" w:themeColor="accent1"/>
        </w:rPr>
        <w:t>Kowalska et al., 2018)</w:t>
      </w:r>
      <w:r w:rsidR="00526480" w:rsidRPr="000E3D8F">
        <w:rPr>
          <w:rFonts w:asciiTheme="majorBidi" w:eastAsia="Times New Roman" w:hAnsiTheme="majorBidi" w:cstheme="majorBidi"/>
        </w:rPr>
        <w:t>.</w:t>
      </w:r>
    </w:p>
    <w:p w14:paraId="7785ECC9" w14:textId="77777777" w:rsidR="00607CF3" w:rsidRPr="00871092" w:rsidRDefault="00000000" w:rsidP="00871092">
      <w:pPr>
        <w:spacing w:after="0" w:line="240" w:lineRule="auto"/>
        <w:jc w:val="center"/>
        <w:rPr>
          <w:rFonts w:asciiTheme="majorBidi" w:eastAsia="Times New Roman" w:hAnsiTheme="majorBidi" w:cstheme="majorBidi"/>
        </w:rPr>
      </w:pPr>
      <m:oMath>
        <m:sSub>
          <m:sSubPr>
            <m:ctrlPr>
              <w:rPr>
                <w:rFonts w:ascii="Cambria Math" w:eastAsia="Times New Roman" w:hAnsi="Cambria Math" w:cstheme="majorBidi"/>
                <w:i/>
              </w:rPr>
            </m:ctrlPr>
          </m:sSubPr>
          <m:e>
            <m:r>
              <w:rPr>
                <w:rFonts w:ascii="Cambria Math" w:eastAsia="Times New Roman" w:hAnsi="Cambria Math" w:cstheme="majorBidi"/>
              </w:rPr>
              <m:t>C</m:t>
            </m:r>
          </m:e>
          <m:sub>
            <m:r>
              <w:rPr>
                <w:rFonts w:ascii="Cambria Math" w:eastAsia="Times New Roman" w:hAnsi="Cambria Math" w:cstheme="majorBidi"/>
              </w:rPr>
              <m:t>deg</m:t>
            </m:r>
          </m:sub>
        </m:sSub>
        <m:r>
          <w:rPr>
            <w:rFonts w:ascii="Cambria Math" w:eastAsia="Times New Roman" w:hAnsi="Cambria Math" w:cstheme="majorBidi"/>
          </w:rPr>
          <m:t xml:space="preserve">= </m:t>
        </m:r>
        <m:nary>
          <m:naryPr>
            <m:chr m:val="∑"/>
            <m:limLoc m:val="undOvr"/>
            <m:ctrlPr>
              <w:rPr>
                <w:rFonts w:ascii="Cambria Math" w:eastAsia="Times New Roman" w:hAnsi="Cambria Math" w:cstheme="majorBidi"/>
                <w:i/>
              </w:rPr>
            </m:ctrlPr>
          </m:naryPr>
          <m:sub>
            <m:r>
              <w:rPr>
                <w:rFonts w:ascii="Cambria Math" w:eastAsia="Times New Roman" w:hAnsi="Cambria Math" w:cstheme="majorBidi"/>
              </w:rPr>
              <m:t>1</m:t>
            </m:r>
          </m:sub>
          <m:sup>
            <m:r>
              <w:rPr>
                <w:rFonts w:ascii="Cambria Math" w:eastAsia="Times New Roman" w:hAnsi="Cambria Math" w:cstheme="majorBidi"/>
              </w:rPr>
              <m:t>n</m:t>
            </m:r>
          </m:sup>
          <m:e>
            <m:sSub>
              <m:sSubPr>
                <m:ctrlPr>
                  <w:rPr>
                    <w:rFonts w:ascii="Cambria Math" w:eastAsia="Times New Roman" w:hAnsi="Cambria Math" w:cstheme="majorBidi"/>
                    <w:i/>
                  </w:rPr>
                </m:ctrlPr>
              </m:sSubPr>
              <m:e>
                <m:r>
                  <w:rPr>
                    <w:rFonts w:ascii="Cambria Math" w:eastAsia="Times New Roman" w:hAnsi="Cambria Math" w:cstheme="majorBidi"/>
                  </w:rPr>
                  <m:t>(CF)</m:t>
                </m:r>
              </m:e>
              <m:sub>
                <m:r>
                  <w:rPr>
                    <w:rFonts w:ascii="Cambria Math" w:eastAsia="Times New Roman" w:hAnsi="Cambria Math" w:cstheme="majorBidi"/>
                  </w:rPr>
                  <m:t>i</m:t>
                </m:r>
              </m:sub>
            </m:sSub>
          </m:e>
        </m:nary>
      </m:oMath>
      <w:r w:rsidR="00607CF3" w:rsidRPr="00871092">
        <w:rPr>
          <w:rFonts w:asciiTheme="majorBidi" w:eastAsia="Times New Roman" w:hAnsiTheme="majorBidi" w:cstheme="majorBidi"/>
        </w:rPr>
        <w:t xml:space="preserve">        (5)</w:t>
      </w:r>
    </w:p>
    <w:p w14:paraId="0C08B239" w14:textId="7F206DD5" w:rsidR="00E70CA3" w:rsidRPr="00871092" w:rsidRDefault="00E70CA3" w:rsidP="00871092">
      <w:pPr>
        <w:spacing w:after="0" w:line="240" w:lineRule="auto"/>
        <w:jc w:val="center"/>
        <w:rPr>
          <w:rFonts w:asciiTheme="majorBidi" w:eastAsia="Times New Roman" w:hAnsiTheme="majorBidi" w:cstheme="majorBidi"/>
        </w:rPr>
      </w:pPr>
      <m:oMath>
        <m:sSub>
          <m:sSubPr>
            <m:ctrlPr>
              <w:rPr>
                <w:rFonts w:ascii="Cambria Math" w:eastAsia="Times New Roman" w:hAnsi="Cambria Math" w:cstheme="majorBidi"/>
                <w:i/>
              </w:rPr>
            </m:ctrlPr>
          </m:sSubPr>
          <m:e>
            <m:r>
              <w:rPr>
                <w:rFonts w:ascii="Cambria Math" w:eastAsia="Times New Roman" w:hAnsi="Cambria Math" w:cstheme="majorBidi"/>
              </w:rPr>
              <m:t>mC</m:t>
            </m:r>
          </m:e>
          <m:sub>
            <m:r>
              <w:rPr>
                <w:rFonts w:ascii="Cambria Math" w:eastAsia="Times New Roman" w:hAnsi="Cambria Math" w:cstheme="majorBidi"/>
              </w:rPr>
              <m:t>d</m:t>
            </m:r>
          </m:sub>
        </m:sSub>
        <m:r>
          <w:rPr>
            <w:rFonts w:ascii="Cambria Math" w:eastAsia="Times New Roman" w:hAnsi="Cambria Math" w:cstheme="majorBidi"/>
          </w:rPr>
          <m:t>=</m:t>
        </m:r>
        <m:sSub>
          <m:sSubPr>
            <m:ctrlPr>
              <w:rPr>
                <w:rFonts w:ascii="Cambria Math" w:eastAsia="Times New Roman" w:hAnsi="Cambria Math" w:cstheme="majorBidi"/>
                <w:i/>
              </w:rPr>
            </m:ctrlPr>
          </m:sSubPr>
          <m:e>
            <m:r>
              <w:rPr>
                <w:rFonts w:ascii="Cambria Math" w:eastAsia="Times New Roman" w:hAnsi="Cambria Math" w:cstheme="majorBidi"/>
              </w:rPr>
              <m:t>C</m:t>
            </m:r>
          </m:e>
          <m:sub>
            <m:r>
              <w:rPr>
                <w:rFonts w:ascii="Cambria Math" w:eastAsia="Times New Roman" w:hAnsi="Cambria Math" w:cstheme="majorBidi"/>
              </w:rPr>
              <m:t>deg</m:t>
            </m:r>
          </m:sub>
        </m:sSub>
        <m:r>
          <w:rPr>
            <w:rFonts w:ascii="Cambria Math" w:eastAsia="Times New Roman" w:hAnsi="Cambria Math" w:cstheme="majorBidi"/>
          </w:rPr>
          <m:t>/n</m:t>
        </m:r>
      </m:oMath>
      <w:r>
        <w:rPr>
          <w:rFonts w:asciiTheme="majorBidi" w:eastAsia="Times New Roman" w:hAnsiTheme="majorBidi" w:cstheme="majorBidi"/>
        </w:rPr>
        <w:t xml:space="preserve"> </w:t>
      </w:r>
      <w:r w:rsidRPr="00871092">
        <w:rPr>
          <w:rFonts w:asciiTheme="majorBidi" w:eastAsia="Times New Roman" w:hAnsiTheme="majorBidi" w:cstheme="majorBidi"/>
        </w:rPr>
        <w:t xml:space="preserve">      </w:t>
      </w:r>
      <w:r>
        <w:rPr>
          <w:rFonts w:asciiTheme="majorBidi" w:eastAsia="Times New Roman" w:hAnsiTheme="majorBidi" w:cstheme="majorBidi"/>
        </w:rPr>
        <w:t xml:space="preserve">    </w:t>
      </w:r>
      <w:r w:rsidRPr="00871092">
        <w:rPr>
          <w:rFonts w:asciiTheme="majorBidi" w:eastAsia="Times New Roman" w:hAnsiTheme="majorBidi" w:cstheme="majorBidi"/>
        </w:rPr>
        <w:t>(6)</w:t>
      </w:r>
    </w:p>
    <w:p w14:paraId="2920464C" w14:textId="57A359F9" w:rsidR="00E70CA3" w:rsidRPr="00871092" w:rsidRDefault="00843FD7" w:rsidP="00E70CA3">
      <w:pPr>
        <w:spacing w:after="0" w:line="240" w:lineRule="auto"/>
        <w:jc w:val="both"/>
        <w:rPr>
          <w:rFonts w:asciiTheme="majorBidi" w:eastAsia="Times New Roman" w:hAnsiTheme="majorBidi" w:cstheme="majorBidi"/>
        </w:rPr>
      </w:pPr>
      <w:r>
        <w:rPr>
          <w:rFonts w:asciiTheme="majorBidi" w:eastAsia="Times New Roman" w:hAnsiTheme="majorBidi" w:cstheme="majorBidi"/>
        </w:rPr>
        <w:t>-</w:t>
      </w:r>
      <w:r w:rsidR="00607CF3" w:rsidRPr="00871092">
        <w:rPr>
          <w:rFonts w:asciiTheme="majorBidi" w:eastAsia="Times New Roman" w:hAnsiTheme="majorBidi" w:cstheme="majorBidi"/>
        </w:rPr>
        <w:t xml:space="preserve">The </w:t>
      </w:r>
      <w:proofErr w:type="spellStart"/>
      <w:r w:rsidR="00607CF3" w:rsidRPr="00871092">
        <w:rPr>
          <w:rFonts w:asciiTheme="majorBidi" w:eastAsia="Times New Roman" w:hAnsiTheme="majorBidi" w:cstheme="majorBidi"/>
        </w:rPr>
        <w:t>Nemerow</w:t>
      </w:r>
      <w:proofErr w:type="spellEnd"/>
      <w:r w:rsidR="00607CF3" w:rsidRPr="00871092">
        <w:rPr>
          <w:rFonts w:asciiTheme="majorBidi" w:eastAsia="Times New Roman" w:hAnsiTheme="majorBidi" w:cstheme="majorBidi"/>
        </w:rPr>
        <w:t xml:space="preserve"> Pollution Index (P</w:t>
      </w:r>
      <w:r w:rsidR="00607CF3" w:rsidRPr="00871092">
        <w:rPr>
          <w:rFonts w:asciiTheme="majorBidi" w:eastAsia="Times New Roman" w:hAnsiTheme="majorBidi" w:cstheme="majorBidi"/>
          <w:vertAlign w:val="subscript"/>
        </w:rPr>
        <w:t>N</w:t>
      </w:r>
      <w:r w:rsidR="00607CF3" w:rsidRPr="00871092">
        <w:rPr>
          <w:rFonts w:asciiTheme="majorBidi" w:eastAsia="Times New Roman" w:hAnsiTheme="majorBidi" w:cstheme="majorBidi"/>
        </w:rPr>
        <w:t>) balances the average contamination with the maximum contamination, emphasizing the element with the highest contamination level (</w:t>
      </w:r>
      <w:proofErr w:type="spellStart"/>
      <w:r w:rsidR="00607CF3" w:rsidRPr="00871092">
        <w:rPr>
          <w:rFonts w:asciiTheme="majorBidi" w:eastAsia="Times New Roman" w:hAnsiTheme="majorBidi" w:cstheme="majorBidi"/>
          <w:color w:val="5B9BD5" w:themeColor="accent1"/>
        </w:rPr>
        <w:t>Weissmannová</w:t>
      </w:r>
      <w:proofErr w:type="spellEnd"/>
      <w:r w:rsidR="00607CF3" w:rsidRPr="00871092">
        <w:rPr>
          <w:rFonts w:asciiTheme="majorBidi" w:eastAsia="Times New Roman" w:hAnsiTheme="majorBidi" w:cstheme="majorBidi"/>
          <w:color w:val="5B9BD5" w:themeColor="accent1"/>
        </w:rPr>
        <w:t xml:space="preserve"> </w:t>
      </w:r>
      <w:r w:rsidR="002B4070">
        <w:rPr>
          <w:rFonts w:asciiTheme="majorBidi" w:eastAsia="Times New Roman" w:hAnsiTheme="majorBidi" w:cstheme="majorBidi"/>
          <w:color w:val="5B9BD5" w:themeColor="accent1"/>
        </w:rPr>
        <w:t>and</w:t>
      </w:r>
      <w:r w:rsidR="00607CF3" w:rsidRPr="00871092">
        <w:rPr>
          <w:rFonts w:asciiTheme="majorBidi" w:eastAsia="Times New Roman" w:hAnsiTheme="majorBidi" w:cstheme="majorBidi"/>
          <w:color w:val="5B9BD5" w:themeColor="accent1"/>
        </w:rPr>
        <w:t xml:space="preserve"> </w:t>
      </w:r>
      <w:proofErr w:type="spellStart"/>
      <w:r w:rsidR="00607CF3" w:rsidRPr="00871092">
        <w:rPr>
          <w:rFonts w:asciiTheme="majorBidi" w:eastAsia="Times New Roman" w:hAnsiTheme="majorBidi" w:cstheme="majorBidi"/>
          <w:color w:val="5B9BD5" w:themeColor="accent1"/>
        </w:rPr>
        <w:t>Pavlovský</w:t>
      </w:r>
      <w:proofErr w:type="spellEnd"/>
      <w:r w:rsidR="00607CF3" w:rsidRPr="00871092">
        <w:rPr>
          <w:rFonts w:asciiTheme="majorBidi" w:eastAsia="Times New Roman" w:hAnsiTheme="majorBidi" w:cstheme="majorBidi"/>
          <w:color w:val="5B9BD5" w:themeColor="accent1"/>
        </w:rPr>
        <w:t>, 2017</w:t>
      </w:r>
      <w:r w:rsidR="00E11144">
        <w:rPr>
          <w:rFonts w:asciiTheme="majorBidi" w:eastAsia="Times New Roman" w:hAnsiTheme="majorBidi" w:cstheme="majorBidi"/>
          <w:color w:val="5B9BD5" w:themeColor="accent1"/>
        </w:rPr>
        <w:t>;</w:t>
      </w:r>
      <w:r w:rsidR="00E11144" w:rsidRPr="00E11144">
        <w:rPr>
          <w:rFonts w:asciiTheme="majorBidi" w:eastAsia="Times New Roman" w:hAnsiTheme="majorBidi" w:cstheme="majorBidi"/>
          <w:color w:val="5B9BD5" w:themeColor="accent1"/>
        </w:rPr>
        <w:t xml:space="preserve"> </w:t>
      </w:r>
      <w:r w:rsidR="00E11144" w:rsidRPr="00871092">
        <w:rPr>
          <w:rFonts w:asciiTheme="majorBidi" w:eastAsia="Times New Roman" w:hAnsiTheme="majorBidi" w:cstheme="majorBidi"/>
          <w:color w:val="5B9BD5" w:themeColor="accent1"/>
        </w:rPr>
        <w:t>Kowalska et al., 2018</w:t>
      </w:r>
      <w:r w:rsidR="00607CF3" w:rsidRPr="00871092">
        <w:rPr>
          <w:rFonts w:asciiTheme="majorBidi" w:eastAsia="Times New Roman" w:hAnsiTheme="majorBidi" w:cstheme="majorBidi"/>
        </w:rPr>
        <w:t xml:space="preserve">). The interpretation is: </w:t>
      </w:r>
      <w:r w:rsidR="002057A8">
        <w:rPr>
          <w:rFonts w:asciiTheme="majorBidi" w:eastAsia="Times New Roman" w:hAnsiTheme="majorBidi" w:cstheme="majorBidi"/>
        </w:rPr>
        <w:t>u</w:t>
      </w:r>
      <w:r w:rsidR="00607CF3" w:rsidRPr="00871092">
        <w:rPr>
          <w:rFonts w:asciiTheme="majorBidi" w:eastAsia="Times New Roman" w:hAnsiTheme="majorBidi" w:cstheme="majorBidi"/>
        </w:rPr>
        <w:t>ncontaminated (</w:t>
      </w:r>
      <w:r w:rsidR="00607CF3" w:rsidRPr="000C6547">
        <w:rPr>
          <w:rFonts w:asciiTheme="majorBidi" w:eastAsia="Times New Roman" w:hAnsiTheme="majorBidi" w:cstheme="majorBidi"/>
        </w:rPr>
        <w:t>P</w:t>
      </w:r>
      <w:r w:rsidR="00607CF3" w:rsidRPr="000C6547">
        <w:rPr>
          <w:rFonts w:asciiTheme="majorBidi" w:eastAsia="Times New Roman" w:hAnsiTheme="majorBidi" w:cstheme="majorBidi"/>
          <w:vertAlign w:val="subscript"/>
        </w:rPr>
        <w:t>N</w:t>
      </w:r>
      <w:r w:rsidR="00607CF3" w:rsidRPr="000C6547">
        <w:rPr>
          <w:rFonts w:asciiTheme="majorBidi" w:eastAsia="Times New Roman" w:hAnsiTheme="majorBidi" w:cstheme="majorBidi"/>
        </w:rPr>
        <w:t xml:space="preserve"> ≤ 0.7</w:t>
      </w:r>
      <w:r w:rsidR="00607CF3" w:rsidRPr="00871092">
        <w:rPr>
          <w:rFonts w:asciiTheme="majorBidi" w:eastAsia="Times New Roman" w:hAnsiTheme="majorBidi" w:cstheme="majorBidi"/>
        </w:rPr>
        <w:t xml:space="preserve">), </w:t>
      </w:r>
      <w:r w:rsidR="002057A8">
        <w:rPr>
          <w:rFonts w:asciiTheme="majorBidi" w:eastAsia="Times New Roman" w:hAnsiTheme="majorBidi" w:cstheme="majorBidi"/>
        </w:rPr>
        <w:t>w</w:t>
      </w:r>
      <w:r w:rsidR="00607CF3" w:rsidRPr="00871092">
        <w:rPr>
          <w:rFonts w:asciiTheme="majorBidi" w:eastAsia="Times New Roman" w:hAnsiTheme="majorBidi" w:cstheme="majorBidi"/>
        </w:rPr>
        <w:t>arning limit (</w:t>
      </w:r>
      <w:r w:rsidR="00607CF3" w:rsidRPr="000C6547">
        <w:rPr>
          <w:rFonts w:asciiTheme="majorBidi" w:eastAsia="Times New Roman" w:hAnsiTheme="majorBidi" w:cstheme="majorBidi"/>
        </w:rPr>
        <w:t>0.7 &lt; P</w:t>
      </w:r>
      <w:r w:rsidR="00607CF3" w:rsidRPr="000C6547">
        <w:rPr>
          <w:rFonts w:asciiTheme="majorBidi" w:eastAsia="Times New Roman" w:hAnsiTheme="majorBidi" w:cstheme="majorBidi"/>
          <w:vertAlign w:val="subscript"/>
        </w:rPr>
        <w:t>N</w:t>
      </w:r>
      <w:r w:rsidR="00607CF3" w:rsidRPr="000C6547">
        <w:rPr>
          <w:rFonts w:asciiTheme="majorBidi" w:eastAsia="Times New Roman" w:hAnsiTheme="majorBidi" w:cstheme="majorBidi"/>
        </w:rPr>
        <w:t xml:space="preserve"> ≤ 1</w:t>
      </w:r>
      <w:r w:rsidR="00607CF3" w:rsidRPr="00871092">
        <w:rPr>
          <w:rFonts w:asciiTheme="majorBidi" w:eastAsia="Times New Roman" w:hAnsiTheme="majorBidi" w:cstheme="majorBidi"/>
        </w:rPr>
        <w:t xml:space="preserve">), </w:t>
      </w:r>
      <w:r w:rsidR="002057A8">
        <w:rPr>
          <w:rFonts w:asciiTheme="majorBidi" w:eastAsia="Times New Roman" w:hAnsiTheme="majorBidi" w:cstheme="majorBidi"/>
        </w:rPr>
        <w:t>s</w:t>
      </w:r>
      <w:r w:rsidR="00607CF3" w:rsidRPr="00871092">
        <w:rPr>
          <w:rFonts w:asciiTheme="majorBidi" w:eastAsia="Times New Roman" w:hAnsiTheme="majorBidi" w:cstheme="majorBidi"/>
        </w:rPr>
        <w:t>lightly polluted (</w:t>
      </w:r>
      <w:r w:rsidR="00607CF3" w:rsidRPr="000C6547">
        <w:rPr>
          <w:rFonts w:asciiTheme="majorBidi" w:eastAsia="Times New Roman" w:hAnsiTheme="majorBidi" w:cstheme="majorBidi"/>
        </w:rPr>
        <w:t>1 &lt; P</w:t>
      </w:r>
      <w:r w:rsidR="00607CF3" w:rsidRPr="000C6547">
        <w:rPr>
          <w:rFonts w:asciiTheme="majorBidi" w:eastAsia="Times New Roman" w:hAnsiTheme="majorBidi" w:cstheme="majorBidi"/>
          <w:vertAlign w:val="subscript"/>
        </w:rPr>
        <w:t>N</w:t>
      </w:r>
      <w:r w:rsidR="00607CF3" w:rsidRPr="000C6547">
        <w:rPr>
          <w:rFonts w:asciiTheme="majorBidi" w:eastAsia="Times New Roman" w:hAnsiTheme="majorBidi" w:cstheme="majorBidi"/>
        </w:rPr>
        <w:t xml:space="preserve"> ≤ 2</w:t>
      </w:r>
      <w:r w:rsidR="00607CF3" w:rsidRPr="00871092">
        <w:rPr>
          <w:rFonts w:asciiTheme="majorBidi" w:eastAsia="Times New Roman" w:hAnsiTheme="majorBidi" w:cstheme="majorBidi"/>
        </w:rPr>
        <w:t xml:space="preserve">), </w:t>
      </w:r>
      <w:r w:rsidR="002057A8">
        <w:rPr>
          <w:rFonts w:asciiTheme="majorBidi" w:eastAsia="Times New Roman" w:hAnsiTheme="majorBidi" w:cstheme="majorBidi"/>
        </w:rPr>
        <w:t>m</w:t>
      </w:r>
      <w:r w:rsidR="00607CF3" w:rsidRPr="00871092">
        <w:rPr>
          <w:rFonts w:asciiTheme="majorBidi" w:eastAsia="Times New Roman" w:hAnsiTheme="majorBidi" w:cstheme="majorBidi"/>
        </w:rPr>
        <w:t>oderately polluted (</w:t>
      </w:r>
      <w:r w:rsidR="00607CF3" w:rsidRPr="000C6547">
        <w:rPr>
          <w:rFonts w:asciiTheme="majorBidi" w:eastAsia="Times New Roman" w:hAnsiTheme="majorBidi" w:cstheme="majorBidi"/>
        </w:rPr>
        <w:t>2 &lt; P</w:t>
      </w:r>
      <w:r w:rsidR="00607CF3" w:rsidRPr="000C6547">
        <w:rPr>
          <w:rFonts w:asciiTheme="majorBidi" w:eastAsia="Times New Roman" w:hAnsiTheme="majorBidi" w:cstheme="majorBidi"/>
          <w:vertAlign w:val="subscript"/>
        </w:rPr>
        <w:t>N</w:t>
      </w:r>
      <w:r w:rsidR="00607CF3" w:rsidRPr="000C6547">
        <w:rPr>
          <w:rFonts w:asciiTheme="majorBidi" w:eastAsia="Times New Roman" w:hAnsiTheme="majorBidi" w:cstheme="majorBidi"/>
        </w:rPr>
        <w:t xml:space="preserve"> ≤ 3</w:t>
      </w:r>
      <w:r w:rsidR="00607CF3" w:rsidRPr="00871092">
        <w:rPr>
          <w:rFonts w:asciiTheme="majorBidi" w:eastAsia="Times New Roman" w:hAnsiTheme="majorBidi" w:cstheme="majorBidi"/>
        </w:rPr>
        <w:t xml:space="preserve">), and </w:t>
      </w:r>
      <w:r w:rsidR="002057A8">
        <w:rPr>
          <w:rFonts w:asciiTheme="majorBidi" w:eastAsia="Times New Roman" w:hAnsiTheme="majorBidi" w:cstheme="majorBidi"/>
        </w:rPr>
        <w:t>h</w:t>
      </w:r>
      <w:r w:rsidR="00607CF3" w:rsidRPr="00871092">
        <w:rPr>
          <w:rFonts w:asciiTheme="majorBidi" w:eastAsia="Times New Roman" w:hAnsiTheme="majorBidi" w:cstheme="majorBidi"/>
        </w:rPr>
        <w:t>eavily polluted (</w:t>
      </w:r>
      <w:r w:rsidR="00607CF3" w:rsidRPr="000C6547">
        <w:rPr>
          <w:rFonts w:asciiTheme="majorBidi" w:eastAsia="Times New Roman" w:hAnsiTheme="majorBidi" w:cstheme="majorBidi"/>
        </w:rPr>
        <w:t>P</w:t>
      </w:r>
      <w:r w:rsidR="00607CF3" w:rsidRPr="000C6547">
        <w:rPr>
          <w:rFonts w:asciiTheme="majorBidi" w:eastAsia="Times New Roman" w:hAnsiTheme="majorBidi" w:cstheme="majorBidi"/>
          <w:vertAlign w:val="subscript"/>
        </w:rPr>
        <w:t>N</w:t>
      </w:r>
      <w:r w:rsidR="00607CF3" w:rsidRPr="000C6547">
        <w:rPr>
          <w:rFonts w:asciiTheme="majorBidi" w:eastAsia="Times New Roman" w:hAnsiTheme="majorBidi" w:cstheme="majorBidi"/>
        </w:rPr>
        <w:t xml:space="preserve"> &gt; 3</w:t>
      </w:r>
      <w:r w:rsidR="00607CF3" w:rsidRPr="00871092">
        <w:rPr>
          <w:rFonts w:asciiTheme="majorBidi" w:eastAsia="Times New Roman" w:hAnsiTheme="majorBidi" w:cstheme="majorBidi"/>
        </w:rPr>
        <w:t>) (</w:t>
      </w:r>
      <w:r w:rsidR="00607CF3" w:rsidRPr="00871092">
        <w:rPr>
          <w:rFonts w:asciiTheme="majorBidi" w:eastAsia="Times New Roman" w:hAnsiTheme="majorBidi" w:cstheme="majorBidi"/>
          <w:color w:val="5B9BD5" w:themeColor="accent1"/>
        </w:rPr>
        <w:t>Kowalska et al., 2018</w:t>
      </w:r>
      <w:r w:rsidR="00607CF3" w:rsidRPr="00871092">
        <w:rPr>
          <w:rFonts w:asciiTheme="majorBidi" w:eastAsia="Times New Roman" w:hAnsiTheme="majorBidi" w:cstheme="majorBidi"/>
        </w:rPr>
        <w:t>).</w:t>
      </w:r>
    </w:p>
    <w:p w14:paraId="4674A590" w14:textId="2FDB3FE8" w:rsidR="00E70CA3" w:rsidRPr="00871092" w:rsidRDefault="00E70CA3" w:rsidP="00843FD7">
      <w:pPr>
        <w:spacing w:after="0" w:line="240" w:lineRule="auto"/>
        <w:jc w:val="center"/>
        <w:rPr>
          <w:rFonts w:asciiTheme="majorBidi" w:eastAsia="Times New Roman" w:hAnsiTheme="majorBidi" w:cstheme="majorBidi"/>
        </w:rPr>
      </w:pPr>
      <m:oMath>
        <m:sSub>
          <m:sSubPr>
            <m:ctrlPr>
              <w:rPr>
                <w:rFonts w:ascii="Cambria Math" w:eastAsia="Times New Roman" w:hAnsi="Cambria Math" w:cstheme="majorBidi"/>
                <w:i/>
              </w:rPr>
            </m:ctrlPr>
          </m:sSubPr>
          <m:e>
            <m:r>
              <w:rPr>
                <w:rFonts w:ascii="Cambria Math" w:eastAsia="Times New Roman" w:hAnsi="Cambria Math" w:cstheme="majorBidi"/>
              </w:rPr>
              <m:t>P</m:t>
            </m:r>
          </m:e>
          <m:sub>
            <m:r>
              <w:rPr>
                <w:rFonts w:ascii="Cambria Math" w:eastAsia="Times New Roman" w:hAnsi="Cambria Math" w:cstheme="majorBidi"/>
              </w:rPr>
              <m:t>N</m:t>
            </m:r>
          </m:sub>
        </m:sSub>
        <m:r>
          <w:rPr>
            <w:rFonts w:ascii="Cambria Math" w:eastAsia="Times New Roman" w:hAnsi="Cambria Math" w:cstheme="majorBidi"/>
          </w:rPr>
          <m:t xml:space="preserve">= </m:t>
        </m:r>
        <m:rad>
          <m:radPr>
            <m:degHide m:val="1"/>
            <m:ctrlPr>
              <w:rPr>
                <w:rFonts w:ascii="Cambria Math" w:eastAsia="Times New Roman" w:hAnsi="Cambria Math" w:cstheme="majorBidi"/>
                <w:i/>
              </w:rPr>
            </m:ctrlPr>
          </m:radPr>
          <m:deg/>
          <m:e>
            <m:r>
              <w:rPr>
                <w:rFonts w:ascii="Cambria Math" w:eastAsia="Times New Roman" w:hAnsi="Cambria Math" w:cstheme="majorBidi"/>
              </w:rPr>
              <m:t>(</m:t>
            </m:r>
            <m:sSup>
              <m:sSupPr>
                <m:ctrlPr>
                  <w:rPr>
                    <w:rFonts w:ascii="Cambria Math" w:eastAsia="Times New Roman" w:hAnsi="Cambria Math" w:cstheme="majorBidi"/>
                    <w:i/>
                  </w:rPr>
                </m:ctrlPr>
              </m:sSupPr>
              <m:e>
                <m:d>
                  <m:dPr>
                    <m:ctrlPr>
                      <w:rPr>
                        <w:rFonts w:ascii="Cambria Math" w:eastAsia="Times New Roman" w:hAnsi="Cambria Math" w:cstheme="majorBidi"/>
                        <w:i/>
                      </w:rPr>
                    </m:ctrlPr>
                  </m:dPr>
                  <m:e>
                    <m:r>
                      <w:rPr>
                        <w:rFonts w:ascii="Cambria Math" w:eastAsia="Times New Roman" w:hAnsi="Cambria Math" w:cstheme="majorBidi"/>
                      </w:rPr>
                      <m:t>Max CF</m:t>
                    </m:r>
                  </m:e>
                </m:d>
              </m:e>
              <m:sup>
                <m:r>
                  <w:rPr>
                    <w:rFonts w:ascii="Cambria Math" w:eastAsia="Times New Roman" w:hAnsi="Cambria Math" w:cstheme="majorBidi"/>
                  </w:rPr>
                  <m:t>2</m:t>
                </m:r>
              </m:sup>
            </m:sSup>
            <m:r>
              <w:rPr>
                <w:rFonts w:ascii="Cambria Math" w:eastAsia="Times New Roman" w:hAnsi="Cambria Math" w:cstheme="majorBidi"/>
              </w:rPr>
              <m:t>+</m:t>
            </m:r>
            <m:sSup>
              <m:sSupPr>
                <m:ctrlPr>
                  <w:rPr>
                    <w:rFonts w:ascii="Cambria Math" w:eastAsia="Times New Roman" w:hAnsi="Cambria Math" w:cstheme="majorBidi"/>
                    <w:i/>
                  </w:rPr>
                </m:ctrlPr>
              </m:sSupPr>
              <m:e>
                <m:d>
                  <m:dPr>
                    <m:ctrlPr>
                      <w:rPr>
                        <w:rFonts w:ascii="Cambria Math" w:eastAsia="Times New Roman" w:hAnsi="Cambria Math" w:cstheme="majorBidi"/>
                        <w:i/>
                      </w:rPr>
                    </m:ctrlPr>
                  </m:dPr>
                  <m:e>
                    <m:r>
                      <w:rPr>
                        <w:rFonts w:ascii="Cambria Math" w:eastAsia="Times New Roman" w:hAnsi="Cambria Math" w:cstheme="majorBidi"/>
                      </w:rPr>
                      <m:t>Mean CF</m:t>
                    </m:r>
                  </m:e>
                </m:d>
              </m:e>
              <m:sup>
                <m:r>
                  <w:rPr>
                    <w:rFonts w:ascii="Cambria Math" w:eastAsia="Times New Roman" w:hAnsi="Cambria Math" w:cstheme="majorBidi"/>
                  </w:rPr>
                  <m:t>2</m:t>
                </m:r>
              </m:sup>
            </m:sSup>
            <m:r>
              <w:rPr>
                <w:rFonts w:ascii="Cambria Math" w:eastAsia="Times New Roman" w:hAnsi="Cambria Math" w:cstheme="majorBidi"/>
              </w:rPr>
              <m:t>)/2</m:t>
            </m:r>
          </m:e>
        </m:rad>
      </m:oMath>
      <w:r w:rsidRPr="00871092">
        <w:rPr>
          <w:rFonts w:asciiTheme="majorBidi" w:eastAsia="Times New Roman" w:hAnsiTheme="majorBidi" w:cstheme="majorBidi"/>
        </w:rPr>
        <w:t xml:space="preserve">         (7)</w:t>
      </w:r>
    </w:p>
    <w:p w14:paraId="7A2D4DAA" w14:textId="5F6E4BD0" w:rsidR="00607CF3" w:rsidRPr="00871092" w:rsidRDefault="00843FD7" w:rsidP="00871092">
      <w:pPr>
        <w:spacing w:after="0" w:line="240" w:lineRule="auto"/>
        <w:jc w:val="both"/>
        <w:rPr>
          <w:rFonts w:asciiTheme="majorBidi" w:hAnsiTheme="majorBidi" w:cstheme="majorBidi"/>
          <w:color w:val="0F1115"/>
        </w:rPr>
      </w:pPr>
      <w:r>
        <w:rPr>
          <w:rFonts w:eastAsia="Times New Roman" w:cstheme="majorBidi"/>
        </w:rPr>
        <w:t>-</w:t>
      </w:r>
      <w:r w:rsidR="00607CF3" w:rsidRPr="00871092">
        <w:rPr>
          <w:rFonts w:asciiTheme="majorBidi" w:hAnsiTheme="majorBidi" w:cstheme="majorBidi"/>
          <w:color w:val="0F1115"/>
        </w:rPr>
        <w:t>The Potential Ecological Risk Index (</w:t>
      </w:r>
      <w:r w:rsidR="00607CF3" w:rsidRPr="00871092">
        <w:rPr>
          <w:rStyle w:val="katex-mathml"/>
          <w:rFonts w:asciiTheme="majorBidi" w:eastAsiaTheme="majorEastAsia" w:hAnsiTheme="majorBidi" w:cstheme="majorBidi"/>
          <w:color w:val="0F1115"/>
          <w:bdr w:val="none" w:sz="0" w:space="0" w:color="auto" w:frame="1"/>
        </w:rPr>
        <w:t>RI</w:t>
      </w:r>
      <w:r w:rsidR="00607CF3" w:rsidRPr="00871092">
        <w:rPr>
          <w:rFonts w:asciiTheme="majorBidi" w:hAnsiTheme="majorBidi" w:cstheme="majorBidi"/>
          <w:color w:val="0F1115"/>
        </w:rPr>
        <w:t>), proposed by Hakanson (</w:t>
      </w:r>
      <w:r w:rsidR="00607CF3" w:rsidRPr="00871092">
        <w:rPr>
          <w:rFonts w:asciiTheme="majorBidi" w:hAnsiTheme="majorBidi" w:cstheme="majorBidi"/>
          <w:color w:val="5B9BD5" w:themeColor="accent1"/>
        </w:rPr>
        <w:t>1980</w:t>
      </w:r>
      <w:r w:rsidR="00607CF3" w:rsidRPr="00871092">
        <w:rPr>
          <w:rFonts w:asciiTheme="majorBidi" w:hAnsiTheme="majorBidi" w:cstheme="majorBidi"/>
          <w:color w:val="0F1115"/>
        </w:rPr>
        <w:t>), is a widely adopted method for assessing the ecological risk of PTEs in environmental matrices. It incorporates the toxicity of the elements, providing a more realistic assessment of potential harm.</w:t>
      </w:r>
    </w:p>
    <w:p w14:paraId="523621A6" w14:textId="255F4D3F" w:rsidR="007B2B22" w:rsidRPr="00871092" w:rsidRDefault="00607CF3" w:rsidP="00871092">
      <w:pPr>
        <w:pStyle w:val="ds-markdown-paragraph"/>
        <w:spacing w:before="0" w:beforeAutospacing="0" w:after="0" w:afterAutospacing="0"/>
        <w:mirrorIndents/>
        <w:rPr>
          <w:rFonts w:asciiTheme="majorBidi" w:hAnsiTheme="majorBidi" w:cstheme="majorBidi"/>
          <w:color w:val="0F1115"/>
          <w:sz w:val="22"/>
          <w:szCs w:val="22"/>
        </w:rPr>
      </w:pPr>
      <w:r w:rsidRPr="00871092">
        <w:rPr>
          <w:rFonts w:asciiTheme="majorBidi" w:hAnsiTheme="majorBidi" w:cstheme="majorBidi"/>
          <w:color w:val="0F1115"/>
          <w:sz w:val="22"/>
          <w:szCs w:val="22"/>
        </w:rPr>
        <w:t>The single element ecological risk factor (</w:t>
      </w:r>
      <w:r w:rsidRPr="00871092">
        <w:rPr>
          <w:rStyle w:val="katex-mathml"/>
          <w:rFonts w:asciiTheme="majorBidi" w:eastAsiaTheme="majorEastAsia" w:hAnsiTheme="majorBidi" w:cstheme="majorBidi"/>
          <w:color w:val="0F1115"/>
          <w:sz w:val="22"/>
          <w:szCs w:val="22"/>
          <w:bdr w:val="none" w:sz="0" w:space="0" w:color="auto" w:frame="1"/>
        </w:rPr>
        <w:t>E</w:t>
      </w:r>
      <w:r w:rsidRPr="00871092">
        <w:rPr>
          <w:rStyle w:val="katex-mathml"/>
          <w:rFonts w:asciiTheme="majorBidi" w:eastAsiaTheme="majorEastAsia" w:hAnsiTheme="majorBidi" w:cstheme="majorBidi"/>
          <w:color w:val="0F1115"/>
          <w:sz w:val="22"/>
          <w:szCs w:val="22"/>
          <w:bdr w:val="none" w:sz="0" w:space="0" w:color="auto" w:frame="1"/>
          <w:vertAlign w:val="subscript"/>
        </w:rPr>
        <w:t>ri</w:t>
      </w:r>
      <w:r w:rsidRPr="00871092">
        <w:rPr>
          <w:rStyle w:val="vlist-s"/>
          <w:rFonts w:asciiTheme="majorBidi" w:eastAsiaTheme="minorEastAsia" w:hAnsiTheme="majorBidi" w:cstheme="majorBidi"/>
          <w:color w:val="0F1115"/>
          <w:sz w:val="22"/>
          <w:szCs w:val="22"/>
        </w:rPr>
        <w:t>​</w:t>
      </w:r>
      <w:r w:rsidRPr="00871092">
        <w:rPr>
          <w:rFonts w:asciiTheme="majorBidi" w:hAnsiTheme="majorBidi" w:cstheme="majorBidi"/>
          <w:color w:val="0F1115"/>
          <w:sz w:val="22"/>
          <w:szCs w:val="22"/>
        </w:rPr>
        <w:t>) is calculated as:</w:t>
      </w:r>
    </w:p>
    <w:p w14:paraId="2553E07E" w14:textId="542325D4" w:rsidR="00607CF3" w:rsidRPr="00871092" w:rsidRDefault="00000000" w:rsidP="000E3D8F">
      <w:pPr>
        <w:pStyle w:val="ds-markdown-paragraph"/>
        <w:spacing w:before="0" w:beforeAutospacing="0" w:after="0" w:afterAutospacing="0"/>
        <w:mirrorIndents/>
        <w:jc w:val="center"/>
        <w:rPr>
          <w:rStyle w:val="katex-mathml"/>
          <w:rFonts w:asciiTheme="majorBidi" w:eastAsiaTheme="minorEastAsia" w:hAnsiTheme="majorBidi" w:cstheme="majorBidi"/>
          <w:color w:val="0F1115"/>
          <w:kern w:val="2"/>
          <w:sz w:val="22"/>
          <w:szCs w:val="22"/>
          <w:bdr w:val="none" w:sz="0" w:space="0" w:color="auto" w:frame="1"/>
          <w:shd w:val="clear" w:color="auto" w:fill="FFFFFF"/>
          <w:lang w:val="en-CA" w:eastAsia="fr-BE"/>
        </w:rPr>
      </w:pPr>
      <m:oMath>
        <m:sSub>
          <m:sSubPr>
            <m:ctrlPr>
              <w:rPr>
                <w:rFonts w:ascii="Cambria Math" w:hAnsi="Cambria Math" w:cstheme="majorBidi"/>
                <w:i/>
                <w:color w:val="0F1115"/>
                <w:sz w:val="22"/>
                <w:szCs w:val="22"/>
              </w:rPr>
            </m:ctrlPr>
          </m:sSubPr>
          <m:e>
            <m:r>
              <w:rPr>
                <w:rFonts w:ascii="Cambria Math" w:hAnsi="Cambria Math" w:cstheme="majorBidi"/>
                <w:color w:val="0F1115"/>
                <w:sz w:val="22"/>
                <w:szCs w:val="22"/>
              </w:rPr>
              <m:t>E</m:t>
            </m:r>
          </m:e>
          <m:sub>
            <m:r>
              <w:rPr>
                <w:rFonts w:ascii="Cambria Math" w:hAnsi="Cambria Math" w:cstheme="majorBidi"/>
                <w:color w:val="0F1115"/>
                <w:sz w:val="22"/>
                <w:szCs w:val="22"/>
              </w:rPr>
              <m:t>ri</m:t>
            </m:r>
          </m:sub>
        </m:sSub>
        <m:r>
          <w:rPr>
            <w:rFonts w:ascii="Cambria Math" w:hAnsi="Cambria Math" w:cstheme="majorBidi"/>
            <w:color w:val="0F1115"/>
            <w:sz w:val="22"/>
            <w:szCs w:val="22"/>
          </w:rPr>
          <m:t xml:space="preserve">= </m:t>
        </m:r>
        <m:sSub>
          <m:sSubPr>
            <m:ctrlPr>
              <w:rPr>
                <w:rFonts w:ascii="Cambria Math" w:hAnsi="Cambria Math" w:cstheme="majorBidi"/>
                <w:i/>
                <w:color w:val="0F1115"/>
                <w:sz w:val="22"/>
                <w:szCs w:val="22"/>
              </w:rPr>
            </m:ctrlPr>
          </m:sSubPr>
          <m:e>
            <m:r>
              <w:rPr>
                <w:rFonts w:ascii="Cambria Math" w:hAnsi="Cambria Math" w:cstheme="majorBidi"/>
                <w:color w:val="0F1115"/>
                <w:sz w:val="22"/>
                <w:szCs w:val="22"/>
              </w:rPr>
              <m:t>T</m:t>
            </m:r>
          </m:e>
          <m:sub>
            <m:r>
              <w:rPr>
                <w:rFonts w:ascii="Cambria Math" w:hAnsi="Cambria Math" w:cstheme="majorBidi"/>
                <w:color w:val="0F1115"/>
                <w:sz w:val="22"/>
                <w:szCs w:val="22"/>
              </w:rPr>
              <m:t>ri</m:t>
            </m:r>
          </m:sub>
        </m:sSub>
        <m:r>
          <w:rPr>
            <w:rFonts w:ascii="Cambria Math" w:hAnsi="Cambria Math" w:cstheme="majorBidi"/>
            <w:color w:val="0F1115"/>
            <w:sz w:val="22"/>
            <w:szCs w:val="22"/>
          </w:rPr>
          <m:t>*</m:t>
        </m:r>
        <m:sSub>
          <m:sSubPr>
            <m:ctrlPr>
              <w:rPr>
                <w:rFonts w:ascii="Cambria Math" w:hAnsi="Cambria Math" w:cstheme="majorBidi"/>
                <w:i/>
                <w:color w:val="0F1115"/>
                <w:sz w:val="22"/>
                <w:szCs w:val="22"/>
              </w:rPr>
            </m:ctrlPr>
          </m:sSubPr>
          <m:e>
            <m:r>
              <w:rPr>
                <w:rFonts w:ascii="Cambria Math" w:hAnsi="Cambria Math" w:cstheme="majorBidi"/>
                <w:color w:val="0F1115"/>
                <w:sz w:val="22"/>
                <w:szCs w:val="22"/>
              </w:rPr>
              <m:t>CF</m:t>
            </m:r>
          </m:e>
          <m:sub>
            <m:r>
              <w:rPr>
                <w:rFonts w:ascii="Cambria Math" w:hAnsi="Cambria Math" w:cstheme="majorBidi"/>
                <w:color w:val="0F1115"/>
                <w:sz w:val="22"/>
                <w:szCs w:val="22"/>
              </w:rPr>
              <m:t>i</m:t>
            </m:r>
          </m:sub>
        </m:sSub>
      </m:oMath>
      <w:r w:rsidR="00607CF3" w:rsidRPr="00871092">
        <w:rPr>
          <w:rFonts w:asciiTheme="majorBidi" w:hAnsiTheme="majorBidi" w:cstheme="majorBidi"/>
          <w:color w:val="0F1115"/>
          <w:sz w:val="22"/>
          <w:szCs w:val="22"/>
        </w:rPr>
        <w:t xml:space="preserve">     (8)</w:t>
      </w:r>
    </w:p>
    <w:p w14:paraId="35709838" w14:textId="388C018A" w:rsidR="00607CF3" w:rsidRPr="00843FD7" w:rsidRDefault="00843FD7" w:rsidP="000E3D8F">
      <w:pPr>
        <w:pStyle w:val="ds-markdown-paragraph"/>
        <w:spacing w:before="0" w:beforeAutospacing="0" w:after="0" w:afterAutospacing="0"/>
        <w:mirrorIndents/>
        <w:rPr>
          <w:rStyle w:val="katex-mathml"/>
          <w:rFonts w:asciiTheme="majorBidi" w:hAnsiTheme="majorBidi" w:cstheme="majorBidi"/>
          <w:color w:val="0F1115"/>
          <w:bdr w:val="none" w:sz="0" w:space="0" w:color="auto" w:frame="1"/>
          <w:shd w:val="clear" w:color="auto" w:fill="FFFFFF"/>
        </w:rPr>
      </w:pPr>
      <w:r>
        <w:rPr>
          <w:rFonts w:asciiTheme="majorBidi" w:hAnsiTheme="majorBidi" w:cstheme="majorBidi"/>
          <w:color w:val="0F1115"/>
          <w:sz w:val="22"/>
          <w:szCs w:val="22"/>
        </w:rPr>
        <w:t>w</w:t>
      </w:r>
      <w:r w:rsidRPr="00871092">
        <w:rPr>
          <w:rFonts w:asciiTheme="majorBidi" w:hAnsiTheme="majorBidi" w:cstheme="majorBidi"/>
          <w:color w:val="0F1115"/>
          <w:sz w:val="22"/>
          <w:szCs w:val="22"/>
        </w:rPr>
        <w:t>here </w:t>
      </w:r>
      <w:r w:rsidR="00607CF3" w:rsidRPr="00871092">
        <w:rPr>
          <w:rStyle w:val="katex-mathml"/>
          <w:rFonts w:asciiTheme="majorBidi" w:eastAsiaTheme="majorEastAsia" w:hAnsiTheme="majorBidi" w:cstheme="majorBidi"/>
          <w:color w:val="0F1115"/>
          <w:sz w:val="22"/>
          <w:szCs w:val="22"/>
          <w:bdr w:val="none" w:sz="0" w:space="0" w:color="auto" w:frame="1"/>
        </w:rPr>
        <w:t>T</w:t>
      </w:r>
      <w:r w:rsidR="00607CF3" w:rsidRPr="00871092">
        <w:rPr>
          <w:rStyle w:val="katex-mathml"/>
          <w:rFonts w:asciiTheme="majorBidi" w:eastAsiaTheme="majorEastAsia" w:hAnsiTheme="majorBidi" w:cstheme="majorBidi"/>
          <w:color w:val="0F1115"/>
          <w:sz w:val="22"/>
          <w:szCs w:val="22"/>
          <w:bdr w:val="none" w:sz="0" w:space="0" w:color="auto" w:frame="1"/>
          <w:vertAlign w:val="subscript"/>
        </w:rPr>
        <w:t>ri</w:t>
      </w:r>
      <w:r w:rsidR="00607CF3" w:rsidRPr="00871092">
        <w:rPr>
          <w:rStyle w:val="mord"/>
          <w:rFonts w:asciiTheme="majorBidi" w:eastAsiaTheme="minorEastAsia" w:hAnsiTheme="majorBidi" w:cstheme="majorBidi"/>
          <w:i/>
          <w:iCs/>
          <w:color w:val="0F1115"/>
          <w:sz w:val="22"/>
          <w:szCs w:val="22"/>
        </w:rPr>
        <w:t xml:space="preserve"> </w:t>
      </w:r>
      <w:r w:rsidR="00607CF3" w:rsidRPr="00871092">
        <w:rPr>
          <w:rFonts w:asciiTheme="majorBidi" w:hAnsiTheme="majorBidi" w:cstheme="majorBidi"/>
          <w:color w:val="0F1115"/>
          <w:sz w:val="22"/>
          <w:szCs w:val="22"/>
        </w:rPr>
        <w:t>is the toxic response factor for the element </w:t>
      </w:r>
      <w:proofErr w:type="spellStart"/>
      <w:r w:rsidR="00607CF3" w:rsidRPr="00871092">
        <w:rPr>
          <w:rStyle w:val="katex-mathml"/>
          <w:rFonts w:asciiTheme="majorBidi" w:eastAsiaTheme="majorEastAsia" w:hAnsiTheme="majorBidi" w:cstheme="majorBidi"/>
          <w:color w:val="0F1115"/>
          <w:sz w:val="22"/>
          <w:szCs w:val="22"/>
          <w:bdr w:val="none" w:sz="0" w:space="0" w:color="auto" w:frame="1"/>
        </w:rPr>
        <w:t>i</w:t>
      </w:r>
      <w:proofErr w:type="spellEnd"/>
      <w:r w:rsidR="00607CF3" w:rsidRPr="00871092">
        <w:rPr>
          <w:rFonts w:asciiTheme="majorBidi" w:hAnsiTheme="majorBidi" w:cstheme="majorBidi"/>
          <w:color w:val="0F1115"/>
          <w:sz w:val="22"/>
          <w:szCs w:val="22"/>
        </w:rPr>
        <w:t>, and </w:t>
      </w:r>
      <w:proofErr w:type="spellStart"/>
      <w:r w:rsidR="00607CF3" w:rsidRPr="00871092">
        <w:rPr>
          <w:rStyle w:val="katex-mathml"/>
          <w:rFonts w:asciiTheme="majorBidi" w:eastAsiaTheme="majorEastAsia" w:hAnsiTheme="majorBidi" w:cstheme="majorBidi"/>
          <w:color w:val="0F1115"/>
          <w:sz w:val="22"/>
          <w:szCs w:val="22"/>
          <w:bdr w:val="none" w:sz="0" w:space="0" w:color="auto" w:frame="1"/>
        </w:rPr>
        <w:t>CFi</w:t>
      </w:r>
      <w:proofErr w:type="spellEnd"/>
      <w:r w:rsidR="00607CF3" w:rsidRPr="00871092">
        <w:rPr>
          <w:rStyle w:val="mord"/>
          <w:rFonts w:asciiTheme="majorBidi" w:eastAsiaTheme="minorEastAsia" w:hAnsiTheme="majorBidi" w:cstheme="majorBidi"/>
          <w:i/>
          <w:iCs/>
          <w:color w:val="0F1115"/>
          <w:sz w:val="22"/>
          <w:szCs w:val="22"/>
        </w:rPr>
        <w:t xml:space="preserve"> </w:t>
      </w:r>
      <w:r w:rsidR="00607CF3" w:rsidRPr="00871092">
        <w:rPr>
          <w:rFonts w:asciiTheme="majorBidi" w:hAnsiTheme="majorBidi" w:cstheme="majorBidi"/>
          <w:color w:val="0F1115"/>
          <w:sz w:val="22"/>
          <w:szCs w:val="22"/>
        </w:rPr>
        <w:t>is the contamination factor for the element </w:t>
      </w:r>
      <w:proofErr w:type="spellStart"/>
      <w:r w:rsidR="00607CF3" w:rsidRPr="00871092">
        <w:rPr>
          <w:rStyle w:val="katex-mathml"/>
          <w:rFonts w:asciiTheme="majorBidi" w:eastAsiaTheme="majorEastAsia" w:hAnsiTheme="majorBidi" w:cstheme="majorBidi"/>
          <w:color w:val="0F1115"/>
          <w:sz w:val="22"/>
          <w:szCs w:val="22"/>
          <w:bdr w:val="none" w:sz="0" w:space="0" w:color="auto" w:frame="1"/>
        </w:rPr>
        <w:t>i</w:t>
      </w:r>
      <w:proofErr w:type="spellEnd"/>
      <w:r w:rsidR="00607CF3" w:rsidRPr="00871092">
        <w:rPr>
          <w:rFonts w:asciiTheme="majorBidi" w:hAnsiTheme="majorBidi" w:cstheme="majorBidi"/>
          <w:color w:val="0F1115"/>
          <w:sz w:val="22"/>
          <w:szCs w:val="22"/>
        </w:rPr>
        <w:t>.</w:t>
      </w:r>
      <w:r w:rsidR="007B2B22" w:rsidRPr="00871092">
        <w:rPr>
          <w:rFonts w:asciiTheme="majorBidi" w:hAnsiTheme="majorBidi" w:cstheme="majorBidi"/>
          <w:color w:val="0F1115"/>
          <w:sz w:val="22"/>
          <w:szCs w:val="22"/>
        </w:rPr>
        <w:t xml:space="preserve"> </w:t>
      </w:r>
      <w:r w:rsidR="00607CF3" w:rsidRPr="00871092">
        <w:rPr>
          <w:rFonts w:asciiTheme="majorBidi" w:hAnsiTheme="majorBidi" w:cstheme="majorBidi"/>
          <w:color w:val="0F1115"/>
          <w:sz w:val="22"/>
          <w:szCs w:val="22"/>
        </w:rPr>
        <w:t>The Potential Ecological Risk Index (</w:t>
      </w:r>
      <w:r w:rsidR="00607CF3" w:rsidRPr="00871092">
        <w:rPr>
          <w:rStyle w:val="katex-mathml"/>
          <w:rFonts w:asciiTheme="majorBidi" w:eastAsiaTheme="majorEastAsia" w:hAnsiTheme="majorBidi" w:cstheme="majorBidi"/>
          <w:color w:val="0F1115"/>
          <w:sz w:val="22"/>
          <w:szCs w:val="22"/>
          <w:bdr w:val="none" w:sz="0" w:space="0" w:color="auto" w:frame="1"/>
        </w:rPr>
        <w:t>RI</w:t>
      </w:r>
      <w:r w:rsidR="00607CF3" w:rsidRPr="00871092">
        <w:rPr>
          <w:rFonts w:asciiTheme="majorBidi" w:hAnsiTheme="majorBidi" w:cstheme="majorBidi"/>
          <w:color w:val="0F1115"/>
          <w:sz w:val="22"/>
          <w:szCs w:val="22"/>
        </w:rPr>
        <w:t>) is the sum of the individual risk factors:</w:t>
      </w:r>
    </w:p>
    <w:p w14:paraId="15CB7438" w14:textId="6E23DD54" w:rsidR="00607CF3" w:rsidRPr="00871092" w:rsidRDefault="00607CF3" w:rsidP="000E3D8F">
      <w:pPr>
        <w:spacing w:after="0" w:line="240" w:lineRule="auto"/>
        <w:mirrorIndents/>
        <w:jc w:val="center"/>
      </w:pPr>
      <m:oMath>
        <m:r>
          <w:rPr>
            <w:rStyle w:val="katex-mathml"/>
            <w:rFonts w:ascii="Cambria Math" w:hAnsi="Cambria Math" w:cstheme="majorBidi"/>
            <w:color w:val="0F1115"/>
            <w:bdr w:val="none" w:sz="0" w:space="0" w:color="auto" w:frame="1"/>
            <w:shd w:val="clear" w:color="auto" w:fill="FFFFFF"/>
          </w:rPr>
          <m:t xml:space="preserve">RI= </m:t>
        </m:r>
        <m:nary>
          <m:naryPr>
            <m:chr m:val="∑"/>
            <m:limLoc m:val="undOvr"/>
            <m:ctrlPr>
              <w:rPr>
                <w:rStyle w:val="katex-mathml"/>
                <w:rFonts w:ascii="Cambria Math" w:hAnsi="Cambria Math" w:cstheme="majorBidi"/>
                <w:i/>
                <w:color w:val="0F1115"/>
                <w:bdr w:val="none" w:sz="0" w:space="0" w:color="auto" w:frame="1"/>
                <w:shd w:val="clear" w:color="auto" w:fill="FFFFFF"/>
              </w:rPr>
            </m:ctrlPr>
          </m:naryPr>
          <m:sub>
            <m:r>
              <w:rPr>
                <w:rStyle w:val="katex-mathml"/>
                <w:rFonts w:ascii="Cambria Math" w:hAnsi="Cambria Math" w:cstheme="majorBidi"/>
                <w:color w:val="0F1115"/>
                <w:bdr w:val="none" w:sz="0" w:space="0" w:color="auto" w:frame="1"/>
                <w:shd w:val="clear" w:color="auto" w:fill="FFFFFF"/>
              </w:rPr>
              <m:t>1</m:t>
            </m:r>
          </m:sub>
          <m:sup>
            <m:r>
              <w:rPr>
                <w:rStyle w:val="katex-mathml"/>
                <w:rFonts w:ascii="Cambria Math" w:hAnsi="Cambria Math" w:cstheme="majorBidi"/>
                <w:color w:val="0F1115"/>
                <w:bdr w:val="none" w:sz="0" w:space="0" w:color="auto" w:frame="1"/>
                <w:shd w:val="clear" w:color="auto" w:fill="FFFFFF"/>
              </w:rPr>
              <m:t>n</m:t>
            </m:r>
          </m:sup>
          <m:e>
            <m:sSub>
              <m:sSubPr>
                <m:ctrlPr>
                  <w:rPr>
                    <w:rStyle w:val="katex-mathml"/>
                    <w:rFonts w:ascii="Cambria Math" w:hAnsi="Cambria Math" w:cstheme="majorBidi"/>
                    <w:i/>
                    <w:color w:val="0F1115"/>
                    <w:bdr w:val="none" w:sz="0" w:space="0" w:color="auto" w:frame="1"/>
                    <w:shd w:val="clear" w:color="auto" w:fill="FFFFFF"/>
                  </w:rPr>
                </m:ctrlPr>
              </m:sSubPr>
              <m:e>
                <m:r>
                  <w:rPr>
                    <w:rStyle w:val="katex-mathml"/>
                    <w:rFonts w:ascii="Cambria Math" w:hAnsi="Cambria Math" w:cstheme="majorBidi"/>
                    <w:color w:val="0F1115"/>
                    <w:bdr w:val="none" w:sz="0" w:space="0" w:color="auto" w:frame="1"/>
                    <w:shd w:val="clear" w:color="auto" w:fill="FFFFFF"/>
                  </w:rPr>
                  <m:t>E</m:t>
                </m:r>
              </m:e>
              <m:sub>
                <m:r>
                  <w:rPr>
                    <w:rStyle w:val="katex-mathml"/>
                    <w:rFonts w:ascii="Cambria Math" w:hAnsi="Cambria Math" w:cstheme="majorBidi"/>
                    <w:color w:val="0F1115"/>
                    <w:bdr w:val="none" w:sz="0" w:space="0" w:color="auto" w:frame="1"/>
                    <w:shd w:val="clear" w:color="auto" w:fill="FFFFFF"/>
                  </w:rPr>
                  <m:t>ri</m:t>
                </m:r>
              </m:sub>
            </m:sSub>
          </m:e>
        </m:nary>
      </m:oMath>
      <w:r w:rsidRPr="00871092">
        <w:rPr>
          <w:rStyle w:val="katex-mathml"/>
          <w:rFonts w:asciiTheme="majorBidi" w:hAnsiTheme="majorBidi" w:cstheme="majorBidi"/>
          <w:color w:val="0F1115"/>
          <w:bdr w:val="none" w:sz="0" w:space="0" w:color="auto" w:frame="1"/>
          <w:shd w:val="clear" w:color="auto" w:fill="FFFFFF"/>
        </w:rPr>
        <w:t xml:space="preserve">     (9)</w:t>
      </w:r>
    </w:p>
    <w:p w14:paraId="393633E1" w14:textId="12C7F888" w:rsidR="00607CF3" w:rsidRPr="00871092" w:rsidRDefault="00607CF3"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The RI is classified as: </w:t>
      </w:r>
      <w:r w:rsidR="002057A8">
        <w:rPr>
          <w:rFonts w:asciiTheme="majorBidi" w:eastAsia="Times New Roman" w:hAnsiTheme="majorBidi" w:cstheme="majorBidi"/>
        </w:rPr>
        <w:t>l</w:t>
      </w:r>
      <w:r w:rsidRPr="00871092">
        <w:rPr>
          <w:rFonts w:asciiTheme="majorBidi" w:eastAsia="Times New Roman" w:hAnsiTheme="majorBidi" w:cstheme="majorBidi"/>
        </w:rPr>
        <w:t xml:space="preserve">ow ecological risk (RI &lt; 150), </w:t>
      </w:r>
      <w:r w:rsidR="005F6E76">
        <w:rPr>
          <w:rFonts w:asciiTheme="majorBidi" w:eastAsia="Times New Roman" w:hAnsiTheme="majorBidi" w:cstheme="majorBidi"/>
        </w:rPr>
        <w:t>m</w:t>
      </w:r>
      <w:r w:rsidRPr="00871092">
        <w:rPr>
          <w:rFonts w:asciiTheme="majorBidi" w:eastAsia="Times New Roman" w:hAnsiTheme="majorBidi" w:cstheme="majorBidi"/>
        </w:rPr>
        <w:t xml:space="preserve">oderate ecological risk (150 ≤ RI &lt; 300), </w:t>
      </w:r>
      <w:r w:rsidR="00843FD7">
        <w:rPr>
          <w:rFonts w:asciiTheme="majorBidi" w:eastAsia="Times New Roman" w:hAnsiTheme="majorBidi" w:cstheme="majorBidi"/>
        </w:rPr>
        <w:t>c</w:t>
      </w:r>
      <w:r w:rsidR="00843FD7" w:rsidRPr="00871092">
        <w:rPr>
          <w:rFonts w:asciiTheme="majorBidi" w:eastAsia="Times New Roman" w:hAnsiTheme="majorBidi" w:cstheme="majorBidi"/>
        </w:rPr>
        <w:t xml:space="preserve">onsiderable </w:t>
      </w:r>
      <w:r w:rsidRPr="00871092">
        <w:rPr>
          <w:rFonts w:asciiTheme="majorBidi" w:eastAsia="Times New Roman" w:hAnsiTheme="majorBidi" w:cstheme="majorBidi"/>
        </w:rPr>
        <w:t xml:space="preserve">ecological risk (300 ≤ RI &lt; 600), and </w:t>
      </w:r>
      <w:r w:rsidR="00843FD7">
        <w:rPr>
          <w:rFonts w:asciiTheme="majorBidi" w:eastAsia="Times New Roman" w:hAnsiTheme="majorBidi" w:cstheme="majorBidi"/>
        </w:rPr>
        <w:t>v</w:t>
      </w:r>
      <w:r w:rsidR="00843FD7" w:rsidRPr="00871092">
        <w:rPr>
          <w:rFonts w:asciiTheme="majorBidi" w:eastAsia="Times New Roman" w:hAnsiTheme="majorBidi" w:cstheme="majorBidi"/>
        </w:rPr>
        <w:t xml:space="preserve">ery </w:t>
      </w:r>
      <w:r w:rsidRPr="00871092">
        <w:rPr>
          <w:rFonts w:asciiTheme="majorBidi" w:eastAsia="Times New Roman" w:hAnsiTheme="majorBidi" w:cstheme="majorBidi"/>
        </w:rPr>
        <w:t>high ecological risk (RI ≥ 600) (</w:t>
      </w:r>
      <w:r w:rsidRPr="00871092">
        <w:rPr>
          <w:rFonts w:asciiTheme="majorBidi" w:eastAsia="Times New Roman" w:hAnsiTheme="majorBidi" w:cstheme="majorBidi"/>
          <w:color w:val="5B9BD5" w:themeColor="accent1"/>
        </w:rPr>
        <w:t>Hakanson, 1980</w:t>
      </w:r>
      <w:r w:rsidRPr="00871092">
        <w:rPr>
          <w:rFonts w:asciiTheme="majorBidi" w:eastAsia="Times New Roman" w:hAnsiTheme="majorBidi" w:cstheme="majorBidi"/>
        </w:rPr>
        <w:t>).</w:t>
      </w:r>
    </w:p>
    <w:p w14:paraId="6F7106AB" w14:textId="77777777" w:rsidR="00607CF3" w:rsidRPr="00871092" w:rsidRDefault="00607CF3" w:rsidP="00871092">
      <w:pPr>
        <w:spacing w:after="0" w:line="240" w:lineRule="auto"/>
        <w:jc w:val="both"/>
        <w:rPr>
          <w:rFonts w:asciiTheme="majorBidi" w:eastAsia="Times New Roman" w:hAnsiTheme="majorBidi" w:cstheme="majorBidi"/>
        </w:rPr>
      </w:pPr>
    </w:p>
    <w:p w14:paraId="5E19B658" w14:textId="77777777" w:rsidR="00607CF3" w:rsidRPr="00871092" w:rsidRDefault="00607CF3" w:rsidP="00871092">
      <w:pPr>
        <w:pStyle w:val="Titre2"/>
        <w:spacing w:before="0" w:after="0" w:line="240" w:lineRule="auto"/>
        <w:rPr>
          <w:rFonts w:cstheme="majorBidi"/>
          <w:color w:val="000000" w:themeColor="text1"/>
          <w:sz w:val="22"/>
          <w:szCs w:val="22"/>
        </w:rPr>
      </w:pPr>
      <w:r w:rsidRPr="00871092">
        <w:rPr>
          <w:rFonts w:cstheme="majorBidi"/>
          <w:color w:val="000000" w:themeColor="text1"/>
          <w:sz w:val="22"/>
          <w:szCs w:val="22"/>
        </w:rPr>
        <w:t>Leaching Experiments</w:t>
      </w:r>
    </w:p>
    <w:p w14:paraId="1B754149" w14:textId="338C7E1B"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Leaching tests were conducted following the EN 12457-4:2002 standard, using clay samples previously dried and sieved to retain particles &lt;</w:t>
      </w:r>
      <w:r w:rsidR="00843FD7">
        <w:rPr>
          <w:rFonts w:asciiTheme="majorBidi" w:hAnsiTheme="majorBidi" w:cstheme="majorBidi"/>
          <w:color w:val="000000" w:themeColor="text1"/>
        </w:rPr>
        <w:t xml:space="preserve"> </w:t>
      </w:r>
      <w:r w:rsidRPr="00871092">
        <w:rPr>
          <w:rFonts w:asciiTheme="majorBidi" w:hAnsiTheme="majorBidi" w:cstheme="majorBidi"/>
          <w:color w:val="000000" w:themeColor="text1"/>
        </w:rPr>
        <w:t>250 µm (</w:t>
      </w:r>
      <w:r w:rsidRPr="00871092">
        <w:rPr>
          <w:rFonts w:asciiTheme="majorBidi" w:hAnsiTheme="majorBidi" w:cstheme="majorBidi"/>
          <w:color w:val="5B9BD5" w:themeColor="accent1"/>
        </w:rPr>
        <w:t>EN 12457‑4:2002</w:t>
      </w:r>
      <w:r w:rsidRPr="00871092">
        <w:rPr>
          <w:rFonts w:asciiTheme="majorBidi" w:hAnsiTheme="majorBidi" w:cstheme="majorBidi"/>
          <w:color w:val="000000" w:themeColor="text1"/>
        </w:rPr>
        <w:t xml:space="preserve">). A fixed mass of each sample was mixed with demineralized water at a liquid-to-solid ratio (L/S) of 10, and the mixtures were agitated continuously for 24 hours on a rotary shaker to ensure homogeneous contact. After leaching, the suspensions were filtered through 0.45 µm membrane filters, and the resulting filtrates were analyzed by ICP-MS to quantify the concentrations of PTEs and radionuclides. Each test was performed in triplicate under identical conditions to guarantee consistency and reproducibility. </w:t>
      </w:r>
      <w:bookmarkStart w:id="3" w:name="OLE_LINK25"/>
      <w:r w:rsidRPr="00871092">
        <w:rPr>
          <w:rFonts w:asciiTheme="majorBidi" w:hAnsiTheme="majorBidi" w:cstheme="majorBidi"/>
          <w:color w:val="000000" w:themeColor="text1"/>
        </w:rPr>
        <w:t xml:space="preserve">Leaching tests were prioritized for bentonite and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due to their higher total concentrations of PTEs and their widespread use in applications with potential water contact. Kaolin, exhibiting PTE concentrations consistently at or below typical geochemical backgrounds for clay materials (</w:t>
      </w:r>
      <w:proofErr w:type="spellStart"/>
      <w:r w:rsidRPr="00871092">
        <w:rPr>
          <w:rFonts w:asciiTheme="majorBidi" w:hAnsiTheme="majorBidi" w:cstheme="majorBidi"/>
          <w:color w:val="5B9BD5" w:themeColor="accent1"/>
        </w:rPr>
        <w:t>Kabata-Pendias</w:t>
      </w:r>
      <w:proofErr w:type="spellEnd"/>
      <w:r w:rsidRPr="00871092">
        <w:rPr>
          <w:rFonts w:asciiTheme="majorBidi" w:hAnsiTheme="majorBidi" w:cstheme="majorBidi"/>
          <w:color w:val="5B9BD5" w:themeColor="accent1"/>
        </w:rPr>
        <w:t>, 2011</w:t>
      </w:r>
      <w:r w:rsidRPr="00871092">
        <w:rPr>
          <w:rFonts w:asciiTheme="majorBidi" w:hAnsiTheme="majorBidi" w:cstheme="majorBidi"/>
          <w:color w:val="000000" w:themeColor="text1"/>
        </w:rPr>
        <w:t>), was deemed to present a lower inherent leaching risk and was therefore excluded from this phase of the leaching assessment.</w:t>
      </w:r>
    </w:p>
    <w:p w14:paraId="06EB444F" w14:textId="1C9647DC" w:rsidR="007B2B22"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The mobility rate (%M) (</w:t>
      </w:r>
      <w:r w:rsidRPr="00871092">
        <w:rPr>
          <w:rFonts w:asciiTheme="majorBidi" w:hAnsiTheme="majorBidi" w:cstheme="majorBidi"/>
          <w:color w:val="5B9BD5" w:themeColor="accent1"/>
        </w:rPr>
        <w:t>Li et al., 2017; Behbahani et al., 2020; Lu et al., 2025</w:t>
      </w:r>
      <w:r w:rsidRPr="00871092">
        <w:rPr>
          <w:rFonts w:asciiTheme="majorBidi" w:hAnsiTheme="majorBidi" w:cstheme="majorBidi"/>
          <w:color w:val="000000" w:themeColor="text1"/>
        </w:rPr>
        <w:t>), which expresses the mobility of PTEs from raw clays into deionized water under controlled conditions, was calculated following the equation (</w:t>
      </w:r>
      <w:r w:rsidR="007B2B22" w:rsidRPr="00871092">
        <w:rPr>
          <w:rFonts w:asciiTheme="majorBidi" w:hAnsiTheme="majorBidi" w:cstheme="majorBidi"/>
          <w:color w:val="000000" w:themeColor="text1"/>
        </w:rPr>
        <w:t>10</w:t>
      </w:r>
      <w:r w:rsidRPr="00871092">
        <w:rPr>
          <w:rFonts w:asciiTheme="majorBidi" w:hAnsiTheme="majorBidi" w:cstheme="majorBidi"/>
          <w:color w:val="000000" w:themeColor="text1"/>
        </w:rPr>
        <w:t>)</w:t>
      </w:r>
      <w:bookmarkEnd w:id="3"/>
      <w:r w:rsidRPr="00871092">
        <w:rPr>
          <w:rFonts w:asciiTheme="majorBidi" w:hAnsiTheme="majorBidi" w:cstheme="majorBidi"/>
          <w:color w:val="000000" w:themeColor="text1"/>
        </w:rPr>
        <w:t>:</w:t>
      </w:r>
    </w:p>
    <w:p w14:paraId="31B73623" w14:textId="4C4F7D37" w:rsidR="007B2B22" w:rsidRPr="00871092" w:rsidRDefault="00607CF3" w:rsidP="00843FD7">
      <w:pPr>
        <w:spacing w:after="0" w:line="240" w:lineRule="auto"/>
        <w:jc w:val="center"/>
        <w:rPr>
          <w:rFonts w:asciiTheme="majorBidi" w:hAnsiTheme="majorBidi" w:cstheme="majorBidi"/>
          <w:color w:val="000000" w:themeColor="text1"/>
        </w:rPr>
      </w:pPr>
      <m:oMath>
        <m:r>
          <m:rPr>
            <m:sty m:val="p"/>
          </m:rPr>
          <w:rPr>
            <w:rFonts w:ascii="Cambria Math" w:hAnsi="Cambria Math" w:cstheme="majorBidi"/>
            <w:color w:val="000000" w:themeColor="text1"/>
          </w:rPr>
          <m:t>%M</m:t>
        </m:r>
        <m:r>
          <m:rPr>
            <m:nor/>
          </m:rPr>
          <w:rPr>
            <w:rFonts w:asciiTheme="majorBidi" w:hAnsiTheme="majorBidi" w:cstheme="majorBidi"/>
            <w:iCs/>
            <w:color w:val="000000" w:themeColor="text1"/>
          </w:rPr>
          <m:t xml:space="preserve"> =</m:t>
        </m:r>
        <m:f>
          <m:fPr>
            <m:type m:val="lin"/>
            <m:ctrlPr>
              <w:rPr>
                <w:rFonts w:ascii="Cambria Math" w:hAnsi="Cambria Math" w:cstheme="majorBidi"/>
                <w:iCs/>
                <w:color w:val="000000" w:themeColor="text1"/>
              </w:rPr>
            </m:ctrlPr>
          </m:fPr>
          <m:num>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m:t>
                </m:r>
              </m:e>
              <m:sub>
                <m:r>
                  <m:rPr>
                    <m:sty m:val="p"/>
                  </m:rPr>
                  <w:rPr>
                    <w:rFonts w:ascii="Cambria Math" w:hAnsi="Cambria Math" w:cstheme="majorBidi"/>
                    <w:color w:val="000000" w:themeColor="text1"/>
                  </w:rPr>
                  <m:t xml:space="preserve">L </m:t>
                </m:r>
              </m:sub>
            </m:sSub>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V</m:t>
                </m:r>
              </m:e>
              <m:sub>
                <m:r>
                  <m:rPr>
                    <m:sty m:val="p"/>
                  </m:rPr>
                  <w:rPr>
                    <w:rFonts w:ascii="Cambria Math" w:hAnsi="Cambria Math" w:cstheme="majorBidi"/>
                    <w:color w:val="000000" w:themeColor="text1"/>
                  </w:rPr>
                  <m:t>water</m:t>
                </m:r>
              </m:sub>
            </m:sSub>
            <m:r>
              <m:rPr>
                <m:sty m:val="p"/>
              </m:rPr>
              <w:rPr>
                <w:rFonts w:ascii="Cambria Math" w:hAnsi="Cambria Math" w:cstheme="majorBidi"/>
                <w:color w:val="000000" w:themeColor="text1"/>
              </w:rPr>
              <m:t xml:space="preserve"> </m:t>
            </m:r>
          </m:num>
          <m:den>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C</m:t>
                </m:r>
              </m:e>
              <m:sub>
                <m:r>
                  <m:rPr>
                    <m:sty m:val="p"/>
                  </m:rPr>
                  <w:rPr>
                    <w:rFonts w:ascii="Cambria Math" w:hAnsi="Cambria Math" w:cstheme="majorBidi"/>
                    <w:color w:val="000000" w:themeColor="text1"/>
                  </w:rPr>
                  <m:t>S</m:t>
                </m:r>
              </m:sub>
            </m:sSub>
            <m:r>
              <m:rPr>
                <m:sty m:val="p"/>
              </m:rPr>
              <w:rPr>
                <w:rFonts w:ascii="Cambria Math" w:hAnsi="Cambria Math" w:cstheme="majorBidi"/>
                <w:color w:val="000000" w:themeColor="text1"/>
              </w:rPr>
              <m:t>×</m:t>
            </m:r>
            <m:sSub>
              <m:sSubPr>
                <m:ctrlPr>
                  <w:rPr>
                    <w:rFonts w:ascii="Cambria Math" w:hAnsi="Cambria Math" w:cstheme="majorBidi"/>
                    <w:iCs/>
                    <w:color w:val="000000" w:themeColor="text1"/>
                  </w:rPr>
                </m:ctrlPr>
              </m:sSubPr>
              <m:e>
                <m:r>
                  <m:rPr>
                    <m:sty m:val="p"/>
                  </m:rPr>
                  <w:rPr>
                    <w:rFonts w:ascii="Cambria Math" w:hAnsi="Cambria Math" w:cstheme="majorBidi"/>
                    <w:color w:val="000000" w:themeColor="text1"/>
                  </w:rPr>
                  <m:t>M</m:t>
                </m:r>
              </m:e>
              <m:sub>
                <m:r>
                  <m:rPr>
                    <m:sty m:val="p"/>
                  </m:rPr>
                  <w:rPr>
                    <w:rFonts w:ascii="Cambria Math" w:hAnsi="Cambria Math" w:cstheme="majorBidi"/>
                    <w:color w:val="000000" w:themeColor="text1"/>
                  </w:rPr>
                  <m:t>clay</m:t>
                </m:r>
              </m:sub>
            </m:sSub>
          </m:den>
        </m:f>
        <m:r>
          <m:rPr>
            <m:nor/>
          </m:rPr>
          <w:rPr>
            <w:rFonts w:asciiTheme="majorBidi" w:hAnsiTheme="majorBidi" w:cstheme="majorBidi"/>
            <w:iCs/>
            <w:color w:val="000000" w:themeColor="text1"/>
          </w:rPr>
          <m:t>)×100</m:t>
        </m:r>
      </m:oMath>
      <w:r w:rsidRPr="00871092">
        <w:rPr>
          <w:rFonts w:asciiTheme="majorBidi" w:hAnsiTheme="majorBidi" w:cstheme="majorBidi"/>
          <w:color w:val="000000" w:themeColor="text1"/>
        </w:rPr>
        <w:t xml:space="preserve">          (</w:t>
      </w:r>
      <w:r w:rsidR="007B2B22" w:rsidRPr="00871092">
        <w:rPr>
          <w:rFonts w:asciiTheme="majorBidi" w:hAnsiTheme="majorBidi" w:cstheme="majorBidi"/>
          <w:color w:val="000000" w:themeColor="text1"/>
        </w:rPr>
        <w:t>10</w:t>
      </w:r>
      <w:r w:rsidRPr="00871092">
        <w:rPr>
          <w:rFonts w:asciiTheme="majorBidi" w:hAnsiTheme="majorBidi" w:cstheme="majorBidi"/>
          <w:color w:val="000000" w:themeColor="text1"/>
        </w:rPr>
        <w:t>)</w:t>
      </w:r>
    </w:p>
    <w:p w14:paraId="4B883FA9" w14:textId="71C37502"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Where, C</w:t>
      </w:r>
      <w:r w:rsidRPr="00871092">
        <w:rPr>
          <w:rFonts w:asciiTheme="majorBidi" w:hAnsiTheme="majorBidi" w:cstheme="majorBidi"/>
          <w:color w:val="000000" w:themeColor="text1"/>
          <w:vertAlign w:val="subscript"/>
        </w:rPr>
        <w:t>L</w:t>
      </w:r>
      <w:r w:rsidRPr="00871092">
        <w:rPr>
          <w:rFonts w:asciiTheme="majorBidi" w:hAnsiTheme="majorBidi" w:cstheme="majorBidi"/>
          <w:color w:val="000000" w:themeColor="text1"/>
        </w:rPr>
        <w:t xml:space="preserve"> is the concentration/activity in the leachate (mg L</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w:t>
      </w:r>
      <w:proofErr w:type="spellStart"/>
      <w:r w:rsidRPr="00871092">
        <w:rPr>
          <w:rFonts w:asciiTheme="majorBidi" w:hAnsiTheme="majorBidi" w:cstheme="majorBidi"/>
          <w:color w:val="000000" w:themeColor="text1"/>
        </w:rPr>
        <w:t>V</w:t>
      </w:r>
      <w:r w:rsidRPr="00871092">
        <w:rPr>
          <w:rFonts w:asciiTheme="majorBidi" w:hAnsiTheme="majorBidi" w:cstheme="majorBidi"/>
          <w:color w:val="000000" w:themeColor="text1"/>
          <w:vertAlign w:val="subscript"/>
        </w:rPr>
        <w:t>water</w:t>
      </w:r>
      <w:proofErr w:type="spellEnd"/>
      <w:r w:rsidRPr="00871092">
        <w:rPr>
          <w:rFonts w:asciiTheme="majorBidi" w:hAnsiTheme="majorBidi" w:cstheme="majorBidi"/>
          <w:color w:val="000000" w:themeColor="text1"/>
        </w:rPr>
        <w:t xml:space="preserve"> is the volume of distilled water </w:t>
      </w:r>
      <w:r w:rsidR="00474689">
        <w:rPr>
          <w:rFonts w:asciiTheme="majorBidi" w:hAnsiTheme="majorBidi" w:cstheme="majorBidi"/>
          <w:color w:val="000000" w:themeColor="text1"/>
        </w:rPr>
        <w:t xml:space="preserve">collected after </w:t>
      </w:r>
      <w:r w:rsidRPr="00871092">
        <w:rPr>
          <w:rFonts w:asciiTheme="majorBidi" w:hAnsiTheme="majorBidi" w:cstheme="majorBidi"/>
          <w:color w:val="000000" w:themeColor="text1"/>
        </w:rPr>
        <w:t>leaching</w:t>
      </w:r>
      <w:r w:rsidR="00474689">
        <w:rPr>
          <w:rFonts w:asciiTheme="majorBidi" w:hAnsiTheme="majorBidi" w:cstheme="majorBidi"/>
          <w:color w:val="000000" w:themeColor="text1"/>
        </w:rPr>
        <w:t xml:space="preserve"> (L)</w:t>
      </w:r>
      <w:r w:rsidRPr="00871092">
        <w:rPr>
          <w:rFonts w:asciiTheme="majorBidi" w:hAnsiTheme="majorBidi" w:cstheme="majorBidi"/>
          <w:color w:val="000000" w:themeColor="text1"/>
        </w:rPr>
        <w:t>, C</w:t>
      </w:r>
      <w:r w:rsidRPr="00871092">
        <w:rPr>
          <w:rFonts w:asciiTheme="majorBidi" w:hAnsiTheme="majorBidi" w:cstheme="majorBidi"/>
          <w:color w:val="000000" w:themeColor="text1"/>
          <w:vertAlign w:val="subscript"/>
        </w:rPr>
        <w:t>S</w:t>
      </w:r>
      <w:r w:rsidRPr="00871092">
        <w:rPr>
          <w:rFonts w:asciiTheme="majorBidi" w:hAnsiTheme="majorBidi" w:cstheme="majorBidi"/>
          <w:color w:val="000000" w:themeColor="text1"/>
        </w:rPr>
        <w:t xml:space="preserve"> is the concentration/activity in the solid phase prior to leaching (mg 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w:t>
      </w:r>
      <w:proofErr w:type="spellStart"/>
      <w:r w:rsidRPr="00871092">
        <w:rPr>
          <w:rFonts w:asciiTheme="majorBidi" w:hAnsiTheme="majorBidi" w:cstheme="majorBidi"/>
          <w:color w:val="000000" w:themeColor="text1"/>
        </w:rPr>
        <w:t>M</w:t>
      </w:r>
      <w:r w:rsidRPr="00871092">
        <w:rPr>
          <w:rFonts w:asciiTheme="majorBidi" w:hAnsiTheme="majorBidi" w:cstheme="majorBidi"/>
          <w:color w:val="000000" w:themeColor="text1"/>
          <w:vertAlign w:val="subscript"/>
        </w:rPr>
        <w:t>clay</w:t>
      </w:r>
      <w:proofErr w:type="spellEnd"/>
      <w:r w:rsidRPr="00871092">
        <w:rPr>
          <w:rFonts w:asciiTheme="majorBidi" w:hAnsiTheme="majorBidi" w:cstheme="majorBidi"/>
          <w:color w:val="000000" w:themeColor="text1"/>
        </w:rPr>
        <w:t xml:space="preserve"> is the mass of the raw bentonite and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(g). </w:t>
      </w:r>
    </w:p>
    <w:p w14:paraId="44FF0106" w14:textId="77777777" w:rsidR="00607CF3" w:rsidRPr="00871092" w:rsidRDefault="00607CF3" w:rsidP="00871092">
      <w:pPr>
        <w:spacing w:after="0" w:line="240" w:lineRule="auto"/>
        <w:jc w:val="both"/>
        <w:rPr>
          <w:rFonts w:asciiTheme="majorBidi" w:hAnsiTheme="majorBidi" w:cstheme="majorBidi"/>
          <w:color w:val="000000" w:themeColor="text1"/>
        </w:rPr>
      </w:pPr>
    </w:p>
    <w:p w14:paraId="05D719BA" w14:textId="77777777" w:rsidR="00607CF3" w:rsidRPr="00871092" w:rsidRDefault="00607CF3" w:rsidP="00871092">
      <w:pPr>
        <w:pStyle w:val="Titre1"/>
        <w:spacing w:before="0" w:after="0" w:line="240" w:lineRule="auto"/>
        <w:rPr>
          <w:color w:val="000000" w:themeColor="text1"/>
          <w:sz w:val="22"/>
          <w:szCs w:val="22"/>
        </w:rPr>
      </w:pPr>
      <w:r w:rsidRPr="00871092">
        <w:rPr>
          <w:color w:val="000000" w:themeColor="text1"/>
          <w:sz w:val="22"/>
          <w:szCs w:val="22"/>
        </w:rPr>
        <w:t>Results and discussion</w:t>
      </w:r>
    </w:p>
    <w:p w14:paraId="2802A02E" w14:textId="29701006" w:rsidR="00607CF3" w:rsidRPr="000E3D8F" w:rsidRDefault="00843FD7" w:rsidP="000E3D8F">
      <w:pPr>
        <w:pStyle w:val="Titre3"/>
        <w:numPr>
          <w:ilvl w:val="1"/>
          <w:numId w:val="21"/>
        </w:numPr>
        <w:spacing w:before="0" w:after="0" w:line="240" w:lineRule="auto"/>
        <w:rPr>
          <w:rFonts w:cstheme="majorBidi"/>
          <w:color w:val="000000" w:themeColor="text1"/>
          <w:sz w:val="22"/>
          <w:szCs w:val="22"/>
        </w:rPr>
      </w:pPr>
      <w:r w:rsidRPr="00871092">
        <w:rPr>
          <w:rFonts w:cstheme="majorBidi"/>
          <w:color w:val="000000" w:themeColor="text1"/>
          <w:sz w:val="22"/>
          <w:szCs w:val="22"/>
        </w:rPr>
        <w:t xml:space="preserve">Mineralogical and </w:t>
      </w:r>
      <w:r>
        <w:rPr>
          <w:rFonts w:cstheme="majorBidi"/>
          <w:color w:val="000000" w:themeColor="text1"/>
          <w:sz w:val="22"/>
          <w:szCs w:val="22"/>
        </w:rPr>
        <w:t>physical-c</w:t>
      </w:r>
      <w:r w:rsidRPr="00871092">
        <w:rPr>
          <w:rFonts w:cstheme="majorBidi"/>
          <w:color w:val="000000" w:themeColor="text1"/>
          <w:sz w:val="22"/>
          <w:szCs w:val="22"/>
        </w:rPr>
        <w:t xml:space="preserve">hemical Characterization </w:t>
      </w:r>
      <w:r>
        <w:rPr>
          <w:rFonts w:cstheme="majorBidi"/>
          <w:color w:val="000000" w:themeColor="text1"/>
          <w:sz w:val="22"/>
          <w:szCs w:val="22"/>
        </w:rPr>
        <w:t xml:space="preserve">of the </w:t>
      </w:r>
      <w:r w:rsidR="00607CF3" w:rsidRPr="000E3D8F">
        <w:rPr>
          <w:rFonts w:cstheme="majorBidi"/>
          <w:color w:val="000000" w:themeColor="text1"/>
          <w:sz w:val="22"/>
          <w:szCs w:val="22"/>
        </w:rPr>
        <w:t xml:space="preserve">raw clays </w:t>
      </w:r>
    </w:p>
    <w:p w14:paraId="2EAC3E6D" w14:textId="4B239005" w:rsidR="00112F3C" w:rsidRPr="000F084C" w:rsidRDefault="00112F3C" w:rsidP="008428C0">
      <w:pPr>
        <w:spacing w:after="0" w:line="240" w:lineRule="auto"/>
        <w:jc w:val="both"/>
        <w:rPr>
          <w:rFonts w:asciiTheme="majorBidi" w:eastAsia="Times New Roman" w:hAnsiTheme="majorBidi" w:cstheme="majorBidi"/>
          <w:color w:val="4472C4" w:themeColor="accent5"/>
        </w:rPr>
      </w:pPr>
      <w:r w:rsidRPr="00871092">
        <w:rPr>
          <w:rFonts w:asciiTheme="majorBidi" w:eastAsia="Times New Roman" w:hAnsiTheme="majorBidi" w:cstheme="majorBidi"/>
        </w:rPr>
        <w:t xml:space="preserve">The XRD patterns of bentonite,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and kaolin confirmed the mineralogical composition of the three clays </w:t>
      </w:r>
      <w:r w:rsidRPr="000F084C">
        <w:rPr>
          <w:rFonts w:asciiTheme="majorBidi" w:eastAsia="Times New Roman" w:hAnsiTheme="majorBidi" w:cstheme="majorBidi"/>
          <w:color w:val="4472C4" w:themeColor="accent5"/>
        </w:rPr>
        <w:t>(Fig</w:t>
      </w:r>
      <w:r w:rsidR="0095357B">
        <w:rPr>
          <w:rFonts w:asciiTheme="majorBidi" w:eastAsia="Times New Roman" w:hAnsiTheme="majorBidi" w:cstheme="majorBidi"/>
          <w:color w:val="4472C4" w:themeColor="accent5"/>
        </w:rPr>
        <w:t>.</w:t>
      </w:r>
      <w:r w:rsidRPr="000F084C">
        <w:rPr>
          <w:rFonts w:asciiTheme="majorBidi" w:eastAsia="Times New Roman" w:hAnsiTheme="majorBidi" w:cstheme="majorBidi"/>
          <w:color w:val="4472C4" w:themeColor="accent5"/>
        </w:rPr>
        <w:t xml:space="preserve"> S</w:t>
      </w:r>
      <w:r w:rsidR="008428C0" w:rsidRPr="000F084C">
        <w:rPr>
          <w:rFonts w:asciiTheme="majorBidi" w:eastAsia="Times New Roman" w:hAnsiTheme="majorBidi" w:cstheme="majorBidi"/>
          <w:color w:val="4472C4" w:themeColor="accent5"/>
        </w:rPr>
        <w:t>1</w:t>
      </w:r>
      <w:r w:rsidRPr="000F084C">
        <w:rPr>
          <w:rFonts w:asciiTheme="majorBidi" w:eastAsia="Times New Roman" w:hAnsiTheme="majorBidi" w:cstheme="majorBidi"/>
          <w:color w:val="4472C4" w:themeColor="accent5"/>
        </w:rPr>
        <w:t>)</w:t>
      </w:r>
      <w:r w:rsidRPr="00871092">
        <w:rPr>
          <w:rFonts w:asciiTheme="majorBidi" w:eastAsia="Times New Roman" w:hAnsiTheme="majorBidi" w:cstheme="majorBidi"/>
        </w:rPr>
        <w:t>. Bentonite was mainly composed of calcium and sodium montmorillonite (</w:t>
      </w:r>
      <w:proofErr w:type="spellStart"/>
      <w:r w:rsidRPr="00871092">
        <w:rPr>
          <w:rFonts w:asciiTheme="majorBidi" w:eastAsia="Times New Roman" w:hAnsiTheme="majorBidi" w:cstheme="majorBidi"/>
        </w:rPr>
        <w:t>CaMt</w:t>
      </w:r>
      <w:proofErr w:type="spellEnd"/>
      <w:r w:rsidRPr="00871092">
        <w:rPr>
          <w:rFonts w:asciiTheme="majorBidi" w:eastAsia="Times New Roman" w:hAnsiTheme="majorBidi" w:cstheme="majorBidi"/>
        </w:rPr>
        <w:t xml:space="preserve">, </w:t>
      </w:r>
      <w:proofErr w:type="spellStart"/>
      <w:r w:rsidRPr="00871092">
        <w:rPr>
          <w:rFonts w:asciiTheme="majorBidi" w:eastAsia="Times New Roman" w:hAnsiTheme="majorBidi" w:cstheme="majorBidi"/>
        </w:rPr>
        <w:t>NaMt</w:t>
      </w:r>
      <w:proofErr w:type="spellEnd"/>
      <w:r w:rsidRPr="00871092">
        <w:rPr>
          <w:rFonts w:asciiTheme="majorBidi" w:eastAsia="Times New Roman" w:hAnsiTheme="majorBidi" w:cstheme="majorBidi"/>
        </w:rPr>
        <w:t>), along with kaolinite (</w:t>
      </w:r>
      <w:proofErr w:type="spellStart"/>
      <w:r w:rsidRPr="00871092">
        <w:rPr>
          <w:rFonts w:asciiTheme="majorBidi" w:eastAsia="Times New Roman" w:hAnsiTheme="majorBidi" w:cstheme="majorBidi"/>
        </w:rPr>
        <w:t>Kln</w:t>
      </w:r>
      <w:proofErr w:type="spellEnd"/>
      <w:r w:rsidRPr="00871092">
        <w:rPr>
          <w:rFonts w:asciiTheme="majorBidi" w:eastAsia="Times New Roman" w:hAnsiTheme="majorBidi" w:cstheme="majorBidi"/>
        </w:rPr>
        <w:t>), potassium feldspar (KFs), sodium feldspar (</w:t>
      </w:r>
      <w:proofErr w:type="spellStart"/>
      <w:r w:rsidRPr="00871092">
        <w:rPr>
          <w:rFonts w:asciiTheme="majorBidi" w:eastAsia="Times New Roman" w:hAnsiTheme="majorBidi" w:cstheme="majorBidi"/>
        </w:rPr>
        <w:t>NaFs</w:t>
      </w:r>
      <w:proofErr w:type="spellEnd"/>
      <w:r w:rsidRPr="00871092">
        <w:rPr>
          <w:rFonts w:asciiTheme="majorBidi" w:eastAsia="Times New Roman" w:hAnsiTheme="majorBidi" w:cstheme="majorBidi"/>
        </w:rPr>
        <w:t>), and anorthite (An). The kaolin sample consisted primarily of kaolinite (</w:t>
      </w:r>
      <w:proofErr w:type="spellStart"/>
      <w:r w:rsidRPr="00871092">
        <w:rPr>
          <w:rFonts w:asciiTheme="majorBidi" w:eastAsia="Times New Roman" w:hAnsiTheme="majorBidi" w:cstheme="majorBidi"/>
        </w:rPr>
        <w:t>Kln</w:t>
      </w:r>
      <w:proofErr w:type="spellEnd"/>
      <w:r w:rsidRPr="00871092">
        <w:rPr>
          <w:rFonts w:asciiTheme="majorBidi" w:eastAsia="Times New Roman" w:hAnsiTheme="majorBidi" w:cstheme="majorBidi"/>
        </w:rPr>
        <w:t>), with muscovite (</w:t>
      </w:r>
      <w:proofErr w:type="spellStart"/>
      <w:r w:rsidRPr="00871092">
        <w:rPr>
          <w:rFonts w:asciiTheme="majorBidi" w:eastAsia="Times New Roman" w:hAnsiTheme="majorBidi" w:cstheme="majorBidi"/>
        </w:rPr>
        <w:t>Ms</w:t>
      </w:r>
      <w:proofErr w:type="spellEnd"/>
      <w:r w:rsidRPr="00871092">
        <w:rPr>
          <w:rFonts w:asciiTheme="majorBidi" w:eastAsia="Times New Roman" w:hAnsiTheme="majorBidi" w:cstheme="majorBidi"/>
        </w:rPr>
        <w:t>), pyrophyllite (</w:t>
      </w:r>
      <w:proofErr w:type="spellStart"/>
      <w:r w:rsidRPr="00871092">
        <w:rPr>
          <w:rFonts w:asciiTheme="majorBidi" w:eastAsia="Times New Roman" w:hAnsiTheme="majorBidi" w:cstheme="majorBidi"/>
        </w:rPr>
        <w:t>Prl</w:t>
      </w:r>
      <w:proofErr w:type="spellEnd"/>
      <w:r w:rsidRPr="00871092">
        <w:rPr>
          <w:rFonts w:asciiTheme="majorBidi" w:eastAsia="Times New Roman" w:hAnsiTheme="majorBidi" w:cstheme="majorBidi"/>
        </w:rPr>
        <w:t xml:space="preserve">), </w:t>
      </w:r>
      <w:r w:rsidRPr="00871092">
        <w:rPr>
          <w:rFonts w:asciiTheme="majorBidi" w:eastAsia="Times New Roman" w:hAnsiTheme="majorBidi" w:cstheme="majorBidi"/>
        </w:rPr>
        <w:lastRenderedPageBreak/>
        <w:t>topaz (</w:t>
      </w:r>
      <w:proofErr w:type="spellStart"/>
      <w:r w:rsidRPr="00871092">
        <w:rPr>
          <w:rFonts w:asciiTheme="majorBidi" w:eastAsia="Times New Roman" w:hAnsiTheme="majorBidi" w:cstheme="majorBidi"/>
        </w:rPr>
        <w:t>Tpz</w:t>
      </w:r>
      <w:proofErr w:type="spellEnd"/>
      <w:r w:rsidRPr="00871092">
        <w:rPr>
          <w:rFonts w:asciiTheme="majorBidi" w:eastAsia="Times New Roman" w:hAnsiTheme="majorBidi" w:cstheme="majorBidi"/>
        </w:rPr>
        <w:t>) and quartz (</w:t>
      </w:r>
      <w:proofErr w:type="spellStart"/>
      <w:r w:rsidRPr="00871092">
        <w:rPr>
          <w:rFonts w:asciiTheme="majorBidi" w:eastAsia="Times New Roman" w:hAnsiTheme="majorBidi" w:cstheme="majorBidi"/>
        </w:rPr>
        <w:t>Qz</w:t>
      </w:r>
      <w:proofErr w:type="spellEnd"/>
      <w:r w:rsidRPr="00871092">
        <w:rPr>
          <w:rFonts w:asciiTheme="majorBidi" w:eastAsia="Times New Roman" w:hAnsiTheme="majorBidi" w:cstheme="majorBidi"/>
        </w:rPr>
        <w:t xml:space="preserv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was characterized by the presence of </w:t>
      </w:r>
      <w:proofErr w:type="spellStart"/>
      <w:r w:rsidRPr="00871092">
        <w:rPr>
          <w:rFonts w:asciiTheme="majorBidi" w:eastAsia="Times New Roman" w:hAnsiTheme="majorBidi" w:cstheme="majorBidi"/>
        </w:rPr>
        <w:t>stevensite</w:t>
      </w:r>
      <w:proofErr w:type="spellEnd"/>
      <w:r w:rsidRPr="00871092">
        <w:rPr>
          <w:rFonts w:asciiTheme="majorBidi" w:eastAsia="Times New Roman" w:hAnsiTheme="majorBidi" w:cstheme="majorBidi"/>
        </w:rPr>
        <w:t xml:space="preserve"> (</w:t>
      </w:r>
      <w:proofErr w:type="spellStart"/>
      <w:r w:rsidRPr="00871092">
        <w:rPr>
          <w:rFonts w:asciiTheme="majorBidi" w:eastAsia="Times New Roman" w:hAnsiTheme="majorBidi" w:cstheme="majorBidi"/>
        </w:rPr>
        <w:t>Stv</w:t>
      </w:r>
      <w:proofErr w:type="spellEnd"/>
      <w:r w:rsidRPr="00871092">
        <w:rPr>
          <w:rFonts w:asciiTheme="majorBidi" w:eastAsia="Times New Roman" w:hAnsiTheme="majorBidi" w:cstheme="majorBidi"/>
        </w:rPr>
        <w:t>), gypsum (G), potassium feldspar (KFs), calcite (Cal), quartz (</w:t>
      </w:r>
      <w:proofErr w:type="spellStart"/>
      <w:r w:rsidRPr="00871092">
        <w:rPr>
          <w:rFonts w:asciiTheme="majorBidi" w:eastAsia="Times New Roman" w:hAnsiTheme="majorBidi" w:cstheme="majorBidi"/>
        </w:rPr>
        <w:t>Qz</w:t>
      </w:r>
      <w:proofErr w:type="spellEnd"/>
      <w:r w:rsidRPr="00871092">
        <w:rPr>
          <w:rFonts w:asciiTheme="majorBidi" w:eastAsia="Times New Roman" w:hAnsiTheme="majorBidi" w:cstheme="majorBidi"/>
        </w:rPr>
        <w:t xml:space="preserve">) and dolomite (Dol). The pronounced </w:t>
      </w:r>
      <w:proofErr w:type="spellStart"/>
      <w:r w:rsidRPr="00871092">
        <w:rPr>
          <w:rFonts w:asciiTheme="majorBidi" w:eastAsia="Times New Roman" w:hAnsiTheme="majorBidi" w:cstheme="majorBidi"/>
        </w:rPr>
        <w:t>stevensitic</w:t>
      </w:r>
      <w:proofErr w:type="spellEnd"/>
      <w:r w:rsidRPr="00871092">
        <w:rPr>
          <w:rFonts w:asciiTheme="majorBidi" w:eastAsia="Times New Roman" w:hAnsiTheme="majorBidi" w:cstheme="majorBidi"/>
        </w:rPr>
        <w:t xml:space="preserve"> character of the material sourced from </w:t>
      </w:r>
      <w:proofErr w:type="spellStart"/>
      <w:r w:rsidRPr="00871092">
        <w:rPr>
          <w:rFonts w:asciiTheme="majorBidi" w:eastAsia="Times New Roman" w:hAnsiTheme="majorBidi" w:cstheme="majorBidi"/>
        </w:rPr>
        <w:t>Jbel</w:t>
      </w:r>
      <w:proofErr w:type="spellEnd"/>
      <w:r w:rsidRPr="00871092">
        <w:rPr>
          <w:rFonts w:asciiTheme="majorBidi" w:eastAsia="Times New Roman" w:hAnsiTheme="majorBidi" w:cstheme="majorBidi"/>
        </w:rPr>
        <w:t xml:space="preserv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is a well-documented feature and has been established in prior research, which explains its classification as a magnesium-rich, trioctahedral smectite, a specific mineralogical identity confirmed by studies such as (</w:t>
      </w:r>
      <w:proofErr w:type="spellStart"/>
      <w:r w:rsidRPr="00871092">
        <w:rPr>
          <w:rFonts w:asciiTheme="majorBidi" w:eastAsia="Times New Roman" w:hAnsiTheme="majorBidi" w:cstheme="majorBidi"/>
          <w:color w:val="5B9BD5" w:themeColor="accent1"/>
        </w:rPr>
        <w:t>Benhammou</w:t>
      </w:r>
      <w:proofErr w:type="spellEnd"/>
      <w:r w:rsidRPr="00871092">
        <w:rPr>
          <w:rFonts w:asciiTheme="majorBidi" w:eastAsia="Times New Roman" w:hAnsiTheme="majorBidi" w:cstheme="majorBidi"/>
          <w:color w:val="5B9BD5" w:themeColor="accent1"/>
        </w:rPr>
        <w:t xml:space="preserve"> et al., 2009; </w:t>
      </w:r>
      <w:proofErr w:type="spellStart"/>
      <w:r w:rsidRPr="00871092">
        <w:rPr>
          <w:rFonts w:asciiTheme="majorBidi" w:eastAsia="Times New Roman" w:hAnsiTheme="majorBidi" w:cstheme="majorBidi"/>
          <w:color w:val="5B9BD5" w:themeColor="accent1"/>
        </w:rPr>
        <w:t>Amakrane</w:t>
      </w:r>
      <w:proofErr w:type="spellEnd"/>
      <w:r w:rsidRPr="00871092">
        <w:rPr>
          <w:rFonts w:asciiTheme="majorBidi" w:eastAsia="Times New Roman" w:hAnsiTheme="majorBidi" w:cstheme="majorBidi"/>
          <w:color w:val="5B9BD5" w:themeColor="accent1"/>
        </w:rPr>
        <w:t xml:space="preserve"> et al., 2018</w:t>
      </w:r>
      <w:r w:rsidRPr="00871092">
        <w:rPr>
          <w:rFonts w:asciiTheme="majorBidi" w:eastAsia="Times New Roman" w:hAnsiTheme="majorBidi" w:cstheme="majorBidi"/>
        </w:rPr>
        <w:t>).</w:t>
      </w:r>
    </w:p>
    <w:p w14:paraId="691AFE8B" w14:textId="7B13E973"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XRF results showed that SiO</w:t>
      </w:r>
      <w:r w:rsidRPr="00871092">
        <w:rPr>
          <w:rFonts w:asciiTheme="majorBidi" w:hAnsiTheme="majorBidi" w:cstheme="majorBidi"/>
          <w:color w:val="000000" w:themeColor="text1"/>
          <w:vertAlign w:val="subscript"/>
        </w:rPr>
        <w:t>2</w:t>
      </w:r>
      <w:r w:rsidRPr="00871092">
        <w:rPr>
          <w:rFonts w:asciiTheme="majorBidi" w:hAnsiTheme="majorBidi" w:cstheme="majorBidi"/>
          <w:color w:val="000000" w:themeColor="text1"/>
        </w:rPr>
        <w:t>/Al</w:t>
      </w:r>
      <w:r w:rsidRPr="00871092">
        <w:rPr>
          <w:rFonts w:asciiTheme="majorBidi" w:hAnsiTheme="majorBidi" w:cstheme="majorBidi"/>
          <w:color w:val="000000" w:themeColor="text1"/>
          <w:vertAlign w:val="subscript"/>
        </w:rPr>
        <w:t>2</w:t>
      </w:r>
      <w:r w:rsidRPr="00871092">
        <w:rPr>
          <w:rFonts w:asciiTheme="majorBidi" w:hAnsiTheme="majorBidi" w:cstheme="majorBidi"/>
          <w:color w:val="000000" w:themeColor="text1"/>
        </w:rPr>
        <w:t>O</w:t>
      </w:r>
      <w:r w:rsidRPr="00871092">
        <w:rPr>
          <w:rFonts w:asciiTheme="majorBidi" w:hAnsiTheme="majorBidi" w:cstheme="majorBidi"/>
          <w:color w:val="000000" w:themeColor="text1"/>
          <w:vertAlign w:val="subscript"/>
        </w:rPr>
        <w:t>3</w:t>
      </w:r>
      <w:r w:rsidRPr="00871092">
        <w:rPr>
          <w:rFonts w:asciiTheme="majorBidi" w:hAnsiTheme="majorBidi" w:cstheme="majorBidi"/>
          <w:color w:val="000000" w:themeColor="text1"/>
        </w:rPr>
        <w:t xml:space="preserve"> ratios of 2.09 for bentonite, 1.45 for kaolin, and 5.17 for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w:t>
      </w:r>
      <w:r w:rsidRPr="00871092">
        <w:rPr>
          <w:rFonts w:asciiTheme="majorBidi" w:hAnsiTheme="majorBidi" w:cstheme="majorBidi"/>
          <w:color w:val="5B9BD5" w:themeColor="accent1"/>
        </w:rPr>
        <w:t>Table S1</w:t>
      </w:r>
      <w:r w:rsidRPr="00871092">
        <w:rPr>
          <w:rFonts w:asciiTheme="majorBidi" w:hAnsiTheme="majorBidi" w:cstheme="majorBidi"/>
          <w:color w:val="000000" w:themeColor="text1"/>
        </w:rPr>
        <w:t>). The ratio observed in the bentonite sample is consistent with the presence of montmorillonite, as confirmed by XRD analysis, and aligns well with values reported in previous studies on the same deposit (</w:t>
      </w:r>
      <w:r w:rsidRPr="00871092">
        <w:rPr>
          <w:rFonts w:asciiTheme="majorBidi" w:hAnsiTheme="majorBidi" w:cstheme="majorBidi"/>
          <w:color w:val="5B9BD5" w:themeColor="accent1"/>
        </w:rPr>
        <w:t>Bounab et al., 2017</w:t>
      </w:r>
      <w:r w:rsidRPr="00871092">
        <w:rPr>
          <w:rFonts w:asciiTheme="majorBidi" w:hAnsiTheme="majorBidi" w:cstheme="majorBidi"/>
          <w:color w:val="000000" w:themeColor="text1"/>
        </w:rPr>
        <w:t xml:space="preserve">). The </w:t>
      </w:r>
      <w:proofErr w:type="spellStart"/>
      <w:r w:rsidRPr="00871092">
        <w:rPr>
          <w:rFonts w:asciiTheme="majorBidi" w:hAnsiTheme="majorBidi" w:cstheme="majorBidi"/>
          <w:color w:val="000000" w:themeColor="text1"/>
        </w:rPr>
        <w:t>SiO</w:t>
      </w:r>
      <w:proofErr w:type="spellEnd"/>
      <w:r w:rsidRPr="00871092">
        <w:rPr>
          <w:rFonts w:asciiTheme="majorBidi" w:hAnsiTheme="majorBidi" w:cstheme="majorBidi"/>
          <w:color w:val="000000" w:themeColor="text1"/>
        </w:rPr>
        <w:t>₂/</w:t>
      </w:r>
      <w:proofErr w:type="spellStart"/>
      <w:r w:rsidRPr="00871092">
        <w:rPr>
          <w:rFonts w:asciiTheme="majorBidi" w:hAnsiTheme="majorBidi" w:cstheme="majorBidi"/>
          <w:color w:val="000000" w:themeColor="text1"/>
        </w:rPr>
        <w:t>Al₂O</w:t>
      </w:r>
      <w:proofErr w:type="spellEnd"/>
      <w:r w:rsidRPr="00871092">
        <w:rPr>
          <w:rFonts w:asciiTheme="majorBidi" w:hAnsiTheme="majorBidi" w:cstheme="majorBidi"/>
          <w:color w:val="000000" w:themeColor="text1"/>
        </w:rPr>
        <w:t>₃ ratio of 1.45 obtained for kaolin falls within the range reported by Dahmani et al. (</w:t>
      </w:r>
      <w:r w:rsidRPr="00871092">
        <w:rPr>
          <w:rFonts w:asciiTheme="majorBidi" w:hAnsiTheme="majorBidi" w:cstheme="majorBidi"/>
          <w:color w:val="5B9BD5" w:themeColor="accent1"/>
        </w:rPr>
        <w:t>2019</w:t>
      </w:r>
      <w:r w:rsidRPr="00871092">
        <w:rPr>
          <w:rFonts w:asciiTheme="majorBidi" w:hAnsiTheme="majorBidi" w:cstheme="majorBidi"/>
          <w:color w:val="000000" w:themeColor="text1"/>
        </w:rPr>
        <w:t xml:space="preserve">) for similar samples from the same site (0.88-4.8), with the closest match (0.88) corresponding to the pyrophyllite-bearing zone. For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the ratio of 5.17 is consistent with the value of 6.41 previously reported by </w:t>
      </w:r>
      <w:proofErr w:type="spellStart"/>
      <w:r w:rsidRPr="00871092">
        <w:rPr>
          <w:rFonts w:asciiTheme="majorBidi" w:hAnsiTheme="majorBidi" w:cstheme="majorBidi"/>
          <w:color w:val="000000" w:themeColor="text1"/>
        </w:rPr>
        <w:t>Moussout</w:t>
      </w:r>
      <w:proofErr w:type="spellEnd"/>
      <w:r w:rsidRPr="00871092">
        <w:rPr>
          <w:rFonts w:asciiTheme="majorBidi" w:hAnsiTheme="majorBidi" w:cstheme="majorBidi"/>
          <w:color w:val="000000" w:themeColor="text1"/>
        </w:rPr>
        <w:t xml:space="preserve"> et al. (</w:t>
      </w:r>
      <w:r w:rsidRPr="00871092">
        <w:rPr>
          <w:rFonts w:asciiTheme="majorBidi" w:hAnsiTheme="majorBidi" w:cstheme="majorBidi"/>
          <w:color w:val="5B9BD5" w:themeColor="accent1"/>
        </w:rPr>
        <w:t>2020</w:t>
      </w:r>
      <w:r w:rsidRPr="00871092">
        <w:rPr>
          <w:rFonts w:asciiTheme="majorBidi" w:hAnsiTheme="majorBidi" w:cstheme="majorBidi"/>
          <w:color w:val="000000" w:themeColor="text1"/>
        </w:rPr>
        <w:t>).</w:t>
      </w:r>
    </w:p>
    <w:p w14:paraId="3EE7EE59" w14:textId="198AB10D" w:rsidR="006B7F1F" w:rsidRPr="00871092" w:rsidRDefault="00112F3C" w:rsidP="0095357B">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These mineralogical contrasts correlate with the </w:t>
      </w:r>
      <w:proofErr w:type="spellStart"/>
      <w:r w:rsidRPr="00871092">
        <w:rPr>
          <w:rFonts w:asciiTheme="majorBidi" w:eastAsia="Times New Roman" w:hAnsiTheme="majorBidi" w:cstheme="majorBidi"/>
        </w:rPr>
        <w:t>physico</w:t>
      </w:r>
      <w:proofErr w:type="spellEnd"/>
      <w:r w:rsidR="00843FD7">
        <w:rPr>
          <w:rFonts w:asciiTheme="majorBidi" w:eastAsia="Times New Roman" w:hAnsiTheme="majorBidi" w:cstheme="majorBidi"/>
        </w:rPr>
        <w:t>-</w:t>
      </w:r>
      <w:r w:rsidRPr="00871092">
        <w:rPr>
          <w:rFonts w:asciiTheme="majorBidi" w:eastAsia="Times New Roman" w:hAnsiTheme="majorBidi" w:cstheme="majorBidi"/>
        </w:rPr>
        <w:t>chemical properties, particularly the specific surface area (SSA) and cation exchange capacity (CEC) of the clays (</w:t>
      </w:r>
      <w:r w:rsidRPr="00871092">
        <w:rPr>
          <w:rFonts w:asciiTheme="majorBidi" w:eastAsia="Times New Roman" w:hAnsiTheme="majorBidi" w:cstheme="majorBidi"/>
          <w:color w:val="5B9BD5" w:themeColor="accent1"/>
        </w:rPr>
        <w:t xml:space="preserve">Table </w:t>
      </w:r>
      <w:r w:rsidR="0095357B">
        <w:rPr>
          <w:rFonts w:asciiTheme="majorBidi" w:eastAsia="Times New Roman" w:hAnsiTheme="majorBidi" w:cstheme="majorBidi"/>
          <w:color w:val="5B9BD5" w:themeColor="accent1"/>
        </w:rPr>
        <w:t>S</w:t>
      </w:r>
      <w:r w:rsidRPr="00871092">
        <w:rPr>
          <w:rFonts w:asciiTheme="majorBidi" w:eastAsia="Times New Roman" w:hAnsiTheme="majorBidi" w:cstheme="majorBidi"/>
          <w:color w:val="5B9BD5" w:themeColor="accent1"/>
        </w:rPr>
        <w:t>1</w:t>
      </w:r>
      <w:r w:rsidR="00843FD7">
        <w:rPr>
          <w:rFonts w:asciiTheme="majorBidi" w:eastAsia="Times New Roman" w:hAnsiTheme="majorBidi" w:cstheme="majorBidi"/>
          <w:color w:val="5B9BD5" w:themeColor="accent1"/>
        </w:rPr>
        <w:t>)</w:t>
      </w:r>
      <w:r w:rsidRPr="00871092">
        <w:rPr>
          <w:rFonts w:asciiTheme="majorBidi" w:eastAsia="Times New Roman" w:hAnsiTheme="majorBidi" w:cstheme="majorBidi"/>
        </w:rPr>
        <w:t xml:space="preserv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exhibited the highest SSA (</w:t>
      </w:r>
      <w:r w:rsidR="00754BC9" w:rsidRPr="00871092">
        <w:rPr>
          <w:rFonts w:asciiTheme="majorBidi" w:hAnsiTheme="majorBidi" w:cstheme="majorBidi"/>
          <w:color w:val="000000" w:themeColor="text1"/>
        </w:rPr>
        <w:t>104 m</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xml:space="preserve"> g</w:t>
      </w:r>
      <w:r w:rsidR="00754BC9"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followed by bentonite (</w:t>
      </w:r>
      <w:r w:rsidRPr="00871092">
        <w:rPr>
          <w:rFonts w:asciiTheme="majorBidi" w:hAnsiTheme="majorBidi" w:cstheme="majorBidi"/>
          <w:color w:val="000000" w:themeColor="text1"/>
        </w:rPr>
        <w:t>74 m</w:t>
      </w:r>
      <w:r w:rsidRPr="00871092">
        <w:rPr>
          <w:rFonts w:asciiTheme="majorBidi" w:hAnsiTheme="majorBidi" w:cstheme="majorBidi"/>
          <w:color w:val="000000" w:themeColor="text1"/>
          <w:vertAlign w:val="superscript"/>
        </w:rPr>
        <w:t>2</w:t>
      </w:r>
      <w:r w:rsidRPr="00871092">
        <w:rPr>
          <w:rFonts w:asciiTheme="majorBidi" w:hAnsiTheme="majorBidi" w:cstheme="majorBidi"/>
          <w:color w:val="000000" w:themeColor="text1"/>
        </w:rPr>
        <w:t xml:space="preserve"> 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while kaolin presented a much lower value (</w:t>
      </w:r>
      <w:r w:rsidR="00754BC9" w:rsidRPr="00871092">
        <w:rPr>
          <w:rFonts w:asciiTheme="majorBidi" w:hAnsiTheme="majorBidi" w:cstheme="majorBidi"/>
          <w:color w:val="000000" w:themeColor="text1"/>
        </w:rPr>
        <w:t>6.</w:t>
      </w:r>
      <w:r w:rsidR="00843FD7">
        <w:rPr>
          <w:rFonts w:asciiTheme="majorBidi" w:hAnsiTheme="majorBidi" w:cstheme="majorBidi"/>
          <w:color w:val="000000" w:themeColor="text1"/>
        </w:rPr>
        <w:t>2</w:t>
      </w:r>
      <w:r w:rsidR="00754BC9" w:rsidRPr="00871092">
        <w:rPr>
          <w:rFonts w:asciiTheme="majorBidi" w:hAnsiTheme="majorBidi" w:cstheme="majorBidi"/>
          <w:color w:val="000000" w:themeColor="text1"/>
        </w:rPr>
        <w:t xml:space="preserve"> m</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xml:space="preserve"> g</w:t>
      </w:r>
      <w:r w:rsidR="00754BC9"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This trend indicates that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provides the greatest surface availability for adsorption processes, whereas kaolin offers minimal active surface sites. In terms of CEC, both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t>
      </w:r>
      <w:r w:rsidR="00754BC9" w:rsidRPr="00871092">
        <w:rPr>
          <w:rFonts w:asciiTheme="majorBidi" w:hAnsiTheme="majorBidi" w:cstheme="majorBidi"/>
          <w:color w:val="000000" w:themeColor="text1"/>
        </w:rPr>
        <w:t xml:space="preserve">85 </w:t>
      </w:r>
      <w:proofErr w:type="spellStart"/>
      <w:r w:rsidR="00754BC9" w:rsidRPr="00871092">
        <w:rPr>
          <w:rFonts w:asciiTheme="majorBidi" w:hAnsiTheme="majorBidi" w:cstheme="majorBidi"/>
          <w:color w:val="000000" w:themeColor="text1"/>
        </w:rPr>
        <w:t>meq</w:t>
      </w:r>
      <w:proofErr w:type="spellEnd"/>
      <w:r w:rsidR="00754BC9" w:rsidRPr="00871092">
        <w:rPr>
          <w:rFonts w:asciiTheme="majorBidi" w:hAnsiTheme="majorBidi" w:cstheme="majorBidi"/>
          <w:color w:val="000000" w:themeColor="text1"/>
        </w:rPr>
        <w:t xml:space="preserve"> 100 g</w:t>
      </w:r>
      <w:r w:rsidR="00754BC9"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and bentonite (</w:t>
      </w:r>
      <w:r w:rsidR="00754BC9" w:rsidRPr="00871092">
        <w:rPr>
          <w:rFonts w:asciiTheme="majorBidi" w:hAnsiTheme="majorBidi" w:cstheme="majorBidi"/>
          <w:color w:val="000000" w:themeColor="text1"/>
        </w:rPr>
        <w:t>8</w:t>
      </w:r>
      <w:r w:rsidR="00843FD7">
        <w:rPr>
          <w:rFonts w:asciiTheme="majorBidi" w:hAnsiTheme="majorBidi" w:cstheme="majorBidi"/>
          <w:color w:val="000000" w:themeColor="text1"/>
        </w:rPr>
        <w:t>9</w:t>
      </w:r>
      <w:r w:rsidR="00754BC9" w:rsidRPr="00871092">
        <w:rPr>
          <w:rFonts w:asciiTheme="majorBidi" w:hAnsiTheme="majorBidi" w:cstheme="majorBidi"/>
          <w:color w:val="000000" w:themeColor="text1"/>
        </w:rPr>
        <w:t>m</w:t>
      </w:r>
      <w:r w:rsidR="00843FD7">
        <w:rPr>
          <w:rFonts w:asciiTheme="majorBidi" w:hAnsiTheme="majorBidi" w:cstheme="majorBidi"/>
          <w:color w:val="000000" w:themeColor="text1"/>
        </w:rPr>
        <w:t xml:space="preserve"> </w:t>
      </w:r>
      <w:r w:rsidR="00754BC9" w:rsidRPr="00871092">
        <w:rPr>
          <w:rFonts w:asciiTheme="majorBidi" w:hAnsiTheme="majorBidi" w:cstheme="majorBidi"/>
          <w:color w:val="000000" w:themeColor="text1"/>
        </w:rPr>
        <w:t>eq 100 g</w:t>
      </w:r>
      <w:r w:rsidR="00754BC9"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displayed similarly high values, typical of expandable 2:1 phyllosilicate</w:t>
      </w:r>
      <w:r w:rsidR="006B7F1F">
        <w:rPr>
          <w:rFonts w:asciiTheme="majorBidi" w:eastAsia="Times New Roman" w:hAnsiTheme="majorBidi" w:cstheme="majorBidi"/>
        </w:rPr>
        <w:t>,</w:t>
      </w:r>
      <w:r w:rsidRPr="00871092">
        <w:rPr>
          <w:rFonts w:asciiTheme="majorBidi" w:eastAsia="Times New Roman" w:hAnsiTheme="majorBidi" w:cstheme="majorBidi"/>
        </w:rPr>
        <w:t xml:space="preserve"> highlighting their strong potential for ion-exchange applications and </w:t>
      </w:r>
      <w:r w:rsidR="00BC7C39" w:rsidRPr="00871092">
        <w:rPr>
          <w:rFonts w:asciiTheme="majorBidi" w:eastAsia="Times New Roman" w:hAnsiTheme="majorBidi" w:cstheme="majorBidi"/>
        </w:rPr>
        <w:t>indicating</w:t>
      </w:r>
      <w:r w:rsidRPr="00871092">
        <w:rPr>
          <w:rFonts w:asciiTheme="majorBidi" w:eastAsia="Times New Roman" w:hAnsiTheme="majorBidi" w:cstheme="majorBidi"/>
        </w:rPr>
        <w:t xml:space="preserve"> their distinct retention responses. Conversely, kaolin showed a markedly lower CEC (7.62 </w:t>
      </w:r>
      <w:proofErr w:type="spellStart"/>
      <w:r w:rsidRPr="00871092">
        <w:rPr>
          <w:rFonts w:asciiTheme="majorBidi" w:eastAsia="Times New Roman" w:hAnsiTheme="majorBidi" w:cstheme="majorBidi"/>
        </w:rPr>
        <w:t>meq</w:t>
      </w:r>
      <w:proofErr w:type="spellEnd"/>
      <w:r w:rsidRPr="00871092">
        <w:rPr>
          <w:rFonts w:asciiTheme="majorBidi" w:eastAsia="Times New Roman" w:hAnsiTheme="majorBidi" w:cstheme="majorBidi"/>
        </w:rPr>
        <w:t xml:space="preserve"> </w:t>
      </w:r>
      <w:r w:rsidR="00754BC9" w:rsidRPr="00871092">
        <w:rPr>
          <w:rFonts w:asciiTheme="majorBidi" w:hAnsiTheme="majorBidi" w:cstheme="majorBidi"/>
          <w:color w:val="000000" w:themeColor="text1"/>
        </w:rPr>
        <w:t>100 g</w:t>
      </w:r>
      <w:r w:rsidR="00754BC9"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consistent with its 1:1 non-swelling structure. These results are consistent with data reported in the literature, where SSA for Trebia-</w:t>
      </w:r>
      <w:proofErr w:type="spellStart"/>
      <w:r w:rsidRPr="00871092">
        <w:rPr>
          <w:rFonts w:asciiTheme="majorBidi" w:eastAsia="Times New Roman" w:hAnsiTheme="majorBidi" w:cstheme="majorBidi"/>
        </w:rPr>
        <w:t>Nador</w:t>
      </w:r>
      <w:proofErr w:type="spellEnd"/>
      <w:r w:rsidRPr="00871092">
        <w:rPr>
          <w:rFonts w:asciiTheme="majorBidi" w:eastAsia="Times New Roman" w:hAnsiTheme="majorBidi" w:cstheme="majorBidi"/>
        </w:rPr>
        <w:t xml:space="preserve"> bentonite ranges from 70 to 90 </w:t>
      </w:r>
      <w:r w:rsidR="00754BC9" w:rsidRPr="00871092">
        <w:rPr>
          <w:rFonts w:asciiTheme="majorBidi" w:hAnsiTheme="majorBidi" w:cstheme="majorBidi"/>
          <w:color w:val="000000" w:themeColor="text1"/>
        </w:rPr>
        <w:t>m</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xml:space="preserve"> g</w:t>
      </w:r>
      <w:r w:rsidR="00754BC9"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and CEC from 60 to 90 </w:t>
      </w:r>
      <w:proofErr w:type="spellStart"/>
      <w:r w:rsidRPr="00871092">
        <w:rPr>
          <w:rFonts w:asciiTheme="majorBidi" w:eastAsia="Times New Roman" w:hAnsiTheme="majorBidi" w:cstheme="majorBidi"/>
        </w:rPr>
        <w:t>meq</w:t>
      </w:r>
      <w:proofErr w:type="spellEnd"/>
      <w:r w:rsidRPr="00871092">
        <w:rPr>
          <w:rFonts w:asciiTheme="majorBidi" w:eastAsia="Times New Roman" w:hAnsiTheme="majorBidi" w:cstheme="majorBidi"/>
        </w:rPr>
        <w:t xml:space="preserve"> </w:t>
      </w:r>
      <w:r w:rsidR="00754BC9" w:rsidRPr="00871092">
        <w:rPr>
          <w:rFonts w:asciiTheme="majorBidi" w:hAnsiTheme="majorBidi" w:cstheme="majorBidi"/>
          <w:color w:val="000000" w:themeColor="text1"/>
        </w:rPr>
        <w:t>100 g</w:t>
      </w:r>
      <w:r w:rsidR="00754BC9" w:rsidRPr="00871092">
        <w:rPr>
          <w:rFonts w:asciiTheme="majorBidi" w:hAnsiTheme="majorBidi" w:cstheme="majorBidi"/>
          <w:color w:val="000000" w:themeColor="text1"/>
          <w:vertAlign w:val="superscript"/>
        </w:rPr>
        <w:t>-1</w:t>
      </w:r>
      <w:r w:rsidR="00754BC9" w:rsidRPr="00871092">
        <w:rPr>
          <w:rFonts w:asciiTheme="majorBidi" w:eastAsia="Times New Roman" w:hAnsiTheme="majorBidi" w:cstheme="majorBidi"/>
          <w:b/>
          <w:bCs/>
        </w:rPr>
        <w:t xml:space="preserve"> </w:t>
      </w:r>
      <w:r w:rsidRPr="00871092">
        <w:rPr>
          <w:rFonts w:asciiTheme="majorBidi" w:eastAsia="Times New Roman" w:hAnsiTheme="majorBidi" w:cstheme="majorBidi"/>
        </w:rPr>
        <w:t>(</w:t>
      </w:r>
      <w:r w:rsidRPr="00871092">
        <w:rPr>
          <w:rFonts w:asciiTheme="majorBidi" w:eastAsia="Times New Roman" w:hAnsiTheme="majorBidi" w:cstheme="majorBidi"/>
          <w:color w:val="5B9BD5" w:themeColor="accent1"/>
        </w:rPr>
        <w:t xml:space="preserve">Ait </w:t>
      </w:r>
      <w:proofErr w:type="spellStart"/>
      <w:r w:rsidRPr="00871092">
        <w:rPr>
          <w:rFonts w:asciiTheme="majorBidi" w:eastAsia="Times New Roman" w:hAnsiTheme="majorBidi" w:cstheme="majorBidi"/>
          <w:color w:val="5B9BD5" w:themeColor="accent1"/>
        </w:rPr>
        <w:t>Hmeid</w:t>
      </w:r>
      <w:proofErr w:type="spellEnd"/>
      <w:r w:rsidRPr="00871092">
        <w:rPr>
          <w:rFonts w:asciiTheme="majorBidi" w:eastAsia="Times New Roman" w:hAnsiTheme="majorBidi" w:cstheme="majorBidi"/>
          <w:color w:val="5B9BD5" w:themeColor="accent1"/>
        </w:rPr>
        <w:t xml:space="preserve"> et al., 2021</w:t>
      </w:r>
      <w:r w:rsidRPr="00871092">
        <w:rPr>
          <w:rFonts w:asciiTheme="majorBidi" w:eastAsia="Times New Roman" w:hAnsiTheme="majorBidi" w:cstheme="majorBidi"/>
        </w:rPr>
        <w:t>)</w:t>
      </w:r>
      <w:r w:rsidR="00754BC9" w:rsidRPr="00871092">
        <w:rPr>
          <w:rFonts w:asciiTheme="majorBidi" w:eastAsia="Times New Roman" w:hAnsiTheme="majorBidi" w:cstheme="majorBidi"/>
        </w:rPr>
        <w:t>.</w:t>
      </w:r>
      <w:r w:rsidRPr="00871092">
        <w:rPr>
          <w:rFonts w:asciiTheme="majorBidi" w:eastAsia="Times New Roman" w:hAnsiTheme="majorBidi" w:cstheme="majorBidi"/>
        </w:rPr>
        <w:t xml:space="preserve"> SSA for Jerada kaolin ranges from 6 to 15 </w:t>
      </w:r>
      <w:r w:rsidR="00754BC9" w:rsidRPr="00871092">
        <w:rPr>
          <w:rFonts w:asciiTheme="majorBidi" w:hAnsiTheme="majorBidi" w:cstheme="majorBidi"/>
          <w:color w:val="000000" w:themeColor="text1"/>
        </w:rPr>
        <w:t>m</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xml:space="preserve"> g</w:t>
      </w:r>
      <w:r w:rsidR="00754BC9"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and CEC from 3 to 15 </w:t>
      </w:r>
      <w:proofErr w:type="spellStart"/>
      <w:r w:rsidRPr="00871092">
        <w:rPr>
          <w:rFonts w:asciiTheme="majorBidi" w:eastAsia="Times New Roman" w:hAnsiTheme="majorBidi" w:cstheme="majorBidi"/>
        </w:rPr>
        <w:t>meq</w:t>
      </w:r>
      <w:proofErr w:type="spellEnd"/>
      <w:r w:rsidRPr="00871092">
        <w:rPr>
          <w:rFonts w:asciiTheme="majorBidi" w:eastAsia="Times New Roman" w:hAnsiTheme="majorBidi" w:cstheme="majorBidi"/>
        </w:rPr>
        <w:t xml:space="preserve"> </w:t>
      </w:r>
      <w:r w:rsidR="00754BC9" w:rsidRPr="00871092">
        <w:rPr>
          <w:rFonts w:asciiTheme="majorBidi" w:hAnsiTheme="majorBidi" w:cstheme="majorBidi"/>
          <w:color w:val="000000" w:themeColor="text1"/>
        </w:rPr>
        <w:t>100 g</w:t>
      </w:r>
      <w:r w:rsidR="00754BC9" w:rsidRPr="00871092">
        <w:rPr>
          <w:rFonts w:asciiTheme="majorBidi" w:hAnsiTheme="majorBidi" w:cstheme="majorBidi"/>
          <w:color w:val="000000" w:themeColor="text1"/>
          <w:vertAlign w:val="superscript"/>
        </w:rPr>
        <w:t>-1</w:t>
      </w:r>
      <w:r w:rsidR="00754BC9" w:rsidRPr="00871092">
        <w:rPr>
          <w:rFonts w:asciiTheme="majorBidi" w:eastAsia="Times New Roman" w:hAnsiTheme="majorBidi" w:cstheme="majorBidi"/>
          <w:b/>
          <w:bCs/>
        </w:rPr>
        <w:t xml:space="preserve"> </w:t>
      </w:r>
      <w:r w:rsidRPr="00871092">
        <w:rPr>
          <w:rFonts w:asciiTheme="majorBidi" w:eastAsia="Times New Roman" w:hAnsiTheme="majorBidi" w:cstheme="majorBidi"/>
        </w:rPr>
        <w:t>(</w:t>
      </w:r>
      <w:r w:rsidRPr="00871092">
        <w:rPr>
          <w:rFonts w:asciiTheme="majorBidi" w:eastAsia="Times New Roman" w:hAnsiTheme="majorBidi" w:cstheme="majorBidi"/>
          <w:color w:val="5B9BD5" w:themeColor="accent1"/>
        </w:rPr>
        <w:t>Dahmani et al., 2019</w:t>
      </w:r>
      <w:r w:rsidRPr="00871092">
        <w:rPr>
          <w:rFonts w:asciiTheme="majorBidi" w:eastAsia="Times New Roman" w:hAnsiTheme="majorBidi" w:cstheme="majorBidi"/>
        </w:rPr>
        <w:t xml:space="preserve">) and SSA for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ranges from 130 to 146 </w:t>
      </w:r>
      <w:r w:rsidR="00754BC9" w:rsidRPr="00871092">
        <w:rPr>
          <w:rFonts w:asciiTheme="majorBidi" w:hAnsiTheme="majorBidi" w:cstheme="majorBidi"/>
          <w:color w:val="000000" w:themeColor="text1"/>
        </w:rPr>
        <w:t>m</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xml:space="preserve"> g</w:t>
      </w:r>
      <w:r w:rsidR="00754BC9" w:rsidRPr="00871092">
        <w:rPr>
          <w:rFonts w:asciiTheme="majorBidi" w:hAnsiTheme="majorBidi" w:cstheme="majorBidi"/>
          <w:color w:val="000000" w:themeColor="text1"/>
          <w:vertAlign w:val="superscript"/>
        </w:rPr>
        <w:t xml:space="preserve">-1 </w:t>
      </w:r>
      <w:r w:rsidRPr="00871092">
        <w:rPr>
          <w:rFonts w:asciiTheme="majorBidi" w:eastAsia="Times New Roman" w:hAnsiTheme="majorBidi" w:cstheme="majorBidi"/>
        </w:rPr>
        <w:t xml:space="preserve">and CEC from 75 to 85 </w:t>
      </w:r>
      <w:proofErr w:type="spellStart"/>
      <w:r w:rsidRPr="00871092">
        <w:rPr>
          <w:rFonts w:asciiTheme="majorBidi" w:eastAsia="Times New Roman" w:hAnsiTheme="majorBidi" w:cstheme="majorBidi"/>
        </w:rPr>
        <w:t>meq</w:t>
      </w:r>
      <w:proofErr w:type="spellEnd"/>
      <w:r w:rsidRPr="00871092">
        <w:rPr>
          <w:rFonts w:asciiTheme="majorBidi" w:eastAsia="Times New Roman" w:hAnsiTheme="majorBidi" w:cstheme="majorBidi"/>
        </w:rPr>
        <w:t xml:space="preserve"> </w:t>
      </w:r>
      <w:r w:rsidR="00754BC9" w:rsidRPr="00871092">
        <w:rPr>
          <w:rFonts w:asciiTheme="majorBidi" w:hAnsiTheme="majorBidi" w:cstheme="majorBidi"/>
          <w:color w:val="000000" w:themeColor="text1"/>
        </w:rPr>
        <w:t>100 g</w:t>
      </w:r>
      <w:r w:rsidR="00754BC9" w:rsidRPr="00871092">
        <w:rPr>
          <w:rFonts w:asciiTheme="majorBidi" w:hAnsiTheme="majorBidi" w:cstheme="majorBidi"/>
          <w:color w:val="000000" w:themeColor="text1"/>
          <w:vertAlign w:val="superscript"/>
        </w:rPr>
        <w:t>-1</w:t>
      </w:r>
      <w:r w:rsidR="00754BC9" w:rsidRPr="00871092">
        <w:rPr>
          <w:rFonts w:asciiTheme="majorBidi" w:eastAsia="Times New Roman" w:hAnsiTheme="majorBidi" w:cstheme="majorBidi"/>
          <w:b/>
          <w:bCs/>
        </w:rPr>
        <w:t xml:space="preserve"> </w:t>
      </w:r>
      <w:r w:rsidRPr="00871092">
        <w:rPr>
          <w:rFonts w:asciiTheme="majorBidi" w:eastAsia="Times New Roman" w:hAnsiTheme="majorBidi" w:cstheme="majorBidi"/>
        </w:rPr>
        <w:t>(</w:t>
      </w:r>
      <w:proofErr w:type="spellStart"/>
      <w:r w:rsidRPr="00871092">
        <w:rPr>
          <w:rFonts w:asciiTheme="majorBidi" w:eastAsia="Times New Roman" w:hAnsiTheme="majorBidi" w:cstheme="majorBidi"/>
          <w:color w:val="5B9BD5" w:themeColor="accent1"/>
        </w:rPr>
        <w:t>Benhammou</w:t>
      </w:r>
      <w:proofErr w:type="spellEnd"/>
      <w:r w:rsidRPr="00871092">
        <w:rPr>
          <w:rFonts w:asciiTheme="majorBidi" w:eastAsia="Times New Roman" w:hAnsiTheme="majorBidi" w:cstheme="majorBidi"/>
          <w:color w:val="5B9BD5" w:themeColor="accent1"/>
        </w:rPr>
        <w:t xml:space="preserve"> et al., 2009</w:t>
      </w:r>
      <w:r w:rsidRPr="00871092">
        <w:rPr>
          <w:rFonts w:asciiTheme="majorBidi" w:eastAsia="Times New Roman" w:hAnsiTheme="majorBidi" w:cstheme="majorBidi"/>
        </w:rPr>
        <w:t xml:space="preserve">). These differences in SSA and CEC strongly influence the retention and leaching behavior of PTEs.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with its exceptionally high SSA and elevated CEC, provides many active sorption sites and interlayer spaces, favoring strong adsorption of cationic PTEs (e.g., </w:t>
      </w:r>
      <w:r w:rsidR="00754BC9" w:rsidRPr="00871092">
        <w:rPr>
          <w:rFonts w:asciiTheme="majorBidi" w:hAnsiTheme="majorBidi" w:cstheme="majorBidi"/>
          <w:color w:val="000000" w:themeColor="text1"/>
        </w:rPr>
        <w:t>Pb</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Cd</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Cu</w:t>
      </w:r>
      <w:r w:rsidR="00754BC9" w:rsidRPr="00871092">
        <w:rPr>
          <w:rFonts w:asciiTheme="majorBidi" w:hAnsiTheme="majorBidi" w:cstheme="majorBidi"/>
          <w:color w:val="000000" w:themeColor="text1"/>
          <w:vertAlign w:val="superscript"/>
        </w:rPr>
        <w:t>2+</w:t>
      </w:r>
      <w:r w:rsidRPr="00871092">
        <w:rPr>
          <w:rFonts w:asciiTheme="majorBidi" w:eastAsia="Times New Roman" w:hAnsiTheme="majorBidi" w:cstheme="majorBidi"/>
        </w:rPr>
        <w:t>). This characteristic reduces the mobility and leachability of metals, suggesting a high immobilization potential under environmental conditions.</w:t>
      </w:r>
    </w:p>
    <w:p w14:paraId="015B9F9A" w14:textId="77777777" w:rsidR="007B2B22" w:rsidRPr="00871092" w:rsidRDefault="007B2B22" w:rsidP="00871092">
      <w:pPr>
        <w:spacing w:after="0" w:line="240" w:lineRule="auto"/>
        <w:jc w:val="both"/>
        <w:rPr>
          <w:rFonts w:asciiTheme="majorBidi" w:hAnsiTheme="majorBidi" w:cstheme="majorBidi"/>
          <w:color w:val="000000" w:themeColor="text1"/>
        </w:rPr>
      </w:pPr>
    </w:p>
    <w:bookmarkEnd w:id="1"/>
    <w:p w14:paraId="6D70E6EF" w14:textId="5A717AA6" w:rsidR="00607CF3" w:rsidRPr="00871092" w:rsidRDefault="00607CF3" w:rsidP="000E3D8F">
      <w:pPr>
        <w:pStyle w:val="Titre3"/>
        <w:numPr>
          <w:ilvl w:val="1"/>
          <w:numId w:val="21"/>
        </w:numPr>
        <w:spacing w:before="0" w:after="0" w:line="240" w:lineRule="auto"/>
        <w:rPr>
          <w:rFonts w:cstheme="majorBidi"/>
          <w:color w:val="000000" w:themeColor="text1"/>
          <w:sz w:val="22"/>
          <w:szCs w:val="22"/>
        </w:rPr>
      </w:pPr>
      <w:r w:rsidRPr="00871092">
        <w:rPr>
          <w:rStyle w:val="Titre3Car"/>
          <w:rFonts w:cstheme="majorBidi"/>
          <w:b/>
          <w:bCs/>
          <w:color w:val="000000" w:themeColor="text1"/>
          <w:sz w:val="22"/>
          <w:szCs w:val="22"/>
        </w:rPr>
        <w:t xml:space="preserve">Microstructure </w:t>
      </w:r>
      <w:r w:rsidR="00843FD7">
        <w:rPr>
          <w:rFonts w:cstheme="majorBidi"/>
          <w:color w:val="000000" w:themeColor="text1"/>
          <w:sz w:val="22"/>
          <w:szCs w:val="22"/>
        </w:rPr>
        <w:t>c</w:t>
      </w:r>
      <w:r w:rsidR="00843FD7" w:rsidRPr="00871092">
        <w:rPr>
          <w:rFonts w:cstheme="majorBidi"/>
          <w:color w:val="000000" w:themeColor="text1"/>
          <w:sz w:val="22"/>
          <w:szCs w:val="22"/>
        </w:rPr>
        <w:t xml:space="preserve">haracterization </w:t>
      </w:r>
    </w:p>
    <w:p w14:paraId="7B5E4EB1" w14:textId="6561ED03" w:rsidR="00754BC9" w:rsidRPr="00871092" w:rsidRDefault="00607CF3" w:rsidP="00871092">
      <w:pPr>
        <w:spacing w:after="0" w:line="240" w:lineRule="auto"/>
        <w:jc w:val="both"/>
        <w:rPr>
          <w:rFonts w:asciiTheme="majorBidi" w:eastAsia="Times New Roman" w:hAnsiTheme="majorBidi" w:cstheme="majorBidi"/>
        </w:rPr>
      </w:pPr>
      <w:r w:rsidRPr="00871092">
        <w:rPr>
          <w:rFonts w:asciiTheme="majorBidi" w:hAnsiTheme="majorBidi" w:cstheme="majorBidi"/>
          <w:color w:val="000000" w:themeColor="text1"/>
        </w:rPr>
        <w:t>SEM analysis revealed the morphological characteristics of each clay type (</w:t>
      </w:r>
      <w:r w:rsidR="00526480" w:rsidRPr="00871092">
        <w:rPr>
          <w:rFonts w:asciiTheme="majorBidi" w:hAnsiTheme="majorBidi" w:cstheme="majorBidi"/>
          <w:color w:val="5B9BD5" w:themeColor="accent1"/>
        </w:rPr>
        <w:t>Fig</w:t>
      </w:r>
      <w:r w:rsidR="0095357B">
        <w:rPr>
          <w:rFonts w:asciiTheme="majorBidi" w:hAnsiTheme="majorBidi" w:cstheme="majorBidi"/>
          <w:color w:val="5B9BD5" w:themeColor="accent1"/>
        </w:rPr>
        <w:t>. 2</w:t>
      </w:r>
      <w:r w:rsidRPr="00871092">
        <w:rPr>
          <w:rFonts w:asciiTheme="majorBidi" w:hAnsiTheme="majorBidi" w:cstheme="majorBidi"/>
          <w:color w:val="000000" w:themeColor="text1"/>
        </w:rPr>
        <w:t>). Bentonite presented a porous, sponge-like morphology formed by irregular, loosely packed layers (</w:t>
      </w:r>
      <w:r w:rsidR="00526480" w:rsidRPr="00871092">
        <w:rPr>
          <w:rFonts w:asciiTheme="majorBidi" w:hAnsiTheme="majorBidi" w:cstheme="majorBidi"/>
          <w:color w:val="5B9BD5" w:themeColor="accent1"/>
        </w:rPr>
        <w:t>Fig</w:t>
      </w:r>
      <w:r w:rsidR="0095357B">
        <w:rPr>
          <w:rFonts w:asciiTheme="majorBidi" w:hAnsiTheme="majorBidi" w:cstheme="majorBidi"/>
          <w:color w:val="5B9BD5" w:themeColor="accent1"/>
        </w:rPr>
        <w:t>.</w:t>
      </w:r>
      <w:r w:rsidRPr="00871092">
        <w:rPr>
          <w:rFonts w:asciiTheme="majorBidi" w:hAnsiTheme="majorBidi" w:cstheme="majorBidi"/>
          <w:color w:val="5B9BD5" w:themeColor="accent1"/>
        </w:rPr>
        <w:t xml:space="preserve"> </w:t>
      </w:r>
      <w:r w:rsidR="0095357B">
        <w:rPr>
          <w:rFonts w:asciiTheme="majorBidi" w:hAnsiTheme="majorBidi" w:cstheme="majorBidi"/>
          <w:color w:val="5B9BD5" w:themeColor="accent1"/>
        </w:rPr>
        <w:t>2</w:t>
      </w:r>
      <w:r w:rsidRPr="00871092">
        <w:rPr>
          <w:rFonts w:asciiTheme="majorBidi" w:hAnsiTheme="majorBidi" w:cstheme="majorBidi"/>
          <w:color w:val="5B9BD5" w:themeColor="accent1"/>
        </w:rPr>
        <w:t xml:space="preserve">A, </w:t>
      </w:r>
      <w:r w:rsidR="0095357B">
        <w:rPr>
          <w:rFonts w:asciiTheme="majorBidi" w:hAnsiTheme="majorBidi" w:cstheme="majorBidi"/>
          <w:color w:val="5B9BD5" w:themeColor="accent1"/>
        </w:rPr>
        <w:t>2</w:t>
      </w:r>
      <w:r w:rsidRPr="00871092">
        <w:rPr>
          <w:rFonts w:asciiTheme="majorBidi" w:hAnsiTheme="majorBidi" w:cstheme="majorBidi"/>
          <w:color w:val="5B9BD5" w:themeColor="accent1"/>
        </w:rPr>
        <w:t>B</w:t>
      </w:r>
      <w:r w:rsidRPr="00871092">
        <w:rPr>
          <w:rFonts w:asciiTheme="majorBidi" w:hAnsiTheme="majorBidi" w:cstheme="majorBidi"/>
          <w:color w:val="000000" w:themeColor="text1"/>
        </w:rPr>
        <w:t>). This structure is characteristic of montmorillonite and is associated with a high surface area and cation exchange capacity, supporting its widespread use in drilling fluids, pollutant adsorption, and soil stabilization thanks to its notable swelling and water retention properties (</w:t>
      </w:r>
      <w:r w:rsidRPr="00871092">
        <w:rPr>
          <w:rFonts w:asciiTheme="majorBidi" w:hAnsiTheme="majorBidi" w:cstheme="majorBidi"/>
          <w:color w:val="5B9BD5" w:themeColor="accent1"/>
        </w:rPr>
        <w:t>Gu et al., 2017; Dong et al., 2020; Pei et al., 2021</w:t>
      </w:r>
      <w:r w:rsidRPr="00871092">
        <w:rPr>
          <w:rFonts w:asciiTheme="majorBidi" w:hAnsiTheme="majorBidi" w:cstheme="majorBidi"/>
          <w:color w:val="000000" w:themeColor="text1"/>
        </w:rPr>
        <w:t>).</w:t>
      </w:r>
      <w:r w:rsidR="00D50268" w:rsidRPr="00871092">
        <w:rPr>
          <w:rFonts w:asciiTheme="majorBidi" w:hAnsiTheme="majorBidi" w:cstheme="majorBidi"/>
          <w:color w:val="000000" w:themeColor="text1"/>
        </w:rPr>
        <w:t xml:space="preserve"> </w:t>
      </w:r>
      <w:r w:rsidR="00754BC9" w:rsidRPr="00871092">
        <w:rPr>
          <w:rFonts w:asciiTheme="majorBidi" w:eastAsia="Times New Roman" w:hAnsiTheme="majorBidi" w:cstheme="majorBidi"/>
        </w:rPr>
        <w:t xml:space="preserve">Kaolin exhibited a stratified morphology composed of hexagonal platelets arranged in book-like stacks, with an average particle size of ~2 </w:t>
      </w:r>
      <w:proofErr w:type="spellStart"/>
      <w:r w:rsidR="00754BC9" w:rsidRPr="00871092">
        <w:rPr>
          <w:rFonts w:asciiTheme="majorBidi" w:eastAsia="Times New Roman" w:hAnsiTheme="majorBidi" w:cstheme="majorBidi"/>
        </w:rPr>
        <w:t>μm</w:t>
      </w:r>
      <w:proofErr w:type="spellEnd"/>
      <w:r w:rsidR="00754BC9" w:rsidRPr="00871092">
        <w:rPr>
          <w:rFonts w:asciiTheme="majorBidi" w:eastAsia="Times New Roman" w:hAnsiTheme="majorBidi" w:cstheme="majorBidi"/>
        </w:rPr>
        <w:t xml:space="preserve"> (</w:t>
      </w:r>
      <w:r w:rsidR="00754BC9" w:rsidRPr="00871092">
        <w:rPr>
          <w:rFonts w:asciiTheme="majorBidi" w:hAnsiTheme="majorBidi" w:cstheme="majorBidi"/>
          <w:color w:val="5B9BD5" w:themeColor="accent1"/>
        </w:rPr>
        <w:t>Fig</w:t>
      </w:r>
      <w:r w:rsidR="0095357B">
        <w:rPr>
          <w:rFonts w:asciiTheme="majorBidi" w:hAnsiTheme="majorBidi" w:cstheme="majorBidi"/>
          <w:color w:val="5B9BD5" w:themeColor="accent1"/>
        </w:rPr>
        <w:t>.</w:t>
      </w:r>
      <w:r w:rsidR="00754BC9" w:rsidRPr="00871092">
        <w:rPr>
          <w:rFonts w:asciiTheme="majorBidi" w:hAnsiTheme="majorBidi" w:cstheme="majorBidi"/>
          <w:color w:val="5B9BD5" w:themeColor="accent1"/>
        </w:rPr>
        <w:t xml:space="preserve"> </w:t>
      </w:r>
      <w:r w:rsidR="0095357B">
        <w:rPr>
          <w:rFonts w:asciiTheme="majorBidi" w:hAnsiTheme="majorBidi" w:cstheme="majorBidi"/>
          <w:color w:val="5B9BD5" w:themeColor="accent1"/>
        </w:rPr>
        <w:t>2</w:t>
      </w:r>
      <w:r w:rsidR="00754BC9" w:rsidRPr="00871092">
        <w:rPr>
          <w:rFonts w:asciiTheme="majorBidi" w:hAnsiTheme="majorBidi" w:cstheme="majorBidi"/>
          <w:color w:val="5B9BD5" w:themeColor="accent1"/>
        </w:rPr>
        <w:t xml:space="preserve">D, </w:t>
      </w:r>
      <w:r w:rsidR="0095357B">
        <w:rPr>
          <w:rFonts w:asciiTheme="majorBidi" w:hAnsiTheme="majorBidi" w:cstheme="majorBidi"/>
          <w:color w:val="5B9BD5" w:themeColor="accent1"/>
        </w:rPr>
        <w:t>2</w:t>
      </w:r>
      <w:r w:rsidR="00754BC9" w:rsidRPr="00871092">
        <w:rPr>
          <w:rFonts w:asciiTheme="majorBidi" w:hAnsiTheme="majorBidi" w:cstheme="majorBidi"/>
          <w:color w:val="5B9BD5" w:themeColor="accent1"/>
        </w:rPr>
        <w:t>E</w:t>
      </w:r>
      <w:r w:rsidR="00754BC9" w:rsidRPr="00871092">
        <w:rPr>
          <w:rFonts w:asciiTheme="majorBidi" w:eastAsia="Times New Roman" w:hAnsiTheme="majorBidi" w:cstheme="majorBidi"/>
        </w:rPr>
        <w:t>). This structure is mainly associated with the kaolinite and muscovite phases confirmed by XRD (</w:t>
      </w:r>
      <w:r w:rsidR="00754BC9" w:rsidRPr="00871092">
        <w:rPr>
          <w:rFonts w:asciiTheme="majorBidi" w:hAnsiTheme="majorBidi" w:cstheme="majorBidi"/>
          <w:color w:val="5B9BD5" w:themeColor="accent1"/>
        </w:rPr>
        <w:t>Fig</w:t>
      </w:r>
      <w:r w:rsidR="0095357B">
        <w:rPr>
          <w:rFonts w:asciiTheme="majorBidi" w:hAnsiTheme="majorBidi" w:cstheme="majorBidi"/>
          <w:color w:val="5B9BD5" w:themeColor="accent1"/>
        </w:rPr>
        <w:t>.</w:t>
      </w:r>
      <w:r w:rsidR="00754BC9" w:rsidRPr="00871092">
        <w:rPr>
          <w:rFonts w:asciiTheme="majorBidi" w:hAnsiTheme="majorBidi" w:cstheme="majorBidi"/>
          <w:color w:val="5B9BD5" w:themeColor="accent1"/>
        </w:rPr>
        <w:t xml:space="preserve"> </w:t>
      </w:r>
      <w:r w:rsidR="0095357B">
        <w:rPr>
          <w:rFonts w:asciiTheme="majorBidi" w:hAnsiTheme="majorBidi" w:cstheme="majorBidi"/>
          <w:color w:val="5B9BD5" w:themeColor="accent1"/>
        </w:rPr>
        <w:t>S1</w:t>
      </w:r>
      <w:r w:rsidR="00754BC9" w:rsidRPr="00871092">
        <w:rPr>
          <w:rFonts w:asciiTheme="majorBidi" w:eastAsia="Times New Roman" w:hAnsiTheme="majorBidi" w:cstheme="majorBidi"/>
        </w:rPr>
        <w:t>). Despite its limited specific surface area (6.</w:t>
      </w:r>
      <w:r w:rsidR="00843FD7">
        <w:rPr>
          <w:rFonts w:asciiTheme="majorBidi" w:eastAsia="Times New Roman" w:hAnsiTheme="majorBidi" w:cstheme="majorBidi"/>
        </w:rPr>
        <w:t>2</w:t>
      </w:r>
      <w:r w:rsidR="00754BC9" w:rsidRPr="00871092">
        <w:rPr>
          <w:rFonts w:asciiTheme="majorBidi" w:eastAsia="Times New Roman" w:hAnsiTheme="majorBidi" w:cstheme="majorBidi"/>
        </w:rPr>
        <w:t xml:space="preserve"> </w:t>
      </w:r>
      <w:r w:rsidR="00754BC9" w:rsidRPr="00871092">
        <w:rPr>
          <w:rFonts w:asciiTheme="majorBidi" w:hAnsiTheme="majorBidi" w:cstheme="majorBidi"/>
          <w:color w:val="000000" w:themeColor="text1"/>
        </w:rPr>
        <w:t>m</w:t>
      </w:r>
      <w:r w:rsidR="00754BC9" w:rsidRPr="00871092">
        <w:rPr>
          <w:rFonts w:asciiTheme="majorBidi" w:hAnsiTheme="majorBidi" w:cstheme="majorBidi"/>
          <w:color w:val="000000" w:themeColor="text1"/>
          <w:vertAlign w:val="superscript"/>
        </w:rPr>
        <w:t>2</w:t>
      </w:r>
      <w:r w:rsidR="00754BC9" w:rsidRPr="00871092">
        <w:rPr>
          <w:rFonts w:asciiTheme="majorBidi" w:hAnsiTheme="majorBidi" w:cstheme="majorBidi"/>
          <w:color w:val="000000" w:themeColor="text1"/>
        </w:rPr>
        <w:t xml:space="preserve"> g</w:t>
      </w:r>
      <w:r w:rsidR="00754BC9" w:rsidRPr="00871092">
        <w:rPr>
          <w:rFonts w:asciiTheme="majorBidi" w:hAnsiTheme="majorBidi" w:cstheme="majorBidi"/>
          <w:color w:val="000000" w:themeColor="text1"/>
          <w:vertAlign w:val="superscript"/>
        </w:rPr>
        <w:t>-1</w:t>
      </w:r>
      <w:r w:rsidR="00754BC9" w:rsidRPr="00871092">
        <w:rPr>
          <w:rFonts w:asciiTheme="majorBidi" w:eastAsia="Times New Roman" w:hAnsiTheme="majorBidi" w:cstheme="majorBidi"/>
        </w:rPr>
        <w:t xml:space="preserve">) and low CEC (7.6 </w:t>
      </w:r>
      <w:proofErr w:type="spellStart"/>
      <w:r w:rsidR="00754BC9" w:rsidRPr="00871092">
        <w:rPr>
          <w:rFonts w:asciiTheme="majorBidi" w:eastAsia="Times New Roman" w:hAnsiTheme="majorBidi" w:cstheme="majorBidi"/>
        </w:rPr>
        <w:t>meq</w:t>
      </w:r>
      <w:proofErr w:type="spellEnd"/>
      <w:r w:rsidR="00754BC9" w:rsidRPr="00871092">
        <w:rPr>
          <w:rFonts w:asciiTheme="majorBidi" w:eastAsia="Times New Roman" w:hAnsiTheme="majorBidi" w:cstheme="majorBidi"/>
        </w:rPr>
        <w:t xml:space="preserve"> </w:t>
      </w:r>
      <w:r w:rsidR="00754BC9" w:rsidRPr="00871092">
        <w:rPr>
          <w:rFonts w:asciiTheme="majorBidi" w:hAnsiTheme="majorBidi" w:cstheme="majorBidi"/>
          <w:color w:val="000000" w:themeColor="text1"/>
        </w:rPr>
        <w:t>100 g</w:t>
      </w:r>
      <w:r w:rsidR="00754BC9" w:rsidRPr="00871092">
        <w:rPr>
          <w:rFonts w:asciiTheme="majorBidi" w:hAnsiTheme="majorBidi" w:cstheme="majorBidi"/>
          <w:color w:val="000000" w:themeColor="text1"/>
          <w:vertAlign w:val="superscript"/>
        </w:rPr>
        <w:t>-1</w:t>
      </w:r>
      <w:r w:rsidR="00754BC9" w:rsidRPr="00871092">
        <w:rPr>
          <w:rFonts w:asciiTheme="majorBidi" w:eastAsia="Times New Roman" w:hAnsiTheme="majorBidi" w:cstheme="majorBidi"/>
        </w:rPr>
        <w:t xml:space="preserve">), this pseudo-hexagonal platelet structure offers reactive edge and basal -OH sites that enable effective adsorption of heavy metals </w:t>
      </w:r>
      <w:r w:rsidR="00754BC9" w:rsidRPr="00871092">
        <w:rPr>
          <w:rFonts w:asciiTheme="majorBidi" w:hAnsiTheme="majorBidi" w:cstheme="majorBidi"/>
          <w:color w:val="000000" w:themeColor="text1"/>
        </w:rPr>
        <w:t>(</w:t>
      </w:r>
      <w:r w:rsidR="00754BC9" w:rsidRPr="00871092">
        <w:rPr>
          <w:rFonts w:asciiTheme="majorBidi" w:hAnsiTheme="majorBidi" w:cstheme="majorBidi"/>
          <w:color w:val="5B9BD5" w:themeColor="accent1"/>
        </w:rPr>
        <w:t>Maged et al., 2020; Tian et al., 2022</w:t>
      </w:r>
      <w:r w:rsidR="00754BC9" w:rsidRPr="00871092">
        <w:rPr>
          <w:rFonts w:asciiTheme="majorBidi" w:hAnsiTheme="majorBidi" w:cstheme="majorBidi"/>
          <w:color w:val="000000" w:themeColor="text1"/>
        </w:rPr>
        <w:t>)</w:t>
      </w:r>
      <w:r w:rsidR="00754BC9" w:rsidRPr="00871092">
        <w:rPr>
          <w:rFonts w:asciiTheme="majorBidi" w:eastAsia="Times New Roman" w:hAnsiTheme="majorBidi" w:cstheme="majorBidi"/>
        </w:rPr>
        <w:t xml:space="preserve">. </w:t>
      </w:r>
    </w:p>
    <w:p w14:paraId="37925333" w14:textId="5422D5EE" w:rsidR="00607CF3" w:rsidRPr="00871092" w:rsidRDefault="00607CF3" w:rsidP="00871092">
      <w:pPr>
        <w:spacing w:after="0" w:line="240" w:lineRule="auto"/>
        <w:jc w:val="both"/>
        <w:rPr>
          <w:rFonts w:asciiTheme="majorBidi" w:hAnsiTheme="majorBidi" w:cstheme="majorBidi"/>
          <w:color w:val="000000" w:themeColor="text1"/>
        </w:rPr>
      </w:pP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xml:space="preserve">, on the other hand, showed a </w:t>
      </w:r>
      <w:proofErr w:type="spellStart"/>
      <w:r w:rsidRPr="00871092">
        <w:rPr>
          <w:rFonts w:asciiTheme="majorBidi" w:hAnsiTheme="majorBidi" w:cstheme="majorBidi"/>
          <w:color w:val="000000" w:themeColor="text1"/>
        </w:rPr>
        <w:t>petalloid</w:t>
      </w:r>
      <w:proofErr w:type="spellEnd"/>
      <w:r w:rsidRPr="00871092">
        <w:rPr>
          <w:rFonts w:asciiTheme="majorBidi" w:hAnsiTheme="majorBidi" w:cstheme="majorBidi"/>
          <w:color w:val="000000" w:themeColor="text1"/>
        </w:rPr>
        <w:t xml:space="preserve"> morphology formed by thin, flexible flakes arranged in loosely stacked layers (</w:t>
      </w:r>
      <w:r w:rsidR="00526480" w:rsidRPr="00871092">
        <w:rPr>
          <w:rFonts w:asciiTheme="majorBidi" w:hAnsiTheme="majorBidi" w:cstheme="majorBidi"/>
          <w:color w:val="5B9BD5" w:themeColor="accent1"/>
        </w:rPr>
        <w:t>Fig</w:t>
      </w:r>
      <w:r w:rsidR="006B0A21">
        <w:rPr>
          <w:rFonts w:asciiTheme="majorBidi" w:hAnsiTheme="majorBidi" w:cstheme="majorBidi"/>
          <w:color w:val="5B9BD5" w:themeColor="accent1"/>
        </w:rPr>
        <w:t>.</w:t>
      </w:r>
      <w:r w:rsidRPr="00871092">
        <w:rPr>
          <w:rFonts w:asciiTheme="majorBidi" w:hAnsiTheme="majorBidi" w:cstheme="majorBidi"/>
          <w:color w:val="5B9BD5" w:themeColor="accent1"/>
        </w:rPr>
        <w:t xml:space="preserve"> </w:t>
      </w:r>
      <w:r w:rsidR="006B0A21">
        <w:rPr>
          <w:rFonts w:asciiTheme="majorBidi" w:hAnsiTheme="majorBidi" w:cstheme="majorBidi"/>
          <w:color w:val="5B9BD5" w:themeColor="accent1"/>
        </w:rPr>
        <w:t>2</w:t>
      </w:r>
      <w:r w:rsidRPr="00871092">
        <w:rPr>
          <w:rFonts w:asciiTheme="majorBidi" w:hAnsiTheme="majorBidi" w:cstheme="majorBidi"/>
          <w:color w:val="5B9BD5" w:themeColor="accent1"/>
        </w:rPr>
        <w:t xml:space="preserve">G, </w:t>
      </w:r>
      <w:r w:rsidR="006B0A21">
        <w:rPr>
          <w:rFonts w:asciiTheme="majorBidi" w:hAnsiTheme="majorBidi" w:cstheme="majorBidi"/>
          <w:color w:val="5B9BD5" w:themeColor="accent1"/>
        </w:rPr>
        <w:t>2</w:t>
      </w:r>
      <w:r w:rsidRPr="00871092">
        <w:rPr>
          <w:rFonts w:asciiTheme="majorBidi" w:hAnsiTheme="majorBidi" w:cstheme="majorBidi"/>
          <w:color w:val="5B9BD5" w:themeColor="accent1"/>
        </w:rPr>
        <w:t>H</w:t>
      </w:r>
      <w:r w:rsidRPr="00871092">
        <w:rPr>
          <w:rFonts w:asciiTheme="majorBidi" w:hAnsiTheme="majorBidi" w:cstheme="majorBidi"/>
          <w:color w:val="000000" w:themeColor="text1"/>
        </w:rPr>
        <w:t xml:space="preserve">). This texture is typical of </w:t>
      </w:r>
      <w:proofErr w:type="spellStart"/>
      <w:r w:rsidRPr="00871092">
        <w:rPr>
          <w:rFonts w:asciiTheme="majorBidi" w:hAnsiTheme="majorBidi" w:cstheme="majorBidi"/>
          <w:color w:val="000000" w:themeColor="text1"/>
        </w:rPr>
        <w:t>stevensite</w:t>
      </w:r>
      <w:proofErr w:type="spellEnd"/>
      <w:r w:rsidRPr="00871092">
        <w:rPr>
          <w:rFonts w:asciiTheme="majorBidi" w:hAnsiTheme="majorBidi" w:cstheme="majorBidi"/>
          <w:color w:val="000000" w:themeColor="text1"/>
        </w:rPr>
        <w:t xml:space="preserve"> that enhances its ability to absorb water and oils. The smooth, lamellar structure observed by SEM aligns with its known performance in cosmetic and surface treatment products, where mild exfoliation and efficient adsorption are desirable features (</w:t>
      </w:r>
      <w:proofErr w:type="spellStart"/>
      <w:r w:rsidRPr="00871092">
        <w:rPr>
          <w:rFonts w:asciiTheme="majorBidi" w:hAnsiTheme="majorBidi" w:cstheme="majorBidi"/>
          <w:color w:val="5B9BD5" w:themeColor="accent1"/>
        </w:rPr>
        <w:t>Benhammou</w:t>
      </w:r>
      <w:proofErr w:type="spellEnd"/>
      <w:r w:rsidRPr="00871092">
        <w:rPr>
          <w:rFonts w:asciiTheme="majorBidi" w:hAnsiTheme="majorBidi" w:cstheme="majorBidi"/>
          <w:color w:val="5B9BD5" w:themeColor="accent1"/>
        </w:rPr>
        <w:t xml:space="preserve"> et al., 2005; </w:t>
      </w:r>
      <w:proofErr w:type="spellStart"/>
      <w:r w:rsidRPr="00871092">
        <w:rPr>
          <w:rFonts w:asciiTheme="majorBidi" w:hAnsiTheme="majorBidi" w:cstheme="majorBidi"/>
          <w:color w:val="5B9BD5" w:themeColor="accent1"/>
        </w:rPr>
        <w:t>Gubitosa</w:t>
      </w:r>
      <w:proofErr w:type="spellEnd"/>
      <w:r w:rsidRPr="00871092">
        <w:rPr>
          <w:rFonts w:asciiTheme="majorBidi" w:hAnsiTheme="majorBidi" w:cstheme="majorBidi"/>
          <w:color w:val="5B9BD5" w:themeColor="accent1"/>
        </w:rPr>
        <w:t xml:space="preserve"> et al., 2019</w:t>
      </w:r>
      <w:r w:rsidRPr="00871092">
        <w:rPr>
          <w:rFonts w:asciiTheme="majorBidi" w:hAnsiTheme="majorBidi" w:cstheme="majorBidi"/>
          <w:color w:val="000000" w:themeColor="text1"/>
        </w:rPr>
        <w:t xml:space="preserve">). </w:t>
      </w:r>
    </w:p>
    <w:p w14:paraId="25A44593" w14:textId="78CE73A3" w:rsidR="00754BC9" w:rsidRDefault="00754BC9" w:rsidP="000C6547">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The EDS analysis revealed distinct elemental profiles. Bentonite showed high levels of Si (29.</w:t>
      </w:r>
      <w:r w:rsidR="000C6547">
        <w:rPr>
          <w:rFonts w:asciiTheme="majorBidi" w:eastAsia="Times New Roman" w:hAnsiTheme="majorBidi" w:cstheme="majorBidi"/>
        </w:rPr>
        <w:t>4</w:t>
      </w:r>
      <w:r w:rsidRPr="00871092">
        <w:rPr>
          <w:rFonts w:asciiTheme="majorBidi" w:eastAsia="Times New Roman" w:hAnsiTheme="majorBidi" w:cstheme="majorBidi"/>
        </w:rPr>
        <w:t>%) and Al (17.</w:t>
      </w:r>
      <w:r w:rsidR="000C6547">
        <w:rPr>
          <w:rFonts w:asciiTheme="majorBidi" w:eastAsia="Times New Roman" w:hAnsiTheme="majorBidi" w:cstheme="majorBidi"/>
        </w:rPr>
        <w:t>2</w:t>
      </w:r>
      <w:r w:rsidRPr="00871092">
        <w:rPr>
          <w:rFonts w:asciiTheme="majorBidi" w:eastAsia="Times New Roman" w:hAnsiTheme="majorBidi" w:cstheme="majorBidi"/>
        </w:rPr>
        <w:t>%), with minor Ca, Na, K, and Fe (</w:t>
      </w:r>
      <w:r w:rsidR="00D50268" w:rsidRPr="00871092">
        <w:rPr>
          <w:rFonts w:asciiTheme="majorBidi" w:hAnsiTheme="majorBidi" w:cstheme="majorBidi"/>
          <w:color w:val="5B9BD5" w:themeColor="accent1"/>
        </w:rPr>
        <w:t>Fig</w:t>
      </w:r>
      <w:r w:rsidR="006B0A21">
        <w:rPr>
          <w:rFonts w:asciiTheme="majorBidi" w:hAnsiTheme="majorBidi" w:cstheme="majorBidi"/>
          <w:color w:val="5B9BD5" w:themeColor="accent1"/>
        </w:rPr>
        <w:t>.</w:t>
      </w:r>
      <w:r w:rsidR="00D50268" w:rsidRPr="00871092">
        <w:rPr>
          <w:rFonts w:asciiTheme="majorBidi" w:hAnsiTheme="majorBidi" w:cstheme="majorBidi"/>
          <w:color w:val="5B9BD5" w:themeColor="accent1"/>
        </w:rPr>
        <w:t xml:space="preserve"> </w:t>
      </w:r>
      <w:r w:rsidR="006B0A21">
        <w:rPr>
          <w:rFonts w:asciiTheme="majorBidi" w:hAnsiTheme="majorBidi" w:cstheme="majorBidi"/>
          <w:color w:val="5B9BD5" w:themeColor="accent1"/>
        </w:rPr>
        <w:t>2</w:t>
      </w:r>
      <w:r w:rsidR="00D50268" w:rsidRPr="00871092">
        <w:rPr>
          <w:rFonts w:asciiTheme="majorBidi" w:hAnsiTheme="majorBidi" w:cstheme="majorBidi"/>
          <w:color w:val="5B9BD5" w:themeColor="accent1"/>
        </w:rPr>
        <w:t>C</w:t>
      </w:r>
      <w:r w:rsidRPr="00871092">
        <w:rPr>
          <w:rFonts w:asciiTheme="majorBidi" w:eastAsia="Times New Roman" w:hAnsiTheme="majorBidi" w:cstheme="majorBidi"/>
        </w:rPr>
        <w:t xml:space="preserve">). Its Si/Al ratio of 1.73 aligns with the XRF-derived value (2.09, </w:t>
      </w:r>
      <w:r w:rsidR="00D50268" w:rsidRPr="00871092">
        <w:rPr>
          <w:rFonts w:asciiTheme="majorBidi" w:hAnsiTheme="majorBidi" w:cstheme="majorBidi"/>
          <w:color w:val="5B9BD5" w:themeColor="accent1"/>
        </w:rPr>
        <w:t>Table S1</w:t>
      </w:r>
      <w:r w:rsidRPr="00871092">
        <w:rPr>
          <w:rFonts w:asciiTheme="majorBidi" w:eastAsia="Times New Roman" w:hAnsiTheme="majorBidi" w:cstheme="majorBidi"/>
        </w:rPr>
        <w:t>), confirming the presence of smectite. Kaolin presented quasi-equal proportions of Al (21.</w:t>
      </w:r>
      <w:r w:rsidR="000C6547">
        <w:rPr>
          <w:rFonts w:asciiTheme="majorBidi" w:eastAsia="Times New Roman" w:hAnsiTheme="majorBidi" w:cstheme="majorBidi"/>
        </w:rPr>
        <w:t>5</w:t>
      </w:r>
      <w:r w:rsidRPr="00871092">
        <w:rPr>
          <w:rFonts w:asciiTheme="majorBidi" w:eastAsia="Times New Roman" w:hAnsiTheme="majorBidi" w:cstheme="majorBidi"/>
        </w:rPr>
        <w:t>%) and Si (20.</w:t>
      </w:r>
      <w:r w:rsidR="000C6547">
        <w:rPr>
          <w:rFonts w:asciiTheme="majorBidi" w:eastAsia="Times New Roman" w:hAnsiTheme="majorBidi" w:cstheme="majorBidi"/>
        </w:rPr>
        <w:t>7</w:t>
      </w:r>
      <w:r w:rsidRPr="00871092">
        <w:rPr>
          <w:rFonts w:asciiTheme="majorBidi" w:eastAsia="Times New Roman" w:hAnsiTheme="majorBidi" w:cstheme="majorBidi"/>
        </w:rPr>
        <w:t>%), with low Mg (0.16%) and moderate K (6.</w:t>
      </w:r>
      <w:r w:rsidR="00843FD7">
        <w:rPr>
          <w:rFonts w:asciiTheme="majorBidi" w:eastAsia="Times New Roman" w:hAnsiTheme="majorBidi" w:cstheme="majorBidi"/>
        </w:rPr>
        <w:t>7</w:t>
      </w:r>
      <w:r w:rsidRPr="00871092">
        <w:rPr>
          <w:rFonts w:asciiTheme="majorBidi" w:eastAsia="Times New Roman" w:hAnsiTheme="majorBidi" w:cstheme="majorBidi"/>
        </w:rPr>
        <w:t>%) contents (</w:t>
      </w:r>
      <w:r w:rsidR="00D50268" w:rsidRPr="00871092">
        <w:rPr>
          <w:rFonts w:asciiTheme="majorBidi" w:hAnsiTheme="majorBidi" w:cstheme="majorBidi"/>
          <w:color w:val="5B9BD5" w:themeColor="accent1"/>
        </w:rPr>
        <w:t>Fi</w:t>
      </w:r>
      <w:r w:rsidR="006B0A21">
        <w:rPr>
          <w:rFonts w:asciiTheme="majorBidi" w:hAnsiTheme="majorBidi" w:cstheme="majorBidi"/>
          <w:color w:val="5B9BD5" w:themeColor="accent1"/>
        </w:rPr>
        <w:t>g. 2</w:t>
      </w:r>
      <w:r w:rsidR="00D50268" w:rsidRPr="00871092">
        <w:rPr>
          <w:rFonts w:asciiTheme="majorBidi" w:hAnsiTheme="majorBidi" w:cstheme="majorBidi"/>
          <w:color w:val="5B9BD5" w:themeColor="accent1"/>
        </w:rPr>
        <w:t>F</w:t>
      </w:r>
      <w:r w:rsidRPr="00871092">
        <w:rPr>
          <w:rFonts w:asciiTheme="majorBidi" w:eastAsia="Times New Roman" w:hAnsiTheme="majorBidi" w:cstheme="majorBidi"/>
        </w:rPr>
        <w:t>). The Si/Al ratio of 0.98 was consistent with the 1:1 layer structure of kaolinite and supported the presence of muscovite. In contras</w:t>
      </w:r>
      <w:r w:rsidR="000C6547">
        <w:rPr>
          <w:rFonts w:asciiTheme="majorBidi" w:eastAsia="Times New Roman" w:hAnsiTheme="majorBidi" w:cstheme="majorBidi"/>
        </w:rPr>
        <w:t xml:space="preserve">t, </w:t>
      </w:r>
      <w:proofErr w:type="spellStart"/>
      <w:r w:rsidR="000C6547">
        <w:rPr>
          <w:rFonts w:asciiTheme="majorBidi" w:eastAsia="Times New Roman" w:hAnsiTheme="majorBidi" w:cstheme="majorBidi"/>
        </w:rPr>
        <w:t>ghassoul</w:t>
      </w:r>
      <w:proofErr w:type="spellEnd"/>
      <w:r w:rsidR="000C6547">
        <w:rPr>
          <w:rFonts w:asciiTheme="majorBidi" w:eastAsia="Times New Roman" w:hAnsiTheme="majorBidi" w:cstheme="majorBidi"/>
        </w:rPr>
        <w:t xml:space="preserve"> is rich in Si (28.1%) and Mg (16.0</w:t>
      </w:r>
      <w:r w:rsidRPr="00871092">
        <w:rPr>
          <w:rFonts w:asciiTheme="majorBidi" w:eastAsia="Times New Roman" w:hAnsiTheme="majorBidi" w:cstheme="majorBidi"/>
        </w:rPr>
        <w:t>%) but poor in Al (1.35%) (</w:t>
      </w:r>
      <w:r w:rsidR="00D50268" w:rsidRPr="00871092">
        <w:rPr>
          <w:rFonts w:asciiTheme="majorBidi" w:hAnsiTheme="majorBidi" w:cstheme="majorBidi"/>
          <w:color w:val="5B9BD5" w:themeColor="accent1"/>
        </w:rPr>
        <w:t>Fig</w:t>
      </w:r>
      <w:r w:rsidR="006B0A21">
        <w:rPr>
          <w:rFonts w:asciiTheme="majorBidi" w:hAnsiTheme="majorBidi" w:cstheme="majorBidi"/>
          <w:color w:val="5B9BD5" w:themeColor="accent1"/>
        </w:rPr>
        <w:t>.</w:t>
      </w:r>
      <w:r w:rsidR="00D50268" w:rsidRPr="00871092">
        <w:rPr>
          <w:rFonts w:asciiTheme="majorBidi" w:hAnsiTheme="majorBidi" w:cstheme="majorBidi"/>
          <w:color w:val="5B9BD5" w:themeColor="accent1"/>
        </w:rPr>
        <w:t xml:space="preserve"> </w:t>
      </w:r>
      <w:r w:rsidR="006B0A21">
        <w:rPr>
          <w:rFonts w:asciiTheme="majorBidi" w:hAnsiTheme="majorBidi" w:cstheme="majorBidi"/>
          <w:color w:val="5B9BD5" w:themeColor="accent1"/>
        </w:rPr>
        <w:t>2</w:t>
      </w:r>
      <w:r w:rsidR="00D50268" w:rsidRPr="00871092">
        <w:rPr>
          <w:rFonts w:asciiTheme="majorBidi" w:hAnsiTheme="majorBidi" w:cstheme="majorBidi"/>
          <w:color w:val="5B9BD5" w:themeColor="accent1"/>
        </w:rPr>
        <w:t>I</w:t>
      </w:r>
      <w:r w:rsidRPr="00871092">
        <w:rPr>
          <w:rFonts w:asciiTheme="majorBidi" w:eastAsia="Times New Roman" w:hAnsiTheme="majorBidi" w:cstheme="majorBidi"/>
        </w:rPr>
        <w:t xml:space="preserve">), indicating a </w:t>
      </w:r>
      <w:proofErr w:type="spellStart"/>
      <w:r w:rsidRPr="00871092">
        <w:rPr>
          <w:rFonts w:asciiTheme="majorBidi" w:eastAsia="Times New Roman" w:hAnsiTheme="majorBidi" w:cstheme="majorBidi"/>
        </w:rPr>
        <w:t>stevensite</w:t>
      </w:r>
      <w:proofErr w:type="spellEnd"/>
      <w:r w:rsidRPr="00871092">
        <w:rPr>
          <w:rFonts w:asciiTheme="majorBidi" w:eastAsia="Times New Roman" w:hAnsiTheme="majorBidi" w:cstheme="majorBidi"/>
        </w:rPr>
        <w:t xml:space="preserve">-dominant phase with a trioctahedral smectite structure. These compositional </w:t>
      </w:r>
      <w:r w:rsidRPr="00871092">
        <w:rPr>
          <w:rFonts w:asciiTheme="majorBidi" w:eastAsia="Times New Roman" w:hAnsiTheme="majorBidi" w:cstheme="majorBidi"/>
        </w:rPr>
        <w:lastRenderedPageBreak/>
        <w:t>differences reflect the mineralogical diversity of the clays and help explain their distinct environmental behaviors.</w:t>
      </w:r>
    </w:p>
    <w:p w14:paraId="4BD709B2" w14:textId="77777777" w:rsidR="00843FD7" w:rsidRDefault="00843FD7" w:rsidP="000C6547">
      <w:pPr>
        <w:spacing w:after="0" w:line="240" w:lineRule="auto"/>
        <w:jc w:val="both"/>
        <w:rPr>
          <w:rFonts w:asciiTheme="majorBidi" w:eastAsia="Times New Roman" w:hAnsiTheme="majorBidi" w:cstheme="majorBidi"/>
        </w:rPr>
      </w:pPr>
    </w:p>
    <w:p w14:paraId="6C7E4D72" w14:textId="77777777" w:rsidR="0095357B" w:rsidRPr="004426F8" w:rsidRDefault="0095357B" w:rsidP="0095357B">
      <w:pPr>
        <w:keepNext/>
        <w:spacing w:after="0" w:line="240" w:lineRule="auto"/>
        <w:rPr>
          <w:rFonts w:asciiTheme="majorBidi" w:hAnsiTheme="majorBidi" w:cstheme="majorBidi"/>
          <w:color w:val="000000" w:themeColor="text1"/>
        </w:rPr>
      </w:pPr>
      <w:r w:rsidRPr="004426F8">
        <w:rPr>
          <w:rFonts w:asciiTheme="majorBidi" w:hAnsiTheme="majorBidi" w:cstheme="majorBidi"/>
          <w:noProof/>
          <w:color w:val="000000" w:themeColor="text1"/>
          <w:lang w:val="en-US" w:eastAsia="en-US"/>
          <w14:ligatures w14:val="standardContextual"/>
        </w:rPr>
        <w:drawing>
          <wp:inline distT="0" distB="0" distL="0" distR="0" wp14:anchorId="4BACA6BC" wp14:editId="39854BAB">
            <wp:extent cx="5772150" cy="3838575"/>
            <wp:effectExtent l="0" t="0" r="0" b="9525"/>
            <wp:docPr id="1555952069" name="Picture 2"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2150" cy="3838575"/>
                    </a:xfrm>
                    <a:prstGeom prst="rect">
                      <a:avLst/>
                    </a:prstGeom>
                    <a:noFill/>
                    <a:ln>
                      <a:noFill/>
                    </a:ln>
                  </pic:spPr>
                </pic:pic>
              </a:graphicData>
            </a:graphic>
          </wp:inline>
        </w:drawing>
      </w:r>
      <w:r w:rsidRPr="004426F8" w:rsidDel="00E56F2D">
        <w:rPr>
          <w:rFonts w:asciiTheme="majorBidi" w:hAnsiTheme="majorBidi" w:cstheme="majorBidi"/>
          <w:color w:val="000000" w:themeColor="text1"/>
        </w:rPr>
        <w:t xml:space="preserve"> </w:t>
      </w:r>
    </w:p>
    <w:p w14:paraId="4E530D08" w14:textId="431AB5C7" w:rsidR="006F7DD4" w:rsidRPr="000E3D8F" w:rsidRDefault="0095357B" w:rsidP="000E3D8F">
      <w:r w:rsidRPr="00B938DA">
        <w:rPr>
          <w:rFonts w:asciiTheme="majorBidi" w:hAnsiTheme="majorBidi" w:cstheme="majorBidi"/>
          <w:color w:val="000000" w:themeColor="text1"/>
        </w:rPr>
        <w:t xml:space="preserve">Fig. </w:t>
      </w:r>
      <w:r w:rsidR="006B0A21" w:rsidRPr="00B938DA">
        <w:rPr>
          <w:rFonts w:asciiTheme="majorBidi" w:hAnsiTheme="majorBidi" w:cstheme="majorBidi"/>
          <w:color w:val="000000" w:themeColor="text1"/>
        </w:rPr>
        <w:t>2</w:t>
      </w:r>
      <w:r w:rsidRPr="00B938DA">
        <w:rPr>
          <w:rFonts w:asciiTheme="majorBidi" w:hAnsiTheme="majorBidi" w:cstheme="majorBidi"/>
          <w:color w:val="000000" w:themeColor="text1"/>
        </w:rPr>
        <w:t xml:space="preserve"> </w:t>
      </w:r>
      <w:r w:rsidR="006F7DD4" w:rsidRPr="00B938DA">
        <w:rPr>
          <w:rFonts w:asciiTheme="majorBidi" w:hAnsiTheme="majorBidi" w:cstheme="majorBidi"/>
          <w:color w:val="000000" w:themeColor="text1"/>
        </w:rPr>
        <w:t xml:space="preserve">Microstructure of raw clays. </w:t>
      </w:r>
      <w:r w:rsidRPr="006F7DD4">
        <w:rPr>
          <w:rFonts w:asciiTheme="majorBidi" w:hAnsiTheme="majorBidi" w:cstheme="majorBidi"/>
          <w:color w:val="000000" w:themeColor="text1"/>
        </w:rPr>
        <w:t>SEM</w:t>
      </w:r>
      <w:r w:rsidRPr="004426F8">
        <w:rPr>
          <w:rFonts w:asciiTheme="majorBidi" w:hAnsiTheme="majorBidi" w:cstheme="majorBidi"/>
          <w:color w:val="000000" w:themeColor="text1"/>
        </w:rPr>
        <w:t xml:space="preserve"> of bentonite</w:t>
      </w:r>
      <w:r w:rsidR="00843FD7">
        <w:rPr>
          <w:rFonts w:asciiTheme="majorBidi" w:hAnsiTheme="majorBidi" w:cstheme="majorBidi"/>
          <w:color w:val="000000" w:themeColor="text1"/>
        </w:rPr>
        <w:t xml:space="preserve"> (</w:t>
      </w:r>
      <w:r w:rsidRPr="004426F8">
        <w:rPr>
          <w:rFonts w:asciiTheme="majorBidi" w:hAnsiTheme="majorBidi" w:cstheme="majorBidi"/>
          <w:color w:val="000000" w:themeColor="text1"/>
        </w:rPr>
        <w:t>A</w:t>
      </w:r>
      <w:r w:rsidR="00843FD7">
        <w:rPr>
          <w:rFonts w:asciiTheme="majorBidi" w:hAnsiTheme="majorBidi" w:cstheme="majorBidi"/>
          <w:color w:val="000000" w:themeColor="text1"/>
        </w:rPr>
        <w:t>,</w:t>
      </w:r>
      <w:r w:rsidRPr="004426F8">
        <w:rPr>
          <w:rFonts w:asciiTheme="majorBidi" w:hAnsiTheme="majorBidi" w:cstheme="majorBidi"/>
          <w:color w:val="000000" w:themeColor="text1"/>
        </w:rPr>
        <w:t>B</w:t>
      </w:r>
      <w:r w:rsidR="00843FD7">
        <w:rPr>
          <w:rFonts w:asciiTheme="majorBidi" w:hAnsiTheme="majorBidi" w:cstheme="majorBidi"/>
          <w:color w:val="000000" w:themeColor="text1"/>
        </w:rPr>
        <w:t>); k</w:t>
      </w:r>
      <w:r w:rsidRPr="004426F8">
        <w:rPr>
          <w:rFonts w:asciiTheme="majorBidi" w:hAnsiTheme="majorBidi" w:cstheme="majorBidi"/>
          <w:color w:val="000000" w:themeColor="text1"/>
        </w:rPr>
        <w:t xml:space="preserve">aolin </w:t>
      </w:r>
      <w:r w:rsidR="00843FD7">
        <w:rPr>
          <w:rFonts w:asciiTheme="majorBidi" w:hAnsiTheme="majorBidi" w:cstheme="majorBidi"/>
          <w:color w:val="000000" w:themeColor="text1"/>
        </w:rPr>
        <w:t>(</w:t>
      </w:r>
      <w:r w:rsidRPr="004426F8">
        <w:rPr>
          <w:rFonts w:asciiTheme="majorBidi" w:hAnsiTheme="majorBidi" w:cstheme="majorBidi"/>
          <w:color w:val="000000" w:themeColor="text1"/>
        </w:rPr>
        <w:t>D, E</w:t>
      </w:r>
      <w:r w:rsidR="00843FD7">
        <w:rPr>
          <w:rFonts w:asciiTheme="majorBidi" w:hAnsiTheme="majorBidi" w:cstheme="majorBidi"/>
          <w:color w:val="000000" w:themeColor="text1"/>
        </w:rPr>
        <w:t xml:space="preserve">) </w:t>
      </w:r>
      <w:r w:rsidRPr="004426F8">
        <w:rPr>
          <w:rFonts w:asciiTheme="majorBidi" w:hAnsiTheme="majorBidi" w:cstheme="majorBidi"/>
          <w:color w:val="000000" w:themeColor="text1"/>
        </w:rPr>
        <w:t xml:space="preserve">and </w:t>
      </w:r>
      <w:proofErr w:type="spellStart"/>
      <w:r w:rsidRPr="004426F8">
        <w:rPr>
          <w:rFonts w:asciiTheme="majorBidi" w:hAnsiTheme="majorBidi" w:cstheme="majorBidi"/>
          <w:color w:val="000000" w:themeColor="text1"/>
        </w:rPr>
        <w:t>ghassoul</w:t>
      </w:r>
      <w:proofErr w:type="spellEnd"/>
      <w:r w:rsidRPr="004426F8">
        <w:rPr>
          <w:rFonts w:asciiTheme="majorBidi" w:hAnsiTheme="majorBidi" w:cstheme="majorBidi"/>
          <w:color w:val="000000" w:themeColor="text1"/>
        </w:rPr>
        <w:t xml:space="preserve"> (G</w:t>
      </w:r>
      <w:r w:rsidR="00843FD7">
        <w:rPr>
          <w:rFonts w:asciiTheme="majorBidi" w:hAnsiTheme="majorBidi" w:cstheme="majorBidi"/>
          <w:color w:val="000000" w:themeColor="text1"/>
        </w:rPr>
        <w:t>,</w:t>
      </w:r>
      <w:r w:rsidRPr="004426F8">
        <w:rPr>
          <w:rFonts w:asciiTheme="majorBidi" w:hAnsiTheme="majorBidi" w:cstheme="majorBidi"/>
          <w:color w:val="000000" w:themeColor="text1"/>
        </w:rPr>
        <w:t>H</w:t>
      </w:r>
      <w:r w:rsidR="00843FD7">
        <w:rPr>
          <w:rFonts w:asciiTheme="majorBidi" w:hAnsiTheme="majorBidi" w:cstheme="majorBidi"/>
          <w:color w:val="000000" w:themeColor="text1"/>
        </w:rPr>
        <w:t xml:space="preserve">). </w:t>
      </w:r>
      <w:r w:rsidRPr="004426F8">
        <w:rPr>
          <w:rFonts w:asciiTheme="majorBidi" w:hAnsiTheme="majorBidi" w:cstheme="majorBidi"/>
          <w:color w:val="000000" w:themeColor="text1"/>
        </w:rPr>
        <w:t xml:space="preserve">EDS of bentonite (C), </w:t>
      </w:r>
      <w:r w:rsidR="006F7DD4">
        <w:rPr>
          <w:rFonts w:asciiTheme="majorBidi" w:hAnsiTheme="majorBidi" w:cstheme="majorBidi"/>
          <w:color w:val="000000" w:themeColor="text1"/>
        </w:rPr>
        <w:t>k</w:t>
      </w:r>
      <w:r w:rsidR="006F7DD4" w:rsidRPr="004426F8">
        <w:rPr>
          <w:rFonts w:asciiTheme="majorBidi" w:hAnsiTheme="majorBidi" w:cstheme="majorBidi"/>
          <w:color w:val="000000" w:themeColor="text1"/>
        </w:rPr>
        <w:t xml:space="preserve">aolin </w:t>
      </w:r>
      <w:r w:rsidRPr="004426F8">
        <w:rPr>
          <w:rFonts w:asciiTheme="majorBidi" w:hAnsiTheme="majorBidi" w:cstheme="majorBidi"/>
          <w:color w:val="000000" w:themeColor="text1"/>
        </w:rPr>
        <w:t xml:space="preserve">(F) and </w:t>
      </w:r>
      <w:proofErr w:type="spellStart"/>
      <w:r w:rsidRPr="004426F8">
        <w:rPr>
          <w:rFonts w:asciiTheme="majorBidi" w:hAnsiTheme="majorBidi" w:cstheme="majorBidi"/>
          <w:color w:val="000000" w:themeColor="text1"/>
        </w:rPr>
        <w:t>ghassoul</w:t>
      </w:r>
      <w:proofErr w:type="spellEnd"/>
      <w:r w:rsidRPr="004426F8">
        <w:rPr>
          <w:rFonts w:asciiTheme="majorBidi" w:hAnsiTheme="majorBidi" w:cstheme="majorBidi"/>
          <w:color w:val="000000" w:themeColor="text1"/>
        </w:rPr>
        <w:t xml:space="preserve"> (I)</w:t>
      </w:r>
      <w:r w:rsidR="00843FD7">
        <w:rPr>
          <w:rFonts w:asciiTheme="majorBidi" w:hAnsiTheme="majorBidi" w:cstheme="majorBidi"/>
          <w:color w:val="000000" w:themeColor="text1"/>
        </w:rPr>
        <w:t xml:space="preserve">. </w:t>
      </w:r>
    </w:p>
    <w:p w14:paraId="531EC6BF" w14:textId="0B5946DB" w:rsidR="006F7DD4" w:rsidRPr="000E3D8F" w:rsidRDefault="006F7DD4" w:rsidP="000E3D8F">
      <w:pPr>
        <w:pStyle w:val="Lgende"/>
        <w:spacing w:after="0" w:line="240" w:lineRule="auto"/>
        <w:jc w:val="both"/>
      </w:pPr>
    </w:p>
    <w:p w14:paraId="594CA6C5" w14:textId="26501D29" w:rsidR="00607CF3" w:rsidRPr="00871092" w:rsidRDefault="00607CF3" w:rsidP="000E3D8F">
      <w:pPr>
        <w:pStyle w:val="Titre3"/>
        <w:numPr>
          <w:ilvl w:val="1"/>
          <w:numId w:val="21"/>
        </w:numPr>
        <w:spacing w:before="0" w:after="0" w:line="240" w:lineRule="auto"/>
        <w:jc w:val="both"/>
        <w:rPr>
          <w:rFonts w:cstheme="majorBidi"/>
          <w:color w:val="000000" w:themeColor="text1"/>
          <w:sz w:val="22"/>
          <w:szCs w:val="22"/>
        </w:rPr>
      </w:pPr>
      <w:r w:rsidRPr="00871092">
        <w:rPr>
          <w:rFonts w:cstheme="majorBidi"/>
          <w:color w:val="000000" w:themeColor="text1"/>
          <w:sz w:val="22"/>
          <w:szCs w:val="22"/>
        </w:rPr>
        <w:t>Trace element composition</w:t>
      </w:r>
    </w:p>
    <w:p w14:paraId="23BA9DA0" w14:textId="6B1D69AD" w:rsidR="00D50268" w:rsidRPr="00871092" w:rsidRDefault="00D50268" w:rsidP="000C6547">
      <w:pPr>
        <w:spacing w:after="0" w:line="240" w:lineRule="auto"/>
        <w:jc w:val="both"/>
        <w:rPr>
          <w:rFonts w:asciiTheme="majorBidi" w:eastAsia="Times New Roman" w:hAnsiTheme="majorBidi" w:cstheme="majorBidi"/>
        </w:rPr>
      </w:pPr>
      <w:r w:rsidRPr="00871092">
        <w:rPr>
          <w:rFonts w:asciiTheme="majorBidi" w:hAnsiTheme="majorBidi" w:cstheme="majorBidi"/>
          <w:color w:val="5B9BD5" w:themeColor="accent1"/>
        </w:rPr>
        <w:t xml:space="preserve">Table </w:t>
      </w:r>
      <w:r w:rsidR="00F32C54">
        <w:rPr>
          <w:rFonts w:asciiTheme="majorBidi" w:hAnsiTheme="majorBidi" w:cstheme="majorBidi"/>
          <w:color w:val="5B9BD5" w:themeColor="accent1"/>
        </w:rPr>
        <w:t>S2</w:t>
      </w:r>
      <w:r w:rsidRPr="00871092">
        <w:rPr>
          <w:rFonts w:asciiTheme="majorBidi" w:hAnsiTheme="majorBidi" w:cstheme="majorBidi"/>
          <w:color w:val="5B9BD5" w:themeColor="accent1"/>
        </w:rPr>
        <w:t xml:space="preserve"> </w:t>
      </w:r>
      <w:r w:rsidRPr="00871092">
        <w:rPr>
          <w:rFonts w:asciiTheme="majorBidi" w:hAnsiTheme="majorBidi" w:cstheme="majorBidi"/>
          <w:color w:val="000000" w:themeColor="text1"/>
        </w:rPr>
        <w:t xml:space="preserve">presented metal composition of bentonite, kaolin, and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compared with average values for argillaceous rocks (</w:t>
      </w:r>
      <w:proofErr w:type="spellStart"/>
      <w:r w:rsidRPr="00871092">
        <w:rPr>
          <w:rFonts w:asciiTheme="majorBidi" w:hAnsiTheme="majorBidi" w:cstheme="majorBidi"/>
          <w:color w:val="5B9BD5" w:themeColor="accent1"/>
        </w:rPr>
        <w:t>Kabata-Pendias</w:t>
      </w:r>
      <w:proofErr w:type="spellEnd"/>
      <w:r w:rsidRPr="00871092">
        <w:rPr>
          <w:rFonts w:asciiTheme="majorBidi" w:hAnsiTheme="majorBidi" w:cstheme="majorBidi"/>
          <w:color w:val="5B9BD5" w:themeColor="accent1"/>
        </w:rPr>
        <w:t>, 2011</w:t>
      </w:r>
      <w:r w:rsidRPr="00871092">
        <w:rPr>
          <w:rFonts w:asciiTheme="majorBidi" w:hAnsiTheme="majorBidi" w:cstheme="majorBidi"/>
          <w:color w:val="000000" w:themeColor="text1"/>
        </w:rPr>
        <w:t xml:space="preserve">), the </w:t>
      </w:r>
      <w:r w:rsidR="00843FD7">
        <w:rPr>
          <w:rFonts w:asciiTheme="majorBidi" w:hAnsiTheme="majorBidi" w:cstheme="majorBidi"/>
          <w:color w:val="000000" w:themeColor="text1"/>
        </w:rPr>
        <w:t>continental</w:t>
      </w:r>
      <w:r w:rsidR="00843FD7"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rPr>
        <w:t>crust (</w:t>
      </w:r>
      <w:proofErr w:type="spellStart"/>
      <w:r w:rsidRPr="00871092">
        <w:rPr>
          <w:rFonts w:asciiTheme="majorBidi" w:hAnsiTheme="majorBidi" w:cstheme="majorBidi"/>
          <w:color w:val="5B9BD5" w:themeColor="accent1"/>
        </w:rPr>
        <w:t>Kabata-Pendias</w:t>
      </w:r>
      <w:proofErr w:type="spellEnd"/>
      <w:r w:rsidRPr="00871092">
        <w:rPr>
          <w:rFonts w:asciiTheme="majorBidi" w:hAnsiTheme="majorBidi" w:cstheme="majorBidi"/>
          <w:color w:val="5B9BD5" w:themeColor="accent1"/>
        </w:rPr>
        <w:t>, 2011</w:t>
      </w:r>
      <w:r w:rsidRPr="00871092">
        <w:rPr>
          <w:rFonts w:asciiTheme="majorBidi" w:hAnsiTheme="majorBidi" w:cstheme="majorBidi"/>
          <w:color w:val="000000" w:themeColor="text1"/>
        </w:rPr>
        <w:t>), and bulk continental crust</w:t>
      </w:r>
      <w:r w:rsidR="00843FD7">
        <w:rPr>
          <w:rFonts w:asciiTheme="majorBidi" w:hAnsiTheme="majorBidi" w:cstheme="majorBidi"/>
          <w:color w:val="000000" w:themeColor="text1"/>
        </w:rPr>
        <w:t xml:space="preserve"> </w:t>
      </w:r>
      <w:r w:rsidRPr="00871092">
        <w:rPr>
          <w:rFonts w:asciiTheme="majorBidi" w:hAnsiTheme="majorBidi" w:cstheme="majorBidi"/>
          <w:color w:val="000000" w:themeColor="text1"/>
        </w:rPr>
        <w:t>(</w:t>
      </w:r>
      <w:r w:rsidRPr="00871092">
        <w:rPr>
          <w:rFonts w:asciiTheme="majorBidi" w:hAnsiTheme="majorBidi" w:cstheme="majorBidi"/>
          <w:color w:val="5B9BD5" w:themeColor="accent1"/>
        </w:rPr>
        <w:t>Rudnick, 2010</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 xml:space="preserve">According to the data in </w:t>
      </w:r>
      <w:r w:rsidRPr="00871092">
        <w:rPr>
          <w:rFonts w:asciiTheme="majorBidi" w:hAnsiTheme="majorBidi" w:cstheme="majorBidi"/>
          <w:color w:val="5B9BD5" w:themeColor="accent1"/>
        </w:rPr>
        <w:t xml:space="preserve">Table S2 </w:t>
      </w:r>
      <w:r w:rsidRPr="00871092">
        <w:rPr>
          <w:rFonts w:asciiTheme="majorBidi" w:eastAsia="Times New Roman" w:hAnsiTheme="majorBidi" w:cstheme="majorBidi"/>
        </w:rPr>
        <w:t>and the compilations for the superficial earth crust by (</w:t>
      </w:r>
      <w:r w:rsidRPr="00871092">
        <w:rPr>
          <w:rFonts w:asciiTheme="majorBidi" w:eastAsia="Times New Roman" w:hAnsiTheme="majorBidi" w:cstheme="majorBidi"/>
          <w:color w:val="5B9BD5" w:themeColor="accent1"/>
        </w:rPr>
        <w:t>Rudnick and Gao, 2003</w:t>
      </w:r>
      <w:r w:rsidRPr="00871092">
        <w:rPr>
          <w:rFonts w:asciiTheme="majorBidi" w:eastAsia="Times New Roman" w:hAnsiTheme="majorBidi" w:cstheme="majorBidi"/>
        </w:rPr>
        <w:t xml:space="preserve">), bentonite shows low levels of PTEs. The arsenic content is approximately 3.52 mg </w:t>
      </w:r>
      <w:r w:rsidRPr="00871092">
        <w:rPr>
          <w:rFonts w:asciiTheme="majorBidi" w:hAnsiTheme="majorBidi" w:cstheme="majorBidi"/>
          <w:color w:val="000000" w:themeColor="text1"/>
        </w:rPr>
        <w:t>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 xml:space="preserve">which is slightly above upper crust values but remains below the range of 5 to 13 mg </w:t>
      </w:r>
      <w:r w:rsidR="0055351C" w:rsidRPr="00871092">
        <w:rPr>
          <w:rFonts w:asciiTheme="majorBidi" w:hAnsiTheme="majorBidi" w:cstheme="majorBidi"/>
          <w:color w:val="000000" w:themeColor="text1"/>
        </w:rPr>
        <w:t>kg</w:t>
      </w:r>
      <w:r w:rsidR="0055351C"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often reported for argillaceous rocks. The cadmium content is approximately 0.36 mg </w:t>
      </w:r>
      <w:r w:rsidR="0055351C" w:rsidRPr="00871092">
        <w:rPr>
          <w:rFonts w:asciiTheme="majorBidi" w:hAnsiTheme="majorBidi" w:cstheme="majorBidi"/>
          <w:color w:val="000000" w:themeColor="text1"/>
        </w:rPr>
        <w:t>kg</w:t>
      </w:r>
      <w:r w:rsidR="0055351C"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near the high end of natural background levels for clays. The zinc content is approximately 113.</w:t>
      </w:r>
      <w:r w:rsidR="000C6547">
        <w:rPr>
          <w:rFonts w:asciiTheme="majorBidi" w:eastAsia="Times New Roman" w:hAnsiTheme="majorBidi" w:cstheme="majorBidi"/>
        </w:rPr>
        <w:t>3</w:t>
      </w:r>
      <w:r w:rsidRPr="00871092">
        <w:rPr>
          <w:rFonts w:asciiTheme="majorBidi" w:eastAsia="Times New Roman" w:hAnsiTheme="majorBidi" w:cstheme="majorBidi"/>
        </w:rPr>
        <w:t xml:space="preserve"> mg </w:t>
      </w:r>
      <w:r w:rsidRPr="00871092">
        <w:rPr>
          <w:rFonts w:asciiTheme="majorBidi" w:hAnsiTheme="majorBidi" w:cstheme="majorBidi"/>
          <w:color w:val="000000" w:themeColor="text1"/>
        </w:rPr>
        <w:t>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falling within the 80 to 120 mg </w:t>
      </w:r>
      <w:r w:rsidR="0055351C" w:rsidRPr="00871092">
        <w:rPr>
          <w:rFonts w:asciiTheme="majorBidi" w:hAnsiTheme="majorBidi" w:cstheme="majorBidi"/>
          <w:color w:val="000000" w:themeColor="text1"/>
        </w:rPr>
        <w:t>kg</w:t>
      </w:r>
      <w:r w:rsidR="0055351C"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interval for argillaceous rocks. </w:t>
      </w:r>
      <w:r w:rsidR="006F7DD4">
        <w:rPr>
          <w:rFonts w:asciiTheme="majorBidi" w:eastAsia="Times New Roman" w:hAnsiTheme="majorBidi" w:cstheme="majorBidi"/>
        </w:rPr>
        <w:t>O</w:t>
      </w:r>
      <w:r w:rsidRPr="00871092">
        <w:rPr>
          <w:rFonts w:asciiTheme="majorBidi" w:eastAsia="Times New Roman" w:hAnsiTheme="majorBidi" w:cstheme="majorBidi"/>
        </w:rPr>
        <w:t xml:space="preserve">ther cations are minor. In contrast,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is enriched in several PTEs, with concentrations of Mn at </w:t>
      </w:r>
      <w:r w:rsidR="000C6547">
        <w:rPr>
          <w:rFonts w:asciiTheme="majorBidi" w:eastAsia="Times New Roman" w:hAnsiTheme="majorBidi" w:cstheme="majorBidi"/>
        </w:rPr>
        <w:t>668</w:t>
      </w:r>
      <w:r w:rsidRPr="00871092">
        <w:rPr>
          <w:rFonts w:asciiTheme="majorBidi" w:eastAsia="Times New Roman" w:hAnsiTheme="majorBidi" w:cstheme="majorBidi"/>
        </w:rPr>
        <w:t xml:space="preserve">, V </w:t>
      </w:r>
      <w:r w:rsidR="000C6547">
        <w:rPr>
          <w:rFonts w:asciiTheme="majorBidi" w:eastAsia="Times New Roman" w:hAnsiTheme="majorBidi" w:cstheme="majorBidi"/>
        </w:rPr>
        <w:t xml:space="preserve">at </w:t>
      </w:r>
      <w:r w:rsidR="006F7DD4">
        <w:rPr>
          <w:rFonts w:asciiTheme="majorBidi" w:eastAsia="Times New Roman" w:hAnsiTheme="majorBidi" w:cstheme="majorBidi"/>
        </w:rPr>
        <w:t>149</w:t>
      </w:r>
      <w:r w:rsidRPr="00871092">
        <w:rPr>
          <w:rFonts w:asciiTheme="majorBidi" w:eastAsia="Times New Roman" w:hAnsiTheme="majorBidi" w:cstheme="majorBidi"/>
        </w:rPr>
        <w:t xml:space="preserve">, Zn </w:t>
      </w:r>
      <w:r w:rsidR="000C6547">
        <w:rPr>
          <w:rFonts w:asciiTheme="majorBidi" w:eastAsia="Times New Roman" w:hAnsiTheme="majorBidi" w:cstheme="majorBidi"/>
        </w:rPr>
        <w:t xml:space="preserve">at </w:t>
      </w:r>
      <w:r w:rsidR="006F7DD4">
        <w:rPr>
          <w:rFonts w:asciiTheme="majorBidi" w:eastAsia="Times New Roman" w:hAnsiTheme="majorBidi" w:cstheme="majorBidi"/>
        </w:rPr>
        <w:t>167</w:t>
      </w:r>
      <w:r w:rsidRPr="00871092">
        <w:rPr>
          <w:rFonts w:asciiTheme="majorBidi" w:eastAsia="Times New Roman" w:hAnsiTheme="majorBidi" w:cstheme="majorBidi"/>
        </w:rPr>
        <w:t xml:space="preserve">, Cu </w:t>
      </w:r>
      <w:r w:rsidR="000C6547">
        <w:rPr>
          <w:rFonts w:asciiTheme="majorBidi" w:eastAsia="Times New Roman" w:hAnsiTheme="majorBidi" w:cstheme="majorBidi"/>
        </w:rPr>
        <w:t>at 85</w:t>
      </w:r>
      <w:r w:rsidRPr="00871092">
        <w:rPr>
          <w:rFonts w:asciiTheme="majorBidi" w:eastAsia="Times New Roman" w:hAnsiTheme="majorBidi" w:cstheme="majorBidi"/>
        </w:rPr>
        <w:t xml:space="preserve">, Pb </w:t>
      </w:r>
      <w:r w:rsidR="000C6547">
        <w:rPr>
          <w:rFonts w:asciiTheme="majorBidi" w:eastAsia="Times New Roman" w:hAnsiTheme="majorBidi" w:cstheme="majorBidi"/>
        </w:rPr>
        <w:t>at 32</w:t>
      </w:r>
      <w:r w:rsidRPr="00871092">
        <w:rPr>
          <w:rFonts w:asciiTheme="majorBidi" w:eastAsia="Times New Roman" w:hAnsiTheme="majorBidi" w:cstheme="majorBidi"/>
        </w:rPr>
        <w:t xml:space="preserve">, Co at 14, Cd at 2.4, and Ni </w:t>
      </w:r>
      <w:r w:rsidR="000C6547">
        <w:rPr>
          <w:rFonts w:asciiTheme="majorBidi" w:eastAsia="Times New Roman" w:hAnsiTheme="majorBidi" w:cstheme="majorBidi"/>
        </w:rPr>
        <w:t>at 10</w:t>
      </w:r>
      <w:r w:rsidRPr="00871092">
        <w:rPr>
          <w:rFonts w:asciiTheme="majorBidi" w:eastAsia="Times New Roman" w:hAnsiTheme="majorBidi" w:cstheme="majorBidi"/>
        </w:rPr>
        <w:t xml:space="preserve"> mg </w:t>
      </w:r>
      <w:r w:rsidR="0055351C" w:rsidRPr="00871092">
        <w:rPr>
          <w:rFonts w:asciiTheme="majorBidi" w:hAnsiTheme="majorBidi" w:cstheme="majorBidi"/>
          <w:color w:val="000000" w:themeColor="text1"/>
        </w:rPr>
        <w:t>kg</w:t>
      </w:r>
      <w:r w:rsidR="0055351C"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Kaolin is low for PTEs</w:t>
      </w:r>
      <w:r w:rsidR="006F7DD4">
        <w:rPr>
          <w:rFonts w:asciiTheme="majorBidi" w:eastAsia="Times New Roman" w:hAnsiTheme="majorBidi" w:cstheme="majorBidi"/>
        </w:rPr>
        <w:t xml:space="preserve">, </w:t>
      </w:r>
      <w:r w:rsidRPr="00871092">
        <w:rPr>
          <w:rFonts w:asciiTheme="majorBidi" w:eastAsia="Times New Roman" w:hAnsiTheme="majorBidi" w:cstheme="majorBidi"/>
        </w:rPr>
        <w:t>consistent with a</w:t>
      </w:r>
      <w:r w:rsidR="006F7DD4">
        <w:rPr>
          <w:rFonts w:asciiTheme="majorBidi" w:eastAsia="Times New Roman" w:hAnsiTheme="majorBidi" w:cstheme="majorBidi"/>
        </w:rPr>
        <w:t>n i</w:t>
      </w:r>
      <w:r w:rsidRPr="00871092">
        <w:rPr>
          <w:rFonts w:asciiTheme="majorBidi" w:eastAsia="Times New Roman" w:hAnsiTheme="majorBidi" w:cstheme="majorBidi"/>
        </w:rPr>
        <w:t>nert geochemical profile. These PTEs are recognized for their harmful effects on the environment and human health (</w:t>
      </w:r>
      <w:r w:rsidRPr="00871092">
        <w:rPr>
          <w:rFonts w:asciiTheme="majorBidi" w:hAnsiTheme="majorBidi" w:cstheme="majorBidi"/>
          <w:color w:val="5B9BD5" w:themeColor="accent1"/>
        </w:rPr>
        <w:t>Naja and Volesky, 2017</w:t>
      </w:r>
      <w:r w:rsidRPr="00871092">
        <w:rPr>
          <w:rFonts w:asciiTheme="majorBidi" w:eastAsia="Times New Roman" w:hAnsiTheme="majorBidi" w:cstheme="majorBidi"/>
        </w:rPr>
        <w:t xml:space="preserve">). Cd, which is particularly elevated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tends to accumulate in plants and is linked to kidney dysfunction and an increased risk of cancer (</w:t>
      </w:r>
      <w:proofErr w:type="spellStart"/>
      <w:r w:rsidR="0055351C" w:rsidRPr="00871092">
        <w:rPr>
          <w:rFonts w:asciiTheme="majorBidi" w:hAnsiTheme="majorBidi" w:cstheme="majorBidi"/>
          <w:color w:val="5B9BD5" w:themeColor="accent1"/>
        </w:rPr>
        <w:t>Tchounwou</w:t>
      </w:r>
      <w:proofErr w:type="spellEnd"/>
      <w:r w:rsidR="0055351C" w:rsidRPr="00871092">
        <w:rPr>
          <w:rFonts w:asciiTheme="majorBidi" w:hAnsiTheme="majorBidi" w:cstheme="majorBidi"/>
          <w:color w:val="5B9BD5" w:themeColor="accent1"/>
        </w:rPr>
        <w:t xml:space="preserve"> et al., 2012</w:t>
      </w:r>
      <w:r w:rsidRPr="00871092">
        <w:rPr>
          <w:rFonts w:asciiTheme="majorBidi" w:eastAsia="Times New Roman" w:hAnsiTheme="majorBidi" w:cstheme="majorBidi"/>
        </w:rPr>
        <w:t>). As, found in bentonite, is a known carcinogen associated with several types of cancer and chronic health problems (</w:t>
      </w:r>
      <w:r w:rsidR="00DA0DA6" w:rsidRPr="00871092">
        <w:rPr>
          <w:rFonts w:asciiTheme="majorBidi" w:hAnsiTheme="majorBidi" w:cstheme="majorBidi"/>
          <w:color w:val="5B9BD5" w:themeColor="accent1"/>
        </w:rPr>
        <w:t>Smith et al., 2000</w:t>
      </w:r>
      <w:r w:rsidR="00DA0DA6">
        <w:rPr>
          <w:rFonts w:asciiTheme="majorBidi" w:hAnsiTheme="majorBidi" w:cstheme="majorBidi"/>
          <w:color w:val="5B9BD5" w:themeColor="accent1"/>
        </w:rPr>
        <w:t xml:space="preserve">; </w:t>
      </w:r>
      <w:r w:rsidR="0055351C" w:rsidRPr="00871092">
        <w:rPr>
          <w:rFonts w:asciiTheme="majorBidi" w:hAnsiTheme="majorBidi" w:cstheme="majorBidi"/>
          <w:color w:val="5B9BD5" w:themeColor="accent1"/>
        </w:rPr>
        <w:t>Naujokas et al., 2013</w:t>
      </w:r>
      <w:r w:rsidRPr="00871092">
        <w:rPr>
          <w:rFonts w:asciiTheme="majorBidi" w:eastAsia="Times New Roman" w:hAnsiTheme="majorBidi" w:cstheme="majorBidi"/>
        </w:rPr>
        <w:t>). Exposure to Pb and Cd can result in renal and respiratory issues (</w:t>
      </w:r>
      <w:r w:rsidR="0055351C" w:rsidRPr="00871092">
        <w:rPr>
          <w:rFonts w:asciiTheme="majorBidi" w:hAnsiTheme="majorBidi" w:cstheme="majorBidi"/>
          <w:color w:val="5B9BD5" w:themeColor="accent1"/>
        </w:rPr>
        <w:t xml:space="preserve">Patrick, 2006; </w:t>
      </w:r>
      <w:proofErr w:type="spellStart"/>
      <w:r w:rsidR="0055351C" w:rsidRPr="00871092">
        <w:rPr>
          <w:rFonts w:asciiTheme="majorBidi" w:hAnsiTheme="majorBidi" w:cstheme="majorBidi"/>
          <w:color w:val="5B9BD5" w:themeColor="accent1"/>
        </w:rPr>
        <w:t>Tchounwou</w:t>
      </w:r>
      <w:proofErr w:type="spellEnd"/>
      <w:r w:rsidR="0055351C" w:rsidRPr="00871092">
        <w:rPr>
          <w:rFonts w:asciiTheme="majorBidi" w:hAnsiTheme="majorBidi" w:cstheme="majorBidi"/>
          <w:color w:val="5B9BD5" w:themeColor="accent1"/>
        </w:rPr>
        <w:t xml:space="preserve"> et al., 2012</w:t>
      </w:r>
      <w:r w:rsidRPr="00871092">
        <w:rPr>
          <w:rFonts w:asciiTheme="majorBidi" w:eastAsia="Times New Roman" w:hAnsiTheme="majorBidi" w:cstheme="majorBidi"/>
          <w:b/>
          <w:bCs/>
        </w:rPr>
        <w:t>)</w:t>
      </w:r>
      <w:r w:rsidRPr="00871092">
        <w:rPr>
          <w:rFonts w:asciiTheme="majorBidi" w:eastAsia="Times New Roman" w:hAnsiTheme="majorBidi" w:cstheme="majorBidi"/>
        </w:rPr>
        <w:t>. For Zn, although essential in trace amounts, it becomes toxic at elevated concentrations, potentially disrupting soil microbial activity, affecting plant growth, and contaminating aquatic ecosystems, while in humans, excessive exposure may lead to anemia and neurological disorders (</w:t>
      </w:r>
      <w:r w:rsidR="0055351C" w:rsidRPr="00871092">
        <w:rPr>
          <w:rFonts w:asciiTheme="majorBidi" w:hAnsiTheme="majorBidi" w:cstheme="majorBidi"/>
          <w:color w:val="5B9BD5" w:themeColor="accent1"/>
        </w:rPr>
        <w:t xml:space="preserve">Plum et al., 2010; </w:t>
      </w:r>
      <w:proofErr w:type="spellStart"/>
      <w:r w:rsidR="0055351C" w:rsidRPr="00871092">
        <w:rPr>
          <w:rFonts w:asciiTheme="majorBidi" w:hAnsiTheme="majorBidi" w:cstheme="majorBidi"/>
          <w:color w:val="5B9BD5" w:themeColor="accent1"/>
        </w:rPr>
        <w:t>Nagajyoti</w:t>
      </w:r>
      <w:proofErr w:type="spellEnd"/>
      <w:r w:rsidR="0055351C" w:rsidRPr="00871092">
        <w:rPr>
          <w:rFonts w:asciiTheme="majorBidi" w:hAnsiTheme="majorBidi" w:cstheme="majorBidi"/>
          <w:color w:val="5B9BD5" w:themeColor="accent1"/>
        </w:rPr>
        <w:t xml:space="preserve"> et al., 2010</w:t>
      </w:r>
      <w:r w:rsidR="00DA0DA6">
        <w:rPr>
          <w:rFonts w:asciiTheme="majorBidi" w:hAnsiTheme="majorBidi" w:cstheme="majorBidi"/>
          <w:color w:val="5B9BD5" w:themeColor="accent1"/>
        </w:rPr>
        <w:t xml:space="preserve">; </w:t>
      </w:r>
      <w:r w:rsidR="00DA0DA6" w:rsidRPr="00871092">
        <w:rPr>
          <w:rFonts w:asciiTheme="majorBidi" w:hAnsiTheme="majorBidi" w:cstheme="majorBidi"/>
          <w:color w:val="5B9BD5" w:themeColor="accent1"/>
        </w:rPr>
        <w:t>Alloway, 2012</w:t>
      </w:r>
      <w:r w:rsidRPr="00871092">
        <w:rPr>
          <w:rFonts w:asciiTheme="majorBidi" w:eastAsia="Times New Roman" w:hAnsiTheme="majorBidi" w:cstheme="majorBidi"/>
        </w:rPr>
        <w:t xml:space="preserve">). These findings highlight </w:t>
      </w:r>
      <w:r w:rsidR="006F7DD4">
        <w:rPr>
          <w:rFonts w:asciiTheme="majorBidi" w:eastAsia="Times New Roman" w:hAnsiTheme="majorBidi" w:cstheme="majorBidi"/>
        </w:rPr>
        <w:t>for a</w:t>
      </w:r>
      <w:r w:rsidRPr="00871092">
        <w:rPr>
          <w:rFonts w:asciiTheme="majorBidi" w:eastAsia="Times New Roman" w:hAnsiTheme="majorBidi" w:cstheme="majorBidi"/>
        </w:rPr>
        <w:t xml:space="preserve"> carefully evaluating PTE contents in clays, since contaminated bentonite and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commonly used in industrial or commercial products, such as cosmetics and pharmaceuticals, may pose regulatory challenges and direct risks to human health (</w:t>
      </w:r>
      <w:r w:rsidR="0055351C" w:rsidRPr="00871092">
        <w:rPr>
          <w:rFonts w:asciiTheme="majorBidi" w:hAnsiTheme="majorBidi" w:cstheme="majorBidi"/>
          <w:color w:val="5B9BD5" w:themeColor="accent1"/>
        </w:rPr>
        <w:t>Alloway, 2012</w:t>
      </w:r>
      <w:r w:rsidRPr="00871092">
        <w:rPr>
          <w:rFonts w:asciiTheme="majorBidi" w:eastAsia="Times New Roman" w:hAnsiTheme="majorBidi" w:cstheme="majorBidi"/>
        </w:rPr>
        <w:t>).</w:t>
      </w:r>
    </w:p>
    <w:p w14:paraId="33483863" w14:textId="0102C83A" w:rsidR="0055351C" w:rsidRPr="00871092" w:rsidRDefault="0055351C" w:rsidP="000C6547">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lastRenderedPageBreak/>
        <w:t xml:space="preserve">REE patterns differ strongly among the clays. Bentonite and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are REE-enriched relative to upper-crust/bulk-crust references. In bentonite and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Ce reaches </w:t>
      </w:r>
      <w:r w:rsidR="00FD3427" w:rsidRPr="00871092">
        <w:rPr>
          <w:rFonts w:asciiTheme="majorBidi" w:hAnsiTheme="majorBidi" w:cstheme="majorBidi"/>
          <w:color w:val="000000" w:themeColor="text1"/>
        </w:rPr>
        <w:t>95</w:t>
      </w:r>
      <w:r w:rsidRPr="00871092">
        <w:rPr>
          <w:rFonts w:asciiTheme="majorBidi" w:hAnsiTheme="majorBidi" w:cstheme="majorBidi"/>
          <w:color w:val="000000" w:themeColor="text1"/>
        </w:rPr>
        <w:t> mg  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 xml:space="preserve">and </w:t>
      </w:r>
      <w:r w:rsidR="00FD3427" w:rsidRPr="00871092">
        <w:rPr>
          <w:rFonts w:asciiTheme="majorBidi" w:hAnsiTheme="majorBidi" w:cstheme="majorBidi"/>
          <w:color w:val="000000" w:themeColor="text1"/>
        </w:rPr>
        <w:t>79</w:t>
      </w:r>
      <w:r w:rsidRPr="00871092">
        <w:rPr>
          <w:rFonts w:asciiTheme="majorBidi" w:hAnsiTheme="majorBidi" w:cstheme="majorBidi"/>
          <w:color w:val="000000" w:themeColor="text1"/>
        </w:rPr>
        <w:t> mg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respectively, above representative crustal means</w:t>
      </w:r>
      <w:r w:rsidR="006F7DD4">
        <w:rPr>
          <w:rFonts w:asciiTheme="majorBidi" w:eastAsia="Times New Roman" w:hAnsiTheme="majorBidi" w:cstheme="majorBidi"/>
        </w:rPr>
        <w:t xml:space="preserve">. </w:t>
      </w:r>
      <w:r w:rsidRPr="00871092">
        <w:rPr>
          <w:rFonts w:asciiTheme="majorBidi" w:eastAsia="Times New Roman" w:hAnsiTheme="majorBidi" w:cstheme="majorBidi"/>
        </w:rPr>
        <w:t xml:space="preserve">Light REEs are </w:t>
      </w:r>
      <w:r w:rsidR="00FD3427" w:rsidRPr="00871092">
        <w:rPr>
          <w:rFonts w:asciiTheme="majorBidi" w:eastAsia="Times New Roman" w:hAnsiTheme="majorBidi" w:cstheme="majorBidi"/>
        </w:rPr>
        <w:t>high, with La at 49</w:t>
      </w:r>
      <w:r w:rsidRPr="00871092">
        <w:rPr>
          <w:rFonts w:asciiTheme="majorBidi" w:eastAsia="Times New Roman" w:hAnsiTheme="majorBidi" w:cstheme="majorBidi"/>
        </w:rPr>
        <w:t xml:space="preserve"> and Nd at </w:t>
      </w:r>
      <w:r w:rsidR="00FD3427" w:rsidRPr="00871092">
        <w:rPr>
          <w:rFonts w:asciiTheme="majorBidi" w:hAnsiTheme="majorBidi" w:cstheme="majorBidi"/>
          <w:color w:val="000000" w:themeColor="text1"/>
        </w:rPr>
        <w:t>35</w:t>
      </w:r>
      <w:r w:rsidRPr="00871092">
        <w:rPr>
          <w:rFonts w:asciiTheme="majorBidi" w:hAnsiTheme="majorBidi" w:cstheme="majorBidi"/>
          <w:color w:val="000000" w:themeColor="text1"/>
        </w:rPr>
        <w:t> mg  kg</w:t>
      </w:r>
      <w:r w:rsidRPr="00871092">
        <w:rPr>
          <w:rFonts w:asciiTheme="majorBidi" w:hAnsiTheme="majorBidi" w:cstheme="majorBidi"/>
          <w:color w:val="000000" w:themeColor="text1"/>
          <w:vertAlign w:val="superscript"/>
        </w:rPr>
        <w:t xml:space="preserve">-1 </w:t>
      </w:r>
      <w:r w:rsidRPr="00871092">
        <w:rPr>
          <w:rFonts w:asciiTheme="majorBidi" w:eastAsia="Times New Roman" w:hAnsiTheme="majorBidi" w:cstheme="majorBidi"/>
        </w:rPr>
        <w:t xml:space="preserve">in bentonite, and </w:t>
      </w:r>
      <w:r w:rsidR="00FD3427" w:rsidRPr="00871092">
        <w:rPr>
          <w:rFonts w:asciiTheme="majorBidi" w:eastAsia="Times New Roman" w:hAnsiTheme="majorBidi" w:cstheme="majorBidi"/>
        </w:rPr>
        <w:t>La at 39</w:t>
      </w:r>
      <w:r w:rsidRPr="00871092">
        <w:rPr>
          <w:rFonts w:asciiTheme="majorBidi" w:eastAsia="Times New Roman" w:hAnsiTheme="majorBidi" w:cstheme="majorBidi"/>
        </w:rPr>
        <w:t xml:space="preserve"> and Nd </w:t>
      </w:r>
      <w:r w:rsidR="000C6547">
        <w:rPr>
          <w:rFonts w:asciiTheme="majorBidi" w:eastAsia="Times New Roman" w:hAnsiTheme="majorBidi" w:cstheme="majorBidi"/>
        </w:rPr>
        <w:t xml:space="preserve">at </w:t>
      </w:r>
      <w:r w:rsidR="00FD3427" w:rsidRPr="00871092">
        <w:rPr>
          <w:rFonts w:asciiTheme="majorBidi" w:hAnsiTheme="majorBidi" w:cstheme="majorBidi"/>
          <w:color w:val="000000" w:themeColor="text1"/>
        </w:rPr>
        <w:t>33</w:t>
      </w:r>
      <w:r w:rsidRPr="00871092">
        <w:rPr>
          <w:rFonts w:asciiTheme="majorBidi" w:hAnsiTheme="majorBidi" w:cstheme="majorBidi"/>
          <w:color w:val="000000" w:themeColor="text1"/>
        </w:rPr>
        <w:t xml:space="preserve"> mg kg⁻¹ </w:t>
      </w:r>
      <w:r w:rsidRPr="00871092">
        <w:rPr>
          <w:rFonts w:asciiTheme="majorBidi" w:eastAsia="Times New Roman" w:hAnsiTheme="majorBidi" w:cstheme="majorBidi"/>
        </w:rPr>
        <w:t xml:space="preserve">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Heavy REEs (Dy, Er, Yb, Lu) fall near to modestly above crustal values. Kaolin shows lower REE contents</w:t>
      </w:r>
      <w:r w:rsidR="006F7DD4">
        <w:rPr>
          <w:rFonts w:asciiTheme="majorBidi" w:eastAsia="Times New Roman" w:hAnsiTheme="majorBidi" w:cstheme="majorBidi"/>
        </w:rPr>
        <w:t xml:space="preserve"> (</w:t>
      </w:r>
      <w:r w:rsidR="00FD3427" w:rsidRPr="00871092">
        <w:rPr>
          <w:rFonts w:asciiTheme="majorBidi" w:eastAsia="Times New Roman" w:hAnsiTheme="majorBidi" w:cstheme="majorBidi"/>
        </w:rPr>
        <w:t>Ce at 20, La 12.</w:t>
      </w:r>
      <w:r w:rsidRPr="00871092">
        <w:rPr>
          <w:rFonts w:asciiTheme="majorBidi" w:eastAsia="Times New Roman" w:hAnsiTheme="majorBidi" w:cstheme="majorBidi"/>
        </w:rPr>
        <w:t xml:space="preserve"> and N</w:t>
      </w:r>
      <w:r w:rsidR="006F7DD4">
        <w:rPr>
          <w:rFonts w:asciiTheme="majorBidi" w:eastAsia="Times New Roman" w:hAnsiTheme="majorBidi" w:cstheme="majorBidi"/>
        </w:rPr>
        <w:t>d</w:t>
      </w:r>
      <w:r w:rsidRPr="00871092">
        <w:rPr>
          <w:rFonts w:asciiTheme="majorBidi" w:eastAsia="Times New Roman" w:hAnsiTheme="majorBidi" w:cstheme="majorBidi"/>
        </w:rPr>
        <w:t xml:space="preserve"> at </w:t>
      </w:r>
      <w:r w:rsidRPr="00871092">
        <w:rPr>
          <w:rFonts w:asciiTheme="majorBidi" w:hAnsiTheme="majorBidi" w:cstheme="majorBidi"/>
          <w:color w:val="000000" w:themeColor="text1"/>
        </w:rPr>
        <w:t>6.7</w:t>
      </w:r>
      <w:r w:rsidR="006F7DD4">
        <w:rPr>
          <w:rFonts w:asciiTheme="majorBidi" w:hAnsiTheme="majorBidi" w:cstheme="majorBidi"/>
          <w:color w:val="000000" w:themeColor="text1"/>
        </w:rPr>
        <w:t xml:space="preserve">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006F7DD4">
        <w:rPr>
          <w:rFonts w:asciiTheme="majorBidi" w:hAnsiTheme="majorBidi" w:cstheme="majorBidi"/>
          <w:color w:val="000000" w:themeColor="text1"/>
          <w:vertAlign w:val="superscript"/>
        </w:rPr>
        <w:t>)</w:t>
      </w:r>
      <w:r w:rsidRPr="00871092">
        <w:rPr>
          <w:rFonts w:asciiTheme="majorBidi" w:eastAsia="Times New Roman" w:hAnsiTheme="majorBidi" w:cstheme="majorBidi"/>
        </w:rPr>
        <w:t xml:space="preserve">, indicating slight enrichment. The high REE levels in bentonite and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suggest that their parent materials were likely enriched in these elements, potentially due to specific mineralogical sources or geochemical processes like hydrothermal activity, which tend to concentrate REEs (</w:t>
      </w:r>
      <w:proofErr w:type="spellStart"/>
      <w:r w:rsidRPr="00871092">
        <w:rPr>
          <w:rFonts w:asciiTheme="majorBidi" w:eastAsia="Times New Roman" w:hAnsiTheme="majorBidi" w:cstheme="majorBidi"/>
          <w:color w:val="5B9BD5" w:themeColor="accent1"/>
        </w:rPr>
        <w:t>Migdisov</w:t>
      </w:r>
      <w:proofErr w:type="spellEnd"/>
      <w:r w:rsidRPr="00871092">
        <w:rPr>
          <w:rFonts w:asciiTheme="majorBidi" w:eastAsia="Times New Roman" w:hAnsiTheme="majorBidi" w:cstheme="majorBidi"/>
          <w:color w:val="5B9BD5" w:themeColor="accent1"/>
        </w:rPr>
        <w:t xml:space="preserve"> et al., 2016</w:t>
      </w:r>
      <w:r w:rsidRPr="00871092">
        <w:rPr>
          <w:rFonts w:asciiTheme="majorBidi" w:eastAsia="Times New Roman" w:hAnsiTheme="majorBidi" w:cstheme="majorBidi"/>
        </w:rPr>
        <w:t>).</w:t>
      </w:r>
    </w:p>
    <w:p w14:paraId="13967185" w14:textId="77777777" w:rsidR="006F7DD4" w:rsidRDefault="006F7DD4" w:rsidP="006F7DD4">
      <w:pPr>
        <w:pStyle w:val="Titre3"/>
        <w:numPr>
          <w:ilvl w:val="0"/>
          <w:numId w:val="0"/>
        </w:numPr>
        <w:spacing w:before="0" w:after="0" w:line="240" w:lineRule="auto"/>
        <w:ind w:left="720" w:hanging="720"/>
        <w:rPr>
          <w:rFonts w:cstheme="majorBidi"/>
          <w:color w:val="000000" w:themeColor="text1"/>
          <w:sz w:val="22"/>
          <w:szCs w:val="22"/>
        </w:rPr>
      </w:pPr>
    </w:p>
    <w:p w14:paraId="49A527C6" w14:textId="62C8080C" w:rsidR="00607CF3" w:rsidRPr="00871092" w:rsidRDefault="00607CF3" w:rsidP="000E3D8F">
      <w:pPr>
        <w:pStyle w:val="Titre3"/>
        <w:numPr>
          <w:ilvl w:val="1"/>
          <w:numId w:val="21"/>
        </w:numPr>
        <w:spacing w:before="0" w:after="0" w:line="240" w:lineRule="auto"/>
        <w:rPr>
          <w:rFonts w:cstheme="majorBidi"/>
          <w:color w:val="000000" w:themeColor="text1"/>
          <w:sz w:val="22"/>
          <w:szCs w:val="22"/>
        </w:rPr>
      </w:pPr>
      <w:r w:rsidRPr="00871092">
        <w:rPr>
          <w:rFonts w:cstheme="majorBidi"/>
          <w:color w:val="000000" w:themeColor="text1"/>
          <w:sz w:val="22"/>
          <w:szCs w:val="22"/>
        </w:rPr>
        <w:t xml:space="preserve">Radioactivity </w:t>
      </w:r>
      <w:r w:rsidR="006F7DD4">
        <w:rPr>
          <w:rFonts w:cstheme="majorBidi"/>
          <w:color w:val="000000" w:themeColor="text1"/>
          <w:sz w:val="22"/>
          <w:szCs w:val="22"/>
        </w:rPr>
        <w:t>a</w:t>
      </w:r>
      <w:r w:rsidR="006F7DD4" w:rsidRPr="00871092">
        <w:rPr>
          <w:rFonts w:cstheme="majorBidi"/>
          <w:color w:val="000000" w:themeColor="text1"/>
          <w:sz w:val="22"/>
          <w:szCs w:val="22"/>
        </w:rPr>
        <w:t>nalysis</w:t>
      </w:r>
    </w:p>
    <w:p w14:paraId="0CBA0C06" w14:textId="1268900B" w:rsidR="00FD3427" w:rsidRPr="00871092" w:rsidRDefault="0055351C"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The natural radioactivity of the clays revealed clear contrasts in the solid fractions. Radionuclide activity concentrations for bentonite,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and kaolin were presented in </w:t>
      </w:r>
      <w:r w:rsidR="0056188B" w:rsidRPr="00871092">
        <w:rPr>
          <w:rFonts w:asciiTheme="majorBidi" w:hAnsiTheme="majorBidi" w:cstheme="majorBidi"/>
          <w:color w:val="5B9BD5" w:themeColor="accent1"/>
        </w:rPr>
        <w:t>Table 1</w:t>
      </w:r>
      <w:r w:rsidRPr="00871092">
        <w:rPr>
          <w:rFonts w:asciiTheme="majorBidi" w:eastAsia="Times New Roman" w:hAnsiTheme="majorBidi" w:cstheme="majorBidi"/>
        </w:rPr>
        <w:t xml:space="preserv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exhibited higher activity concentrations for several natural radionuclides. The activity of </w:t>
      </w:r>
      <w:r w:rsidR="0056188B" w:rsidRPr="00871092">
        <w:rPr>
          <w:rFonts w:asciiTheme="majorBidi" w:hAnsiTheme="majorBidi" w:cstheme="majorBidi"/>
          <w:color w:val="000000" w:themeColor="text1"/>
          <w:vertAlign w:val="superscript"/>
        </w:rPr>
        <w:t>232</w:t>
      </w:r>
      <w:r w:rsidR="0056188B" w:rsidRPr="00871092">
        <w:rPr>
          <w:rFonts w:asciiTheme="majorBidi" w:hAnsiTheme="majorBidi" w:cstheme="majorBidi"/>
          <w:color w:val="000000" w:themeColor="text1"/>
        </w:rPr>
        <w:t>Th</w:t>
      </w:r>
      <w:r w:rsidR="0056188B" w:rsidRPr="00871092">
        <w:rPr>
          <w:rFonts w:asciiTheme="majorBidi" w:hAnsiTheme="majorBidi" w:cstheme="majorBidi"/>
          <w:color w:val="000000" w:themeColor="text1"/>
          <w:vertAlign w:val="superscript"/>
        </w:rPr>
        <w:t xml:space="preserve"> </w:t>
      </w:r>
      <w:r w:rsidR="0056188B" w:rsidRPr="00871092">
        <w:rPr>
          <w:rFonts w:asciiTheme="majorBidi" w:hAnsiTheme="majorBidi" w:cstheme="majorBidi"/>
          <w:color w:val="000000" w:themeColor="text1"/>
        </w:rPr>
        <w:t xml:space="preserve">for bentonite </w:t>
      </w:r>
      <w:r w:rsidRPr="00871092">
        <w:rPr>
          <w:rFonts w:asciiTheme="majorBidi" w:eastAsia="Times New Roman" w:hAnsiTheme="majorBidi" w:cstheme="majorBidi"/>
        </w:rPr>
        <w:t>(</w:t>
      </w:r>
      <w:r w:rsidR="0056188B" w:rsidRPr="00871092">
        <w:rPr>
          <w:rFonts w:asciiTheme="majorBidi" w:hAnsiTheme="majorBidi" w:cstheme="majorBidi"/>
          <w:color w:val="000000" w:themeColor="text1"/>
        </w:rPr>
        <w:t>7.</w:t>
      </w:r>
      <w:r w:rsidR="00FD3427" w:rsidRPr="00871092">
        <w:rPr>
          <w:rFonts w:asciiTheme="majorBidi" w:hAnsiTheme="majorBidi" w:cstheme="majorBidi"/>
          <w:color w:val="000000" w:themeColor="text1"/>
        </w:rPr>
        <w:t>3</w:t>
      </w:r>
      <w:r w:rsidR="0056188B" w:rsidRPr="00871092">
        <w:rPr>
          <w:rFonts w:asciiTheme="majorBidi" w:hAnsiTheme="majorBidi" w:cstheme="majorBidi"/>
          <w:color w:val="000000" w:themeColor="text1"/>
          <w:kern w:val="0"/>
        </w:rPr>
        <w:t xml:space="preserve"> Bq kg</w:t>
      </w:r>
      <w:r w:rsidR="0056188B" w:rsidRPr="00871092">
        <w:rPr>
          <w:rFonts w:asciiTheme="majorBidi" w:hAnsiTheme="majorBidi" w:cstheme="majorBidi"/>
          <w:color w:val="000000" w:themeColor="text1"/>
          <w:kern w:val="0"/>
          <w:vertAlign w:val="superscript"/>
        </w:rPr>
        <w:t>-1</w:t>
      </w:r>
      <w:r w:rsidRPr="00871092">
        <w:rPr>
          <w:rFonts w:asciiTheme="majorBidi" w:eastAsia="Times New Roman" w:hAnsiTheme="majorBidi" w:cstheme="majorBidi"/>
        </w:rPr>
        <w:t>) and kaolin (</w:t>
      </w:r>
      <w:r w:rsidR="0056188B" w:rsidRPr="00871092">
        <w:rPr>
          <w:rFonts w:asciiTheme="majorBidi" w:hAnsiTheme="majorBidi" w:cstheme="majorBidi"/>
          <w:color w:val="000000" w:themeColor="text1"/>
        </w:rPr>
        <w:t xml:space="preserve">7.40 </w:t>
      </w:r>
      <w:r w:rsidR="0056188B" w:rsidRPr="00871092">
        <w:rPr>
          <w:rFonts w:asciiTheme="majorBidi" w:hAnsiTheme="majorBidi" w:cstheme="majorBidi"/>
          <w:color w:val="000000" w:themeColor="text1"/>
          <w:kern w:val="0"/>
        </w:rPr>
        <w:t>Bq kg</w:t>
      </w:r>
      <w:r w:rsidR="0056188B" w:rsidRPr="00871092">
        <w:rPr>
          <w:rFonts w:asciiTheme="majorBidi" w:hAnsiTheme="majorBidi" w:cstheme="majorBidi"/>
          <w:color w:val="000000" w:themeColor="text1"/>
          <w:kern w:val="0"/>
          <w:vertAlign w:val="superscript"/>
        </w:rPr>
        <w:t>-1</w:t>
      </w:r>
      <w:r w:rsidRPr="00871092">
        <w:rPr>
          <w:rFonts w:asciiTheme="majorBidi" w:eastAsia="Times New Roman" w:hAnsiTheme="majorBidi" w:cstheme="majorBidi"/>
        </w:rPr>
        <w:t xml:space="preserve">) did not exceed the worldwide average of </w:t>
      </w:r>
      <w:r w:rsidR="0056188B" w:rsidRPr="00871092">
        <w:rPr>
          <w:rFonts w:asciiTheme="majorBidi" w:hAnsiTheme="majorBidi" w:cstheme="majorBidi"/>
          <w:color w:val="000000" w:themeColor="text1"/>
        </w:rPr>
        <w:t xml:space="preserve">45 </w:t>
      </w:r>
      <w:r w:rsidR="0056188B" w:rsidRPr="00871092">
        <w:rPr>
          <w:rFonts w:asciiTheme="majorBidi" w:hAnsiTheme="majorBidi" w:cstheme="majorBidi"/>
          <w:color w:val="000000" w:themeColor="text1"/>
          <w:kern w:val="0"/>
        </w:rPr>
        <w:t>Bq kg</w:t>
      </w:r>
      <w:r w:rsidR="0056188B" w:rsidRPr="00871092">
        <w:rPr>
          <w:rFonts w:asciiTheme="majorBidi" w:hAnsiTheme="majorBidi" w:cstheme="majorBidi"/>
          <w:color w:val="000000" w:themeColor="text1"/>
          <w:kern w:val="0"/>
          <w:vertAlign w:val="superscript"/>
        </w:rPr>
        <w:t>-1</w:t>
      </w:r>
      <w:r w:rsidR="0056188B"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w:t>
      </w:r>
      <w:r w:rsidR="0056188B" w:rsidRPr="00871092">
        <w:rPr>
          <w:rFonts w:asciiTheme="majorBidi" w:hAnsiTheme="majorBidi" w:cstheme="majorBidi"/>
          <w:color w:val="5B9BD5" w:themeColor="accent1"/>
        </w:rPr>
        <w:t>UNSCEAR, 2008</w:t>
      </w:r>
      <w:r w:rsidRPr="00871092">
        <w:rPr>
          <w:rFonts w:asciiTheme="majorBidi" w:eastAsia="Times New Roman" w:hAnsiTheme="majorBidi" w:cstheme="majorBidi"/>
        </w:rPr>
        <w:t xml:space="preserve">), while </w:t>
      </w:r>
      <w:proofErr w:type="spellStart"/>
      <w:r w:rsidRPr="00871092">
        <w:rPr>
          <w:rFonts w:asciiTheme="majorBidi" w:eastAsia="Times New Roman" w:hAnsiTheme="majorBidi" w:cstheme="majorBidi"/>
        </w:rPr>
        <w:t>ghassoul's</w:t>
      </w:r>
      <w:proofErr w:type="spellEnd"/>
      <w:r w:rsidRPr="00871092">
        <w:rPr>
          <w:rFonts w:asciiTheme="majorBidi" w:eastAsia="Times New Roman" w:hAnsiTheme="majorBidi" w:cstheme="majorBidi"/>
        </w:rPr>
        <w:t xml:space="preserve"> activity (</w:t>
      </w:r>
      <w:r w:rsidR="0056188B" w:rsidRPr="00871092">
        <w:rPr>
          <w:rFonts w:asciiTheme="majorBidi" w:hAnsiTheme="majorBidi" w:cstheme="majorBidi"/>
          <w:color w:val="000000" w:themeColor="text1"/>
        </w:rPr>
        <w:t>72.</w:t>
      </w:r>
      <w:r w:rsidR="00FD3427" w:rsidRPr="00871092">
        <w:rPr>
          <w:rFonts w:asciiTheme="majorBidi" w:hAnsiTheme="majorBidi" w:cstheme="majorBidi"/>
          <w:color w:val="000000" w:themeColor="text1"/>
        </w:rPr>
        <w:t>4</w:t>
      </w:r>
      <w:r w:rsidR="0056188B" w:rsidRPr="00871092">
        <w:rPr>
          <w:rFonts w:asciiTheme="majorBidi" w:hAnsiTheme="majorBidi" w:cstheme="majorBidi"/>
          <w:color w:val="000000" w:themeColor="text1"/>
        </w:rPr>
        <w:t xml:space="preserve"> Bq kg</w:t>
      </w:r>
      <w:r w:rsidR="0056188B" w:rsidRPr="00871092">
        <w:rPr>
          <w:rFonts w:asciiTheme="majorBidi" w:hAnsiTheme="majorBidi" w:cstheme="majorBidi"/>
          <w:color w:val="000000" w:themeColor="text1"/>
          <w:kern w:val="0"/>
          <w:vertAlign w:val="superscript"/>
        </w:rPr>
        <w:t>-1</w:t>
      </w:r>
      <w:r w:rsidRPr="00871092">
        <w:rPr>
          <w:rFonts w:asciiTheme="majorBidi" w:eastAsia="Times New Roman" w:hAnsiTheme="majorBidi" w:cstheme="majorBidi"/>
        </w:rPr>
        <w:t xml:space="preserve">) was almost twice as high. </w:t>
      </w:r>
      <w:r w:rsidR="0056188B" w:rsidRPr="00871092">
        <w:rPr>
          <w:rFonts w:asciiTheme="majorBidi" w:hAnsiTheme="majorBidi" w:cstheme="majorBidi"/>
          <w:color w:val="000000" w:themeColor="text1"/>
          <w:kern w:val="0"/>
        </w:rPr>
        <w:t xml:space="preserve">The activity of </w:t>
      </w:r>
      <w:r w:rsidR="0056188B" w:rsidRPr="00871092">
        <w:rPr>
          <w:rFonts w:asciiTheme="majorBidi" w:hAnsiTheme="majorBidi" w:cstheme="majorBidi"/>
          <w:color w:val="000000" w:themeColor="text1"/>
          <w:kern w:val="0"/>
          <w:vertAlign w:val="superscript"/>
        </w:rPr>
        <w:t>238</w:t>
      </w:r>
      <w:r w:rsidR="0056188B" w:rsidRPr="00871092">
        <w:rPr>
          <w:rFonts w:asciiTheme="majorBidi" w:hAnsiTheme="majorBidi" w:cstheme="majorBidi"/>
          <w:color w:val="000000" w:themeColor="text1"/>
          <w:kern w:val="0"/>
        </w:rPr>
        <w:t xml:space="preserve">U </w:t>
      </w:r>
      <w:r w:rsidRPr="00871092">
        <w:rPr>
          <w:rFonts w:asciiTheme="majorBidi" w:eastAsia="Times New Roman" w:hAnsiTheme="majorBidi" w:cstheme="majorBidi"/>
        </w:rPr>
        <w:t>was 20, 3</w:t>
      </w:r>
      <w:r w:rsidR="006F7DD4">
        <w:rPr>
          <w:rFonts w:asciiTheme="majorBidi" w:eastAsia="Times New Roman" w:hAnsiTheme="majorBidi" w:cstheme="majorBidi"/>
        </w:rPr>
        <w:t>5</w:t>
      </w:r>
      <w:r w:rsidRPr="00871092">
        <w:rPr>
          <w:rFonts w:asciiTheme="majorBidi" w:eastAsia="Times New Roman" w:hAnsiTheme="majorBidi" w:cstheme="majorBidi"/>
        </w:rPr>
        <w:t xml:space="preserve">, and </w:t>
      </w:r>
      <w:r w:rsidR="00FD3427" w:rsidRPr="00871092">
        <w:rPr>
          <w:rFonts w:asciiTheme="majorBidi" w:hAnsiTheme="majorBidi" w:cstheme="majorBidi"/>
          <w:color w:val="000000" w:themeColor="text1"/>
          <w:kern w:val="0"/>
        </w:rPr>
        <w:t>11</w:t>
      </w:r>
      <w:r w:rsidR="0056188B" w:rsidRPr="00871092">
        <w:rPr>
          <w:rFonts w:asciiTheme="majorBidi" w:hAnsiTheme="majorBidi" w:cstheme="majorBidi"/>
          <w:color w:val="000000" w:themeColor="text1"/>
          <w:kern w:val="0"/>
        </w:rPr>
        <w:t xml:space="preserve"> Bq kg</w:t>
      </w:r>
      <w:r w:rsidR="0056188B" w:rsidRPr="00871092">
        <w:rPr>
          <w:rFonts w:asciiTheme="majorBidi" w:hAnsiTheme="majorBidi" w:cstheme="majorBidi"/>
          <w:color w:val="000000" w:themeColor="text1"/>
          <w:kern w:val="0"/>
          <w:vertAlign w:val="superscript"/>
        </w:rPr>
        <w:t xml:space="preserve">-1 </w:t>
      </w:r>
      <w:r w:rsidRPr="00871092">
        <w:rPr>
          <w:rFonts w:asciiTheme="majorBidi" w:eastAsia="Times New Roman" w:hAnsiTheme="majorBidi" w:cstheme="majorBidi"/>
        </w:rPr>
        <w:t xml:space="preserve">for bentonite,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and kaolin, respectively, all below or close to the average of </w:t>
      </w:r>
      <w:r w:rsidR="0056188B" w:rsidRPr="00871092">
        <w:rPr>
          <w:rFonts w:asciiTheme="majorBidi" w:hAnsiTheme="majorBidi" w:cstheme="majorBidi"/>
          <w:color w:val="000000" w:themeColor="text1"/>
          <w:kern w:val="0"/>
        </w:rPr>
        <w:t>33 Bq kg</w:t>
      </w:r>
      <w:r w:rsidR="0056188B" w:rsidRPr="00871092">
        <w:rPr>
          <w:rFonts w:asciiTheme="majorBidi" w:hAnsiTheme="majorBidi" w:cstheme="majorBidi"/>
          <w:color w:val="000000" w:themeColor="text1"/>
          <w:kern w:val="0"/>
          <w:vertAlign w:val="superscript"/>
        </w:rPr>
        <w:t>-1</w:t>
      </w:r>
      <w:r w:rsidR="0056188B" w:rsidRPr="00871092">
        <w:rPr>
          <w:rFonts w:asciiTheme="majorBidi" w:hAnsiTheme="majorBidi" w:cstheme="majorBidi"/>
          <w:color w:val="000000" w:themeColor="text1"/>
          <w:kern w:val="0"/>
        </w:rPr>
        <w:t xml:space="preserve"> </w:t>
      </w:r>
      <w:r w:rsidRPr="00871092">
        <w:rPr>
          <w:rFonts w:asciiTheme="majorBidi" w:eastAsia="Times New Roman" w:hAnsiTheme="majorBidi" w:cstheme="majorBidi"/>
        </w:rPr>
        <w:t>(</w:t>
      </w:r>
      <w:r w:rsidR="0056188B" w:rsidRPr="00871092">
        <w:rPr>
          <w:rFonts w:asciiTheme="majorBidi" w:hAnsiTheme="majorBidi" w:cstheme="majorBidi"/>
          <w:color w:val="5B9BD5" w:themeColor="accent1"/>
        </w:rPr>
        <w:t>UNSCEAR, 2008</w:t>
      </w:r>
      <w:r w:rsidRPr="00871092">
        <w:rPr>
          <w:rFonts w:asciiTheme="majorBidi" w:eastAsia="Times New Roman" w:hAnsiTheme="majorBidi" w:cstheme="majorBidi"/>
        </w:rPr>
        <w:t xml:space="preserve">). The concentrations of </w:t>
      </w:r>
      <w:r w:rsidR="00FD3427" w:rsidRPr="00871092">
        <w:rPr>
          <w:rFonts w:asciiTheme="majorBidi" w:eastAsia="Times New Roman" w:hAnsiTheme="majorBidi" w:cstheme="majorBidi"/>
          <w:vertAlign w:val="superscript"/>
        </w:rPr>
        <w:t>210</w:t>
      </w:r>
      <w:r w:rsidRPr="00871092">
        <w:rPr>
          <w:rFonts w:asciiTheme="majorBidi" w:eastAsia="Times New Roman" w:hAnsiTheme="majorBidi" w:cstheme="majorBidi"/>
        </w:rPr>
        <w:t xml:space="preserve">Po in bentonite,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and kaolin were </w:t>
      </w:r>
      <w:r w:rsidR="006F7DD4">
        <w:rPr>
          <w:rFonts w:asciiTheme="majorBidi" w:eastAsia="Times New Roman" w:hAnsiTheme="majorBidi" w:cstheme="majorBidi"/>
        </w:rPr>
        <w:t>24</w:t>
      </w:r>
      <w:r w:rsidRPr="00871092">
        <w:rPr>
          <w:rFonts w:asciiTheme="majorBidi" w:eastAsia="Times New Roman" w:hAnsiTheme="majorBidi" w:cstheme="majorBidi"/>
        </w:rPr>
        <w:t xml:space="preserve">, 43, and </w:t>
      </w:r>
      <w:r w:rsidR="0056188B" w:rsidRPr="00871092">
        <w:rPr>
          <w:rFonts w:asciiTheme="majorBidi" w:hAnsiTheme="majorBidi" w:cstheme="majorBidi"/>
          <w:color w:val="000000" w:themeColor="text1"/>
        </w:rPr>
        <w:t>18 Bq kg</w:t>
      </w:r>
      <w:r w:rsidR="0056188B" w:rsidRPr="00871092">
        <w:rPr>
          <w:rFonts w:asciiTheme="majorBidi" w:hAnsiTheme="majorBidi" w:cstheme="majorBidi"/>
          <w:color w:val="000000" w:themeColor="text1"/>
          <w:kern w:val="0"/>
          <w:vertAlign w:val="superscript"/>
        </w:rPr>
        <w:t>-1</w:t>
      </w:r>
      <w:r w:rsidRPr="00871092">
        <w:rPr>
          <w:rFonts w:asciiTheme="majorBidi" w:eastAsia="Times New Roman" w:hAnsiTheme="majorBidi" w:cstheme="majorBidi"/>
        </w:rPr>
        <w:t xml:space="preserve">, respectively, falling within the typical range of </w:t>
      </w:r>
      <w:r w:rsidR="0056188B" w:rsidRPr="00871092">
        <w:rPr>
          <w:rFonts w:asciiTheme="majorBidi" w:hAnsiTheme="majorBidi" w:cstheme="majorBidi"/>
          <w:color w:val="000000" w:themeColor="text1"/>
        </w:rPr>
        <w:t>20-240 Bq kg</w:t>
      </w:r>
      <w:r w:rsidR="0056188B" w:rsidRPr="00871092">
        <w:rPr>
          <w:rFonts w:asciiTheme="majorBidi" w:hAnsiTheme="majorBidi" w:cstheme="majorBidi"/>
          <w:color w:val="000000" w:themeColor="text1"/>
          <w:kern w:val="0"/>
          <w:vertAlign w:val="superscript"/>
        </w:rPr>
        <w:t>-1</w:t>
      </w:r>
      <w:r w:rsidR="0056188B"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for various soils (</w:t>
      </w:r>
      <w:r w:rsidR="0056188B" w:rsidRPr="00871092">
        <w:rPr>
          <w:rFonts w:asciiTheme="majorBidi" w:hAnsiTheme="majorBidi" w:cstheme="majorBidi"/>
          <w:color w:val="5B9BD5" w:themeColor="accent1"/>
        </w:rPr>
        <w:t>Persson and Holm, 2011</w:t>
      </w:r>
      <w:r w:rsidRPr="00871092">
        <w:rPr>
          <w:rFonts w:asciiTheme="majorBidi" w:eastAsia="Times New Roman" w:hAnsiTheme="majorBidi" w:cstheme="majorBidi"/>
        </w:rPr>
        <w:t xml:space="preserve">). The activity of </w:t>
      </w:r>
      <w:r w:rsidR="0056188B" w:rsidRPr="00871092">
        <w:rPr>
          <w:rFonts w:asciiTheme="majorBidi" w:hAnsiTheme="majorBidi" w:cstheme="majorBidi"/>
          <w:color w:val="000000" w:themeColor="text1"/>
          <w:kern w:val="0"/>
          <w:vertAlign w:val="superscript"/>
        </w:rPr>
        <w:t>210</w:t>
      </w:r>
      <w:r w:rsidR="0056188B" w:rsidRPr="00871092">
        <w:rPr>
          <w:rFonts w:asciiTheme="majorBidi" w:hAnsiTheme="majorBidi" w:cstheme="majorBidi"/>
          <w:color w:val="000000" w:themeColor="text1"/>
          <w:kern w:val="0"/>
        </w:rPr>
        <w:t>Pb</w:t>
      </w:r>
      <w:r w:rsidR="00FD3427" w:rsidRPr="00871092">
        <w:rPr>
          <w:rFonts w:asciiTheme="majorBidi" w:hAnsiTheme="majorBidi" w:cstheme="majorBidi"/>
          <w:color w:val="000000" w:themeColor="text1"/>
        </w:rPr>
        <w:t xml:space="preserve"> in </w:t>
      </w:r>
      <w:proofErr w:type="spellStart"/>
      <w:r w:rsidR="00FD3427" w:rsidRPr="00871092">
        <w:rPr>
          <w:rFonts w:asciiTheme="majorBidi" w:hAnsiTheme="majorBidi" w:cstheme="majorBidi"/>
          <w:color w:val="000000" w:themeColor="text1"/>
        </w:rPr>
        <w:t>ghassoul</w:t>
      </w:r>
      <w:proofErr w:type="spellEnd"/>
      <w:r w:rsidR="00FD3427" w:rsidRPr="00871092">
        <w:rPr>
          <w:rFonts w:asciiTheme="majorBidi" w:hAnsiTheme="majorBidi" w:cstheme="majorBidi"/>
          <w:color w:val="000000" w:themeColor="text1"/>
        </w:rPr>
        <w:t xml:space="preserve"> was 4</w:t>
      </w:r>
      <w:r w:rsidR="006F7DD4">
        <w:rPr>
          <w:rFonts w:asciiTheme="majorBidi" w:hAnsiTheme="majorBidi" w:cstheme="majorBidi"/>
          <w:color w:val="000000" w:themeColor="text1"/>
        </w:rPr>
        <w:t>1</w:t>
      </w:r>
      <w:r w:rsidR="0056188B" w:rsidRPr="00871092">
        <w:rPr>
          <w:rFonts w:asciiTheme="majorBidi" w:hAnsiTheme="majorBidi" w:cstheme="majorBidi"/>
          <w:color w:val="000000" w:themeColor="text1"/>
        </w:rPr>
        <w:t xml:space="preserve"> Bq kg</w:t>
      </w:r>
      <w:r w:rsidR="0056188B"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nearly twice that of bentonite (</w:t>
      </w:r>
      <w:r w:rsidR="0056188B" w:rsidRPr="00871092">
        <w:rPr>
          <w:rFonts w:asciiTheme="majorBidi" w:hAnsiTheme="majorBidi" w:cstheme="majorBidi"/>
          <w:color w:val="000000" w:themeColor="text1"/>
        </w:rPr>
        <w:t>2</w:t>
      </w:r>
      <w:r w:rsidR="006F7DD4">
        <w:rPr>
          <w:rFonts w:asciiTheme="majorBidi" w:hAnsiTheme="majorBidi" w:cstheme="majorBidi"/>
          <w:color w:val="000000" w:themeColor="text1"/>
        </w:rPr>
        <w:t>7</w:t>
      </w:r>
      <w:r w:rsidR="0056188B" w:rsidRPr="00871092">
        <w:rPr>
          <w:rFonts w:asciiTheme="majorBidi" w:hAnsiTheme="majorBidi" w:cstheme="majorBidi"/>
          <w:color w:val="000000" w:themeColor="text1"/>
        </w:rPr>
        <w:t xml:space="preserve"> Bq kg</w:t>
      </w:r>
      <w:r w:rsidR="0056188B" w:rsidRPr="00871092">
        <w:rPr>
          <w:rFonts w:asciiTheme="majorBidi" w:hAnsiTheme="majorBidi" w:cstheme="majorBidi"/>
          <w:color w:val="000000" w:themeColor="text1"/>
          <w:kern w:val="0"/>
          <w:vertAlign w:val="superscript"/>
        </w:rPr>
        <w:t>-1</w:t>
      </w:r>
      <w:r w:rsidRPr="00871092">
        <w:rPr>
          <w:rFonts w:asciiTheme="majorBidi" w:eastAsia="Times New Roman" w:hAnsiTheme="majorBidi" w:cstheme="majorBidi"/>
        </w:rPr>
        <w:t>) and kaolin (</w:t>
      </w:r>
      <w:r w:rsidR="006F7DD4">
        <w:rPr>
          <w:rFonts w:asciiTheme="majorBidi" w:hAnsiTheme="majorBidi" w:cstheme="majorBidi"/>
          <w:color w:val="000000" w:themeColor="text1"/>
        </w:rPr>
        <w:t>20</w:t>
      </w:r>
      <w:r w:rsidR="0056188B" w:rsidRPr="00871092">
        <w:rPr>
          <w:rFonts w:asciiTheme="majorBidi" w:hAnsiTheme="majorBidi" w:cstheme="majorBidi"/>
          <w:color w:val="000000" w:themeColor="text1"/>
        </w:rPr>
        <w:t xml:space="preserve"> Bq kg</w:t>
      </w:r>
      <w:r w:rsidR="0056188B"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and slightly above the typical activity level of </w:t>
      </w:r>
      <w:r w:rsidR="0056188B" w:rsidRPr="00871092">
        <w:rPr>
          <w:rFonts w:asciiTheme="majorBidi" w:hAnsiTheme="majorBidi" w:cstheme="majorBidi"/>
          <w:color w:val="000000" w:themeColor="text1"/>
        </w:rPr>
        <w:t>25 Bq kg</w:t>
      </w:r>
      <w:r w:rsidR="0056188B"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in unperturbed soil (</w:t>
      </w:r>
      <w:r w:rsidR="0056188B" w:rsidRPr="00871092">
        <w:rPr>
          <w:rFonts w:asciiTheme="majorBidi" w:hAnsiTheme="majorBidi" w:cstheme="majorBidi"/>
          <w:color w:val="5B9BD5" w:themeColor="accent1"/>
        </w:rPr>
        <w:t>Mihailović et al., 2014</w:t>
      </w:r>
      <w:r w:rsidRPr="00871092">
        <w:rPr>
          <w:rFonts w:asciiTheme="majorBidi" w:eastAsia="Times New Roman" w:hAnsiTheme="majorBidi" w:cstheme="majorBidi"/>
        </w:rPr>
        <w:t xml:space="preserve">). </w:t>
      </w:r>
    </w:p>
    <w:p w14:paraId="03246732" w14:textId="2257ACBB" w:rsidR="006F325A" w:rsidRPr="00871092" w:rsidRDefault="006F325A" w:rsidP="00871092">
      <w:pPr>
        <w:spacing w:after="0" w:line="240" w:lineRule="auto"/>
        <w:jc w:val="both"/>
        <w:rPr>
          <w:rFonts w:asciiTheme="majorBidi" w:eastAsia="Times New Roman" w:hAnsiTheme="majorBidi" w:cstheme="majorBidi"/>
        </w:rPr>
      </w:pPr>
      <w:r w:rsidRPr="00871092">
        <w:rPr>
          <w:rFonts w:asciiTheme="majorBidi" w:hAnsiTheme="majorBidi" w:cstheme="majorBidi"/>
          <w:color w:val="000000" w:themeColor="text1"/>
        </w:rPr>
        <w:t xml:space="preserve">The activity of </w:t>
      </w:r>
      <w:r w:rsidRPr="00871092">
        <w:rPr>
          <w:rFonts w:asciiTheme="majorBidi" w:hAnsiTheme="majorBidi" w:cstheme="majorBidi"/>
          <w:color w:val="000000" w:themeColor="text1"/>
          <w:vertAlign w:val="superscript"/>
        </w:rPr>
        <w:t>234</w:t>
      </w:r>
      <w:r w:rsidRPr="00871092">
        <w:rPr>
          <w:rFonts w:asciiTheme="majorBidi" w:hAnsiTheme="majorBidi" w:cstheme="majorBidi"/>
          <w:color w:val="000000" w:themeColor="text1"/>
        </w:rPr>
        <w:t xml:space="preserve">Th was measured at </w:t>
      </w:r>
      <w:r w:rsidR="0049641C" w:rsidRPr="000F084C">
        <w:rPr>
          <w:rFonts w:asciiTheme="majorBidi" w:hAnsiTheme="majorBidi" w:cstheme="majorBidi"/>
          <w:color w:val="EE0000"/>
        </w:rPr>
        <w:t>4</w:t>
      </w:r>
      <w:r w:rsidR="006F7DD4">
        <w:rPr>
          <w:rFonts w:asciiTheme="majorBidi" w:hAnsiTheme="majorBidi" w:cstheme="majorBidi"/>
          <w:color w:val="EE0000"/>
        </w:rPr>
        <w:t>6</w:t>
      </w:r>
      <w:r w:rsidRPr="00871092">
        <w:rPr>
          <w:rFonts w:asciiTheme="majorBidi" w:hAnsiTheme="majorBidi" w:cstheme="majorBidi"/>
          <w:color w:val="000000" w:themeColor="text1"/>
        </w:rPr>
        <w:t xml:space="preserve"> Bq kg</w:t>
      </w:r>
      <w:r w:rsidRPr="00871092">
        <w:rPr>
          <w:rFonts w:asciiTheme="majorBidi" w:hAnsiTheme="majorBidi" w:cstheme="majorBidi"/>
          <w:color w:val="000000" w:themeColor="text1"/>
          <w:vertAlign w:val="superscript"/>
        </w:rPr>
        <w:t>-1</w:t>
      </w:r>
      <w:r w:rsidR="00FD3427" w:rsidRPr="00871092">
        <w:rPr>
          <w:rFonts w:asciiTheme="majorBidi" w:hAnsiTheme="majorBidi" w:cstheme="majorBidi"/>
          <w:color w:val="000000" w:themeColor="text1"/>
        </w:rPr>
        <w:t xml:space="preserve"> in bentonite, 47</w:t>
      </w:r>
      <w:r w:rsidRPr="00871092">
        <w:rPr>
          <w:rFonts w:asciiTheme="majorBidi" w:hAnsiTheme="majorBidi" w:cstheme="majorBidi"/>
          <w:color w:val="000000" w:themeColor="text1"/>
        </w:rPr>
        <w:t xml:space="preserve"> Bq kg</w:t>
      </w:r>
      <w:r w:rsidRPr="00871092">
        <w:rPr>
          <w:rFonts w:asciiTheme="majorBidi" w:hAnsiTheme="majorBidi" w:cstheme="majorBidi"/>
          <w:color w:val="000000" w:themeColor="text1"/>
          <w:vertAlign w:val="superscript"/>
        </w:rPr>
        <w:t>-1</w:t>
      </w:r>
      <w:r w:rsidR="00FD3427" w:rsidRPr="00871092">
        <w:rPr>
          <w:rFonts w:asciiTheme="majorBidi" w:hAnsiTheme="majorBidi" w:cstheme="majorBidi"/>
          <w:color w:val="000000" w:themeColor="text1"/>
        </w:rPr>
        <w:t xml:space="preserve"> in </w:t>
      </w:r>
      <w:proofErr w:type="spellStart"/>
      <w:r w:rsidR="00FD3427" w:rsidRPr="00871092">
        <w:rPr>
          <w:rFonts w:asciiTheme="majorBidi" w:hAnsiTheme="majorBidi" w:cstheme="majorBidi"/>
          <w:color w:val="000000" w:themeColor="text1"/>
        </w:rPr>
        <w:t>ghassoul</w:t>
      </w:r>
      <w:proofErr w:type="spellEnd"/>
      <w:r w:rsidR="00FD3427" w:rsidRPr="00871092">
        <w:rPr>
          <w:rFonts w:asciiTheme="majorBidi" w:hAnsiTheme="majorBidi" w:cstheme="majorBidi"/>
          <w:color w:val="000000" w:themeColor="text1"/>
        </w:rPr>
        <w:t>, and 20</w:t>
      </w:r>
      <w:r w:rsidRPr="00871092">
        <w:rPr>
          <w:rFonts w:asciiTheme="majorBidi" w:hAnsiTheme="majorBidi" w:cstheme="majorBidi"/>
          <w:color w:val="000000" w:themeColor="text1"/>
        </w:rPr>
        <w:t xml:space="preserve"> Bq 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in kaolin</w:t>
      </w:r>
      <w:r w:rsidRPr="00871092">
        <w:rPr>
          <w:rFonts w:asciiTheme="majorBidi" w:eastAsia="Times New Roman" w:hAnsiTheme="majorBidi" w:cstheme="majorBidi"/>
        </w:rPr>
        <w:t>.</w:t>
      </w:r>
      <w:r w:rsidR="0049641C">
        <w:rPr>
          <w:rFonts w:asciiTheme="majorBidi" w:eastAsia="Times New Roman" w:hAnsiTheme="majorBidi" w:cstheme="majorBidi"/>
        </w:rPr>
        <w:t xml:space="preserve"> The k</w:t>
      </w:r>
      <w:r w:rsidRPr="00871092">
        <w:rPr>
          <w:rFonts w:asciiTheme="majorBidi" w:eastAsia="Times New Roman" w:hAnsiTheme="majorBidi" w:cstheme="majorBidi"/>
        </w:rPr>
        <w:t>aolin fall</w:t>
      </w:r>
      <w:r w:rsidR="006F7DD4">
        <w:rPr>
          <w:rFonts w:asciiTheme="majorBidi" w:eastAsia="Times New Roman" w:hAnsiTheme="majorBidi" w:cstheme="majorBidi"/>
        </w:rPr>
        <w:t>s</w:t>
      </w:r>
      <w:r w:rsidRPr="00871092">
        <w:rPr>
          <w:rFonts w:asciiTheme="majorBidi" w:eastAsia="Times New Roman" w:hAnsiTheme="majorBidi" w:cstheme="majorBidi"/>
        </w:rPr>
        <w:t xml:space="preserve"> below</w:t>
      </w:r>
      <w:r w:rsidR="006F7DD4">
        <w:rPr>
          <w:rFonts w:asciiTheme="majorBidi" w:eastAsia="Times New Roman" w:hAnsiTheme="majorBidi" w:cstheme="majorBidi"/>
        </w:rPr>
        <w:t xml:space="preserve"> </w:t>
      </w:r>
      <w:r w:rsidRPr="00871092">
        <w:rPr>
          <w:rFonts w:asciiTheme="majorBidi" w:eastAsia="Times New Roman" w:hAnsiTheme="majorBidi" w:cstheme="majorBidi"/>
        </w:rPr>
        <w:t xml:space="preserve">the average gamma radiometric background of 25 Bq kg⁻¹ typically reported for agricultural soils, whereas the </w:t>
      </w:r>
      <w:r w:rsidRPr="00871092">
        <w:rPr>
          <w:rFonts w:asciiTheme="majorBidi" w:hAnsiTheme="majorBidi" w:cstheme="majorBidi"/>
          <w:color w:val="000000" w:themeColor="text1"/>
          <w:vertAlign w:val="superscript"/>
        </w:rPr>
        <w:t>234</w:t>
      </w:r>
      <w:r w:rsidRPr="00871092">
        <w:rPr>
          <w:rFonts w:asciiTheme="majorBidi" w:hAnsiTheme="majorBidi" w:cstheme="majorBidi"/>
          <w:color w:val="000000" w:themeColor="text1"/>
        </w:rPr>
        <w:t>Th</w:t>
      </w:r>
      <w:r w:rsidRPr="00871092">
        <w:rPr>
          <w:rFonts w:asciiTheme="majorBidi" w:eastAsia="Times New Roman" w:hAnsiTheme="majorBidi" w:cstheme="majorBidi"/>
        </w:rPr>
        <w:t xml:space="preserve"> activity in </w:t>
      </w:r>
      <w:proofErr w:type="spellStart"/>
      <w:r w:rsidRPr="00871092">
        <w:rPr>
          <w:rFonts w:asciiTheme="majorBidi" w:eastAsia="Times New Roman" w:hAnsiTheme="majorBidi" w:cstheme="majorBidi"/>
        </w:rPr>
        <w:t>ghassoul</w:t>
      </w:r>
      <w:proofErr w:type="spellEnd"/>
      <w:r w:rsidR="0049641C">
        <w:rPr>
          <w:rFonts w:asciiTheme="majorBidi" w:eastAsia="Times New Roman" w:hAnsiTheme="majorBidi" w:cstheme="majorBidi"/>
        </w:rPr>
        <w:t xml:space="preserve"> and bentonite</w:t>
      </w:r>
      <w:r w:rsidRPr="00871092">
        <w:rPr>
          <w:rFonts w:asciiTheme="majorBidi" w:eastAsia="Times New Roman" w:hAnsiTheme="majorBidi" w:cstheme="majorBidi"/>
        </w:rPr>
        <w:t xml:space="preserve"> is nearly twice this reference value (</w:t>
      </w:r>
      <w:r w:rsidRPr="00871092">
        <w:rPr>
          <w:rFonts w:asciiTheme="majorBidi" w:hAnsiTheme="majorBidi" w:cstheme="majorBidi"/>
          <w:color w:val="5B9BD5" w:themeColor="accent1"/>
        </w:rPr>
        <w:t>Ramos-</w:t>
      </w:r>
      <w:proofErr w:type="spellStart"/>
      <w:r w:rsidRPr="00871092">
        <w:rPr>
          <w:rFonts w:asciiTheme="majorBidi" w:hAnsiTheme="majorBidi" w:cstheme="majorBidi"/>
          <w:color w:val="5B9BD5" w:themeColor="accent1"/>
        </w:rPr>
        <w:t>Lerate</w:t>
      </w:r>
      <w:proofErr w:type="spellEnd"/>
      <w:r w:rsidRPr="00871092">
        <w:rPr>
          <w:rFonts w:asciiTheme="majorBidi" w:hAnsiTheme="majorBidi" w:cstheme="majorBidi"/>
          <w:color w:val="5B9BD5" w:themeColor="accent1"/>
        </w:rPr>
        <w:t xml:space="preserve"> et al., 2024</w:t>
      </w:r>
      <w:r w:rsidRPr="00871092">
        <w:rPr>
          <w:rFonts w:asciiTheme="majorBidi" w:eastAsia="Times New Roman" w:hAnsiTheme="majorBidi" w:cstheme="majorBidi"/>
        </w:rPr>
        <w:t xml:space="preserve">). </w:t>
      </w:r>
      <w:r w:rsidRPr="00871092">
        <w:rPr>
          <w:rFonts w:asciiTheme="majorBidi" w:hAnsiTheme="majorBidi" w:cstheme="majorBidi"/>
          <w:color w:val="000000" w:themeColor="text1"/>
          <w:vertAlign w:val="superscript"/>
        </w:rPr>
        <w:t>214</w:t>
      </w:r>
      <w:r w:rsidRPr="00871092">
        <w:rPr>
          <w:rFonts w:asciiTheme="majorBidi" w:hAnsiTheme="majorBidi" w:cstheme="majorBidi"/>
          <w:color w:val="000000" w:themeColor="text1"/>
        </w:rPr>
        <w:t>Pb</w:t>
      </w:r>
      <w:r w:rsidRPr="00871092">
        <w:rPr>
          <w:rFonts w:asciiTheme="majorBidi" w:eastAsia="Times New Roman" w:hAnsiTheme="majorBidi" w:cstheme="majorBidi"/>
        </w:rPr>
        <w:t xml:space="preserve">, a decay product of </w:t>
      </w:r>
      <w:r w:rsidRPr="00871092">
        <w:rPr>
          <w:rFonts w:asciiTheme="majorBidi" w:hAnsiTheme="majorBidi" w:cstheme="majorBidi"/>
          <w:color w:val="000000" w:themeColor="text1"/>
          <w:vertAlign w:val="superscript"/>
        </w:rPr>
        <w:t>226</w:t>
      </w:r>
      <w:r w:rsidRPr="00871092">
        <w:rPr>
          <w:rFonts w:asciiTheme="majorBidi" w:hAnsiTheme="majorBidi" w:cstheme="majorBidi"/>
          <w:color w:val="000000" w:themeColor="text1"/>
        </w:rPr>
        <w:t>Ra</w:t>
      </w:r>
      <w:r w:rsidRPr="00871092">
        <w:rPr>
          <w:rFonts w:asciiTheme="majorBidi" w:eastAsia="Times New Roman" w:hAnsiTheme="majorBidi" w:cstheme="majorBidi"/>
        </w:rPr>
        <w:t xml:space="preserve">, showed activities of </w:t>
      </w:r>
      <w:r w:rsidR="0049641C" w:rsidRPr="000F084C">
        <w:rPr>
          <w:rFonts w:asciiTheme="majorBidi" w:hAnsiTheme="majorBidi" w:cstheme="majorBidi"/>
          <w:color w:val="EE0000"/>
        </w:rPr>
        <w:t>2</w:t>
      </w:r>
      <w:r w:rsidR="006F7DD4">
        <w:rPr>
          <w:rFonts w:asciiTheme="majorBidi" w:hAnsiTheme="majorBidi" w:cstheme="majorBidi"/>
          <w:color w:val="EE0000"/>
        </w:rPr>
        <w:t>5</w:t>
      </w:r>
      <w:r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-1</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 xml:space="preserve">in bentonite, </w:t>
      </w:r>
      <w:r w:rsidR="00FD3427" w:rsidRPr="00871092">
        <w:rPr>
          <w:rFonts w:asciiTheme="majorBidi" w:hAnsiTheme="majorBidi" w:cstheme="majorBidi"/>
          <w:color w:val="000000" w:themeColor="text1"/>
        </w:rPr>
        <w:t>45</w:t>
      </w:r>
      <w:r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 xml:space="preserve">-1 </w:t>
      </w:r>
      <w:r w:rsidRPr="00871092">
        <w:rPr>
          <w:rFonts w:asciiTheme="majorBidi" w:eastAsia="Times New Roman" w:hAnsiTheme="majorBidi" w:cstheme="majorBidi"/>
        </w:rPr>
        <w:t xml:space="preserve">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and </w:t>
      </w:r>
      <w:r w:rsidR="00FD3427" w:rsidRPr="00871092">
        <w:rPr>
          <w:rFonts w:asciiTheme="majorBidi" w:hAnsiTheme="majorBidi" w:cstheme="majorBidi"/>
          <w:color w:val="000000" w:themeColor="text1"/>
        </w:rPr>
        <w:t>20</w:t>
      </w:r>
      <w:r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 xml:space="preserve">-1 </w:t>
      </w:r>
      <w:r w:rsidRPr="00871092">
        <w:rPr>
          <w:rFonts w:asciiTheme="majorBidi" w:eastAsia="Times New Roman" w:hAnsiTheme="majorBidi" w:cstheme="majorBidi"/>
        </w:rPr>
        <w:t xml:space="preserve">in kaolin, slightly exceeding the average of </w:t>
      </w:r>
      <w:r w:rsidRPr="00871092">
        <w:rPr>
          <w:rFonts w:asciiTheme="majorBidi" w:hAnsiTheme="majorBidi" w:cstheme="majorBidi"/>
          <w:color w:val="000000" w:themeColor="text1"/>
        </w:rPr>
        <w:t xml:space="preserve">32 </w:t>
      </w: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 xml:space="preserve">-1 </w:t>
      </w:r>
      <w:r w:rsidRPr="00871092">
        <w:rPr>
          <w:rFonts w:asciiTheme="majorBidi" w:eastAsia="Times New Roman" w:hAnsiTheme="majorBidi" w:cstheme="majorBidi"/>
        </w:rPr>
        <w:t>for undisturbed soils</w:t>
      </w:r>
      <w:r w:rsidR="0049641C">
        <w:rPr>
          <w:rFonts w:asciiTheme="majorBidi" w:eastAsia="Times New Roman" w:hAnsiTheme="majorBidi" w:cstheme="majorBidi"/>
        </w:rPr>
        <w:t xml:space="preserve"> for </w:t>
      </w:r>
      <w:proofErr w:type="spellStart"/>
      <w:r w:rsidR="0049641C" w:rsidRPr="000F084C">
        <w:rPr>
          <w:rFonts w:asciiTheme="majorBidi" w:eastAsia="Times New Roman" w:hAnsiTheme="majorBidi" w:cstheme="majorBidi"/>
          <w:color w:val="EE0000"/>
        </w:rPr>
        <w:t>ghassoul</w:t>
      </w:r>
      <w:proofErr w:type="spellEnd"/>
      <w:r w:rsidR="0049641C" w:rsidRPr="000F084C">
        <w:rPr>
          <w:rFonts w:asciiTheme="majorBidi" w:eastAsia="Times New Roman" w:hAnsiTheme="majorBidi" w:cstheme="majorBidi"/>
          <w:color w:val="EE0000"/>
        </w:rPr>
        <w:t xml:space="preserve"> clay</w:t>
      </w:r>
      <w:r w:rsidRPr="00871092">
        <w:rPr>
          <w:rFonts w:asciiTheme="majorBidi" w:eastAsia="Times New Roman" w:hAnsiTheme="majorBidi" w:cstheme="majorBidi"/>
        </w:rPr>
        <w:t xml:space="preserve">. In contrast, </w:t>
      </w:r>
      <w:r w:rsidRPr="00871092">
        <w:rPr>
          <w:rFonts w:asciiTheme="majorBidi" w:hAnsiTheme="majorBidi" w:cstheme="majorBidi"/>
          <w:color w:val="000000" w:themeColor="text1"/>
          <w:vertAlign w:val="superscript"/>
        </w:rPr>
        <w:t>228</w:t>
      </w:r>
      <w:r w:rsidRPr="00871092">
        <w:rPr>
          <w:rFonts w:asciiTheme="majorBidi" w:hAnsiTheme="majorBidi" w:cstheme="majorBidi"/>
          <w:color w:val="000000" w:themeColor="text1"/>
        </w:rPr>
        <w:t>Ac (</w:t>
      </w:r>
      <w:r w:rsidRPr="00871092">
        <w:rPr>
          <w:rFonts w:asciiTheme="majorBidi" w:hAnsiTheme="majorBidi" w:cstheme="majorBidi"/>
          <w:color w:val="000000" w:themeColor="text1"/>
          <w:vertAlign w:val="superscript"/>
        </w:rPr>
        <w:t>228</w:t>
      </w:r>
      <w:r w:rsidRPr="00871092">
        <w:rPr>
          <w:rFonts w:asciiTheme="majorBidi" w:hAnsiTheme="majorBidi" w:cstheme="majorBidi"/>
          <w:color w:val="000000" w:themeColor="text1"/>
        </w:rPr>
        <w:t>Ra)</w:t>
      </w:r>
      <w:r w:rsidRPr="00871092">
        <w:rPr>
          <w:rFonts w:asciiTheme="majorBidi" w:eastAsia="Times New Roman" w:hAnsiTheme="majorBidi" w:cstheme="majorBidi"/>
        </w:rPr>
        <w:t xml:space="preserve">, associated with the </w:t>
      </w:r>
      <w:r w:rsidR="00FD3427" w:rsidRPr="00871092">
        <w:rPr>
          <w:rFonts w:asciiTheme="majorBidi" w:hAnsiTheme="majorBidi" w:cstheme="majorBidi"/>
          <w:color w:val="000000" w:themeColor="text1"/>
          <w:vertAlign w:val="superscript"/>
        </w:rPr>
        <w:t>232</w:t>
      </w:r>
      <w:r w:rsidR="00FD3427" w:rsidRPr="00871092">
        <w:rPr>
          <w:rFonts w:asciiTheme="majorBidi" w:hAnsiTheme="majorBidi" w:cstheme="majorBidi"/>
          <w:color w:val="000000" w:themeColor="text1"/>
        </w:rPr>
        <w:t>Th</w:t>
      </w:r>
      <w:r w:rsidR="00FD3427" w:rsidRPr="00871092">
        <w:rPr>
          <w:rFonts w:asciiTheme="majorBidi" w:eastAsia="Times New Roman" w:hAnsiTheme="majorBidi" w:cstheme="majorBidi"/>
        </w:rPr>
        <w:t xml:space="preserve"> </w:t>
      </w:r>
      <w:r w:rsidRPr="00871092">
        <w:rPr>
          <w:rFonts w:asciiTheme="majorBidi" w:eastAsia="Times New Roman" w:hAnsiTheme="majorBidi" w:cstheme="majorBidi"/>
        </w:rPr>
        <w:t>decay series, showed a high activity in bentonite (</w:t>
      </w:r>
      <w:r w:rsidR="00FD3427" w:rsidRPr="00871092">
        <w:rPr>
          <w:rFonts w:asciiTheme="majorBidi" w:hAnsiTheme="majorBidi" w:cstheme="majorBidi"/>
          <w:color w:val="000000" w:themeColor="text1"/>
        </w:rPr>
        <w:t>219</w:t>
      </w:r>
      <w:r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-1</w:t>
      </w:r>
      <w:r w:rsidRPr="00871092">
        <w:rPr>
          <w:rFonts w:asciiTheme="majorBidi" w:eastAsia="Times New Roman" w:hAnsiTheme="majorBidi" w:cstheme="majorBidi"/>
        </w:rPr>
        <w:t xml:space="preserve">) and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t>
      </w:r>
      <w:r w:rsidR="00FD3427" w:rsidRPr="00871092">
        <w:rPr>
          <w:rFonts w:asciiTheme="majorBidi" w:hAnsiTheme="majorBidi" w:cstheme="majorBidi"/>
          <w:color w:val="000000" w:themeColor="text1"/>
        </w:rPr>
        <w:t>8</w:t>
      </w:r>
      <w:r w:rsidR="006F7DD4">
        <w:rPr>
          <w:rFonts w:asciiTheme="majorBidi" w:hAnsiTheme="majorBidi" w:cstheme="majorBidi"/>
          <w:color w:val="000000" w:themeColor="text1"/>
        </w:rPr>
        <w:t>9</w:t>
      </w:r>
      <w:r w:rsidRPr="00871092">
        <w:rPr>
          <w:rFonts w:asciiTheme="majorBidi" w:hAnsiTheme="majorBidi" w:cstheme="majorBidi"/>
          <w:color w:val="000000" w:themeColor="text1"/>
        </w:rPr>
        <w:t xml:space="preserve"> </w:t>
      </w: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-1</w:t>
      </w:r>
      <w:r w:rsidRPr="00871092">
        <w:rPr>
          <w:rFonts w:asciiTheme="majorBidi" w:eastAsia="Times New Roman" w:hAnsiTheme="majorBidi" w:cstheme="majorBidi"/>
        </w:rPr>
        <w:t xml:space="preserve">), which is explained by their high Th concentrations measured by </w:t>
      </w:r>
      <w:r w:rsidRPr="00871092">
        <w:rPr>
          <w:rFonts w:asciiTheme="majorBidi" w:hAnsiTheme="majorBidi" w:cstheme="majorBidi"/>
          <w:color w:val="000000" w:themeColor="text1"/>
        </w:rPr>
        <w:t xml:space="preserve">ICP-OES as </w:t>
      </w:r>
      <w:r w:rsidR="00FD3427" w:rsidRPr="00871092">
        <w:rPr>
          <w:rFonts w:asciiTheme="majorBidi" w:eastAsia="Times New Roman" w:hAnsiTheme="majorBidi" w:cstheme="majorBidi"/>
          <w:color w:val="000000" w:themeColor="text1"/>
          <w:kern w:val="0"/>
        </w:rPr>
        <w:t>47.7</w:t>
      </w:r>
      <w:r w:rsidRPr="00871092">
        <w:rPr>
          <w:rFonts w:asciiTheme="majorBidi" w:eastAsia="Times New Roman" w:hAnsiTheme="majorBidi" w:cstheme="majorBidi"/>
          <w:color w:val="000000" w:themeColor="text1"/>
          <w:kern w:val="0"/>
        </w:rPr>
        <w:t xml:space="preserve">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for bentonite and </w:t>
      </w:r>
      <w:r w:rsidR="00FD3427" w:rsidRPr="00871092">
        <w:rPr>
          <w:rFonts w:asciiTheme="majorBidi" w:eastAsia="Times New Roman" w:hAnsiTheme="majorBidi" w:cstheme="majorBidi"/>
          <w:color w:val="000000" w:themeColor="text1"/>
          <w:kern w:val="0"/>
        </w:rPr>
        <w:t>20.3</w:t>
      </w:r>
      <w:r w:rsidRPr="00871092">
        <w:rPr>
          <w:rFonts w:asciiTheme="majorBidi" w:eastAsia="Times New Roman" w:hAnsiTheme="majorBidi" w:cstheme="majorBidi"/>
          <w:b/>
          <w:bCs/>
          <w:color w:val="000000" w:themeColor="text1"/>
          <w:kern w:val="0"/>
        </w:rPr>
        <w:t xml:space="preserve">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for </w:t>
      </w:r>
      <w:proofErr w:type="spellStart"/>
      <w:r w:rsidRPr="00871092">
        <w:rPr>
          <w:rFonts w:asciiTheme="majorBidi" w:hAnsiTheme="majorBidi" w:cstheme="majorBidi"/>
          <w:color w:val="000000" w:themeColor="text1"/>
        </w:rPr>
        <w:t>ghassoul</w:t>
      </w:r>
      <w:proofErr w:type="spellEnd"/>
      <w:r w:rsidRPr="00871092">
        <w:rPr>
          <w:rFonts w:asciiTheme="majorBidi" w:hAnsiTheme="majorBidi" w:cstheme="majorBidi"/>
          <w:color w:val="000000" w:themeColor="text1"/>
        </w:rPr>
        <w:t>) (</w:t>
      </w:r>
      <w:r w:rsidRPr="00871092">
        <w:rPr>
          <w:rFonts w:asciiTheme="majorBidi" w:hAnsiTheme="majorBidi" w:cstheme="majorBidi"/>
          <w:color w:val="5B9BD5" w:themeColor="accent1"/>
        </w:rPr>
        <w:t>Table S1</w:t>
      </w:r>
      <w:r w:rsidRPr="00871092">
        <w:rPr>
          <w:rFonts w:asciiTheme="majorBidi" w:hAnsiTheme="majorBidi" w:cstheme="majorBidi"/>
          <w:color w:val="000000" w:themeColor="text1"/>
        </w:rPr>
        <w:t>)</w:t>
      </w:r>
      <w:r w:rsidRPr="00871092">
        <w:rPr>
          <w:rFonts w:asciiTheme="majorBidi" w:eastAsia="Times New Roman" w:hAnsiTheme="majorBidi" w:cstheme="majorBidi"/>
        </w:rPr>
        <w:t xml:space="preserve">. Maximum </w:t>
      </w:r>
      <w:r w:rsidRPr="00871092">
        <w:rPr>
          <w:rFonts w:asciiTheme="majorBidi" w:hAnsiTheme="majorBidi" w:cstheme="majorBidi"/>
          <w:color w:val="000000" w:themeColor="text1"/>
          <w:vertAlign w:val="superscript"/>
        </w:rPr>
        <w:t>40</w:t>
      </w:r>
      <w:r w:rsidRPr="00871092">
        <w:rPr>
          <w:rFonts w:asciiTheme="majorBidi" w:hAnsiTheme="majorBidi" w:cstheme="majorBidi"/>
          <w:color w:val="000000" w:themeColor="text1"/>
        </w:rPr>
        <w:t>K</w:t>
      </w:r>
      <w:r w:rsidRPr="00871092">
        <w:rPr>
          <w:rFonts w:asciiTheme="majorBidi" w:eastAsia="Times New Roman" w:hAnsiTheme="majorBidi" w:cstheme="majorBidi"/>
        </w:rPr>
        <w:t xml:space="preserve"> activity was obtained in kaolin (</w:t>
      </w:r>
      <w:r w:rsidR="00FD3427" w:rsidRPr="00871092">
        <w:rPr>
          <w:rFonts w:asciiTheme="majorBidi" w:hAnsiTheme="majorBidi" w:cstheme="majorBidi"/>
          <w:color w:val="000000" w:themeColor="text1"/>
        </w:rPr>
        <w:t>11</w:t>
      </w:r>
      <w:r w:rsidR="006F7DD4">
        <w:rPr>
          <w:rFonts w:asciiTheme="majorBidi" w:hAnsiTheme="majorBidi" w:cstheme="majorBidi"/>
          <w:color w:val="000000" w:themeColor="text1"/>
        </w:rPr>
        <w:t>30</w:t>
      </w:r>
      <w:r w:rsidRPr="00871092">
        <w:rPr>
          <w:rFonts w:asciiTheme="majorBidi" w:hAnsiTheme="majorBidi" w:cstheme="majorBidi"/>
          <w:color w:val="000000" w:themeColor="text1"/>
        </w:rPr>
        <w:t xml:space="preserve"> Bq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followed by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t>
      </w:r>
      <w:r w:rsidR="00FD3427" w:rsidRPr="00871092">
        <w:rPr>
          <w:rFonts w:asciiTheme="majorBidi" w:hAnsiTheme="majorBidi" w:cstheme="majorBidi"/>
          <w:color w:val="000000" w:themeColor="text1"/>
        </w:rPr>
        <w:t>54</w:t>
      </w:r>
      <w:r w:rsidR="006F7DD4">
        <w:rPr>
          <w:rFonts w:asciiTheme="majorBidi" w:hAnsiTheme="majorBidi" w:cstheme="majorBidi"/>
          <w:color w:val="000000" w:themeColor="text1"/>
        </w:rPr>
        <w:t>1</w:t>
      </w:r>
      <w:r w:rsidRPr="00871092">
        <w:rPr>
          <w:rFonts w:asciiTheme="majorBidi" w:hAnsiTheme="majorBidi" w:cstheme="majorBidi"/>
          <w:color w:val="000000" w:themeColor="text1"/>
        </w:rPr>
        <w:t xml:space="preserve"> Bq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and bentonite (</w:t>
      </w:r>
      <w:r w:rsidR="00FD3427" w:rsidRPr="00871092">
        <w:rPr>
          <w:rFonts w:asciiTheme="majorBidi" w:hAnsiTheme="majorBidi" w:cstheme="majorBidi"/>
          <w:color w:val="000000" w:themeColor="text1"/>
        </w:rPr>
        <w:t>285</w:t>
      </w:r>
      <w:r w:rsidRPr="00871092">
        <w:rPr>
          <w:rFonts w:asciiTheme="majorBidi" w:hAnsiTheme="majorBidi" w:cstheme="majorBidi"/>
          <w:color w:val="000000" w:themeColor="text1"/>
        </w:rPr>
        <w:t xml:space="preserve"> Bq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whereas the activity concentration of </w:t>
      </w:r>
      <w:r w:rsidRPr="00871092">
        <w:rPr>
          <w:rFonts w:asciiTheme="majorBidi" w:hAnsiTheme="majorBidi" w:cstheme="majorBidi"/>
          <w:color w:val="000000" w:themeColor="text1"/>
          <w:vertAlign w:val="superscript"/>
        </w:rPr>
        <w:t>40</w:t>
      </w:r>
      <w:r w:rsidRPr="00871092">
        <w:rPr>
          <w:rFonts w:asciiTheme="majorBidi" w:hAnsiTheme="majorBidi" w:cstheme="majorBidi"/>
          <w:color w:val="000000" w:themeColor="text1"/>
        </w:rPr>
        <w:t>K</w:t>
      </w:r>
      <w:r w:rsidRPr="00871092">
        <w:rPr>
          <w:rFonts w:asciiTheme="majorBidi" w:eastAsia="Times New Roman" w:hAnsiTheme="majorBidi" w:cstheme="majorBidi"/>
        </w:rPr>
        <w:t xml:space="preserve"> in unperturbed soils is about </w:t>
      </w:r>
      <w:r w:rsidRPr="00871092">
        <w:rPr>
          <w:rFonts w:asciiTheme="majorBidi" w:hAnsiTheme="majorBidi" w:cstheme="majorBidi"/>
          <w:color w:val="000000" w:themeColor="text1"/>
        </w:rPr>
        <w:t xml:space="preserve">420 </w:t>
      </w: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-1</w:t>
      </w:r>
      <w:r w:rsidRPr="00871092">
        <w:rPr>
          <w:rFonts w:asciiTheme="majorBidi" w:hAnsiTheme="majorBidi" w:cstheme="majorBidi"/>
          <w:color w:val="000000" w:themeColor="text1"/>
        </w:rPr>
        <w:t xml:space="preserve"> (</w:t>
      </w:r>
      <w:r w:rsidRPr="00871092">
        <w:rPr>
          <w:rFonts w:asciiTheme="majorBidi" w:hAnsiTheme="majorBidi" w:cstheme="majorBidi"/>
          <w:color w:val="5B9BD5" w:themeColor="accent1"/>
        </w:rPr>
        <w:t>UNSCEAR, 2008</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 xml:space="preserve">This is consistent with XRF-derived </w:t>
      </w:r>
      <w:r w:rsidR="00FD3427" w:rsidRPr="00871092">
        <w:rPr>
          <w:rFonts w:asciiTheme="majorBidi" w:hAnsiTheme="majorBidi" w:cstheme="majorBidi"/>
          <w:color w:val="000000" w:themeColor="text1"/>
        </w:rPr>
        <w:t>K</w:t>
      </w:r>
      <w:r w:rsidR="00FD3427" w:rsidRPr="00871092">
        <w:rPr>
          <w:rFonts w:asciiTheme="majorBidi" w:hAnsiTheme="majorBidi" w:cstheme="majorBidi"/>
          <w:color w:val="000000" w:themeColor="text1"/>
          <w:vertAlign w:val="subscript"/>
        </w:rPr>
        <w:t>2</w:t>
      </w:r>
      <w:r w:rsidR="00FD3427" w:rsidRPr="00871092">
        <w:rPr>
          <w:rFonts w:asciiTheme="majorBidi" w:hAnsiTheme="majorBidi" w:cstheme="majorBidi"/>
          <w:color w:val="000000" w:themeColor="text1"/>
        </w:rPr>
        <w:t>O</w:t>
      </w:r>
      <w:r w:rsidR="00FD3427" w:rsidRPr="00871092">
        <w:rPr>
          <w:rFonts w:asciiTheme="majorBidi" w:eastAsia="Times New Roman" w:hAnsiTheme="majorBidi" w:cstheme="majorBidi"/>
        </w:rPr>
        <w:t xml:space="preserve"> </w:t>
      </w:r>
      <w:r w:rsidRPr="00871092">
        <w:rPr>
          <w:rFonts w:asciiTheme="majorBidi" w:eastAsia="Times New Roman" w:hAnsiTheme="majorBidi" w:cstheme="majorBidi"/>
        </w:rPr>
        <w:t xml:space="preserve">contents, which were highest in kaolin (3.9%), moderate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(2.0%), and lowest in bentonite (0.8%) (</w:t>
      </w:r>
      <w:r w:rsidR="00FD3427" w:rsidRPr="00871092">
        <w:rPr>
          <w:rFonts w:asciiTheme="majorBidi" w:hAnsiTheme="majorBidi" w:cstheme="majorBidi"/>
          <w:color w:val="5B9BD5" w:themeColor="accent1"/>
        </w:rPr>
        <w:t>Table S2</w:t>
      </w:r>
      <w:r w:rsidRPr="00871092">
        <w:rPr>
          <w:rFonts w:asciiTheme="majorBidi" w:eastAsia="Times New Roman" w:hAnsiTheme="majorBidi" w:cstheme="majorBidi"/>
        </w:rPr>
        <w:t>).</w:t>
      </w:r>
    </w:p>
    <w:p w14:paraId="3507E598" w14:textId="77777777" w:rsidR="006F325A" w:rsidRPr="00871092" w:rsidRDefault="006F325A" w:rsidP="00871092">
      <w:pPr>
        <w:spacing w:after="0" w:line="240" w:lineRule="auto"/>
        <w:jc w:val="both"/>
        <w:rPr>
          <w:rFonts w:asciiTheme="majorBidi" w:hAnsiTheme="majorBidi" w:cstheme="majorBidi"/>
          <w:color w:val="000000" w:themeColor="text1"/>
        </w:rPr>
      </w:pPr>
    </w:p>
    <w:p w14:paraId="3840179F" w14:textId="044EB6AA" w:rsidR="00607CF3" w:rsidRPr="00871092" w:rsidRDefault="00607CF3" w:rsidP="00871092">
      <w:pPr>
        <w:pStyle w:val="Lgende"/>
        <w:keepNext/>
        <w:spacing w:after="0" w:line="240" w:lineRule="auto"/>
        <w:rPr>
          <w:rFonts w:asciiTheme="majorBidi" w:hAnsiTheme="majorBidi" w:cstheme="majorBidi"/>
          <w:b w:val="0"/>
          <w:bCs w:val="0"/>
          <w:color w:val="000000" w:themeColor="text1"/>
          <w:kern w:val="0"/>
          <w:sz w:val="22"/>
          <w:szCs w:val="22"/>
        </w:rPr>
      </w:pPr>
      <w:r w:rsidRPr="00871092">
        <w:rPr>
          <w:rFonts w:asciiTheme="majorBidi" w:hAnsiTheme="majorBidi" w:cstheme="majorBidi"/>
          <w:color w:val="000000" w:themeColor="text1"/>
          <w:sz w:val="22"/>
          <w:szCs w:val="22"/>
        </w:rPr>
        <w:t xml:space="preserve">Table </w:t>
      </w:r>
      <w:r w:rsidR="004B6B60" w:rsidRPr="00871092">
        <w:rPr>
          <w:rFonts w:asciiTheme="majorBidi" w:hAnsiTheme="majorBidi" w:cstheme="majorBidi"/>
          <w:color w:val="000000" w:themeColor="text1"/>
          <w:sz w:val="22"/>
          <w:szCs w:val="22"/>
        </w:rPr>
        <w:t>1</w:t>
      </w:r>
      <w:r w:rsidRPr="00871092">
        <w:rPr>
          <w:rFonts w:asciiTheme="majorBidi" w:hAnsiTheme="majorBidi" w:cstheme="majorBidi"/>
          <w:color w:val="000000" w:themeColor="text1"/>
          <w:sz w:val="22"/>
          <w:szCs w:val="22"/>
        </w:rPr>
        <w:t xml:space="preserve"> </w:t>
      </w:r>
      <w:r w:rsidRPr="00871092">
        <w:rPr>
          <w:rFonts w:asciiTheme="majorBidi" w:hAnsiTheme="majorBidi" w:cstheme="majorBidi"/>
          <w:b w:val="0"/>
          <w:bCs w:val="0"/>
          <w:color w:val="000000" w:themeColor="text1"/>
          <w:kern w:val="0"/>
          <w:sz w:val="22"/>
          <w:szCs w:val="22"/>
        </w:rPr>
        <w:t xml:space="preserve">α and γ emission of bentonite, </w:t>
      </w:r>
      <w:proofErr w:type="spellStart"/>
      <w:r w:rsidRPr="00871092">
        <w:rPr>
          <w:rFonts w:asciiTheme="majorBidi" w:hAnsiTheme="majorBidi" w:cstheme="majorBidi"/>
          <w:b w:val="0"/>
          <w:bCs w:val="0"/>
          <w:color w:val="000000" w:themeColor="text1"/>
          <w:kern w:val="0"/>
          <w:sz w:val="22"/>
          <w:szCs w:val="22"/>
        </w:rPr>
        <w:t>ghassoul</w:t>
      </w:r>
      <w:proofErr w:type="spellEnd"/>
      <w:r w:rsidRPr="00871092">
        <w:rPr>
          <w:rFonts w:asciiTheme="majorBidi" w:hAnsiTheme="majorBidi" w:cstheme="majorBidi"/>
          <w:b w:val="0"/>
          <w:bCs w:val="0"/>
          <w:color w:val="000000" w:themeColor="text1"/>
          <w:kern w:val="0"/>
          <w:sz w:val="22"/>
          <w:szCs w:val="22"/>
        </w:rPr>
        <w:t xml:space="preserve"> and kaolin</w:t>
      </w:r>
    </w:p>
    <w:tbl>
      <w:tblPr>
        <w:tblStyle w:val="Grilledetableauclaire1"/>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26"/>
        <w:gridCol w:w="263"/>
        <w:gridCol w:w="1326"/>
        <w:gridCol w:w="65"/>
        <w:gridCol w:w="1391"/>
        <w:gridCol w:w="132"/>
        <w:gridCol w:w="1259"/>
        <w:gridCol w:w="330"/>
        <w:gridCol w:w="1315"/>
        <w:gridCol w:w="274"/>
        <w:gridCol w:w="1589"/>
      </w:tblGrid>
      <w:tr w:rsidR="00607CF3" w:rsidRPr="00871092" w14:paraId="0E1B65FE" w14:textId="77777777" w:rsidTr="007B2B22">
        <w:trPr>
          <w:trHeight w:val="57"/>
        </w:trPr>
        <w:tc>
          <w:tcPr>
            <w:tcW w:w="5000" w:type="pct"/>
            <w:gridSpan w:val="11"/>
            <w:tcBorders>
              <w:top w:val="single" w:sz="12" w:space="0" w:color="auto"/>
              <w:bottom w:val="single" w:sz="12" w:space="0" w:color="auto"/>
            </w:tcBorders>
            <w:noWrap/>
            <w:vAlign w:val="center"/>
          </w:tcPr>
          <w:p w14:paraId="0DD70D06"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α-emitter radionuclides (</w:t>
            </w:r>
            <w:bookmarkStart w:id="4" w:name="_Hlk180001895"/>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-1</w:t>
            </w:r>
            <w:bookmarkEnd w:id="4"/>
            <w:r w:rsidRPr="00871092">
              <w:rPr>
                <w:rFonts w:asciiTheme="majorBidi" w:hAnsiTheme="majorBidi" w:cstheme="majorBidi"/>
                <w:color w:val="000000" w:themeColor="text1"/>
                <w:kern w:val="0"/>
              </w:rPr>
              <w:t>)</w:t>
            </w:r>
          </w:p>
        </w:tc>
      </w:tr>
      <w:tr w:rsidR="00DA38C9" w:rsidRPr="00871092" w14:paraId="7CFF17EB" w14:textId="77777777" w:rsidTr="007B2B22">
        <w:trPr>
          <w:trHeight w:val="57"/>
        </w:trPr>
        <w:tc>
          <w:tcPr>
            <w:tcW w:w="620" w:type="pct"/>
            <w:tcBorders>
              <w:top w:val="single" w:sz="12" w:space="0" w:color="auto"/>
            </w:tcBorders>
            <w:noWrap/>
            <w:vAlign w:val="center"/>
            <w:hideMark/>
          </w:tcPr>
          <w:p w14:paraId="4C246756"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Clay</w:t>
            </w:r>
          </w:p>
        </w:tc>
        <w:tc>
          <w:tcPr>
            <w:tcW w:w="876" w:type="pct"/>
            <w:gridSpan w:val="2"/>
            <w:tcBorders>
              <w:top w:val="single" w:sz="12" w:space="0" w:color="auto"/>
            </w:tcBorders>
            <w:noWrap/>
            <w:vAlign w:val="center"/>
            <w:hideMark/>
          </w:tcPr>
          <w:p w14:paraId="2B9D3293"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230</w:t>
            </w:r>
            <w:r w:rsidRPr="00871092">
              <w:rPr>
                <w:rFonts w:asciiTheme="majorBidi" w:hAnsiTheme="majorBidi" w:cstheme="majorBidi"/>
                <w:color w:val="000000" w:themeColor="text1"/>
                <w:kern w:val="0"/>
              </w:rPr>
              <w:t>Th</w:t>
            </w:r>
          </w:p>
        </w:tc>
        <w:tc>
          <w:tcPr>
            <w:tcW w:w="876" w:type="pct"/>
            <w:gridSpan w:val="3"/>
            <w:tcBorders>
              <w:top w:val="single" w:sz="12" w:space="0" w:color="auto"/>
            </w:tcBorders>
            <w:noWrap/>
            <w:vAlign w:val="center"/>
            <w:hideMark/>
          </w:tcPr>
          <w:p w14:paraId="48A9ED32"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232</w:t>
            </w:r>
            <w:r w:rsidRPr="00871092">
              <w:rPr>
                <w:rFonts w:asciiTheme="majorBidi" w:hAnsiTheme="majorBidi" w:cstheme="majorBidi"/>
                <w:color w:val="000000" w:themeColor="text1"/>
                <w:kern w:val="0"/>
              </w:rPr>
              <w:t>Th</w:t>
            </w:r>
          </w:p>
        </w:tc>
        <w:tc>
          <w:tcPr>
            <w:tcW w:w="876" w:type="pct"/>
            <w:gridSpan w:val="2"/>
            <w:tcBorders>
              <w:top w:val="single" w:sz="12" w:space="0" w:color="auto"/>
            </w:tcBorders>
            <w:noWrap/>
            <w:vAlign w:val="center"/>
            <w:hideMark/>
          </w:tcPr>
          <w:p w14:paraId="39FD6F0E"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234</w:t>
            </w:r>
            <w:r w:rsidRPr="00871092">
              <w:rPr>
                <w:rFonts w:asciiTheme="majorBidi" w:hAnsiTheme="majorBidi" w:cstheme="majorBidi"/>
                <w:color w:val="000000" w:themeColor="text1"/>
                <w:kern w:val="0"/>
              </w:rPr>
              <w:t>U</w:t>
            </w:r>
          </w:p>
        </w:tc>
        <w:tc>
          <w:tcPr>
            <w:tcW w:w="876" w:type="pct"/>
            <w:gridSpan w:val="2"/>
            <w:tcBorders>
              <w:top w:val="single" w:sz="12" w:space="0" w:color="auto"/>
            </w:tcBorders>
            <w:noWrap/>
            <w:vAlign w:val="center"/>
            <w:hideMark/>
          </w:tcPr>
          <w:p w14:paraId="4A9A4866"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238</w:t>
            </w:r>
            <w:r w:rsidRPr="00871092">
              <w:rPr>
                <w:rFonts w:asciiTheme="majorBidi" w:hAnsiTheme="majorBidi" w:cstheme="majorBidi"/>
                <w:color w:val="000000" w:themeColor="text1"/>
                <w:kern w:val="0"/>
              </w:rPr>
              <w:t>U</w:t>
            </w:r>
          </w:p>
        </w:tc>
        <w:tc>
          <w:tcPr>
            <w:tcW w:w="876" w:type="pct"/>
            <w:tcBorders>
              <w:top w:val="single" w:sz="12" w:space="0" w:color="auto"/>
            </w:tcBorders>
            <w:noWrap/>
            <w:vAlign w:val="center"/>
            <w:hideMark/>
          </w:tcPr>
          <w:p w14:paraId="527C1359" w14:textId="1F0A1DEB" w:rsidR="00DA38C9" w:rsidRPr="00871092" w:rsidRDefault="00DA38C9" w:rsidP="00871092">
            <w:pPr>
              <w:rPr>
                <w:rFonts w:asciiTheme="majorBidi" w:hAnsiTheme="majorBidi" w:cstheme="majorBidi"/>
                <w:strike/>
                <w:color w:val="000000" w:themeColor="text1"/>
                <w:kern w:val="0"/>
              </w:rPr>
            </w:pPr>
            <w:r w:rsidRPr="00871092">
              <w:rPr>
                <w:rFonts w:asciiTheme="majorBidi" w:hAnsiTheme="majorBidi" w:cstheme="majorBidi"/>
                <w:color w:val="000000" w:themeColor="text1"/>
                <w:kern w:val="0"/>
                <w:vertAlign w:val="superscript"/>
              </w:rPr>
              <w:t>210</w:t>
            </w:r>
            <w:r w:rsidRPr="00871092">
              <w:rPr>
                <w:rFonts w:asciiTheme="majorBidi" w:hAnsiTheme="majorBidi" w:cstheme="majorBidi"/>
                <w:color w:val="000000" w:themeColor="text1"/>
                <w:kern w:val="0"/>
              </w:rPr>
              <w:t>Po</w:t>
            </w:r>
          </w:p>
        </w:tc>
      </w:tr>
      <w:tr w:rsidR="00DA38C9" w:rsidRPr="00871092" w14:paraId="1BF27114" w14:textId="77777777" w:rsidTr="007B2B22">
        <w:trPr>
          <w:trHeight w:val="57"/>
        </w:trPr>
        <w:tc>
          <w:tcPr>
            <w:tcW w:w="620" w:type="pct"/>
            <w:noWrap/>
            <w:vAlign w:val="center"/>
            <w:hideMark/>
          </w:tcPr>
          <w:p w14:paraId="6145835C"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Bentonite</w:t>
            </w:r>
          </w:p>
        </w:tc>
        <w:tc>
          <w:tcPr>
            <w:tcW w:w="876" w:type="pct"/>
            <w:gridSpan w:val="2"/>
            <w:vAlign w:val="center"/>
            <w:hideMark/>
          </w:tcPr>
          <w:p w14:paraId="42CD5D54"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8.4 ± 0.8</w:t>
            </w:r>
          </w:p>
        </w:tc>
        <w:tc>
          <w:tcPr>
            <w:tcW w:w="876" w:type="pct"/>
            <w:gridSpan w:val="3"/>
            <w:vAlign w:val="center"/>
            <w:hideMark/>
          </w:tcPr>
          <w:p w14:paraId="5B82317C"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7.3 ± 1.0</w:t>
            </w:r>
          </w:p>
        </w:tc>
        <w:tc>
          <w:tcPr>
            <w:tcW w:w="876" w:type="pct"/>
            <w:gridSpan w:val="2"/>
            <w:vAlign w:val="center"/>
            <w:hideMark/>
          </w:tcPr>
          <w:p w14:paraId="2CB15750"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28.9 ± 2.2</w:t>
            </w:r>
          </w:p>
        </w:tc>
        <w:tc>
          <w:tcPr>
            <w:tcW w:w="876" w:type="pct"/>
            <w:gridSpan w:val="2"/>
            <w:vAlign w:val="center"/>
            <w:hideMark/>
          </w:tcPr>
          <w:p w14:paraId="2A6F55CE"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20.3 ± 1.3</w:t>
            </w:r>
          </w:p>
        </w:tc>
        <w:tc>
          <w:tcPr>
            <w:tcW w:w="876" w:type="pct"/>
            <w:vAlign w:val="center"/>
            <w:hideMark/>
          </w:tcPr>
          <w:p w14:paraId="63A0693F" w14:textId="708191C0" w:rsidR="00DA38C9" w:rsidRPr="00871092" w:rsidRDefault="00DA38C9" w:rsidP="00871092">
            <w:pPr>
              <w:rPr>
                <w:rFonts w:asciiTheme="majorBidi" w:hAnsiTheme="majorBidi" w:cstheme="majorBidi"/>
                <w:strike/>
                <w:color w:val="000000" w:themeColor="text1"/>
                <w:kern w:val="0"/>
              </w:rPr>
            </w:pPr>
            <w:r w:rsidRPr="00871092">
              <w:rPr>
                <w:rFonts w:asciiTheme="majorBidi" w:hAnsiTheme="majorBidi" w:cstheme="majorBidi"/>
                <w:color w:val="000000" w:themeColor="text1"/>
                <w:kern w:val="0"/>
              </w:rPr>
              <w:t>23.8 ± 1.9</w:t>
            </w:r>
          </w:p>
        </w:tc>
      </w:tr>
      <w:tr w:rsidR="00DA38C9" w:rsidRPr="00871092" w14:paraId="187E4F04" w14:textId="77777777" w:rsidTr="007B2B22">
        <w:trPr>
          <w:trHeight w:val="57"/>
        </w:trPr>
        <w:tc>
          <w:tcPr>
            <w:tcW w:w="620" w:type="pct"/>
            <w:noWrap/>
            <w:vAlign w:val="center"/>
          </w:tcPr>
          <w:p w14:paraId="3EE8C1EA" w14:textId="77777777" w:rsidR="00DA38C9" w:rsidRPr="00871092" w:rsidRDefault="00DA38C9" w:rsidP="00871092">
            <w:pPr>
              <w:rPr>
                <w:rFonts w:asciiTheme="majorBidi" w:hAnsiTheme="majorBidi" w:cstheme="majorBidi"/>
                <w:color w:val="000000" w:themeColor="text1"/>
                <w:kern w:val="0"/>
              </w:rPr>
            </w:pPr>
            <w:proofErr w:type="spellStart"/>
            <w:r w:rsidRPr="00871092">
              <w:rPr>
                <w:rFonts w:asciiTheme="majorBidi" w:hAnsiTheme="majorBidi" w:cstheme="majorBidi"/>
                <w:color w:val="000000" w:themeColor="text1"/>
                <w:kern w:val="0"/>
              </w:rPr>
              <w:t>Ghassoul</w:t>
            </w:r>
            <w:proofErr w:type="spellEnd"/>
          </w:p>
        </w:tc>
        <w:tc>
          <w:tcPr>
            <w:tcW w:w="876" w:type="pct"/>
            <w:gridSpan w:val="2"/>
            <w:vAlign w:val="center"/>
          </w:tcPr>
          <w:p w14:paraId="026409F3" w14:textId="1022C286"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38.4 ± 1.8</w:t>
            </w:r>
          </w:p>
        </w:tc>
        <w:tc>
          <w:tcPr>
            <w:tcW w:w="876" w:type="pct"/>
            <w:gridSpan w:val="3"/>
            <w:vAlign w:val="center"/>
          </w:tcPr>
          <w:p w14:paraId="52DE5DE2" w14:textId="4D6539A4"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72.4 ± 6.0</w:t>
            </w:r>
          </w:p>
        </w:tc>
        <w:tc>
          <w:tcPr>
            <w:tcW w:w="876" w:type="pct"/>
            <w:gridSpan w:val="2"/>
            <w:vAlign w:val="center"/>
          </w:tcPr>
          <w:p w14:paraId="37C48032" w14:textId="45546FF6"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41.3 ± 3.4</w:t>
            </w:r>
          </w:p>
        </w:tc>
        <w:tc>
          <w:tcPr>
            <w:tcW w:w="876" w:type="pct"/>
            <w:gridSpan w:val="2"/>
            <w:vAlign w:val="center"/>
          </w:tcPr>
          <w:p w14:paraId="0876C786" w14:textId="298EB768"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34.8 ± 2.1 </w:t>
            </w:r>
          </w:p>
        </w:tc>
        <w:tc>
          <w:tcPr>
            <w:tcW w:w="876" w:type="pct"/>
            <w:vAlign w:val="center"/>
          </w:tcPr>
          <w:p w14:paraId="21D8E2B7" w14:textId="547F517D" w:rsidR="00DA38C9" w:rsidRPr="00871092" w:rsidRDefault="00DA38C9" w:rsidP="00871092">
            <w:pPr>
              <w:rPr>
                <w:rFonts w:asciiTheme="majorBidi" w:hAnsiTheme="majorBidi" w:cstheme="majorBidi"/>
                <w:strike/>
                <w:color w:val="000000" w:themeColor="text1"/>
                <w:kern w:val="0"/>
              </w:rPr>
            </w:pPr>
            <w:r w:rsidRPr="00871092">
              <w:rPr>
                <w:rFonts w:asciiTheme="majorBidi" w:hAnsiTheme="majorBidi" w:cstheme="majorBidi"/>
                <w:color w:val="000000" w:themeColor="text1"/>
                <w:kern w:val="0"/>
              </w:rPr>
              <w:t xml:space="preserve">43.3 ± 3.1 </w:t>
            </w:r>
          </w:p>
        </w:tc>
      </w:tr>
      <w:tr w:rsidR="00DA38C9" w:rsidRPr="00871092" w14:paraId="65792CB2" w14:textId="77777777" w:rsidTr="007B2B22">
        <w:trPr>
          <w:trHeight w:val="57"/>
        </w:trPr>
        <w:tc>
          <w:tcPr>
            <w:tcW w:w="620" w:type="pct"/>
            <w:noWrap/>
            <w:vAlign w:val="center"/>
            <w:hideMark/>
          </w:tcPr>
          <w:p w14:paraId="40A9F956"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Kaolin</w:t>
            </w:r>
          </w:p>
        </w:tc>
        <w:tc>
          <w:tcPr>
            <w:tcW w:w="876" w:type="pct"/>
            <w:gridSpan w:val="2"/>
            <w:vAlign w:val="center"/>
            <w:hideMark/>
          </w:tcPr>
          <w:p w14:paraId="53CF2A83" w14:textId="592F55F3"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14.5 ± 2.1</w:t>
            </w:r>
          </w:p>
        </w:tc>
        <w:tc>
          <w:tcPr>
            <w:tcW w:w="876" w:type="pct"/>
            <w:gridSpan w:val="3"/>
            <w:vAlign w:val="center"/>
            <w:hideMark/>
          </w:tcPr>
          <w:p w14:paraId="4D9ECE5D" w14:textId="4DED8AD9"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7.40 ± 2.4</w:t>
            </w:r>
          </w:p>
        </w:tc>
        <w:tc>
          <w:tcPr>
            <w:tcW w:w="876" w:type="pct"/>
            <w:gridSpan w:val="2"/>
            <w:vAlign w:val="center"/>
            <w:hideMark/>
          </w:tcPr>
          <w:p w14:paraId="605F9967" w14:textId="782298EB"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14.8 ± 1.8</w:t>
            </w:r>
          </w:p>
        </w:tc>
        <w:tc>
          <w:tcPr>
            <w:tcW w:w="876" w:type="pct"/>
            <w:gridSpan w:val="2"/>
            <w:vAlign w:val="center"/>
            <w:hideMark/>
          </w:tcPr>
          <w:p w14:paraId="4E8CF988" w14:textId="2995D81A"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11.2 ± 1.5</w:t>
            </w:r>
          </w:p>
        </w:tc>
        <w:tc>
          <w:tcPr>
            <w:tcW w:w="876" w:type="pct"/>
            <w:vAlign w:val="center"/>
            <w:hideMark/>
          </w:tcPr>
          <w:p w14:paraId="6BE258E5" w14:textId="6A06E4E1" w:rsidR="00DA38C9" w:rsidRPr="00871092" w:rsidRDefault="00DA38C9" w:rsidP="00871092">
            <w:pPr>
              <w:rPr>
                <w:rFonts w:asciiTheme="majorBidi" w:hAnsiTheme="majorBidi" w:cstheme="majorBidi"/>
                <w:strike/>
                <w:color w:val="000000" w:themeColor="text1"/>
                <w:kern w:val="0"/>
              </w:rPr>
            </w:pPr>
            <w:r w:rsidRPr="00871092">
              <w:rPr>
                <w:rFonts w:asciiTheme="majorBidi" w:hAnsiTheme="majorBidi" w:cstheme="majorBidi"/>
                <w:color w:val="000000" w:themeColor="text1"/>
                <w:kern w:val="0"/>
              </w:rPr>
              <w:t xml:space="preserve">18.1 ± 2.2 </w:t>
            </w:r>
          </w:p>
        </w:tc>
      </w:tr>
      <w:tr w:rsidR="00DA38C9" w:rsidRPr="00871092" w14:paraId="722CDE30" w14:textId="77777777" w:rsidTr="007B2B22">
        <w:trPr>
          <w:trHeight w:val="57"/>
        </w:trPr>
        <w:tc>
          <w:tcPr>
            <w:tcW w:w="620" w:type="pct"/>
            <w:tcBorders>
              <w:bottom w:val="single" w:sz="12" w:space="0" w:color="auto"/>
            </w:tcBorders>
            <w:noWrap/>
            <w:vAlign w:val="center"/>
          </w:tcPr>
          <w:p w14:paraId="74B48AE4"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WA*</w:t>
            </w:r>
          </w:p>
        </w:tc>
        <w:tc>
          <w:tcPr>
            <w:tcW w:w="876" w:type="pct"/>
            <w:gridSpan w:val="2"/>
            <w:tcBorders>
              <w:bottom w:val="single" w:sz="12" w:space="0" w:color="auto"/>
            </w:tcBorders>
            <w:vAlign w:val="center"/>
          </w:tcPr>
          <w:p w14:paraId="4D41520D"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45</w:t>
            </w:r>
          </w:p>
        </w:tc>
        <w:tc>
          <w:tcPr>
            <w:tcW w:w="876" w:type="pct"/>
            <w:gridSpan w:val="3"/>
            <w:tcBorders>
              <w:bottom w:val="single" w:sz="12" w:space="0" w:color="auto"/>
            </w:tcBorders>
            <w:vAlign w:val="center"/>
          </w:tcPr>
          <w:p w14:paraId="5DF59510"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45</w:t>
            </w:r>
          </w:p>
        </w:tc>
        <w:tc>
          <w:tcPr>
            <w:tcW w:w="876" w:type="pct"/>
            <w:gridSpan w:val="2"/>
            <w:tcBorders>
              <w:bottom w:val="single" w:sz="12" w:space="0" w:color="auto"/>
            </w:tcBorders>
            <w:vAlign w:val="center"/>
          </w:tcPr>
          <w:p w14:paraId="31646692"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45</w:t>
            </w:r>
          </w:p>
        </w:tc>
        <w:tc>
          <w:tcPr>
            <w:tcW w:w="876" w:type="pct"/>
            <w:gridSpan w:val="2"/>
            <w:tcBorders>
              <w:bottom w:val="single" w:sz="12" w:space="0" w:color="auto"/>
            </w:tcBorders>
            <w:vAlign w:val="center"/>
          </w:tcPr>
          <w:p w14:paraId="73BFCE1F" w14:textId="77777777"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33</w:t>
            </w:r>
          </w:p>
        </w:tc>
        <w:tc>
          <w:tcPr>
            <w:tcW w:w="876" w:type="pct"/>
            <w:tcBorders>
              <w:bottom w:val="single" w:sz="12" w:space="0" w:color="auto"/>
            </w:tcBorders>
            <w:vAlign w:val="center"/>
          </w:tcPr>
          <w:p w14:paraId="3AD756E2" w14:textId="7A362AF4" w:rsidR="00DA38C9" w:rsidRPr="00871092" w:rsidRDefault="00DA38C9"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45</w:t>
            </w:r>
          </w:p>
        </w:tc>
      </w:tr>
      <w:tr w:rsidR="00607CF3" w:rsidRPr="00871092" w14:paraId="535274D5" w14:textId="77777777" w:rsidTr="007B2B22">
        <w:trPr>
          <w:trHeight w:val="57"/>
        </w:trPr>
        <w:tc>
          <w:tcPr>
            <w:tcW w:w="5000" w:type="pct"/>
            <w:gridSpan w:val="11"/>
            <w:tcBorders>
              <w:top w:val="single" w:sz="12" w:space="0" w:color="auto"/>
              <w:bottom w:val="single" w:sz="12" w:space="0" w:color="auto"/>
            </w:tcBorders>
            <w:noWrap/>
            <w:vAlign w:val="center"/>
          </w:tcPr>
          <w:p w14:paraId="3E54B938" w14:textId="77777777" w:rsidR="00607CF3" w:rsidRPr="00871092" w:rsidRDefault="00607CF3" w:rsidP="000E3D8F">
            <w:pPr>
              <w:jc w:val="center"/>
              <w:rPr>
                <w:rFonts w:asciiTheme="majorBidi" w:hAnsiTheme="majorBidi" w:cstheme="majorBidi"/>
                <w:color w:val="000000" w:themeColor="text1"/>
                <w:kern w:val="0"/>
              </w:rPr>
            </w:pPr>
            <w:bookmarkStart w:id="5" w:name="_Hlk214549573"/>
            <w:bookmarkStart w:id="6" w:name="_Hlk214611041"/>
            <w:r w:rsidRPr="00871092">
              <w:rPr>
                <w:rFonts w:asciiTheme="majorBidi" w:hAnsiTheme="majorBidi" w:cstheme="majorBidi"/>
                <w:color w:val="000000" w:themeColor="text1"/>
                <w:kern w:val="0"/>
              </w:rPr>
              <w:t>γ-emitter radionuclides (Bq kg</w:t>
            </w:r>
            <w:r w:rsidRPr="00871092">
              <w:rPr>
                <w:rFonts w:asciiTheme="majorBidi" w:hAnsiTheme="majorBidi" w:cstheme="majorBidi"/>
                <w:color w:val="000000" w:themeColor="text1"/>
                <w:kern w:val="0"/>
                <w:vertAlign w:val="superscript"/>
              </w:rPr>
              <w:t>-1</w:t>
            </w:r>
            <w:r w:rsidRPr="00871092">
              <w:rPr>
                <w:rFonts w:asciiTheme="majorBidi" w:hAnsiTheme="majorBidi" w:cstheme="majorBidi"/>
                <w:color w:val="000000" w:themeColor="text1"/>
                <w:kern w:val="0"/>
              </w:rPr>
              <w:t>)</w:t>
            </w:r>
          </w:p>
        </w:tc>
      </w:tr>
      <w:tr w:rsidR="00DA38C9" w:rsidRPr="00871092" w14:paraId="39B09E0D" w14:textId="77777777" w:rsidTr="007B2B22">
        <w:trPr>
          <w:trHeight w:val="57"/>
        </w:trPr>
        <w:tc>
          <w:tcPr>
            <w:tcW w:w="765" w:type="pct"/>
            <w:gridSpan w:val="2"/>
            <w:tcBorders>
              <w:top w:val="single" w:sz="12" w:space="0" w:color="auto"/>
            </w:tcBorders>
            <w:noWrap/>
            <w:vAlign w:val="center"/>
          </w:tcPr>
          <w:p w14:paraId="1D58E0E7" w14:textId="77777777" w:rsidR="00607CF3" w:rsidRPr="00871092" w:rsidRDefault="00607CF3" w:rsidP="00871092">
            <w:pPr>
              <w:rPr>
                <w:rFonts w:asciiTheme="majorBidi" w:hAnsiTheme="majorBidi" w:cstheme="majorBidi"/>
                <w:color w:val="000000" w:themeColor="text1"/>
                <w:kern w:val="0"/>
              </w:rPr>
            </w:pPr>
          </w:p>
        </w:tc>
        <w:tc>
          <w:tcPr>
            <w:tcW w:w="767" w:type="pct"/>
            <w:gridSpan w:val="2"/>
            <w:tcBorders>
              <w:top w:val="single" w:sz="12" w:space="0" w:color="auto"/>
            </w:tcBorders>
            <w:vAlign w:val="center"/>
          </w:tcPr>
          <w:p w14:paraId="75B8C95E"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vertAlign w:val="superscript"/>
              </w:rPr>
              <w:t>234</w:t>
            </w:r>
            <w:r w:rsidRPr="00871092">
              <w:rPr>
                <w:rFonts w:asciiTheme="majorBidi" w:hAnsiTheme="majorBidi" w:cstheme="majorBidi"/>
                <w:color w:val="000000" w:themeColor="text1"/>
              </w:rPr>
              <w:t>Th (</w:t>
            </w:r>
            <w:r w:rsidRPr="00871092">
              <w:rPr>
                <w:rFonts w:asciiTheme="majorBidi" w:hAnsiTheme="majorBidi" w:cstheme="majorBidi"/>
                <w:color w:val="000000" w:themeColor="text1"/>
                <w:vertAlign w:val="superscript"/>
              </w:rPr>
              <w:t>238</w:t>
            </w:r>
            <w:r w:rsidRPr="00871092">
              <w:rPr>
                <w:rFonts w:asciiTheme="majorBidi" w:hAnsiTheme="majorBidi" w:cstheme="majorBidi"/>
                <w:color w:val="000000" w:themeColor="text1"/>
              </w:rPr>
              <w:t>U)</w:t>
            </w:r>
          </w:p>
        </w:tc>
        <w:tc>
          <w:tcPr>
            <w:tcW w:w="767" w:type="pct"/>
            <w:tcBorders>
              <w:top w:val="single" w:sz="12" w:space="0" w:color="auto"/>
            </w:tcBorders>
            <w:vAlign w:val="center"/>
          </w:tcPr>
          <w:p w14:paraId="4D1217FA"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vertAlign w:val="superscript"/>
              </w:rPr>
              <w:t>210</w:t>
            </w:r>
            <w:r w:rsidRPr="00871092">
              <w:rPr>
                <w:rFonts w:asciiTheme="majorBidi" w:hAnsiTheme="majorBidi" w:cstheme="majorBidi"/>
                <w:color w:val="000000" w:themeColor="text1"/>
              </w:rPr>
              <w:t>Pb</w:t>
            </w:r>
          </w:p>
        </w:tc>
        <w:tc>
          <w:tcPr>
            <w:tcW w:w="767" w:type="pct"/>
            <w:gridSpan w:val="2"/>
            <w:tcBorders>
              <w:top w:val="single" w:sz="12" w:space="0" w:color="auto"/>
            </w:tcBorders>
            <w:vAlign w:val="center"/>
          </w:tcPr>
          <w:p w14:paraId="4A2EC356"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vertAlign w:val="superscript"/>
              </w:rPr>
              <w:t>40</w:t>
            </w:r>
            <w:r w:rsidRPr="00871092">
              <w:rPr>
                <w:rFonts w:asciiTheme="majorBidi" w:hAnsiTheme="majorBidi" w:cstheme="majorBidi"/>
                <w:color w:val="000000" w:themeColor="text1"/>
              </w:rPr>
              <w:t>K</w:t>
            </w:r>
          </w:p>
        </w:tc>
        <w:tc>
          <w:tcPr>
            <w:tcW w:w="907" w:type="pct"/>
            <w:gridSpan w:val="2"/>
            <w:tcBorders>
              <w:top w:val="single" w:sz="12" w:space="0" w:color="auto"/>
            </w:tcBorders>
            <w:noWrap/>
            <w:vAlign w:val="center"/>
          </w:tcPr>
          <w:p w14:paraId="7F089B32"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vertAlign w:val="superscript"/>
              </w:rPr>
              <w:t>228</w:t>
            </w:r>
            <w:r w:rsidRPr="00871092">
              <w:rPr>
                <w:rFonts w:asciiTheme="majorBidi" w:hAnsiTheme="majorBidi" w:cstheme="majorBidi"/>
                <w:color w:val="000000" w:themeColor="text1"/>
              </w:rPr>
              <w:t>Ac (</w:t>
            </w:r>
            <w:r w:rsidRPr="00871092">
              <w:rPr>
                <w:rFonts w:asciiTheme="majorBidi" w:hAnsiTheme="majorBidi" w:cstheme="majorBidi"/>
                <w:color w:val="000000" w:themeColor="text1"/>
                <w:vertAlign w:val="superscript"/>
              </w:rPr>
              <w:t>228</w:t>
            </w:r>
            <w:r w:rsidRPr="00871092">
              <w:rPr>
                <w:rFonts w:asciiTheme="majorBidi" w:hAnsiTheme="majorBidi" w:cstheme="majorBidi"/>
                <w:color w:val="000000" w:themeColor="text1"/>
              </w:rPr>
              <w:t>Ra)</w:t>
            </w:r>
          </w:p>
        </w:tc>
        <w:tc>
          <w:tcPr>
            <w:tcW w:w="1027" w:type="pct"/>
            <w:gridSpan w:val="2"/>
            <w:tcBorders>
              <w:top w:val="single" w:sz="12" w:space="0" w:color="auto"/>
            </w:tcBorders>
            <w:noWrap/>
            <w:vAlign w:val="center"/>
          </w:tcPr>
          <w:p w14:paraId="0836CF05"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vertAlign w:val="superscript"/>
              </w:rPr>
              <w:t>214</w:t>
            </w:r>
            <w:r w:rsidRPr="00871092">
              <w:rPr>
                <w:rFonts w:asciiTheme="majorBidi" w:hAnsiTheme="majorBidi" w:cstheme="majorBidi"/>
                <w:color w:val="000000" w:themeColor="text1"/>
              </w:rPr>
              <w:t>Pb (</w:t>
            </w:r>
            <w:r w:rsidRPr="00871092">
              <w:rPr>
                <w:rFonts w:asciiTheme="majorBidi" w:hAnsiTheme="majorBidi" w:cstheme="majorBidi"/>
                <w:color w:val="000000" w:themeColor="text1"/>
                <w:vertAlign w:val="superscript"/>
              </w:rPr>
              <w:t>226</w:t>
            </w:r>
            <w:r w:rsidRPr="00871092">
              <w:rPr>
                <w:rFonts w:asciiTheme="majorBidi" w:hAnsiTheme="majorBidi" w:cstheme="majorBidi"/>
                <w:color w:val="000000" w:themeColor="text1"/>
              </w:rPr>
              <w:t>Ra)</w:t>
            </w:r>
          </w:p>
        </w:tc>
      </w:tr>
      <w:tr w:rsidR="00DA38C9" w:rsidRPr="00871092" w14:paraId="0082A919" w14:textId="77777777" w:rsidTr="007B2B22">
        <w:trPr>
          <w:trHeight w:val="57"/>
        </w:trPr>
        <w:tc>
          <w:tcPr>
            <w:tcW w:w="765" w:type="pct"/>
            <w:gridSpan w:val="2"/>
            <w:noWrap/>
            <w:vAlign w:val="center"/>
          </w:tcPr>
          <w:p w14:paraId="47AC2B25"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Bentonite</w:t>
            </w:r>
          </w:p>
        </w:tc>
        <w:tc>
          <w:tcPr>
            <w:tcW w:w="767" w:type="pct"/>
            <w:gridSpan w:val="2"/>
            <w:vAlign w:val="center"/>
          </w:tcPr>
          <w:p w14:paraId="32FFFCCA" w14:textId="44EB4140" w:rsidR="00607CF3" w:rsidRPr="00871092" w:rsidRDefault="0049641C" w:rsidP="00871092">
            <w:pPr>
              <w:rPr>
                <w:rFonts w:asciiTheme="majorBidi" w:hAnsiTheme="majorBidi" w:cstheme="majorBidi"/>
                <w:color w:val="000000" w:themeColor="text1"/>
                <w:kern w:val="0"/>
              </w:rPr>
            </w:pPr>
            <w:r w:rsidRPr="000F084C">
              <w:rPr>
                <w:rFonts w:asciiTheme="majorBidi" w:hAnsiTheme="majorBidi" w:cstheme="majorBidi"/>
                <w:color w:val="EE0000"/>
              </w:rPr>
              <w:t xml:space="preserve">45.6 </w:t>
            </w:r>
            <w:r w:rsidR="00607CF3" w:rsidRPr="00871092">
              <w:rPr>
                <w:rFonts w:asciiTheme="majorBidi" w:hAnsiTheme="majorBidi" w:cstheme="majorBidi"/>
                <w:color w:val="000000" w:themeColor="text1"/>
              </w:rPr>
              <w:t>± 2.</w:t>
            </w:r>
            <w:r w:rsidR="00DA38C9" w:rsidRPr="00871092">
              <w:rPr>
                <w:rFonts w:asciiTheme="majorBidi" w:hAnsiTheme="majorBidi" w:cstheme="majorBidi"/>
                <w:color w:val="000000" w:themeColor="text1"/>
              </w:rPr>
              <w:t>5</w:t>
            </w:r>
            <w:r w:rsidR="00607CF3" w:rsidRPr="00871092">
              <w:rPr>
                <w:rFonts w:asciiTheme="majorBidi" w:hAnsiTheme="majorBidi" w:cstheme="majorBidi"/>
                <w:color w:val="000000" w:themeColor="text1"/>
              </w:rPr>
              <w:t xml:space="preserve"> </w:t>
            </w:r>
          </w:p>
        </w:tc>
        <w:tc>
          <w:tcPr>
            <w:tcW w:w="767" w:type="pct"/>
            <w:vAlign w:val="center"/>
          </w:tcPr>
          <w:p w14:paraId="21919CC3" w14:textId="72849B2A"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26.</w:t>
            </w:r>
            <w:r w:rsidR="00DA38C9" w:rsidRPr="00871092">
              <w:rPr>
                <w:rFonts w:asciiTheme="majorBidi" w:hAnsiTheme="majorBidi" w:cstheme="majorBidi"/>
                <w:color w:val="000000" w:themeColor="text1"/>
              </w:rPr>
              <w:t>9</w:t>
            </w:r>
            <w:r w:rsidRPr="00871092">
              <w:rPr>
                <w:rFonts w:asciiTheme="majorBidi" w:hAnsiTheme="majorBidi" w:cstheme="majorBidi"/>
                <w:color w:val="000000" w:themeColor="text1"/>
              </w:rPr>
              <w:t xml:space="preserve"> ± 1.</w:t>
            </w:r>
            <w:r w:rsidR="00DA38C9" w:rsidRPr="00871092">
              <w:rPr>
                <w:rFonts w:asciiTheme="majorBidi" w:hAnsiTheme="majorBidi" w:cstheme="majorBidi"/>
                <w:color w:val="000000" w:themeColor="text1"/>
              </w:rPr>
              <w:t>8</w:t>
            </w:r>
          </w:p>
        </w:tc>
        <w:tc>
          <w:tcPr>
            <w:tcW w:w="767" w:type="pct"/>
            <w:gridSpan w:val="2"/>
            <w:vAlign w:val="center"/>
          </w:tcPr>
          <w:p w14:paraId="6A37B456"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285 ± 13</w:t>
            </w:r>
          </w:p>
        </w:tc>
        <w:tc>
          <w:tcPr>
            <w:tcW w:w="907" w:type="pct"/>
            <w:gridSpan w:val="2"/>
            <w:noWrap/>
            <w:vAlign w:val="center"/>
          </w:tcPr>
          <w:p w14:paraId="760E3CBA" w14:textId="0474A0C3"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219.4 ± 20.4</w:t>
            </w:r>
          </w:p>
        </w:tc>
        <w:tc>
          <w:tcPr>
            <w:tcW w:w="1027" w:type="pct"/>
            <w:gridSpan w:val="2"/>
            <w:noWrap/>
            <w:vAlign w:val="center"/>
          </w:tcPr>
          <w:p w14:paraId="1B3CA495" w14:textId="10331C54" w:rsidR="00607CF3" w:rsidRPr="00871092" w:rsidRDefault="0049641C" w:rsidP="00871092">
            <w:pPr>
              <w:rPr>
                <w:rFonts w:asciiTheme="majorBidi" w:hAnsiTheme="majorBidi" w:cstheme="majorBidi"/>
                <w:color w:val="000000" w:themeColor="text1"/>
                <w:kern w:val="0"/>
              </w:rPr>
            </w:pPr>
            <w:r w:rsidRPr="000F084C">
              <w:rPr>
                <w:rFonts w:asciiTheme="majorBidi" w:hAnsiTheme="majorBidi" w:cstheme="majorBidi"/>
                <w:color w:val="EE0000"/>
              </w:rPr>
              <w:t>24.7</w:t>
            </w:r>
            <w:r w:rsidR="00607CF3" w:rsidRPr="000F084C">
              <w:rPr>
                <w:rFonts w:asciiTheme="majorBidi" w:hAnsiTheme="majorBidi" w:cstheme="majorBidi"/>
                <w:color w:val="EE0000"/>
              </w:rPr>
              <w:t xml:space="preserve"> </w:t>
            </w:r>
            <w:r w:rsidR="00607CF3" w:rsidRPr="00871092">
              <w:rPr>
                <w:rFonts w:asciiTheme="majorBidi" w:hAnsiTheme="majorBidi" w:cstheme="majorBidi"/>
                <w:color w:val="000000" w:themeColor="text1"/>
              </w:rPr>
              <w:t>± 2.5</w:t>
            </w:r>
          </w:p>
        </w:tc>
      </w:tr>
      <w:tr w:rsidR="00DA38C9" w:rsidRPr="00871092" w14:paraId="51FC5751" w14:textId="77777777" w:rsidTr="007B2B22">
        <w:trPr>
          <w:trHeight w:val="57"/>
        </w:trPr>
        <w:tc>
          <w:tcPr>
            <w:tcW w:w="765" w:type="pct"/>
            <w:gridSpan w:val="2"/>
            <w:noWrap/>
            <w:vAlign w:val="center"/>
          </w:tcPr>
          <w:p w14:paraId="2F9DC3B4" w14:textId="77777777" w:rsidR="00607CF3" w:rsidRPr="00871092" w:rsidRDefault="00607CF3" w:rsidP="00871092">
            <w:pPr>
              <w:rPr>
                <w:rFonts w:asciiTheme="majorBidi" w:hAnsiTheme="majorBidi" w:cstheme="majorBidi"/>
                <w:color w:val="000000" w:themeColor="text1"/>
                <w:kern w:val="0"/>
              </w:rPr>
            </w:pPr>
            <w:proofErr w:type="spellStart"/>
            <w:r w:rsidRPr="00871092">
              <w:rPr>
                <w:rFonts w:asciiTheme="majorBidi" w:hAnsiTheme="majorBidi" w:cstheme="majorBidi"/>
                <w:color w:val="000000" w:themeColor="text1"/>
                <w:kern w:val="0"/>
              </w:rPr>
              <w:t>Ghassoul</w:t>
            </w:r>
            <w:proofErr w:type="spellEnd"/>
          </w:p>
        </w:tc>
        <w:tc>
          <w:tcPr>
            <w:tcW w:w="767" w:type="pct"/>
            <w:gridSpan w:val="2"/>
            <w:vAlign w:val="center"/>
          </w:tcPr>
          <w:p w14:paraId="52699CE5" w14:textId="4144317A"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47.3 ± 4.</w:t>
            </w:r>
            <w:r w:rsidR="00DA38C9" w:rsidRPr="00871092">
              <w:rPr>
                <w:rFonts w:asciiTheme="majorBidi" w:hAnsiTheme="majorBidi" w:cstheme="majorBidi"/>
                <w:color w:val="000000" w:themeColor="text1"/>
              </w:rPr>
              <w:t>8</w:t>
            </w:r>
          </w:p>
        </w:tc>
        <w:tc>
          <w:tcPr>
            <w:tcW w:w="767" w:type="pct"/>
            <w:vAlign w:val="center"/>
          </w:tcPr>
          <w:p w14:paraId="38B4CDA1"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41 ± 5</w:t>
            </w:r>
          </w:p>
        </w:tc>
        <w:tc>
          <w:tcPr>
            <w:tcW w:w="767" w:type="pct"/>
            <w:gridSpan w:val="2"/>
            <w:vAlign w:val="center"/>
          </w:tcPr>
          <w:p w14:paraId="0B415FC6" w14:textId="3A725D3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540.7± 30.2</w:t>
            </w:r>
          </w:p>
        </w:tc>
        <w:tc>
          <w:tcPr>
            <w:tcW w:w="907" w:type="pct"/>
            <w:gridSpan w:val="2"/>
            <w:noWrap/>
            <w:vAlign w:val="center"/>
          </w:tcPr>
          <w:p w14:paraId="6603F0F1" w14:textId="342A8129" w:rsidR="00607CF3" w:rsidRPr="00871092" w:rsidRDefault="00DA38C9" w:rsidP="00871092">
            <w:pPr>
              <w:rPr>
                <w:rFonts w:asciiTheme="majorBidi" w:hAnsiTheme="majorBidi" w:cstheme="majorBidi"/>
                <w:color w:val="000000" w:themeColor="text1"/>
              </w:rPr>
            </w:pPr>
            <w:r w:rsidRPr="00871092">
              <w:rPr>
                <w:rFonts w:asciiTheme="majorBidi" w:hAnsiTheme="majorBidi" w:cstheme="majorBidi"/>
                <w:color w:val="000000" w:themeColor="text1"/>
              </w:rPr>
              <w:t>88.8 ± 8.21</w:t>
            </w:r>
          </w:p>
        </w:tc>
        <w:tc>
          <w:tcPr>
            <w:tcW w:w="1027" w:type="pct"/>
            <w:gridSpan w:val="2"/>
            <w:noWrap/>
            <w:vAlign w:val="center"/>
          </w:tcPr>
          <w:p w14:paraId="403F285D" w14:textId="6F73756C"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 xml:space="preserve">45.4 ± </w:t>
            </w:r>
            <w:r w:rsidR="00DA38C9" w:rsidRPr="00871092">
              <w:rPr>
                <w:rFonts w:asciiTheme="majorBidi" w:hAnsiTheme="majorBidi" w:cstheme="majorBidi"/>
                <w:color w:val="000000" w:themeColor="text1"/>
              </w:rPr>
              <w:t>2.0</w:t>
            </w:r>
          </w:p>
        </w:tc>
      </w:tr>
      <w:tr w:rsidR="00DA38C9" w:rsidRPr="00871092" w14:paraId="297A95B0" w14:textId="77777777" w:rsidTr="007B2B22">
        <w:trPr>
          <w:trHeight w:val="57"/>
        </w:trPr>
        <w:tc>
          <w:tcPr>
            <w:tcW w:w="765" w:type="pct"/>
            <w:gridSpan w:val="2"/>
            <w:noWrap/>
            <w:vAlign w:val="center"/>
          </w:tcPr>
          <w:p w14:paraId="58AEAEF8"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Kaolin</w:t>
            </w:r>
          </w:p>
        </w:tc>
        <w:tc>
          <w:tcPr>
            <w:tcW w:w="767" w:type="pct"/>
            <w:gridSpan w:val="2"/>
            <w:vAlign w:val="center"/>
          </w:tcPr>
          <w:p w14:paraId="407B3331" w14:textId="2B51304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20.2 ± 2.3</w:t>
            </w:r>
          </w:p>
        </w:tc>
        <w:tc>
          <w:tcPr>
            <w:tcW w:w="767" w:type="pct"/>
            <w:vAlign w:val="center"/>
          </w:tcPr>
          <w:p w14:paraId="5167A322" w14:textId="0E73B1ED"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19.</w:t>
            </w:r>
            <w:r w:rsidR="00DA38C9" w:rsidRPr="00871092">
              <w:rPr>
                <w:rFonts w:asciiTheme="majorBidi" w:hAnsiTheme="majorBidi" w:cstheme="majorBidi"/>
                <w:color w:val="000000" w:themeColor="text1"/>
              </w:rPr>
              <w:t>5</w:t>
            </w:r>
            <w:r w:rsidRPr="00871092">
              <w:rPr>
                <w:rFonts w:asciiTheme="majorBidi" w:hAnsiTheme="majorBidi" w:cstheme="majorBidi"/>
                <w:color w:val="000000" w:themeColor="text1"/>
              </w:rPr>
              <w:t xml:space="preserve"> ± 2.1</w:t>
            </w:r>
          </w:p>
        </w:tc>
        <w:tc>
          <w:tcPr>
            <w:tcW w:w="767" w:type="pct"/>
            <w:gridSpan w:val="2"/>
            <w:vAlign w:val="center"/>
          </w:tcPr>
          <w:p w14:paraId="0FEA425F" w14:textId="582814D4"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1129.6 ± 75</w:t>
            </w:r>
          </w:p>
        </w:tc>
        <w:tc>
          <w:tcPr>
            <w:tcW w:w="907" w:type="pct"/>
            <w:gridSpan w:val="2"/>
            <w:noWrap/>
            <w:vAlign w:val="center"/>
          </w:tcPr>
          <w:p w14:paraId="2900E305" w14:textId="0E74F9E3"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15.4 ± 2.3</w:t>
            </w:r>
          </w:p>
        </w:tc>
        <w:tc>
          <w:tcPr>
            <w:tcW w:w="1027" w:type="pct"/>
            <w:gridSpan w:val="2"/>
            <w:noWrap/>
            <w:vAlign w:val="center"/>
          </w:tcPr>
          <w:p w14:paraId="22120C9D" w14:textId="613D8A3E"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t>20.3 ± 1.1</w:t>
            </w:r>
          </w:p>
        </w:tc>
      </w:tr>
      <w:tr w:rsidR="00DA38C9" w:rsidRPr="00871092" w14:paraId="18448500" w14:textId="77777777" w:rsidTr="007B2B22">
        <w:trPr>
          <w:trHeight w:val="57"/>
        </w:trPr>
        <w:tc>
          <w:tcPr>
            <w:tcW w:w="765" w:type="pct"/>
            <w:gridSpan w:val="2"/>
            <w:tcBorders>
              <w:bottom w:val="single" w:sz="12" w:space="0" w:color="auto"/>
            </w:tcBorders>
            <w:noWrap/>
            <w:vAlign w:val="center"/>
          </w:tcPr>
          <w:p w14:paraId="5ECD52AF"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WA*</w:t>
            </w:r>
          </w:p>
        </w:tc>
        <w:tc>
          <w:tcPr>
            <w:tcW w:w="767" w:type="pct"/>
            <w:gridSpan w:val="2"/>
            <w:tcBorders>
              <w:bottom w:val="single" w:sz="12" w:space="0" w:color="auto"/>
            </w:tcBorders>
            <w:vAlign w:val="center"/>
          </w:tcPr>
          <w:p w14:paraId="05E9E3F0" w14:textId="13D28175" w:rsidR="00607CF3" w:rsidRPr="00871092" w:rsidRDefault="0049641C" w:rsidP="00871092">
            <w:pPr>
              <w:rPr>
                <w:rFonts w:asciiTheme="majorBidi" w:hAnsiTheme="majorBidi" w:cstheme="majorBidi"/>
                <w:color w:val="000000" w:themeColor="text1"/>
              </w:rPr>
            </w:pPr>
            <w:r w:rsidRPr="000F084C">
              <w:rPr>
                <w:rFonts w:asciiTheme="majorBidi" w:hAnsiTheme="majorBidi" w:cstheme="majorBidi"/>
                <w:color w:val="EE0000"/>
              </w:rPr>
              <w:t>2</w:t>
            </w:r>
            <w:r w:rsidR="00607CF3" w:rsidRPr="000F084C">
              <w:rPr>
                <w:rFonts w:asciiTheme="majorBidi" w:hAnsiTheme="majorBidi" w:cstheme="majorBidi"/>
                <w:color w:val="EE0000"/>
              </w:rPr>
              <w:t>5</w:t>
            </w:r>
          </w:p>
        </w:tc>
        <w:tc>
          <w:tcPr>
            <w:tcW w:w="767" w:type="pct"/>
            <w:tcBorders>
              <w:bottom w:val="single" w:sz="12" w:space="0" w:color="auto"/>
            </w:tcBorders>
            <w:vAlign w:val="center"/>
          </w:tcPr>
          <w:p w14:paraId="78DA11ED"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45</w:t>
            </w:r>
          </w:p>
        </w:tc>
        <w:tc>
          <w:tcPr>
            <w:tcW w:w="767" w:type="pct"/>
            <w:gridSpan w:val="2"/>
            <w:tcBorders>
              <w:bottom w:val="single" w:sz="12" w:space="0" w:color="auto"/>
            </w:tcBorders>
            <w:vAlign w:val="center"/>
          </w:tcPr>
          <w:p w14:paraId="60EEA396"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420</w:t>
            </w:r>
          </w:p>
        </w:tc>
        <w:tc>
          <w:tcPr>
            <w:tcW w:w="907" w:type="pct"/>
            <w:gridSpan w:val="2"/>
            <w:tcBorders>
              <w:bottom w:val="single" w:sz="12" w:space="0" w:color="auto"/>
            </w:tcBorders>
            <w:noWrap/>
            <w:vAlign w:val="center"/>
          </w:tcPr>
          <w:p w14:paraId="3E06A050"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35</w:t>
            </w:r>
          </w:p>
        </w:tc>
        <w:tc>
          <w:tcPr>
            <w:tcW w:w="1027" w:type="pct"/>
            <w:gridSpan w:val="2"/>
            <w:tcBorders>
              <w:bottom w:val="single" w:sz="12" w:space="0" w:color="auto"/>
            </w:tcBorders>
            <w:noWrap/>
            <w:vAlign w:val="center"/>
          </w:tcPr>
          <w:p w14:paraId="1F40E958" w14:textId="77777777" w:rsidR="00607CF3" w:rsidRPr="00871092" w:rsidRDefault="00607CF3" w:rsidP="00871092">
            <w:pPr>
              <w:rPr>
                <w:rFonts w:asciiTheme="majorBidi" w:hAnsiTheme="majorBidi" w:cstheme="majorBidi"/>
                <w:color w:val="000000" w:themeColor="text1"/>
              </w:rPr>
            </w:pPr>
            <w:r w:rsidRPr="00871092">
              <w:rPr>
                <w:rFonts w:asciiTheme="majorBidi" w:hAnsiTheme="majorBidi" w:cstheme="majorBidi"/>
                <w:color w:val="000000" w:themeColor="text1"/>
              </w:rPr>
              <w:t>32</w:t>
            </w:r>
          </w:p>
        </w:tc>
      </w:tr>
    </w:tbl>
    <w:bookmarkEnd w:id="5"/>
    <w:p w14:paraId="17AF150A" w14:textId="77777777"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rPr>
        <w:t xml:space="preserve">WA: Worldwide average according to </w:t>
      </w:r>
      <w:r w:rsidRPr="00871092">
        <w:rPr>
          <w:rFonts w:asciiTheme="majorBidi" w:hAnsiTheme="majorBidi" w:cstheme="majorBidi"/>
          <w:color w:val="5B9BD5" w:themeColor="accent1"/>
        </w:rPr>
        <w:t>UNSCEAR (2008</w:t>
      </w:r>
      <w:r w:rsidRPr="00871092">
        <w:rPr>
          <w:rFonts w:asciiTheme="majorBidi" w:hAnsiTheme="majorBidi" w:cstheme="majorBidi"/>
          <w:color w:val="000000" w:themeColor="text1"/>
        </w:rPr>
        <w:t>).</w:t>
      </w:r>
    </w:p>
    <w:bookmarkEnd w:id="6"/>
    <w:p w14:paraId="32C6D16A" w14:textId="77777777" w:rsidR="00607CF3" w:rsidRPr="00871092" w:rsidRDefault="00607CF3" w:rsidP="00871092">
      <w:pPr>
        <w:spacing w:after="0" w:line="240" w:lineRule="auto"/>
        <w:jc w:val="both"/>
        <w:rPr>
          <w:rFonts w:asciiTheme="majorBidi" w:hAnsiTheme="majorBidi" w:cstheme="majorBidi"/>
          <w:color w:val="000000" w:themeColor="text1"/>
        </w:rPr>
      </w:pPr>
    </w:p>
    <w:p w14:paraId="79D1DA92" w14:textId="46CD3FC9" w:rsidR="00D16BCD" w:rsidRPr="00871092" w:rsidRDefault="00D16BCD" w:rsidP="00B10FFB">
      <w:pPr>
        <w:spacing w:after="0" w:line="240" w:lineRule="auto"/>
        <w:jc w:val="both"/>
        <w:rPr>
          <w:rFonts w:asciiTheme="majorBidi" w:hAnsiTheme="majorBidi" w:cstheme="majorBidi"/>
          <w:color w:val="000000" w:themeColor="text1"/>
        </w:rPr>
      </w:pPr>
      <w:r w:rsidRPr="00871092">
        <w:rPr>
          <w:rFonts w:asciiTheme="majorBidi" w:eastAsia="Times New Roman" w:hAnsiTheme="majorBidi" w:cstheme="majorBidi"/>
        </w:rPr>
        <w:t xml:space="preserve">Regarding U and Th series equilibrium, the </w:t>
      </w:r>
      <w:r w:rsidRPr="00871092">
        <w:rPr>
          <w:rFonts w:asciiTheme="majorBidi" w:hAnsiTheme="majorBidi" w:cstheme="majorBidi"/>
          <w:color w:val="000000" w:themeColor="text1"/>
          <w:kern w:val="0"/>
          <w:vertAlign w:val="superscript"/>
        </w:rPr>
        <w:t>234</w:t>
      </w:r>
      <w:r w:rsidRPr="00871092">
        <w:rPr>
          <w:rFonts w:asciiTheme="majorBidi" w:hAnsiTheme="majorBidi" w:cstheme="majorBidi"/>
          <w:color w:val="000000" w:themeColor="text1"/>
          <w:kern w:val="0"/>
        </w:rPr>
        <w:t>U/</w:t>
      </w:r>
      <w:r w:rsidRPr="00871092">
        <w:rPr>
          <w:rFonts w:asciiTheme="majorBidi" w:hAnsiTheme="majorBidi" w:cstheme="majorBidi"/>
          <w:color w:val="000000" w:themeColor="text1"/>
          <w:kern w:val="0"/>
          <w:vertAlign w:val="superscript"/>
        </w:rPr>
        <w:t>238</w:t>
      </w:r>
      <w:r w:rsidRPr="00871092">
        <w:rPr>
          <w:rFonts w:asciiTheme="majorBidi" w:hAnsiTheme="majorBidi" w:cstheme="majorBidi"/>
          <w:color w:val="000000" w:themeColor="text1"/>
          <w:kern w:val="0"/>
        </w:rPr>
        <w:t xml:space="preserve">U and </w:t>
      </w:r>
      <w:r w:rsidRPr="00871092">
        <w:rPr>
          <w:rFonts w:asciiTheme="majorBidi" w:hAnsiTheme="majorBidi" w:cstheme="majorBidi"/>
          <w:color w:val="000000" w:themeColor="text1"/>
          <w:kern w:val="0"/>
          <w:vertAlign w:val="superscript"/>
        </w:rPr>
        <w:t>238</w:t>
      </w:r>
      <w:r w:rsidRPr="00871092">
        <w:rPr>
          <w:rFonts w:asciiTheme="majorBidi" w:hAnsiTheme="majorBidi" w:cstheme="majorBidi"/>
          <w:color w:val="000000" w:themeColor="text1"/>
          <w:kern w:val="0"/>
        </w:rPr>
        <w:t>U/</w:t>
      </w:r>
      <w:r w:rsidRPr="00871092">
        <w:rPr>
          <w:rFonts w:asciiTheme="majorBidi" w:hAnsiTheme="majorBidi" w:cstheme="majorBidi"/>
          <w:color w:val="000000" w:themeColor="text1"/>
          <w:kern w:val="0"/>
          <w:vertAlign w:val="superscript"/>
        </w:rPr>
        <w:t>226</w:t>
      </w:r>
      <w:r w:rsidRPr="00871092">
        <w:rPr>
          <w:rFonts w:asciiTheme="majorBidi" w:hAnsiTheme="majorBidi" w:cstheme="majorBidi"/>
          <w:color w:val="000000" w:themeColor="text1"/>
          <w:kern w:val="0"/>
        </w:rPr>
        <w:t xml:space="preserve">Ra </w:t>
      </w:r>
      <w:r w:rsidRPr="00871092">
        <w:rPr>
          <w:rFonts w:asciiTheme="majorBidi" w:eastAsia="Times New Roman" w:hAnsiTheme="majorBidi" w:cstheme="majorBidi"/>
        </w:rPr>
        <w:t xml:space="preserve">ratios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are close to unity, indicating that radioelements in the ²³⁸U decay chain are in secular equilibrium (</w:t>
      </w:r>
      <w:r w:rsidR="00D0359D" w:rsidRPr="00871092">
        <w:rPr>
          <w:rFonts w:asciiTheme="majorBidi" w:hAnsiTheme="majorBidi" w:cstheme="majorBidi"/>
          <w:color w:val="5B9BD5" w:themeColor="accent1"/>
        </w:rPr>
        <w:t>Table 2</w:t>
      </w:r>
      <w:r w:rsidRPr="00871092">
        <w:rPr>
          <w:rFonts w:asciiTheme="majorBidi" w:eastAsia="Times New Roman" w:hAnsiTheme="majorBidi" w:cstheme="majorBidi"/>
        </w:rPr>
        <w:t xml:space="preserve">). For bentonite and kaolin, these ratios are far from unity, indicating disequilibrium. The </w:t>
      </w:r>
      <w:r w:rsidR="006C17B1" w:rsidRPr="000F084C">
        <w:rPr>
          <w:rFonts w:asciiTheme="majorBidi" w:eastAsia="Times New Roman" w:hAnsiTheme="majorBidi" w:cstheme="majorBidi"/>
          <w:vertAlign w:val="superscript"/>
        </w:rPr>
        <w:t>238</w:t>
      </w:r>
      <w:r w:rsidRPr="00871092">
        <w:rPr>
          <w:rFonts w:asciiTheme="majorBidi" w:eastAsia="Times New Roman" w:hAnsiTheme="majorBidi" w:cstheme="majorBidi"/>
        </w:rPr>
        <w:t>U/</w:t>
      </w:r>
      <w:r w:rsidR="006C17B1" w:rsidRPr="000F084C">
        <w:rPr>
          <w:rFonts w:asciiTheme="majorBidi" w:eastAsia="Times New Roman" w:hAnsiTheme="majorBidi" w:cstheme="majorBidi"/>
          <w:vertAlign w:val="superscript"/>
        </w:rPr>
        <w:t>232</w:t>
      </w:r>
      <w:r w:rsidRPr="00871092">
        <w:rPr>
          <w:rFonts w:asciiTheme="majorBidi" w:eastAsia="Times New Roman" w:hAnsiTheme="majorBidi" w:cstheme="majorBidi"/>
        </w:rPr>
        <w:t xml:space="preserve">Th ratios of bentonite, </w:t>
      </w:r>
      <w:proofErr w:type="spellStart"/>
      <w:r w:rsidRPr="00871092">
        <w:rPr>
          <w:rFonts w:asciiTheme="majorBidi" w:eastAsia="Times New Roman" w:hAnsiTheme="majorBidi" w:cstheme="majorBidi"/>
        </w:rPr>
        <w:lastRenderedPageBreak/>
        <w:t>ghassoul</w:t>
      </w:r>
      <w:proofErr w:type="spellEnd"/>
      <w:r w:rsidRPr="00871092">
        <w:rPr>
          <w:rFonts w:asciiTheme="majorBidi" w:eastAsia="Times New Roman" w:hAnsiTheme="majorBidi" w:cstheme="majorBidi"/>
        </w:rPr>
        <w:t xml:space="preserve">, and kaolin are 2.87, 0.91, and 0.78, respectively, showing disequilibrium between U and Th decay chains. On the other hand, by comparing the </w:t>
      </w:r>
      <w:r w:rsidR="004A191F" w:rsidRPr="00871092">
        <w:rPr>
          <w:rFonts w:asciiTheme="majorBidi" w:hAnsiTheme="majorBidi" w:cstheme="majorBidi"/>
          <w:color w:val="000000" w:themeColor="text1"/>
          <w:vertAlign w:val="superscript"/>
        </w:rPr>
        <w:t>210</w:t>
      </w:r>
      <w:r w:rsidR="004A191F" w:rsidRPr="00871092">
        <w:rPr>
          <w:rFonts w:asciiTheme="majorBidi" w:hAnsiTheme="majorBidi" w:cstheme="majorBidi"/>
          <w:color w:val="000000" w:themeColor="text1"/>
        </w:rPr>
        <w:t>Pb/</w:t>
      </w:r>
      <w:r w:rsidR="004A191F" w:rsidRPr="00871092">
        <w:rPr>
          <w:rFonts w:asciiTheme="majorBidi" w:hAnsiTheme="majorBidi" w:cstheme="majorBidi"/>
          <w:color w:val="000000" w:themeColor="text1"/>
          <w:vertAlign w:val="superscript"/>
        </w:rPr>
        <w:t>210</w:t>
      </w:r>
      <w:r w:rsidR="004A191F" w:rsidRPr="00871092">
        <w:rPr>
          <w:rFonts w:asciiTheme="majorBidi" w:hAnsiTheme="majorBidi" w:cstheme="majorBidi"/>
          <w:color w:val="000000" w:themeColor="text1"/>
        </w:rPr>
        <w:t xml:space="preserve">Po </w:t>
      </w:r>
      <w:r w:rsidRPr="00871092">
        <w:rPr>
          <w:rFonts w:asciiTheme="majorBidi" w:eastAsia="Times New Roman" w:hAnsiTheme="majorBidi" w:cstheme="majorBidi"/>
        </w:rPr>
        <w:t xml:space="preserve">ratios, all three clays are near unity, implying secular equilibrium between these two isotopes. The elevated activities of members of the </w:t>
      </w:r>
      <w:r w:rsidR="004A191F" w:rsidRPr="00871092">
        <w:rPr>
          <w:rFonts w:asciiTheme="majorBidi" w:eastAsia="Times New Roman" w:hAnsiTheme="majorBidi" w:cstheme="majorBidi"/>
          <w:vertAlign w:val="superscript"/>
        </w:rPr>
        <w:t>232</w:t>
      </w:r>
      <w:r w:rsidRPr="00871092">
        <w:rPr>
          <w:rFonts w:asciiTheme="majorBidi" w:eastAsia="Times New Roman" w:hAnsiTheme="majorBidi" w:cstheme="majorBidi"/>
        </w:rPr>
        <w:t xml:space="preserve">Th and </w:t>
      </w:r>
      <w:r w:rsidR="004A191F" w:rsidRPr="00871092">
        <w:rPr>
          <w:rFonts w:asciiTheme="majorBidi" w:eastAsia="Times New Roman" w:hAnsiTheme="majorBidi" w:cstheme="majorBidi"/>
          <w:vertAlign w:val="superscript"/>
        </w:rPr>
        <w:t>238</w:t>
      </w:r>
      <w:r w:rsidRPr="00871092">
        <w:rPr>
          <w:rFonts w:asciiTheme="majorBidi" w:eastAsia="Times New Roman" w:hAnsiTheme="majorBidi" w:cstheme="majorBidi"/>
        </w:rPr>
        <w:t xml:space="preserve">U decay series in the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solid phase warrant careful consideration, particularly for its use in construction. For evaluating their potential use in building materials, the Activity Concentration Index (ACI), as defined in the (</w:t>
      </w:r>
      <w:r w:rsidRPr="00871092">
        <w:rPr>
          <w:rFonts w:asciiTheme="majorBidi" w:eastAsia="Times New Roman" w:hAnsiTheme="majorBidi" w:cstheme="majorBidi"/>
          <w:color w:val="5B9BD5" w:themeColor="accent1"/>
        </w:rPr>
        <w:t>Council Directive</w:t>
      </w:r>
      <w:r w:rsidR="004A191F" w:rsidRPr="00871092">
        <w:rPr>
          <w:rFonts w:asciiTheme="majorBidi" w:eastAsia="Times New Roman" w:hAnsiTheme="majorBidi" w:cstheme="majorBidi"/>
          <w:color w:val="5B9BD5" w:themeColor="accent1"/>
        </w:rPr>
        <w:t>,</w:t>
      </w:r>
      <w:r w:rsidRPr="00871092">
        <w:rPr>
          <w:rFonts w:asciiTheme="majorBidi" w:eastAsia="Times New Roman" w:hAnsiTheme="majorBidi" w:cstheme="majorBidi"/>
          <w:color w:val="5B9BD5" w:themeColor="accent1"/>
        </w:rPr>
        <w:t xml:space="preserve"> 2013</w:t>
      </w:r>
      <w:r w:rsidRPr="00871092">
        <w:rPr>
          <w:rFonts w:asciiTheme="majorBidi" w:eastAsia="Times New Roman" w:hAnsiTheme="majorBidi" w:cstheme="majorBidi"/>
        </w:rPr>
        <w:t xml:space="preserve">) (Annex VIII), offers the appropriate regulatory screening tool for </w:t>
      </w:r>
      <w:r w:rsidR="004A191F" w:rsidRPr="00871092">
        <w:rPr>
          <w:rFonts w:asciiTheme="majorBidi" w:eastAsia="Times New Roman" w:hAnsiTheme="majorBidi" w:cstheme="majorBidi"/>
          <w:vertAlign w:val="superscript"/>
        </w:rPr>
        <w:t>226</w:t>
      </w:r>
      <w:r w:rsidRPr="00871092">
        <w:rPr>
          <w:rFonts w:asciiTheme="majorBidi" w:eastAsia="Times New Roman" w:hAnsiTheme="majorBidi" w:cstheme="majorBidi"/>
        </w:rPr>
        <w:t xml:space="preserve">Ra, </w:t>
      </w:r>
      <w:r w:rsidR="004A191F" w:rsidRPr="00871092">
        <w:rPr>
          <w:rFonts w:asciiTheme="majorBidi" w:eastAsia="Times New Roman" w:hAnsiTheme="majorBidi" w:cstheme="majorBidi"/>
          <w:vertAlign w:val="superscript"/>
        </w:rPr>
        <w:t>232</w:t>
      </w:r>
      <w:r w:rsidRPr="00871092">
        <w:rPr>
          <w:rFonts w:asciiTheme="majorBidi" w:eastAsia="Times New Roman" w:hAnsiTheme="majorBidi" w:cstheme="majorBidi"/>
        </w:rPr>
        <w:t xml:space="preserve">Th, and </w:t>
      </w:r>
      <w:r w:rsidR="004A191F" w:rsidRPr="00871092">
        <w:rPr>
          <w:rFonts w:asciiTheme="majorBidi" w:eastAsia="Times New Roman" w:hAnsiTheme="majorBidi" w:cstheme="majorBidi"/>
          <w:vertAlign w:val="superscript"/>
        </w:rPr>
        <w:t>40</w:t>
      </w:r>
      <w:r w:rsidRPr="00871092">
        <w:rPr>
          <w:rFonts w:asciiTheme="majorBidi" w:eastAsia="Times New Roman" w:hAnsiTheme="majorBidi" w:cstheme="majorBidi"/>
        </w:rPr>
        <w:t>K (</w:t>
      </w:r>
      <w:r w:rsidRPr="00871092">
        <w:rPr>
          <w:rFonts w:asciiTheme="majorBidi" w:eastAsia="Times New Roman" w:hAnsiTheme="majorBidi" w:cstheme="majorBidi"/>
          <w:color w:val="5B9BD5" w:themeColor="accent1"/>
        </w:rPr>
        <w:t>UNSCEAR, 2000</w:t>
      </w:r>
      <w:r w:rsidRPr="00871092">
        <w:rPr>
          <w:rFonts w:asciiTheme="majorBidi" w:eastAsia="Times New Roman" w:hAnsiTheme="majorBidi" w:cstheme="majorBidi"/>
        </w:rPr>
        <w:t xml:space="preserve">). Although a full ACI calculation was beyond the scope of this work, the elevated </w:t>
      </w:r>
      <w:r w:rsidR="004A191F" w:rsidRPr="00871092">
        <w:rPr>
          <w:rFonts w:asciiTheme="majorBidi" w:eastAsia="Times New Roman" w:hAnsiTheme="majorBidi" w:cstheme="majorBidi"/>
          <w:vertAlign w:val="superscript"/>
        </w:rPr>
        <w:t>232</w:t>
      </w:r>
      <w:r w:rsidRPr="00871092">
        <w:rPr>
          <w:rFonts w:asciiTheme="majorBidi" w:eastAsia="Times New Roman" w:hAnsiTheme="majorBidi" w:cstheme="majorBidi"/>
        </w:rPr>
        <w:t>Th activity of 72.</w:t>
      </w:r>
      <w:r w:rsidR="004A191F" w:rsidRPr="00871092">
        <w:rPr>
          <w:rFonts w:asciiTheme="majorBidi" w:eastAsia="Times New Roman" w:hAnsiTheme="majorBidi" w:cstheme="majorBidi"/>
        </w:rPr>
        <w:t>4</w:t>
      </w:r>
      <w:r w:rsidRPr="00871092">
        <w:rPr>
          <w:rFonts w:asciiTheme="majorBidi" w:eastAsia="Times New Roman" w:hAnsiTheme="majorBidi" w:cstheme="majorBidi"/>
        </w:rPr>
        <w:t xml:space="preserve"> Bq kg</w:t>
      </w:r>
      <w:r w:rsidR="004A191F" w:rsidRPr="00871092">
        <w:rPr>
          <w:rFonts w:asciiTheme="majorBidi" w:eastAsia="Times New Roman" w:hAnsiTheme="majorBidi" w:cstheme="majorBidi"/>
          <w:vertAlign w:val="superscript"/>
        </w:rPr>
        <w:t>-1</w:t>
      </w:r>
      <w:r w:rsidRPr="00871092">
        <w:rPr>
          <w:rFonts w:asciiTheme="majorBidi" w:eastAsia="Times New Roman" w:hAnsiTheme="majorBidi" w:cstheme="majorBidi"/>
        </w:rPr>
        <w:t xml:space="preserve"> suggests that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might approach or exceed regulatory exemption levels for large-scale use in buildings, whereas bentonite and kaolin present significantly lower radiological concerns (</w:t>
      </w:r>
      <w:r w:rsidRPr="00871092">
        <w:rPr>
          <w:rFonts w:asciiTheme="majorBidi" w:eastAsia="Times New Roman" w:hAnsiTheme="majorBidi" w:cstheme="majorBidi"/>
          <w:color w:val="5B9BD5" w:themeColor="accent1"/>
        </w:rPr>
        <w:t>European Council, 2013</w:t>
      </w:r>
      <w:r w:rsidRPr="00871092">
        <w:rPr>
          <w:rFonts w:asciiTheme="majorBidi" w:eastAsia="Times New Roman" w:hAnsiTheme="majorBidi" w:cstheme="majorBidi"/>
        </w:rPr>
        <w:t>).</w:t>
      </w:r>
    </w:p>
    <w:p w14:paraId="4986DECB" w14:textId="77777777" w:rsidR="00607CF3" w:rsidRPr="00871092" w:rsidRDefault="00607CF3" w:rsidP="00871092">
      <w:pPr>
        <w:spacing w:after="0" w:line="240" w:lineRule="auto"/>
        <w:jc w:val="both"/>
        <w:rPr>
          <w:rFonts w:asciiTheme="majorBidi" w:hAnsiTheme="majorBidi" w:cstheme="majorBidi"/>
          <w:color w:val="000000" w:themeColor="text1"/>
        </w:rPr>
      </w:pPr>
    </w:p>
    <w:p w14:paraId="561DF8D9" w14:textId="66B61821" w:rsidR="00607CF3" w:rsidRPr="00871092" w:rsidRDefault="00607CF3" w:rsidP="00871092">
      <w:pPr>
        <w:pStyle w:val="Lgende"/>
        <w:keepNext/>
        <w:spacing w:after="0" w:line="240" w:lineRule="auto"/>
        <w:rPr>
          <w:rFonts w:asciiTheme="majorBidi" w:hAnsiTheme="majorBidi" w:cstheme="majorBidi"/>
          <w:b w:val="0"/>
          <w:bCs w:val="0"/>
          <w:color w:val="000000" w:themeColor="text1"/>
          <w:sz w:val="22"/>
          <w:szCs w:val="22"/>
        </w:rPr>
      </w:pPr>
      <w:r w:rsidRPr="00871092">
        <w:rPr>
          <w:rFonts w:asciiTheme="majorBidi" w:hAnsiTheme="majorBidi" w:cstheme="majorBidi"/>
          <w:color w:val="000000" w:themeColor="text1"/>
          <w:sz w:val="22"/>
          <w:szCs w:val="22"/>
        </w:rPr>
        <w:t xml:space="preserve">Table </w:t>
      </w:r>
      <w:r w:rsidR="004B6B60" w:rsidRPr="00871092">
        <w:rPr>
          <w:rFonts w:asciiTheme="majorBidi" w:hAnsiTheme="majorBidi" w:cstheme="majorBidi"/>
          <w:color w:val="000000" w:themeColor="text1"/>
          <w:sz w:val="22"/>
          <w:szCs w:val="22"/>
        </w:rPr>
        <w:t>2</w:t>
      </w:r>
      <w:r w:rsidRPr="00871092">
        <w:rPr>
          <w:rFonts w:asciiTheme="majorBidi" w:hAnsiTheme="majorBidi" w:cstheme="majorBidi"/>
          <w:color w:val="000000" w:themeColor="text1"/>
          <w:sz w:val="22"/>
          <w:szCs w:val="22"/>
        </w:rPr>
        <w:t xml:space="preserve">  </w:t>
      </w:r>
      <w:r w:rsidRPr="00871092">
        <w:rPr>
          <w:rFonts w:asciiTheme="majorBidi" w:hAnsiTheme="majorBidi" w:cstheme="majorBidi"/>
          <w:b w:val="0"/>
          <w:bCs w:val="0"/>
          <w:color w:val="000000" w:themeColor="text1"/>
          <w:sz w:val="22"/>
          <w:szCs w:val="22"/>
        </w:rPr>
        <w:t xml:space="preserve"> </w:t>
      </w:r>
      <w:r w:rsidRPr="00871092">
        <w:rPr>
          <w:rFonts w:asciiTheme="majorBidi" w:hAnsiTheme="majorBidi" w:cstheme="majorBidi"/>
          <w:b w:val="0"/>
          <w:bCs w:val="0"/>
          <w:color w:val="000000" w:themeColor="text1"/>
          <w:kern w:val="0"/>
          <w:sz w:val="22"/>
          <w:szCs w:val="22"/>
        </w:rPr>
        <w:t>A</w:t>
      </w:r>
      <w:r w:rsidRPr="00871092">
        <w:rPr>
          <w:rFonts w:asciiTheme="majorBidi" w:hAnsiTheme="majorBidi" w:cstheme="majorBidi"/>
          <w:b w:val="0"/>
          <w:bCs w:val="0"/>
          <w:color w:val="000000" w:themeColor="text1"/>
          <w:sz w:val="22"/>
          <w:szCs w:val="22"/>
        </w:rPr>
        <w:t xml:space="preserve">ctivity ratios in </w:t>
      </w:r>
      <w:r w:rsidRPr="00871092">
        <w:rPr>
          <w:rFonts w:asciiTheme="majorBidi" w:hAnsiTheme="majorBidi" w:cstheme="majorBidi"/>
          <w:b w:val="0"/>
          <w:bCs w:val="0"/>
          <w:color w:val="000000" w:themeColor="text1"/>
          <w:kern w:val="0"/>
          <w:sz w:val="22"/>
          <w:szCs w:val="22"/>
        </w:rPr>
        <w:t xml:space="preserve">bentonite, </w:t>
      </w:r>
      <w:proofErr w:type="spellStart"/>
      <w:r w:rsidRPr="00871092">
        <w:rPr>
          <w:rFonts w:asciiTheme="majorBidi" w:hAnsiTheme="majorBidi" w:cstheme="majorBidi"/>
          <w:b w:val="0"/>
          <w:bCs w:val="0"/>
          <w:color w:val="000000" w:themeColor="text1"/>
          <w:kern w:val="0"/>
          <w:sz w:val="22"/>
          <w:szCs w:val="22"/>
        </w:rPr>
        <w:t>ghassoul</w:t>
      </w:r>
      <w:proofErr w:type="spellEnd"/>
      <w:r w:rsidRPr="00871092">
        <w:rPr>
          <w:rFonts w:asciiTheme="majorBidi" w:hAnsiTheme="majorBidi" w:cstheme="majorBidi"/>
          <w:b w:val="0"/>
          <w:bCs w:val="0"/>
          <w:color w:val="000000" w:themeColor="text1"/>
          <w:kern w:val="0"/>
          <w:sz w:val="22"/>
          <w:szCs w:val="22"/>
        </w:rPr>
        <w:t xml:space="preserve"> and kaolin </w:t>
      </w:r>
    </w:p>
    <w:tbl>
      <w:tblPr>
        <w:tblStyle w:val="Grilledetableauclaire"/>
        <w:tblW w:w="9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1884"/>
        <w:gridCol w:w="1921"/>
        <w:gridCol w:w="1921"/>
        <w:gridCol w:w="1478"/>
      </w:tblGrid>
      <w:tr w:rsidR="00607CF3" w:rsidRPr="00871092" w14:paraId="58B62F1F" w14:textId="77777777" w:rsidTr="00900658">
        <w:trPr>
          <w:trHeight w:val="20"/>
        </w:trPr>
        <w:tc>
          <w:tcPr>
            <w:tcW w:w="1868" w:type="dxa"/>
            <w:tcBorders>
              <w:top w:val="single" w:sz="12" w:space="0" w:color="auto"/>
              <w:bottom w:val="single" w:sz="12" w:space="0" w:color="auto"/>
            </w:tcBorders>
            <w:noWrap/>
            <w:hideMark/>
          </w:tcPr>
          <w:p w14:paraId="56E07446"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Clays</w:t>
            </w:r>
          </w:p>
        </w:tc>
        <w:tc>
          <w:tcPr>
            <w:tcW w:w="1884" w:type="dxa"/>
            <w:tcBorders>
              <w:top w:val="single" w:sz="12" w:space="0" w:color="auto"/>
              <w:bottom w:val="single" w:sz="12" w:space="0" w:color="auto"/>
            </w:tcBorders>
            <w:vAlign w:val="center"/>
            <w:hideMark/>
          </w:tcPr>
          <w:p w14:paraId="7BD97A4B"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234</w:t>
            </w:r>
            <w:r w:rsidRPr="00871092">
              <w:rPr>
                <w:rFonts w:asciiTheme="majorBidi" w:hAnsiTheme="majorBidi" w:cstheme="majorBidi"/>
                <w:color w:val="000000" w:themeColor="text1"/>
                <w:kern w:val="0"/>
              </w:rPr>
              <w:t>U/</w:t>
            </w:r>
            <w:r w:rsidRPr="00871092">
              <w:rPr>
                <w:rFonts w:asciiTheme="majorBidi" w:hAnsiTheme="majorBidi" w:cstheme="majorBidi"/>
                <w:color w:val="000000" w:themeColor="text1"/>
                <w:kern w:val="0"/>
                <w:vertAlign w:val="superscript"/>
              </w:rPr>
              <w:t>238</w:t>
            </w:r>
            <w:r w:rsidRPr="00871092">
              <w:rPr>
                <w:rFonts w:asciiTheme="majorBidi" w:hAnsiTheme="majorBidi" w:cstheme="majorBidi"/>
                <w:color w:val="000000" w:themeColor="text1"/>
                <w:kern w:val="0"/>
              </w:rPr>
              <w:t>U</w:t>
            </w:r>
          </w:p>
        </w:tc>
        <w:tc>
          <w:tcPr>
            <w:tcW w:w="1921" w:type="dxa"/>
            <w:tcBorders>
              <w:top w:val="single" w:sz="12" w:space="0" w:color="auto"/>
              <w:bottom w:val="single" w:sz="12" w:space="0" w:color="auto"/>
            </w:tcBorders>
            <w:vAlign w:val="center"/>
            <w:hideMark/>
          </w:tcPr>
          <w:p w14:paraId="6135796B"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238</w:t>
            </w:r>
            <w:r w:rsidRPr="00871092">
              <w:rPr>
                <w:rFonts w:asciiTheme="majorBidi" w:hAnsiTheme="majorBidi" w:cstheme="majorBidi"/>
                <w:color w:val="000000" w:themeColor="text1"/>
                <w:kern w:val="0"/>
              </w:rPr>
              <w:t>U/</w:t>
            </w:r>
            <w:r w:rsidRPr="00871092">
              <w:rPr>
                <w:rFonts w:asciiTheme="majorBidi" w:hAnsiTheme="majorBidi" w:cstheme="majorBidi"/>
                <w:color w:val="000000" w:themeColor="text1"/>
                <w:kern w:val="0"/>
                <w:vertAlign w:val="superscript"/>
              </w:rPr>
              <w:t>232</w:t>
            </w:r>
            <w:r w:rsidRPr="00871092">
              <w:rPr>
                <w:rFonts w:asciiTheme="majorBidi" w:hAnsiTheme="majorBidi" w:cstheme="majorBidi"/>
                <w:color w:val="000000" w:themeColor="text1"/>
                <w:kern w:val="0"/>
              </w:rPr>
              <w:t>Th</w:t>
            </w:r>
          </w:p>
        </w:tc>
        <w:tc>
          <w:tcPr>
            <w:tcW w:w="1921" w:type="dxa"/>
            <w:tcBorders>
              <w:top w:val="single" w:sz="12" w:space="0" w:color="auto"/>
              <w:bottom w:val="single" w:sz="12" w:space="0" w:color="auto"/>
            </w:tcBorders>
            <w:vAlign w:val="center"/>
            <w:hideMark/>
          </w:tcPr>
          <w:p w14:paraId="5B7FE68B"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238</w:t>
            </w:r>
            <w:r w:rsidRPr="00871092">
              <w:rPr>
                <w:rFonts w:asciiTheme="majorBidi" w:hAnsiTheme="majorBidi" w:cstheme="majorBidi"/>
                <w:color w:val="000000" w:themeColor="text1"/>
                <w:kern w:val="0"/>
              </w:rPr>
              <w:t>U/</w:t>
            </w:r>
            <w:r w:rsidRPr="00871092">
              <w:rPr>
                <w:rFonts w:asciiTheme="majorBidi" w:hAnsiTheme="majorBidi" w:cstheme="majorBidi"/>
                <w:color w:val="000000" w:themeColor="text1"/>
                <w:kern w:val="0"/>
                <w:vertAlign w:val="superscript"/>
              </w:rPr>
              <w:t>226</w:t>
            </w:r>
            <w:r w:rsidRPr="00871092">
              <w:rPr>
                <w:rFonts w:asciiTheme="majorBidi" w:hAnsiTheme="majorBidi" w:cstheme="majorBidi"/>
                <w:color w:val="000000" w:themeColor="text1"/>
                <w:kern w:val="0"/>
              </w:rPr>
              <w:t>Ra</w:t>
            </w:r>
          </w:p>
        </w:tc>
        <w:tc>
          <w:tcPr>
            <w:tcW w:w="1478" w:type="dxa"/>
            <w:tcBorders>
              <w:top w:val="single" w:sz="12" w:space="0" w:color="auto"/>
              <w:bottom w:val="single" w:sz="12" w:space="0" w:color="auto"/>
            </w:tcBorders>
            <w:vAlign w:val="center"/>
            <w:hideMark/>
          </w:tcPr>
          <w:p w14:paraId="54BC592E"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210</w:t>
            </w:r>
            <w:r w:rsidRPr="00871092">
              <w:rPr>
                <w:rFonts w:asciiTheme="majorBidi" w:hAnsiTheme="majorBidi" w:cstheme="majorBidi"/>
                <w:color w:val="000000" w:themeColor="text1"/>
                <w:kern w:val="0"/>
              </w:rPr>
              <w:t>Pb/</w:t>
            </w:r>
            <w:r w:rsidRPr="00871092">
              <w:rPr>
                <w:rFonts w:asciiTheme="majorBidi" w:hAnsiTheme="majorBidi" w:cstheme="majorBidi"/>
                <w:color w:val="000000" w:themeColor="text1"/>
                <w:kern w:val="0"/>
                <w:vertAlign w:val="superscript"/>
              </w:rPr>
              <w:t>210</w:t>
            </w:r>
            <w:r w:rsidRPr="00871092">
              <w:rPr>
                <w:rFonts w:asciiTheme="majorBidi" w:hAnsiTheme="majorBidi" w:cstheme="majorBidi"/>
                <w:color w:val="000000" w:themeColor="text1"/>
                <w:kern w:val="0"/>
              </w:rPr>
              <w:t>Po</w:t>
            </w:r>
          </w:p>
        </w:tc>
      </w:tr>
      <w:tr w:rsidR="00607CF3" w:rsidRPr="00871092" w14:paraId="3792B9DB" w14:textId="77777777" w:rsidTr="00900658">
        <w:trPr>
          <w:trHeight w:val="20"/>
        </w:trPr>
        <w:tc>
          <w:tcPr>
            <w:tcW w:w="1868" w:type="dxa"/>
            <w:tcBorders>
              <w:top w:val="single" w:sz="12" w:space="0" w:color="auto"/>
            </w:tcBorders>
            <w:noWrap/>
            <w:hideMark/>
          </w:tcPr>
          <w:p w14:paraId="603AAA4D"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Bentonite</w:t>
            </w:r>
          </w:p>
        </w:tc>
        <w:tc>
          <w:tcPr>
            <w:tcW w:w="1884" w:type="dxa"/>
            <w:tcBorders>
              <w:top w:val="single" w:sz="12" w:space="0" w:color="auto"/>
            </w:tcBorders>
            <w:noWrap/>
            <w:vAlign w:val="center"/>
            <w:hideMark/>
          </w:tcPr>
          <w:p w14:paraId="45A43758"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1.43 </w:t>
            </w:r>
            <w:r w:rsidRPr="00871092">
              <w:rPr>
                <w:rFonts w:asciiTheme="majorBidi" w:hAnsiTheme="majorBidi" w:cstheme="majorBidi"/>
                <w:color w:val="000000" w:themeColor="text1"/>
              </w:rPr>
              <w:t>± 0.09</w:t>
            </w:r>
          </w:p>
        </w:tc>
        <w:tc>
          <w:tcPr>
            <w:tcW w:w="1921" w:type="dxa"/>
            <w:tcBorders>
              <w:top w:val="single" w:sz="12" w:space="0" w:color="auto"/>
            </w:tcBorders>
            <w:noWrap/>
            <w:vAlign w:val="center"/>
          </w:tcPr>
          <w:p w14:paraId="47EC0FF9"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2.41 ± 0.17</w:t>
            </w:r>
          </w:p>
        </w:tc>
        <w:tc>
          <w:tcPr>
            <w:tcW w:w="1921" w:type="dxa"/>
            <w:tcBorders>
              <w:top w:val="single" w:sz="12" w:space="0" w:color="auto"/>
            </w:tcBorders>
            <w:noWrap/>
            <w:vAlign w:val="center"/>
            <w:hideMark/>
          </w:tcPr>
          <w:p w14:paraId="462D979A" w14:textId="4B14CAD9" w:rsidR="00607CF3" w:rsidRPr="00871092" w:rsidRDefault="00607CF3" w:rsidP="00871092">
            <w:pPr>
              <w:jc w:val="center"/>
              <w:rPr>
                <w:rFonts w:asciiTheme="majorBidi" w:hAnsiTheme="majorBidi" w:cstheme="majorBidi"/>
                <w:color w:val="000000" w:themeColor="text1"/>
                <w:kern w:val="0"/>
              </w:rPr>
            </w:pPr>
            <w:r w:rsidRPr="000F084C">
              <w:rPr>
                <w:rFonts w:asciiTheme="majorBidi" w:hAnsiTheme="majorBidi" w:cstheme="majorBidi"/>
                <w:color w:val="EE0000"/>
                <w:kern w:val="0"/>
              </w:rPr>
              <w:t>0.</w:t>
            </w:r>
            <w:r w:rsidR="0049641C" w:rsidRPr="000F084C">
              <w:rPr>
                <w:rFonts w:asciiTheme="majorBidi" w:hAnsiTheme="majorBidi" w:cstheme="majorBidi"/>
                <w:color w:val="EE0000"/>
                <w:kern w:val="0"/>
              </w:rPr>
              <w:t>82</w:t>
            </w:r>
            <w:r w:rsidRPr="00871092">
              <w:rPr>
                <w:rFonts w:asciiTheme="majorBidi" w:hAnsiTheme="majorBidi" w:cstheme="majorBidi"/>
                <w:color w:val="000000" w:themeColor="text1"/>
                <w:kern w:val="0"/>
              </w:rPr>
              <w:t xml:space="preserve"> </w:t>
            </w:r>
            <w:r w:rsidRPr="00871092">
              <w:rPr>
                <w:rFonts w:asciiTheme="majorBidi" w:hAnsiTheme="majorBidi" w:cstheme="majorBidi"/>
                <w:color w:val="000000" w:themeColor="text1"/>
              </w:rPr>
              <w:t>± 0.08</w:t>
            </w:r>
          </w:p>
        </w:tc>
        <w:tc>
          <w:tcPr>
            <w:tcW w:w="1478" w:type="dxa"/>
            <w:tcBorders>
              <w:top w:val="single" w:sz="12" w:space="0" w:color="auto"/>
            </w:tcBorders>
            <w:noWrap/>
            <w:vAlign w:val="center"/>
            <w:hideMark/>
          </w:tcPr>
          <w:p w14:paraId="5E1DC81C"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1.12 </w:t>
            </w:r>
            <w:r w:rsidRPr="00871092">
              <w:rPr>
                <w:rFonts w:asciiTheme="majorBidi" w:hAnsiTheme="majorBidi" w:cstheme="majorBidi"/>
                <w:color w:val="000000" w:themeColor="text1"/>
              </w:rPr>
              <w:t>± 0.14</w:t>
            </w:r>
          </w:p>
        </w:tc>
      </w:tr>
      <w:tr w:rsidR="00607CF3" w:rsidRPr="00871092" w14:paraId="354A9896" w14:textId="77777777" w:rsidTr="00900658">
        <w:trPr>
          <w:trHeight w:val="20"/>
        </w:trPr>
        <w:tc>
          <w:tcPr>
            <w:tcW w:w="1868" w:type="dxa"/>
            <w:noWrap/>
          </w:tcPr>
          <w:p w14:paraId="12F0DEAD" w14:textId="77777777" w:rsidR="00607CF3" w:rsidRPr="00871092" w:rsidRDefault="00607CF3" w:rsidP="00871092">
            <w:pPr>
              <w:rPr>
                <w:rFonts w:asciiTheme="majorBidi" w:hAnsiTheme="majorBidi" w:cstheme="majorBidi"/>
                <w:color w:val="000000" w:themeColor="text1"/>
                <w:kern w:val="0"/>
              </w:rPr>
            </w:pPr>
            <w:proofErr w:type="spellStart"/>
            <w:r w:rsidRPr="00871092">
              <w:rPr>
                <w:rFonts w:asciiTheme="majorBidi" w:hAnsiTheme="majorBidi" w:cstheme="majorBidi"/>
                <w:color w:val="000000" w:themeColor="text1"/>
                <w:kern w:val="0"/>
              </w:rPr>
              <w:t>Ghassoul</w:t>
            </w:r>
            <w:proofErr w:type="spellEnd"/>
          </w:p>
        </w:tc>
        <w:tc>
          <w:tcPr>
            <w:tcW w:w="1884" w:type="dxa"/>
            <w:noWrap/>
            <w:vAlign w:val="center"/>
          </w:tcPr>
          <w:p w14:paraId="3D9B5DB4"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1.19 </w:t>
            </w:r>
            <w:r w:rsidRPr="00871092">
              <w:rPr>
                <w:rFonts w:asciiTheme="majorBidi" w:hAnsiTheme="majorBidi" w:cstheme="majorBidi"/>
                <w:color w:val="000000" w:themeColor="text1"/>
              </w:rPr>
              <w:t>± 0.11</w:t>
            </w:r>
          </w:p>
        </w:tc>
        <w:tc>
          <w:tcPr>
            <w:tcW w:w="1921" w:type="dxa"/>
            <w:noWrap/>
            <w:vAlign w:val="center"/>
          </w:tcPr>
          <w:p w14:paraId="0C66877A"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0.91 ± 0.11</w:t>
            </w:r>
          </w:p>
        </w:tc>
        <w:tc>
          <w:tcPr>
            <w:tcW w:w="1921" w:type="dxa"/>
            <w:noWrap/>
            <w:vAlign w:val="center"/>
          </w:tcPr>
          <w:p w14:paraId="546818EE"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0.76 </w:t>
            </w:r>
            <w:r w:rsidRPr="00871092">
              <w:rPr>
                <w:rFonts w:asciiTheme="majorBidi" w:hAnsiTheme="majorBidi" w:cstheme="majorBidi"/>
                <w:color w:val="000000" w:themeColor="text1"/>
              </w:rPr>
              <w:t>± 0.08</w:t>
            </w:r>
          </w:p>
        </w:tc>
        <w:tc>
          <w:tcPr>
            <w:tcW w:w="1478" w:type="dxa"/>
            <w:noWrap/>
            <w:vAlign w:val="center"/>
          </w:tcPr>
          <w:p w14:paraId="3891327C"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0.95 </w:t>
            </w:r>
            <w:r w:rsidRPr="00871092">
              <w:rPr>
                <w:rFonts w:asciiTheme="majorBidi" w:hAnsiTheme="majorBidi" w:cstheme="majorBidi"/>
                <w:color w:val="000000" w:themeColor="text1"/>
              </w:rPr>
              <w:t>± 0.12</w:t>
            </w:r>
          </w:p>
        </w:tc>
      </w:tr>
      <w:tr w:rsidR="00607CF3" w:rsidRPr="00871092" w14:paraId="61F065CB" w14:textId="77777777" w:rsidTr="00900658">
        <w:trPr>
          <w:trHeight w:val="20"/>
        </w:trPr>
        <w:tc>
          <w:tcPr>
            <w:tcW w:w="1868" w:type="dxa"/>
            <w:tcBorders>
              <w:bottom w:val="single" w:sz="12" w:space="0" w:color="auto"/>
            </w:tcBorders>
            <w:noWrap/>
            <w:hideMark/>
          </w:tcPr>
          <w:p w14:paraId="09CC8EA8"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Kaolin</w:t>
            </w:r>
          </w:p>
        </w:tc>
        <w:tc>
          <w:tcPr>
            <w:tcW w:w="1884" w:type="dxa"/>
            <w:tcBorders>
              <w:bottom w:val="single" w:sz="12" w:space="0" w:color="auto"/>
            </w:tcBorders>
            <w:noWrap/>
            <w:vAlign w:val="center"/>
            <w:hideMark/>
          </w:tcPr>
          <w:p w14:paraId="0789868C"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1.32 </w:t>
            </w:r>
            <w:r w:rsidRPr="00871092">
              <w:rPr>
                <w:rFonts w:asciiTheme="majorBidi" w:hAnsiTheme="majorBidi" w:cstheme="majorBidi"/>
                <w:color w:val="000000" w:themeColor="text1"/>
              </w:rPr>
              <w:t>± 0.07</w:t>
            </w:r>
          </w:p>
        </w:tc>
        <w:tc>
          <w:tcPr>
            <w:tcW w:w="1921" w:type="dxa"/>
            <w:tcBorders>
              <w:bottom w:val="single" w:sz="12" w:space="0" w:color="auto"/>
            </w:tcBorders>
            <w:noWrap/>
            <w:vAlign w:val="center"/>
          </w:tcPr>
          <w:p w14:paraId="41FB4F39"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0.78 ± 0.11</w:t>
            </w:r>
          </w:p>
        </w:tc>
        <w:tc>
          <w:tcPr>
            <w:tcW w:w="1921" w:type="dxa"/>
            <w:tcBorders>
              <w:bottom w:val="single" w:sz="12" w:space="0" w:color="auto"/>
            </w:tcBorders>
            <w:noWrap/>
            <w:vAlign w:val="center"/>
            <w:hideMark/>
          </w:tcPr>
          <w:p w14:paraId="611B178B"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0.55 </w:t>
            </w:r>
            <w:r w:rsidRPr="00871092">
              <w:rPr>
                <w:rFonts w:asciiTheme="majorBidi" w:hAnsiTheme="majorBidi" w:cstheme="majorBidi"/>
                <w:color w:val="000000" w:themeColor="text1"/>
              </w:rPr>
              <w:t>± 0.07</w:t>
            </w:r>
          </w:p>
        </w:tc>
        <w:tc>
          <w:tcPr>
            <w:tcW w:w="1478" w:type="dxa"/>
            <w:tcBorders>
              <w:bottom w:val="single" w:sz="12" w:space="0" w:color="auto"/>
            </w:tcBorders>
            <w:noWrap/>
            <w:vAlign w:val="center"/>
            <w:hideMark/>
          </w:tcPr>
          <w:p w14:paraId="67632787"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1.08 </w:t>
            </w:r>
            <w:r w:rsidRPr="00871092">
              <w:rPr>
                <w:rFonts w:asciiTheme="majorBidi" w:hAnsiTheme="majorBidi" w:cstheme="majorBidi"/>
                <w:color w:val="000000" w:themeColor="text1"/>
              </w:rPr>
              <w:t>± 0.09</w:t>
            </w:r>
          </w:p>
        </w:tc>
      </w:tr>
    </w:tbl>
    <w:p w14:paraId="5E7E1155" w14:textId="77777777" w:rsidR="00607CF3" w:rsidRPr="00871092" w:rsidRDefault="00607CF3" w:rsidP="00871092">
      <w:pPr>
        <w:spacing w:after="0" w:line="240" w:lineRule="auto"/>
        <w:rPr>
          <w:rFonts w:asciiTheme="majorBidi" w:hAnsiTheme="majorBidi" w:cstheme="majorBidi"/>
          <w:color w:val="000000" w:themeColor="text1"/>
        </w:rPr>
      </w:pPr>
    </w:p>
    <w:p w14:paraId="256BDBFF" w14:textId="77777777" w:rsidR="00607CF3" w:rsidRPr="00871092" w:rsidRDefault="00607CF3" w:rsidP="000E3D8F">
      <w:pPr>
        <w:pStyle w:val="Titre2"/>
        <w:numPr>
          <w:ilvl w:val="1"/>
          <w:numId w:val="21"/>
        </w:numPr>
        <w:spacing w:before="0" w:after="0" w:line="240" w:lineRule="auto"/>
        <w:rPr>
          <w:rFonts w:cstheme="majorBidi"/>
          <w:color w:val="000000" w:themeColor="text1"/>
          <w:sz w:val="22"/>
          <w:szCs w:val="22"/>
        </w:rPr>
      </w:pPr>
      <w:bookmarkStart w:id="7" w:name="_Hlk212570768"/>
      <w:r w:rsidRPr="00871092">
        <w:rPr>
          <w:rFonts w:cstheme="majorBidi"/>
          <w:color w:val="000000" w:themeColor="text1"/>
          <w:sz w:val="22"/>
          <w:szCs w:val="22"/>
        </w:rPr>
        <w:t xml:space="preserve">Contamination assessment </w:t>
      </w:r>
      <w:bookmarkEnd w:id="7"/>
    </w:p>
    <w:p w14:paraId="2B99B1D2" w14:textId="10F902AC" w:rsidR="00E77F7C" w:rsidRDefault="00E77F7C" w:rsidP="00C573C8">
      <w:pPr>
        <w:spacing w:after="0" w:line="240" w:lineRule="auto"/>
        <w:jc w:val="both"/>
        <w:rPr>
          <w:rFonts w:asciiTheme="majorBidi" w:hAnsiTheme="majorBidi" w:cstheme="majorBidi"/>
          <w:color w:val="000000" w:themeColor="text1"/>
        </w:rPr>
      </w:pPr>
      <w:r w:rsidRPr="00871092">
        <w:rPr>
          <w:rFonts w:asciiTheme="majorBidi" w:eastAsia="Times New Roman" w:hAnsiTheme="majorBidi" w:cstheme="majorBidi"/>
        </w:rPr>
        <w:t xml:space="preserve">The assessment of the contamination levels of bentonite, kaolin and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was made by comparing their elemental concentrations to those reported for typical clay rocks </w:t>
      </w:r>
      <w:r w:rsidRPr="00871092">
        <w:rPr>
          <w:rFonts w:asciiTheme="majorBidi" w:hAnsiTheme="majorBidi" w:cstheme="majorBidi"/>
          <w:color w:val="000000" w:themeColor="text1"/>
        </w:rPr>
        <w:t>(</w:t>
      </w:r>
      <w:proofErr w:type="spellStart"/>
      <w:r w:rsidRPr="00871092">
        <w:rPr>
          <w:rFonts w:asciiTheme="majorBidi" w:hAnsiTheme="majorBidi" w:cstheme="majorBidi"/>
          <w:color w:val="5B9BD5" w:themeColor="accent1"/>
        </w:rPr>
        <w:t>Kabata-Pendias</w:t>
      </w:r>
      <w:proofErr w:type="spellEnd"/>
      <w:r w:rsidRPr="00871092">
        <w:rPr>
          <w:rFonts w:asciiTheme="majorBidi" w:hAnsiTheme="majorBidi" w:cstheme="majorBidi"/>
          <w:color w:val="5B9BD5" w:themeColor="accent1"/>
        </w:rPr>
        <w:t>, 2011</w:t>
      </w:r>
      <w:r w:rsidRPr="00871092">
        <w:rPr>
          <w:rFonts w:asciiTheme="majorBidi" w:hAnsiTheme="majorBidi" w:cstheme="majorBidi"/>
          <w:color w:val="000000" w:themeColor="text1"/>
        </w:rPr>
        <w:t>).</w:t>
      </w:r>
      <w:r w:rsidR="00C573C8">
        <w:rPr>
          <w:rFonts w:asciiTheme="majorBidi" w:hAnsiTheme="majorBidi" w:cstheme="majorBidi"/>
          <w:color w:val="000000" w:themeColor="text1"/>
        </w:rPr>
        <w:t xml:space="preserve"> </w:t>
      </w:r>
      <w:r w:rsidR="00C573C8" w:rsidRPr="000F084C">
        <w:rPr>
          <w:rFonts w:asciiTheme="majorBidi" w:hAnsiTheme="majorBidi" w:cstheme="majorBidi"/>
          <w:color w:val="EE0000"/>
        </w:rPr>
        <w:t xml:space="preserve">Fig. 3 </w:t>
      </w:r>
      <w:r w:rsidR="00C573C8" w:rsidRPr="00C573C8">
        <w:rPr>
          <w:rFonts w:asciiTheme="majorBidi" w:hAnsiTheme="majorBidi" w:cstheme="majorBidi"/>
          <w:color w:val="000000" w:themeColor="text1"/>
        </w:rPr>
        <w:t xml:space="preserve">presents the resulting contamination indices (Cf, PLI, </w:t>
      </w:r>
      <w:proofErr w:type="spellStart"/>
      <w:r w:rsidR="00C573C8" w:rsidRPr="00C573C8">
        <w:rPr>
          <w:rFonts w:asciiTheme="majorBidi" w:hAnsiTheme="majorBidi" w:cstheme="majorBidi"/>
          <w:color w:val="000000" w:themeColor="text1"/>
        </w:rPr>
        <w:t>Cdeg</w:t>
      </w:r>
      <w:proofErr w:type="spellEnd"/>
      <w:r w:rsidR="00C573C8" w:rsidRPr="00C573C8">
        <w:rPr>
          <w:rFonts w:asciiTheme="majorBidi" w:hAnsiTheme="majorBidi" w:cstheme="majorBidi"/>
          <w:color w:val="000000" w:themeColor="text1"/>
        </w:rPr>
        <w:t xml:space="preserve">, </w:t>
      </w:r>
      <w:proofErr w:type="spellStart"/>
      <w:r w:rsidR="00C573C8" w:rsidRPr="00C573C8">
        <w:rPr>
          <w:rFonts w:asciiTheme="majorBidi" w:hAnsiTheme="majorBidi" w:cstheme="majorBidi"/>
          <w:color w:val="000000" w:themeColor="text1"/>
        </w:rPr>
        <w:t>mCd</w:t>
      </w:r>
      <w:proofErr w:type="spellEnd"/>
      <w:r w:rsidR="00C573C8" w:rsidRPr="00C573C8">
        <w:rPr>
          <w:rFonts w:asciiTheme="majorBidi" w:hAnsiTheme="majorBidi" w:cstheme="majorBidi"/>
          <w:color w:val="000000" w:themeColor="text1"/>
        </w:rPr>
        <w:t xml:space="preserve">, EF, and </w:t>
      </w:r>
      <w:proofErr w:type="spellStart"/>
      <w:r w:rsidR="00C573C8" w:rsidRPr="00C573C8">
        <w:rPr>
          <w:rFonts w:asciiTheme="majorBidi" w:hAnsiTheme="majorBidi" w:cstheme="majorBidi"/>
          <w:color w:val="000000" w:themeColor="text1"/>
        </w:rPr>
        <w:t>Igeo</w:t>
      </w:r>
      <w:proofErr w:type="spellEnd"/>
      <w:r w:rsidR="00C573C8" w:rsidRPr="00C573C8">
        <w:rPr>
          <w:rFonts w:asciiTheme="majorBidi" w:hAnsiTheme="majorBidi" w:cstheme="majorBidi"/>
          <w:color w:val="000000" w:themeColor="text1"/>
        </w:rPr>
        <w:t>) for the three clay types.</w:t>
      </w:r>
      <w:r w:rsidR="007D248B">
        <w:rPr>
          <w:rFonts w:asciiTheme="majorBidi" w:hAnsiTheme="majorBidi" w:cstheme="majorBidi"/>
          <w:color w:val="000000" w:themeColor="text1"/>
        </w:rPr>
        <w:t xml:space="preserve"> </w:t>
      </w:r>
    </w:p>
    <w:p w14:paraId="78FB5B8F" w14:textId="08FBE79B" w:rsidR="00607CF3" w:rsidRPr="00871092" w:rsidRDefault="00E77F7C" w:rsidP="000E3D8F">
      <w:pPr>
        <w:spacing w:after="0" w:line="240" w:lineRule="auto"/>
        <w:jc w:val="both"/>
      </w:pPr>
      <w:r w:rsidRPr="00871092">
        <w:rPr>
          <w:rFonts w:asciiTheme="majorBidi" w:eastAsia="Times New Roman" w:hAnsiTheme="majorBidi" w:cstheme="majorBidi"/>
        </w:rPr>
        <w:t xml:space="preserve">The Contamination Factor (CF) analysis, calculated using </w:t>
      </w:r>
      <w:r w:rsidRPr="00871092">
        <w:rPr>
          <w:rFonts w:asciiTheme="majorBidi" w:eastAsia="Times New Roman" w:hAnsiTheme="majorBidi" w:cstheme="majorBidi"/>
          <w:color w:val="5B9BD5" w:themeColor="accent1"/>
        </w:rPr>
        <w:t xml:space="preserve">Equation (1), </w:t>
      </w:r>
      <w:r w:rsidRPr="00871092">
        <w:rPr>
          <w:rFonts w:asciiTheme="majorBidi" w:eastAsia="Times New Roman" w:hAnsiTheme="majorBidi" w:cstheme="majorBidi"/>
        </w:rPr>
        <w:t xml:space="preserve">was employed to distinguish the materials at a bulk elemental level and revealed distinct contamination signatures across the three clay types </w:t>
      </w:r>
      <w:r w:rsidRPr="000F084C">
        <w:rPr>
          <w:rFonts w:asciiTheme="majorBidi" w:eastAsia="Times New Roman" w:hAnsiTheme="majorBidi" w:cstheme="majorBidi"/>
          <w:color w:val="EE0000"/>
        </w:rPr>
        <w:t>(</w:t>
      </w:r>
      <w:r w:rsidR="00800A90" w:rsidRPr="000F084C">
        <w:rPr>
          <w:rFonts w:asciiTheme="majorBidi" w:eastAsia="Times New Roman" w:hAnsiTheme="majorBidi" w:cstheme="majorBidi"/>
          <w:color w:val="EE0000"/>
        </w:rPr>
        <w:t>Fig. 3A</w:t>
      </w:r>
      <w:r w:rsidRPr="000F084C">
        <w:rPr>
          <w:rFonts w:asciiTheme="majorBidi" w:eastAsia="Times New Roman" w:hAnsiTheme="majorBidi" w:cstheme="majorBidi"/>
          <w:color w:val="EE0000"/>
        </w:rPr>
        <w:t>)</w:t>
      </w:r>
      <w:r w:rsidRPr="00871092">
        <w:rPr>
          <w:rFonts w:asciiTheme="majorBidi" w:eastAsia="Times New Roman" w:hAnsiTheme="majorBidi" w:cstheme="majorBidi"/>
        </w:rPr>
        <w:t>. Bentonite exhibits moderate contamination for Cadmium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Cd</w:t>
      </w:r>
      <w:proofErr w:type="spellEnd"/>
      <w:r w:rsidRPr="00871092">
        <w:rPr>
          <w:rFonts w:asciiTheme="majorBidi" w:eastAsia="Times New Roman" w:hAnsiTheme="majorBidi" w:cstheme="majorBidi"/>
        </w:rPr>
        <w:t xml:space="preserve"> = 1.44), Zinc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Zn</w:t>
      </w:r>
      <w:proofErr w:type="spellEnd"/>
      <w:r w:rsidRPr="00871092">
        <w:rPr>
          <w:rFonts w:asciiTheme="majorBidi" w:eastAsia="Times New Roman" w:hAnsiTheme="majorBidi" w:cstheme="majorBidi"/>
        </w:rPr>
        <w:t xml:space="preserve"> = 1.13), and Aluminum (</w:t>
      </w:r>
      <w:proofErr w:type="spellStart"/>
      <w:r w:rsidRPr="00871092">
        <w:rPr>
          <w:rFonts w:asciiTheme="majorBidi" w:eastAsia="Times New Roman" w:hAnsiTheme="majorBidi" w:cstheme="majorBidi"/>
        </w:rPr>
        <w:t>CF</w:t>
      </w:r>
      <w:r w:rsidRPr="000F084C">
        <w:rPr>
          <w:rFonts w:asciiTheme="majorBidi" w:eastAsia="Times New Roman" w:hAnsiTheme="majorBidi" w:cstheme="majorBidi"/>
          <w:vertAlign w:val="subscript"/>
        </w:rPr>
        <w:t>Al</w:t>
      </w:r>
      <w:proofErr w:type="spellEnd"/>
      <w:r w:rsidRPr="00871092">
        <w:rPr>
          <w:rFonts w:asciiTheme="majorBidi" w:eastAsia="Times New Roman" w:hAnsiTheme="majorBidi" w:cstheme="majorBidi"/>
        </w:rPr>
        <w:t xml:space="preserve"> = 1.12), while other elements remain at low contamination levels (CF &lt; 1).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demonstrates the highest contamination burden, dominated by a very high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Cd</w:t>
      </w:r>
      <w:proofErr w:type="spellEnd"/>
      <w:r w:rsidRPr="00871092">
        <w:rPr>
          <w:rFonts w:asciiTheme="majorBidi" w:eastAsia="Times New Roman" w:hAnsiTheme="majorBidi" w:cstheme="majorBidi"/>
        </w:rPr>
        <w:t xml:space="preserve"> = 9.60. This is accompanied by moderate enrichments for Copper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Cu</w:t>
      </w:r>
      <w:proofErr w:type="spellEnd"/>
      <w:r w:rsidRPr="00871092">
        <w:rPr>
          <w:rFonts w:asciiTheme="majorBidi" w:eastAsia="Times New Roman" w:hAnsiTheme="majorBidi" w:cstheme="majorBidi"/>
        </w:rPr>
        <w:t xml:space="preserve"> = 1.70), Zinc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Zn</w:t>
      </w:r>
      <w:proofErr w:type="spellEnd"/>
      <w:r w:rsidRPr="00871092">
        <w:rPr>
          <w:rFonts w:asciiTheme="majorBidi" w:eastAsia="Times New Roman" w:hAnsiTheme="majorBidi" w:cstheme="majorBidi"/>
        </w:rPr>
        <w:t xml:space="preserve"> = 1.67), Vanadium (CF</w:t>
      </w:r>
      <w:r w:rsidRPr="00871092">
        <w:rPr>
          <w:rFonts w:asciiTheme="majorBidi" w:eastAsia="Times New Roman" w:hAnsiTheme="majorBidi" w:cstheme="majorBidi"/>
          <w:vertAlign w:val="subscript"/>
        </w:rPr>
        <w:t>V</w:t>
      </w:r>
      <w:r w:rsidRPr="00871092">
        <w:rPr>
          <w:rFonts w:asciiTheme="majorBidi" w:eastAsia="Times New Roman" w:hAnsiTheme="majorBidi" w:cstheme="majorBidi"/>
        </w:rPr>
        <w:t xml:space="preserve"> = 1.41), Lead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Pb</w:t>
      </w:r>
      <w:proofErr w:type="spellEnd"/>
      <w:r w:rsidRPr="00871092">
        <w:rPr>
          <w:rFonts w:asciiTheme="majorBidi" w:eastAsia="Times New Roman" w:hAnsiTheme="majorBidi" w:cstheme="majorBidi"/>
        </w:rPr>
        <w:t xml:space="preserve"> = 1.21), and Manganese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Mn</w:t>
      </w:r>
      <w:proofErr w:type="spellEnd"/>
      <w:r w:rsidRPr="00871092">
        <w:rPr>
          <w:rFonts w:asciiTheme="majorBidi" w:eastAsia="Times New Roman" w:hAnsiTheme="majorBidi" w:cstheme="majorBidi"/>
        </w:rPr>
        <w:t xml:space="preserve"> = 1.07). In contrast, kaolin generally appears uncontaminated, showing only moderate CFs for Iron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Fe</w:t>
      </w:r>
      <w:proofErr w:type="spellEnd"/>
      <w:r w:rsidRPr="00871092">
        <w:rPr>
          <w:rFonts w:asciiTheme="majorBidi" w:eastAsia="Times New Roman" w:hAnsiTheme="majorBidi" w:cstheme="majorBidi"/>
        </w:rPr>
        <w:t xml:space="preserve"> = 2.36) and Aluminum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Al</w:t>
      </w:r>
      <w:proofErr w:type="spellEnd"/>
      <w:r w:rsidRPr="00871092">
        <w:rPr>
          <w:rFonts w:asciiTheme="majorBidi" w:eastAsia="Times New Roman" w:hAnsiTheme="majorBidi" w:cstheme="majorBidi"/>
        </w:rPr>
        <w:t xml:space="preserve"> = 2.19), with the majority of PTEs falling below unity. The resulting contamination hierarchy is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t>
      </w:r>
      <w:r w:rsidRPr="00871092">
        <w:rPr>
          <w:rFonts w:ascii="Cambria Math" w:eastAsia="Times New Roman" w:hAnsi="Cambria Math" w:cs="Cambria Math"/>
        </w:rPr>
        <w:t>≫</w:t>
      </w:r>
      <w:r w:rsidRPr="00871092">
        <w:rPr>
          <w:rFonts w:asciiTheme="majorBidi" w:eastAsia="Times New Roman" w:hAnsiTheme="majorBidi" w:cstheme="majorBidi"/>
        </w:rPr>
        <w:t xml:space="preserve"> Bentonite &gt; Kaolin, primarily driven by the significant Cadmium anomaly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The elevated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Cd</w:t>
      </w:r>
      <w:proofErr w:type="spellEnd"/>
      <w:r w:rsidRPr="00871092">
        <w:rPr>
          <w:rFonts w:asciiTheme="majorBidi" w:eastAsia="Times New Roman" w:hAnsiTheme="majorBidi" w:cstheme="majorBidi"/>
        </w:rPr>
        <w:t xml:space="preserve">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is of particular concern due to Cadmium's high mobility, toxicity, and strong bioaccumulation potential (</w:t>
      </w:r>
      <w:r w:rsidR="002B4070" w:rsidRPr="00871092">
        <w:rPr>
          <w:rFonts w:asciiTheme="majorBidi" w:eastAsia="Times New Roman" w:hAnsiTheme="majorBidi" w:cstheme="majorBidi"/>
          <w:color w:val="5B9BD5" w:themeColor="accent1"/>
        </w:rPr>
        <w:t>WHO, 2010</w:t>
      </w:r>
      <w:r w:rsidR="002B4070">
        <w:rPr>
          <w:rFonts w:asciiTheme="majorBidi" w:eastAsia="Times New Roman" w:hAnsiTheme="majorBidi" w:cstheme="majorBidi"/>
          <w:color w:val="5B9BD5" w:themeColor="accent1"/>
        </w:rPr>
        <w:t xml:space="preserve">; </w:t>
      </w:r>
      <w:r w:rsidRPr="00871092">
        <w:rPr>
          <w:rFonts w:asciiTheme="majorBidi" w:eastAsia="Times New Roman" w:hAnsiTheme="majorBidi" w:cstheme="majorBidi"/>
          <w:color w:val="5B9BD5" w:themeColor="accent1"/>
        </w:rPr>
        <w:t>ATSDR, 2012</w:t>
      </w:r>
      <w:r w:rsidRPr="00871092">
        <w:rPr>
          <w:rFonts w:asciiTheme="majorBidi" w:eastAsia="Times New Roman" w:hAnsiTheme="majorBidi" w:cstheme="majorBidi"/>
        </w:rPr>
        <w:t>).</w:t>
      </w:r>
    </w:p>
    <w:p w14:paraId="6FF4FE10" w14:textId="3D3AC74E" w:rsidR="002F2BA2" w:rsidRPr="000F084C" w:rsidRDefault="00402AE1" w:rsidP="002F2BA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To investigate the origin of the elemental enrichments, the Enrichment Factor (EF), calculated using </w:t>
      </w:r>
      <w:r w:rsidRPr="00871092">
        <w:rPr>
          <w:rFonts w:asciiTheme="majorBidi" w:eastAsia="Times New Roman" w:hAnsiTheme="majorBidi" w:cstheme="majorBidi"/>
          <w:color w:val="5B9BD5" w:themeColor="accent1"/>
        </w:rPr>
        <w:t xml:space="preserve">Equation (2) </w:t>
      </w:r>
      <w:r w:rsidRPr="00871092">
        <w:rPr>
          <w:rFonts w:asciiTheme="majorBidi" w:eastAsia="Times New Roman" w:hAnsiTheme="majorBidi" w:cstheme="majorBidi"/>
        </w:rPr>
        <w:t xml:space="preserve">with </w:t>
      </w:r>
      <w:r w:rsidR="0082597D">
        <w:rPr>
          <w:rFonts w:asciiTheme="majorBidi" w:eastAsia="Times New Roman" w:hAnsiTheme="majorBidi" w:cstheme="majorBidi"/>
        </w:rPr>
        <w:t>a</w:t>
      </w:r>
      <w:r w:rsidR="0082597D" w:rsidRPr="00871092">
        <w:rPr>
          <w:rFonts w:asciiTheme="majorBidi" w:eastAsia="Times New Roman" w:hAnsiTheme="majorBidi" w:cstheme="majorBidi"/>
        </w:rPr>
        <w:t xml:space="preserve">luminum </w:t>
      </w:r>
      <w:r w:rsidRPr="00871092">
        <w:rPr>
          <w:rFonts w:asciiTheme="majorBidi" w:eastAsia="Times New Roman" w:hAnsiTheme="majorBidi" w:cstheme="majorBidi"/>
        </w:rPr>
        <w:t>as the reference element, and the Geo-Accumulation Index (</w:t>
      </w:r>
      <w:proofErr w:type="spellStart"/>
      <w:r w:rsidRPr="00871092">
        <w:rPr>
          <w:rFonts w:asciiTheme="majorBidi" w:eastAsia="Times New Roman" w:hAnsiTheme="majorBidi" w:cstheme="majorBidi"/>
        </w:rPr>
        <w:t>I</w:t>
      </w:r>
      <w:r w:rsidRPr="00871092">
        <w:rPr>
          <w:rFonts w:asciiTheme="majorBidi" w:eastAsia="Times New Roman" w:hAnsiTheme="majorBidi" w:cstheme="majorBidi"/>
          <w:vertAlign w:val="subscript"/>
        </w:rPr>
        <w:t>geo</w:t>
      </w:r>
      <w:proofErr w:type="spellEnd"/>
      <w:r w:rsidRPr="00871092">
        <w:rPr>
          <w:rFonts w:asciiTheme="majorBidi" w:eastAsia="Times New Roman" w:hAnsiTheme="majorBidi" w:cstheme="majorBidi"/>
        </w:rPr>
        <w:t xml:space="preserve">), calculated using </w:t>
      </w:r>
      <w:r w:rsidRPr="00871092">
        <w:rPr>
          <w:rFonts w:asciiTheme="majorBidi" w:eastAsia="Times New Roman" w:hAnsiTheme="majorBidi" w:cstheme="majorBidi"/>
          <w:color w:val="5B9BD5" w:themeColor="accent1"/>
        </w:rPr>
        <w:t>Equation (3)</w:t>
      </w:r>
      <w:r w:rsidR="0082597D">
        <w:rPr>
          <w:rFonts w:asciiTheme="majorBidi" w:eastAsia="Times New Roman" w:hAnsiTheme="majorBidi" w:cstheme="majorBidi"/>
        </w:rPr>
        <w:t>.</w:t>
      </w:r>
      <w:r w:rsidRPr="00871092">
        <w:rPr>
          <w:rFonts w:asciiTheme="majorBidi" w:eastAsia="Times New Roman" w:hAnsiTheme="majorBidi" w:cstheme="majorBidi"/>
        </w:rPr>
        <w:t xml:space="preserve"> The EF </w:t>
      </w:r>
      <w:r w:rsidR="0082597D">
        <w:rPr>
          <w:rFonts w:asciiTheme="majorBidi" w:eastAsia="Times New Roman" w:hAnsiTheme="majorBidi" w:cstheme="majorBidi"/>
        </w:rPr>
        <w:t>values</w:t>
      </w:r>
      <w:r w:rsidR="0082597D" w:rsidRPr="00871092">
        <w:rPr>
          <w:rFonts w:asciiTheme="majorBidi" w:eastAsia="Times New Roman" w:hAnsiTheme="majorBidi" w:cstheme="majorBidi"/>
        </w:rPr>
        <w:t xml:space="preserve"> </w:t>
      </w:r>
      <w:r w:rsidRPr="00871092">
        <w:rPr>
          <w:rFonts w:asciiTheme="majorBidi" w:eastAsia="Times New Roman" w:hAnsiTheme="majorBidi" w:cstheme="majorBidi"/>
        </w:rPr>
        <w:t>(</w:t>
      </w:r>
      <w:r w:rsidRPr="00871092">
        <w:rPr>
          <w:rFonts w:asciiTheme="majorBidi" w:hAnsiTheme="majorBidi" w:cstheme="majorBidi"/>
          <w:color w:val="5B9BD5" w:themeColor="accent1"/>
        </w:rPr>
        <w:t>Fig</w:t>
      </w:r>
      <w:r w:rsidR="00787906">
        <w:rPr>
          <w:rFonts w:asciiTheme="majorBidi" w:hAnsiTheme="majorBidi" w:cstheme="majorBidi"/>
          <w:color w:val="5B9BD5" w:themeColor="accent1"/>
        </w:rPr>
        <w:t>.</w:t>
      </w:r>
      <w:r w:rsidRPr="00871092">
        <w:rPr>
          <w:rFonts w:asciiTheme="majorBidi" w:hAnsiTheme="majorBidi" w:cstheme="majorBidi"/>
          <w:color w:val="5B9BD5" w:themeColor="accent1"/>
        </w:rPr>
        <w:t xml:space="preserve"> 3</w:t>
      </w:r>
      <w:r w:rsidR="00787906">
        <w:rPr>
          <w:rFonts w:asciiTheme="majorBidi" w:hAnsiTheme="majorBidi" w:cstheme="majorBidi"/>
          <w:color w:val="5B9BD5" w:themeColor="accent1"/>
        </w:rPr>
        <w:t>B</w:t>
      </w:r>
      <w:r w:rsidRPr="00871092">
        <w:rPr>
          <w:rFonts w:asciiTheme="majorBidi" w:eastAsia="Times New Roman" w:hAnsiTheme="majorBidi" w:cstheme="majorBidi"/>
        </w:rPr>
        <w:t xml:space="preserve">) supports a natural origin for most PTEs, with all three clays showing minimal enrichment (EF &lt; 2) for </w:t>
      </w:r>
      <w:r w:rsidR="0082597D">
        <w:rPr>
          <w:rFonts w:asciiTheme="majorBidi" w:eastAsia="Times New Roman" w:hAnsiTheme="majorBidi" w:cstheme="majorBidi"/>
        </w:rPr>
        <w:t>most</w:t>
      </w:r>
      <w:r w:rsidRPr="00871092">
        <w:rPr>
          <w:rFonts w:asciiTheme="majorBidi" w:eastAsia="Times New Roman" w:hAnsiTheme="majorBidi" w:cstheme="majorBidi"/>
        </w:rPr>
        <w:t xml:space="preserve"> elements</w:t>
      </w:r>
      <w:r w:rsidR="0082597D">
        <w:rPr>
          <w:rFonts w:asciiTheme="majorBidi" w:eastAsia="Times New Roman" w:hAnsiTheme="majorBidi" w:cstheme="majorBidi"/>
        </w:rPr>
        <w:t>, except c</w:t>
      </w:r>
      <w:r w:rsidR="0082597D" w:rsidRPr="00871092">
        <w:rPr>
          <w:rFonts w:asciiTheme="majorBidi" w:eastAsia="Times New Roman" w:hAnsiTheme="majorBidi" w:cstheme="majorBidi"/>
        </w:rPr>
        <w:t xml:space="preserve">admium </w:t>
      </w:r>
      <w:r w:rsidRPr="00871092">
        <w:rPr>
          <w:rFonts w:asciiTheme="majorBidi" w:eastAsia="Times New Roman" w:hAnsiTheme="majorBidi" w:cstheme="majorBidi"/>
        </w:rPr>
        <w:t>(</w:t>
      </w:r>
      <w:proofErr w:type="spellStart"/>
      <w:r w:rsidRPr="00871092">
        <w:rPr>
          <w:rFonts w:asciiTheme="majorBidi" w:eastAsia="Times New Roman" w:hAnsiTheme="majorBidi" w:cstheme="majorBidi"/>
        </w:rPr>
        <w:t>EF</w:t>
      </w:r>
      <w:r w:rsidRPr="00871092">
        <w:rPr>
          <w:rFonts w:asciiTheme="majorBidi" w:eastAsia="Times New Roman" w:hAnsiTheme="majorBidi" w:cstheme="majorBidi"/>
          <w:vertAlign w:val="subscript"/>
        </w:rPr>
        <w:t>Cd</w:t>
      </w:r>
      <w:proofErr w:type="spellEnd"/>
      <w:r w:rsidRPr="00871092">
        <w:rPr>
          <w:rFonts w:asciiTheme="majorBidi" w:eastAsia="Times New Roman" w:hAnsiTheme="majorBidi" w:cstheme="majorBidi"/>
        </w:rPr>
        <w:t xml:space="preserve">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 10), classified as </w:t>
      </w:r>
      <w:r w:rsidR="0082597D">
        <w:rPr>
          <w:rFonts w:asciiTheme="majorBidi" w:eastAsia="Times New Roman" w:hAnsiTheme="majorBidi" w:cstheme="majorBidi"/>
        </w:rPr>
        <w:t>s</w:t>
      </w:r>
      <w:r w:rsidR="0082597D" w:rsidRPr="00871092">
        <w:rPr>
          <w:rFonts w:asciiTheme="majorBidi" w:eastAsia="Times New Roman" w:hAnsiTheme="majorBidi" w:cstheme="majorBidi"/>
        </w:rPr>
        <w:t xml:space="preserve">evere </w:t>
      </w:r>
      <w:r w:rsidRPr="00871092">
        <w:rPr>
          <w:rFonts w:asciiTheme="majorBidi" w:eastAsia="Times New Roman" w:hAnsiTheme="majorBidi" w:cstheme="majorBidi"/>
        </w:rPr>
        <w:t xml:space="preserve">enrichment and strongly suggests a potential anthropogenic influence. </w:t>
      </w:r>
      <w:r w:rsidR="0082597D">
        <w:rPr>
          <w:rFonts w:asciiTheme="majorBidi" w:eastAsia="Times New Roman" w:hAnsiTheme="majorBidi" w:cstheme="majorBidi"/>
        </w:rPr>
        <w:t>The EF of Fe</w:t>
      </w:r>
      <w:r w:rsidR="0082597D" w:rsidRPr="00871092">
        <w:rPr>
          <w:rFonts w:asciiTheme="majorBidi" w:eastAsia="Times New Roman" w:hAnsiTheme="majorBidi" w:cstheme="majorBidi"/>
        </w:rPr>
        <w:t xml:space="preserve"> </w:t>
      </w:r>
      <w:r w:rsidRPr="00871092">
        <w:rPr>
          <w:rFonts w:asciiTheme="majorBidi" w:eastAsia="Times New Roman" w:hAnsiTheme="majorBidi" w:cstheme="majorBidi"/>
        </w:rPr>
        <w:t>in kaolin (EF</w:t>
      </w:r>
      <w:r w:rsidRPr="00871092">
        <w:rPr>
          <w:rFonts w:asciiTheme="majorBidi" w:eastAsia="Times New Roman" w:hAnsiTheme="majorBidi" w:cstheme="majorBidi"/>
          <w:vertAlign w:val="subscript"/>
        </w:rPr>
        <w:t>Fe</w:t>
      </w:r>
      <w:r w:rsidRPr="00871092">
        <w:rPr>
          <w:rFonts w:asciiTheme="majorBidi" w:eastAsia="Times New Roman" w:hAnsiTheme="majorBidi" w:cstheme="majorBidi"/>
        </w:rPr>
        <w:t xml:space="preserve">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 2.47</w:t>
      </w:r>
      <w:r w:rsidR="0082597D">
        <w:rPr>
          <w:rFonts w:asciiTheme="majorBidi" w:eastAsia="Times New Roman" w:hAnsiTheme="majorBidi" w:cstheme="majorBidi"/>
        </w:rPr>
        <w:t>) is</w:t>
      </w:r>
      <w:r w:rsidRPr="00871092">
        <w:rPr>
          <w:rFonts w:asciiTheme="majorBidi" w:eastAsia="Times New Roman" w:hAnsiTheme="majorBidi" w:cstheme="majorBidi"/>
        </w:rPr>
        <w:t xml:space="preserve"> attributable to the mineralogy of the clay rather than any anthropogenic input. The </w:t>
      </w:r>
      <w:proofErr w:type="spellStart"/>
      <w:r w:rsidRPr="00871092">
        <w:rPr>
          <w:rFonts w:asciiTheme="majorBidi" w:eastAsia="Times New Roman" w:hAnsiTheme="majorBidi" w:cstheme="majorBidi"/>
        </w:rPr>
        <w:t>I</w:t>
      </w:r>
      <w:r w:rsidRPr="00871092">
        <w:rPr>
          <w:rFonts w:asciiTheme="majorBidi" w:eastAsia="Times New Roman" w:hAnsiTheme="majorBidi" w:cstheme="majorBidi"/>
          <w:vertAlign w:val="subscript"/>
        </w:rPr>
        <w:t>geo</w:t>
      </w:r>
      <w:proofErr w:type="spellEnd"/>
      <w:r w:rsidRPr="00871092">
        <w:rPr>
          <w:rFonts w:asciiTheme="majorBidi" w:eastAsia="Times New Roman" w:hAnsiTheme="majorBidi" w:cstheme="majorBidi"/>
        </w:rPr>
        <w:t xml:space="preserve"> provides a contrasting perspective (</w:t>
      </w:r>
      <w:r w:rsidRPr="00871092">
        <w:rPr>
          <w:rFonts w:asciiTheme="majorBidi" w:eastAsia="Times New Roman" w:hAnsiTheme="majorBidi" w:cstheme="majorBidi"/>
          <w:color w:val="5B9BD5" w:themeColor="accent1"/>
        </w:rPr>
        <w:t>Fi</w:t>
      </w:r>
      <w:r w:rsidR="00A94C11">
        <w:rPr>
          <w:rFonts w:asciiTheme="majorBidi" w:eastAsia="Times New Roman" w:hAnsiTheme="majorBidi" w:cstheme="majorBidi"/>
          <w:color w:val="5B9BD5" w:themeColor="accent1"/>
        </w:rPr>
        <w:t>g. 3C</w:t>
      </w:r>
      <w:r w:rsidRPr="00871092">
        <w:rPr>
          <w:rFonts w:asciiTheme="majorBidi" w:eastAsia="Times New Roman" w:hAnsiTheme="majorBidi" w:cstheme="majorBidi"/>
        </w:rPr>
        <w:t>), with some elements exhibiting high values. However, these readings are highly sensitive to the choice of background, as using global upper-crust baselines can over-flag lithologies that are naturally enriched (</w:t>
      </w:r>
      <w:r w:rsidRPr="00871092">
        <w:rPr>
          <w:rFonts w:asciiTheme="majorBidi" w:eastAsia="Times New Roman" w:hAnsiTheme="majorBidi" w:cstheme="majorBidi"/>
          <w:color w:val="5B9BD5" w:themeColor="accent1"/>
        </w:rPr>
        <w:t>Agyeman et al., 2021</w:t>
      </w:r>
      <w:r w:rsidRPr="00871092">
        <w:rPr>
          <w:rFonts w:asciiTheme="majorBidi" w:eastAsia="Times New Roman" w:hAnsiTheme="majorBidi" w:cstheme="majorBidi"/>
        </w:rPr>
        <w:t xml:space="preserve">). Given that the PLI remains low (PLI &lt; 1) for all clays, high </w:t>
      </w:r>
      <w:proofErr w:type="spellStart"/>
      <w:r w:rsidRPr="00871092">
        <w:rPr>
          <w:rFonts w:asciiTheme="majorBidi" w:eastAsia="Times New Roman" w:hAnsiTheme="majorBidi" w:cstheme="majorBidi"/>
        </w:rPr>
        <w:t>I</w:t>
      </w:r>
      <w:r w:rsidRPr="00871092">
        <w:rPr>
          <w:rFonts w:asciiTheme="majorBidi" w:eastAsia="Times New Roman" w:hAnsiTheme="majorBidi" w:cstheme="majorBidi"/>
          <w:vertAlign w:val="subscript"/>
        </w:rPr>
        <w:t>geo</w:t>
      </w:r>
      <w:proofErr w:type="spellEnd"/>
      <w:r w:rsidRPr="00871092">
        <w:rPr>
          <w:rFonts w:asciiTheme="majorBidi" w:eastAsia="Times New Roman" w:hAnsiTheme="majorBidi" w:cstheme="majorBidi"/>
        </w:rPr>
        <w:t xml:space="preserve"> values likely reflect the natural geochemical composition of the deposits rather than widespread anthropogenic contamination. The </w:t>
      </w:r>
      <w:proofErr w:type="spellStart"/>
      <w:r w:rsidRPr="00871092">
        <w:rPr>
          <w:rFonts w:asciiTheme="majorBidi" w:eastAsia="Times New Roman" w:hAnsiTheme="majorBidi" w:cstheme="majorBidi"/>
        </w:rPr>
        <w:t>EF</w:t>
      </w:r>
      <w:r w:rsidRPr="00871092">
        <w:rPr>
          <w:rFonts w:asciiTheme="majorBidi" w:eastAsia="Times New Roman" w:hAnsiTheme="majorBidi" w:cstheme="majorBidi"/>
          <w:vertAlign w:val="subscript"/>
        </w:rPr>
        <w:t>Cd</w:t>
      </w:r>
      <w:proofErr w:type="spellEnd"/>
      <w:r w:rsidRPr="00871092">
        <w:rPr>
          <w:rFonts w:asciiTheme="majorBidi" w:eastAsia="Times New Roman" w:hAnsiTheme="majorBidi" w:cstheme="majorBidi"/>
        </w:rPr>
        <w:t xml:space="preserve">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is the primary exception warranting further investigation. It is important to recognize that EF values can depend on the choice of background reference concentrations and the normalization element; therefore, EF results should be interpreted in conjunction with CF and PLI data and, most critically, alongside evidence of elemental mobility (</w:t>
      </w:r>
      <w:r w:rsidRPr="00871092">
        <w:rPr>
          <w:rFonts w:asciiTheme="majorBidi" w:eastAsia="Times New Roman" w:hAnsiTheme="majorBidi" w:cstheme="majorBidi"/>
          <w:color w:val="5B9BD5" w:themeColor="accent1"/>
        </w:rPr>
        <w:t>Xu et al., 2018</w:t>
      </w:r>
      <w:r w:rsidRPr="00871092">
        <w:rPr>
          <w:rFonts w:asciiTheme="majorBidi" w:eastAsia="Times New Roman" w:hAnsiTheme="majorBidi" w:cstheme="majorBidi"/>
        </w:rPr>
        <w:t>).</w:t>
      </w:r>
    </w:p>
    <w:p w14:paraId="7BFCDD33" w14:textId="3B42D345" w:rsidR="00A94C11" w:rsidRDefault="00A94C11" w:rsidP="008811CD">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To obtain an integrated measure of overall contamination, integrated indices such as the Pollution Load Index (PLI), Degree of Contamination (</w:t>
      </w:r>
      <w:proofErr w:type="spellStart"/>
      <w:r w:rsidRPr="00871092">
        <w:rPr>
          <w:rFonts w:asciiTheme="majorBidi" w:eastAsia="Times New Roman" w:hAnsiTheme="majorBidi" w:cstheme="majorBidi"/>
        </w:rPr>
        <w:t>C</w:t>
      </w:r>
      <w:r w:rsidRPr="00871092">
        <w:rPr>
          <w:rFonts w:asciiTheme="majorBidi" w:eastAsia="Times New Roman" w:hAnsiTheme="majorBidi" w:cstheme="majorBidi"/>
          <w:vertAlign w:val="subscript"/>
        </w:rPr>
        <w:t>deg</w:t>
      </w:r>
      <w:proofErr w:type="spellEnd"/>
      <w:r w:rsidRPr="00871092">
        <w:rPr>
          <w:rFonts w:asciiTheme="majorBidi" w:eastAsia="Times New Roman" w:hAnsiTheme="majorBidi" w:cstheme="majorBidi"/>
        </w:rPr>
        <w:t>), and modified Degree of Contamination (</w:t>
      </w:r>
      <w:proofErr w:type="spellStart"/>
      <w:r w:rsidRPr="00871092">
        <w:rPr>
          <w:rFonts w:asciiTheme="majorBidi" w:eastAsia="Times New Roman" w:hAnsiTheme="majorBidi" w:cstheme="majorBidi"/>
        </w:rPr>
        <w:t>mC</w:t>
      </w:r>
      <w:r w:rsidRPr="00871092">
        <w:rPr>
          <w:rFonts w:asciiTheme="majorBidi" w:eastAsia="Times New Roman" w:hAnsiTheme="majorBidi" w:cstheme="majorBidi"/>
          <w:vertAlign w:val="subscript"/>
        </w:rPr>
        <w:t>d</w:t>
      </w:r>
      <w:proofErr w:type="spellEnd"/>
      <w:r w:rsidRPr="00871092">
        <w:rPr>
          <w:rFonts w:asciiTheme="majorBidi" w:eastAsia="Times New Roman" w:hAnsiTheme="majorBidi" w:cstheme="majorBidi"/>
        </w:rPr>
        <w:t xml:space="preserve">) were calculated using </w:t>
      </w:r>
      <w:r w:rsidRPr="00871092">
        <w:rPr>
          <w:rFonts w:asciiTheme="majorBidi" w:eastAsia="Times New Roman" w:hAnsiTheme="majorBidi" w:cstheme="majorBidi"/>
          <w:color w:val="5B9BD5" w:themeColor="accent1"/>
        </w:rPr>
        <w:t>Equations (4), (5), and (6)</w:t>
      </w:r>
      <w:r>
        <w:rPr>
          <w:rFonts w:asciiTheme="majorBidi" w:eastAsia="Times New Roman" w:hAnsiTheme="majorBidi" w:cstheme="majorBidi"/>
          <w:color w:val="5B9BD5" w:themeColor="accent1"/>
        </w:rPr>
        <w:t xml:space="preserve"> (Fig. 3D)</w:t>
      </w:r>
      <w:r w:rsidRPr="00871092">
        <w:rPr>
          <w:rFonts w:asciiTheme="majorBidi" w:eastAsia="Times New Roman" w:hAnsiTheme="majorBidi" w:cstheme="majorBidi"/>
          <w:color w:val="5B9BD5" w:themeColor="accent1"/>
        </w:rPr>
        <w:t xml:space="preserve">. </w:t>
      </w:r>
      <w:r w:rsidRPr="00871092">
        <w:rPr>
          <w:rFonts w:asciiTheme="majorBidi" w:eastAsia="Times New Roman" w:hAnsiTheme="majorBidi" w:cstheme="majorBidi"/>
        </w:rPr>
        <w:t xml:space="preserve">The calculated PLI values for all three clays are below the critical threshold of 1 (kaolin = 0.12, bentonite = 0.20,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 0.60), indicating they are unpolluted on a composite basis and suggesting a low overall contaminant loading despite element-specific anomalies. This aligns with low PLI contexts reported globally (</w:t>
      </w:r>
      <w:proofErr w:type="spellStart"/>
      <w:r w:rsidRPr="00871092">
        <w:rPr>
          <w:rFonts w:asciiTheme="majorBidi" w:hAnsiTheme="majorBidi" w:cstheme="majorBidi"/>
          <w:color w:val="5B9BD5" w:themeColor="accent1"/>
        </w:rPr>
        <w:t>Suwammanon</w:t>
      </w:r>
      <w:proofErr w:type="spellEnd"/>
      <w:r w:rsidRPr="00871092">
        <w:rPr>
          <w:rFonts w:asciiTheme="majorBidi" w:hAnsiTheme="majorBidi" w:cstheme="majorBidi"/>
          <w:color w:val="5B9BD5" w:themeColor="accent1"/>
        </w:rPr>
        <w:t xml:space="preserve"> </w:t>
      </w:r>
      <w:r>
        <w:rPr>
          <w:rFonts w:asciiTheme="majorBidi" w:hAnsiTheme="majorBidi" w:cstheme="majorBidi"/>
          <w:color w:val="5B9BD5" w:themeColor="accent1"/>
        </w:rPr>
        <w:t>and</w:t>
      </w:r>
      <w:r w:rsidRPr="00871092">
        <w:rPr>
          <w:rFonts w:asciiTheme="majorBidi" w:hAnsiTheme="majorBidi" w:cstheme="majorBidi"/>
          <w:color w:val="5B9BD5" w:themeColor="accent1"/>
        </w:rPr>
        <w:t xml:space="preserve"> Kim, 2021</w:t>
      </w:r>
      <w:r>
        <w:rPr>
          <w:rFonts w:asciiTheme="majorBidi" w:hAnsiTheme="majorBidi" w:cstheme="majorBidi"/>
          <w:color w:val="5B9BD5" w:themeColor="accent1"/>
        </w:rPr>
        <w:t xml:space="preserve">; </w:t>
      </w:r>
      <w:r w:rsidRPr="00871092">
        <w:rPr>
          <w:rFonts w:asciiTheme="majorBidi" w:hAnsiTheme="majorBidi" w:cstheme="majorBidi"/>
          <w:color w:val="5B9BD5" w:themeColor="accent1"/>
        </w:rPr>
        <w:lastRenderedPageBreak/>
        <w:t xml:space="preserve">Basha </w:t>
      </w:r>
      <w:r>
        <w:rPr>
          <w:rFonts w:asciiTheme="majorBidi" w:hAnsiTheme="majorBidi" w:cstheme="majorBidi"/>
          <w:color w:val="5B9BD5" w:themeColor="accent1"/>
        </w:rPr>
        <w:t>and</w:t>
      </w:r>
      <w:r w:rsidRPr="00871092">
        <w:rPr>
          <w:rFonts w:asciiTheme="majorBidi" w:hAnsiTheme="majorBidi" w:cstheme="majorBidi"/>
          <w:color w:val="5B9BD5" w:themeColor="accent1"/>
        </w:rPr>
        <w:t xml:space="preserve"> Issa, 2025</w:t>
      </w:r>
      <w:r w:rsidRPr="00871092">
        <w:rPr>
          <w:rFonts w:asciiTheme="majorBidi" w:eastAsia="Times New Roman" w:hAnsiTheme="majorBidi" w:cstheme="majorBidi"/>
        </w:rPr>
        <w:t xml:space="preserve">). The </w:t>
      </w:r>
      <w:proofErr w:type="spellStart"/>
      <w:r w:rsidRPr="00871092">
        <w:rPr>
          <w:rFonts w:asciiTheme="majorBidi" w:eastAsia="Times New Roman" w:hAnsiTheme="majorBidi" w:cstheme="majorBidi"/>
        </w:rPr>
        <w:t>mC</w:t>
      </w:r>
      <w:r w:rsidRPr="00871092">
        <w:rPr>
          <w:rFonts w:asciiTheme="majorBidi" w:eastAsia="Times New Roman" w:hAnsiTheme="majorBidi" w:cstheme="majorBidi"/>
          <w:vertAlign w:val="subscript"/>
        </w:rPr>
        <w:t>d</w:t>
      </w:r>
      <w:proofErr w:type="spellEnd"/>
      <w:r w:rsidRPr="00871092">
        <w:rPr>
          <w:rFonts w:asciiTheme="majorBidi" w:eastAsia="Times New Roman" w:hAnsiTheme="majorBidi" w:cstheme="majorBidi"/>
        </w:rPr>
        <w:t xml:space="preserve"> reinforces this conclusion, with all values falling in the low contamination category (</w:t>
      </w:r>
      <w:proofErr w:type="spellStart"/>
      <w:r w:rsidRPr="00871092">
        <w:rPr>
          <w:rFonts w:asciiTheme="majorBidi" w:eastAsia="Times New Roman" w:hAnsiTheme="majorBidi" w:cstheme="majorBidi"/>
        </w:rPr>
        <w:t>mC</w:t>
      </w:r>
      <w:r w:rsidRPr="00871092">
        <w:rPr>
          <w:rFonts w:asciiTheme="majorBidi" w:eastAsia="Times New Roman" w:hAnsiTheme="majorBidi" w:cstheme="majorBidi"/>
          <w:vertAlign w:val="subscript"/>
        </w:rPr>
        <w:t>d</w:t>
      </w:r>
      <w:proofErr w:type="spellEnd"/>
      <w:r w:rsidRPr="00871092">
        <w:rPr>
          <w:rFonts w:asciiTheme="majorBidi" w:eastAsia="Times New Roman" w:hAnsiTheme="majorBidi" w:cstheme="majorBidi"/>
        </w:rPr>
        <w:t xml:space="preserve"> &lt; 1.5). However, it is critical to interpret these integrated indices alongside element-specific metrics (CFs), as they can mask hazards from individual elements like the high </w:t>
      </w: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vertAlign w:val="subscript"/>
        </w:rPr>
        <w:t>Cd</w:t>
      </w:r>
      <w:proofErr w:type="spellEnd"/>
      <w:r w:rsidRPr="00871092">
        <w:rPr>
          <w:rFonts w:asciiTheme="majorBidi" w:eastAsia="Times New Roman" w:hAnsiTheme="majorBidi" w:cstheme="majorBidi"/>
        </w:rPr>
        <w:t xml:space="preserve">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w:t>
      </w:r>
    </w:p>
    <w:p w14:paraId="325B7DEF" w14:textId="77777777" w:rsidR="00FC4B82" w:rsidRPr="00871092" w:rsidRDefault="00FC4B82" w:rsidP="00871092">
      <w:pPr>
        <w:spacing w:after="0" w:line="240" w:lineRule="auto"/>
        <w:jc w:val="both"/>
        <w:rPr>
          <w:rFonts w:asciiTheme="majorBidi" w:eastAsia="Times New Roman" w:hAnsiTheme="majorBidi" w:cstheme="majorBidi"/>
        </w:rPr>
      </w:pPr>
    </w:p>
    <w:p w14:paraId="42A3CF3C" w14:textId="3A657E0A" w:rsidR="00FC4B82" w:rsidRDefault="00E70CA3">
      <w:r>
        <w:rPr>
          <w:rFonts w:asciiTheme="majorBidi" w:eastAsia="Times New Roman" w:hAnsiTheme="majorBidi" w:cstheme="majorBidi"/>
        </w:rPr>
        <w:pict w14:anchorId="554C340B">
          <v:shape id="_x0000_i1026" type="#_x0000_t75" style="width:453.35pt;height:232.35pt">
            <v:imagedata r:id="rId13" o:title="Fig XX"/>
          </v:shape>
        </w:pict>
      </w:r>
    </w:p>
    <w:p w14:paraId="23DF9B1C" w14:textId="3D2ACA4D" w:rsidR="00FC4B82" w:rsidRPr="00FC4B82" w:rsidRDefault="00FC4B82" w:rsidP="000E3D8F">
      <w:pPr>
        <w:pStyle w:val="Lgende"/>
        <w:spacing w:after="0" w:line="240" w:lineRule="auto"/>
        <w:jc w:val="both"/>
        <w:rPr>
          <w:rFonts w:asciiTheme="majorBidi" w:hAnsiTheme="majorBidi" w:cstheme="majorBidi"/>
          <w:color w:val="000000" w:themeColor="text1"/>
        </w:rPr>
      </w:pPr>
      <w:r w:rsidRPr="004426F8">
        <w:rPr>
          <w:rFonts w:asciiTheme="majorBidi" w:hAnsiTheme="majorBidi" w:cstheme="majorBidi"/>
          <w:color w:val="000000" w:themeColor="text1"/>
          <w:sz w:val="22"/>
          <w:szCs w:val="22"/>
        </w:rPr>
        <w:t xml:space="preserve">Fig. </w:t>
      </w:r>
      <w:r>
        <w:rPr>
          <w:rFonts w:asciiTheme="majorBidi" w:hAnsiTheme="majorBidi" w:cstheme="majorBidi"/>
          <w:color w:val="000000" w:themeColor="text1"/>
          <w:sz w:val="22"/>
          <w:szCs w:val="22"/>
        </w:rPr>
        <w:t>3</w:t>
      </w:r>
      <w:r w:rsidRPr="004426F8">
        <w:rPr>
          <w:rFonts w:asciiTheme="majorBidi" w:hAnsiTheme="majorBidi" w:cstheme="majorBidi"/>
          <w:color w:val="000000" w:themeColor="text1"/>
          <w:sz w:val="22"/>
          <w:szCs w:val="22"/>
        </w:rPr>
        <w:t xml:space="preserve"> </w:t>
      </w:r>
      <w:r w:rsidRPr="000F084C">
        <w:rPr>
          <w:rFonts w:asciiTheme="majorBidi" w:hAnsiTheme="majorBidi" w:cstheme="majorBidi"/>
          <w:b w:val="0"/>
          <w:bCs w:val="0"/>
          <w:color w:val="000000" w:themeColor="text1"/>
          <w:sz w:val="22"/>
          <w:szCs w:val="22"/>
        </w:rPr>
        <w:t xml:space="preserve">Contamination assessment indices: CF (A), Ef (B), </w:t>
      </w:r>
      <w:proofErr w:type="spellStart"/>
      <w:r w:rsidRPr="000F084C">
        <w:rPr>
          <w:rFonts w:asciiTheme="majorBidi" w:hAnsiTheme="majorBidi" w:cstheme="majorBidi"/>
          <w:b w:val="0"/>
          <w:bCs w:val="0"/>
          <w:color w:val="000000" w:themeColor="text1"/>
          <w:sz w:val="22"/>
          <w:szCs w:val="22"/>
        </w:rPr>
        <w:t>I</w:t>
      </w:r>
      <w:r w:rsidRPr="000F084C">
        <w:rPr>
          <w:rFonts w:asciiTheme="majorBidi" w:hAnsiTheme="majorBidi" w:cstheme="majorBidi"/>
          <w:b w:val="0"/>
          <w:bCs w:val="0"/>
          <w:color w:val="000000" w:themeColor="text1"/>
          <w:sz w:val="22"/>
          <w:szCs w:val="22"/>
          <w:vertAlign w:val="subscript"/>
        </w:rPr>
        <w:t>geo</w:t>
      </w:r>
      <w:proofErr w:type="spellEnd"/>
      <w:r w:rsidRPr="000F084C">
        <w:rPr>
          <w:rFonts w:asciiTheme="majorBidi" w:hAnsiTheme="majorBidi" w:cstheme="majorBidi"/>
          <w:b w:val="0"/>
          <w:bCs w:val="0"/>
          <w:color w:val="000000" w:themeColor="text1"/>
          <w:sz w:val="22"/>
          <w:szCs w:val="22"/>
        </w:rPr>
        <w:t xml:space="preserve"> (C) and PLI, </w:t>
      </w:r>
      <w:proofErr w:type="spellStart"/>
      <w:r w:rsidRPr="000F084C">
        <w:rPr>
          <w:rFonts w:asciiTheme="majorBidi" w:hAnsiTheme="majorBidi" w:cstheme="majorBidi"/>
          <w:b w:val="0"/>
          <w:bCs w:val="0"/>
          <w:color w:val="000000" w:themeColor="text1"/>
          <w:sz w:val="22"/>
          <w:szCs w:val="22"/>
        </w:rPr>
        <w:t>mC</w:t>
      </w:r>
      <w:r w:rsidRPr="000F084C">
        <w:rPr>
          <w:rFonts w:asciiTheme="majorBidi" w:hAnsiTheme="majorBidi" w:cstheme="majorBidi"/>
          <w:b w:val="0"/>
          <w:bCs w:val="0"/>
          <w:color w:val="000000" w:themeColor="text1"/>
          <w:sz w:val="22"/>
          <w:szCs w:val="22"/>
          <w:vertAlign w:val="subscript"/>
        </w:rPr>
        <w:t>d</w:t>
      </w:r>
      <w:proofErr w:type="spellEnd"/>
      <w:r w:rsidRPr="000F084C">
        <w:rPr>
          <w:rFonts w:asciiTheme="majorBidi" w:hAnsiTheme="majorBidi" w:cstheme="majorBidi"/>
          <w:b w:val="0"/>
          <w:bCs w:val="0"/>
          <w:color w:val="000000" w:themeColor="text1"/>
          <w:sz w:val="22"/>
          <w:szCs w:val="22"/>
        </w:rPr>
        <w:t xml:space="preserve"> (D) for bentoni</w:t>
      </w:r>
      <w:r w:rsidR="002D6A80">
        <w:rPr>
          <w:rFonts w:asciiTheme="majorBidi" w:hAnsiTheme="majorBidi" w:cstheme="majorBidi"/>
          <w:b w:val="0"/>
          <w:bCs w:val="0"/>
          <w:color w:val="000000" w:themeColor="text1"/>
          <w:sz w:val="22"/>
          <w:szCs w:val="22"/>
        </w:rPr>
        <w:t>t</w:t>
      </w:r>
      <w:r w:rsidRPr="000F084C">
        <w:rPr>
          <w:rFonts w:asciiTheme="majorBidi" w:hAnsiTheme="majorBidi" w:cstheme="majorBidi"/>
          <w:b w:val="0"/>
          <w:bCs w:val="0"/>
          <w:color w:val="000000" w:themeColor="text1"/>
          <w:sz w:val="22"/>
          <w:szCs w:val="22"/>
        </w:rPr>
        <w:t xml:space="preserve">e, </w:t>
      </w:r>
      <w:proofErr w:type="spellStart"/>
      <w:r w:rsidRPr="000F084C">
        <w:rPr>
          <w:rFonts w:asciiTheme="majorBidi" w:hAnsiTheme="majorBidi" w:cstheme="majorBidi"/>
          <w:b w:val="0"/>
          <w:bCs w:val="0"/>
          <w:color w:val="000000" w:themeColor="text1"/>
          <w:sz w:val="22"/>
          <w:szCs w:val="22"/>
        </w:rPr>
        <w:t>ghassoul</w:t>
      </w:r>
      <w:proofErr w:type="spellEnd"/>
      <w:r w:rsidRPr="000F084C">
        <w:rPr>
          <w:rFonts w:asciiTheme="majorBidi" w:hAnsiTheme="majorBidi" w:cstheme="majorBidi"/>
          <w:b w:val="0"/>
          <w:bCs w:val="0"/>
          <w:color w:val="000000" w:themeColor="text1"/>
          <w:sz w:val="22"/>
          <w:szCs w:val="22"/>
        </w:rPr>
        <w:t xml:space="preserve"> and kaolin</w:t>
      </w:r>
      <w:r w:rsidR="0082597D">
        <w:rPr>
          <w:rFonts w:asciiTheme="majorBidi" w:hAnsiTheme="majorBidi" w:cstheme="majorBidi"/>
          <w:b w:val="0"/>
          <w:bCs w:val="0"/>
          <w:color w:val="000000" w:themeColor="text1"/>
          <w:sz w:val="22"/>
          <w:szCs w:val="22"/>
        </w:rPr>
        <w:t xml:space="preserve">. </w:t>
      </w:r>
    </w:p>
    <w:p w14:paraId="72444BA7" w14:textId="33AEBB24" w:rsidR="00607CF3" w:rsidRPr="00871092" w:rsidRDefault="00607CF3" w:rsidP="000E3D8F">
      <w:pPr>
        <w:pStyle w:val="Titre3"/>
        <w:numPr>
          <w:ilvl w:val="0"/>
          <w:numId w:val="0"/>
        </w:numPr>
        <w:spacing w:before="0" w:after="0" w:line="240" w:lineRule="auto"/>
        <w:rPr>
          <w:rFonts w:cstheme="majorBidi"/>
          <w:sz w:val="22"/>
          <w:szCs w:val="22"/>
        </w:rPr>
      </w:pPr>
    </w:p>
    <w:p w14:paraId="00E40CDC" w14:textId="775A959F" w:rsidR="009F12C5" w:rsidRPr="00871092" w:rsidRDefault="009F12C5"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The </w:t>
      </w:r>
      <w:r w:rsidR="0082597D">
        <w:rPr>
          <w:rFonts w:asciiTheme="majorBidi" w:eastAsia="Times New Roman" w:hAnsiTheme="majorBidi" w:cstheme="majorBidi"/>
        </w:rPr>
        <w:t>p</w:t>
      </w:r>
      <w:r w:rsidR="0082597D" w:rsidRPr="00871092">
        <w:rPr>
          <w:rFonts w:asciiTheme="majorBidi" w:eastAsia="Times New Roman" w:hAnsiTheme="majorBidi" w:cstheme="majorBidi"/>
        </w:rPr>
        <w:t xml:space="preserve">otential </w:t>
      </w:r>
      <w:r w:rsidR="0082597D">
        <w:rPr>
          <w:rFonts w:asciiTheme="majorBidi" w:eastAsia="Times New Roman" w:hAnsiTheme="majorBidi" w:cstheme="majorBidi"/>
        </w:rPr>
        <w:t>e</w:t>
      </w:r>
      <w:r w:rsidR="0082597D" w:rsidRPr="00871092">
        <w:rPr>
          <w:rFonts w:asciiTheme="majorBidi" w:eastAsia="Times New Roman" w:hAnsiTheme="majorBidi" w:cstheme="majorBidi"/>
        </w:rPr>
        <w:t xml:space="preserve">cological </w:t>
      </w:r>
      <w:r w:rsidR="0082597D">
        <w:rPr>
          <w:rFonts w:asciiTheme="majorBidi" w:eastAsia="Times New Roman" w:hAnsiTheme="majorBidi" w:cstheme="majorBidi"/>
        </w:rPr>
        <w:t>r</w:t>
      </w:r>
      <w:r w:rsidR="0082597D" w:rsidRPr="00871092">
        <w:rPr>
          <w:rFonts w:asciiTheme="majorBidi" w:eastAsia="Times New Roman" w:hAnsiTheme="majorBidi" w:cstheme="majorBidi"/>
        </w:rPr>
        <w:t xml:space="preserve">isk </w:t>
      </w:r>
      <w:r w:rsidR="0082597D">
        <w:rPr>
          <w:rFonts w:asciiTheme="majorBidi" w:eastAsia="Times New Roman" w:hAnsiTheme="majorBidi" w:cstheme="majorBidi"/>
        </w:rPr>
        <w:t>i</w:t>
      </w:r>
      <w:r w:rsidR="0082597D" w:rsidRPr="00871092">
        <w:rPr>
          <w:rFonts w:asciiTheme="majorBidi" w:eastAsia="Times New Roman" w:hAnsiTheme="majorBidi" w:cstheme="majorBidi"/>
        </w:rPr>
        <w:t xml:space="preserve">ndex </w:t>
      </w:r>
      <w:r w:rsidRPr="00871092">
        <w:rPr>
          <w:rFonts w:asciiTheme="majorBidi" w:eastAsia="Times New Roman" w:hAnsiTheme="majorBidi" w:cstheme="majorBidi"/>
        </w:rPr>
        <w:t xml:space="preserve">(RI), calculated with </w:t>
      </w:r>
      <w:r w:rsidRPr="00871092">
        <w:rPr>
          <w:rFonts w:asciiTheme="majorBidi" w:eastAsia="Times New Roman" w:hAnsiTheme="majorBidi" w:cstheme="majorBidi"/>
          <w:color w:val="5B9BD5" w:themeColor="accent1"/>
        </w:rPr>
        <w:t xml:space="preserve">Equation (9), </w:t>
      </w:r>
      <w:r w:rsidRPr="00871092">
        <w:rPr>
          <w:rFonts w:asciiTheme="majorBidi" w:eastAsia="Times New Roman" w:hAnsiTheme="majorBidi" w:cstheme="majorBidi"/>
        </w:rPr>
        <w:t>incorporates toxicity response factors (T</w:t>
      </w:r>
      <w:r w:rsidRPr="00871092">
        <w:rPr>
          <w:rFonts w:asciiTheme="majorBidi" w:eastAsia="Times New Roman" w:hAnsiTheme="majorBidi" w:cstheme="majorBidi"/>
          <w:vertAlign w:val="subscript"/>
        </w:rPr>
        <w:t>ri</w:t>
      </w:r>
      <w:r w:rsidRPr="00871092">
        <w:rPr>
          <w:rFonts w:asciiTheme="majorBidi" w:eastAsia="Times New Roman" w:hAnsiTheme="majorBidi" w:cstheme="majorBidi"/>
        </w:rPr>
        <w:t>) from (</w:t>
      </w:r>
      <w:r w:rsidRPr="00871092">
        <w:rPr>
          <w:rFonts w:asciiTheme="majorBidi" w:hAnsiTheme="majorBidi" w:cstheme="majorBidi"/>
          <w:color w:val="5B9BD5" w:themeColor="accent1"/>
        </w:rPr>
        <w:t>Hakanson, 1980</w:t>
      </w:r>
      <w:r w:rsidRPr="00871092">
        <w:rPr>
          <w:rFonts w:asciiTheme="majorBidi" w:eastAsia="Times New Roman" w:hAnsiTheme="majorBidi" w:cstheme="majorBidi"/>
        </w:rPr>
        <w:t>) to provide an ecologically relevant perspective (</w:t>
      </w:r>
      <w:r w:rsidRPr="00871092">
        <w:rPr>
          <w:rFonts w:asciiTheme="majorBidi" w:hAnsiTheme="majorBidi" w:cstheme="majorBidi"/>
          <w:color w:val="5B9BD5" w:themeColor="accent1"/>
        </w:rPr>
        <w:t>Table S1</w:t>
      </w:r>
      <w:r w:rsidRPr="00871092">
        <w:rPr>
          <w:rFonts w:asciiTheme="majorBidi" w:eastAsia="Times New Roman" w:hAnsiTheme="majorBidi" w:cstheme="majorBidi"/>
        </w:rPr>
        <w:t xml:space="preserve">). The RI values indicate that kaolin and bentonite pose a Low ecological risk (RI &lt; 150). However, the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sample registers a considerable ecological risk (300 ≤ RI &lt; 600), with the individual ecological risk factor for cadmium (</w:t>
      </w:r>
      <w:proofErr w:type="spellStart"/>
      <w:r w:rsidRPr="00871092">
        <w:rPr>
          <w:rFonts w:asciiTheme="majorBidi" w:eastAsia="Times New Roman" w:hAnsiTheme="majorBidi" w:cstheme="majorBidi"/>
        </w:rPr>
        <w:t>Er</w:t>
      </w:r>
      <w:r w:rsidRPr="00871092">
        <w:rPr>
          <w:rFonts w:asciiTheme="majorBidi" w:eastAsia="Times New Roman" w:hAnsiTheme="majorBidi" w:cstheme="majorBidi"/>
          <w:vertAlign w:val="subscript"/>
        </w:rPr>
        <w:t>Cd</w:t>
      </w:r>
      <w:proofErr w:type="spellEnd"/>
      <w:r w:rsidRPr="00871092">
        <w:rPr>
          <w:rFonts w:asciiTheme="majorBidi" w:eastAsia="Times New Roman" w:hAnsiTheme="majorBidi" w:cstheme="majorBidi"/>
        </w:rPr>
        <w:t xml:space="preserve">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 288.0), calculated with </w:t>
      </w:r>
      <w:r w:rsidRPr="00871092">
        <w:rPr>
          <w:rFonts w:asciiTheme="majorBidi" w:eastAsia="Times New Roman" w:hAnsiTheme="majorBidi" w:cstheme="majorBidi"/>
          <w:color w:val="5B9BD5" w:themeColor="accent1"/>
        </w:rPr>
        <w:t xml:space="preserve">Equation (8), </w:t>
      </w:r>
      <w:r w:rsidRPr="00871092">
        <w:rPr>
          <w:rFonts w:asciiTheme="majorBidi" w:eastAsia="Times New Roman" w:hAnsiTheme="majorBidi" w:cstheme="majorBidi"/>
        </w:rPr>
        <w:t>being the overwhelming contributor (</w:t>
      </w:r>
      <w:r w:rsidRPr="00871092">
        <w:rPr>
          <w:rFonts w:asciiTheme="majorBidi" w:eastAsia="Times New Roman" w:hAnsiTheme="majorBidi" w:cstheme="majorBidi"/>
          <w:color w:val="5B9BD5" w:themeColor="accent1"/>
        </w:rPr>
        <w:t>Table 4</w:t>
      </w:r>
      <w:r w:rsidRPr="00871092">
        <w:rPr>
          <w:rFonts w:asciiTheme="majorBidi" w:eastAsia="Times New Roman" w:hAnsiTheme="majorBidi" w:cstheme="majorBidi"/>
        </w:rPr>
        <w:t xml:space="preserve">). This confirms that the </w:t>
      </w:r>
      <w:r w:rsidR="0082597D">
        <w:rPr>
          <w:rFonts w:asciiTheme="majorBidi" w:eastAsia="Times New Roman" w:hAnsiTheme="majorBidi" w:cstheme="majorBidi"/>
        </w:rPr>
        <w:t>c</w:t>
      </w:r>
      <w:r w:rsidR="0082597D" w:rsidRPr="00871092">
        <w:rPr>
          <w:rFonts w:asciiTheme="majorBidi" w:eastAsia="Times New Roman" w:hAnsiTheme="majorBidi" w:cstheme="majorBidi"/>
        </w:rPr>
        <w:t xml:space="preserve">admium </w:t>
      </w:r>
      <w:r w:rsidRPr="00871092">
        <w:rPr>
          <w:rFonts w:asciiTheme="majorBidi" w:eastAsia="Times New Roman" w:hAnsiTheme="majorBidi" w:cstheme="majorBidi"/>
        </w:rPr>
        <w:t xml:space="preserve">contamination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is not only a geochemical anomaly but also a significant ecological concern.</w:t>
      </w:r>
    </w:p>
    <w:p w14:paraId="35A46C8B" w14:textId="77777777" w:rsidR="00607CF3" w:rsidRPr="00871092" w:rsidRDefault="00607CF3" w:rsidP="00871092">
      <w:pPr>
        <w:spacing w:after="0" w:line="240" w:lineRule="auto"/>
        <w:mirrorIndents/>
        <w:rPr>
          <w:rFonts w:asciiTheme="majorBidi" w:eastAsia="Times New Roman" w:hAnsiTheme="majorBidi" w:cstheme="majorBidi"/>
          <w:color w:val="0F1115"/>
        </w:rPr>
      </w:pPr>
    </w:p>
    <w:p w14:paraId="7FE4E397" w14:textId="2017D7F0" w:rsidR="00607CF3" w:rsidRPr="00871092" w:rsidRDefault="00900658" w:rsidP="00871092">
      <w:pPr>
        <w:spacing w:after="0" w:line="240" w:lineRule="auto"/>
        <w:mirrorIndents/>
        <w:rPr>
          <w:rFonts w:asciiTheme="majorBidi" w:eastAsia="Times New Roman" w:hAnsiTheme="majorBidi" w:cstheme="majorBidi"/>
          <w:b/>
          <w:bCs/>
          <w:color w:val="0F1115"/>
        </w:rPr>
      </w:pPr>
      <w:r w:rsidRPr="00871092">
        <w:rPr>
          <w:rFonts w:asciiTheme="majorBidi" w:eastAsia="Times New Roman" w:hAnsiTheme="majorBidi" w:cstheme="majorBidi"/>
          <w:b/>
          <w:bCs/>
          <w:color w:val="0F1115"/>
        </w:rPr>
        <w:t xml:space="preserve">Table </w:t>
      </w:r>
      <w:r w:rsidR="004B6B60" w:rsidRPr="00871092">
        <w:rPr>
          <w:rFonts w:asciiTheme="majorBidi" w:eastAsia="Times New Roman" w:hAnsiTheme="majorBidi" w:cstheme="majorBidi"/>
          <w:b/>
          <w:bCs/>
          <w:color w:val="0F1115"/>
        </w:rPr>
        <w:t>4</w:t>
      </w:r>
      <w:r w:rsidRPr="00871092">
        <w:rPr>
          <w:rFonts w:asciiTheme="majorBidi" w:eastAsia="Times New Roman" w:hAnsiTheme="majorBidi" w:cstheme="majorBidi"/>
          <w:b/>
          <w:bCs/>
          <w:color w:val="0F1115"/>
        </w:rPr>
        <w:t xml:space="preserve">. </w:t>
      </w:r>
      <w:r w:rsidRPr="00871092">
        <w:rPr>
          <w:rFonts w:asciiTheme="majorBidi" w:eastAsia="Times New Roman" w:hAnsiTheme="majorBidi" w:cstheme="majorBidi"/>
          <w:color w:val="0F1115"/>
        </w:rPr>
        <w:t>Potential Ecological Risk Factor (</w:t>
      </w:r>
      <w:r w:rsidRPr="00871092">
        <w:rPr>
          <w:rFonts w:asciiTheme="majorBidi" w:eastAsia="Times New Roman" w:hAnsiTheme="majorBidi" w:cstheme="majorBidi"/>
          <w:color w:val="0F1115"/>
          <w:bdr w:val="none" w:sz="0" w:space="0" w:color="auto" w:frame="1"/>
        </w:rPr>
        <w:t>Eri</w:t>
      </w:r>
      <w:r w:rsidRPr="00871092">
        <w:rPr>
          <w:rFonts w:asciiTheme="majorBidi" w:eastAsia="Times New Roman" w:hAnsiTheme="majorBidi" w:cstheme="majorBidi"/>
          <w:color w:val="0F1115"/>
        </w:rPr>
        <w:t>) and Index (RI) for the studied clays.</w:t>
      </w: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522"/>
        <w:gridCol w:w="1522"/>
        <w:gridCol w:w="1523"/>
        <w:gridCol w:w="2681"/>
      </w:tblGrid>
      <w:tr w:rsidR="00607CF3" w:rsidRPr="00871092" w14:paraId="2AAF78DB" w14:textId="77777777" w:rsidTr="00900658">
        <w:tc>
          <w:tcPr>
            <w:tcW w:w="1812" w:type="dxa"/>
            <w:tcBorders>
              <w:top w:val="single" w:sz="4" w:space="0" w:color="auto"/>
              <w:bottom w:val="single" w:sz="4" w:space="0" w:color="auto"/>
            </w:tcBorders>
            <w:vAlign w:val="center"/>
          </w:tcPr>
          <w:p w14:paraId="0AFC028F"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Clay Type</w:t>
            </w:r>
          </w:p>
        </w:tc>
        <w:tc>
          <w:tcPr>
            <w:tcW w:w="1522" w:type="dxa"/>
            <w:tcBorders>
              <w:top w:val="single" w:sz="4" w:space="0" w:color="auto"/>
              <w:bottom w:val="single" w:sz="4" w:space="0" w:color="auto"/>
            </w:tcBorders>
            <w:vAlign w:val="center"/>
          </w:tcPr>
          <w:p w14:paraId="00FACE3E" w14:textId="77777777" w:rsidR="00607CF3" w:rsidRPr="00871092" w:rsidRDefault="00607CF3" w:rsidP="00871092">
            <w:pPr>
              <w:mirrorIndents/>
              <w:rPr>
                <w:rFonts w:asciiTheme="majorBidi" w:eastAsia="Times New Roman" w:hAnsiTheme="majorBidi" w:cstheme="majorBidi"/>
                <w:b/>
                <w:bCs/>
                <w:color w:val="0F1115"/>
              </w:rPr>
            </w:pPr>
            <w:proofErr w:type="spellStart"/>
            <w:r w:rsidRPr="00871092">
              <w:rPr>
                <w:rFonts w:asciiTheme="majorBidi" w:eastAsia="Times New Roman" w:hAnsiTheme="majorBidi" w:cstheme="majorBidi"/>
              </w:rPr>
              <w:t>CF</w:t>
            </w:r>
            <w:r w:rsidRPr="00871092">
              <w:rPr>
                <w:rFonts w:asciiTheme="majorBidi" w:eastAsia="Times New Roman" w:hAnsiTheme="majorBidi" w:cstheme="majorBidi"/>
                <w:bdr w:val="none" w:sz="0" w:space="0" w:color="auto" w:frame="1"/>
                <w:vertAlign w:val="subscript"/>
              </w:rPr>
              <w:t>Cd</w:t>
            </w:r>
            <w:proofErr w:type="spellEnd"/>
          </w:p>
        </w:tc>
        <w:tc>
          <w:tcPr>
            <w:tcW w:w="1522" w:type="dxa"/>
            <w:tcBorders>
              <w:top w:val="single" w:sz="4" w:space="0" w:color="auto"/>
              <w:bottom w:val="single" w:sz="4" w:space="0" w:color="auto"/>
            </w:tcBorders>
            <w:vAlign w:val="center"/>
          </w:tcPr>
          <w:p w14:paraId="30C6CD08" w14:textId="77777777" w:rsidR="00607CF3" w:rsidRPr="00871092" w:rsidRDefault="00607CF3" w:rsidP="00871092">
            <w:pPr>
              <w:mirrorIndents/>
              <w:rPr>
                <w:rFonts w:asciiTheme="majorBidi" w:eastAsia="Times New Roman" w:hAnsiTheme="majorBidi" w:cstheme="majorBidi"/>
                <w:b/>
                <w:bCs/>
                <w:color w:val="0F1115"/>
              </w:rPr>
            </w:pPr>
            <w:proofErr w:type="spellStart"/>
            <w:r w:rsidRPr="00871092">
              <w:rPr>
                <w:rFonts w:asciiTheme="majorBidi" w:eastAsia="Times New Roman" w:hAnsiTheme="majorBidi" w:cstheme="majorBidi"/>
                <w:bdr w:val="none" w:sz="0" w:space="0" w:color="auto" w:frame="1"/>
              </w:rPr>
              <w:t>Er</w:t>
            </w:r>
            <w:r w:rsidRPr="00871092">
              <w:rPr>
                <w:rFonts w:asciiTheme="majorBidi" w:eastAsia="Times New Roman" w:hAnsiTheme="majorBidi" w:cstheme="majorBidi"/>
                <w:bdr w:val="none" w:sz="0" w:space="0" w:color="auto" w:frame="1"/>
                <w:vertAlign w:val="subscript"/>
              </w:rPr>
              <w:t>Cd</w:t>
            </w:r>
            <w:proofErr w:type="spellEnd"/>
          </w:p>
        </w:tc>
        <w:tc>
          <w:tcPr>
            <w:tcW w:w="1523" w:type="dxa"/>
            <w:tcBorders>
              <w:top w:val="single" w:sz="4" w:space="0" w:color="auto"/>
              <w:bottom w:val="single" w:sz="4" w:space="0" w:color="auto"/>
            </w:tcBorders>
            <w:vAlign w:val="center"/>
          </w:tcPr>
          <w:p w14:paraId="55B481B3"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RI</w:t>
            </w:r>
          </w:p>
        </w:tc>
        <w:tc>
          <w:tcPr>
            <w:tcW w:w="2681" w:type="dxa"/>
            <w:tcBorders>
              <w:top w:val="single" w:sz="4" w:space="0" w:color="auto"/>
              <w:bottom w:val="single" w:sz="4" w:space="0" w:color="auto"/>
            </w:tcBorders>
            <w:vAlign w:val="center"/>
          </w:tcPr>
          <w:p w14:paraId="08E0948C"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RI Classification</w:t>
            </w:r>
          </w:p>
        </w:tc>
      </w:tr>
      <w:tr w:rsidR="00607CF3" w:rsidRPr="00871092" w14:paraId="26966015" w14:textId="77777777" w:rsidTr="00900658">
        <w:tc>
          <w:tcPr>
            <w:tcW w:w="1812" w:type="dxa"/>
            <w:tcBorders>
              <w:top w:val="single" w:sz="4" w:space="0" w:color="auto"/>
            </w:tcBorders>
            <w:vAlign w:val="center"/>
          </w:tcPr>
          <w:p w14:paraId="28BC33AA"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Kaolin</w:t>
            </w:r>
          </w:p>
        </w:tc>
        <w:tc>
          <w:tcPr>
            <w:tcW w:w="1522" w:type="dxa"/>
            <w:tcBorders>
              <w:top w:val="single" w:sz="4" w:space="0" w:color="auto"/>
            </w:tcBorders>
            <w:vAlign w:val="center"/>
          </w:tcPr>
          <w:p w14:paraId="5716CCE2"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0</w:t>
            </w:r>
          </w:p>
        </w:tc>
        <w:tc>
          <w:tcPr>
            <w:tcW w:w="1522" w:type="dxa"/>
            <w:tcBorders>
              <w:top w:val="single" w:sz="4" w:space="0" w:color="auto"/>
            </w:tcBorders>
            <w:vAlign w:val="center"/>
          </w:tcPr>
          <w:p w14:paraId="20BEE8EC"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0</w:t>
            </w:r>
          </w:p>
        </w:tc>
        <w:tc>
          <w:tcPr>
            <w:tcW w:w="1523" w:type="dxa"/>
            <w:tcBorders>
              <w:top w:val="single" w:sz="4" w:space="0" w:color="auto"/>
            </w:tcBorders>
            <w:vAlign w:val="center"/>
          </w:tcPr>
          <w:p w14:paraId="56FA7203"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7.51</w:t>
            </w:r>
          </w:p>
        </w:tc>
        <w:tc>
          <w:tcPr>
            <w:tcW w:w="2681" w:type="dxa"/>
            <w:tcBorders>
              <w:top w:val="single" w:sz="4" w:space="0" w:color="auto"/>
            </w:tcBorders>
            <w:vAlign w:val="center"/>
          </w:tcPr>
          <w:p w14:paraId="60F4B37B"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Low</w:t>
            </w:r>
          </w:p>
        </w:tc>
      </w:tr>
      <w:tr w:rsidR="00607CF3" w:rsidRPr="00871092" w14:paraId="713E2EDF" w14:textId="77777777" w:rsidTr="00900658">
        <w:tc>
          <w:tcPr>
            <w:tcW w:w="1812" w:type="dxa"/>
            <w:vAlign w:val="center"/>
          </w:tcPr>
          <w:p w14:paraId="71F0DCC5"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Bentonite</w:t>
            </w:r>
          </w:p>
        </w:tc>
        <w:tc>
          <w:tcPr>
            <w:tcW w:w="1522" w:type="dxa"/>
            <w:vAlign w:val="center"/>
          </w:tcPr>
          <w:p w14:paraId="405254EC"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1.44</w:t>
            </w:r>
          </w:p>
        </w:tc>
        <w:tc>
          <w:tcPr>
            <w:tcW w:w="1522" w:type="dxa"/>
            <w:vAlign w:val="center"/>
          </w:tcPr>
          <w:p w14:paraId="3190B62E"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43.2</w:t>
            </w:r>
          </w:p>
        </w:tc>
        <w:tc>
          <w:tcPr>
            <w:tcW w:w="1523" w:type="dxa"/>
            <w:vAlign w:val="center"/>
          </w:tcPr>
          <w:p w14:paraId="17A9D163" w14:textId="5F660A9C"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52.6</w:t>
            </w:r>
          </w:p>
        </w:tc>
        <w:tc>
          <w:tcPr>
            <w:tcW w:w="2681" w:type="dxa"/>
            <w:vAlign w:val="center"/>
          </w:tcPr>
          <w:p w14:paraId="68D29229"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Low</w:t>
            </w:r>
          </w:p>
        </w:tc>
      </w:tr>
      <w:tr w:rsidR="00607CF3" w:rsidRPr="00871092" w14:paraId="2C1C42B0" w14:textId="77777777" w:rsidTr="00900658">
        <w:tc>
          <w:tcPr>
            <w:tcW w:w="1812" w:type="dxa"/>
            <w:vAlign w:val="center"/>
          </w:tcPr>
          <w:p w14:paraId="79990423" w14:textId="77777777" w:rsidR="00607CF3" w:rsidRPr="00871092" w:rsidRDefault="00607CF3" w:rsidP="00871092">
            <w:pPr>
              <w:mirrorIndents/>
              <w:rPr>
                <w:rFonts w:asciiTheme="majorBidi" w:eastAsia="Times New Roman" w:hAnsiTheme="majorBidi" w:cstheme="majorBidi"/>
                <w:b/>
                <w:bCs/>
                <w:color w:val="0F1115"/>
              </w:rPr>
            </w:pPr>
            <w:proofErr w:type="spellStart"/>
            <w:r w:rsidRPr="00871092">
              <w:rPr>
                <w:rFonts w:asciiTheme="majorBidi" w:eastAsia="Times New Roman" w:hAnsiTheme="majorBidi" w:cstheme="majorBidi"/>
              </w:rPr>
              <w:t>Ghassoul</w:t>
            </w:r>
            <w:proofErr w:type="spellEnd"/>
          </w:p>
        </w:tc>
        <w:tc>
          <w:tcPr>
            <w:tcW w:w="1522" w:type="dxa"/>
            <w:vAlign w:val="center"/>
          </w:tcPr>
          <w:p w14:paraId="7E40BEE7"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9.60</w:t>
            </w:r>
          </w:p>
        </w:tc>
        <w:tc>
          <w:tcPr>
            <w:tcW w:w="1522" w:type="dxa"/>
            <w:vAlign w:val="center"/>
          </w:tcPr>
          <w:p w14:paraId="14E89E6E"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288.0</w:t>
            </w:r>
          </w:p>
        </w:tc>
        <w:tc>
          <w:tcPr>
            <w:tcW w:w="1523" w:type="dxa"/>
            <w:vAlign w:val="center"/>
          </w:tcPr>
          <w:p w14:paraId="3B1294D6" w14:textId="114D07ED"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321.</w:t>
            </w:r>
            <w:r w:rsidR="00402AE1" w:rsidRPr="00871092">
              <w:rPr>
                <w:rFonts w:asciiTheme="majorBidi" w:eastAsia="Times New Roman" w:hAnsiTheme="majorBidi" w:cstheme="majorBidi"/>
              </w:rPr>
              <w:t>5</w:t>
            </w:r>
          </w:p>
        </w:tc>
        <w:tc>
          <w:tcPr>
            <w:tcW w:w="2681" w:type="dxa"/>
            <w:vAlign w:val="center"/>
          </w:tcPr>
          <w:p w14:paraId="52E4BC65" w14:textId="77777777" w:rsidR="00607CF3" w:rsidRPr="00871092" w:rsidRDefault="00607CF3" w:rsidP="00871092">
            <w:pPr>
              <w:mirrorIndents/>
              <w:rPr>
                <w:rFonts w:asciiTheme="majorBidi" w:eastAsia="Times New Roman" w:hAnsiTheme="majorBidi" w:cstheme="majorBidi"/>
                <w:b/>
                <w:bCs/>
                <w:color w:val="0F1115"/>
              </w:rPr>
            </w:pPr>
            <w:r w:rsidRPr="00871092">
              <w:rPr>
                <w:rFonts w:asciiTheme="majorBidi" w:eastAsia="Times New Roman" w:hAnsiTheme="majorBidi" w:cstheme="majorBidi"/>
              </w:rPr>
              <w:t>Considerable</w:t>
            </w:r>
          </w:p>
        </w:tc>
      </w:tr>
    </w:tbl>
    <w:p w14:paraId="0599A430" w14:textId="77777777" w:rsidR="00607CF3" w:rsidRPr="0082597D" w:rsidRDefault="00607CF3" w:rsidP="00871092">
      <w:pPr>
        <w:pStyle w:val="ds-markdown-paragraph"/>
        <w:spacing w:before="0" w:beforeAutospacing="0" w:after="0" w:afterAutospacing="0"/>
        <w:mirrorIndents/>
        <w:rPr>
          <w:rFonts w:asciiTheme="majorBidi" w:hAnsiTheme="majorBidi" w:cstheme="majorBidi"/>
          <w:color w:val="0F1115"/>
          <w:sz w:val="22"/>
          <w:szCs w:val="22"/>
          <w:lang w:val="en-CA"/>
        </w:rPr>
      </w:pPr>
    </w:p>
    <w:p w14:paraId="00BEB8B6" w14:textId="0D90D5EF" w:rsidR="002407CE" w:rsidRPr="000E3D8F" w:rsidRDefault="002407CE" w:rsidP="000F084C">
      <w:pPr>
        <w:pStyle w:val="ds-markdown-paragraph"/>
        <w:spacing w:before="0" w:beforeAutospacing="0" w:after="0" w:afterAutospacing="0"/>
        <w:mirrorIndents/>
        <w:jc w:val="both"/>
        <w:rPr>
          <w:rFonts w:asciiTheme="majorBidi" w:hAnsiTheme="majorBidi" w:cstheme="majorBidi"/>
          <w:sz w:val="22"/>
          <w:szCs w:val="22"/>
        </w:rPr>
      </w:pPr>
      <w:r w:rsidRPr="000E3D8F">
        <w:rPr>
          <w:rFonts w:asciiTheme="majorBidi" w:hAnsiTheme="majorBidi" w:cstheme="majorBidi"/>
          <w:sz w:val="22"/>
          <w:szCs w:val="22"/>
        </w:rPr>
        <w:t>Based on the integrated assessment, which confirmed elevated Contamination Factor (</w:t>
      </w:r>
      <w:proofErr w:type="spellStart"/>
      <w:r w:rsidRPr="000E3D8F">
        <w:rPr>
          <w:rFonts w:asciiTheme="majorBidi" w:hAnsiTheme="majorBidi" w:cstheme="majorBidi"/>
          <w:sz w:val="22"/>
          <w:szCs w:val="22"/>
        </w:rPr>
        <w:t>CF</w:t>
      </w:r>
      <w:r w:rsidRPr="000E3D8F">
        <w:rPr>
          <w:rFonts w:asciiTheme="majorBidi" w:hAnsiTheme="majorBidi" w:cstheme="majorBidi"/>
          <w:sz w:val="22"/>
          <w:szCs w:val="22"/>
          <w:vertAlign w:val="subscript"/>
        </w:rPr>
        <w:t>Cd</w:t>
      </w:r>
      <w:proofErr w:type="spellEnd"/>
      <w:r w:rsidRPr="000E3D8F">
        <w:rPr>
          <w:rFonts w:asciiTheme="majorBidi" w:hAnsiTheme="majorBidi" w:cstheme="majorBidi"/>
          <w:sz w:val="22"/>
          <w:szCs w:val="22"/>
        </w:rPr>
        <w:t>), Enrichment Factor (</w:t>
      </w:r>
      <w:proofErr w:type="spellStart"/>
      <w:r w:rsidRPr="000E3D8F">
        <w:rPr>
          <w:rFonts w:asciiTheme="majorBidi" w:hAnsiTheme="majorBidi" w:cstheme="majorBidi"/>
          <w:sz w:val="22"/>
          <w:szCs w:val="22"/>
        </w:rPr>
        <w:t>EF</w:t>
      </w:r>
      <w:r w:rsidRPr="000E3D8F">
        <w:rPr>
          <w:rFonts w:asciiTheme="majorBidi" w:hAnsiTheme="majorBidi" w:cstheme="majorBidi"/>
          <w:sz w:val="22"/>
          <w:szCs w:val="22"/>
          <w:vertAlign w:val="subscript"/>
        </w:rPr>
        <w:t>Cd</w:t>
      </w:r>
      <w:proofErr w:type="spellEnd"/>
      <w:r w:rsidRPr="000E3D8F">
        <w:rPr>
          <w:rFonts w:asciiTheme="majorBidi" w:hAnsiTheme="majorBidi" w:cstheme="majorBidi"/>
          <w:sz w:val="22"/>
          <w:szCs w:val="22"/>
        </w:rPr>
        <w:t xml:space="preserve">), and a Considerable ecological risk (RI = 319.5) for cadmium in the </w:t>
      </w:r>
      <w:proofErr w:type="spellStart"/>
      <w:r w:rsidRPr="000E3D8F">
        <w:rPr>
          <w:rFonts w:asciiTheme="majorBidi" w:hAnsiTheme="majorBidi" w:cstheme="majorBidi"/>
          <w:sz w:val="22"/>
          <w:szCs w:val="22"/>
        </w:rPr>
        <w:t>ghassoul</w:t>
      </w:r>
      <w:proofErr w:type="spellEnd"/>
      <w:r w:rsidRPr="000E3D8F">
        <w:rPr>
          <w:rFonts w:asciiTheme="majorBidi" w:hAnsiTheme="majorBidi" w:cstheme="majorBidi"/>
          <w:sz w:val="22"/>
          <w:szCs w:val="22"/>
        </w:rPr>
        <w:t xml:space="preserve"> deposit through multivariate analysis, this site is identified as the primary hotspot requiring immediate follow-up. Consequently, it is prioritized for </w:t>
      </w:r>
      <w:proofErr w:type="spellStart"/>
      <w:r w:rsidRPr="000E3D8F">
        <w:rPr>
          <w:rFonts w:asciiTheme="majorBidi" w:hAnsiTheme="majorBidi" w:cstheme="majorBidi"/>
          <w:sz w:val="22"/>
          <w:szCs w:val="22"/>
        </w:rPr>
        <w:t>bioaccessibility</w:t>
      </w:r>
      <w:proofErr w:type="spellEnd"/>
      <w:r w:rsidRPr="000E3D8F">
        <w:rPr>
          <w:rFonts w:asciiTheme="majorBidi" w:hAnsiTheme="majorBidi" w:cstheme="majorBidi"/>
          <w:sz w:val="22"/>
          <w:szCs w:val="22"/>
        </w:rPr>
        <w:t xml:space="preserve"> testing using the EN 12457-2 leaching protocol (</w:t>
      </w:r>
      <w:r w:rsidRPr="000E3D8F">
        <w:rPr>
          <w:rFonts w:asciiTheme="majorBidi" w:hAnsiTheme="majorBidi" w:cstheme="majorBidi"/>
          <w:color w:val="5B9BD5" w:themeColor="accent1"/>
          <w:sz w:val="22"/>
          <w:szCs w:val="22"/>
        </w:rPr>
        <w:t>EN 12457-2, 2002</w:t>
      </w:r>
      <w:r w:rsidRPr="000E3D8F">
        <w:rPr>
          <w:rFonts w:asciiTheme="majorBidi" w:hAnsiTheme="majorBidi" w:cstheme="majorBidi"/>
          <w:sz w:val="22"/>
          <w:szCs w:val="22"/>
        </w:rPr>
        <w:t>) to quantify cadmium mobility under standardized conditions, enabling direct comparison with European Waste Acceptance Criteria (WACs) (</w:t>
      </w:r>
      <w:r w:rsidRPr="000E3D8F">
        <w:rPr>
          <w:rFonts w:asciiTheme="majorBidi" w:hAnsiTheme="majorBidi" w:cstheme="majorBidi"/>
          <w:color w:val="5B9BD5" w:themeColor="accent1"/>
          <w:sz w:val="22"/>
          <w:szCs w:val="22"/>
        </w:rPr>
        <w:t>European Council, 2003</w:t>
      </w:r>
      <w:r w:rsidRPr="000E3D8F">
        <w:rPr>
          <w:rFonts w:asciiTheme="majorBidi" w:hAnsiTheme="majorBidi" w:cstheme="majorBidi"/>
          <w:sz w:val="22"/>
          <w:szCs w:val="22"/>
        </w:rPr>
        <w:t>).</w:t>
      </w:r>
    </w:p>
    <w:p w14:paraId="5D5689B8" w14:textId="77777777" w:rsidR="002407CE" w:rsidRPr="00871092" w:rsidRDefault="002407CE" w:rsidP="00871092">
      <w:pPr>
        <w:pStyle w:val="ds-markdown-paragraph"/>
        <w:spacing w:before="0" w:beforeAutospacing="0" w:after="0" w:afterAutospacing="0"/>
        <w:mirrorIndents/>
        <w:rPr>
          <w:rFonts w:asciiTheme="majorBidi" w:hAnsiTheme="majorBidi" w:cstheme="majorBidi"/>
          <w:color w:val="0F1115"/>
          <w:sz w:val="22"/>
          <w:szCs w:val="22"/>
          <w:lang w:val="en-CA"/>
        </w:rPr>
      </w:pPr>
    </w:p>
    <w:p w14:paraId="5CAF2D87" w14:textId="3AA234C8" w:rsidR="009F12C5" w:rsidRPr="00871092" w:rsidRDefault="009F12C5"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To elucidate geochemical relationships and classify the three clay samples, multivariate statistical techniques were employed based on their concentrations of 15 trace elements (Al, Ag, As, Cd, Co, Cr, Cu, Fe, Li, Mn, Mo, Ni, Pb, V, Zn). Principal Component Analysis (PCA) revealed distinct elemental fingerprints, allowing for unambiguous differentiation. The first two principal components, F1 and F2, explained 100% of the total variance, with F1 accounting for 82.9% and F2 for 17.1% (</w:t>
      </w:r>
      <w:r w:rsidRPr="00871092">
        <w:rPr>
          <w:rFonts w:asciiTheme="majorBidi" w:eastAsia="Times New Roman" w:hAnsiTheme="majorBidi" w:cstheme="majorBidi"/>
          <w:color w:val="5B9BD5" w:themeColor="accent1"/>
        </w:rPr>
        <w:t>Table 5</w:t>
      </w:r>
      <w:r w:rsidRPr="00871092">
        <w:rPr>
          <w:rFonts w:asciiTheme="majorBidi" w:eastAsia="Times New Roman" w:hAnsiTheme="majorBidi" w:cstheme="majorBidi"/>
        </w:rPr>
        <w:t>). The correlation circle (</w:t>
      </w:r>
      <w:r w:rsidRPr="00871092">
        <w:rPr>
          <w:rFonts w:asciiTheme="majorBidi" w:eastAsia="Times New Roman" w:hAnsiTheme="majorBidi" w:cstheme="majorBidi"/>
          <w:color w:val="5B9BD5" w:themeColor="accent1"/>
        </w:rPr>
        <w:t>Fig</w:t>
      </w:r>
      <w:r w:rsidR="00136646">
        <w:rPr>
          <w:rFonts w:asciiTheme="majorBidi" w:eastAsia="Times New Roman" w:hAnsiTheme="majorBidi" w:cstheme="majorBidi"/>
          <w:color w:val="5B9BD5" w:themeColor="accent1"/>
        </w:rPr>
        <w:t>.</w:t>
      </w:r>
      <w:r w:rsidRPr="00871092">
        <w:rPr>
          <w:rFonts w:asciiTheme="majorBidi" w:eastAsia="Times New Roman" w:hAnsiTheme="majorBidi" w:cstheme="majorBidi"/>
          <w:color w:val="5B9BD5" w:themeColor="accent1"/>
        </w:rPr>
        <w:t xml:space="preserve"> </w:t>
      </w:r>
      <w:r w:rsidR="00136646">
        <w:rPr>
          <w:rFonts w:asciiTheme="majorBidi" w:eastAsia="Times New Roman" w:hAnsiTheme="majorBidi" w:cstheme="majorBidi"/>
          <w:color w:val="5B9BD5" w:themeColor="accent1"/>
        </w:rPr>
        <w:t>4</w:t>
      </w:r>
      <w:r w:rsidRPr="00871092">
        <w:rPr>
          <w:rFonts w:asciiTheme="majorBidi" w:eastAsia="Times New Roman" w:hAnsiTheme="majorBidi" w:cstheme="majorBidi"/>
          <w:color w:val="5B9BD5" w:themeColor="accent1"/>
        </w:rPr>
        <w:t>A</w:t>
      </w:r>
      <w:r w:rsidRPr="00871092">
        <w:rPr>
          <w:rFonts w:asciiTheme="majorBidi" w:eastAsia="Times New Roman" w:hAnsiTheme="majorBidi" w:cstheme="majorBidi"/>
        </w:rPr>
        <w:t xml:space="preserve">) showed that Cd, Pb, Mn, Co, Mo, V, Cu, Ni, Li, Cr, As, and Zn were strongly and positively correlated with F1, while Al and Fe were negatively correlated. The projection of </w:t>
      </w:r>
      <w:r w:rsidRPr="00871092">
        <w:rPr>
          <w:rFonts w:asciiTheme="majorBidi" w:eastAsia="Times New Roman" w:hAnsiTheme="majorBidi" w:cstheme="majorBidi"/>
        </w:rPr>
        <w:lastRenderedPageBreak/>
        <w:t>observations onto the F1-F2 plane (</w:t>
      </w:r>
      <w:r w:rsidRPr="00871092">
        <w:rPr>
          <w:rFonts w:asciiTheme="majorBidi" w:eastAsia="Times New Roman" w:hAnsiTheme="majorBidi" w:cstheme="majorBidi"/>
          <w:color w:val="5B9BD5" w:themeColor="accent1"/>
        </w:rPr>
        <w:t>Fig</w:t>
      </w:r>
      <w:r w:rsidR="00136646">
        <w:rPr>
          <w:rFonts w:asciiTheme="majorBidi" w:eastAsia="Times New Roman" w:hAnsiTheme="majorBidi" w:cstheme="majorBidi"/>
          <w:color w:val="5B9BD5" w:themeColor="accent1"/>
        </w:rPr>
        <w:t>.</w:t>
      </w:r>
      <w:r w:rsidRPr="00871092">
        <w:rPr>
          <w:rFonts w:asciiTheme="majorBidi" w:eastAsia="Times New Roman" w:hAnsiTheme="majorBidi" w:cstheme="majorBidi"/>
          <w:color w:val="5B9BD5" w:themeColor="accent1"/>
        </w:rPr>
        <w:t xml:space="preserve"> 5B</w:t>
      </w:r>
      <w:r w:rsidRPr="00871092">
        <w:rPr>
          <w:rFonts w:asciiTheme="majorBidi" w:eastAsia="Times New Roman" w:hAnsiTheme="majorBidi" w:cstheme="majorBidi"/>
        </w:rPr>
        <w:t xml:space="preserve">) clearly differentiated the three clays.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was positioned at the extreme positive end of F1, associated with the group of trace elements. Kaolin was located on the negative side of F1 and F2, associated with higher relative concentrations of Al. Bentonite was uniquely distinguished by its high positive score on F2, driven by its Ag and Zn content. The resulting HCA dendrogram (</w:t>
      </w:r>
      <w:r w:rsidRPr="00871092">
        <w:rPr>
          <w:rFonts w:asciiTheme="majorBidi" w:eastAsia="Times New Roman" w:hAnsiTheme="majorBidi" w:cstheme="majorBidi"/>
          <w:color w:val="5B9BD5" w:themeColor="accent1"/>
        </w:rPr>
        <w:t>Figure 6</w:t>
      </w:r>
      <w:r w:rsidRPr="00871092">
        <w:rPr>
          <w:rFonts w:asciiTheme="majorBidi" w:eastAsia="Times New Roman" w:hAnsiTheme="majorBidi" w:cstheme="majorBidi"/>
        </w:rPr>
        <w:t xml:space="preserve">), using Euclidean distance and Ward's method, perfectly corroborated the PCA findings, yielding three distinct clusters corresponding to the three clay types.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was separated at a high linkage distance, highlighting its profound geochemical distinctiveness. The synergistic application of PCA and HCA demonstrates that the three clays possess statistically distinct chemical compositions.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is unequivocally distinguished by its uniquely high content of trace elements like Cd, V, Mn, Cu, and Pb. Kaolin is characterized as an alumina-rich clay with low levels of these trace elements. Bentonite holds an intermediate position but is uniquely identified by its enrichment in zinc and silver.</w:t>
      </w:r>
    </w:p>
    <w:p w14:paraId="4E545A7C" w14:textId="77777777" w:rsidR="00900658" w:rsidRPr="00871092" w:rsidRDefault="00900658" w:rsidP="00871092">
      <w:pPr>
        <w:spacing w:after="0" w:line="240" w:lineRule="auto"/>
        <w:jc w:val="both"/>
        <w:rPr>
          <w:rFonts w:asciiTheme="majorBidi" w:eastAsia="Times New Roman" w:hAnsiTheme="majorBidi" w:cstheme="majorBidi"/>
          <w:lang w:val="en-US"/>
        </w:rPr>
      </w:pPr>
    </w:p>
    <w:p w14:paraId="03DCF15B" w14:textId="70189A2C" w:rsidR="00607CF3" w:rsidRPr="00871092" w:rsidRDefault="00900658" w:rsidP="00871092">
      <w:pPr>
        <w:spacing w:after="0" w:line="240" w:lineRule="auto"/>
        <w:rPr>
          <w:rFonts w:asciiTheme="majorBidi" w:hAnsiTheme="majorBidi" w:cstheme="majorBidi"/>
          <w:lang w:val="en-US"/>
        </w:rPr>
      </w:pPr>
      <w:r w:rsidRPr="00871092">
        <w:rPr>
          <w:rFonts w:asciiTheme="majorBidi" w:hAnsiTheme="majorBidi" w:cstheme="majorBidi"/>
          <w:b/>
          <w:bCs/>
          <w:lang w:val="en-US"/>
        </w:rPr>
        <w:t xml:space="preserve">Table </w:t>
      </w:r>
      <w:r w:rsidR="004B6B60" w:rsidRPr="00871092">
        <w:rPr>
          <w:rFonts w:asciiTheme="majorBidi" w:hAnsiTheme="majorBidi" w:cstheme="majorBidi"/>
          <w:b/>
          <w:bCs/>
          <w:lang w:val="en-US"/>
        </w:rPr>
        <w:t>5</w:t>
      </w:r>
      <w:r w:rsidRPr="00871092">
        <w:rPr>
          <w:rFonts w:asciiTheme="majorBidi" w:hAnsiTheme="majorBidi" w:cstheme="majorBidi"/>
          <w:b/>
          <w:bCs/>
          <w:lang w:val="en-US"/>
        </w:rPr>
        <w:t>:</w:t>
      </w:r>
      <w:r w:rsidRPr="00871092">
        <w:rPr>
          <w:rFonts w:asciiTheme="majorBidi" w:hAnsiTheme="majorBidi" w:cstheme="majorBidi"/>
          <w:lang w:val="en-US"/>
        </w:rPr>
        <w:t xml:space="preserve"> Principal Component Analysis: Eigenvalues and Explained Variance</w:t>
      </w:r>
    </w:p>
    <w:tbl>
      <w:tblPr>
        <w:tblW w:w="5000" w:type="pct"/>
        <w:tblLook w:val="04A0" w:firstRow="1" w:lastRow="0" w:firstColumn="1" w:lastColumn="0" w:noHBand="0" w:noVBand="1"/>
      </w:tblPr>
      <w:tblGrid>
        <w:gridCol w:w="4317"/>
        <w:gridCol w:w="2228"/>
        <w:gridCol w:w="2525"/>
      </w:tblGrid>
      <w:tr w:rsidR="00607CF3" w:rsidRPr="00871092" w14:paraId="6C97470B" w14:textId="77777777" w:rsidTr="000E3F80">
        <w:trPr>
          <w:trHeight w:val="300"/>
        </w:trPr>
        <w:tc>
          <w:tcPr>
            <w:tcW w:w="2380" w:type="pct"/>
            <w:tcBorders>
              <w:top w:val="single" w:sz="8" w:space="0" w:color="auto"/>
              <w:left w:val="nil"/>
              <w:bottom w:val="nil"/>
              <w:right w:val="nil"/>
            </w:tcBorders>
            <w:noWrap/>
            <w:vAlign w:val="bottom"/>
            <w:hideMark/>
          </w:tcPr>
          <w:p w14:paraId="4E23D273" w14:textId="77777777" w:rsidR="00607CF3" w:rsidRPr="00871092" w:rsidRDefault="00607CF3" w:rsidP="00871092">
            <w:pPr>
              <w:spacing w:after="0" w:line="240" w:lineRule="auto"/>
              <w:jc w:val="center"/>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 </w:t>
            </w:r>
          </w:p>
        </w:tc>
        <w:tc>
          <w:tcPr>
            <w:tcW w:w="1228" w:type="pct"/>
            <w:tcBorders>
              <w:top w:val="single" w:sz="8" w:space="0" w:color="auto"/>
              <w:left w:val="nil"/>
              <w:bottom w:val="nil"/>
              <w:right w:val="nil"/>
            </w:tcBorders>
            <w:noWrap/>
            <w:vAlign w:val="bottom"/>
            <w:hideMark/>
          </w:tcPr>
          <w:p w14:paraId="4F4D6DED" w14:textId="77777777" w:rsidR="00607CF3" w:rsidRPr="00871092" w:rsidRDefault="00607CF3" w:rsidP="00871092">
            <w:pPr>
              <w:spacing w:after="0" w:line="240" w:lineRule="auto"/>
              <w:jc w:val="center"/>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F1</w:t>
            </w:r>
          </w:p>
        </w:tc>
        <w:tc>
          <w:tcPr>
            <w:tcW w:w="1392" w:type="pct"/>
            <w:tcBorders>
              <w:top w:val="single" w:sz="8" w:space="0" w:color="auto"/>
              <w:left w:val="nil"/>
              <w:bottom w:val="nil"/>
              <w:right w:val="nil"/>
            </w:tcBorders>
            <w:noWrap/>
            <w:vAlign w:val="bottom"/>
            <w:hideMark/>
          </w:tcPr>
          <w:p w14:paraId="687F095E" w14:textId="77777777" w:rsidR="00607CF3" w:rsidRPr="00871092" w:rsidRDefault="00607CF3" w:rsidP="00871092">
            <w:pPr>
              <w:spacing w:after="0" w:line="240" w:lineRule="auto"/>
              <w:jc w:val="center"/>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F2</w:t>
            </w:r>
          </w:p>
        </w:tc>
      </w:tr>
      <w:tr w:rsidR="00607CF3" w:rsidRPr="00871092" w14:paraId="1FE99D10" w14:textId="77777777" w:rsidTr="000E3F80">
        <w:trPr>
          <w:trHeight w:val="300"/>
        </w:trPr>
        <w:tc>
          <w:tcPr>
            <w:tcW w:w="2380" w:type="pct"/>
            <w:tcBorders>
              <w:top w:val="single" w:sz="4" w:space="0" w:color="auto"/>
              <w:left w:val="nil"/>
              <w:bottom w:val="nil"/>
              <w:right w:val="nil"/>
            </w:tcBorders>
            <w:noWrap/>
            <w:vAlign w:val="bottom"/>
            <w:hideMark/>
          </w:tcPr>
          <w:p w14:paraId="028D606B" w14:textId="77777777" w:rsidR="00607CF3" w:rsidRPr="00871092" w:rsidRDefault="00607CF3" w:rsidP="00871092">
            <w:pPr>
              <w:spacing w:after="0" w:line="240" w:lineRule="auto"/>
              <w:rPr>
                <w:rFonts w:asciiTheme="majorBidi" w:eastAsia="Times New Roman" w:hAnsiTheme="majorBidi" w:cstheme="majorBidi"/>
                <w:b/>
                <w:bCs/>
                <w:color w:val="000000"/>
                <w:lang w:val="en-US"/>
              </w:rPr>
            </w:pPr>
            <w:r w:rsidRPr="00871092">
              <w:rPr>
                <w:rStyle w:val="lev"/>
                <w:rFonts w:asciiTheme="majorBidi" w:hAnsiTheme="majorBidi" w:cstheme="majorBidi"/>
                <w:b w:val="0"/>
                <w:bCs w:val="0"/>
                <w:color w:val="0F1115"/>
                <w:shd w:val="clear" w:color="auto" w:fill="FFFFFF"/>
              </w:rPr>
              <w:t>Eigenvalue</w:t>
            </w:r>
          </w:p>
        </w:tc>
        <w:tc>
          <w:tcPr>
            <w:tcW w:w="1228" w:type="pct"/>
            <w:tcBorders>
              <w:top w:val="single" w:sz="4" w:space="0" w:color="auto"/>
              <w:left w:val="nil"/>
              <w:bottom w:val="nil"/>
              <w:right w:val="nil"/>
            </w:tcBorders>
            <w:noWrap/>
            <w:vAlign w:val="bottom"/>
            <w:hideMark/>
          </w:tcPr>
          <w:p w14:paraId="04B8A03F" w14:textId="2D49F8D4" w:rsidR="00607CF3" w:rsidRPr="00871092" w:rsidRDefault="00607CF3" w:rsidP="00871092">
            <w:pPr>
              <w:spacing w:after="0" w:line="240" w:lineRule="auto"/>
              <w:jc w:val="right"/>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12.4</w:t>
            </w:r>
          </w:p>
        </w:tc>
        <w:tc>
          <w:tcPr>
            <w:tcW w:w="1392" w:type="pct"/>
            <w:tcBorders>
              <w:top w:val="single" w:sz="4" w:space="0" w:color="auto"/>
              <w:left w:val="nil"/>
              <w:bottom w:val="nil"/>
              <w:right w:val="nil"/>
            </w:tcBorders>
            <w:noWrap/>
            <w:vAlign w:val="bottom"/>
            <w:hideMark/>
          </w:tcPr>
          <w:p w14:paraId="39E84D48" w14:textId="09DBBA61" w:rsidR="00607CF3" w:rsidRPr="00871092" w:rsidRDefault="00607CF3" w:rsidP="00871092">
            <w:pPr>
              <w:spacing w:after="0" w:line="240" w:lineRule="auto"/>
              <w:jc w:val="right"/>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2.56</w:t>
            </w:r>
          </w:p>
        </w:tc>
      </w:tr>
      <w:tr w:rsidR="00607CF3" w:rsidRPr="00871092" w14:paraId="68283240" w14:textId="77777777" w:rsidTr="000E3F80">
        <w:trPr>
          <w:trHeight w:val="300"/>
        </w:trPr>
        <w:tc>
          <w:tcPr>
            <w:tcW w:w="2380" w:type="pct"/>
            <w:tcBorders>
              <w:top w:val="nil"/>
              <w:left w:val="nil"/>
              <w:bottom w:val="nil"/>
              <w:right w:val="nil"/>
            </w:tcBorders>
            <w:noWrap/>
            <w:vAlign w:val="bottom"/>
            <w:hideMark/>
          </w:tcPr>
          <w:p w14:paraId="603B382A" w14:textId="77777777" w:rsidR="00607CF3" w:rsidRPr="00871092" w:rsidRDefault="00607CF3" w:rsidP="00871092">
            <w:pPr>
              <w:spacing w:after="0" w:line="240" w:lineRule="auto"/>
              <w:rPr>
                <w:rFonts w:asciiTheme="majorBidi" w:eastAsia="Times New Roman" w:hAnsiTheme="majorBidi" w:cstheme="majorBidi"/>
                <w:b/>
                <w:bCs/>
                <w:color w:val="000000"/>
                <w:lang w:val="en-US"/>
              </w:rPr>
            </w:pPr>
            <w:r w:rsidRPr="00871092">
              <w:rPr>
                <w:rStyle w:val="lev"/>
                <w:rFonts w:asciiTheme="majorBidi" w:hAnsiTheme="majorBidi" w:cstheme="majorBidi"/>
                <w:b w:val="0"/>
                <w:bCs w:val="0"/>
                <w:color w:val="0F1115"/>
                <w:shd w:val="clear" w:color="auto" w:fill="FFFFFF"/>
              </w:rPr>
              <w:t>Variance (%)</w:t>
            </w:r>
          </w:p>
        </w:tc>
        <w:tc>
          <w:tcPr>
            <w:tcW w:w="1228" w:type="pct"/>
            <w:tcBorders>
              <w:top w:val="nil"/>
              <w:left w:val="nil"/>
              <w:bottom w:val="nil"/>
              <w:right w:val="nil"/>
            </w:tcBorders>
            <w:noWrap/>
            <w:vAlign w:val="bottom"/>
            <w:hideMark/>
          </w:tcPr>
          <w:p w14:paraId="5AE69CCA" w14:textId="4D89DB27" w:rsidR="00607CF3" w:rsidRPr="00871092" w:rsidRDefault="00607CF3" w:rsidP="00871092">
            <w:pPr>
              <w:spacing w:after="0" w:line="240" w:lineRule="auto"/>
              <w:jc w:val="right"/>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82.9</w:t>
            </w:r>
          </w:p>
        </w:tc>
        <w:tc>
          <w:tcPr>
            <w:tcW w:w="1392" w:type="pct"/>
            <w:tcBorders>
              <w:top w:val="nil"/>
              <w:left w:val="nil"/>
              <w:bottom w:val="nil"/>
              <w:right w:val="nil"/>
            </w:tcBorders>
            <w:noWrap/>
            <w:vAlign w:val="bottom"/>
            <w:hideMark/>
          </w:tcPr>
          <w:p w14:paraId="5C19E30C" w14:textId="3CA93EAF" w:rsidR="00607CF3" w:rsidRPr="00871092" w:rsidRDefault="00607CF3" w:rsidP="00871092">
            <w:pPr>
              <w:spacing w:after="0" w:line="240" w:lineRule="auto"/>
              <w:jc w:val="right"/>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17.</w:t>
            </w:r>
            <w:r w:rsidR="0082597D">
              <w:rPr>
                <w:rFonts w:asciiTheme="majorBidi" w:eastAsia="Times New Roman" w:hAnsiTheme="majorBidi" w:cstheme="majorBidi"/>
                <w:color w:val="000000"/>
                <w:lang w:val="en-US"/>
              </w:rPr>
              <w:t>1</w:t>
            </w:r>
          </w:p>
        </w:tc>
      </w:tr>
      <w:tr w:rsidR="00607CF3" w:rsidRPr="00871092" w14:paraId="1B401106" w14:textId="77777777" w:rsidTr="000E3F80">
        <w:trPr>
          <w:trHeight w:val="315"/>
        </w:trPr>
        <w:tc>
          <w:tcPr>
            <w:tcW w:w="2380" w:type="pct"/>
            <w:tcBorders>
              <w:top w:val="nil"/>
              <w:left w:val="nil"/>
              <w:bottom w:val="single" w:sz="8" w:space="0" w:color="auto"/>
              <w:right w:val="nil"/>
            </w:tcBorders>
            <w:noWrap/>
            <w:vAlign w:val="bottom"/>
            <w:hideMark/>
          </w:tcPr>
          <w:p w14:paraId="691CBADB" w14:textId="77777777" w:rsidR="00607CF3" w:rsidRPr="00871092" w:rsidRDefault="00607CF3" w:rsidP="00871092">
            <w:pPr>
              <w:spacing w:after="0" w:line="240" w:lineRule="auto"/>
              <w:rPr>
                <w:rFonts w:asciiTheme="majorBidi" w:eastAsia="Times New Roman" w:hAnsiTheme="majorBidi" w:cstheme="majorBidi"/>
                <w:b/>
                <w:bCs/>
                <w:color w:val="000000"/>
                <w:lang w:val="en-US"/>
              </w:rPr>
            </w:pPr>
            <w:r w:rsidRPr="00871092">
              <w:rPr>
                <w:rStyle w:val="lev"/>
                <w:rFonts w:asciiTheme="majorBidi" w:hAnsiTheme="majorBidi" w:cstheme="majorBidi"/>
                <w:b w:val="0"/>
                <w:bCs w:val="0"/>
                <w:color w:val="0F1115"/>
                <w:shd w:val="clear" w:color="auto" w:fill="FFFFFF"/>
              </w:rPr>
              <w:t>Cumulative %</w:t>
            </w:r>
          </w:p>
        </w:tc>
        <w:tc>
          <w:tcPr>
            <w:tcW w:w="1228" w:type="pct"/>
            <w:tcBorders>
              <w:top w:val="nil"/>
              <w:left w:val="nil"/>
              <w:bottom w:val="single" w:sz="8" w:space="0" w:color="auto"/>
              <w:right w:val="nil"/>
            </w:tcBorders>
            <w:noWrap/>
            <w:vAlign w:val="bottom"/>
            <w:hideMark/>
          </w:tcPr>
          <w:p w14:paraId="0E395C32" w14:textId="43D69F68" w:rsidR="00607CF3" w:rsidRPr="00871092" w:rsidRDefault="00607CF3" w:rsidP="00871092">
            <w:pPr>
              <w:spacing w:after="0" w:line="240" w:lineRule="auto"/>
              <w:jc w:val="right"/>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82.9</w:t>
            </w:r>
          </w:p>
        </w:tc>
        <w:tc>
          <w:tcPr>
            <w:tcW w:w="1392" w:type="pct"/>
            <w:tcBorders>
              <w:top w:val="nil"/>
              <w:left w:val="nil"/>
              <w:bottom w:val="single" w:sz="8" w:space="0" w:color="auto"/>
              <w:right w:val="nil"/>
            </w:tcBorders>
            <w:noWrap/>
            <w:vAlign w:val="bottom"/>
            <w:hideMark/>
          </w:tcPr>
          <w:p w14:paraId="4992AE93" w14:textId="1BAE3ED6" w:rsidR="00607CF3" w:rsidRPr="00871092" w:rsidRDefault="00607CF3" w:rsidP="00871092">
            <w:pPr>
              <w:spacing w:after="0" w:line="240" w:lineRule="auto"/>
              <w:jc w:val="right"/>
              <w:rPr>
                <w:rFonts w:asciiTheme="majorBidi" w:eastAsia="Times New Roman" w:hAnsiTheme="majorBidi" w:cstheme="majorBidi"/>
                <w:color w:val="000000"/>
                <w:lang w:val="en-US"/>
              </w:rPr>
            </w:pPr>
            <w:r w:rsidRPr="00871092">
              <w:rPr>
                <w:rFonts w:asciiTheme="majorBidi" w:eastAsia="Times New Roman" w:hAnsiTheme="majorBidi" w:cstheme="majorBidi"/>
                <w:color w:val="000000"/>
                <w:lang w:val="en-US"/>
              </w:rPr>
              <w:t>100</w:t>
            </w:r>
          </w:p>
        </w:tc>
      </w:tr>
    </w:tbl>
    <w:p w14:paraId="03D9E1EF" w14:textId="77777777" w:rsidR="00607CF3" w:rsidRPr="00871092" w:rsidRDefault="00607CF3" w:rsidP="00871092">
      <w:pPr>
        <w:spacing w:after="0" w:line="240" w:lineRule="auto"/>
        <w:rPr>
          <w:rFonts w:asciiTheme="majorBidi" w:hAnsiTheme="majorBidi" w:cstheme="majorBidi"/>
          <w:lang w:val="en-US"/>
        </w:rPr>
      </w:pPr>
    </w:p>
    <w:p w14:paraId="58BD3DA1" w14:textId="77777777" w:rsidR="00607CF3" w:rsidRPr="00871092" w:rsidRDefault="00607CF3" w:rsidP="00871092">
      <w:pPr>
        <w:spacing w:after="0" w:line="240" w:lineRule="auto"/>
        <w:rPr>
          <w:rFonts w:asciiTheme="majorBidi" w:eastAsia="Times New Roman" w:hAnsiTheme="majorBidi" w:cstheme="majorBidi"/>
          <w:lang w:val="en-US"/>
        </w:rPr>
      </w:pPr>
    </w:p>
    <w:p w14:paraId="39BF502B" w14:textId="275372DE" w:rsidR="00607CF3" w:rsidRPr="00871092" w:rsidRDefault="00607CF3" w:rsidP="00871092">
      <w:pPr>
        <w:spacing w:after="0" w:line="240" w:lineRule="auto"/>
        <w:rPr>
          <w:rFonts w:asciiTheme="majorBidi" w:hAnsiTheme="majorBidi" w:cstheme="majorBidi"/>
          <w:lang w:val="en-US"/>
        </w:rPr>
      </w:pPr>
    </w:p>
    <w:p w14:paraId="7B73607A" w14:textId="12F14C53" w:rsidR="00607CF3" w:rsidRPr="00871092" w:rsidRDefault="00556630" w:rsidP="00871092">
      <w:pPr>
        <w:spacing w:after="0" w:line="240" w:lineRule="auto"/>
        <w:rPr>
          <w:rFonts w:asciiTheme="majorBidi" w:eastAsia="Times New Roman" w:hAnsiTheme="majorBidi" w:cstheme="majorBidi"/>
          <w:lang w:val="en-US"/>
        </w:rPr>
      </w:pPr>
      <w:r w:rsidRPr="00556630">
        <w:rPr>
          <w:rFonts w:asciiTheme="majorBidi" w:eastAsia="Times New Roman" w:hAnsiTheme="majorBidi" w:cstheme="majorBidi"/>
          <w:lang w:val="en-US"/>
        </w:rPr>
        <w:drawing>
          <wp:inline distT="0" distB="0" distL="0" distR="0" wp14:anchorId="0BC7F1EF" wp14:editId="188EA79F">
            <wp:extent cx="5759450" cy="2707640"/>
            <wp:effectExtent l="0" t="0" r="0" b="0"/>
            <wp:docPr id="4667275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27531" name=""/>
                    <pic:cNvPicPr/>
                  </pic:nvPicPr>
                  <pic:blipFill>
                    <a:blip r:embed="rId14"/>
                    <a:stretch>
                      <a:fillRect/>
                    </a:stretch>
                  </pic:blipFill>
                  <pic:spPr>
                    <a:xfrm>
                      <a:off x="0" y="0"/>
                      <a:ext cx="5759450" cy="2707640"/>
                    </a:xfrm>
                    <a:prstGeom prst="rect">
                      <a:avLst/>
                    </a:prstGeom>
                  </pic:spPr>
                </pic:pic>
              </a:graphicData>
            </a:graphic>
          </wp:inline>
        </w:drawing>
      </w:r>
    </w:p>
    <w:p w14:paraId="7DF17CBD" w14:textId="4835ED7E" w:rsidR="00900658" w:rsidRPr="0082597D" w:rsidRDefault="00900658" w:rsidP="000E3D8F">
      <w:pPr>
        <w:spacing w:after="0" w:line="240" w:lineRule="auto"/>
        <w:rPr>
          <w:rFonts w:asciiTheme="majorBidi" w:eastAsia="Times New Roman" w:hAnsiTheme="majorBidi" w:cstheme="majorBidi"/>
          <w:lang w:val="en-US"/>
        </w:rPr>
      </w:pPr>
      <w:r w:rsidRPr="000E3D8F">
        <w:rPr>
          <w:rFonts w:asciiTheme="majorBidi" w:eastAsia="Times New Roman" w:hAnsiTheme="majorBidi" w:cstheme="majorBidi"/>
          <w:lang w:val="en-US"/>
        </w:rPr>
        <w:t>Fig</w:t>
      </w:r>
      <w:r w:rsidR="000B15E1" w:rsidRPr="000E3D8F">
        <w:rPr>
          <w:rFonts w:asciiTheme="majorBidi" w:eastAsia="Times New Roman" w:hAnsiTheme="majorBidi" w:cstheme="majorBidi"/>
          <w:lang w:val="en-US"/>
        </w:rPr>
        <w:t>.</w:t>
      </w:r>
      <w:r w:rsidRPr="000E3D8F">
        <w:rPr>
          <w:rFonts w:asciiTheme="majorBidi" w:eastAsia="Times New Roman" w:hAnsiTheme="majorBidi" w:cstheme="majorBidi"/>
          <w:lang w:val="en-US"/>
        </w:rPr>
        <w:t xml:space="preserve"> </w:t>
      </w:r>
      <w:r w:rsidR="000B15E1" w:rsidRPr="000E3D8F">
        <w:rPr>
          <w:rFonts w:asciiTheme="majorBidi" w:eastAsia="Times New Roman" w:hAnsiTheme="majorBidi" w:cstheme="majorBidi"/>
          <w:lang w:val="en-US"/>
        </w:rPr>
        <w:t>4</w:t>
      </w:r>
      <w:r w:rsidR="000B15E1" w:rsidRPr="0082597D">
        <w:rPr>
          <w:rFonts w:asciiTheme="majorBidi" w:eastAsia="Times New Roman" w:hAnsiTheme="majorBidi" w:cstheme="majorBidi"/>
          <w:lang w:val="en-US"/>
        </w:rPr>
        <w:t>.</w:t>
      </w:r>
      <w:r w:rsidRPr="0082597D">
        <w:rPr>
          <w:rFonts w:asciiTheme="majorBidi" w:eastAsia="Times New Roman" w:hAnsiTheme="majorBidi" w:cstheme="majorBidi"/>
          <w:lang w:val="en-US"/>
        </w:rPr>
        <w:t xml:space="preserve"> Principal Component Analysis (PCA) of (A) Scree plot showing the variance explained by each principal component, (B) Loading plot of variables on the principal component (F1-F2) plane.</w:t>
      </w:r>
    </w:p>
    <w:p w14:paraId="655FFF5D" w14:textId="77777777" w:rsidR="009F12C5" w:rsidRPr="00871092" w:rsidRDefault="009F12C5" w:rsidP="00871092">
      <w:pPr>
        <w:spacing w:after="0" w:line="240" w:lineRule="auto"/>
        <w:jc w:val="both"/>
        <w:rPr>
          <w:rFonts w:asciiTheme="majorBidi" w:eastAsia="Times New Roman" w:hAnsiTheme="majorBidi" w:cstheme="majorBidi"/>
          <w:color w:val="000000" w:themeColor="text1"/>
          <w:kern w:val="0"/>
        </w:rPr>
      </w:pPr>
    </w:p>
    <w:p w14:paraId="22209CEB" w14:textId="77777777" w:rsidR="00607CF3" w:rsidRPr="00871092" w:rsidRDefault="00607CF3" w:rsidP="000E3D8F">
      <w:pPr>
        <w:pStyle w:val="Titre2"/>
        <w:numPr>
          <w:ilvl w:val="1"/>
          <w:numId w:val="21"/>
        </w:numPr>
        <w:spacing w:before="0" w:after="0" w:line="240" w:lineRule="auto"/>
        <w:rPr>
          <w:rFonts w:cstheme="majorBidi"/>
          <w:color w:val="000000" w:themeColor="text1"/>
          <w:sz w:val="22"/>
          <w:szCs w:val="22"/>
        </w:rPr>
      </w:pPr>
      <w:r w:rsidRPr="00871092">
        <w:rPr>
          <w:rFonts w:cstheme="majorBidi"/>
          <w:color w:val="000000" w:themeColor="text1"/>
          <w:sz w:val="22"/>
          <w:szCs w:val="22"/>
        </w:rPr>
        <w:t>Leaching behavior</w:t>
      </w:r>
    </w:p>
    <w:p w14:paraId="5D96B57C" w14:textId="79DDEED7" w:rsidR="0082597D" w:rsidRDefault="00B37333" w:rsidP="000C6547">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To assess the effective mobility of contaminants, standardized leaching tests were conducted according to (</w:t>
      </w:r>
      <w:r w:rsidRPr="00871092">
        <w:rPr>
          <w:rFonts w:asciiTheme="majorBidi" w:eastAsia="Times New Roman" w:hAnsiTheme="majorBidi" w:cstheme="majorBidi"/>
          <w:color w:val="5B9BD5" w:themeColor="accent1"/>
        </w:rPr>
        <w:t>EN 12457-4</w:t>
      </w:r>
      <w:r w:rsidRPr="00871092">
        <w:rPr>
          <w:rFonts w:asciiTheme="majorBidi" w:eastAsia="Times New Roman" w:hAnsiTheme="majorBidi" w:cstheme="majorBidi"/>
        </w:rPr>
        <w:t xml:space="preserve">). </w:t>
      </w:r>
      <w:r w:rsidRPr="00871092">
        <w:rPr>
          <w:rFonts w:asciiTheme="majorBidi" w:eastAsia="Times New Roman" w:hAnsiTheme="majorBidi" w:cstheme="majorBidi"/>
          <w:color w:val="5B9BD5" w:themeColor="accent1"/>
        </w:rPr>
        <w:t xml:space="preserve">Table 6 </w:t>
      </w:r>
      <w:r w:rsidRPr="00871092">
        <w:rPr>
          <w:rFonts w:asciiTheme="majorBidi" w:eastAsia="Times New Roman" w:hAnsiTheme="majorBidi" w:cstheme="majorBidi"/>
        </w:rPr>
        <w:t xml:space="preserve">presents the leached concentrations from the test (L/S=10) for bentonite and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At the measured pH values (8.2 for bentonite; 8.</w:t>
      </w:r>
      <w:r w:rsidR="0082597D">
        <w:rPr>
          <w:rFonts w:asciiTheme="majorBidi" w:eastAsia="Times New Roman" w:hAnsiTheme="majorBidi" w:cstheme="majorBidi"/>
        </w:rPr>
        <w:t>7</w:t>
      </w:r>
      <w:r w:rsidRPr="00871092">
        <w:rPr>
          <w:rFonts w:asciiTheme="majorBidi" w:eastAsia="Times New Roman" w:hAnsiTheme="majorBidi" w:cstheme="majorBidi"/>
        </w:rPr>
        <w:t xml:space="preserve"> for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and with contrasting </w:t>
      </w:r>
      <w:r w:rsidR="0082597D">
        <w:rPr>
          <w:rFonts w:asciiTheme="majorBidi" w:eastAsia="Times New Roman" w:hAnsiTheme="majorBidi" w:cstheme="majorBidi"/>
        </w:rPr>
        <w:t>i</w:t>
      </w:r>
      <w:r w:rsidR="0082597D" w:rsidRPr="00871092">
        <w:rPr>
          <w:rFonts w:asciiTheme="majorBidi" w:eastAsia="Times New Roman" w:hAnsiTheme="majorBidi" w:cstheme="majorBidi"/>
        </w:rPr>
        <w:t xml:space="preserve">onic </w:t>
      </w:r>
      <w:r w:rsidR="0082597D">
        <w:rPr>
          <w:rFonts w:asciiTheme="majorBidi" w:eastAsia="Times New Roman" w:hAnsiTheme="majorBidi" w:cstheme="majorBidi"/>
        </w:rPr>
        <w:t>c</w:t>
      </w:r>
      <w:r w:rsidR="0082597D" w:rsidRPr="00871092">
        <w:rPr>
          <w:rFonts w:asciiTheme="majorBidi" w:eastAsia="Times New Roman" w:hAnsiTheme="majorBidi" w:cstheme="majorBidi"/>
        </w:rPr>
        <w:t xml:space="preserve">onductivities </w:t>
      </w:r>
      <w:r w:rsidRPr="00871092">
        <w:rPr>
          <w:rFonts w:asciiTheme="majorBidi" w:eastAsia="Times New Roman" w:hAnsiTheme="majorBidi" w:cstheme="majorBidi"/>
        </w:rPr>
        <w:t xml:space="preserve">(2005 </w:t>
      </w:r>
      <w:r w:rsidRPr="00871092">
        <w:rPr>
          <w:rFonts w:asciiTheme="majorBidi" w:hAnsiTheme="majorBidi" w:cstheme="majorBidi"/>
          <w:color w:val="000000" w:themeColor="text1"/>
        </w:rPr>
        <w:t>µS cm</w:t>
      </w:r>
      <w:r w:rsidRPr="00871092">
        <w:rPr>
          <w:rFonts w:asciiTheme="majorBidi" w:hAnsiTheme="majorBidi" w:cstheme="majorBidi"/>
          <w:color w:val="000000" w:themeColor="text1"/>
          <w:vertAlign w:val="superscript"/>
        </w:rPr>
        <w:t>-1</w:t>
      </w:r>
      <w:r w:rsidRPr="00871092">
        <w:rPr>
          <w:rFonts w:asciiTheme="majorBidi" w:hAnsiTheme="majorBidi" w:cstheme="majorBidi"/>
          <w:b/>
          <w:bCs/>
          <w:color w:val="000000" w:themeColor="text1"/>
        </w:rPr>
        <w:t xml:space="preserve"> </w:t>
      </w:r>
      <w:r w:rsidRPr="00871092">
        <w:rPr>
          <w:rFonts w:asciiTheme="majorBidi" w:eastAsia="Times New Roman" w:hAnsiTheme="majorBidi" w:cstheme="majorBidi"/>
        </w:rPr>
        <w:t xml:space="preserve">and 365 </w:t>
      </w:r>
      <w:r w:rsidRPr="00871092">
        <w:rPr>
          <w:rFonts w:asciiTheme="majorBidi" w:hAnsiTheme="majorBidi" w:cstheme="majorBidi"/>
          <w:color w:val="000000" w:themeColor="text1"/>
        </w:rPr>
        <w:t>µS cm</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respectively), bentonite exhibits significantly higher releases of several cations, notably Zn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5.4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 xml:space="preserve">-1 </w:t>
      </w:r>
      <w:r w:rsidRPr="00871092">
        <w:rPr>
          <w:rFonts w:asciiTheme="majorBidi" w:eastAsia="Times New Roman" w:hAnsiTheme="majorBidi" w:cstheme="majorBidi"/>
        </w:rPr>
        <w:t xml:space="preserve">and Mn </w:t>
      </w:r>
      <w:r w:rsidR="00532044" w:rsidRPr="00871092">
        <w:rPr>
          <w:rFonts w:asciiTheme="majorBidi" w:eastAsia="Times New Roman" w:hAnsiTheme="majorBidi" w:cstheme="majorBidi"/>
        </w:rPr>
        <w:t>=</w:t>
      </w:r>
      <w:r w:rsidRPr="00871092">
        <w:rPr>
          <w:rFonts w:asciiTheme="majorBidi" w:hAnsiTheme="majorBidi" w:cstheme="majorBidi"/>
          <w:color w:val="000000" w:themeColor="text1"/>
        </w:rPr>
        <w:t xml:space="preserve"> mg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w:t>
      </w:r>
    </w:p>
    <w:p w14:paraId="69227199" w14:textId="7310B0CA" w:rsidR="00B37333" w:rsidRPr="00871092" w:rsidRDefault="00B37333" w:rsidP="000C6547">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In contrast,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shows low or below detection levels for Co, Cr, Ni, Pb, and Sn (&lt;0.005 mg kg⁻¹), but relatively higher values for oxyanions, such as V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0.53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and Mo </w:t>
      </w:r>
      <w:r w:rsidR="00532044" w:rsidRPr="00871092">
        <w:rPr>
          <w:rFonts w:asciiTheme="majorBidi" w:eastAsia="Times New Roman" w:hAnsiTheme="majorBidi" w:cstheme="majorBidi"/>
        </w:rPr>
        <w:t>=</w:t>
      </w:r>
      <w:r w:rsidRPr="00871092">
        <w:rPr>
          <w:rFonts w:asciiTheme="majorBidi" w:eastAsia="Times New Roman" w:hAnsiTheme="majorBidi" w:cstheme="majorBidi"/>
        </w:rPr>
        <w:t>0.02</w:t>
      </w:r>
      <w:r w:rsidR="0082597D">
        <w:rPr>
          <w:rFonts w:asciiTheme="majorBidi" w:eastAsia="Times New Roman" w:hAnsiTheme="majorBidi" w:cstheme="majorBidi"/>
        </w:rPr>
        <w:t xml:space="preserve">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This asymmetry reflects the high CECs of both smectites, which favor cation retention, and the decrease in oxyanion adsorption (molybdate, vanadate, arsenate) under neutral-to-alkaline conditions, especially where Fe/Al-oxide surface sites are scarce (</w:t>
      </w:r>
      <w:proofErr w:type="spellStart"/>
      <w:r w:rsidRPr="00871092">
        <w:rPr>
          <w:rFonts w:asciiTheme="majorBidi" w:eastAsia="Times New Roman" w:hAnsiTheme="majorBidi" w:cstheme="majorBidi"/>
          <w:color w:val="5B9BD5" w:themeColor="accent1"/>
        </w:rPr>
        <w:t>Dzombak</w:t>
      </w:r>
      <w:proofErr w:type="spellEnd"/>
      <w:r w:rsidRPr="00871092">
        <w:rPr>
          <w:rFonts w:asciiTheme="majorBidi" w:eastAsia="Times New Roman" w:hAnsiTheme="majorBidi" w:cstheme="majorBidi"/>
          <w:color w:val="5B9BD5" w:themeColor="accent1"/>
        </w:rPr>
        <w:t xml:space="preserve"> et al., 1991; Goldberg et al., 1996; Stumm, 1996</w:t>
      </w:r>
      <w:r w:rsidRPr="00871092">
        <w:rPr>
          <w:rFonts w:asciiTheme="majorBidi" w:eastAsia="Times New Roman" w:hAnsiTheme="majorBidi" w:cstheme="majorBidi"/>
        </w:rPr>
        <w:t xml:space="preserve">). The mineralogy of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dominated by Mg-rich </w:t>
      </w:r>
      <w:proofErr w:type="spellStart"/>
      <w:r w:rsidRPr="00871092">
        <w:rPr>
          <w:rFonts w:asciiTheme="majorBidi" w:eastAsia="Times New Roman" w:hAnsiTheme="majorBidi" w:cstheme="majorBidi"/>
        </w:rPr>
        <w:t>stevensite</w:t>
      </w:r>
      <w:proofErr w:type="spellEnd"/>
      <w:r w:rsidRPr="00871092">
        <w:rPr>
          <w:rFonts w:asciiTheme="majorBidi" w:eastAsia="Times New Roman" w:hAnsiTheme="majorBidi" w:cstheme="majorBidi"/>
        </w:rPr>
        <w:t xml:space="preserve"> often associated with dolomite, contributes to its slightly higher eluate pH and the reduced density of Fe/Al-oxide sorbents. The much </w:t>
      </w:r>
      <w:r w:rsidRPr="00871092">
        <w:rPr>
          <w:rFonts w:asciiTheme="majorBidi" w:eastAsia="Times New Roman" w:hAnsiTheme="majorBidi" w:cstheme="majorBidi"/>
        </w:rPr>
        <w:lastRenderedPageBreak/>
        <w:t>higher IC of the bentonite eluate further indicates greater ionic release, consistent with the desorption of exchangeable cations (</w:t>
      </w:r>
      <w:r w:rsidRPr="00871092">
        <w:rPr>
          <w:rFonts w:asciiTheme="majorBidi" w:hAnsiTheme="majorBidi" w:cstheme="majorBidi"/>
          <w:color w:val="000000" w:themeColor="text1"/>
        </w:rPr>
        <w:t>Na⁺, Ca²⁺, Mg²⁺</w:t>
      </w:r>
      <w:r w:rsidRPr="00871092">
        <w:rPr>
          <w:rFonts w:asciiTheme="majorBidi" w:eastAsia="Times New Roman" w:hAnsiTheme="majorBidi" w:cstheme="majorBidi"/>
        </w:rPr>
        <w:t xml:space="preserve">). When converted to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at L/S = 10 for direct comparability with the Waste Acceptance Criteria (WAC) set by the (</w:t>
      </w:r>
      <w:r w:rsidRPr="00871092">
        <w:rPr>
          <w:rFonts w:asciiTheme="majorBidi" w:eastAsia="Times New Roman" w:hAnsiTheme="majorBidi" w:cstheme="majorBidi"/>
          <w:color w:val="5B9BD5" w:themeColor="accent1"/>
        </w:rPr>
        <w:t>European Council, 2003</w:t>
      </w:r>
      <w:r w:rsidRPr="00871092">
        <w:rPr>
          <w:rFonts w:asciiTheme="majorBidi" w:eastAsia="Times New Roman" w:hAnsiTheme="majorBidi" w:cstheme="majorBidi"/>
        </w:rPr>
        <w:t xml:space="preserve">), the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sample meets all thresholds for inert waste for As, Cr, Cu, Ni, Pb, Zn, and Mo. The bentonite sample exceeds the inert waste limit only for zinc (5.40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vs a limit of 4 </w:t>
      </w:r>
      <w:r w:rsidRPr="00871092">
        <w:rPr>
          <w:rFonts w:asciiTheme="majorBidi" w:hAnsiTheme="majorBidi" w:cstheme="majorBidi"/>
          <w:color w:val="000000" w:themeColor="text1"/>
        </w:rPr>
        <w:t>mg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but remains far below the established limit for non-hazardous waste (50 mg kg⁻¹).</w:t>
      </w:r>
    </w:p>
    <w:p w14:paraId="558E7355" w14:textId="77777777" w:rsidR="00B37333" w:rsidRPr="00871092" w:rsidRDefault="00B37333" w:rsidP="00871092">
      <w:pPr>
        <w:spacing w:after="0" w:line="240" w:lineRule="auto"/>
        <w:jc w:val="both"/>
        <w:rPr>
          <w:rFonts w:asciiTheme="majorBidi" w:hAnsiTheme="majorBidi" w:cstheme="majorBidi"/>
          <w:color w:val="000000" w:themeColor="text1"/>
        </w:rPr>
      </w:pPr>
    </w:p>
    <w:p w14:paraId="4F425FA6" w14:textId="45E13C1D" w:rsidR="00607CF3" w:rsidRPr="000E3D8F" w:rsidRDefault="00607CF3" w:rsidP="00871092">
      <w:pPr>
        <w:pStyle w:val="Lgende"/>
        <w:keepNext/>
        <w:spacing w:after="0" w:line="240" w:lineRule="auto"/>
        <w:jc w:val="both"/>
        <w:rPr>
          <w:rFonts w:asciiTheme="majorBidi" w:hAnsiTheme="majorBidi" w:cstheme="majorBidi"/>
          <w:b w:val="0"/>
          <w:bCs w:val="0"/>
          <w:color w:val="000000" w:themeColor="text1"/>
          <w:sz w:val="22"/>
          <w:szCs w:val="22"/>
          <w:lang w:val="en-US"/>
        </w:rPr>
      </w:pPr>
      <w:r w:rsidRPr="000E3D8F">
        <w:rPr>
          <w:rFonts w:asciiTheme="majorBidi" w:hAnsiTheme="majorBidi" w:cstheme="majorBidi"/>
          <w:color w:val="000000" w:themeColor="text1"/>
          <w:sz w:val="22"/>
          <w:szCs w:val="22"/>
          <w:lang w:val="en-US"/>
        </w:rPr>
        <w:t xml:space="preserve">Table </w:t>
      </w:r>
      <w:r w:rsidR="004B6B60" w:rsidRPr="000E3D8F">
        <w:rPr>
          <w:rFonts w:asciiTheme="majorBidi" w:hAnsiTheme="majorBidi" w:cstheme="majorBidi"/>
          <w:color w:val="000000" w:themeColor="text1"/>
          <w:sz w:val="22"/>
          <w:szCs w:val="22"/>
          <w:lang w:val="en-US"/>
        </w:rPr>
        <w:t>6</w:t>
      </w:r>
      <w:r w:rsidR="0082597D" w:rsidRPr="000E3D8F">
        <w:rPr>
          <w:rFonts w:asciiTheme="majorBidi" w:hAnsiTheme="majorBidi" w:cstheme="majorBidi"/>
          <w:b w:val="0"/>
          <w:bCs w:val="0"/>
          <w:color w:val="000000" w:themeColor="text1"/>
          <w:sz w:val="22"/>
          <w:szCs w:val="22"/>
          <w:lang w:val="en-US"/>
        </w:rPr>
        <w:t xml:space="preserve">. </w:t>
      </w:r>
      <w:r w:rsidR="00474689" w:rsidRPr="000E3D8F">
        <w:rPr>
          <w:rFonts w:asciiTheme="majorBidi" w:hAnsiTheme="majorBidi" w:cstheme="majorBidi"/>
          <w:b w:val="0"/>
          <w:bCs w:val="0"/>
          <w:color w:val="000000" w:themeColor="text1"/>
          <w:sz w:val="22"/>
          <w:szCs w:val="22"/>
          <w:lang w:val="en-US"/>
        </w:rPr>
        <w:t>Comparison of leached concentrations (mg kg</w:t>
      </w:r>
      <w:r w:rsidR="00474689" w:rsidRPr="000E3D8F">
        <w:rPr>
          <w:rFonts w:asciiTheme="majorBidi" w:hAnsiTheme="majorBidi" w:cstheme="majorBidi"/>
          <w:b w:val="0"/>
          <w:bCs w:val="0"/>
          <w:color w:val="000000" w:themeColor="text1"/>
          <w:sz w:val="22"/>
          <w:szCs w:val="22"/>
          <w:vertAlign w:val="superscript"/>
          <w:lang w:val="en-US"/>
        </w:rPr>
        <w:t>-1</w:t>
      </w:r>
      <w:r w:rsidR="00474689" w:rsidRPr="000E3D8F">
        <w:rPr>
          <w:rFonts w:asciiTheme="majorBidi" w:hAnsiTheme="majorBidi" w:cstheme="majorBidi"/>
          <w:b w:val="0"/>
          <w:bCs w:val="0"/>
          <w:color w:val="000000" w:themeColor="text1"/>
          <w:sz w:val="22"/>
          <w:szCs w:val="22"/>
          <w:lang w:val="en-US"/>
        </w:rPr>
        <w:t>) with WAC criteria (L/S = 10).</w:t>
      </w: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6"/>
        <w:gridCol w:w="2266"/>
        <w:gridCol w:w="2264"/>
        <w:gridCol w:w="2264"/>
      </w:tblGrid>
      <w:tr w:rsidR="00607CF3" w:rsidRPr="00871092" w14:paraId="1CC44EC0" w14:textId="77777777" w:rsidTr="00900658">
        <w:trPr>
          <w:trHeight w:val="269"/>
        </w:trPr>
        <w:tc>
          <w:tcPr>
            <w:tcW w:w="1255" w:type="pct"/>
            <w:tcBorders>
              <w:top w:val="single" w:sz="4" w:space="0" w:color="auto"/>
              <w:bottom w:val="single" w:sz="4" w:space="0" w:color="auto"/>
            </w:tcBorders>
            <w:noWrap/>
          </w:tcPr>
          <w:p w14:paraId="405C51D3"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 xml:space="preserve">Element </w:t>
            </w:r>
          </w:p>
        </w:tc>
        <w:tc>
          <w:tcPr>
            <w:tcW w:w="1249" w:type="pct"/>
            <w:tcBorders>
              <w:top w:val="single" w:sz="4" w:space="0" w:color="auto"/>
              <w:bottom w:val="single" w:sz="4" w:space="0" w:color="auto"/>
            </w:tcBorders>
            <w:noWrap/>
          </w:tcPr>
          <w:p w14:paraId="30BBE26C"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eastAsia="Times New Roman" w:hAnsiTheme="majorBidi" w:cstheme="majorBidi"/>
                <w:color w:val="000000" w:themeColor="text1"/>
                <w:kern w:val="0"/>
                <w:lang w:eastAsia="en-US"/>
              </w:rPr>
              <w:t>Bentonite (mg kg</w:t>
            </w:r>
            <w:r w:rsidRPr="00871092">
              <w:rPr>
                <w:rFonts w:asciiTheme="majorBidi" w:eastAsia="Times New Roman" w:hAnsiTheme="majorBidi" w:cstheme="majorBidi"/>
                <w:color w:val="000000" w:themeColor="text1"/>
                <w:kern w:val="0"/>
                <w:vertAlign w:val="superscript"/>
                <w:lang w:eastAsia="en-US"/>
              </w:rPr>
              <w:t>-1</w:t>
            </w:r>
            <w:r w:rsidRPr="00871092">
              <w:rPr>
                <w:rFonts w:asciiTheme="majorBidi" w:eastAsia="Times New Roman" w:hAnsiTheme="majorBidi" w:cstheme="majorBidi"/>
                <w:color w:val="000000" w:themeColor="text1"/>
                <w:kern w:val="0"/>
                <w:lang w:eastAsia="en-US"/>
              </w:rPr>
              <w:t>)</w:t>
            </w:r>
          </w:p>
        </w:tc>
        <w:tc>
          <w:tcPr>
            <w:tcW w:w="1248" w:type="pct"/>
            <w:tcBorders>
              <w:top w:val="single" w:sz="4" w:space="0" w:color="auto"/>
              <w:bottom w:val="single" w:sz="4" w:space="0" w:color="auto"/>
            </w:tcBorders>
            <w:noWrap/>
          </w:tcPr>
          <w:p w14:paraId="32EA09C0"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proofErr w:type="spellStart"/>
            <w:r w:rsidRPr="00871092">
              <w:rPr>
                <w:rFonts w:asciiTheme="majorBidi" w:eastAsia="Times New Roman" w:hAnsiTheme="majorBidi" w:cstheme="majorBidi"/>
                <w:color w:val="000000" w:themeColor="text1"/>
                <w:kern w:val="0"/>
                <w:lang w:eastAsia="en-US"/>
              </w:rPr>
              <w:t>Ghassoul</w:t>
            </w:r>
            <w:proofErr w:type="spellEnd"/>
            <w:r w:rsidRPr="00871092">
              <w:rPr>
                <w:rFonts w:asciiTheme="majorBidi" w:eastAsia="Times New Roman" w:hAnsiTheme="majorBidi" w:cstheme="majorBidi"/>
                <w:color w:val="000000" w:themeColor="text1"/>
                <w:kern w:val="0"/>
                <w:lang w:eastAsia="en-US"/>
              </w:rPr>
              <w:t xml:space="preserve"> (mg kg</w:t>
            </w:r>
            <w:r w:rsidRPr="00871092">
              <w:rPr>
                <w:rFonts w:asciiTheme="majorBidi" w:eastAsia="Times New Roman" w:hAnsiTheme="majorBidi" w:cstheme="majorBidi"/>
                <w:color w:val="000000" w:themeColor="text1"/>
                <w:kern w:val="0"/>
                <w:vertAlign w:val="superscript"/>
                <w:lang w:eastAsia="en-US"/>
              </w:rPr>
              <w:t>-1</w:t>
            </w:r>
            <w:r w:rsidRPr="00871092">
              <w:rPr>
                <w:rFonts w:asciiTheme="majorBidi" w:eastAsia="Times New Roman" w:hAnsiTheme="majorBidi" w:cstheme="majorBidi"/>
                <w:color w:val="000000" w:themeColor="text1"/>
                <w:kern w:val="0"/>
                <w:lang w:eastAsia="en-US"/>
              </w:rPr>
              <w:t>)</w:t>
            </w:r>
          </w:p>
        </w:tc>
        <w:tc>
          <w:tcPr>
            <w:tcW w:w="1248" w:type="pct"/>
            <w:tcBorders>
              <w:top w:val="single" w:sz="4" w:space="0" w:color="auto"/>
              <w:bottom w:val="single" w:sz="4" w:space="0" w:color="auto"/>
            </w:tcBorders>
          </w:tcPr>
          <w:p w14:paraId="5784CD49" w14:textId="77777777" w:rsidR="00607CF3" w:rsidRPr="00871092" w:rsidRDefault="00607CF3" w:rsidP="00871092">
            <w:pPr>
              <w:jc w:val="center"/>
              <w:rPr>
                <w:rFonts w:asciiTheme="majorBidi" w:eastAsia="Times New Roman" w:hAnsiTheme="majorBidi" w:cstheme="majorBidi"/>
                <w:color w:val="000000" w:themeColor="text1"/>
                <w:kern w:val="0"/>
                <w:lang w:val="de-DE" w:eastAsia="en-US"/>
              </w:rPr>
            </w:pPr>
            <w:r w:rsidRPr="00871092">
              <w:rPr>
                <w:rFonts w:asciiTheme="majorBidi" w:eastAsia="Times New Roman" w:hAnsiTheme="majorBidi" w:cstheme="majorBidi"/>
                <w:color w:val="000000" w:themeColor="text1"/>
                <w:kern w:val="0"/>
                <w:lang w:val="de-DE" w:eastAsia="en-US"/>
              </w:rPr>
              <w:t>WAC inert</w:t>
            </w:r>
            <w:r w:rsidRPr="00871092">
              <w:rPr>
                <w:rFonts w:asciiTheme="majorBidi" w:eastAsia="Times New Roman" w:hAnsiTheme="majorBidi" w:cstheme="majorBidi"/>
                <w:color w:val="000000" w:themeColor="text1"/>
                <w:kern w:val="0"/>
                <w:vertAlign w:val="superscript"/>
                <w:lang w:val="de-DE" w:eastAsia="en-US"/>
              </w:rPr>
              <w:t xml:space="preserve">1 </w:t>
            </w:r>
            <w:r w:rsidRPr="00871092">
              <w:rPr>
                <w:rFonts w:asciiTheme="majorBidi" w:eastAsia="Times New Roman" w:hAnsiTheme="majorBidi" w:cstheme="majorBidi"/>
                <w:color w:val="000000" w:themeColor="text1"/>
                <w:kern w:val="0"/>
                <w:lang w:eastAsia="en-US"/>
              </w:rPr>
              <w:t>(mg kg</w:t>
            </w:r>
            <w:r w:rsidRPr="00871092">
              <w:rPr>
                <w:rFonts w:asciiTheme="majorBidi" w:eastAsia="Times New Roman" w:hAnsiTheme="majorBidi" w:cstheme="majorBidi"/>
                <w:color w:val="000000" w:themeColor="text1"/>
                <w:kern w:val="0"/>
                <w:vertAlign w:val="superscript"/>
                <w:lang w:eastAsia="en-US"/>
              </w:rPr>
              <w:t>-1</w:t>
            </w:r>
            <w:r w:rsidRPr="00871092">
              <w:rPr>
                <w:rFonts w:asciiTheme="majorBidi" w:eastAsia="Times New Roman" w:hAnsiTheme="majorBidi" w:cstheme="majorBidi"/>
                <w:color w:val="000000" w:themeColor="text1"/>
                <w:kern w:val="0"/>
                <w:lang w:eastAsia="en-US"/>
              </w:rPr>
              <w:t>)</w:t>
            </w:r>
          </w:p>
        </w:tc>
      </w:tr>
      <w:tr w:rsidR="00607CF3" w:rsidRPr="00871092" w14:paraId="41C59AF5" w14:textId="77777777" w:rsidTr="00900658">
        <w:trPr>
          <w:trHeight w:val="269"/>
        </w:trPr>
        <w:tc>
          <w:tcPr>
            <w:tcW w:w="1255" w:type="pct"/>
            <w:tcBorders>
              <w:top w:val="single" w:sz="4" w:space="0" w:color="auto"/>
            </w:tcBorders>
            <w:noWrap/>
            <w:hideMark/>
          </w:tcPr>
          <w:p w14:paraId="320DDE70"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As</w:t>
            </w:r>
          </w:p>
        </w:tc>
        <w:tc>
          <w:tcPr>
            <w:tcW w:w="1249" w:type="pct"/>
            <w:tcBorders>
              <w:top w:val="single" w:sz="4" w:space="0" w:color="auto"/>
            </w:tcBorders>
            <w:noWrap/>
            <w:hideMark/>
          </w:tcPr>
          <w:p w14:paraId="591B3B7D" w14:textId="64D8A7D0"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0,428 ± 0,032</w:t>
            </w:r>
          </w:p>
        </w:tc>
        <w:tc>
          <w:tcPr>
            <w:tcW w:w="1248" w:type="pct"/>
            <w:tcBorders>
              <w:top w:val="single" w:sz="4" w:space="0" w:color="auto"/>
            </w:tcBorders>
            <w:noWrap/>
          </w:tcPr>
          <w:p w14:paraId="04C60B39" w14:textId="49255F6B"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0,049 ± 0,006</w:t>
            </w:r>
          </w:p>
        </w:tc>
        <w:tc>
          <w:tcPr>
            <w:tcW w:w="1248" w:type="pct"/>
            <w:tcBorders>
              <w:top w:val="single" w:sz="4" w:space="0" w:color="auto"/>
            </w:tcBorders>
          </w:tcPr>
          <w:p w14:paraId="3CA930E5"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0.500</w:t>
            </w:r>
          </w:p>
        </w:tc>
      </w:tr>
      <w:tr w:rsidR="00607CF3" w:rsidRPr="00871092" w14:paraId="7E301880" w14:textId="77777777" w:rsidTr="00900658">
        <w:trPr>
          <w:trHeight w:val="269"/>
        </w:trPr>
        <w:tc>
          <w:tcPr>
            <w:tcW w:w="1255" w:type="pct"/>
            <w:noWrap/>
            <w:hideMark/>
          </w:tcPr>
          <w:p w14:paraId="54D673B5"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Co</w:t>
            </w:r>
          </w:p>
        </w:tc>
        <w:tc>
          <w:tcPr>
            <w:tcW w:w="1249" w:type="pct"/>
            <w:noWrap/>
            <w:hideMark/>
          </w:tcPr>
          <w:p w14:paraId="4221C444" w14:textId="7BB53C2D"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0,02</w:t>
            </w:r>
            <w:r w:rsidR="00B37333" w:rsidRPr="00871092">
              <w:rPr>
                <w:rFonts w:asciiTheme="majorBidi" w:hAnsiTheme="majorBidi" w:cstheme="majorBidi"/>
                <w:color w:val="000000" w:themeColor="text1"/>
              </w:rPr>
              <w:t>4</w:t>
            </w:r>
            <w:r w:rsidRPr="00871092">
              <w:rPr>
                <w:rFonts w:asciiTheme="majorBidi" w:hAnsiTheme="majorBidi" w:cstheme="majorBidi"/>
                <w:color w:val="000000" w:themeColor="text1"/>
              </w:rPr>
              <w:t xml:space="preserve"> ± 0,00</w:t>
            </w:r>
            <w:r w:rsidR="00B37333" w:rsidRPr="00871092">
              <w:rPr>
                <w:rFonts w:asciiTheme="majorBidi" w:hAnsiTheme="majorBidi" w:cstheme="majorBidi"/>
                <w:color w:val="000000" w:themeColor="text1"/>
              </w:rPr>
              <w:t>4</w:t>
            </w:r>
          </w:p>
        </w:tc>
        <w:tc>
          <w:tcPr>
            <w:tcW w:w="1248" w:type="pct"/>
            <w:noWrap/>
          </w:tcPr>
          <w:p w14:paraId="2473328E"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&lt;0,005</w:t>
            </w:r>
          </w:p>
        </w:tc>
        <w:tc>
          <w:tcPr>
            <w:tcW w:w="1248" w:type="pct"/>
          </w:tcPr>
          <w:p w14:paraId="726740DB"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w:t>
            </w:r>
          </w:p>
        </w:tc>
      </w:tr>
      <w:tr w:rsidR="00607CF3" w:rsidRPr="00871092" w14:paraId="105247B0" w14:textId="77777777" w:rsidTr="00900658">
        <w:trPr>
          <w:trHeight w:val="269"/>
        </w:trPr>
        <w:tc>
          <w:tcPr>
            <w:tcW w:w="1255" w:type="pct"/>
            <w:noWrap/>
            <w:hideMark/>
          </w:tcPr>
          <w:p w14:paraId="1628EBF3"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Cr</w:t>
            </w:r>
          </w:p>
        </w:tc>
        <w:tc>
          <w:tcPr>
            <w:tcW w:w="1249" w:type="pct"/>
            <w:noWrap/>
            <w:hideMark/>
          </w:tcPr>
          <w:p w14:paraId="3AF09016" w14:textId="68AD81F5"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0,138 ± 0,006</w:t>
            </w:r>
          </w:p>
        </w:tc>
        <w:tc>
          <w:tcPr>
            <w:tcW w:w="1248" w:type="pct"/>
            <w:noWrap/>
          </w:tcPr>
          <w:p w14:paraId="39D4686B"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&lt;0,005</w:t>
            </w:r>
          </w:p>
        </w:tc>
        <w:tc>
          <w:tcPr>
            <w:tcW w:w="1248" w:type="pct"/>
          </w:tcPr>
          <w:p w14:paraId="24B6B534"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0.500</w:t>
            </w:r>
          </w:p>
        </w:tc>
      </w:tr>
      <w:tr w:rsidR="00607CF3" w:rsidRPr="00871092" w14:paraId="3444A9CB" w14:textId="77777777" w:rsidTr="00900658">
        <w:trPr>
          <w:trHeight w:val="269"/>
        </w:trPr>
        <w:tc>
          <w:tcPr>
            <w:tcW w:w="1255" w:type="pct"/>
            <w:noWrap/>
            <w:hideMark/>
          </w:tcPr>
          <w:p w14:paraId="3F94DC77"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Cu</w:t>
            </w:r>
          </w:p>
        </w:tc>
        <w:tc>
          <w:tcPr>
            <w:tcW w:w="1249" w:type="pct"/>
            <w:noWrap/>
            <w:hideMark/>
          </w:tcPr>
          <w:p w14:paraId="4CDA9D8B" w14:textId="28B3085F"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0,19</w:t>
            </w:r>
            <w:r w:rsidR="00B37333" w:rsidRPr="00871092">
              <w:rPr>
                <w:rFonts w:asciiTheme="majorBidi" w:hAnsiTheme="majorBidi" w:cstheme="majorBidi"/>
                <w:color w:val="000000" w:themeColor="text1"/>
              </w:rPr>
              <w:t>4</w:t>
            </w:r>
            <w:r w:rsidRPr="00871092">
              <w:rPr>
                <w:rFonts w:asciiTheme="majorBidi" w:hAnsiTheme="majorBidi" w:cstheme="majorBidi"/>
                <w:color w:val="000000" w:themeColor="text1"/>
              </w:rPr>
              <w:t xml:space="preserve"> ± 0,013</w:t>
            </w:r>
          </w:p>
        </w:tc>
        <w:tc>
          <w:tcPr>
            <w:tcW w:w="1248" w:type="pct"/>
            <w:noWrap/>
          </w:tcPr>
          <w:p w14:paraId="79DAAEF1" w14:textId="34401E2E"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0,02</w:t>
            </w:r>
            <w:r w:rsidR="00B37333" w:rsidRPr="00871092">
              <w:rPr>
                <w:rFonts w:asciiTheme="majorBidi" w:eastAsia="Times New Roman" w:hAnsiTheme="majorBidi" w:cstheme="majorBidi"/>
                <w:color w:val="000000" w:themeColor="text1"/>
                <w:kern w:val="0"/>
                <w:lang w:eastAsia="en-US"/>
              </w:rPr>
              <w:t>5 ± 0,002</w:t>
            </w:r>
          </w:p>
        </w:tc>
        <w:tc>
          <w:tcPr>
            <w:tcW w:w="1248" w:type="pct"/>
          </w:tcPr>
          <w:p w14:paraId="55763E66"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2.000</w:t>
            </w:r>
          </w:p>
        </w:tc>
      </w:tr>
      <w:tr w:rsidR="00607CF3" w:rsidRPr="00871092" w14:paraId="02659FE4" w14:textId="77777777" w:rsidTr="00900658">
        <w:trPr>
          <w:trHeight w:val="269"/>
        </w:trPr>
        <w:tc>
          <w:tcPr>
            <w:tcW w:w="1255" w:type="pct"/>
            <w:noWrap/>
            <w:hideMark/>
          </w:tcPr>
          <w:p w14:paraId="4932A950"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Li</w:t>
            </w:r>
          </w:p>
        </w:tc>
        <w:tc>
          <w:tcPr>
            <w:tcW w:w="1249" w:type="pct"/>
            <w:noWrap/>
            <w:hideMark/>
          </w:tcPr>
          <w:p w14:paraId="3796305D" w14:textId="3C97F1F6"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0,25</w:t>
            </w:r>
            <w:r w:rsidR="00B37333" w:rsidRPr="00871092">
              <w:rPr>
                <w:rFonts w:asciiTheme="majorBidi" w:hAnsiTheme="majorBidi" w:cstheme="majorBidi"/>
                <w:color w:val="000000" w:themeColor="text1"/>
              </w:rPr>
              <w:t>8</w:t>
            </w:r>
            <w:r w:rsidRPr="00871092">
              <w:rPr>
                <w:rFonts w:asciiTheme="majorBidi" w:hAnsiTheme="majorBidi" w:cstheme="majorBidi"/>
                <w:color w:val="000000" w:themeColor="text1"/>
              </w:rPr>
              <w:t xml:space="preserve"> ± 0,0</w:t>
            </w:r>
            <w:r w:rsidR="00B37333" w:rsidRPr="00871092">
              <w:rPr>
                <w:rFonts w:asciiTheme="majorBidi" w:hAnsiTheme="majorBidi" w:cstheme="majorBidi"/>
                <w:color w:val="000000" w:themeColor="text1"/>
              </w:rPr>
              <w:t>30</w:t>
            </w:r>
          </w:p>
        </w:tc>
        <w:tc>
          <w:tcPr>
            <w:tcW w:w="1248" w:type="pct"/>
            <w:noWrap/>
          </w:tcPr>
          <w:p w14:paraId="17CA3282" w14:textId="03EF3A13"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w:t>
            </w:r>
            <w:r w:rsidR="00B37333" w:rsidRPr="00871092">
              <w:rPr>
                <w:rFonts w:asciiTheme="majorBidi" w:eastAsia="Times New Roman" w:hAnsiTheme="majorBidi" w:cstheme="majorBidi"/>
                <w:color w:val="000000" w:themeColor="text1"/>
                <w:kern w:val="0"/>
                <w:lang w:eastAsia="en-US"/>
              </w:rPr>
              <w:t>,062 ± 0,001</w:t>
            </w:r>
          </w:p>
        </w:tc>
        <w:tc>
          <w:tcPr>
            <w:tcW w:w="1248" w:type="pct"/>
          </w:tcPr>
          <w:p w14:paraId="43006D15"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w:t>
            </w:r>
          </w:p>
        </w:tc>
      </w:tr>
      <w:tr w:rsidR="00607CF3" w:rsidRPr="00871092" w14:paraId="08F4D804" w14:textId="77777777" w:rsidTr="00900658">
        <w:trPr>
          <w:trHeight w:val="269"/>
        </w:trPr>
        <w:tc>
          <w:tcPr>
            <w:tcW w:w="1255" w:type="pct"/>
            <w:noWrap/>
            <w:hideMark/>
          </w:tcPr>
          <w:p w14:paraId="0FB39877"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Mn</w:t>
            </w:r>
          </w:p>
        </w:tc>
        <w:tc>
          <w:tcPr>
            <w:tcW w:w="1249" w:type="pct"/>
            <w:noWrap/>
            <w:hideMark/>
          </w:tcPr>
          <w:p w14:paraId="77ECCE44" w14:textId="47BED742"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1,340</w:t>
            </w:r>
            <w:r w:rsidR="00607CF3" w:rsidRPr="00871092">
              <w:rPr>
                <w:rFonts w:asciiTheme="majorBidi" w:hAnsiTheme="majorBidi" w:cstheme="majorBidi"/>
                <w:color w:val="000000" w:themeColor="text1"/>
              </w:rPr>
              <w:t xml:space="preserve"> ± 0,05</w:t>
            </w:r>
            <w:r w:rsidRPr="00871092">
              <w:rPr>
                <w:rFonts w:asciiTheme="majorBidi" w:hAnsiTheme="majorBidi" w:cstheme="majorBidi"/>
                <w:color w:val="000000" w:themeColor="text1"/>
              </w:rPr>
              <w:t>6</w:t>
            </w:r>
          </w:p>
        </w:tc>
        <w:tc>
          <w:tcPr>
            <w:tcW w:w="1248" w:type="pct"/>
            <w:noWrap/>
          </w:tcPr>
          <w:p w14:paraId="52B21105" w14:textId="225578D3"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0,0</w:t>
            </w:r>
            <w:r w:rsidR="00B37333" w:rsidRPr="00871092">
              <w:rPr>
                <w:rFonts w:asciiTheme="majorBidi" w:eastAsia="Times New Roman" w:hAnsiTheme="majorBidi" w:cstheme="majorBidi"/>
                <w:color w:val="000000" w:themeColor="text1"/>
                <w:kern w:val="0"/>
                <w:lang w:eastAsia="en-US"/>
              </w:rPr>
              <w:t>10</w:t>
            </w:r>
            <w:r w:rsidRPr="00871092">
              <w:rPr>
                <w:rFonts w:asciiTheme="majorBidi" w:eastAsia="Times New Roman" w:hAnsiTheme="majorBidi" w:cstheme="majorBidi"/>
                <w:color w:val="000000" w:themeColor="text1"/>
                <w:kern w:val="0"/>
                <w:lang w:eastAsia="en-US"/>
              </w:rPr>
              <w:t xml:space="preserve"> ± 0,00</w:t>
            </w:r>
            <w:r w:rsidR="00B37333" w:rsidRPr="00871092">
              <w:rPr>
                <w:rFonts w:asciiTheme="majorBidi" w:eastAsia="Times New Roman" w:hAnsiTheme="majorBidi" w:cstheme="majorBidi"/>
                <w:color w:val="000000" w:themeColor="text1"/>
                <w:kern w:val="0"/>
                <w:lang w:eastAsia="en-US"/>
              </w:rPr>
              <w:t>1</w:t>
            </w:r>
          </w:p>
        </w:tc>
        <w:tc>
          <w:tcPr>
            <w:tcW w:w="1248" w:type="pct"/>
          </w:tcPr>
          <w:p w14:paraId="1443D2A6"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w:t>
            </w:r>
          </w:p>
        </w:tc>
      </w:tr>
      <w:tr w:rsidR="00607CF3" w:rsidRPr="00871092" w14:paraId="3A1A0784" w14:textId="77777777" w:rsidTr="00900658">
        <w:trPr>
          <w:trHeight w:val="269"/>
        </w:trPr>
        <w:tc>
          <w:tcPr>
            <w:tcW w:w="1255" w:type="pct"/>
            <w:noWrap/>
            <w:hideMark/>
          </w:tcPr>
          <w:p w14:paraId="340FBD4A"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Mo</w:t>
            </w:r>
          </w:p>
        </w:tc>
        <w:tc>
          <w:tcPr>
            <w:tcW w:w="1249" w:type="pct"/>
            <w:noWrap/>
            <w:hideMark/>
          </w:tcPr>
          <w:p w14:paraId="5ADD7D53" w14:textId="4DA46C5F"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0,023</w:t>
            </w:r>
            <w:r w:rsidR="00B37333" w:rsidRPr="00871092">
              <w:rPr>
                <w:rFonts w:asciiTheme="majorBidi" w:hAnsiTheme="majorBidi" w:cstheme="majorBidi"/>
                <w:color w:val="000000" w:themeColor="text1"/>
              </w:rPr>
              <w:t xml:space="preserve"> ± 0,003</w:t>
            </w:r>
          </w:p>
        </w:tc>
        <w:tc>
          <w:tcPr>
            <w:tcW w:w="1248" w:type="pct"/>
            <w:noWrap/>
          </w:tcPr>
          <w:p w14:paraId="7E1DB0E4" w14:textId="3E0759AA"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0,025 ± 0,00</w:t>
            </w:r>
            <w:r w:rsidR="00B37333" w:rsidRPr="00871092">
              <w:rPr>
                <w:rFonts w:asciiTheme="majorBidi" w:eastAsia="Times New Roman" w:hAnsiTheme="majorBidi" w:cstheme="majorBidi"/>
                <w:color w:val="000000" w:themeColor="text1"/>
                <w:kern w:val="0"/>
                <w:lang w:eastAsia="en-US"/>
              </w:rPr>
              <w:t>1</w:t>
            </w:r>
          </w:p>
        </w:tc>
        <w:tc>
          <w:tcPr>
            <w:tcW w:w="1248" w:type="pct"/>
          </w:tcPr>
          <w:p w14:paraId="54180F91"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0.500</w:t>
            </w:r>
          </w:p>
        </w:tc>
      </w:tr>
      <w:tr w:rsidR="00607CF3" w:rsidRPr="00871092" w14:paraId="64B1DA35" w14:textId="77777777" w:rsidTr="00900658">
        <w:trPr>
          <w:trHeight w:val="269"/>
        </w:trPr>
        <w:tc>
          <w:tcPr>
            <w:tcW w:w="1255" w:type="pct"/>
            <w:noWrap/>
            <w:hideMark/>
          </w:tcPr>
          <w:p w14:paraId="139F24A1"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Ni</w:t>
            </w:r>
          </w:p>
        </w:tc>
        <w:tc>
          <w:tcPr>
            <w:tcW w:w="1249" w:type="pct"/>
            <w:noWrap/>
            <w:hideMark/>
          </w:tcPr>
          <w:p w14:paraId="5B4CE783" w14:textId="3A1EB4CB"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0,022</w:t>
            </w:r>
            <w:r w:rsidR="00607CF3" w:rsidRPr="00871092">
              <w:rPr>
                <w:rFonts w:asciiTheme="majorBidi" w:hAnsiTheme="majorBidi" w:cstheme="majorBidi"/>
                <w:color w:val="000000" w:themeColor="text1"/>
              </w:rPr>
              <w:t xml:space="preserve"> ± 0,00</w:t>
            </w:r>
            <w:r w:rsidRPr="00871092">
              <w:rPr>
                <w:rFonts w:asciiTheme="majorBidi" w:hAnsiTheme="majorBidi" w:cstheme="majorBidi"/>
                <w:color w:val="000000" w:themeColor="text1"/>
              </w:rPr>
              <w:t>2</w:t>
            </w:r>
          </w:p>
        </w:tc>
        <w:tc>
          <w:tcPr>
            <w:tcW w:w="1248" w:type="pct"/>
            <w:noWrap/>
          </w:tcPr>
          <w:p w14:paraId="305A812E"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&lt;0,005</w:t>
            </w:r>
          </w:p>
        </w:tc>
        <w:tc>
          <w:tcPr>
            <w:tcW w:w="1248" w:type="pct"/>
          </w:tcPr>
          <w:p w14:paraId="1B1A8D77"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0.400</w:t>
            </w:r>
          </w:p>
        </w:tc>
      </w:tr>
      <w:tr w:rsidR="00607CF3" w:rsidRPr="00871092" w14:paraId="38D2ABFA" w14:textId="77777777" w:rsidTr="00900658">
        <w:trPr>
          <w:trHeight w:val="269"/>
        </w:trPr>
        <w:tc>
          <w:tcPr>
            <w:tcW w:w="1255" w:type="pct"/>
            <w:noWrap/>
            <w:hideMark/>
          </w:tcPr>
          <w:p w14:paraId="160D0424"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Pb</w:t>
            </w:r>
          </w:p>
        </w:tc>
        <w:tc>
          <w:tcPr>
            <w:tcW w:w="1249" w:type="pct"/>
            <w:noWrap/>
            <w:hideMark/>
          </w:tcPr>
          <w:p w14:paraId="0C64873D" w14:textId="4B8B9FFC"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0,09</w:t>
            </w:r>
            <w:r w:rsidR="00B37333" w:rsidRPr="00871092">
              <w:rPr>
                <w:rFonts w:asciiTheme="majorBidi" w:hAnsiTheme="majorBidi" w:cstheme="majorBidi"/>
                <w:color w:val="000000" w:themeColor="text1"/>
              </w:rPr>
              <w:t>2 ± 0,010</w:t>
            </w:r>
          </w:p>
        </w:tc>
        <w:tc>
          <w:tcPr>
            <w:tcW w:w="1248" w:type="pct"/>
            <w:noWrap/>
          </w:tcPr>
          <w:p w14:paraId="07A4DE72"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&lt;0,005</w:t>
            </w:r>
          </w:p>
        </w:tc>
        <w:tc>
          <w:tcPr>
            <w:tcW w:w="1248" w:type="pct"/>
          </w:tcPr>
          <w:p w14:paraId="5AF66021"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0.500</w:t>
            </w:r>
          </w:p>
        </w:tc>
      </w:tr>
      <w:tr w:rsidR="00607CF3" w:rsidRPr="00871092" w14:paraId="5D793E15" w14:textId="77777777" w:rsidTr="00900658">
        <w:trPr>
          <w:trHeight w:val="269"/>
        </w:trPr>
        <w:tc>
          <w:tcPr>
            <w:tcW w:w="1255" w:type="pct"/>
            <w:noWrap/>
            <w:hideMark/>
          </w:tcPr>
          <w:p w14:paraId="051C756F"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Sn</w:t>
            </w:r>
          </w:p>
        </w:tc>
        <w:tc>
          <w:tcPr>
            <w:tcW w:w="1249" w:type="pct"/>
            <w:noWrap/>
            <w:hideMark/>
          </w:tcPr>
          <w:p w14:paraId="2FD1CE1C" w14:textId="60609ADA"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0,317</w:t>
            </w:r>
            <w:r w:rsidR="00607CF3" w:rsidRPr="00871092">
              <w:rPr>
                <w:rFonts w:asciiTheme="majorBidi" w:hAnsiTheme="majorBidi" w:cstheme="majorBidi"/>
                <w:color w:val="000000" w:themeColor="text1"/>
              </w:rPr>
              <w:t xml:space="preserve"> ± 0,03</w:t>
            </w:r>
            <w:r w:rsidRPr="00871092">
              <w:rPr>
                <w:rFonts w:asciiTheme="majorBidi" w:hAnsiTheme="majorBidi" w:cstheme="majorBidi"/>
                <w:color w:val="000000" w:themeColor="text1"/>
              </w:rPr>
              <w:t>3</w:t>
            </w:r>
          </w:p>
        </w:tc>
        <w:tc>
          <w:tcPr>
            <w:tcW w:w="1248" w:type="pct"/>
            <w:noWrap/>
          </w:tcPr>
          <w:p w14:paraId="1EDCD726"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&lt;0,005</w:t>
            </w:r>
          </w:p>
        </w:tc>
        <w:tc>
          <w:tcPr>
            <w:tcW w:w="1248" w:type="pct"/>
          </w:tcPr>
          <w:p w14:paraId="19369184"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w:t>
            </w:r>
          </w:p>
        </w:tc>
      </w:tr>
      <w:tr w:rsidR="00607CF3" w:rsidRPr="00871092" w14:paraId="046F92AD" w14:textId="77777777" w:rsidTr="00900658">
        <w:trPr>
          <w:trHeight w:val="269"/>
        </w:trPr>
        <w:tc>
          <w:tcPr>
            <w:tcW w:w="1255" w:type="pct"/>
            <w:noWrap/>
            <w:hideMark/>
          </w:tcPr>
          <w:p w14:paraId="0F4F9043"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V</w:t>
            </w:r>
          </w:p>
        </w:tc>
        <w:tc>
          <w:tcPr>
            <w:tcW w:w="1249" w:type="pct"/>
            <w:noWrap/>
            <w:hideMark/>
          </w:tcPr>
          <w:p w14:paraId="7A5E0BA4" w14:textId="0023A6B4"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0,247 ± 0,032</w:t>
            </w:r>
          </w:p>
        </w:tc>
        <w:tc>
          <w:tcPr>
            <w:tcW w:w="1248" w:type="pct"/>
            <w:noWrap/>
          </w:tcPr>
          <w:p w14:paraId="04F1805A" w14:textId="1284AEA4"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0,533</w:t>
            </w:r>
            <w:r w:rsidR="00607CF3" w:rsidRPr="00871092">
              <w:rPr>
                <w:rFonts w:asciiTheme="majorBidi" w:eastAsia="Times New Roman" w:hAnsiTheme="majorBidi" w:cstheme="majorBidi"/>
                <w:color w:val="000000" w:themeColor="text1"/>
                <w:kern w:val="0"/>
                <w:lang w:eastAsia="en-US"/>
              </w:rPr>
              <w:t xml:space="preserve"> ± 0,02</w:t>
            </w:r>
            <w:r w:rsidRPr="00871092">
              <w:rPr>
                <w:rFonts w:asciiTheme="majorBidi" w:eastAsia="Times New Roman" w:hAnsiTheme="majorBidi" w:cstheme="majorBidi"/>
                <w:color w:val="000000" w:themeColor="text1"/>
                <w:kern w:val="0"/>
                <w:lang w:eastAsia="en-US"/>
              </w:rPr>
              <w:t>4</w:t>
            </w:r>
          </w:p>
        </w:tc>
        <w:tc>
          <w:tcPr>
            <w:tcW w:w="1248" w:type="pct"/>
          </w:tcPr>
          <w:p w14:paraId="3FD5B438"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w:t>
            </w:r>
          </w:p>
        </w:tc>
      </w:tr>
      <w:tr w:rsidR="00607CF3" w:rsidRPr="00871092" w14:paraId="141464C2" w14:textId="77777777" w:rsidTr="00900658">
        <w:trPr>
          <w:trHeight w:val="269"/>
        </w:trPr>
        <w:tc>
          <w:tcPr>
            <w:tcW w:w="1255" w:type="pct"/>
            <w:tcBorders>
              <w:bottom w:val="single" w:sz="4" w:space="0" w:color="auto"/>
            </w:tcBorders>
            <w:noWrap/>
            <w:hideMark/>
          </w:tcPr>
          <w:p w14:paraId="475AB184"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Zn</w:t>
            </w:r>
          </w:p>
        </w:tc>
        <w:tc>
          <w:tcPr>
            <w:tcW w:w="1249" w:type="pct"/>
            <w:tcBorders>
              <w:bottom w:val="single" w:sz="4" w:space="0" w:color="auto"/>
            </w:tcBorders>
            <w:noWrap/>
            <w:hideMark/>
          </w:tcPr>
          <w:p w14:paraId="7D58F768" w14:textId="05D8FFDC" w:rsidR="00607CF3" w:rsidRPr="00871092" w:rsidRDefault="00B37333" w:rsidP="00871092">
            <w:pPr>
              <w:jc w:val="center"/>
              <w:rPr>
                <w:rFonts w:asciiTheme="majorBidi" w:eastAsia="Times New Roman" w:hAnsiTheme="majorBidi" w:cstheme="majorBidi"/>
                <w:color w:val="000000" w:themeColor="text1"/>
                <w:kern w:val="0"/>
                <w:lang w:eastAsia="en-US"/>
              </w:rPr>
            </w:pPr>
            <w:r w:rsidRPr="00871092">
              <w:rPr>
                <w:rFonts w:asciiTheme="majorBidi" w:hAnsiTheme="majorBidi" w:cstheme="majorBidi"/>
                <w:color w:val="000000" w:themeColor="text1"/>
              </w:rPr>
              <w:t>5,403</w:t>
            </w:r>
            <w:r w:rsidR="00607CF3" w:rsidRPr="00871092">
              <w:rPr>
                <w:rFonts w:asciiTheme="majorBidi" w:hAnsiTheme="majorBidi" w:cstheme="majorBidi"/>
                <w:color w:val="000000" w:themeColor="text1"/>
              </w:rPr>
              <w:t xml:space="preserve"> ± 0,24</w:t>
            </w:r>
            <w:r w:rsidRPr="00871092">
              <w:rPr>
                <w:rFonts w:asciiTheme="majorBidi" w:hAnsiTheme="majorBidi" w:cstheme="majorBidi"/>
                <w:color w:val="000000" w:themeColor="text1"/>
              </w:rPr>
              <w:t>6</w:t>
            </w:r>
          </w:p>
        </w:tc>
        <w:tc>
          <w:tcPr>
            <w:tcW w:w="1248" w:type="pct"/>
            <w:tcBorders>
              <w:bottom w:val="single" w:sz="4" w:space="0" w:color="auto"/>
            </w:tcBorders>
            <w:noWrap/>
          </w:tcPr>
          <w:p w14:paraId="5918448B" w14:textId="55DAA99E"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0</w:t>
            </w:r>
            <w:r w:rsidR="00B37333" w:rsidRPr="00871092">
              <w:rPr>
                <w:rFonts w:asciiTheme="majorBidi" w:eastAsia="Times New Roman" w:hAnsiTheme="majorBidi" w:cstheme="majorBidi"/>
                <w:color w:val="000000" w:themeColor="text1"/>
                <w:kern w:val="0"/>
                <w:lang w:eastAsia="en-US"/>
              </w:rPr>
              <w:t>,058</w:t>
            </w:r>
            <w:r w:rsidRPr="00871092">
              <w:rPr>
                <w:rFonts w:asciiTheme="majorBidi" w:eastAsia="Times New Roman" w:hAnsiTheme="majorBidi" w:cstheme="majorBidi"/>
                <w:color w:val="000000" w:themeColor="text1"/>
                <w:kern w:val="0"/>
                <w:lang w:eastAsia="en-US"/>
              </w:rPr>
              <w:t xml:space="preserve"> ± 0,00</w:t>
            </w:r>
            <w:r w:rsidR="00B37333" w:rsidRPr="00871092">
              <w:rPr>
                <w:rFonts w:asciiTheme="majorBidi" w:eastAsia="Times New Roman" w:hAnsiTheme="majorBidi" w:cstheme="majorBidi"/>
                <w:color w:val="000000" w:themeColor="text1"/>
                <w:kern w:val="0"/>
                <w:lang w:eastAsia="en-US"/>
              </w:rPr>
              <w:t>1</w:t>
            </w:r>
          </w:p>
        </w:tc>
        <w:tc>
          <w:tcPr>
            <w:tcW w:w="1248" w:type="pct"/>
            <w:tcBorders>
              <w:bottom w:val="single" w:sz="4" w:space="0" w:color="auto"/>
            </w:tcBorders>
          </w:tcPr>
          <w:p w14:paraId="130A7AC4"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4.000</w:t>
            </w:r>
          </w:p>
        </w:tc>
      </w:tr>
      <w:tr w:rsidR="00607CF3" w:rsidRPr="00871092" w14:paraId="2F6408C8" w14:textId="77777777" w:rsidTr="00900658">
        <w:trPr>
          <w:trHeight w:val="269"/>
        </w:trPr>
        <w:tc>
          <w:tcPr>
            <w:tcW w:w="1255" w:type="pct"/>
            <w:tcBorders>
              <w:top w:val="single" w:sz="4" w:space="0" w:color="auto"/>
            </w:tcBorders>
            <w:noWrap/>
          </w:tcPr>
          <w:p w14:paraId="6D6A18C0"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pH</w:t>
            </w:r>
          </w:p>
        </w:tc>
        <w:tc>
          <w:tcPr>
            <w:tcW w:w="1249" w:type="pct"/>
            <w:tcBorders>
              <w:top w:val="single" w:sz="4" w:space="0" w:color="auto"/>
            </w:tcBorders>
            <w:noWrap/>
          </w:tcPr>
          <w:p w14:paraId="1A447962"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 xml:space="preserve">8.22 </w:t>
            </w:r>
            <w:r w:rsidRPr="00871092">
              <w:rPr>
                <w:rFonts w:asciiTheme="majorBidi" w:hAnsiTheme="majorBidi" w:cstheme="majorBidi"/>
                <w:color w:val="000000" w:themeColor="text1"/>
                <w:kern w:val="0"/>
              </w:rPr>
              <w:t>± 0.51</w:t>
            </w:r>
          </w:p>
        </w:tc>
        <w:tc>
          <w:tcPr>
            <w:tcW w:w="1248" w:type="pct"/>
            <w:tcBorders>
              <w:top w:val="single" w:sz="4" w:space="0" w:color="auto"/>
            </w:tcBorders>
            <w:noWrap/>
          </w:tcPr>
          <w:p w14:paraId="4FF1735A"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 xml:space="preserve">8.68 </w:t>
            </w:r>
            <w:r w:rsidRPr="00871092">
              <w:rPr>
                <w:rFonts w:asciiTheme="majorBidi" w:hAnsiTheme="majorBidi" w:cstheme="majorBidi"/>
                <w:color w:val="000000" w:themeColor="text1"/>
                <w:kern w:val="0"/>
              </w:rPr>
              <w:t>± 0.32</w:t>
            </w:r>
          </w:p>
        </w:tc>
        <w:tc>
          <w:tcPr>
            <w:tcW w:w="1248" w:type="pct"/>
            <w:tcBorders>
              <w:top w:val="single" w:sz="4" w:space="0" w:color="auto"/>
            </w:tcBorders>
          </w:tcPr>
          <w:p w14:paraId="7CE319DC"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w:t>
            </w:r>
          </w:p>
        </w:tc>
      </w:tr>
      <w:tr w:rsidR="00607CF3" w:rsidRPr="00871092" w14:paraId="61D54A93" w14:textId="77777777" w:rsidTr="00900658">
        <w:trPr>
          <w:trHeight w:val="269"/>
        </w:trPr>
        <w:tc>
          <w:tcPr>
            <w:tcW w:w="1255" w:type="pct"/>
            <w:tcBorders>
              <w:bottom w:val="single" w:sz="4" w:space="0" w:color="auto"/>
            </w:tcBorders>
            <w:noWrap/>
          </w:tcPr>
          <w:p w14:paraId="2BB19DE0" w14:textId="77777777" w:rsidR="00607CF3" w:rsidRPr="00871092" w:rsidRDefault="00607CF3" w:rsidP="00871092">
            <w:pP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IC(µs/cm)</w:t>
            </w:r>
          </w:p>
        </w:tc>
        <w:tc>
          <w:tcPr>
            <w:tcW w:w="1249" w:type="pct"/>
            <w:tcBorders>
              <w:bottom w:val="single" w:sz="4" w:space="0" w:color="auto"/>
            </w:tcBorders>
            <w:noWrap/>
          </w:tcPr>
          <w:p w14:paraId="58025D36" w14:textId="5C3D9E44"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 xml:space="preserve">2005.5 </w:t>
            </w:r>
            <w:r w:rsidRPr="00871092">
              <w:rPr>
                <w:rFonts w:asciiTheme="majorBidi" w:hAnsiTheme="majorBidi" w:cstheme="majorBidi"/>
                <w:color w:val="000000" w:themeColor="text1"/>
                <w:kern w:val="0"/>
              </w:rPr>
              <w:t>± 50.2</w:t>
            </w:r>
          </w:p>
        </w:tc>
        <w:tc>
          <w:tcPr>
            <w:tcW w:w="1248" w:type="pct"/>
            <w:tcBorders>
              <w:bottom w:val="single" w:sz="4" w:space="0" w:color="auto"/>
            </w:tcBorders>
            <w:noWrap/>
          </w:tcPr>
          <w:p w14:paraId="6DBEBB5A" w14:textId="784C4DC2"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 xml:space="preserve">365.4 </w:t>
            </w:r>
            <w:r w:rsidRPr="00871092">
              <w:rPr>
                <w:rFonts w:asciiTheme="majorBidi" w:hAnsiTheme="majorBidi" w:cstheme="majorBidi"/>
                <w:color w:val="000000" w:themeColor="text1"/>
                <w:kern w:val="0"/>
              </w:rPr>
              <w:t>± 10</w:t>
            </w:r>
            <w:r w:rsidR="00001AFB" w:rsidRPr="00871092">
              <w:rPr>
                <w:rFonts w:asciiTheme="majorBidi" w:hAnsiTheme="majorBidi" w:cstheme="majorBidi"/>
                <w:color w:val="000000" w:themeColor="text1"/>
                <w:kern w:val="0"/>
              </w:rPr>
              <w:t>2</w:t>
            </w:r>
          </w:p>
        </w:tc>
        <w:tc>
          <w:tcPr>
            <w:tcW w:w="1248" w:type="pct"/>
            <w:tcBorders>
              <w:bottom w:val="single" w:sz="4" w:space="0" w:color="auto"/>
            </w:tcBorders>
          </w:tcPr>
          <w:p w14:paraId="49266AA0" w14:textId="77777777" w:rsidR="00607CF3" w:rsidRPr="00871092" w:rsidRDefault="00607CF3" w:rsidP="00871092">
            <w:pPr>
              <w:jc w:val="center"/>
              <w:rPr>
                <w:rFonts w:asciiTheme="majorBidi" w:eastAsia="Times New Roman" w:hAnsiTheme="majorBidi" w:cstheme="majorBidi"/>
                <w:color w:val="000000" w:themeColor="text1"/>
                <w:kern w:val="0"/>
                <w:lang w:eastAsia="en-US"/>
              </w:rPr>
            </w:pPr>
            <w:r w:rsidRPr="00871092">
              <w:rPr>
                <w:rFonts w:asciiTheme="majorBidi" w:eastAsia="Times New Roman" w:hAnsiTheme="majorBidi" w:cstheme="majorBidi"/>
                <w:color w:val="000000" w:themeColor="text1"/>
                <w:kern w:val="0"/>
                <w:lang w:eastAsia="en-US"/>
              </w:rPr>
              <w:t>-</w:t>
            </w:r>
          </w:p>
        </w:tc>
      </w:tr>
    </w:tbl>
    <w:p w14:paraId="4E9ACA0F" w14:textId="2791BBC9" w:rsidR="00607CF3" w:rsidRPr="00871092" w:rsidRDefault="00607CF3" w:rsidP="00871092">
      <w:pPr>
        <w:spacing w:after="0" w:line="240" w:lineRule="auto"/>
        <w:jc w:val="both"/>
        <w:rPr>
          <w:rFonts w:asciiTheme="majorBidi" w:hAnsiTheme="majorBidi" w:cstheme="majorBidi"/>
          <w:color w:val="000000" w:themeColor="text1"/>
        </w:rPr>
      </w:pPr>
      <w:r w:rsidRPr="00871092">
        <w:rPr>
          <w:rFonts w:asciiTheme="majorBidi" w:hAnsiTheme="majorBidi" w:cstheme="majorBidi"/>
          <w:color w:val="000000" w:themeColor="text1"/>
          <w:vertAlign w:val="superscript"/>
          <w:lang w:val="en-US"/>
        </w:rPr>
        <w:t>1</w:t>
      </w:r>
      <w:r w:rsidRPr="00871092">
        <w:rPr>
          <w:rFonts w:asciiTheme="majorBidi" w:hAnsiTheme="majorBidi" w:cstheme="majorBidi"/>
          <w:color w:val="000000" w:themeColor="text1"/>
          <w:lang w:val="en-US"/>
        </w:rPr>
        <w:t xml:space="preserve"> Waste Acceptance Criteria (WAC) (</w:t>
      </w:r>
      <w:r w:rsidRPr="00871092">
        <w:rPr>
          <w:rFonts w:asciiTheme="majorBidi" w:hAnsiTheme="majorBidi" w:cstheme="majorBidi"/>
          <w:color w:val="5B9BD5" w:themeColor="accent1"/>
        </w:rPr>
        <w:t>European Council, 2003</w:t>
      </w:r>
      <w:r w:rsidRPr="00871092">
        <w:rPr>
          <w:rFonts w:asciiTheme="majorBidi" w:hAnsiTheme="majorBidi" w:cstheme="majorBidi"/>
          <w:color w:val="000000" w:themeColor="text1"/>
        </w:rPr>
        <w:t>).</w:t>
      </w:r>
    </w:p>
    <w:p w14:paraId="1CDDE46A" w14:textId="77777777" w:rsidR="00001AFB" w:rsidRPr="00871092" w:rsidRDefault="00001AFB" w:rsidP="00871092">
      <w:pPr>
        <w:spacing w:after="0" w:line="240" w:lineRule="auto"/>
        <w:jc w:val="both"/>
        <w:rPr>
          <w:rFonts w:asciiTheme="majorBidi" w:hAnsiTheme="majorBidi" w:cstheme="majorBidi"/>
          <w:color w:val="000000" w:themeColor="text1"/>
        </w:rPr>
      </w:pPr>
    </w:p>
    <w:p w14:paraId="2346876E" w14:textId="17C4F950" w:rsidR="00607CF3" w:rsidRPr="00871092" w:rsidRDefault="00607CF3" w:rsidP="000E3D8F">
      <w:pPr>
        <w:pStyle w:val="Titre3"/>
        <w:numPr>
          <w:ilvl w:val="1"/>
          <w:numId w:val="21"/>
        </w:numPr>
        <w:spacing w:before="0" w:after="0" w:line="240" w:lineRule="auto"/>
        <w:rPr>
          <w:rFonts w:cstheme="majorBidi"/>
          <w:color w:val="000000" w:themeColor="text1"/>
          <w:sz w:val="22"/>
          <w:szCs w:val="22"/>
        </w:rPr>
      </w:pPr>
      <w:r w:rsidRPr="00871092">
        <w:rPr>
          <w:rFonts w:cstheme="majorBidi"/>
          <w:color w:val="000000" w:themeColor="text1"/>
          <w:sz w:val="22"/>
          <w:szCs w:val="22"/>
        </w:rPr>
        <w:t>Mobility of PTEs</w:t>
      </w:r>
    </w:p>
    <w:p w14:paraId="306AAF07" w14:textId="2CCF9A9A" w:rsidR="00D6583D" w:rsidRPr="00871092" w:rsidRDefault="00D6583D"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To gain a sharper mechanistic understanding, the leaching data were expressed as normalized mobilities (%M) using </w:t>
      </w:r>
      <w:r w:rsidRPr="00871092">
        <w:rPr>
          <w:rFonts w:asciiTheme="majorBidi" w:eastAsia="Times New Roman" w:hAnsiTheme="majorBidi" w:cstheme="majorBidi"/>
          <w:color w:val="5B9BD5" w:themeColor="accent1"/>
        </w:rPr>
        <w:t>Equation 10</w:t>
      </w:r>
      <w:r w:rsidR="00DF5895">
        <w:rPr>
          <w:rFonts w:asciiTheme="majorBidi" w:eastAsia="Times New Roman" w:hAnsiTheme="majorBidi" w:cstheme="majorBidi"/>
          <w:color w:val="5B9BD5" w:themeColor="accent1"/>
        </w:rPr>
        <w:t xml:space="preserve"> (</w:t>
      </w:r>
      <w:r w:rsidRPr="00871092">
        <w:rPr>
          <w:rFonts w:asciiTheme="majorBidi" w:eastAsia="Times New Roman" w:hAnsiTheme="majorBidi" w:cstheme="majorBidi"/>
          <w:color w:val="5B9BD5" w:themeColor="accent1"/>
        </w:rPr>
        <w:t>Fig</w:t>
      </w:r>
      <w:r w:rsidR="002D6A80">
        <w:rPr>
          <w:rFonts w:asciiTheme="majorBidi" w:eastAsia="Times New Roman" w:hAnsiTheme="majorBidi" w:cstheme="majorBidi"/>
          <w:color w:val="5B9BD5" w:themeColor="accent1"/>
        </w:rPr>
        <w:t>. 5</w:t>
      </w:r>
      <w:r w:rsidRPr="00871092">
        <w:rPr>
          <w:rFonts w:asciiTheme="majorBidi" w:eastAsia="Times New Roman" w:hAnsiTheme="majorBidi" w:cstheme="majorBidi"/>
        </w:rPr>
        <w:t xml:space="preserve">). Bentonite shows a broad suite of releases with the highest </w:t>
      </w:r>
      <w:r w:rsidR="00DF5895">
        <w:rPr>
          <w:rFonts w:asciiTheme="majorBidi" w:eastAsia="Times New Roman" w:hAnsiTheme="majorBidi" w:cstheme="majorBidi"/>
        </w:rPr>
        <w:t>mobilities</w:t>
      </w:r>
      <w:r w:rsidR="00DA60E0" w:rsidRPr="00871092">
        <w:rPr>
          <w:rFonts w:asciiTheme="majorBidi" w:eastAsia="Times New Roman" w:hAnsiTheme="majorBidi" w:cstheme="majorBidi"/>
        </w:rPr>
        <w:t xml:space="preserve"> for As </w:t>
      </w:r>
      <w:r w:rsidR="00DF5895">
        <w:rPr>
          <w:rFonts w:asciiTheme="majorBidi" w:eastAsia="Times New Roman" w:hAnsiTheme="majorBidi" w:cstheme="majorBidi"/>
        </w:rPr>
        <w:t>(</w:t>
      </w:r>
      <w:r w:rsidR="00DA60E0" w:rsidRPr="00871092">
        <w:rPr>
          <w:rFonts w:asciiTheme="majorBidi" w:eastAsia="Times New Roman" w:hAnsiTheme="majorBidi" w:cstheme="majorBidi"/>
        </w:rPr>
        <w:t>12%</w:t>
      </w:r>
      <w:r w:rsidR="00DF5895">
        <w:rPr>
          <w:rFonts w:asciiTheme="majorBidi" w:eastAsia="Times New Roman" w:hAnsiTheme="majorBidi" w:cstheme="majorBidi"/>
        </w:rPr>
        <w:t>)</w:t>
      </w:r>
      <w:r w:rsidR="00DA60E0" w:rsidRPr="00871092">
        <w:rPr>
          <w:rFonts w:asciiTheme="majorBidi" w:eastAsia="Times New Roman" w:hAnsiTheme="majorBidi" w:cstheme="majorBidi"/>
        </w:rPr>
        <w:t xml:space="preserve"> and Mo </w:t>
      </w:r>
      <w:r w:rsidR="00DF5895">
        <w:rPr>
          <w:rFonts w:asciiTheme="majorBidi" w:eastAsia="Times New Roman" w:hAnsiTheme="majorBidi" w:cstheme="majorBidi"/>
        </w:rPr>
        <w:t>(1</w:t>
      </w:r>
      <w:r w:rsidR="00DA60E0" w:rsidRPr="00871092">
        <w:rPr>
          <w:rFonts w:asciiTheme="majorBidi" w:eastAsia="Times New Roman" w:hAnsiTheme="majorBidi" w:cstheme="majorBidi"/>
        </w:rPr>
        <w:t>1</w:t>
      </w:r>
      <w:r w:rsidR="00DF5895">
        <w:rPr>
          <w:rFonts w:asciiTheme="majorBidi" w:eastAsia="Times New Roman" w:hAnsiTheme="majorBidi" w:cstheme="majorBidi"/>
        </w:rPr>
        <w:t>)</w:t>
      </w:r>
      <w:r w:rsidR="00DA60E0" w:rsidRPr="00871092">
        <w:rPr>
          <w:rFonts w:asciiTheme="majorBidi" w:eastAsia="Times New Roman" w:hAnsiTheme="majorBidi" w:cstheme="majorBidi"/>
        </w:rPr>
        <w:t xml:space="preserve">, followed by Cu </w:t>
      </w:r>
      <w:r w:rsidR="00532044" w:rsidRPr="00871092">
        <w:rPr>
          <w:rFonts w:asciiTheme="majorBidi" w:eastAsia="Times New Roman" w:hAnsiTheme="majorBidi" w:cstheme="majorBidi"/>
        </w:rPr>
        <w:t>=</w:t>
      </w:r>
      <w:r w:rsidR="00DA60E0" w:rsidRPr="00871092">
        <w:rPr>
          <w:rFonts w:asciiTheme="majorBidi" w:eastAsia="Times New Roman" w:hAnsiTheme="majorBidi" w:cstheme="majorBidi"/>
        </w:rPr>
        <w:t>7.</w:t>
      </w:r>
      <w:r w:rsidR="00DF5895">
        <w:rPr>
          <w:rFonts w:asciiTheme="majorBidi" w:eastAsia="Times New Roman" w:hAnsiTheme="majorBidi" w:cstheme="majorBidi"/>
        </w:rPr>
        <w:t>9</w:t>
      </w:r>
      <w:r w:rsidR="00DA60E0" w:rsidRPr="00871092">
        <w:rPr>
          <w:rFonts w:asciiTheme="majorBidi" w:eastAsia="Times New Roman" w:hAnsiTheme="majorBidi" w:cstheme="majorBidi"/>
        </w:rPr>
        <w:t xml:space="preserve">%, Co </w:t>
      </w:r>
      <w:r w:rsidR="00532044" w:rsidRPr="00871092">
        <w:rPr>
          <w:rFonts w:asciiTheme="majorBidi" w:eastAsia="Times New Roman" w:hAnsiTheme="majorBidi" w:cstheme="majorBidi"/>
        </w:rPr>
        <w:t>=</w:t>
      </w:r>
      <w:r w:rsidR="00DF5895">
        <w:rPr>
          <w:rFonts w:asciiTheme="majorBidi" w:eastAsia="Times New Roman" w:hAnsiTheme="majorBidi" w:cstheme="majorBidi"/>
        </w:rPr>
        <w:t>5</w:t>
      </w:r>
      <w:r w:rsidR="00DA60E0" w:rsidRPr="00871092">
        <w:rPr>
          <w:rFonts w:asciiTheme="majorBidi" w:eastAsia="Times New Roman" w:hAnsiTheme="majorBidi" w:cstheme="majorBidi"/>
        </w:rPr>
        <w:t>.</w:t>
      </w:r>
      <w:r w:rsidR="00DF5895">
        <w:rPr>
          <w:rFonts w:asciiTheme="majorBidi" w:eastAsia="Times New Roman" w:hAnsiTheme="majorBidi" w:cstheme="majorBidi"/>
        </w:rPr>
        <w:t>0</w:t>
      </w:r>
      <w:r w:rsidR="00DF5895" w:rsidRPr="00871092" w:rsidDel="00DF5895">
        <w:rPr>
          <w:rFonts w:asciiTheme="majorBidi" w:eastAsia="Times New Roman" w:hAnsiTheme="majorBidi" w:cstheme="majorBidi"/>
        </w:rPr>
        <w:t xml:space="preserve"> </w:t>
      </w:r>
      <w:r w:rsidR="00DA60E0" w:rsidRPr="00871092">
        <w:rPr>
          <w:rFonts w:asciiTheme="majorBidi" w:eastAsia="Times New Roman" w:hAnsiTheme="majorBidi" w:cstheme="majorBidi"/>
        </w:rPr>
        <w:t xml:space="preserve">%, Zn </w:t>
      </w:r>
      <w:r w:rsidR="00532044" w:rsidRPr="00871092">
        <w:rPr>
          <w:rFonts w:asciiTheme="majorBidi" w:eastAsia="Times New Roman" w:hAnsiTheme="majorBidi" w:cstheme="majorBidi"/>
        </w:rPr>
        <w:t>=</w:t>
      </w:r>
      <w:r w:rsidR="00DA60E0" w:rsidRPr="00871092">
        <w:rPr>
          <w:rFonts w:asciiTheme="majorBidi" w:eastAsia="Times New Roman" w:hAnsiTheme="majorBidi" w:cstheme="majorBidi"/>
        </w:rPr>
        <w:t>4.</w:t>
      </w:r>
      <w:r w:rsidR="00DF5895">
        <w:rPr>
          <w:rFonts w:asciiTheme="majorBidi" w:eastAsia="Times New Roman" w:hAnsiTheme="majorBidi" w:cstheme="majorBidi"/>
        </w:rPr>
        <w:t>8</w:t>
      </w:r>
      <w:r w:rsidRPr="00871092">
        <w:rPr>
          <w:rFonts w:asciiTheme="majorBidi" w:eastAsia="Times New Roman" w:hAnsiTheme="majorBidi" w:cstheme="majorBidi"/>
        </w:rPr>
        <w:t xml:space="preserve">%. </w:t>
      </w:r>
      <w:proofErr w:type="spellStart"/>
      <w:r w:rsidR="00DF5895">
        <w:rPr>
          <w:rFonts w:asciiTheme="majorBidi" w:eastAsia="Times New Roman" w:hAnsiTheme="majorBidi" w:cstheme="majorBidi"/>
        </w:rPr>
        <w:t>G</w:t>
      </w:r>
      <w:r w:rsidRPr="00871092">
        <w:rPr>
          <w:rFonts w:asciiTheme="majorBidi" w:eastAsia="Times New Roman" w:hAnsiTheme="majorBidi" w:cstheme="majorBidi"/>
        </w:rPr>
        <w:t>hassoul</w:t>
      </w:r>
      <w:proofErr w:type="spellEnd"/>
      <w:r w:rsidRPr="00871092">
        <w:rPr>
          <w:rFonts w:asciiTheme="majorBidi" w:eastAsia="Times New Roman" w:hAnsiTheme="majorBidi" w:cstheme="majorBidi"/>
        </w:rPr>
        <w:t xml:space="preserve"> displays a highly selective leaching pattern dominated by oxyanions: Mo release was exceptionally high </w:t>
      </w:r>
      <w:r w:rsidR="000C6547">
        <w:rPr>
          <w:rFonts w:asciiTheme="majorBidi" w:eastAsia="Times New Roman" w:hAnsiTheme="majorBidi" w:cstheme="majorBidi"/>
        </w:rPr>
        <w:t xml:space="preserve">at </w:t>
      </w:r>
      <w:r w:rsidRPr="00871092">
        <w:rPr>
          <w:rFonts w:asciiTheme="majorBidi" w:eastAsia="Times New Roman" w:hAnsiTheme="majorBidi" w:cstheme="majorBidi"/>
        </w:rPr>
        <w:t>91% and As re</w:t>
      </w:r>
      <w:r w:rsidR="00DA60E0" w:rsidRPr="00871092">
        <w:rPr>
          <w:rFonts w:asciiTheme="majorBidi" w:eastAsia="Times New Roman" w:hAnsiTheme="majorBidi" w:cstheme="majorBidi"/>
        </w:rPr>
        <w:t xml:space="preserve">lease was significant </w:t>
      </w:r>
      <w:r w:rsidR="000C6547">
        <w:rPr>
          <w:rFonts w:asciiTheme="majorBidi" w:eastAsia="Times New Roman" w:hAnsiTheme="majorBidi" w:cstheme="majorBidi"/>
        </w:rPr>
        <w:t xml:space="preserve">at </w:t>
      </w:r>
      <w:r w:rsidR="00DA60E0" w:rsidRPr="00871092">
        <w:rPr>
          <w:rFonts w:asciiTheme="majorBidi" w:eastAsia="Times New Roman" w:hAnsiTheme="majorBidi" w:cstheme="majorBidi"/>
        </w:rPr>
        <w:t>22.6</w:t>
      </w:r>
      <w:r w:rsidRPr="00871092">
        <w:rPr>
          <w:rFonts w:asciiTheme="majorBidi" w:eastAsia="Times New Roman" w:hAnsiTheme="majorBidi" w:cstheme="majorBidi"/>
        </w:rPr>
        <w:t>%, whereas oth</w:t>
      </w:r>
      <w:r w:rsidR="00DA60E0" w:rsidRPr="00871092">
        <w:rPr>
          <w:rFonts w:asciiTheme="majorBidi" w:eastAsia="Times New Roman" w:hAnsiTheme="majorBidi" w:cstheme="majorBidi"/>
        </w:rPr>
        <w:t>er elements remain low (V 2</w:t>
      </w:r>
      <w:r w:rsidRPr="00871092">
        <w:rPr>
          <w:rFonts w:asciiTheme="majorBidi" w:eastAsia="Times New Roman" w:hAnsiTheme="majorBidi" w:cstheme="majorBidi"/>
        </w:rPr>
        <w:t>%, other PTEs &lt;1% or &lt;LOD). Using a risk assessment classification scheme where mobilities &gt;50% are very h</w:t>
      </w:r>
      <w:r w:rsidR="00DA60E0" w:rsidRPr="00871092">
        <w:rPr>
          <w:rFonts w:asciiTheme="majorBidi" w:eastAsia="Times New Roman" w:hAnsiTheme="majorBidi" w:cstheme="majorBidi"/>
        </w:rPr>
        <w:t>igh, 11-30% are moderate, and 1-</w:t>
      </w:r>
      <w:r w:rsidRPr="00871092">
        <w:rPr>
          <w:rFonts w:asciiTheme="majorBidi" w:eastAsia="Times New Roman" w:hAnsiTheme="majorBidi" w:cstheme="majorBidi"/>
        </w:rPr>
        <w:t>10% are low (</w:t>
      </w:r>
      <w:proofErr w:type="spellStart"/>
      <w:r w:rsidRPr="00871092">
        <w:rPr>
          <w:rFonts w:asciiTheme="majorBidi" w:eastAsia="Times New Roman" w:hAnsiTheme="majorBidi" w:cstheme="majorBidi"/>
          <w:color w:val="5B9BD5" w:themeColor="accent1"/>
        </w:rPr>
        <w:t>Ahirvar</w:t>
      </w:r>
      <w:proofErr w:type="spellEnd"/>
      <w:r w:rsidRPr="00871092">
        <w:rPr>
          <w:rFonts w:asciiTheme="majorBidi" w:eastAsia="Times New Roman" w:hAnsiTheme="majorBidi" w:cstheme="majorBidi"/>
          <w:color w:val="5B9BD5" w:themeColor="accent1"/>
        </w:rPr>
        <w:t xml:space="preserve"> et al., 2023</w:t>
      </w:r>
      <w:r w:rsidRPr="00871092">
        <w:rPr>
          <w:rFonts w:asciiTheme="majorBidi" w:eastAsia="Times New Roman" w:hAnsiTheme="majorBidi" w:cstheme="majorBidi"/>
        </w:rPr>
        <w:t xml:space="preserve">), the mobility of Mo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is very high, and As is moderate. The majority of elements in both clays fall into low or very low mobility categories.</w:t>
      </w:r>
    </w:p>
    <w:p w14:paraId="21C229DB" w14:textId="32F4CA5A" w:rsidR="00D6583D" w:rsidRPr="00871092" w:rsidRDefault="00D6583D" w:rsidP="00871092">
      <w:pPr>
        <w:spacing w:after="0" w:line="240" w:lineRule="auto"/>
        <w:jc w:val="both"/>
        <w:rPr>
          <w:rFonts w:asciiTheme="majorBidi" w:hAnsiTheme="majorBidi" w:cstheme="majorBidi"/>
          <w:color w:val="000000" w:themeColor="text1"/>
        </w:rPr>
      </w:pPr>
      <w:r w:rsidRPr="00871092">
        <w:rPr>
          <w:rFonts w:asciiTheme="majorBidi" w:eastAsia="Times New Roman" w:hAnsiTheme="majorBidi" w:cstheme="majorBidi"/>
        </w:rPr>
        <w:t xml:space="preserve">These contrasting leaching patterns are consistent with the distinct mineralogy of the clays. The mobility of oxyanions like molybdate </w:t>
      </w:r>
      <w:r w:rsidR="00DA60E0" w:rsidRPr="00871092">
        <w:rPr>
          <w:rFonts w:asciiTheme="majorBidi" w:hAnsiTheme="majorBidi" w:cstheme="majorBidi"/>
          <w:color w:val="000000" w:themeColor="text1"/>
        </w:rPr>
        <w:t>(MoO</w:t>
      </w:r>
      <w:r w:rsidR="00DA60E0" w:rsidRPr="00871092">
        <w:rPr>
          <w:rFonts w:asciiTheme="majorBidi" w:hAnsiTheme="majorBidi" w:cstheme="majorBidi"/>
          <w:color w:val="000000" w:themeColor="text1"/>
          <w:vertAlign w:val="subscript"/>
        </w:rPr>
        <w:t>4</w:t>
      </w:r>
      <w:r w:rsidR="00DA60E0" w:rsidRPr="00871092">
        <w:rPr>
          <w:rFonts w:asciiTheme="majorBidi" w:hAnsiTheme="majorBidi" w:cstheme="majorBidi"/>
          <w:color w:val="000000" w:themeColor="text1"/>
          <w:vertAlign w:val="superscript"/>
        </w:rPr>
        <w:t>2-</w:t>
      </w:r>
      <w:r w:rsidR="00DA60E0"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is controlled by adsorption onto Fe and Al (</w:t>
      </w:r>
      <w:proofErr w:type="spellStart"/>
      <w:r w:rsidRPr="00871092">
        <w:rPr>
          <w:rFonts w:asciiTheme="majorBidi" w:eastAsia="Times New Roman" w:hAnsiTheme="majorBidi" w:cstheme="majorBidi"/>
        </w:rPr>
        <w:t>oxyhydr</w:t>
      </w:r>
      <w:proofErr w:type="spellEnd"/>
      <w:r w:rsidRPr="00871092">
        <w:rPr>
          <w:rFonts w:asciiTheme="majorBidi" w:eastAsia="Times New Roman" w:hAnsiTheme="majorBidi" w:cstheme="majorBidi"/>
        </w:rPr>
        <w:t>)oxides. At the mildly alkaline pH (</w:t>
      </w:r>
      <w:r w:rsidR="00DF5895">
        <w:rPr>
          <w:rFonts w:asciiTheme="majorBidi" w:eastAsia="Times New Roman" w:hAnsiTheme="majorBidi" w:cstheme="majorBidi"/>
        </w:rPr>
        <w:t xml:space="preserve">i.e. </w:t>
      </w:r>
      <w:r w:rsidRPr="00871092">
        <w:rPr>
          <w:rFonts w:asciiTheme="majorBidi" w:eastAsia="Times New Roman" w:hAnsiTheme="majorBidi" w:cstheme="majorBidi"/>
        </w:rPr>
        <w:t xml:space="preserve">8.7 for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these oxide surfaces carry a net negative charge, causing electrostatic repulsion and decreased sorption of negatively charged anions, a trend confirmed by recent studies (</w:t>
      </w:r>
      <w:r w:rsidRPr="00871092">
        <w:rPr>
          <w:rFonts w:asciiTheme="majorBidi" w:eastAsia="Times New Roman" w:hAnsiTheme="majorBidi" w:cstheme="majorBidi"/>
          <w:color w:val="5B9BD5" w:themeColor="accent1"/>
        </w:rPr>
        <w:t>Zhang et al., 2022; Kersten, 2024</w:t>
      </w:r>
      <w:r w:rsidRPr="00871092">
        <w:rPr>
          <w:rFonts w:asciiTheme="majorBidi" w:eastAsia="Times New Roman" w:hAnsiTheme="majorBidi" w:cstheme="majorBidi"/>
        </w:rPr>
        <w:t xml:space="preserve">). The inherent scarcity of Al and Fe oxide sorption sites in the </w:t>
      </w:r>
      <w:proofErr w:type="spellStart"/>
      <w:r w:rsidRPr="00871092">
        <w:rPr>
          <w:rFonts w:asciiTheme="majorBidi" w:eastAsia="Times New Roman" w:hAnsiTheme="majorBidi" w:cstheme="majorBidi"/>
        </w:rPr>
        <w:t>stevensite</w:t>
      </w:r>
      <w:proofErr w:type="spellEnd"/>
      <w:r w:rsidRPr="00871092">
        <w:rPr>
          <w:rFonts w:asciiTheme="majorBidi" w:eastAsia="Times New Roman" w:hAnsiTheme="majorBidi" w:cstheme="majorBidi"/>
        </w:rPr>
        <w:t xml:space="preserve"> matrix of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drastically limits its capacity to retain these anions. This effect is compounded by the chemical speciation of arsenic; at pH 8-9, </w:t>
      </w:r>
      <w:proofErr w:type="spellStart"/>
      <w:r w:rsidRPr="00871092">
        <w:rPr>
          <w:rFonts w:asciiTheme="majorBidi" w:eastAsia="Times New Roman" w:hAnsiTheme="majorBidi" w:cstheme="majorBidi"/>
        </w:rPr>
        <w:t>arsenite</w:t>
      </w:r>
      <w:proofErr w:type="spellEnd"/>
      <w:r w:rsidRPr="00871092">
        <w:rPr>
          <w:rFonts w:asciiTheme="majorBidi" w:eastAsia="Times New Roman" w:hAnsiTheme="majorBidi" w:cstheme="majorBidi"/>
        </w:rPr>
        <w:t xml:space="preserve"> exists mainly as the neutral </w:t>
      </w:r>
      <w:r w:rsidR="00DA60E0" w:rsidRPr="00871092">
        <w:rPr>
          <w:rFonts w:asciiTheme="majorBidi" w:hAnsiTheme="majorBidi" w:cstheme="majorBidi"/>
          <w:color w:val="000000" w:themeColor="text1"/>
        </w:rPr>
        <w:t>H</w:t>
      </w:r>
      <w:r w:rsidR="00DA60E0" w:rsidRPr="00871092">
        <w:rPr>
          <w:rFonts w:asciiTheme="majorBidi" w:hAnsiTheme="majorBidi" w:cstheme="majorBidi"/>
          <w:color w:val="000000" w:themeColor="text1"/>
          <w:vertAlign w:val="subscript"/>
        </w:rPr>
        <w:t>3</w:t>
      </w:r>
      <w:r w:rsidR="00DA60E0" w:rsidRPr="00871092">
        <w:rPr>
          <w:rFonts w:asciiTheme="majorBidi" w:hAnsiTheme="majorBidi" w:cstheme="majorBidi"/>
          <w:color w:val="000000" w:themeColor="text1"/>
        </w:rPr>
        <w:t>AsO</w:t>
      </w:r>
      <w:r w:rsidR="00DA60E0" w:rsidRPr="00871092">
        <w:rPr>
          <w:rFonts w:asciiTheme="majorBidi" w:hAnsiTheme="majorBidi" w:cstheme="majorBidi"/>
          <w:color w:val="000000" w:themeColor="text1"/>
          <w:vertAlign w:val="subscript"/>
        </w:rPr>
        <w:t>3</w:t>
      </w:r>
      <w:r w:rsidR="00DA60E0" w:rsidRPr="00871092">
        <w:rPr>
          <w:rFonts w:asciiTheme="majorBidi" w:hAnsiTheme="majorBidi" w:cstheme="majorBidi"/>
          <w:b/>
          <w:bCs/>
          <w:color w:val="000000" w:themeColor="text1"/>
          <w:vertAlign w:val="subscript"/>
        </w:rPr>
        <w:t xml:space="preserve"> </w:t>
      </w:r>
      <w:r w:rsidR="00DA60E0" w:rsidRPr="00871092">
        <w:rPr>
          <w:rFonts w:asciiTheme="majorBidi" w:hAnsiTheme="majorBidi" w:cstheme="majorBidi"/>
          <w:color w:val="000000" w:themeColor="text1"/>
        </w:rPr>
        <w:t>species (pK</w:t>
      </w:r>
      <w:r w:rsidR="00DA60E0" w:rsidRPr="00871092">
        <w:rPr>
          <w:rFonts w:asciiTheme="majorBidi" w:hAnsiTheme="majorBidi" w:cstheme="majorBidi"/>
          <w:color w:val="000000" w:themeColor="text1"/>
          <w:vertAlign w:val="subscript"/>
        </w:rPr>
        <w:t>a1</w:t>
      </w:r>
      <w:r w:rsidR="00DA60E0" w:rsidRPr="00871092">
        <w:rPr>
          <w:rFonts w:asciiTheme="majorBidi" w:hAnsiTheme="majorBidi" w:cstheme="majorBidi"/>
          <w:color w:val="000000" w:themeColor="text1"/>
        </w:rPr>
        <w:t xml:space="preserve"> = 9.2), </w:t>
      </w:r>
      <w:r w:rsidRPr="00871092">
        <w:rPr>
          <w:rFonts w:asciiTheme="majorBidi" w:eastAsia="Times New Roman" w:hAnsiTheme="majorBidi" w:cstheme="majorBidi"/>
        </w:rPr>
        <w:t>which is less strongly adsorbed than its anionic arsenate counterpart (</w:t>
      </w:r>
      <w:r w:rsidRPr="00871092">
        <w:rPr>
          <w:rFonts w:asciiTheme="majorBidi" w:eastAsia="Times New Roman" w:hAnsiTheme="majorBidi" w:cstheme="majorBidi"/>
          <w:color w:val="5B9BD5" w:themeColor="accent1"/>
        </w:rPr>
        <w:t>Bowell et al., 1994; Smedley and Kinniburgh, 2002</w:t>
      </w:r>
      <w:r w:rsidRPr="00871092">
        <w:rPr>
          <w:rFonts w:asciiTheme="majorBidi" w:eastAsia="Times New Roman" w:hAnsiTheme="majorBidi" w:cstheme="majorBidi"/>
          <w:b/>
          <w:bCs/>
        </w:rPr>
        <w:t>)</w:t>
      </w:r>
      <w:r w:rsidRPr="00871092">
        <w:rPr>
          <w:rFonts w:asciiTheme="majorBidi" w:eastAsia="Times New Roman" w:hAnsiTheme="majorBidi" w:cstheme="majorBidi"/>
        </w:rPr>
        <w:t xml:space="preserve">. In contrast, the montmorillonite structure of bentonite contains a greater quantity of associated Al and Fe phases, offering more sites for oxyanion retention and explaining their lower mobility. Furthermore, the high ionic conductivity of the bentonite eluate (2005 </w:t>
      </w:r>
      <w:proofErr w:type="spellStart"/>
      <w:r w:rsidRPr="00871092">
        <w:rPr>
          <w:rFonts w:asciiTheme="majorBidi" w:eastAsia="Times New Roman" w:hAnsiTheme="majorBidi" w:cstheme="majorBidi"/>
        </w:rPr>
        <w:t>μS</w:t>
      </w:r>
      <w:proofErr w:type="spellEnd"/>
      <w:r w:rsidRPr="00871092">
        <w:rPr>
          <w:rFonts w:asciiTheme="majorBidi" w:eastAsia="Times New Roman" w:hAnsiTheme="majorBidi" w:cstheme="majorBidi"/>
        </w:rPr>
        <w:t xml:space="preserve"> cm</w:t>
      </w:r>
      <w:r w:rsidR="00DA60E0" w:rsidRPr="00871092">
        <w:rPr>
          <w:rFonts w:asciiTheme="majorBidi" w:eastAsia="Times New Roman" w:hAnsiTheme="majorBidi" w:cstheme="majorBidi"/>
          <w:vertAlign w:val="superscript"/>
        </w:rPr>
        <w:t>-1</w:t>
      </w:r>
      <w:r w:rsidRPr="00871092">
        <w:rPr>
          <w:rFonts w:asciiTheme="majorBidi" w:eastAsia="Times New Roman" w:hAnsiTheme="majorBidi" w:cstheme="majorBidi"/>
        </w:rPr>
        <w:t xml:space="preserve">) versus </w:t>
      </w:r>
      <w:proofErr w:type="spellStart"/>
      <w:r w:rsidRPr="00871092">
        <w:rPr>
          <w:rFonts w:asciiTheme="majorBidi" w:eastAsia="Times New Roman" w:hAnsiTheme="majorBidi" w:cstheme="majorBidi"/>
        </w:rPr>
        <w:t>ghassoul's</w:t>
      </w:r>
      <w:proofErr w:type="spellEnd"/>
      <w:r w:rsidRPr="00871092">
        <w:rPr>
          <w:rFonts w:asciiTheme="majorBidi" w:eastAsia="Times New Roman" w:hAnsiTheme="majorBidi" w:cstheme="majorBidi"/>
        </w:rPr>
        <w:t xml:space="preserve"> (365 </w:t>
      </w:r>
      <w:proofErr w:type="spellStart"/>
      <w:r w:rsidR="00DA60E0" w:rsidRPr="00871092">
        <w:rPr>
          <w:rFonts w:asciiTheme="majorBidi" w:eastAsia="Times New Roman" w:hAnsiTheme="majorBidi" w:cstheme="majorBidi"/>
        </w:rPr>
        <w:t>μS</w:t>
      </w:r>
      <w:proofErr w:type="spellEnd"/>
      <w:r w:rsidR="00DA60E0" w:rsidRPr="00871092">
        <w:rPr>
          <w:rFonts w:asciiTheme="majorBidi" w:eastAsia="Times New Roman" w:hAnsiTheme="majorBidi" w:cstheme="majorBidi"/>
        </w:rPr>
        <w:t xml:space="preserve"> cm</w:t>
      </w:r>
      <w:r w:rsidR="00DA60E0" w:rsidRPr="00871092">
        <w:rPr>
          <w:rFonts w:asciiTheme="majorBidi" w:eastAsia="Times New Roman" w:hAnsiTheme="majorBidi" w:cstheme="majorBidi"/>
          <w:vertAlign w:val="superscript"/>
        </w:rPr>
        <w:t>-1</w:t>
      </w:r>
      <w:r w:rsidRPr="00871092">
        <w:rPr>
          <w:rFonts w:asciiTheme="majorBidi" w:eastAsia="Times New Roman" w:hAnsiTheme="majorBidi" w:cstheme="majorBidi"/>
        </w:rPr>
        <w:t>) points to significant release of exchangeable cations like Na</w:t>
      </w:r>
      <w:r w:rsidR="006E12FF" w:rsidRPr="00871092">
        <w:rPr>
          <w:rFonts w:asciiTheme="majorBidi" w:eastAsia="Times New Roman" w:hAnsiTheme="majorBidi" w:cstheme="majorBidi"/>
          <w:vertAlign w:val="superscript"/>
        </w:rPr>
        <w:t>+</w:t>
      </w:r>
      <w:r w:rsidRPr="00871092">
        <w:rPr>
          <w:rFonts w:asciiTheme="majorBidi" w:eastAsia="Times New Roman" w:hAnsiTheme="majorBidi" w:cstheme="majorBidi"/>
        </w:rPr>
        <w:t xml:space="preserve"> and Ca</w:t>
      </w:r>
      <w:r w:rsidR="006E12FF" w:rsidRPr="00871092">
        <w:rPr>
          <w:rFonts w:asciiTheme="majorBidi" w:eastAsia="Times New Roman" w:hAnsiTheme="majorBidi" w:cstheme="majorBidi"/>
          <w:vertAlign w:val="superscript"/>
        </w:rPr>
        <w:t>2+</w:t>
      </w:r>
      <w:r w:rsidRPr="00871092">
        <w:rPr>
          <w:rFonts w:asciiTheme="majorBidi" w:eastAsia="Times New Roman" w:hAnsiTheme="majorBidi" w:cstheme="majorBidi"/>
        </w:rPr>
        <w:t xml:space="preserve"> from bentonite's interlayers, a process which can promote the co-release of trace cations like Zn</w:t>
      </w:r>
      <w:r w:rsidR="006E12FF" w:rsidRPr="00871092">
        <w:rPr>
          <w:rFonts w:asciiTheme="majorBidi" w:eastAsia="Times New Roman" w:hAnsiTheme="majorBidi" w:cstheme="majorBidi"/>
          <w:vertAlign w:val="superscript"/>
        </w:rPr>
        <w:t>2+</w:t>
      </w:r>
      <w:r w:rsidRPr="00871092">
        <w:rPr>
          <w:rFonts w:asciiTheme="majorBidi" w:eastAsia="Times New Roman" w:hAnsiTheme="majorBidi" w:cstheme="majorBidi"/>
        </w:rPr>
        <w:t xml:space="preserve"> (</w:t>
      </w:r>
      <w:r w:rsidRPr="00871092">
        <w:rPr>
          <w:rFonts w:asciiTheme="majorBidi" w:eastAsia="Times New Roman" w:hAnsiTheme="majorBidi" w:cstheme="majorBidi"/>
          <w:color w:val="5B9BD5" w:themeColor="accent1"/>
        </w:rPr>
        <w:t>Bradl, 2004</w:t>
      </w:r>
      <w:r w:rsidRPr="00871092">
        <w:rPr>
          <w:rFonts w:asciiTheme="majorBidi" w:eastAsia="Times New Roman" w:hAnsiTheme="majorBidi" w:cstheme="majorBidi"/>
        </w:rPr>
        <w:t>).</w:t>
      </w:r>
    </w:p>
    <w:p w14:paraId="432834E5" w14:textId="512CA60F" w:rsidR="00607CF3" w:rsidRPr="00871092" w:rsidRDefault="00E70CA3" w:rsidP="0087109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lastRenderedPageBreak/>
        <w:pict w14:anchorId="1F9CC42E">
          <v:shape id="_x0000_i1027" type="#_x0000_t75" style="width:452.65pt;height:302.35pt">
            <v:imagedata r:id="rId15" o:title="Fig mobility"/>
          </v:shape>
        </w:pict>
      </w:r>
    </w:p>
    <w:p w14:paraId="788205E3" w14:textId="6233C5E9" w:rsidR="00607CF3" w:rsidRPr="00DF5895" w:rsidRDefault="00526480" w:rsidP="000E3D8F">
      <w:pPr>
        <w:pStyle w:val="Lgende"/>
        <w:spacing w:after="0" w:line="240" w:lineRule="auto"/>
        <w:jc w:val="both"/>
        <w:rPr>
          <w:rFonts w:asciiTheme="majorBidi" w:hAnsiTheme="majorBidi" w:cstheme="majorBidi"/>
          <w:b w:val="0"/>
          <w:bCs w:val="0"/>
          <w:color w:val="000000" w:themeColor="text1"/>
          <w:sz w:val="22"/>
          <w:szCs w:val="22"/>
        </w:rPr>
      </w:pPr>
      <w:r w:rsidRPr="000E3D8F">
        <w:rPr>
          <w:rFonts w:asciiTheme="majorBidi" w:hAnsiTheme="majorBidi" w:cstheme="majorBidi"/>
          <w:b w:val="0"/>
          <w:bCs w:val="0"/>
          <w:color w:val="000000" w:themeColor="text1"/>
          <w:sz w:val="22"/>
          <w:szCs w:val="22"/>
        </w:rPr>
        <w:t>Fi</w:t>
      </w:r>
      <w:r w:rsidR="000B15E1" w:rsidRPr="000E3D8F">
        <w:rPr>
          <w:rFonts w:asciiTheme="majorBidi" w:hAnsiTheme="majorBidi" w:cstheme="majorBidi"/>
          <w:b w:val="0"/>
          <w:bCs w:val="0"/>
          <w:color w:val="000000" w:themeColor="text1"/>
          <w:sz w:val="22"/>
          <w:szCs w:val="22"/>
        </w:rPr>
        <w:t xml:space="preserve">g. 5 </w:t>
      </w:r>
      <w:r w:rsidR="00607CF3" w:rsidRPr="00DF5895">
        <w:rPr>
          <w:rFonts w:asciiTheme="majorBidi" w:hAnsiTheme="majorBidi" w:cstheme="majorBidi"/>
          <w:b w:val="0"/>
          <w:bCs w:val="0"/>
          <w:color w:val="000000" w:themeColor="text1"/>
          <w:sz w:val="22"/>
          <w:szCs w:val="22"/>
        </w:rPr>
        <w:t xml:space="preserve">Mobility of PTEs of bentonite and </w:t>
      </w:r>
      <w:proofErr w:type="spellStart"/>
      <w:r w:rsidR="00607CF3" w:rsidRPr="00DF5895">
        <w:rPr>
          <w:rFonts w:asciiTheme="majorBidi" w:hAnsiTheme="majorBidi" w:cstheme="majorBidi"/>
          <w:b w:val="0"/>
          <w:bCs w:val="0"/>
          <w:color w:val="000000" w:themeColor="text1"/>
          <w:sz w:val="22"/>
          <w:szCs w:val="22"/>
        </w:rPr>
        <w:t>ghassoul</w:t>
      </w:r>
      <w:proofErr w:type="spellEnd"/>
      <w:r w:rsidR="00DF5895">
        <w:rPr>
          <w:rFonts w:asciiTheme="majorBidi" w:hAnsiTheme="majorBidi" w:cstheme="majorBidi"/>
          <w:b w:val="0"/>
          <w:bCs w:val="0"/>
          <w:color w:val="000000" w:themeColor="text1"/>
          <w:sz w:val="22"/>
          <w:szCs w:val="22"/>
        </w:rPr>
        <w:t xml:space="preserve">. </w:t>
      </w:r>
    </w:p>
    <w:p w14:paraId="04B73403" w14:textId="77777777" w:rsidR="007609C7" w:rsidRPr="000F084C" w:rsidRDefault="007609C7" w:rsidP="000F084C"/>
    <w:p w14:paraId="2F28C75B" w14:textId="7403AC78" w:rsidR="00607CF3" w:rsidRPr="00871092" w:rsidRDefault="00607CF3" w:rsidP="000E3D8F">
      <w:pPr>
        <w:pStyle w:val="Titre3"/>
        <w:numPr>
          <w:ilvl w:val="1"/>
          <w:numId w:val="21"/>
        </w:numPr>
        <w:spacing w:before="0" w:after="0" w:line="240" w:lineRule="auto"/>
        <w:rPr>
          <w:rFonts w:cstheme="majorBidi"/>
          <w:color w:val="000000" w:themeColor="text1"/>
          <w:sz w:val="22"/>
          <w:szCs w:val="22"/>
        </w:rPr>
      </w:pPr>
      <w:r w:rsidRPr="00871092">
        <w:rPr>
          <w:rFonts w:cstheme="majorBidi"/>
          <w:color w:val="000000" w:themeColor="text1"/>
          <w:sz w:val="22"/>
          <w:szCs w:val="22"/>
        </w:rPr>
        <w:t xml:space="preserve">Mobility of </w:t>
      </w:r>
      <w:r w:rsidR="00DF5895">
        <w:rPr>
          <w:rFonts w:cstheme="majorBidi"/>
          <w:color w:val="000000" w:themeColor="text1"/>
          <w:sz w:val="22"/>
          <w:szCs w:val="22"/>
        </w:rPr>
        <w:t>r</w:t>
      </w:r>
      <w:r w:rsidR="00DF5895" w:rsidRPr="00871092">
        <w:rPr>
          <w:rFonts w:cstheme="majorBidi"/>
          <w:color w:val="000000" w:themeColor="text1"/>
          <w:sz w:val="22"/>
          <w:szCs w:val="22"/>
        </w:rPr>
        <w:t xml:space="preserve">adionuclides </w:t>
      </w:r>
    </w:p>
    <w:p w14:paraId="64217E21" w14:textId="6D506F61" w:rsidR="004B59C8" w:rsidRPr="00871092" w:rsidRDefault="004B59C8"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The radionuclides released into demineralized water were </w:t>
      </w:r>
      <w:r w:rsidRPr="00871092">
        <w:rPr>
          <w:rFonts w:asciiTheme="majorBidi" w:hAnsiTheme="majorBidi" w:cstheme="majorBidi"/>
          <w:color w:val="000000" w:themeColor="text1"/>
          <w:vertAlign w:val="superscript"/>
        </w:rPr>
        <w:t>210</w:t>
      </w:r>
      <w:r w:rsidRPr="00871092">
        <w:rPr>
          <w:rFonts w:asciiTheme="majorBidi" w:hAnsiTheme="majorBidi" w:cstheme="majorBidi"/>
          <w:color w:val="000000" w:themeColor="text1"/>
        </w:rPr>
        <w:t xml:space="preserve">Po, </w:t>
      </w:r>
      <w:r w:rsidRPr="00871092">
        <w:rPr>
          <w:rFonts w:asciiTheme="majorBidi" w:hAnsiTheme="majorBidi" w:cstheme="majorBidi"/>
          <w:color w:val="000000" w:themeColor="text1"/>
          <w:vertAlign w:val="superscript"/>
        </w:rPr>
        <w:t>230</w:t>
      </w:r>
      <w:r w:rsidRPr="00871092">
        <w:rPr>
          <w:rFonts w:asciiTheme="majorBidi" w:hAnsiTheme="majorBidi" w:cstheme="majorBidi"/>
          <w:color w:val="000000" w:themeColor="text1"/>
        </w:rPr>
        <w:t xml:space="preserve">Th and </w:t>
      </w:r>
      <w:r w:rsidRPr="00871092">
        <w:rPr>
          <w:rFonts w:asciiTheme="majorBidi" w:hAnsiTheme="majorBidi" w:cstheme="majorBidi"/>
          <w:color w:val="000000" w:themeColor="text1"/>
          <w:vertAlign w:val="superscript"/>
        </w:rPr>
        <w:t>232</w:t>
      </w:r>
      <w:r w:rsidRPr="00871092">
        <w:rPr>
          <w:rFonts w:asciiTheme="majorBidi" w:hAnsiTheme="majorBidi" w:cstheme="majorBidi"/>
          <w:color w:val="000000" w:themeColor="text1"/>
        </w:rPr>
        <w:t>Th (</w:t>
      </w:r>
      <w:r w:rsidRPr="00871092">
        <w:rPr>
          <w:rFonts w:asciiTheme="majorBidi" w:hAnsiTheme="majorBidi" w:cstheme="majorBidi"/>
          <w:color w:val="5B9BD5" w:themeColor="accent1"/>
        </w:rPr>
        <w:t>Table 7</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In bentonite leachate, α-activity levels reached 1.</w:t>
      </w:r>
      <w:r w:rsidR="00DF5895">
        <w:rPr>
          <w:rFonts w:asciiTheme="majorBidi" w:eastAsia="Times New Roman" w:hAnsiTheme="majorBidi" w:cstheme="majorBidi"/>
        </w:rPr>
        <w:t>5</w:t>
      </w:r>
      <w:r w:rsidRPr="00871092">
        <w:rPr>
          <w:rFonts w:asciiTheme="majorBidi" w:eastAsia="Times New Roman" w:hAnsiTheme="majorBidi" w:cstheme="majorBidi"/>
        </w:rPr>
        <w:t xml:space="preserve">, 6.9, and </w:t>
      </w:r>
      <w:r w:rsidR="00DF5895">
        <w:rPr>
          <w:rFonts w:asciiTheme="majorBidi" w:eastAsia="Times New Roman" w:hAnsiTheme="majorBidi" w:cstheme="majorBidi"/>
        </w:rPr>
        <w:t xml:space="preserve">8.0 </w:t>
      </w:r>
      <w:r w:rsidRPr="00871092">
        <w:rPr>
          <w:rFonts w:asciiTheme="majorBidi" w:hAnsiTheme="majorBidi" w:cstheme="majorBidi"/>
          <w:color w:val="000000" w:themeColor="text1"/>
        </w:rPr>
        <w:t>Bq 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 xml:space="preserve">for </w:t>
      </w:r>
      <w:r w:rsidRPr="00871092">
        <w:rPr>
          <w:rFonts w:asciiTheme="majorBidi" w:hAnsiTheme="majorBidi" w:cstheme="majorBidi"/>
          <w:color w:val="000000" w:themeColor="text1"/>
          <w:vertAlign w:val="superscript"/>
        </w:rPr>
        <w:t>210</w:t>
      </w:r>
      <w:r w:rsidRPr="00871092">
        <w:rPr>
          <w:rFonts w:asciiTheme="majorBidi" w:hAnsiTheme="majorBidi" w:cstheme="majorBidi"/>
          <w:color w:val="000000" w:themeColor="text1"/>
        </w:rPr>
        <w:t xml:space="preserve">Po, </w:t>
      </w:r>
      <w:r w:rsidRPr="00871092">
        <w:rPr>
          <w:rFonts w:asciiTheme="majorBidi" w:hAnsiTheme="majorBidi" w:cstheme="majorBidi"/>
          <w:color w:val="000000" w:themeColor="text1"/>
          <w:vertAlign w:val="superscript"/>
        </w:rPr>
        <w:t>230</w:t>
      </w:r>
      <w:r w:rsidRPr="00871092">
        <w:rPr>
          <w:rFonts w:asciiTheme="majorBidi" w:hAnsiTheme="majorBidi" w:cstheme="majorBidi"/>
          <w:color w:val="000000" w:themeColor="text1"/>
        </w:rPr>
        <w:t>Th</w:t>
      </w:r>
      <w:r w:rsidRPr="00871092">
        <w:rPr>
          <w:rFonts w:asciiTheme="majorBidi" w:eastAsia="Times New Roman" w:hAnsiTheme="majorBidi" w:cstheme="majorBidi"/>
        </w:rPr>
        <w:t xml:space="preserve">, and </w:t>
      </w:r>
      <w:r w:rsidRPr="00871092">
        <w:rPr>
          <w:rFonts w:asciiTheme="majorBidi" w:hAnsiTheme="majorBidi" w:cstheme="majorBidi"/>
          <w:color w:val="000000" w:themeColor="text1"/>
          <w:vertAlign w:val="superscript"/>
        </w:rPr>
        <w:t>232</w:t>
      </w:r>
      <w:r w:rsidRPr="00871092">
        <w:rPr>
          <w:rFonts w:asciiTheme="majorBidi" w:hAnsiTheme="majorBidi" w:cstheme="majorBidi"/>
          <w:color w:val="000000" w:themeColor="text1"/>
        </w:rPr>
        <w:t>Th</w:t>
      </w:r>
      <w:r w:rsidRPr="00871092">
        <w:rPr>
          <w:rFonts w:asciiTheme="majorBidi" w:eastAsia="Times New Roman" w:hAnsiTheme="majorBidi" w:cstheme="majorBidi"/>
        </w:rPr>
        <w:t>, corresponding to mobilities of 6</w:t>
      </w:r>
      <w:r w:rsidR="00DF5895">
        <w:rPr>
          <w:rFonts w:asciiTheme="majorBidi" w:eastAsia="Times New Roman" w:hAnsiTheme="majorBidi" w:cstheme="majorBidi"/>
        </w:rPr>
        <w:t xml:space="preserve"> to</w:t>
      </w:r>
      <w:r w:rsidRPr="00871092">
        <w:rPr>
          <w:rFonts w:asciiTheme="majorBidi" w:eastAsia="Times New Roman" w:hAnsiTheme="majorBidi" w:cstheme="majorBidi"/>
        </w:rPr>
        <w:t xml:space="preserve"> 8%. For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leachate, α-activity levels were 0.5</w:t>
      </w:r>
      <w:r w:rsidR="00DF5895">
        <w:rPr>
          <w:rFonts w:asciiTheme="majorBidi" w:eastAsia="Times New Roman" w:hAnsiTheme="majorBidi" w:cstheme="majorBidi"/>
        </w:rPr>
        <w:t>0</w:t>
      </w:r>
      <w:r w:rsidRPr="00871092">
        <w:rPr>
          <w:rFonts w:asciiTheme="majorBidi" w:eastAsia="Times New Roman" w:hAnsiTheme="majorBidi" w:cstheme="majorBidi"/>
        </w:rPr>
        <w:t>, 5.</w:t>
      </w:r>
      <w:r w:rsidR="00DF5895">
        <w:rPr>
          <w:rFonts w:asciiTheme="majorBidi" w:eastAsia="Times New Roman" w:hAnsiTheme="majorBidi" w:cstheme="majorBidi"/>
        </w:rPr>
        <w:t>9</w:t>
      </w:r>
      <w:r w:rsidRPr="00871092">
        <w:rPr>
          <w:rFonts w:asciiTheme="majorBidi" w:eastAsia="Times New Roman" w:hAnsiTheme="majorBidi" w:cstheme="majorBidi"/>
        </w:rPr>
        <w:t xml:space="preserve">, and 4.7 </w:t>
      </w:r>
      <w:r w:rsidRPr="00871092">
        <w:rPr>
          <w:rFonts w:asciiTheme="majorBidi" w:hAnsiTheme="majorBidi" w:cstheme="majorBidi"/>
          <w:color w:val="000000" w:themeColor="text1"/>
        </w:rPr>
        <w:t>Bq kg</w:t>
      </w:r>
      <w:r w:rsidRPr="00871092">
        <w:rPr>
          <w:rFonts w:asciiTheme="majorBidi" w:hAnsiTheme="majorBidi" w:cstheme="majorBidi"/>
          <w:color w:val="000000" w:themeColor="text1"/>
          <w:vertAlign w:val="superscript"/>
        </w:rPr>
        <w:t>-1</w:t>
      </w:r>
      <w:r w:rsidRPr="00871092">
        <w:rPr>
          <w:rFonts w:asciiTheme="majorBidi" w:hAnsiTheme="majorBidi" w:cstheme="majorBidi"/>
          <w:color w:val="000000" w:themeColor="text1"/>
        </w:rPr>
        <w:t xml:space="preserve"> </w:t>
      </w:r>
      <w:r w:rsidRPr="00871092">
        <w:rPr>
          <w:rFonts w:asciiTheme="majorBidi" w:eastAsia="Times New Roman" w:hAnsiTheme="majorBidi" w:cstheme="majorBidi"/>
        </w:rPr>
        <w:t>with mobilities of 1.</w:t>
      </w:r>
      <w:r w:rsidR="00DF5895">
        <w:rPr>
          <w:rFonts w:asciiTheme="majorBidi" w:eastAsia="Times New Roman" w:hAnsiTheme="majorBidi" w:cstheme="majorBidi"/>
        </w:rPr>
        <w:t>2</w:t>
      </w:r>
      <w:r w:rsidRPr="00871092">
        <w:rPr>
          <w:rFonts w:asciiTheme="majorBidi" w:eastAsia="Times New Roman" w:hAnsiTheme="majorBidi" w:cstheme="majorBidi"/>
        </w:rPr>
        <w:t xml:space="preserve">%, 15%, and 6.5% for </w:t>
      </w:r>
      <w:r w:rsidRPr="00871092">
        <w:rPr>
          <w:rFonts w:asciiTheme="majorBidi" w:hAnsiTheme="majorBidi" w:cstheme="majorBidi"/>
          <w:color w:val="000000" w:themeColor="text1"/>
          <w:vertAlign w:val="superscript"/>
        </w:rPr>
        <w:t>210</w:t>
      </w:r>
      <w:r w:rsidRPr="00871092">
        <w:rPr>
          <w:rFonts w:asciiTheme="majorBidi" w:hAnsiTheme="majorBidi" w:cstheme="majorBidi"/>
          <w:color w:val="000000" w:themeColor="text1"/>
        </w:rPr>
        <w:t xml:space="preserve">Po, </w:t>
      </w:r>
      <w:r w:rsidRPr="00871092">
        <w:rPr>
          <w:rFonts w:asciiTheme="majorBidi" w:hAnsiTheme="majorBidi" w:cstheme="majorBidi"/>
          <w:color w:val="000000" w:themeColor="text1"/>
          <w:vertAlign w:val="superscript"/>
        </w:rPr>
        <w:t>230</w:t>
      </w:r>
      <w:r w:rsidRPr="00871092">
        <w:rPr>
          <w:rFonts w:asciiTheme="majorBidi" w:hAnsiTheme="majorBidi" w:cstheme="majorBidi"/>
          <w:color w:val="000000" w:themeColor="text1"/>
        </w:rPr>
        <w:t xml:space="preserve">Th and </w:t>
      </w:r>
      <w:r w:rsidRPr="00871092">
        <w:rPr>
          <w:rFonts w:asciiTheme="majorBidi" w:hAnsiTheme="majorBidi" w:cstheme="majorBidi"/>
          <w:color w:val="000000" w:themeColor="text1"/>
          <w:vertAlign w:val="superscript"/>
        </w:rPr>
        <w:t>232</w:t>
      </w:r>
      <w:r w:rsidRPr="00871092">
        <w:rPr>
          <w:rFonts w:asciiTheme="majorBidi" w:hAnsiTheme="majorBidi" w:cstheme="majorBidi"/>
          <w:color w:val="000000" w:themeColor="text1"/>
        </w:rPr>
        <w:t>Th</w:t>
      </w:r>
      <w:r w:rsidRPr="00871092">
        <w:rPr>
          <w:rFonts w:asciiTheme="majorBidi" w:eastAsia="Times New Roman" w:hAnsiTheme="majorBidi" w:cstheme="majorBidi"/>
        </w:rPr>
        <w:t xml:space="preserve">, respectively. The global α-activity of bentonite leachate (14 </w:t>
      </w:r>
      <w:r w:rsidRPr="00871092">
        <w:rPr>
          <w:rFonts w:asciiTheme="majorBidi" w:hAnsiTheme="majorBidi" w:cstheme="majorBidi"/>
          <w:color w:val="000000" w:themeColor="text1"/>
        </w:rPr>
        <w:t>Bq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was slightly higher than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(11 </w:t>
      </w:r>
      <w:r w:rsidRPr="00871092">
        <w:rPr>
          <w:rFonts w:asciiTheme="majorBidi" w:hAnsiTheme="majorBidi" w:cstheme="majorBidi"/>
          <w:color w:val="000000" w:themeColor="text1"/>
        </w:rPr>
        <w:t>Bq kg</w:t>
      </w:r>
      <w:r w:rsidRPr="00871092">
        <w:rPr>
          <w:rFonts w:asciiTheme="majorBidi" w:hAnsiTheme="majorBidi" w:cstheme="majorBidi"/>
          <w:color w:val="000000" w:themeColor="text1"/>
          <w:vertAlign w:val="superscript"/>
        </w:rPr>
        <w:t>-1</w:t>
      </w:r>
      <w:r w:rsidRPr="00871092">
        <w:rPr>
          <w:rFonts w:asciiTheme="majorBidi" w:eastAsia="Times New Roman" w:hAnsiTheme="majorBidi" w:cstheme="majorBidi"/>
        </w:rPr>
        <w:t xml:space="preserve">). These results indicate an overall limited release but highlight a comparatively higher mobility of </w:t>
      </w:r>
      <w:r w:rsidRPr="00871092">
        <w:rPr>
          <w:rFonts w:asciiTheme="majorBidi" w:hAnsiTheme="majorBidi" w:cstheme="majorBidi"/>
          <w:color w:val="000000" w:themeColor="text1"/>
          <w:vertAlign w:val="superscript"/>
        </w:rPr>
        <w:t>230</w:t>
      </w:r>
      <w:r w:rsidRPr="00871092">
        <w:rPr>
          <w:rFonts w:asciiTheme="majorBidi" w:hAnsiTheme="majorBidi" w:cstheme="majorBidi"/>
          <w:color w:val="000000" w:themeColor="text1"/>
        </w:rPr>
        <w:t>Th</w:t>
      </w:r>
      <w:r w:rsidRPr="00871092">
        <w:rPr>
          <w:rFonts w:asciiTheme="majorBidi" w:eastAsia="Times New Roman" w:hAnsiTheme="majorBidi" w:cstheme="majorBidi"/>
        </w:rPr>
        <w:t xml:space="preserve">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which is crucial for applications involving contact with aqueous solutions, as prolonged exposure can increase leaching and potential radiological risks (</w:t>
      </w:r>
      <w:r w:rsidRPr="00871092">
        <w:rPr>
          <w:rFonts w:asciiTheme="majorBidi" w:hAnsiTheme="majorBidi" w:cstheme="majorBidi"/>
          <w:color w:val="5B9BD5" w:themeColor="accent1"/>
        </w:rPr>
        <w:t>Du and Huang, 2008</w:t>
      </w:r>
      <w:r w:rsidRPr="00871092">
        <w:rPr>
          <w:rFonts w:asciiTheme="majorBidi" w:eastAsia="Times New Roman" w:hAnsiTheme="majorBidi" w:cstheme="majorBidi"/>
        </w:rPr>
        <w:t>).</w:t>
      </w:r>
    </w:p>
    <w:p w14:paraId="73F09678" w14:textId="0B3C0629" w:rsidR="004B59C8" w:rsidRPr="00871092" w:rsidRDefault="004B59C8"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The observed mobility of </w:t>
      </w:r>
      <w:r w:rsidRPr="00871092">
        <w:rPr>
          <w:rFonts w:asciiTheme="majorBidi" w:hAnsiTheme="majorBidi" w:cstheme="majorBidi"/>
          <w:color w:val="000000" w:themeColor="text1"/>
          <w:vertAlign w:val="superscript"/>
        </w:rPr>
        <w:t>230</w:t>
      </w:r>
      <w:r w:rsidRPr="00871092">
        <w:rPr>
          <w:rFonts w:asciiTheme="majorBidi" w:hAnsiTheme="majorBidi" w:cstheme="majorBidi"/>
          <w:color w:val="000000" w:themeColor="text1"/>
        </w:rPr>
        <w:t>Th</w:t>
      </w:r>
      <w:r w:rsidRPr="00871092">
        <w:rPr>
          <w:rFonts w:asciiTheme="majorBidi" w:eastAsia="Times New Roman" w:hAnsiTheme="majorBidi" w:cstheme="majorBidi"/>
        </w:rPr>
        <w:t xml:space="preserve">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(15.3%) is notably high, as Th(IV) is generally characterized by extremely low solubility and strong sorption. Several hypotheses can explain this unexpected mobility. First, the presence of dolomite (</w:t>
      </w:r>
      <w:proofErr w:type="spellStart"/>
      <w:r w:rsidRPr="00871092">
        <w:rPr>
          <w:rFonts w:asciiTheme="majorBidi" w:eastAsia="Times New Roman" w:hAnsiTheme="majorBidi" w:cstheme="majorBidi"/>
        </w:rPr>
        <w:t>CaMg</w:t>
      </w:r>
      <w:proofErr w:type="spellEnd"/>
      <w:r w:rsidRPr="00871092">
        <w:rPr>
          <w:rFonts w:asciiTheme="majorBidi" w:eastAsia="Times New Roman" w:hAnsiTheme="majorBidi" w:cstheme="majorBidi"/>
        </w:rPr>
        <w:t>(CO</w:t>
      </w:r>
      <w:r w:rsidRPr="00871092">
        <w:rPr>
          <w:rFonts w:asciiTheme="majorBidi" w:eastAsia="Times New Roman" w:hAnsiTheme="majorBidi" w:cstheme="majorBidi"/>
          <w:vertAlign w:val="subscript"/>
        </w:rPr>
        <w:t>3</w:t>
      </w:r>
      <w:r w:rsidRPr="00871092">
        <w:rPr>
          <w:rFonts w:asciiTheme="majorBidi" w:eastAsia="Times New Roman" w:hAnsiTheme="majorBidi" w:cstheme="majorBidi"/>
        </w:rPr>
        <w:t>)</w:t>
      </w:r>
      <w:r w:rsidRPr="00871092">
        <w:rPr>
          <w:rFonts w:asciiTheme="majorBidi" w:eastAsia="Times New Roman" w:hAnsiTheme="majorBidi" w:cstheme="majorBidi"/>
          <w:vertAlign w:val="subscript"/>
        </w:rPr>
        <w:t>2</w:t>
      </w:r>
      <w:r w:rsidRPr="00871092">
        <w:rPr>
          <w:rFonts w:asciiTheme="majorBidi" w:eastAsia="Times New Roman" w:hAnsiTheme="majorBidi" w:cstheme="majorBidi"/>
        </w:rPr>
        <w:t xml:space="preserve">) in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can generate carbonate ions that form soluble and highly mobile thorium-carbonate complexes (e.g., Th(CO</w:t>
      </w:r>
      <w:r w:rsidRPr="00871092">
        <w:rPr>
          <w:rFonts w:asciiTheme="majorBidi" w:eastAsia="Times New Roman" w:hAnsiTheme="majorBidi" w:cstheme="majorBidi"/>
          <w:vertAlign w:val="subscript"/>
        </w:rPr>
        <w:t>3</w:t>
      </w:r>
      <w:r w:rsidRPr="00871092">
        <w:rPr>
          <w:rFonts w:asciiTheme="majorBidi" w:eastAsia="Times New Roman" w:hAnsiTheme="majorBidi" w:cstheme="majorBidi"/>
        </w:rPr>
        <w:t>)</w:t>
      </w:r>
      <w:r w:rsidRPr="00871092">
        <w:rPr>
          <w:rFonts w:asciiTheme="majorBidi" w:eastAsia="Times New Roman" w:hAnsiTheme="majorBidi" w:cstheme="majorBidi"/>
          <w:vertAlign w:val="subscript"/>
        </w:rPr>
        <w:t>5</w:t>
      </w:r>
      <w:r w:rsidRPr="00871092">
        <w:rPr>
          <w:rFonts w:asciiTheme="majorBidi" w:eastAsia="Times New Roman" w:hAnsiTheme="majorBidi" w:cstheme="majorBidi"/>
          <w:vertAlign w:val="superscript"/>
        </w:rPr>
        <w:t>6-</w:t>
      </w:r>
      <w:r w:rsidRPr="00871092">
        <w:rPr>
          <w:rFonts w:asciiTheme="majorBidi" w:eastAsia="Times New Roman" w:hAnsiTheme="majorBidi" w:cstheme="majorBidi"/>
        </w:rPr>
        <w:t xml:space="preserve">). Second, colloid-facilitated transport, where thorium is adsorbed onto fine </w:t>
      </w:r>
      <w:proofErr w:type="spellStart"/>
      <w:r w:rsidRPr="00871092">
        <w:rPr>
          <w:rFonts w:asciiTheme="majorBidi" w:eastAsia="Times New Roman" w:hAnsiTheme="majorBidi" w:cstheme="majorBidi"/>
        </w:rPr>
        <w:t>stevensite</w:t>
      </w:r>
      <w:proofErr w:type="spellEnd"/>
      <w:r w:rsidRPr="00871092">
        <w:rPr>
          <w:rFonts w:asciiTheme="majorBidi" w:eastAsia="Times New Roman" w:hAnsiTheme="majorBidi" w:cstheme="majorBidi"/>
        </w:rPr>
        <w:t xml:space="preserve"> particles dispersed during the test and passed through the 0.45 </w:t>
      </w:r>
      <w:proofErr w:type="spellStart"/>
      <w:r w:rsidRPr="00871092">
        <w:rPr>
          <w:rFonts w:asciiTheme="majorBidi" w:eastAsia="Times New Roman" w:hAnsiTheme="majorBidi" w:cstheme="majorBidi"/>
        </w:rPr>
        <w:t>μm</w:t>
      </w:r>
      <w:proofErr w:type="spellEnd"/>
      <w:r w:rsidRPr="00871092">
        <w:rPr>
          <w:rFonts w:asciiTheme="majorBidi" w:eastAsia="Times New Roman" w:hAnsiTheme="majorBidi" w:cstheme="majorBidi"/>
        </w:rPr>
        <w:t xml:space="preserve"> filter, could act as a mobile carrier. A third hypothesis involves the presence of natural organic matter, which can form strong, soluble organo-thorium complexes, enhancing mobilization. This finding underscores that measuring total solid-phase activity alone is an insufficient predictor of radionuclide release and highlights a crucial area for further mechanistic investigation.</w:t>
      </w:r>
    </w:p>
    <w:p w14:paraId="25BC9CB5" w14:textId="77777777" w:rsidR="004B59C8" w:rsidRPr="00871092" w:rsidRDefault="004B59C8" w:rsidP="00871092">
      <w:pPr>
        <w:spacing w:after="0" w:line="240" w:lineRule="auto"/>
        <w:jc w:val="both"/>
        <w:rPr>
          <w:rFonts w:asciiTheme="majorBidi" w:hAnsiTheme="majorBidi" w:cstheme="majorBidi"/>
          <w:color w:val="000000" w:themeColor="text1"/>
        </w:rPr>
      </w:pPr>
    </w:p>
    <w:p w14:paraId="2F81DCE7" w14:textId="1A20110A" w:rsidR="00607CF3" w:rsidRPr="00871092" w:rsidRDefault="00607CF3" w:rsidP="00871092">
      <w:pPr>
        <w:pStyle w:val="Lgende"/>
        <w:keepNext/>
        <w:spacing w:after="0" w:line="240" w:lineRule="auto"/>
        <w:rPr>
          <w:rFonts w:asciiTheme="majorBidi" w:hAnsiTheme="majorBidi" w:cstheme="majorBidi"/>
          <w:color w:val="000000" w:themeColor="text1"/>
          <w:sz w:val="22"/>
          <w:szCs w:val="22"/>
        </w:rPr>
      </w:pPr>
      <w:r w:rsidRPr="00871092">
        <w:rPr>
          <w:rFonts w:asciiTheme="majorBidi" w:hAnsiTheme="majorBidi" w:cstheme="majorBidi"/>
          <w:color w:val="000000" w:themeColor="text1"/>
          <w:sz w:val="22"/>
          <w:szCs w:val="22"/>
        </w:rPr>
        <w:t xml:space="preserve">Table </w:t>
      </w:r>
      <w:r w:rsidR="0023397D" w:rsidRPr="00871092">
        <w:rPr>
          <w:rFonts w:asciiTheme="majorBidi" w:hAnsiTheme="majorBidi" w:cstheme="majorBidi"/>
          <w:color w:val="000000" w:themeColor="text1"/>
          <w:sz w:val="22"/>
          <w:szCs w:val="22"/>
        </w:rPr>
        <w:t>7</w:t>
      </w:r>
      <w:r w:rsidRPr="00871092">
        <w:rPr>
          <w:rFonts w:asciiTheme="majorBidi" w:hAnsiTheme="majorBidi" w:cstheme="majorBidi"/>
          <w:color w:val="000000" w:themeColor="text1"/>
          <w:sz w:val="22"/>
          <w:szCs w:val="22"/>
        </w:rPr>
        <w:t xml:space="preserve"> </w:t>
      </w:r>
      <w:r w:rsidRPr="00871092">
        <w:rPr>
          <w:rFonts w:asciiTheme="majorBidi" w:hAnsiTheme="majorBidi" w:cstheme="majorBidi"/>
          <w:b w:val="0"/>
          <w:bCs w:val="0"/>
          <w:color w:val="000000" w:themeColor="text1"/>
          <w:kern w:val="0"/>
          <w:sz w:val="22"/>
          <w:szCs w:val="22"/>
        </w:rPr>
        <w:t>α-activity</w:t>
      </w:r>
      <w:r w:rsidRPr="00871092">
        <w:rPr>
          <w:rFonts w:asciiTheme="majorBidi" w:hAnsiTheme="majorBidi" w:cstheme="majorBidi"/>
          <w:color w:val="000000" w:themeColor="text1"/>
          <w:sz w:val="22"/>
          <w:szCs w:val="22"/>
        </w:rPr>
        <w:t xml:space="preserve"> </w:t>
      </w:r>
      <w:r w:rsidRPr="00871092">
        <w:rPr>
          <w:rFonts w:asciiTheme="majorBidi" w:hAnsiTheme="majorBidi" w:cstheme="majorBidi"/>
          <w:b w:val="0"/>
          <w:bCs w:val="0"/>
          <w:color w:val="000000" w:themeColor="text1"/>
          <w:sz w:val="22"/>
          <w:szCs w:val="22"/>
        </w:rPr>
        <w:t xml:space="preserve">of leachates of bentonite and </w:t>
      </w:r>
      <w:proofErr w:type="spellStart"/>
      <w:r w:rsidRPr="00871092">
        <w:rPr>
          <w:rFonts w:asciiTheme="majorBidi" w:hAnsiTheme="majorBidi" w:cstheme="majorBidi"/>
          <w:b w:val="0"/>
          <w:bCs w:val="0"/>
          <w:color w:val="000000" w:themeColor="text1"/>
          <w:sz w:val="22"/>
          <w:szCs w:val="22"/>
        </w:rPr>
        <w:t>ghassoul</w:t>
      </w:r>
      <w:proofErr w:type="spellEnd"/>
    </w:p>
    <w:tbl>
      <w:tblPr>
        <w:tblStyle w:val="Grilledetableauclaire"/>
        <w:tblW w:w="9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02"/>
        <w:gridCol w:w="672"/>
        <w:gridCol w:w="672"/>
        <w:gridCol w:w="1506"/>
        <w:gridCol w:w="1471"/>
        <w:gridCol w:w="1931"/>
      </w:tblGrid>
      <w:tr w:rsidR="00607CF3" w:rsidRPr="00871092" w14:paraId="448A6E7E" w14:textId="77777777" w:rsidTr="00900658">
        <w:trPr>
          <w:trHeight w:val="20"/>
        </w:trPr>
        <w:tc>
          <w:tcPr>
            <w:tcW w:w="1418" w:type="dxa"/>
            <w:vMerge w:val="restart"/>
            <w:tcBorders>
              <w:top w:val="single" w:sz="12" w:space="0" w:color="auto"/>
              <w:bottom w:val="nil"/>
            </w:tcBorders>
            <w:noWrap/>
            <w:hideMark/>
          </w:tcPr>
          <w:p w14:paraId="24044D0E"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Clays</w:t>
            </w:r>
          </w:p>
        </w:tc>
        <w:tc>
          <w:tcPr>
            <w:tcW w:w="1402" w:type="dxa"/>
            <w:tcBorders>
              <w:top w:val="single" w:sz="12" w:space="0" w:color="auto"/>
              <w:bottom w:val="nil"/>
            </w:tcBorders>
          </w:tcPr>
          <w:p w14:paraId="540CE255"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vertAlign w:val="superscript"/>
              </w:rPr>
              <w:t>210</w:t>
            </w:r>
            <w:r w:rsidRPr="00871092">
              <w:rPr>
                <w:rFonts w:asciiTheme="majorBidi" w:hAnsiTheme="majorBidi" w:cstheme="majorBidi"/>
                <w:color w:val="000000" w:themeColor="text1"/>
              </w:rPr>
              <w:t>Po</w:t>
            </w:r>
          </w:p>
        </w:tc>
        <w:tc>
          <w:tcPr>
            <w:tcW w:w="672" w:type="dxa"/>
            <w:tcBorders>
              <w:top w:val="single" w:sz="12" w:space="0" w:color="auto"/>
              <w:bottom w:val="nil"/>
            </w:tcBorders>
          </w:tcPr>
          <w:p w14:paraId="0D53C554"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vertAlign w:val="superscript"/>
              </w:rPr>
              <w:t>234</w:t>
            </w:r>
            <w:r w:rsidRPr="00871092">
              <w:rPr>
                <w:rFonts w:asciiTheme="majorBidi" w:hAnsiTheme="majorBidi" w:cstheme="majorBidi"/>
                <w:color w:val="000000" w:themeColor="text1"/>
                <w:kern w:val="0"/>
              </w:rPr>
              <w:t>U</w:t>
            </w:r>
          </w:p>
        </w:tc>
        <w:tc>
          <w:tcPr>
            <w:tcW w:w="672" w:type="dxa"/>
            <w:tcBorders>
              <w:top w:val="single" w:sz="12" w:space="0" w:color="auto"/>
              <w:bottom w:val="nil"/>
            </w:tcBorders>
          </w:tcPr>
          <w:p w14:paraId="61C5D0F3" w14:textId="77777777" w:rsidR="00607CF3" w:rsidRPr="00871092" w:rsidRDefault="00607CF3" w:rsidP="00871092">
            <w:pPr>
              <w:jc w:val="center"/>
              <w:rPr>
                <w:rFonts w:asciiTheme="majorBidi" w:hAnsiTheme="majorBidi" w:cstheme="majorBidi"/>
                <w:color w:val="000000" w:themeColor="text1"/>
                <w:vertAlign w:val="superscript"/>
              </w:rPr>
            </w:pPr>
            <w:r w:rsidRPr="00871092">
              <w:rPr>
                <w:rFonts w:asciiTheme="majorBidi" w:hAnsiTheme="majorBidi" w:cstheme="majorBidi"/>
                <w:color w:val="000000" w:themeColor="text1"/>
                <w:vertAlign w:val="superscript"/>
              </w:rPr>
              <w:t>238</w:t>
            </w:r>
            <w:r w:rsidRPr="00871092">
              <w:rPr>
                <w:rFonts w:asciiTheme="majorBidi" w:hAnsiTheme="majorBidi" w:cstheme="majorBidi"/>
                <w:color w:val="000000" w:themeColor="text1"/>
              </w:rPr>
              <w:t>U</w:t>
            </w:r>
          </w:p>
        </w:tc>
        <w:tc>
          <w:tcPr>
            <w:tcW w:w="1506" w:type="dxa"/>
            <w:tcBorders>
              <w:top w:val="single" w:sz="12" w:space="0" w:color="auto"/>
              <w:bottom w:val="nil"/>
            </w:tcBorders>
          </w:tcPr>
          <w:p w14:paraId="7CEDE546"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vertAlign w:val="superscript"/>
              </w:rPr>
              <w:t>230</w:t>
            </w:r>
            <w:r w:rsidRPr="00871092">
              <w:rPr>
                <w:rFonts w:asciiTheme="majorBidi" w:hAnsiTheme="majorBidi" w:cstheme="majorBidi"/>
                <w:color w:val="000000" w:themeColor="text1"/>
              </w:rPr>
              <w:t>Th</w:t>
            </w:r>
          </w:p>
        </w:tc>
        <w:tc>
          <w:tcPr>
            <w:tcW w:w="1471" w:type="dxa"/>
            <w:tcBorders>
              <w:top w:val="single" w:sz="12" w:space="0" w:color="auto"/>
              <w:bottom w:val="nil"/>
            </w:tcBorders>
          </w:tcPr>
          <w:p w14:paraId="4D8196F4"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vertAlign w:val="superscript"/>
              </w:rPr>
              <w:t>232</w:t>
            </w:r>
            <w:r w:rsidRPr="00871092">
              <w:rPr>
                <w:rFonts w:asciiTheme="majorBidi" w:hAnsiTheme="majorBidi" w:cstheme="majorBidi"/>
                <w:color w:val="000000" w:themeColor="text1"/>
              </w:rPr>
              <w:t>Th</w:t>
            </w:r>
          </w:p>
        </w:tc>
        <w:tc>
          <w:tcPr>
            <w:tcW w:w="1931" w:type="dxa"/>
            <w:tcBorders>
              <w:top w:val="single" w:sz="12" w:space="0" w:color="auto"/>
              <w:bottom w:val="nil"/>
            </w:tcBorders>
          </w:tcPr>
          <w:p w14:paraId="7F88F776" w14:textId="77777777" w:rsidR="00607CF3" w:rsidRPr="00871092" w:rsidRDefault="00607CF3" w:rsidP="00871092">
            <w:pPr>
              <w:jc w:val="center"/>
              <w:rPr>
                <w:rFonts w:asciiTheme="majorBidi" w:hAnsiTheme="majorBidi" w:cstheme="majorBidi"/>
                <w:color w:val="000000" w:themeColor="text1"/>
                <w:vertAlign w:val="superscript"/>
              </w:rPr>
            </w:pPr>
            <w:r w:rsidRPr="00871092">
              <w:rPr>
                <w:rFonts w:asciiTheme="majorBidi" w:hAnsiTheme="majorBidi" w:cstheme="majorBidi"/>
                <w:color w:val="000000" w:themeColor="text1"/>
                <w:kern w:val="0"/>
              </w:rPr>
              <w:t>Global α-activity</w:t>
            </w:r>
          </w:p>
        </w:tc>
      </w:tr>
      <w:tr w:rsidR="00607CF3" w:rsidRPr="00871092" w14:paraId="33B8ADB3" w14:textId="77777777" w:rsidTr="00900658">
        <w:trPr>
          <w:trHeight w:val="20"/>
        </w:trPr>
        <w:tc>
          <w:tcPr>
            <w:tcW w:w="1418" w:type="dxa"/>
            <w:vMerge/>
            <w:tcBorders>
              <w:top w:val="nil"/>
              <w:bottom w:val="single" w:sz="12" w:space="0" w:color="auto"/>
            </w:tcBorders>
            <w:noWrap/>
          </w:tcPr>
          <w:p w14:paraId="0DBD9EBC" w14:textId="77777777" w:rsidR="00607CF3" w:rsidRPr="00871092" w:rsidRDefault="00607CF3" w:rsidP="00871092">
            <w:pPr>
              <w:rPr>
                <w:rFonts w:asciiTheme="majorBidi" w:hAnsiTheme="majorBidi" w:cstheme="majorBidi"/>
                <w:color w:val="000000" w:themeColor="text1"/>
                <w:kern w:val="0"/>
              </w:rPr>
            </w:pPr>
          </w:p>
        </w:tc>
        <w:tc>
          <w:tcPr>
            <w:tcW w:w="7654" w:type="dxa"/>
            <w:gridSpan w:val="6"/>
            <w:tcBorders>
              <w:top w:val="nil"/>
              <w:bottom w:val="single" w:sz="12" w:space="0" w:color="auto"/>
            </w:tcBorders>
          </w:tcPr>
          <w:p w14:paraId="3E7F464C"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Bq kg</w:t>
            </w:r>
            <w:r w:rsidRPr="00871092">
              <w:rPr>
                <w:rFonts w:asciiTheme="majorBidi" w:hAnsiTheme="majorBidi" w:cstheme="majorBidi"/>
                <w:color w:val="000000" w:themeColor="text1"/>
                <w:kern w:val="0"/>
                <w:vertAlign w:val="superscript"/>
              </w:rPr>
              <w:t>-1</w:t>
            </w:r>
          </w:p>
        </w:tc>
      </w:tr>
      <w:tr w:rsidR="00607CF3" w:rsidRPr="00871092" w14:paraId="28B58DAF" w14:textId="77777777" w:rsidTr="00900658">
        <w:trPr>
          <w:trHeight w:val="20"/>
        </w:trPr>
        <w:tc>
          <w:tcPr>
            <w:tcW w:w="1418" w:type="dxa"/>
            <w:tcBorders>
              <w:top w:val="single" w:sz="12" w:space="0" w:color="auto"/>
            </w:tcBorders>
            <w:noWrap/>
            <w:hideMark/>
          </w:tcPr>
          <w:p w14:paraId="4EEC6892"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Leachate of Bentonite</w:t>
            </w:r>
          </w:p>
        </w:tc>
        <w:tc>
          <w:tcPr>
            <w:tcW w:w="1402" w:type="dxa"/>
            <w:tcBorders>
              <w:top w:val="single" w:sz="12" w:space="0" w:color="auto"/>
            </w:tcBorders>
          </w:tcPr>
          <w:p w14:paraId="5E7479E3"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1.47 ± 0.12</w:t>
            </w:r>
          </w:p>
        </w:tc>
        <w:tc>
          <w:tcPr>
            <w:tcW w:w="672" w:type="dxa"/>
            <w:tcBorders>
              <w:top w:val="single" w:sz="12" w:space="0" w:color="auto"/>
            </w:tcBorders>
            <w:noWrap/>
          </w:tcPr>
          <w:p w14:paraId="3574D2EE"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&lt;DL</w:t>
            </w:r>
          </w:p>
        </w:tc>
        <w:tc>
          <w:tcPr>
            <w:tcW w:w="672" w:type="dxa"/>
            <w:tcBorders>
              <w:top w:val="single" w:sz="12" w:space="0" w:color="auto"/>
            </w:tcBorders>
          </w:tcPr>
          <w:p w14:paraId="5DCCC9A7"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&lt;DL</w:t>
            </w:r>
          </w:p>
        </w:tc>
        <w:tc>
          <w:tcPr>
            <w:tcW w:w="1506" w:type="dxa"/>
            <w:tcBorders>
              <w:top w:val="single" w:sz="12" w:space="0" w:color="auto"/>
            </w:tcBorders>
            <w:noWrap/>
          </w:tcPr>
          <w:p w14:paraId="1460F9AA"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6.91 ± 1.87</w:t>
            </w:r>
          </w:p>
        </w:tc>
        <w:tc>
          <w:tcPr>
            <w:tcW w:w="1471" w:type="dxa"/>
            <w:tcBorders>
              <w:top w:val="single" w:sz="12" w:space="0" w:color="auto"/>
            </w:tcBorders>
            <w:noWrap/>
          </w:tcPr>
          <w:p w14:paraId="6756BB1C"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5.97 ± 1.04</w:t>
            </w:r>
          </w:p>
        </w:tc>
        <w:tc>
          <w:tcPr>
            <w:tcW w:w="1931" w:type="dxa"/>
            <w:tcBorders>
              <w:top w:val="single" w:sz="12" w:space="0" w:color="auto"/>
            </w:tcBorders>
          </w:tcPr>
          <w:p w14:paraId="0554FE89" w14:textId="1269D939"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14.</w:t>
            </w:r>
            <w:r w:rsidR="004B59C8" w:rsidRPr="00871092">
              <w:rPr>
                <w:rFonts w:asciiTheme="majorBidi" w:hAnsiTheme="majorBidi" w:cstheme="majorBidi"/>
                <w:color w:val="000000" w:themeColor="text1"/>
              </w:rPr>
              <w:t>4</w:t>
            </w:r>
            <w:r w:rsidRPr="00871092">
              <w:rPr>
                <w:rFonts w:asciiTheme="majorBidi" w:hAnsiTheme="majorBidi" w:cstheme="majorBidi"/>
                <w:color w:val="000000" w:themeColor="text1"/>
              </w:rPr>
              <w:t xml:space="preserve"> ± 2.45</w:t>
            </w:r>
          </w:p>
        </w:tc>
      </w:tr>
      <w:tr w:rsidR="00607CF3" w:rsidRPr="00871092" w14:paraId="28C3F52C" w14:textId="77777777" w:rsidTr="00900658">
        <w:trPr>
          <w:trHeight w:val="20"/>
        </w:trPr>
        <w:tc>
          <w:tcPr>
            <w:tcW w:w="1418" w:type="dxa"/>
            <w:noWrap/>
            <w:hideMark/>
          </w:tcPr>
          <w:p w14:paraId="58094A17"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kern w:val="0"/>
              </w:rPr>
              <w:t xml:space="preserve">Leachate of </w:t>
            </w:r>
            <w:proofErr w:type="spellStart"/>
            <w:r w:rsidRPr="00871092">
              <w:rPr>
                <w:rFonts w:asciiTheme="majorBidi" w:hAnsiTheme="majorBidi" w:cstheme="majorBidi"/>
                <w:color w:val="000000" w:themeColor="text1"/>
                <w:kern w:val="0"/>
              </w:rPr>
              <w:t>Ghassoul</w:t>
            </w:r>
            <w:proofErr w:type="spellEnd"/>
          </w:p>
        </w:tc>
        <w:tc>
          <w:tcPr>
            <w:tcW w:w="1402" w:type="dxa"/>
          </w:tcPr>
          <w:p w14:paraId="776C3430"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0.51 ± 0.04</w:t>
            </w:r>
          </w:p>
        </w:tc>
        <w:tc>
          <w:tcPr>
            <w:tcW w:w="672" w:type="dxa"/>
            <w:noWrap/>
          </w:tcPr>
          <w:p w14:paraId="0D1AFB7E"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&lt;DL</w:t>
            </w:r>
          </w:p>
        </w:tc>
        <w:tc>
          <w:tcPr>
            <w:tcW w:w="672" w:type="dxa"/>
          </w:tcPr>
          <w:p w14:paraId="5F2ED388"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&lt;DL</w:t>
            </w:r>
          </w:p>
        </w:tc>
        <w:tc>
          <w:tcPr>
            <w:tcW w:w="1506" w:type="dxa"/>
            <w:noWrap/>
          </w:tcPr>
          <w:p w14:paraId="2276028B"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5.88 ± 1.45</w:t>
            </w:r>
          </w:p>
        </w:tc>
        <w:tc>
          <w:tcPr>
            <w:tcW w:w="1471" w:type="dxa"/>
            <w:noWrap/>
          </w:tcPr>
          <w:p w14:paraId="244C44D2"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rPr>
              <w:t>4.73 ± 1.02</w:t>
            </w:r>
          </w:p>
        </w:tc>
        <w:tc>
          <w:tcPr>
            <w:tcW w:w="1931" w:type="dxa"/>
          </w:tcPr>
          <w:p w14:paraId="1CF8FA38" w14:textId="7F1E6B51" w:rsidR="00607CF3" w:rsidRPr="00871092" w:rsidRDefault="00F35DE6"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11.1</w:t>
            </w:r>
            <w:r w:rsidR="00607CF3" w:rsidRPr="00871092">
              <w:rPr>
                <w:rFonts w:asciiTheme="majorBidi" w:hAnsiTheme="majorBidi" w:cstheme="majorBidi"/>
                <w:color w:val="000000" w:themeColor="text1"/>
              </w:rPr>
              <w:t xml:space="preserve"> ± 2.31</w:t>
            </w:r>
          </w:p>
          <w:p w14:paraId="16A3E63A" w14:textId="77777777" w:rsidR="00607CF3" w:rsidRPr="00871092" w:rsidRDefault="00607CF3" w:rsidP="00871092">
            <w:pPr>
              <w:rPr>
                <w:rFonts w:asciiTheme="majorBidi" w:hAnsiTheme="majorBidi" w:cstheme="majorBidi"/>
                <w:color w:val="000000" w:themeColor="text1"/>
              </w:rPr>
            </w:pPr>
          </w:p>
        </w:tc>
      </w:tr>
      <w:tr w:rsidR="00607CF3" w:rsidRPr="00871092" w14:paraId="47D3D2F8" w14:textId="77777777" w:rsidTr="00900658">
        <w:trPr>
          <w:trHeight w:val="20"/>
        </w:trPr>
        <w:tc>
          <w:tcPr>
            <w:tcW w:w="9072" w:type="dxa"/>
            <w:gridSpan w:val="7"/>
            <w:noWrap/>
          </w:tcPr>
          <w:p w14:paraId="00A15202"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kern w:val="0"/>
              </w:rPr>
              <w:t>M(%)</w:t>
            </w:r>
          </w:p>
        </w:tc>
      </w:tr>
      <w:tr w:rsidR="00607CF3" w:rsidRPr="00871092" w14:paraId="16C8AD42" w14:textId="77777777" w:rsidTr="00900658">
        <w:trPr>
          <w:trHeight w:val="20"/>
        </w:trPr>
        <w:tc>
          <w:tcPr>
            <w:tcW w:w="1418" w:type="dxa"/>
            <w:noWrap/>
          </w:tcPr>
          <w:p w14:paraId="24514F6F" w14:textId="77777777" w:rsidR="00607CF3" w:rsidRPr="00871092" w:rsidRDefault="00607CF3" w:rsidP="00871092">
            <w:pPr>
              <w:rPr>
                <w:rFonts w:asciiTheme="majorBidi" w:hAnsiTheme="majorBidi" w:cstheme="majorBidi"/>
                <w:color w:val="000000" w:themeColor="text1"/>
                <w:kern w:val="0"/>
              </w:rPr>
            </w:pPr>
            <w:r w:rsidRPr="00871092">
              <w:rPr>
                <w:rFonts w:asciiTheme="majorBidi" w:hAnsiTheme="majorBidi" w:cstheme="majorBidi"/>
                <w:color w:val="000000" w:themeColor="text1"/>
              </w:rPr>
              <w:lastRenderedPageBreak/>
              <w:t>Bentonite</w:t>
            </w:r>
          </w:p>
        </w:tc>
        <w:tc>
          <w:tcPr>
            <w:tcW w:w="1402" w:type="dxa"/>
          </w:tcPr>
          <w:p w14:paraId="5E61245F"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6.18 ± 1.2</w:t>
            </w:r>
          </w:p>
        </w:tc>
        <w:tc>
          <w:tcPr>
            <w:tcW w:w="672" w:type="dxa"/>
            <w:noWrap/>
          </w:tcPr>
          <w:p w14:paraId="4FBD428D"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w:t>
            </w:r>
          </w:p>
        </w:tc>
        <w:tc>
          <w:tcPr>
            <w:tcW w:w="672" w:type="dxa"/>
          </w:tcPr>
          <w:p w14:paraId="2AAF0699"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w:t>
            </w:r>
          </w:p>
        </w:tc>
        <w:tc>
          <w:tcPr>
            <w:tcW w:w="1506" w:type="dxa"/>
            <w:noWrap/>
          </w:tcPr>
          <w:p w14:paraId="179CDA3A"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8.24 ± 2.04</w:t>
            </w:r>
          </w:p>
        </w:tc>
        <w:tc>
          <w:tcPr>
            <w:tcW w:w="1471" w:type="dxa"/>
            <w:noWrap/>
          </w:tcPr>
          <w:p w14:paraId="776C90D9"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8.20 ± 1.77</w:t>
            </w:r>
          </w:p>
        </w:tc>
        <w:tc>
          <w:tcPr>
            <w:tcW w:w="1931" w:type="dxa"/>
          </w:tcPr>
          <w:p w14:paraId="1AFDD45D"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w:t>
            </w:r>
          </w:p>
        </w:tc>
      </w:tr>
      <w:tr w:rsidR="00607CF3" w:rsidRPr="00871092" w14:paraId="6FAF4D62" w14:textId="77777777" w:rsidTr="00900658">
        <w:trPr>
          <w:trHeight w:val="20"/>
        </w:trPr>
        <w:tc>
          <w:tcPr>
            <w:tcW w:w="1418" w:type="dxa"/>
            <w:tcBorders>
              <w:bottom w:val="single" w:sz="12" w:space="0" w:color="auto"/>
            </w:tcBorders>
            <w:noWrap/>
          </w:tcPr>
          <w:p w14:paraId="2BAB7CAB" w14:textId="77777777" w:rsidR="00607CF3" w:rsidRPr="00871092" w:rsidRDefault="00607CF3" w:rsidP="00871092">
            <w:pPr>
              <w:rPr>
                <w:rFonts w:asciiTheme="majorBidi" w:hAnsiTheme="majorBidi" w:cstheme="majorBidi"/>
                <w:color w:val="000000" w:themeColor="text1"/>
                <w:kern w:val="0"/>
              </w:rPr>
            </w:pPr>
            <w:proofErr w:type="spellStart"/>
            <w:r w:rsidRPr="00871092">
              <w:rPr>
                <w:rFonts w:asciiTheme="majorBidi" w:hAnsiTheme="majorBidi" w:cstheme="majorBidi"/>
                <w:color w:val="000000" w:themeColor="text1"/>
              </w:rPr>
              <w:t>Ghassoul</w:t>
            </w:r>
            <w:proofErr w:type="spellEnd"/>
          </w:p>
        </w:tc>
        <w:tc>
          <w:tcPr>
            <w:tcW w:w="1402" w:type="dxa"/>
            <w:tcBorders>
              <w:bottom w:val="single" w:sz="12" w:space="0" w:color="auto"/>
            </w:tcBorders>
          </w:tcPr>
          <w:p w14:paraId="6CDA6EBB"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1.18 ± 0.13</w:t>
            </w:r>
          </w:p>
        </w:tc>
        <w:tc>
          <w:tcPr>
            <w:tcW w:w="672" w:type="dxa"/>
            <w:tcBorders>
              <w:bottom w:val="single" w:sz="12" w:space="0" w:color="auto"/>
            </w:tcBorders>
            <w:noWrap/>
          </w:tcPr>
          <w:p w14:paraId="12D6E822" w14:textId="77777777" w:rsidR="00607CF3" w:rsidRPr="00871092" w:rsidRDefault="00607CF3" w:rsidP="00871092">
            <w:pPr>
              <w:jc w:val="center"/>
              <w:rPr>
                <w:rFonts w:asciiTheme="majorBidi" w:hAnsiTheme="majorBidi" w:cstheme="majorBidi"/>
                <w:color w:val="000000" w:themeColor="text1"/>
                <w:kern w:val="0"/>
              </w:rPr>
            </w:pPr>
            <w:r w:rsidRPr="00871092">
              <w:rPr>
                <w:rFonts w:asciiTheme="majorBidi" w:hAnsiTheme="majorBidi" w:cstheme="majorBidi"/>
                <w:color w:val="000000" w:themeColor="text1"/>
                <w:kern w:val="0"/>
              </w:rPr>
              <w:t>-</w:t>
            </w:r>
          </w:p>
        </w:tc>
        <w:tc>
          <w:tcPr>
            <w:tcW w:w="672" w:type="dxa"/>
            <w:tcBorders>
              <w:bottom w:val="single" w:sz="12" w:space="0" w:color="auto"/>
            </w:tcBorders>
          </w:tcPr>
          <w:p w14:paraId="59941EEA"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w:t>
            </w:r>
          </w:p>
        </w:tc>
        <w:tc>
          <w:tcPr>
            <w:tcW w:w="1506" w:type="dxa"/>
            <w:tcBorders>
              <w:bottom w:val="single" w:sz="12" w:space="0" w:color="auto"/>
            </w:tcBorders>
            <w:noWrap/>
          </w:tcPr>
          <w:p w14:paraId="2272EA8D" w14:textId="2C4B0468" w:rsidR="00607CF3" w:rsidRPr="00871092" w:rsidRDefault="0023397D"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15.3</w:t>
            </w:r>
            <w:r w:rsidR="00607CF3" w:rsidRPr="00871092">
              <w:rPr>
                <w:rFonts w:asciiTheme="majorBidi" w:hAnsiTheme="majorBidi" w:cstheme="majorBidi"/>
                <w:color w:val="000000" w:themeColor="text1"/>
              </w:rPr>
              <w:t xml:space="preserve"> ± 3.45</w:t>
            </w:r>
          </w:p>
        </w:tc>
        <w:tc>
          <w:tcPr>
            <w:tcW w:w="1471" w:type="dxa"/>
            <w:tcBorders>
              <w:bottom w:val="single" w:sz="12" w:space="0" w:color="auto"/>
            </w:tcBorders>
            <w:noWrap/>
          </w:tcPr>
          <w:p w14:paraId="2D9CDA26"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6.53 ± 1.23</w:t>
            </w:r>
          </w:p>
        </w:tc>
        <w:tc>
          <w:tcPr>
            <w:tcW w:w="1931" w:type="dxa"/>
            <w:tcBorders>
              <w:bottom w:val="single" w:sz="12" w:space="0" w:color="auto"/>
            </w:tcBorders>
          </w:tcPr>
          <w:p w14:paraId="75699CBF" w14:textId="77777777" w:rsidR="00607CF3" w:rsidRPr="00871092" w:rsidRDefault="00607CF3" w:rsidP="00871092">
            <w:pPr>
              <w:jc w:val="center"/>
              <w:rPr>
                <w:rFonts w:asciiTheme="majorBidi" w:hAnsiTheme="majorBidi" w:cstheme="majorBidi"/>
                <w:color w:val="000000" w:themeColor="text1"/>
              </w:rPr>
            </w:pPr>
            <w:r w:rsidRPr="00871092">
              <w:rPr>
                <w:rFonts w:asciiTheme="majorBidi" w:hAnsiTheme="majorBidi" w:cstheme="majorBidi"/>
                <w:color w:val="000000" w:themeColor="text1"/>
              </w:rPr>
              <w:t>-</w:t>
            </w:r>
          </w:p>
        </w:tc>
      </w:tr>
    </w:tbl>
    <w:p w14:paraId="3338AE80" w14:textId="2BD77447" w:rsidR="00607CF3" w:rsidRPr="00871092" w:rsidRDefault="00607CF3" w:rsidP="00871092">
      <w:pPr>
        <w:spacing w:after="0" w:line="240" w:lineRule="auto"/>
        <w:rPr>
          <w:rFonts w:asciiTheme="majorBidi" w:hAnsiTheme="majorBidi" w:cstheme="majorBidi"/>
          <w:color w:val="000000" w:themeColor="text1"/>
        </w:rPr>
      </w:pPr>
      <w:r w:rsidRPr="00871092">
        <w:rPr>
          <w:rFonts w:asciiTheme="majorBidi" w:hAnsiTheme="majorBidi" w:cstheme="majorBidi"/>
          <w:color w:val="000000" w:themeColor="text1"/>
        </w:rPr>
        <w:t>DL: detection limit</w:t>
      </w:r>
    </w:p>
    <w:p w14:paraId="03948E02" w14:textId="77777777" w:rsidR="00001AFB" w:rsidRPr="00871092" w:rsidRDefault="00001AFB" w:rsidP="00871092">
      <w:pPr>
        <w:spacing w:after="0" w:line="240" w:lineRule="auto"/>
        <w:rPr>
          <w:rFonts w:asciiTheme="majorBidi" w:hAnsiTheme="majorBidi" w:cstheme="majorBidi"/>
          <w:color w:val="000000" w:themeColor="text1"/>
        </w:rPr>
      </w:pPr>
    </w:p>
    <w:p w14:paraId="510891B8" w14:textId="77777777" w:rsidR="00607CF3" w:rsidRPr="00871092" w:rsidRDefault="00607CF3" w:rsidP="000E3D8F">
      <w:pPr>
        <w:pStyle w:val="Titre1"/>
        <w:numPr>
          <w:ilvl w:val="0"/>
          <w:numId w:val="0"/>
        </w:numPr>
        <w:spacing w:before="0" w:after="0" w:line="240" w:lineRule="auto"/>
        <w:ind w:left="432" w:hanging="432"/>
        <w:rPr>
          <w:color w:val="000000" w:themeColor="text1"/>
          <w:sz w:val="22"/>
          <w:szCs w:val="22"/>
        </w:rPr>
      </w:pPr>
      <w:r w:rsidRPr="00871092">
        <w:rPr>
          <w:color w:val="000000" w:themeColor="text1"/>
          <w:sz w:val="22"/>
          <w:szCs w:val="22"/>
        </w:rPr>
        <w:t xml:space="preserve">Conclusion </w:t>
      </w:r>
    </w:p>
    <w:p w14:paraId="117931D9" w14:textId="2B6B1615" w:rsidR="007C5743" w:rsidRPr="00871092" w:rsidRDefault="007C5743"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This study establishes a direct link between the </w:t>
      </w:r>
      <w:proofErr w:type="spellStart"/>
      <w:r w:rsidRPr="00871092">
        <w:rPr>
          <w:rFonts w:asciiTheme="majorBidi" w:eastAsia="Times New Roman" w:hAnsiTheme="majorBidi" w:cstheme="majorBidi"/>
        </w:rPr>
        <w:t>mineralogies</w:t>
      </w:r>
      <w:proofErr w:type="spellEnd"/>
      <w:r w:rsidRPr="00871092">
        <w:rPr>
          <w:rFonts w:asciiTheme="majorBidi" w:eastAsia="Times New Roman" w:hAnsiTheme="majorBidi" w:cstheme="majorBidi"/>
        </w:rPr>
        <w:t xml:space="preserve"> of three Moroccan clays and their corresponding environmental risk profiles, creating a hierarchy of usability.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present</w:t>
      </w:r>
      <w:r w:rsidR="00DF5895">
        <w:rPr>
          <w:rFonts w:asciiTheme="majorBidi" w:eastAsia="Times New Roman" w:hAnsiTheme="majorBidi" w:cstheme="majorBidi"/>
        </w:rPr>
        <w:t>s</w:t>
      </w:r>
      <w:r w:rsidRPr="00871092">
        <w:rPr>
          <w:rFonts w:asciiTheme="majorBidi" w:eastAsia="Times New Roman" w:hAnsiTheme="majorBidi" w:cstheme="majorBidi"/>
        </w:rPr>
        <w:t xml:space="preserve"> significant geochemical and radiological risks. Its mineralogical composition, dominated by magnesium-rich </w:t>
      </w:r>
      <w:proofErr w:type="spellStart"/>
      <w:r w:rsidRPr="00871092">
        <w:rPr>
          <w:rFonts w:asciiTheme="majorBidi" w:eastAsia="Times New Roman" w:hAnsiTheme="majorBidi" w:cstheme="majorBidi"/>
        </w:rPr>
        <w:t>stevensite</w:t>
      </w:r>
      <w:proofErr w:type="spellEnd"/>
      <w:r w:rsidRPr="00871092">
        <w:rPr>
          <w:rFonts w:asciiTheme="majorBidi" w:eastAsia="Times New Roman" w:hAnsiTheme="majorBidi" w:cstheme="majorBidi"/>
        </w:rPr>
        <w:t xml:space="preserve"> with </w:t>
      </w:r>
      <w:r w:rsidR="00DF5895">
        <w:rPr>
          <w:rFonts w:asciiTheme="majorBidi" w:eastAsia="Times New Roman" w:hAnsiTheme="majorBidi" w:cstheme="majorBidi"/>
        </w:rPr>
        <w:t>low</w:t>
      </w:r>
      <w:r w:rsidRPr="00871092">
        <w:rPr>
          <w:rFonts w:asciiTheme="majorBidi" w:eastAsia="Times New Roman" w:hAnsiTheme="majorBidi" w:cstheme="majorBidi"/>
        </w:rPr>
        <w:t xml:space="preserve"> iron-aluminum oxide phases, fosters an environment that promotes the mobility of hazardous oxyanions, particularly arsenic and molybdenum (Mo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 91% leached), under alkaline conditions. This is compounded by a severe solid-phase cadmium enrichment (CF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 9.6) and elevated natural radioactivity, with activity concentrations for </w:t>
      </w:r>
      <w:r w:rsidRPr="00871092">
        <w:rPr>
          <w:rFonts w:asciiTheme="majorBidi" w:eastAsia="Times New Roman" w:hAnsiTheme="majorBidi" w:cstheme="majorBidi"/>
          <w:vertAlign w:val="superscript"/>
        </w:rPr>
        <w:t>232</w:t>
      </w:r>
      <w:r w:rsidRPr="00871092">
        <w:rPr>
          <w:rFonts w:asciiTheme="majorBidi" w:eastAsia="Times New Roman" w:hAnsiTheme="majorBidi" w:cstheme="majorBidi"/>
        </w:rPr>
        <w:t>Th reaching approximately 72 Bq kg</w:t>
      </w:r>
      <w:r w:rsidRPr="00871092">
        <w:rPr>
          <w:rFonts w:asciiTheme="majorBidi" w:eastAsia="Times New Roman" w:hAnsiTheme="majorBidi" w:cstheme="majorBidi"/>
          <w:vertAlign w:val="superscript"/>
        </w:rPr>
        <w:t>-1</w:t>
      </w:r>
      <w:r w:rsidRPr="00871092">
        <w:rPr>
          <w:rFonts w:asciiTheme="majorBidi" w:eastAsia="Times New Roman" w:hAnsiTheme="majorBidi" w:cstheme="majorBidi"/>
        </w:rPr>
        <w:t xml:space="preserve">. </w:t>
      </w:r>
    </w:p>
    <w:p w14:paraId="717A000F" w14:textId="6076B220" w:rsidR="007C5743" w:rsidRPr="00871092" w:rsidRDefault="007C5743"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In contrast, bentonite exhibits moderate contamination but a more stable environmental behavior. Its </w:t>
      </w:r>
      <w:proofErr w:type="spellStart"/>
      <w:r w:rsidRPr="00871092">
        <w:rPr>
          <w:rFonts w:asciiTheme="majorBidi" w:eastAsia="Times New Roman" w:hAnsiTheme="majorBidi" w:cstheme="majorBidi"/>
        </w:rPr>
        <w:t>montmorillonitic</w:t>
      </w:r>
      <w:proofErr w:type="spellEnd"/>
      <w:r w:rsidRPr="00871092">
        <w:rPr>
          <w:rFonts w:asciiTheme="majorBidi" w:eastAsia="Times New Roman" w:hAnsiTheme="majorBidi" w:cstheme="majorBidi"/>
        </w:rPr>
        <w:t xml:space="preserve"> mineralogy confers a high cation exchange capacity (CEC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 89 </w:t>
      </w:r>
      <w:proofErr w:type="spellStart"/>
      <w:r w:rsidRPr="00871092">
        <w:rPr>
          <w:rFonts w:asciiTheme="majorBidi" w:eastAsia="Times New Roman" w:hAnsiTheme="majorBidi" w:cstheme="majorBidi"/>
        </w:rPr>
        <w:t>meq</w:t>
      </w:r>
      <w:proofErr w:type="spellEnd"/>
      <w:r w:rsidRPr="00871092">
        <w:rPr>
          <w:rFonts w:asciiTheme="majorBidi" w:eastAsia="Times New Roman" w:hAnsiTheme="majorBidi" w:cstheme="majorBidi"/>
        </w:rPr>
        <w:t xml:space="preserve"> 100 g</w:t>
      </w:r>
      <w:r w:rsidRPr="00871092">
        <w:rPr>
          <w:rFonts w:asciiTheme="majorBidi" w:eastAsia="Times New Roman" w:hAnsiTheme="majorBidi" w:cstheme="majorBidi"/>
          <w:vertAlign w:val="superscript"/>
        </w:rPr>
        <w:t>-1</w:t>
      </w:r>
      <w:r w:rsidRPr="00871092">
        <w:rPr>
          <w:rFonts w:asciiTheme="majorBidi" w:eastAsia="Times New Roman" w:hAnsiTheme="majorBidi" w:cstheme="majorBidi"/>
        </w:rPr>
        <w:t>), which effectively immobilizes cationic potentially toxic elements. Nevertheless, its leachate is cation-rich, and it possesses a substantial total reservoir of zinc, causing its leachate to exceed the EU inert waste limit for Zn (</w:t>
      </w:r>
      <w:r w:rsidR="00532044" w:rsidRPr="00871092">
        <w:rPr>
          <w:rFonts w:asciiTheme="majorBidi" w:eastAsia="Times New Roman" w:hAnsiTheme="majorBidi" w:cstheme="majorBidi"/>
        </w:rPr>
        <w:t>=</w:t>
      </w:r>
      <w:r w:rsidRPr="00871092">
        <w:rPr>
          <w:rFonts w:asciiTheme="majorBidi" w:eastAsia="Times New Roman" w:hAnsiTheme="majorBidi" w:cstheme="majorBidi"/>
        </w:rPr>
        <w:t xml:space="preserve"> 5.4 mg kg</w:t>
      </w:r>
      <w:r w:rsidRPr="00871092">
        <w:rPr>
          <w:rFonts w:asciiTheme="majorBidi" w:eastAsia="Times New Roman" w:hAnsiTheme="majorBidi" w:cstheme="majorBidi"/>
          <w:vertAlign w:val="superscript"/>
        </w:rPr>
        <w:t>-1</w:t>
      </w:r>
      <w:r w:rsidRPr="00871092">
        <w:rPr>
          <w:rFonts w:asciiTheme="majorBidi" w:eastAsia="Times New Roman" w:hAnsiTheme="majorBidi" w:cstheme="majorBidi"/>
        </w:rPr>
        <w:t>) and classifying it as non-hazardous waste for disposal purposes. Kaolin stands as the benchmark for safety and purity. Its kaolinitic composition, chemical inertness, and low contaminant mobility result in PTE concentrations generally at or below natural background levels, positioning it as the preferred material for high-purity pharmaceutical, food, and cosmetic applications.</w:t>
      </w:r>
    </w:p>
    <w:p w14:paraId="242C2FC2" w14:textId="3193717A" w:rsidR="00607CF3" w:rsidRPr="00871092" w:rsidRDefault="007C5743" w:rsidP="00871092">
      <w:pPr>
        <w:spacing w:after="0" w:line="240" w:lineRule="auto"/>
        <w:jc w:val="both"/>
        <w:rPr>
          <w:rFonts w:asciiTheme="majorBidi" w:eastAsia="Times New Roman" w:hAnsiTheme="majorBidi" w:cstheme="majorBidi"/>
        </w:rPr>
      </w:pPr>
      <w:r w:rsidRPr="00871092">
        <w:rPr>
          <w:rFonts w:asciiTheme="majorBidi" w:eastAsia="Times New Roman" w:hAnsiTheme="majorBidi" w:cstheme="majorBidi"/>
        </w:rPr>
        <w:t xml:space="preserve">These findings demonstrate that total elemental concentration is an insufficient predictor of environmental risk; rather, leaching behavior governed by mineral-specific surface chemistry is the </w:t>
      </w:r>
      <w:r w:rsidR="00DF5895">
        <w:rPr>
          <w:rFonts w:asciiTheme="majorBidi" w:eastAsia="Times New Roman" w:hAnsiTheme="majorBidi" w:cstheme="majorBidi"/>
        </w:rPr>
        <w:t>main</w:t>
      </w:r>
      <w:r w:rsidR="00DF5895" w:rsidRPr="00871092">
        <w:rPr>
          <w:rFonts w:asciiTheme="majorBidi" w:eastAsia="Times New Roman" w:hAnsiTheme="majorBidi" w:cstheme="majorBidi"/>
        </w:rPr>
        <w:t xml:space="preserve"> </w:t>
      </w:r>
      <w:r w:rsidR="00DF5895">
        <w:rPr>
          <w:rFonts w:asciiTheme="majorBidi" w:eastAsia="Times New Roman" w:hAnsiTheme="majorBidi" w:cstheme="majorBidi"/>
        </w:rPr>
        <w:t xml:space="preserve">control </w:t>
      </w:r>
      <w:r w:rsidRPr="00871092">
        <w:rPr>
          <w:rFonts w:asciiTheme="majorBidi" w:eastAsia="Times New Roman" w:hAnsiTheme="majorBidi" w:cstheme="majorBidi"/>
        </w:rPr>
        <w:t xml:space="preserve">factor. </w:t>
      </w:r>
      <w:r w:rsidR="00DF5895">
        <w:rPr>
          <w:rFonts w:asciiTheme="majorBidi" w:eastAsia="Times New Roman" w:hAnsiTheme="majorBidi" w:cstheme="majorBidi"/>
        </w:rPr>
        <w:t>T</w:t>
      </w:r>
      <w:r w:rsidRPr="00871092">
        <w:rPr>
          <w:rFonts w:asciiTheme="majorBidi" w:eastAsia="Times New Roman" w:hAnsiTheme="majorBidi" w:cstheme="majorBidi"/>
        </w:rPr>
        <w:t xml:space="preserve">o develop a predictive understanding of long-term performance, future investigations must progress beyond single-batch tests. A comprehensive, multi-faceted approach is required, incorporating pH-static leaching tests (e.g., CEN/TS 14429) to delineate the pH-dependent mobility of both cations and oxyanions, and kinetic column leaching experiments (e.g., EN 14405) to evaluate cumulative release rates over time. Furthermore, applying sequential extraction procedures would provide invaluable insight into the geochemical partitioning and potential bioavailability of contaminants. Finally, the experimental validation of targeted stabilization strategies, such as amending </w:t>
      </w:r>
      <w:proofErr w:type="spellStart"/>
      <w:r w:rsidRPr="00871092">
        <w:rPr>
          <w:rFonts w:asciiTheme="majorBidi" w:eastAsia="Times New Roman" w:hAnsiTheme="majorBidi" w:cstheme="majorBidi"/>
        </w:rPr>
        <w:t>ghassoul</w:t>
      </w:r>
      <w:proofErr w:type="spellEnd"/>
      <w:r w:rsidRPr="00871092">
        <w:rPr>
          <w:rFonts w:asciiTheme="majorBidi" w:eastAsia="Times New Roman" w:hAnsiTheme="majorBidi" w:cstheme="majorBidi"/>
        </w:rPr>
        <w:t xml:space="preserve"> with Fe/Mn-(</w:t>
      </w:r>
      <w:proofErr w:type="spellStart"/>
      <w:r w:rsidRPr="00871092">
        <w:rPr>
          <w:rFonts w:asciiTheme="majorBidi" w:eastAsia="Times New Roman" w:hAnsiTheme="majorBidi" w:cstheme="majorBidi"/>
        </w:rPr>
        <w:t>hydr</w:t>
      </w:r>
      <w:proofErr w:type="spellEnd"/>
      <w:r w:rsidRPr="00871092">
        <w:rPr>
          <w:rFonts w:asciiTheme="majorBidi" w:eastAsia="Times New Roman" w:hAnsiTheme="majorBidi" w:cstheme="majorBidi"/>
        </w:rPr>
        <w:t>)oxides to sequester mobile oxyanions, is a crucial next step toward mitigating the identified risks and enabling the safe and sustainable use of this material.</w:t>
      </w:r>
    </w:p>
    <w:p w14:paraId="1368756A" w14:textId="77777777" w:rsidR="007C5743" w:rsidRPr="00871092" w:rsidRDefault="007C5743" w:rsidP="00871092">
      <w:pPr>
        <w:spacing w:after="0" w:line="240" w:lineRule="auto"/>
        <w:rPr>
          <w:rFonts w:asciiTheme="majorBidi" w:hAnsiTheme="majorBidi" w:cstheme="majorBidi"/>
          <w:b/>
          <w:bCs/>
        </w:rPr>
      </w:pPr>
    </w:p>
    <w:p w14:paraId="4E30DB80" w14:textId="77777777" w:rsidR="00607CF3" w:rsidRPr="00871092" w:rsidRDefault="00607CF3" w:rsidP="00871092">
      <w:pPr>
        <w:spacing w:after="0" w:line="240" w:lineRule="auto"/>
        <w:rPr>
          <w:rFonts w:asciiTheme="majorBidi" w:hAnsiTheme="majorBidi" w:cstheme="majorBidi"/>
          <w:b/>
          <w:bCs/>
        </w:rPr>
      </w:pPr>
      <w:r w:rsidRPr="00871092">
        <w:rPr>
          <w:rFonts w:asciiTheme="majorBidi" w:hAnsiTheme="majorBidi" w:cstheme="majorBidi"/>
          <w:b/>
          <w:bCs/>
        </w:rPr>
        <w:t>Declaration of Competing Interest</w:t>
      </w:r>
    </w:p>
    <w:p w14:paraId="41353066" w14:textId="6E39EDC5" w:rsidR="00B8289B" w:rsidRDefault="00607CF3" w:rsidP="00871092">
      <w:pPr>
        <w:spacing w:after="0" w:line="240" w:lineRule="auto"/>
        <w:jc w:val="both"/>
        <w:rPr>
          <w:rFonts w:asciiTheme="majorBidi" w:hAnsiTheme="majorBidi" w:cstheme="majorBidi"/>
          <w:b/>
          <w:bCs/>
        </w:rPr>
      </w:pPr>
      <w:r w:rsidRPr="00871092">
        <w:rPr>
          <w:rFonts w:asciiTheme="majorBidi" w:hAnsiTheme="majorBidi" w:cstheme="majorBidi"/>
        </w:rPr>
        <w:t>The authors declare that they have no known competing financial interests or personal relationships that could have appeared to influence the work reported in this paper.</w:t>
      </w:r>
    </w:p>
    <w:p w14:paraId="2780B319" w14:textId="77777777" w:rsidR="00B8289B" w:rsidRPr="00871092" w:rsidRDefault="00B8289B" w:rsidP="00871092">
      <w:pPr>
        <w:spacing w:after="0" w:line="240" w:lineRule="auto"/>
        <w:jc w:val="both"/>
        <w:rPr>
          <w:rFonts w:asciiTheme="majorBidi" w:hAnsiTheme="majorBidi" w:cstheme="majorBidi"/>
        </w:rPr>
      </w:pPr>
    </w:p>
    <w:p w14:paraId="11C118BD" w14:textId="77777777" w:rsidR="00607CF3" w:rsidRPr="00871092" w:rsidRDefault="00607CF3" w:rsidP="000F084C">
      <w:pPr>
        <w:spacing w:after="0" w:line="240" w:lineRule="auto"/>
        <w:jc w:val="both"/>
        <w:rPr>
          <w:rFonts w:asciiTheme="majorBidi" w:hAnsiTheme="majorBidi" w:cstheme="majorBidi"/>
          <w:b/>
          <w:bCs/>
        </w:rPr>
      </w:pPr>
      <w:r w:rsidRPr="00871092">
        <w:rPr>
          <w:rFonts w:asciiTheme="majorBidi" w:hAnsiTheme="majorBidi" w:cstheme="majorBidi"/>
          <w:b/>
          <w:bCs/>
        </w:rPr>
        <w:t>Data availability</w:t>
      </w:r>
    </w:p>
    <w:p w14:paraId="37DEBF43" w14:textId="77777777" w:rsidR="00607CF3" w:rsidRDefault="00607CF3" w:rsidP="00871092">
      <w:pPr>
        <w:spacing w:after="0" w:line="240" w:lineRule="auto"/>
        <w:rPr>
          <w:rFonts w:asciiTheme="majorBidi" w:hAnsiTheme="majorBidi" w:cstheme="majorBidi"/>
        </w:rPr>
      </w:pPr>
      <w:r w:rsidRPr="00871092">
        <w:rPr>
          <w:rFonts w:asciiTheme="majorBidi" w:hAnsiTheme="majorBidi" w:cstheme="majorBidi"/>
        </w:rPr>
        <w:t>Data will be made available on request.</w:t>
      </w:r>
    </w:p>
    <w:p w14:paraId="6D6399B0" w14:textId="77777777" w:rsidR="00B8289B" w:rsidRPr="00871092" w:rsidRDefault="00B8289B" w:rsidP="00871092">
      <w:pPr>
        <w:spacing w:after="0" w:line="240" w:lineRule="auto"/>
        <w:rPr>
          <w:rFonts w:asciiTheme="majorBidi" w:hAnsiTheme="majorBidi" w:cstheme="majorBidi"/>
        </w:rPr>
      </w:pPr>
    </w:p>
    <w:p w14:paraId="775C3472" w14:textId="77777777" w:rsidR="00607CF3" w:rsidRPr="00871092" w:rsidRDefault="00607CF3" w:rsidP="00871092">
      <w:pPr>
        <w:spacing w:after="0" w:line="240" w:lineRule="auto"/>
        <w:jc w:val="both"/>
        <w:rPr>
          <w:rFonts w:asciiTheme="majorBidi" w:eastAsia="Times New Roman" w:hAnsiTheme="majorBidi" w:cstheme="majorBidi"/>
          <w:b/>
          <w:bCs/>
          <w:color w:val="000000" w:themeColor="text1"/>
          <w:kern w:val="0"/>
        </w:rPr>
      </w:pPr>
      <w:r w:rsidRPr="00871092">
        <w:rPr>
          <w:rFonts w:asciiTheme="majorBidi" w:eastAsia="Times New Roman" w:hAnsiTheme="majorBidi" w:cstheme="majorBidi"/>
          <w:b/>
          <w:bCs/>
          <w:color w:val="000000" w:themeColor="text1"/>
          <w:kern w:val="0"/>
        </w:rPr>
        <w:t>Acknowledgment</w:t>
      </w:r>
    </w:p>
    <w:p w14:paraId="217F8B07" w14:textId="7E8039CA" w:rsidR="007A4E31" w:rsidRPr="00871092" w:rsidRDefault="00607CF3" w:rsidP="000F084C">
      <w:pPr>
        <w:spacing w:after="0" w:line="240" w:lineRule="auto"/>
        <w:jc w:val="both"/>
        <w:rPr>
          <w:rFonts w:asciiTheme="majorBidi" w:eastAsia="Times New Roman" w:hAnsiTheme="majorBidi" w:cstheme="majorBidi"/>
          <w:b/>
          <w:bCs/>
          <w:color w:val="000000" w:themeColor="text1"/>
          <w:lang w:val="en-US"/>
        </w:rPr>
      </w:pPr>
      <w:r w:rsidRPr="00871092">
        <w:rPr>
          <w:rFonts w:asciiTheme="majorBidi" w:hAnsiTheme="majorBidi" w:cstheme="majorBidi"/>
          <w:color w:val="000000" w:themeColor="text1"/>
        </w:rPr>
        <w:t>We gratefully acknowledge the Department of Chemistry, Faculty of Sciences, Mohamed First University (Oujda, Morocco) for institutional support and access to laboratory facilities. We also thank Prof. Juan Pedro Bolívar Raya (and the Center on Natural Resources, Health and the Environment (RENSMA), University of Huelva, 21071 Huelva, Spain, for performing the radioactivity measurements and for helpful scientific discussions. Finally, we are indebted to Dr. Erwan-Nicolas Paineau (</w:t>
      </w:r>
      <w:proofErr w:type="spellStart"/>
      <w:r w:rsidRPr="00871092">
        <w:rPr>
          <w:rFonts w:asciiTheme="majorBidi" w:hAnsiTheme="majorBidi" w:cstheme="majorBidi"/>
          <w:color w:val="000000" w:themeColor="text1"/>
        </w:rPr>
        <w:t>Laboratoire</w:t>
      </w:r>
      <w:proofErr w:type="spellEnd"/>
      <w:r w:rsidRPr="00871092">
        <w:rPr>
          <w:rFonts w:asciiTheme="majorBidi" w:hAnsiTheme="majorBidi" w:cstheme="majorBidi"/>
          <w:color w:val="000000" w:themeColor="text1"/>
        </w:rPr>
        <w:t xml:space="preserve"> de Physique des </w:t>
      </w:r>
      <w:proofErr w:type="spellStart"/>
      <w:r w:rsidRPr="00871092">
        <w:rPr>
          <w:rFonts w:asciiTheme="majorBidi" w:hAnsiTheme="majorBidi" w:cstheme="majorBidi"/>
          <w:color w:val="000000" w:themeColor="text1"/>
        </w:rPr>
        <w:t>Solides</w:t>
      </w:r>
      <w:proofErr w:type="spellEnd"/>
      <w:r w:rsidRPr="00871092">
        <w:rPr>
          <w:rFonts w:asciiTheme="majorBidi" w:hAnsiTheme="majorBidi" w:cstheme="majorBidi"/>
          <w:color w:val="000000" w:themeColor="text1"/>
        </w:rPr>
        <w:t>, Université Paris-</w:t>
      </w:r>
      <w:proofErr w:type="spellStart"/>
      <w:r w:rsidRPr="00871092">
        <w:rPr>
          <w:rFonts w:asciiTheme="majorBidi" w:hAnsiTheme="majorBidi" w:cstheme="majorBidi"/>
          <w:color w:val="000000" w:themeColor="text1"/>
        </w:rPr>
        <w:t>Saclay</w:t>
      </w:r>
      <w:proofErr w:type="spellEnd"/>
      <w:r w:rsidRPr="00871092">
        <w:rPr>
          <w:rFonts w:asciiTheme="majorBidi" w:hAnsiTheme="majorBidi" w:cstheme="majorBidi"/>
          <w:color w:val="000000" w:themeColor="text1"/>
        </w:rPr>
        <w:t>, CNRS, 91405 Orsay, France) for his careful reading of the manuscript and insightful comments that improved the clarity and rigor of this work. Include a project of FRYMA (Huelva)</w:t>
      </w:r>
      <w:r w:rsidR="00B8289B">
        <w:t>.</w:t>
      </w:r>
    </w:p>
    <w:p w14:paraId="49CC55BA" w14:textId="77777777" w:rsidR="000C6547" w:rsidRDefault="000C6547" w:rsidP="000F084C">
      <w:pPr>
        <w:spacing w:after="0" w:line="240" w:lineRule="auto"/>
        <w:jc w:val="both"/>
      </w:pPr>
    </w:p>
    <w:p w14:paraId="6A57A6FC" w14:textId="7DF20C3C" w:rsidR="00607CF3" w:rsidRPr="00871092" w:rsidRDefault="00607CF3" w:rsidP="00871092">
      <w:pPr>
        <w:pStyle w:val="Titre1"/>
        <w:numPr>
          <w:ilvl w:val="0"/>
          <w:numId w:val="0"/>
        </w:numPr>
        <w:spacing w:before="0" w:after="0" w:line="240" w:lineRule="auto"/>
        <w:rPr>
          <w:color w:val="000000" w:themeColor="text1"/>
          <w:sz w:val="22"/>
          <w:szCs w:val="22"/>
        </w:rPr>
      </w:pPr>
      <w:r w:rsidRPr="00871092">
        <w:rPr>
          <w:color w:val="000000" w:themeColor="text1"/>
          <w:sz w:val="22"/>
          <w:szCs w:val="22"/>
        </w:rPr>
        <w:t xml:space="preserve">References </w:t>
      </w:r>
    </w:p>
    <w:p w14:paraId="36EE2410"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Abbou, B., </w:t>
      </w:r>
      <w:proofErr w:type="spellStart"/>
      <w:r w:rsidRPr="000C6547">
        <w:rPr>
          <w:rFonts w:asciiTheme="majorBidi" w:hAnsiTheme="majorBidi" w:cstheme="majorBidi"/>
        </w:rPr>
        <w:t>Lebkiri</w:t>
      </w:r>
      <w:proofErr w:type="spellEnd"/>
      <w:r w:rsidRPr="000C6547">
        <w:rPr>
          <w:rFonts w:asciiTheme="majorBidi" w:hAnsiTheme="majorBidi" w:cstheme="majorBidi"/>
        </w:rPr>
        <w:t xml:space="preserve">, I., </w:t>
      </w:r>
      <w:proofErr w:type="spellStart"/>
      <w:r w:rsidRPr="000C6547">
        <w:rPr>
          <w:rFonts w:asciiTheme="majorBidi" w:hAnsiTheme="majorBidi" w:cstheme="majorBidi"/>
        </w:rPr>
        <w:t>Ouaddari</w:t>
      </w:r>
      <w:proofErr w:type="spellEnd"/>
      <w:r w:rsidRPr="000C6547">
        <w:rPr>
          <w:rFonts w:asciiTheme="majorBidi" w:hAnsiTheme="majorBidi" w:cstheme="majorBidi"/>
        </w:rPr>
        <w:t xml:space="preserve">, H., Kadiri, L., </w:t>
      </w:r>
      <w:proofErr w:type="spellStart"/>
      <w:r w:rsidRPr="000C6547">
        <w:rPr>
          <w:rFonts w:asciiTheme="majorBidi" w:hAnsiTheme="majorBidi" w:cstheme="majorBidi"/>
        </w:rPr>
        <w:t>Ouass</w:t>
      </w:r>
      <w:proofErr w:type="spellEnd"/>
      <w:r w:rsidRPr="000C6547">
        <w:rPr>
          <w:rFonts w:asciiTheme="majorBidi" w:hAnsiTheme="majorBidi" w:cstheme="majorBidi"/>
        </w:rPr>
        <w:t xml:space="preserve">, A., HABSSAOUI, A., </w:t>
      </w:r>
      <w:proofErr w:type="spellStart"/>
      <w:r w:rsidRPr="000C6547">
        <w:rPr>
          <w:rFonts w:asciiTheme="majorBidi" w:hAnsiTheme="majorBidi" w:cstheme="majorBidi"/>
        </w:rPr>
        <w:t>Lebkiri</w:t>
      </w:r>
      <w:proofErr w:type="spellEnd"/>
      <w:r w:rsidRPr="000C6547">
        <w:rPr>
          <w:rFonts w:asciiTheme="majorBidi" w:hAnsiTheme="majorBidi" w:cstheme="majorBidi"/>
        </w:rPr>
        <w:t xml:space="preserve">, A. and </w:t>
      </w:r>
      <w:proofErr w:type="spellStart"/>
      <w:r w:rsidRPr="000C6547">
        <w:rPr>
          <w:rFonts w:asciiTheme="majorBidi" w:hAnsiTheme="majorBidi" w:cstheme="majorBidi"/>
        </w:rPr>
        <w:t>Rifi</w:t>
      </w:r>
      <w:proofErr w:type="spellEnd"/>
      <w:r w:rsidRPr="000C6547">
        <w:rPr>
          <w:rFonts w:asciiTheme="majorBidi" w:hAnsiTheme="majorBidi" w:cstheme="majorBidi"/>
        </w:rPr>
        <w:t xml:space="preserve">, E.H., 2021. Removal of Cd (II), Cu (II), and Pb (II) by adsorption onto natural clay: a kinetic </w:t>
      </w:r>
      <w:proofErr w:type="spellStart"/>
      <w:r w:rsidRPr="000C6547">
        <w:rPr>
          <w:rFonts w:asciiTheme="majorBidi" w:hAnsiTheme="majorBidi" w:cstheme="majorBidi"/>
        </w:rPr>
        <w:t>andthermodynamic</w:t>
      </w:r>
      <w:proofErr w:type="spellEnd"/>
      <w:r w:rsidRPr="000C6547">
        <w:rPr>
          <w:rFonts w:asciiTheme="majorBidi" w:hAnsiTheme="majorBidi" w:cstheme="majorBidi"/>
        </w:rPr>
        <w:t xml:space="preserve"> study. Turkish Journal of Chemistry, 45(2), pp.362-376. </w:t>
      </w:r>
      <w:hyperlink r:id="rId16" w:history="1">
        <w:r w:rsidRPr="000C6547">
          <w:rPr>
            <w:rStyle w:val="Lienhypertexte"/>
            <w:rFonts w:asciiTheme="majorBidi" w:hAnsiTheme="majorBidi" w:cstheme="majorBidi"/>
          </w:rPr>
          <w:t>https://doi.org/10.3906/kim-2004-82</w:t>
        </w:r>
      </w:hyperlink>
      <w:r w:rsidRPr="000C6547">
        <w:rPr>
          <w:rFonts w:asciiTheme="majorBidi" w:hAnsiTheme="majorBidi" w:cstheme="majorBidi"/>
        </w:rPr>
        <w:t xml:space="preserve"> </w:t>
      </w:r>
    </w:p>
    <w:p w14:paraId="68EA4DF4"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lastRenderedPageBreak/>
        <w:t>Abowaly</w:t>
      </w:r>
      <w:proofErr w:type="spellEnd"/>
      <w:r w:rsidRPr="000C6547">
        <w:rPr>
          <w:rFonts w:asciiTheme="majorBidi" w:hAnsiTheme="majorBidi" w:cstheme="majorBidi"/>
        </w:rPr>
        <w:t xml:space="preserve">, M.E., Belal, A.A.A., Abd Elkhalek, E.E., Elsayed, S., Abou Samra, R.M., Alshammari, A.S., </w:t>
      </w:r>
      <w:proofErr w:type="spellStart"/>
      <w:r w:rsidRPr="000C6547">
        <w:rPr>
          <w:rFonts w:asciiTheme="majorBidi" w:hAnsiTheme="majorBidi" w:cstheme="majorBidi"/>
        </w:rPr>
        <w:t>Moghanm</w:t>
      </w:r>
      <w:proofErr w:type="spellEnd"/>
      <w:r w:rsidRPr="000C6547">
        <w:rPr>
          <w:rFonts w:asciiTheme="majorBidi" w:hAnsiTheme="majorBidi" w:cstheme="majorBidi"/>
        </w:rPr>
        <w:t xml:space="preserve">, F.S., </w:t>
      </w:r>
      <w:proofErr w:type="spellStart"/>
      <w:r w:rsidRPr="000C6547">
        <w:rPr>
          <w:rFonts w:asciiTheme="majorBidi" w:hAnsiTheme="majorBidi" w:cstheme="majorBidi"/>
        </w:rPr>
        <w:t>Shaltout</w:t>
      </w:r>
      <w:proofErr w:type="spellEnd"/>
      <w:r w:rsidRPr="000C6547">
        <w:rPr>
          <w:rFonts w:asciiTheme="majorBidi" w:hAnsiTheme="majorBidi" w:cstheme="majorBidi"/>
        </w:rPr>
        <w:t xml:space="preserve">, K.H., Alamri, S.A. and Eid, E.M., 2021. Assessment of soil pollution levels in North Nile Delta, by integrating contamination indices, GIS, and multivariate modeling. Sustainability, 13(14), p.8027. </w:t>
      </w:r>
      <w:hyperlink r:id="rId17" w:history="1">
        <w:r w:rsidRPr="000C6547">
          <w:rPr>
            <w:rStyle w:val="Lienhypertexte"/>
            <w:rFonts w:asciiTheme="majorBidi" w:hAnsiTheme="majorBidi" w:cstheme="majorBidi"/>
          </w:rPr>
          <w:t>https://doi.org/10.3390/su13148027</w:t>
        </w:r>
      </w:hyperlink>
      <w:r w:rsidRPr="000C6547">
        <w:rPr>
          <w:rFonts w:asciiTheme="majorBidi" w:hAnsiTheme="majorBidi" w:cstheme="majorBidi"/>
        </w:rPr>
        <w:t xml:space="preserve"> </w:t>
      </w:r>
    </w:p>
    <w:p w14:paraId="7FBD892A"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Achchatar</w:t>
      </w:r>
      <w:proofErr w:type="spellEnd"/>
      <w:r w:rsidRPr="000C6547">
        <w:rPr>
          <w:rFonts w:asciiTheme="majorBidi" w:hAnsiTheme="majorBidi" w:cstheme="majorBidi"/>
        </w:rPr>
        <w:t xml:space="preserve">, K., </w:t>
      </w:r>
      <w:proofErr w:type="spellStart"/>
      <w:r w:rsidRPr="000C6547">
        <w:rPr>
          <w:rFonts w:asciiTheme="majorBidi" w:hAnsiTheme="majorBidi" w:cstheme="majorBidi"/>
        </w:rPr>
        <w:t>Valange</w:t>
      </w:r>
      <w:proofErr w:type="spellEnd"/>
      <w:r w:rsidRPr="000C6547">
        <w:rPr>
          <w:rFonts w:asciiTheme="majorBidi" w:hAnsiTheme="majorBidi" w:cstheme="majorBidi"/>
        </w:rPr>
        <w:t xml:space="preserve">, S., </w:t>
      </w:r>
      <w:proofErr w:type="spellStart"/>
      <w:r w:rsidRPr="000C6547">
        <w:rPr>
          <w:rFonts w:asciiTheme="majorBidi" w:hAnsiTheme="majorBidi" w:cstheme="majorBidi"/>
        </w:rPr>
        <w:t>Kherbeche</w:t>
      </w:r>
      <w:proofErr w:type="spellEnd"/>
      <w:r w:rsidRPr="000C6547">
        <w:rPr>
          <w:rFonts w:asciiTheme="majorBidi" w:hAnsiTheme="majorBidi" w:cstheme="majorBidi"/>
        </w:rPr>
        <w:t xml:space="preserve">, A., Gallard, H. and </w:t>
      </w:r>
      <w:proofErr w:type="spellStart"/>
      <w:r w:rsidRPr="000C6547">
        <w:rPr>
          <w:rFonts w:asciiTheme="majorBidi" w:hAnsiTheme="majorBidi" w:cstheme="majorBidi"/>
        </w:rPr>
        <w:t>Draoui</w:t>
      </w:r>
      <w:proofErr w:type="spellEnd"/>
      <w:r w:rsidRPr="000C6547">
        <w:rPr>
          <w:rFonts w:asciiTheme="majorBidi" w:hAnsiTheme="majorBidi" w:cstheme="majorBidi"/>
        </w:rPr>
        <w:t xml:space="preserve">, K., 2025. Cadmium removal using </w:t>
      </w:r>
      <w:proofErr w:type="spellStart"/>
      <w:r w:rsidRPr="000C6547">
        <w:rPr>
          <w:rFonts w:asciiTheme="majorBidi" w:hAnsiTheme="majorBidi" w:cstheme="majorBidi"/>
        </w:rPr>
        <w:t>Rhassoul</w:t>
      </w:r>
      <w:proofErr w:type="spellEnd"/>
      <w:r w:rsidRPr="000C6547">
        <w:rPr>
          <w:rFonts w:asciiTheme="majorBidi" w:hAnsiTheme="majorBidi" w:cstheme="majorBidi"/>
        </w:rPr>
        <w:t xml:space="preserve">/alginate composite beads: isotherms, kinetics, and thermodynamic study. Adsorption, 31(1), pp.1-21. </w:t>
      </w:r>
      <w:hyperlink r:id="rId18" w:history="1">
        <w:r w:rsidRPr="000C6547">
          <w:rPr>
            <w:rStyle w:val="Lienhypertexte"/>
            <w:rFonts w:asciiTheme="majorBidi" w:hAnsiTheme="majorBidi" w:cstheme="majorBidi"/>
          </w:rPr>
          <w:t>https://doi.org/10.1007/s10450-024-00583-3</w:t>
        </w:r>
      </w:hyperlink>
      <w:r w:rsidRPr="000C6547">
        <w:rPr>
          <w:rFonts w:asciiTheme="majorBidi" w:hAnsiTheme="majorBidi" w:cstheme="majorBidi"/>
        </w:rPr>
        <w:t xml:space="preserve">  </w:t>
      </w:r>
    </w:p>
    <w:p w14:paraId="2544164E"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Adeola, A.O., </w:t>
      </w:r>
      <w:proofErr w:type="spellStart"/>
      <w:r w:rsidRPr="000C6547">
        <w:rPr>
          <w:rFonts w:asciiTheme="majorBidi" w:hAnsiTheme="majorBidi" w:cstheme="majorBidi"/>
        </w:rPr>
        <w:t>Iwuozor</w:t>
      </w:r>
      <w:proofErr w:type="spellEnd"/>
      <w:r w:rsidRPr="000C6547">
        <w:rPr>
          <w:rFonts w:asciiTheme="majorBidi" w:hAnsiTheme="majorBidi" w:cstheme="majorBidi"/>
        </w:rPr>
        <w:t xml:space="preserve">, K.O., </w:t>
      </w:r>
      <w:proofErr w:type="spellStart"/>
      <w:r w:rsidRPr="000C6547">
        <w:rPr>
          <w:rFonts w:asciiTheme="majorBidi" w:hAnsiTheme="majorBidi" w:cstheme="majorBidi"/>
        </w:rPr>
        <w:t>Akpomie</w:t>
      </w:r>
      <w:proofErr w:type="spellEnd"/>
      <w:r w:rsidRPr="000C6547">
        <w:rPr>
          <w:rFonts w:asciiTheme="majorBidi" w:hAnsiTheme="majorBidi" w:cstheme="majorBidi"/>
        </w:rPr>
        <w:t xml:space="preserve">, K.G., Adegoke, K.A., </w:t>
      </w:r>
      <w:proofErr w:type="spellStart"/>
      <w:r w:rsidRPr="000C6547">
        <w:rPr>
          <w:rFonts w:asciiTheme="majorBidi" w:hAnsiTheme="majorBidi" w:cstheme="majorBidi"/>
        </w:rPr>
        <w:t>Oyedotun</w:t>
      </w:r>
      <w:proofErr w:type="spellEnd"/>
      <w:r w:rsidRPr="000C6547">
        <w:rPr>
          <w:rFonts w:asciiTheme="majorBidi" w:hAnsiTheme="majorBidi" w:cstheme="majorBidi"/>
        </w:rPr>
        <w:t xml:space="preserve">, K.O., </w:t>
      </w:r>
      <w:proofErr w:type="spellStart"/>
      <w:r w:rsidRPr="000C6547">
        <w:rPr>
          <w:rFonts w:asciiTheme="majorBidi" w:hAnsiTheme="majorBidi" w:cstheme="majorBidi"/>
        </w:rPr>
        <w:t>Ighalo</w:t>
      </w:r>
      <w:proofErr w:type="spellEnd"/>
      <w:r w:rsidRPr="000C6547">
        <w:rPr>
          <w:rFonts w:asciiTheme="majorBidi" w:hAnsiTheme="majorBidi" w:cstheme="majorBidi"/>
        </w:rPr>
        <w:t xml:space="preserve">, J.O., </w:t>
      </w:r>
      <w:proofErr w:type="spellStart"/>
      <w:r w:rsidRPr="000C6547">
        <w:rPr>
          <w:rFonts w:asciiTheme="majorBidi" w:hAnsiTheme="majorBidi" w:cstheme="majorBidi"/>
        </w:rPr>
        <w:t>Amaku</w:t>
      </w:r>
      <w:proofErr w:type="spellEnd"/>
      <w:r w:rsidRPr="000C6547">
        <w:rPr>
          <w:rFonts w:asciiTheme="majorBidi" w:hAnsiTheme="majorBidi" w:cstheme="majorBidi"/>
        </w:rPr>
        <w:t xml:space="preserve">, J.F., </w:t>
      </w:r>
      <w:proofErr w:type="spellStart"/>
      <w:r w:rsidRPr="000C6547">
        <w:rPr>
          <w:rFonts w:asciiTheme="majorBidi" w:hAnsiTheme="majorBidi" w:cstheme="majorBidi"/>
        </w:rPr>
        <w:t>Olisah</w:t>
      </w:r>
      <w:proofErr w:type="spellEnd"/>
      <w:r w:rsidRPr="000C6547">
        <w:rPr>
          <w:rFonts w:asciiTheme="majorBidi" w:hAnsiTheme="majorBidi" w:cstheme="majorBidi"/>
        </w:rPr>
        <w:t xml:space="preserve">, C. and Conradie, J., 2023. Advances in the management of radioactive wastes and radionuclide contamination in environmental compartments: a review. Environmental geochemistry and health, 45(6), pp.2663-2689. </w:t>
      </w:r>
      <w:hyperlink r:id="rId19" w:history="1">
        <w:r w:rsidRPr="000C6547">
          <w:rPr>
            <w:rStyle w:val="Lienhypertexte"/>
            <w:rFonts w:asciiTheme="majorBidi" w:hAnsiTheme="majorBidi" w:cstheme="majorBidi"/>
          </w:rPr>
          <w:t>https://doi.org/10.1007/s10653-022-01378-7</w:t>
        </w:r>
      </w:hyperlink>
      <w:r w:rsidRPr="000C6547">
        <w:rPr>
          <w:rFonts w:asciiTheme="majorBidi" w:hAnsiTheme="majorBidi" w:cstheme="majorBidi"/>
        </w:rPr>
        <w:t xml:space="preserve">  </w:t>
      </w:r>
    </w:p>
    <w:p w14:paraId="40188687" w14:textId="77777777" w:rsidR="000C6547" w:rsidRPr="000C6547" w:rsidRDefault="000C6547" w:rsidP="000C6547">
      <w:pPr>
        <w:ind w:left="709" w:hanging="709"/>
        <w:jc w:val="both"/>
        <w:rPr>
          <w:rFonts w:asciiTheme="majorBidi" w:hAnsiTheme="majorBidi" w:cstheme="majorBidi"/>
          <w:lang w:val="fr-BE"/>
        </w:rPr>
      </w:pPr>
      <w:r w:rsidRPr="000C6547">
        <w:rPr>
          <w:rFonts w:asciiTheme="majorBidi" w:hAnsiTheme="majorBidi" w:cstheme="majorBidi"/>
          <w:lang w:val="en-US"/>
        </w:rPr>
        <w:t xml:space="preserve">AFNOR (1999). </w:t>
      </w:r>
      <w:r w:rsidRPr="000C6547">
        <w:rPr>
          <w:rFonts w:asciiTheme="majorBidi" w:hAnsiTheme="majorBidi" w:cstheme="majorBidi"/>
          <w:lang w:val="fr-BE"/>
        </w:rPr>
        <w:t xml:space="preserve">NF X 31.130. Qualité des sols - Méthodes chimiques - Détermination de la capacité d'échange cationique (CEC) et des cations extractibles, Association Française de Normalisation (AFNOR), Paris, France. </w:t>
      </w:r>
    </w:p>
    <w:p w14:paraId="07EDBADE" w14:textId="77777777" w:rsidR="000C6547" w:rsidRPr="000C6547" w:rsidRDefault="000C6547" w:rsidP="000C6547">
      <w:pPr>
        <w:ind w:left="709" w:hanging="709"/>
        <w:rPr>
          <w:rFonts w:asciiTheme="majorBidi" w:hAnsiTheme="majorBidi" w:cstheme="majorBidi"/>
          <w:lang w:val="fr-FR"/>
        </w:rPr>
      </w:pPr>
      <w:r w:rsidRPr="000C6547">
        <w:rPr>
          <w:rFonts w:asciiTheme="majorBidi" w:hAnsiTheme="majorBidi" w:cstheme="majorBidi"/>
          <w:lang w:val="fr-BE"/>
        </w:rPr>
        <w:t xml:space="preserve">AFNOR. </w:t>
      </w:r>
      <w:r w:rsidRPr="000C6547">
        <w:rPr>
          <w:rFonts w:asciiTheme="majorBidi" w:hAnsiTheme="majorBidi" w:cstheme="majorBidi"/>
          <w:lang w:val="fr-FR"/>
        </w:rPr>
        <w:t>(1998). Norme française. Sol: Reconnaissance et essais. Mesure de la capacité d'adsorption de bleu de méthylène d'un sol ou d'un matériau rocheux. Pp. 8. NF P 94-068.</w:t>
      </w:r>
    </w:p>
    <w:p w14:paraId="4626979C"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lang w:val="fr-FR"/>
        </w:rPr>
        <w:t>Agyeman</w:t>
      </w:r>
      <w:proofErr w:type="spellEnd"/>
      <w:r w:rsidRPr="000C6547">
        <w:rPr>
          <w:rFonts w:asciiTheme="majorBidi" w:hAnsiTheme="majorBidi" w:cstheme="majorBidi"/>
          <w:lang w:val="fr-FR"/>
        </w:rPr>
        <w:t xml:space="preserve">, P.C., John, K., </w:t>
      </w:r>
      <w:proofErr w:type="spellStart"/>
      <w:r w:rsidRPr="000C6547">
        <w:rPr>
          <w:rFonts w:asciiTheme="majorBidi" w:hAnsiTheme="majorBidi" w:cstheme="majorBidi"/>
          <w:lang w:val="fr-FR"/>
        </w:rPr>
        <w:t>Kebonye</w:t>
      </w:r>
      <w:proofErr w:type="spellEnd"/>
      <w:r w:rsidRPr="000C6547">
        <w:rPr>
          <w:rFonts w:asciiTheme="majorBidi" w:hAnsiTheme="majorBidi" w:cstheme="majorBidi"/>
          <w:lang w:val="fr-FR"/>
        </w:rPr>
        <w:t xml:space="preserve">, N.M., </w:t>
      </w:r>
      <w:proofErr w:type="spellStart"/>
      <w:r w:rsidRPr="000C6547">
        <w:rPr>
          <w:rFonts w:asciiTheme="majorBidi" w:hAnsiTheme="majorBidi" w:cstheme="majorBidi"/>
          <w:lang w:val="fr-FR"/>
        </w:rPr>
        <w:t>Ahado</w:t>
      </w:r>
      <w:proofErr w:type="spellEnd"/>
      <w:r w:rsidRPr="000C6547">
        <w:rPr>
          <w:rFonts w:asciiTheme="majorBidi" w:hAnsiTheme="majorBidi" w:cstheme="majorBidi"/>
          <w:lang w:val="fr-FR"/>
        </w:rPr>
        <w:t xml:space="preserve">, S.K., </w:t>
      </w:r>
      <w:proofErr w:type="spellStart"/>
      <w:r w:rsidRPr="000C6547">
        <w:rPr>
          <w:rFonts w:asciiTheme="majorBidi" w:hAnsiTheme="majorBidi" w:cstheme="majorBidi"/>
          <w:lang w:val="fr-FR"/>
        </w:rPr>
        <w:t>Borůvka</w:t>
      </w:r>
      <w:proofErr w:type="spellEnd"/>
      <w:r w:rsidRPr="000C6547">
        <w:rPr>
          <w:rFonts w:asciiTheme="majorBidi" w:hAnsiTheme="majorBidi" w:cstheme="majorBidi"/>
          <w:lang w:val="fr-FR"/>
        </w:rPr>
        <w:t xml:space="preserve">, L., </w:t>
      </w:r>
      <w:proofErr w:type="spellStart"/>
      <w:r w:rsidRPr="000C6547">
        <w:rPr>
          <w:rFonts w:asciiTheme="majorBidi" w:hAnsiTheme="majorBidi" w:cstheme="majorBidi"/>
          <w:lang w:val="fr-FR"/>
        </w:rPr>
        <w:t>Němeček</w:t>
      </w:r>
      <w:proofErr w:type="spellEnd"/>
      <w:r w:rsidRPr="000C6547">
        <w:rPr>
          <w:rFonts w:asciiTheme="majorBidi" w:hAnsiTheme="majorBidi" w:cstheme="majorBidi"/>
          <w:lang w:val="fr-FR"/>
        </w:rPr>
        <w:t xml:space="preserve">, K. and </w:t>
      </w:r>
      <w:proofErr w:type="spellStart"/>
      <w:r w:rsidRPr="000C6547">
        <w:rPr>
          <w:rFonts w:asciiTheme="majorBidi" w:hAnsiTheme="majorBidi" w:cstheme="majorBidi"/>
          <w:lang w:val="fr-FR"/>
        </w:rPr>
        <w:t>Vašát</w:t>
      </w:r>
      <w:proofErr w:type="spellEnd"/>
      <w:r w:rsidRPr="000C6547">
        <w:rPr>
          <w:rFonts w:asciiTheme="majorBidi" w:hAnsiTheme="majorBidi" w:cstheme="majorBidi"/>
          <w:lang w:val="fr-FR"/>
        </w:rPr>
        <w:t xml:space="preserve">, R., 2022. </w:t>
      </w:r>
      <w:r w:rsidRPr="000C6547">
        <w:rPr>
          <w:rFonts w:asciiTheme="majorBidi" w:hAnsiTheme="majorBidi" w:cstheme="majorBidi"/>
        </w:rPr>
        <w:t>Multi-geochemical background comparison and the identification of the best normalizer for the estimation of PTE contamination in agricultural soil. Environmental Geochemistry and Health, 44(10), pp.3597-3613.</w:t>
      </w:r>
    </w:p>
    <w:p w14:paraId="51932804"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lang w:val="en-US"/>
        </w:rPr>
        <w:t xml:space="preserve">Ahirvar, B.P., Das, P., Srivastava, V. and Kumar, M., 2023. </w:t>
      </w:r>
      <w:r w:rsidRPr="000C6547">
        <w:rPr>
          <w:rFonts w:asciiTheme="majorBidi" w:hAnsiTheme="majorBidi" w:cstheme="majorBidi"/>
        </w:rPr>
        <w:t xml:space="preserve">Perspectives of heavy metal pollution indices for soil, sediment, and water pollution evaluation: An insight. Total Environment Research Themes, 6, p.100039. </w:t>
      </w:r>
      <w:hyperlink r:id="rId20" w:tgtFrame="_blank" w:tooltip="Persistent link using digital object identifier" w:history="1">
        <w:r w:rsidRPr="000C6547">
          <w:rPr>
            <w:rStyle w:val="Lienhypertexte"/>
            <w:rFonts w:asciiTheme="majorBidi" w:hAnsiTheme="majorBidi" w:cstheme="majorBidi"/>
          </w:rPr>
          <w:t>https://doi.org/10.1016/j.totert.2023.100039</w:t>
        </w:r>
      </w:hyperlink>
      <w:r w:rsidRPr="000C6547">
        <w:rPr>
          <w:rFonts w:asciiTheme="majorBidi" w:hAnsiTheme="majorBidi" w:cstheme="majorBidi"/>
        </w:rPr>
        <w:t xml:space="preserve"> </w:t>
      </w:r>
    </w:p>
    <w:p w14:paraId="15731452"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shd w:val="clear" w:color="auto" w:fill="FFFFFF"/>
        </w:rPr>
        <w:t xml:space="preserve">Ait Hmeid, H., </w:t>
      </w:r>
      <w:proofErr w:type="spellStart"/>
      <w:r w:rsidRPr="000C6547">
        <w:rPr>
          <w:rFonts w:asciiTheme="majorBidi" w:hAnsiTheme="majorBidi" w:cstheme="majorBidi"/>
          <w:shd w:val="clear" w:color="auto" w:fill="FFFFFF"/>
        </w:rPr>
        <w:t>Akodad</w:t>
      </w:r>
      <w:proofErr w:type="spellEnd"/>
      <w:r w:rsidRPr="000C6547">
        <w:rPr>
          <w:rFonts w:asciiTheme="majorBidi" w:hAnsiTheme="majorBidi" w:cstheme="majorBidi"/>
          <w:shd w:val="clear" w:color="auto" w:fill="FFFFFF"/>
        </w:rPr>
        <w:t xml:space="preserve">, M., </w:t>
      </w:r>
      <w:proofErr w:type="spellStart"/>
      <w:r w:rsidRPr="000C6547">
        <w:rPr>
          <w:rFonts w:asciiTheme="majorBidi" w:hAnsiTheme="majorBidi" w:cstheme="majorBidi"/>
          <w:shd w:val="clear" w:color="auto" w:fill="FFFFFF"/>
        </w:rPr>
        <w:t>Baghour</w:t>
      </w:r>
      <w:proofErr w:type="spellEnd"/>
      <w:r w:rsidRPr="000C6547">
        <w:rPr>
          <w:rFonts w:asciiTheme="majorBidi" w:hAnsiTheme="majorBidi" w:cstheme="majorBidi"/>
          <w:shd w:val="clear" w:color="auto" w:fill="FFFFFF"/>
        </w:rPr>
        <w:t xml:space="preserve">, M., Moumen, A., </w:t>
      </w:r>
      <w:proofErr w:type="spellStart"/>
      <w:r w:rsidRPr="000C6547">
        <w:rPr>
          <w:rFonts w:asciiTheme="majorBidi" w:hAnsiTheme="majorBidi" w:cstheme="majorBidi"/>
          <w:shd w:val="clear" w:color="auto" w:fill="FFFFFF"/>
        </w:rPr>
        <w:t>Skalli</w:t>
      </w:r>
      <w:proofErr w:type="spellEnd"/>
      <w:r w:rsidRPr="000C6547">
        <w:rPr>
          <w:rFonts w:asciiTheme="majorBidi" w:hAnsiTheme="majorBidi" w:cstheme="majorBidi"/>
          <w:shd w:val="clear" w:color="auto" w:fill="FFFFFF"/>
        </w:rPr>
        <w:t xml:space="preserve">, A., Azizi, G., </w:t>
      </w:r>
      <w:proofErr w:type="spellStart"/>
      <w:r w:rsidRPr="000C6547">
        <w:rPr>
          <w:rFonts w:asciiTheme="majorBidi" w:hAnsiTheme="majorBidi" w:cstheme="majorBidi"/>
          <w:shd w:val="clear" w:color="auto" w:fill="FFFFFF"/>
        </w:rPr>
        <w:t>Gueddari</w:t>
      </w:r>
      <w:proofErr w:type="spellEnd"/>
      <w:r w:rsidRPr="000C6547">
        <w:rPr>
          <w:rFonts w:asciiTheme="majorBidi" w:hAnsiTheme="majorBidi" w:cstheme="majorBidi"/>
          <w:shd w:val="clear" w:color="auto" w:fill="FFFFFF"/>
        </w:rPr>
        <w:t xml:space="preserve">, H., Maach, M., </w:t>
      </w:r>
      <w:proofErr w:type="spellStart"/>
      <w:r w:rsidRPr="000C6547">
        <w:rPr>
          <w:rFonts w:asciiTheme="majorBidi" w:hAnsiTheme="majorBidi" w:cstheme="majorBidi"/>
          <w:shd w:val="clear" w:color="auto" w:fill="FFFFFF"/>
        </w:rPr>
        <w:t>Aalaoul</w:t>
      </w:r>
      <w:proofErr w:type="spellEnd"/>
      <w:r w:rsidRPr="000C6547">
        <w:rPr>
          <w:rFonts w:asciiTheme="majorBidi" w:hAnsiTheme="majorBidi" w:cstheme="majorBidi"/>
          <w:shd w:val="clear" w:color="auto" w:fill="FFFFFF"/>
        </w:rPr>
        <w:t xml:space="preserve">, M., </w:t>
      </w:r>
      <w:proofErr w:type="spellStart"/>
      <w:r w:rsidRPr="000C6547">
        <w:rPr>
          <w:rFonts w:asciiTheme="majorBidi" w:hAnsiTheme="majorBidi" w:cstheme="majorBidi"/>
          <w:shd w:val="clear" w:color="auto" w:fill="FFFFFF"/>
        </w:rPr>
        <w:t>Anjjar</w:t>
      </w:r>
      <w:proofErr w:type="spellEnd"/>
      <w:r w:rsidRPr="000C6547">
        <w:rPr>
          <w:rFonts w:asciiTheme="majorBidi" w:hAnsiTheme="majorBidi" w:cstheme="majorBidi"/>
          <w:shd w:val="clear" w:color="auto" w:fill="FFFFFF"/>
        </w:rPr>
        <w:t xml:space="preserve">, A., Daoudi, L., 2021. Valorization of Moroccan Bentonite </w:t>
      </w:r>
      <w:proofErr w:type="spellStart"/>
      <w:r w:rsidRPr="000C6547">
        <w:rPr>
          <w:rFonts w:asciiTheme="majorBidi" w:hAnsiTheme="majorBidi" w:cstheme="majorBidi"/>
          <w:shd w:val="clear" w:color="auto" w:fill="FFFFFF"/>
        </w:rPr>
        <w:t>Deposits:“Purification</w:t>
      </w:r>
      <w:proofErr w:type="spellEnd"/>
      <w:r w:rsidRPr="000C6547">
        <w:rPr>
          <w:rFonts w:asciiTheme="majorBidi" w:hAnsiTheme="majorBidi" w:cstheme="majorBidi"/>
          <w:shd w:val="clear" w:color="auto" w:fill="FFFFFF"/>
        </w:rPr>
        <w:t xml:space="preserve"> and Treatment of Margin by the Adsorption Process”. Mol. 26(18), 5528</w:t>
      </w:r>
      <w:r w:rsidRPr="000C6547">
        <w:rPr>
          <w:rFonts w:asciiTheme="majorBidi" w:hAnsiTheme="majorBidi" w:cstheme="majorBidi"/>
        </w:rPr>
        <w:t xml:space="preserve">. </w:t>
      </w:r>
      <w:hyperlink r:id="rId21" w:history="1">
        <w:r w:rsidRPr="000C6547">
          <w:rPr>
            <w:rStyle w:val="Lienhypertexte"/>
            <w:rFonts w:asciiTheme="majorBidi" w:hAnsiTheme="majorBidi" w:cstheme="majorBidi"/>
          </w:rPr>
          <w:t>https://doi.org/10.3390/molecules26185528</w:t>
        </w:r>
      </w:hyperlink>
    </w:p>
    <w:p w14:paraId="7ADF52B8" w14:textId="77777777" w:rsidR="000C6547" w:rsidRPr="000C6547" w:rsidRDefault="000C6547" w:rsidP="000C6547">
      <w:pPr>
        <w:ind w:left="709" w:hanging="709"/>
        <w:jc w:val="both"/>
        <w:rPr>
          <w:rFonts w:asciiTheme="majorBidi" w:hAnsiTheme="majorBidi" w:cstheme="majorBidi"/>
          <w:shd w:val="clear" w:color="auto" w:fill="FFFFFF"/>
        </w:rPr>
      </w:pPr>
      <w:r w:rsidRPr="000C6547">
        <w:rPr>
          <w:rFonts w:asciiTheme="majorBidi" w:hAnsiTheme="majorBidi" w:cstheme="majorBidi"/>
          <w:shd w:val="clear" w:color="auto" w:fill="FFFFFF"/>
        </w:rPr>
        <w:t xml:space="preserve">Alloway, B.J., 2012. Heavy metals in soils: trace metals and metalloids in soils and their bioavailability  (22). Springer Science &amp; Business Media. </w:t>
      </w:r>
      <w:hyperlink r:id="rId22" w:history="1">
        <w:r w:rsidRPr="000C6547">
          <w:rPr>
            <w:rStyle w:val="Lienhypertexte"/>
            <w:rFonts w:asciiTheme="majorBidi" w:hAnsiTheme="majorBidi" w:cstheme="majorBidi"/>
            <w:shd w:val="clear" w:color="auto" w:fill="FFFFFF"/>
          </w:rPr>
          <w:t>https://doi.org/10.1007/978-94-007-4470-7</w:t>
        </w:r>
      </w:hyperlink>
      <w:r w:rsidRPr="000C6547">
        <w:rPr>
          <w:rFonts w:asciiTheme="majorBidi" w:hAnsiTheme="majorBidi" w:cstheme="majorBidi"/>
          <w:shd w:val="clear" w:color="auto" w:fill="FFFFFF"/>
        </w:rPr>
        <w:t xml:space="preserve"> </w:t>
      </w:r>
    </w:p>
    <w:p w14:paraId="6475613D"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lang w:val="en-US"/>
        </w:rPr>
        <w:t xml:space="preserve">Alvarez-Ayuso, E. and Garcia-Sanchez, A., 2003. </w:t>
      </w:r>
      <w:r w:rsidRPr="000C6547">
        <w:rPr>
          <w:rFonts w:asciiTheme="majorBidi" w:hAnsiTheme="majorBidi" w:cstheme="majorBidi"/>
        </w:rPr>
        <w:t xml:space="preserve">Removal of heavy metals from waste waters by natural and Na-exchanged bentonites. Clays and clay minerals, 51(5), pp.475-480. </w:t>
      </w:r>
      <w:hyperlink r:id="rId23" w:history="1">
        <w:r w:rsidRPr="000C6547">
          <w:rPr>
            <w:rStyle w:val="Lienhypertexte"/>
            <w:rFonts w:asciiTheme="majorBidi" w:hAnsiTheme="majorBidi" w:cstheme="majorBidi"/>
          </w:rPr>
          <w:t>https://doi.org/10.1346/CCMN.2003.0510501</w:t>
        </w:r>
      </w:hyperlink>
      <w:r w:rsidRPr="000C6547">
        <w:rPr>
          <w:rFonts w:asciiTheme="majorBidi" w:hAnsiTheme="majorBidi" w:cstheme="majorBidi"/>
        </w:rPr>
        <w:t xml:space="preserve"> </w:t>
      </w:r>
    </w:p>
    <w:p w14:paraId="06205FDE"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lang w:val="en-US"/>
        </w:rPr>
        <w:t>Amakrane</w:t>
      </w:r>
      <w:proofErr w:type="spellEnd"/>
      <w:r w:rsidRPr="000C6547">
        <w:rPr>
          <w:rFonts w:asciiTheme="majorBidi" w:hAnsiTheme="majorBidi" w:cstheme="majorBidi"/>
          <w:lang w:val="en-US"/>
        </w:rPr>
        <w:t xml:space="preserve">, J., El </w:t>
      </w:r>
      <w:proofErr w:type="spellStart"/>
      <w:r w:rsidRPr="000C6547">
        <w:rPr>
          <w:rFonts w:asciiTheme="majorBidi" w:hAnsiTheme="majorBidi" w:cstheme="majorBidi"/>
          <w:lang w:val="en-US"/>
        </w:rPr>
        <w:t>Hammouti</w:t>
      </w:r>
      <w:proofErr w:type="spellEnd"/>
      <w:r w:rsidRPr="000C6547">
        <w:rPr>
          <w:rFonts w:asciiTheme="majorBidi" w:hAnsiTheme="majorBidi" w:cstheme="majorBidi"/>
          <w:lang w:val="en-US"/>
        </w:rPr>
        <w:t xml:space="preserve">, K., </w:t>
      </w:r>
      <w:proofErr w:type="spellStart"/>
      <w:r w:rsidRPr="000C6547">
        <w:rPr>
          <w:rFonts w:asciiTheme="majorBidi" w:hAnsiTheme="majorBidi" w:cstheme="majorBidi"/>
          <w:lang w:val="en-US"/>
        </w:rPr>
        <w:t>Azdimousa</w:t>
      </w:r>
      <w:proofErr w:type="spellEnd"/>
      <w:r w:rsidRPr="000C6547">
        <w:rPr>
          <w:rFonts w:asciiTheme="majorBidi" w:hAnsiTheme="majorBidi" w:cstheme="majorBidi"/>
          <w:lang w:val="en-US"/>
        </w:rPr>
        <w:t xml:space="preserve">, A., El Halim, M., El Ouahabi, M., Lamouri, B. and Fagel, N., 2018. </w:t>
      </w:r>
      <w:r w:rsidRPr="000C6547">
        <w:rPr>
          <w:rFonts w:asciiTheme="majorBidi" w:hAnsiTheme="majorBidi" w:cstheme="majorBidi"/>
        </w:rPr>
        <w:t xml:space="preserve">Mineralogical and physicochemical characterization of the </w:t>
      </w:r>
      <w:proofErr w:type="spellStart"/>
      <w:r w:rsidRPr="000C6547">
        <w:rPr>
          <w:rFonts w:asciiTheme="majorBidi" w:hAnsiTheme="majorBidi" w:cstheme="majorBidi"/>
        </w:rPr>
        <w:t>Jbel</w:t>
      </w:r>
      <w:proofErr w:type="spellEnd"/>
      <w:r w:rsidRPr="000C6547">
        <w:rPr>
          <w:rFonts w:asciiTheme="majorBidi" w:hAnsiTheme="majorBidi" w:cstheme="majorBidi"/>
        </w:rPr>
        <w:t xml:space="preserve"> </w:t>
      </w:r>
      <w:proofErr w:type="spellStart"/>
      <w:r w:rsidRPr="000C6547">
        <w:rPr>
          <w:rFonts w:asciiTheme="majorBidi" w:hAnsiTheme="majorBidi" w:cstheme="majorBidi"/>
        </w:rPr>
        <w:t>Rhassoul</w:t>
      </w:r>
      <w:proofErr w:type="spellEnd"/>
      <w:r w:rsidRPr="000C6547">
        <w:rPr>
          <w:rFonts w:asciiTheme="majorBidi" w:hAnsiTheme="majorBidi" w:cstheme="majorBidi"/>
        </w:rPr>
        <w:t xml:space="preserve"> clay deposit (</w:t>
      </w:r>
      <w:proofErr w:type="spellStart"/>
      <w:r w:rsidRPr="000C6547">
        <w:rPr>
          <w:rFonts w:asciiTheme="majorBidi" w:hAnsiTheme="majorBidi" w:cstheme="majorBidi"/>
        </w:rPr>
        <w:t>Moulouya</w:t>
      </w:r>
      <w:proofErr w:type="spellEnd"/>
      <w:r w:rsidRPr="000C6547">
        <w:rPr>
          <w:rFonts w:asciiTheme="majorBidi" w:hAnsiTheme="majorBidi" w:cstheme="majorBidi"/>
        </w:rPr>
        <w:t xml:space="preserve"> Plain, Morocco). Journal of Materials and Environmental Science, 9(2549-2557).</w:t>
      </w:r>
    </w:p>
    <w:p w14:paraId="230A810C"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Antoniadis, V., Golia, E.E., Shaheen, S.M. and </w:t>
      </w:r>
      <w:proofErr w:type="spellStart"/>
      <w:r w:rsidRPr="000C6547">
        <w:rPr>
          <w:rFonts w:asciiTheme="majorBidi" w:hAnsiTheme="majorBidi" w:cstheme="majorBidi"/>
        </w:rPr>
        <w:t>Rinklebe</w:t>
      </w:r>
      <w:proofErr w:type="spellEnd"/>
      <w:r w:rsidRPr="000C6547">
        <w:rPr>
          <w:rFonts w:asciiTheme="majorBidi" w:hAnsiTheme="majorBidi" w:cstheme="majorBidi"/>
        </w:rPr>
        <w:t xml:space="preserve">, J., 2017. Bioavailability and health risk assessment of potentially toxic elements in </w:t>
      </w:r>
      <w:proofErr w:type="spellStart"/>
      <w:r w:rsidRPr="000C6547">
        <w:rPr>
          <w:rFonts w:asciiTheme="majorBidi" w:hAnsiTheme="majorBidi" w:cstheme="majorBidi"/>
        </w:rPr>
        <w:t>Thriasio</w:t>
      </w:r>
      <w:proofErr w:type="spellEnd"/>
      <w:r w:rsidRPr="000C6547">
        <w:rPr>
          <w:rFonts w:asciiTheme="majorBidi" w:hAnsiTheme="majorBidi" w:cstheme="majorBidi"/>
        </w:rPr>
        <w:t xml:space="preserve"> Plain, near Athens, Greece. Environmental geochemistry and health, 39, pp.319-330. </w:t>
      </w:r>
      <w:hyperlink r:id="rId24" w:history="1">
        <w:r w:rsidRPr="000C6547">
          <w:rPr>
            <w:rStyle w:val="Lienhypertexte"/>
            <w:rFonts w:asciiTheme="majorBidi" w:hAnsiTheme="majorBidi" w:cstheme="majorBidi"/>
          </w:rPr>
          <w:t>https://doi.org/10.1007/s10653-016-9882-5</w:t>
        </w:r>
      </w:hyperlink>
      <w:r w:rsidRPr="000C6547">
        <w:rPr>
          <w:rFonts w:asciiTheme="majorBidi" w:hAnsiTheme="majorBidi" w:cstheme="majorBidi"/>
        </w:rPr>
        <w:t xml:space="preserve"> </w:t>
      </w:r>
    </w:p>
    <w:p w14:paraId="65056214"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ATSDR, S., 2012. Toxicological profile for chromium. Agency for toxic substances and disease registry. Public Health Service, US Department of Health and Human Services. http://www. </w:t>
      </w:r>
      <w:proofErr w:type="spellStart"/>
      <w:r w:rsidRPr="000C6547">
        <w:rPr>
          <w:rFonts w:asciiTheme="majorBidi" w:hAnsiTheme="majorBidi" w:cstheme="majorBidi"/>
        </w:rPr>
        <w:t>atsdr</w:t>
      </w:r>
      <w:proofErr w:type="spellEnd"/>
      <w:r w:rsidRPr="000C6547">
        <w:rPr>
          <w:rFonts w:asciiTheme="majorBidi" w:hAnsiTheme="majorBidi" w:cstheme="majorBidi"/>
        </w:rPr>
        <w:t xml:space="preserve">. </w:t>
      </w:r>
      <w:proofErr w:type="spellStart"/>
      <w:r w:rsidRPr="000C6547">
        <w:rPr>
          <w:rFonts w:asciiTheme="majorBidi" w:hAnsiTheme="majorBidi" w:cstheme="majorBidi"/>
        </w:rPr>
        <w:t>cdc</w:t>
      </w:r>
      <w:proofErr w:type="spellEnd"/>
      <w:r w:rsidRPr="000C6547">
        <w:rPr>
          <w:rFonts w:asciiTheme="majorBidi" w:hAnsiTheme="majorBidi" w:cstheme="majorBidi"/>
        </w:rPr>
        <w:t>. gov/</w:t>
      </w:r>
      <w:proofErr w:type="spellStart"/>
      <w:r w:rsidRPr="000C6547">
        <w:rPr>
          <w:rFonts w:asciiTheme="majorBidi" w:hAnsiTheme="majorBidi" w:cstheme="majorBidi"/>
        </w:rPr>
        <w:t>toxprofiles</w:t>
      </w:r>
      <w:proofErr w:type="spellEnd"/>
      <w:r w:rsidRPr="000C6547">
        <w:rPr>
          <w:rFonts w:asciiTheme="majorBidi" w:hAnsiTheme="majorBidi" w:cstheme="majorBidi"/>
        </w:rPr>
        <w:t>/tp. asp, 24049864.</w:t>
      </w:r>
    </w:p>
    <w:p w14:paraId="1A90865D"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lang w:val="de-DE"/>
        </w:rPr>
        <w:lastRenderedPageBreak/>
        <w:t>Bachmaf</w:t>
      </w:r>
      <w:proofErr w:type="spellEnd"/>
      <w:r w:rsidRPr="000C6547">
        <w:rPr>
          <w:rFonts w:asciiTheme="majorBidi" w:hAnsiTheme="majorBidi" w:cstheme="majorBidi"/>
          <w:lang w:val="de-DE"/>
        </w:rPr>
        <w:t xml:space="preserve">, S., Planer-Friedrich, B. and Merkel, B.J., 2008. </w:t>
      </w:r>
      <w:r w:rsidRPr="000C6547">
        <w:rPr>
          <w:rFonts w:asciiTheme="majorBidi" w:hAnsiTheme="majorBidi" w:cstheme="majorBidi"/>
        </w:rPr>
        <w:t xml:space="preserve">Uranium sorption and desorption behavior on bentonite. Uranium, Mining and Hydrogeology, pp.515-524. </w:t>
      </w:r>
      <w:hyperlink r:id="rId25" w:history="1">
        <w:r w:rsidRPr="000C6547">
          <w:rPr>
            <w:rStyle w:val="Lienhypertexte"/>
            <w:rFonts w:asciiTheme="majorBidi" w:hAnsiTheme="majorBidi" w:cstheme="majorBidi"/>
          </w:rPr>
          <w:t>https://doi.org/10.1007/978-3-540-87746-2_63</w:t>
        </w:r>
      </w:hyperlink>
      <w:r w:rsidRPr="000C6547">
        <w:rPr>
          <w:rFonts w:asciiTheme="majorBidi" w:hAnsiTheme="majorBidi" w:cstheme="majorBidi"/>
        </w:rPr>
        <w:t xml:space="preserve"> </w:t>
      </w:r>
    </w:p>
    <w:p w14:paraId="357F633F" w14:textId="77777777" w:rsidR="000C6547" w:rsidRPr="000C6547" w:rsidRDefault="000C6547" w:rsidP="000C6547">
      <w:pPr>
        <w:tabs>
          <w:tab w:val="left" w:pos="284"/>
        </w:tabs>
        <w:ind w:left="709" w:hanging="709"/>
        <w:jc w:val="both"/>
        <w:rPr>
          <w:rFonts w:asciiTheme="majorBidi" w:hAnsiTheme="majorBidi" w:cstheme="majorBidi"/>
          <w:color w:val="000000" w:themeColor="text1"/>
        </w:rPr>
      </w:pPr>
      <w:r w:rsidRPr="000C6547">
        <w:rPr>
          <w:rFonts w:asciiTheme="majorBidi" w:hAnsiTheme="majorBidi" w:cstheme="majorBidi"/>
          <w:color w:val="222222"/>
          <w:shd w:val="clear" w:color="auto" w:fill="FFFFFF"/>
        </w:rPr>
        <w:t xml:space="preserve">Barba-Lobo, A., </w:t>
      </w:r>
      <w:proofErr w:type="spellStart"/>
      <w:r w:rsidRPr="000C6547">
        <w:rPr>
          <w:rFonts w:asciiTheme="majorBidi" w:hAnsiTheme="majorBidi" w:cstheme="majorBidi"/>
          <w:color w:val="222222"/>
          <w:shd w:val="clear" w:color="auto" w:fill="FFFFFF"/>
        </w:rPr>
        <w:t>Expósito</w:t>
      </w:r>
      <w:proofErr w:type="spellEnd"/>
      <w:r w:rsidRPr="000C6547">
        <w:rPr>
          <w:rFonts w:asciiTheme="majorBidi" w:hAnsiTheme="majorBidi" w:cstheme="majorBidi"/>
          <w:color w:val="222222"/>
          <w:shd w:val="clear" w:color="auto" w:fill="FFFFFF"/>
        </w:rPr>
        <w:t>-Suárez, V. M., Suárez-Navarro, J. A., &amp; Bolívar, J. P. (2024). A new methodology for efficiency calibration of uncharacterized Ge detectors by using characterized Ge detectors. </w:t>
      </w:r>
      <w:r w:rsidRPr="000C6547">
        <w:rPr>
          <w:rFonts w:asciiTheme="majorBidi" w:hAnsiTheme="majorBidi" w:cstheme="majorBidi"/>
          <w:i/>
          <w:iCs/>
          <w:color w:val="222222"/>
          <w:shd w:val="clear" w:color="auto" w:fill="FFFFFF"/>
        </w:rPr>
        <w:t>Radiation Physics and Chemistry</w:t>
      </w:r>
      <w:r w:rsidRPr="000C6547">
        <w:rPr>
          <w:rFonts w:asciiTheme="majorBidi" w:hAnsiTheme="majorBidi" w:cstheme="majorBidi"/>
          <w:color w:val="222222"/>
          <w:shd w:val="clear" w:color="auto" w:fill="FFFFFF"/>
        </w:rPr>
        <w:t>, </w:t>
      </w:r>
      <w:r w:rsidRPr="000C6547">
        <w:rPr>
          <w:rFonts w:asciiTheme="majorBidi" w:hAnsiTheme="majorBidi" w:cstheme="majorBidi"/>
          <w:i/>
          <w:iCs/>
          <w:color w:val="222222"/>
          <w:shd w:val="clear" w:color="auto" w:fill="FFFFFF"/>
        </w:rPr>
        <w:t>221</w:t>
      </w:r>
      <w:r w:rsidRPr="000C6547">
        <w:rPr>
          <w:rFonts w:asciiTheme="majorBidi" w:hAnsiTheme="majorBidi" w:cstheme="majorBidi"/>
          <w:color w:val="222222"/>
          <w:shd w:val="clear" w:color="auto" w:fill="FFFFFF"/>
        </w:rPr>
        <w:t xml:space="preserve">, 111763. </w:t>
      </w:r>
      <w:hyperlink r:id="rId26" w:history="1">
        <w:r w:rsidRPr="000C6547">
          <w:rPr>
            <w:rStyle w:val="Lienhypertexte"/>
            <w:rFonts w:asciiTheme="majorBidi" w:hAnsiTheme="majorBidi" w:cstheme="majorBidi"/>
            <w:shd w:val="clear" w:color="auto" w:fill="FFFFFF"/>
          </w:rPr>
          <w:t>https://doi.org/10.1016/j.radphyschem.2024.111763</w:t>
        </w:r>
      </w:hyperlink>
      <w:r w:rsidRPr="000C6547">
        <w:rPr>
          <w:rFonts w:asciiTheme="majorBidi" w:hAnsiTheme="majorBidi" w:cstheme="majorBidi"/>
          <w:color w:val="222222"/>
          <w:shd w:val="clear" w:color="auto" w:fill="FFFFFF"/>
        </w:rPr>
        <w:t xml:space="preserve"> </w:t>
      </w:r>
    </w:p>
    <w:p w14:paraId="730F29F8" w14:textId="77777777" w:rsidR="000C6547" w:rsidRPr="000C6547" w:rsidRDefault="000C6547" w:rsidP="000C6547">
      <w:pPr>
        <w:ind w:left="709" w:hanging="709"/>
        <w:jc w:val="both"/>
        <w:rPr>
          <w:rFonts w:asciiTheme="majorBidi" w:hAnsiTheme="majorBidi" w:cstheme="majorBidi"/>
          <w:lang w:val="en-US"/>
        </w:rPr>
      </w:pPr>
      <w:r w:rsidRPr="000C6547">
        <w:rPr>
          <w:rFonts w:asciiTheme="majorBidi" w:hAnsiTheme="majorBidi" w:cstheme="majorBidi"/>
        </w:rPr>
        <w:t>Basha, N.T. and Issa, M.J., 2025. Determine the Pollution Indices of the Soil Near the Najaf Refinery in the Middle of Iraq. </w:t>
      </w:r>
      <w:r w:rsidRPr="000C6547">
        <w:rPr>
          <w:rFonts w:asciiTheme="majorBidi" w:hAnsiTheme="majorBidi" w:cstheme="majorBidi"/>
          <w:lang w:val="en-US"/>
        </w:rPr>
        <w:t xml:space="preserve">Iraqi Journal of Science, pp.219-229. </w:t>
      </w:r>
      <w:hyperlink r:id="rId27" w:history="1">
        <w:r w:rsidRPr="000C6547">
          <w:rPr>
            <w:rStyle w:val="Lienhypertexte"/>
            <w:rFonts w:asciiTheme="majorBidi" w:hAnsiTheme="majorBidi" w:cstheme="majorBidi"/>
            <w:lang w:val="en-US"/>
          </w:rPr>
          <w:t>https://doi.org/10.24996/ijs.2025.66.1.18</w:t>
        </w:r>
      </w:hyperlink>
    </w:p>
    <w:p w14:paraId="27CA173E" w14:textId="77777777" w:rsidR="000C6547" w:rsidRPr="000C6547" w:rsidRDefault="000C6547" w:rsidP="000C6547">
      <w:pPr>
        <w:ind w:left="709" w:hanging="709"/>
        <w:jc w:val="both"/>
        <w:rPr>
          <w:rFonts w:asciiTheme="majorBidi" w:hAnsiTheme="majorBidi" w:cstheme="majorBidi"/>
          <w:lang w:val="en-US"/>
        </w:rPr>
      </w:pPr>
      <w:r w:rsidRPr="000C6547">
        <w:rPr>
          <w:rFonts w:asciiTheme="majorBidi" w:hAnsiTheme="majorBidi" w:cstheme="majorBidi"/>
          <w:lang w:val="en-US"/>
        </w:rPr>
        <w:t xml:space="preserve">Behbahani, A., Ryan, R.J. and McKenzie, E.R., 2020. </w:t>
      </w:r>
      <w:r w:rsidRPr="000C6547">
        <w:rPr>
          <w:rFonts w:asciiTheme="majorBidi" w:hAnsiTheme="majorBidi" w:cstheme="majorBidi"/>
        </w:rPr>
        <w:t xml:space="preserve">Long-term simulation of potentially toxic elements (PTEs) accumulation and breakthrough in infiltration-based stormwater management practices (SMPs). Journal of Contaminant Hydrology, 234, p.103685. </w:t>
      </w:r>
      <w:hyperlink r:id="rId28" w:tgtFrame="_blank" w:tooltip="Persistent link using digital object identifier" w:history="1">
        <w:r w:rsidRPr="000C6547">
          <w:rPr>
            <w:rStyle w:val="Lienhypertexte"/>
            <w:rFonts w:asciiTheme="majorBidi" w:hAnsiTheme="majorBidi" w:cstheme="majorBidi"/>
            <w:lang w:val="en-US"/>
          </w:rPr>
          <w:t>https://doi.org/10.1016/j.jconhyd.2020.103685</w:t>
        </w:r>
      </w:hyperlink>
      <w:r w:rsidRPr="000C6547">
        <w:rPr>
          <w:rFonts w:asciiTheme="majorBidi" w:hAnsiTheme="majorBidi" w:cstheme="majorBidi"/>
          <w:lang w:val="en-US"/>
        </w:rPr>
        <w:t xml:space="preserve"> </w:t>
      </w:r>
    </w:p>
    <w:p w14:paraId="0EEA5AA7"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lang w:val="en-US"/>
        </w:rPr>
        <w:t>Benhammou</w:t>
      </w:r>
      <w:proofErr w:type="spellEnd"/>
      <w:r w:rsidRPr="000C6547">
        <w:rPr>
          <w:rFonts w:asciiTheme="majorBidi" w:hAnsiTheme="majorBidi" w:cstheme="majorBidi"/>
          <w:lang w:val="en-US"/>
        </w:rPr>
        <w:t xml:space="preserve">, A., </w:t>
      </w:r>
      <w:proofErr w:type="spellStart"/>
      <w:r w:rsidRPr="000C6547">
        <w:rPr>
          <w:rFonts w:asciiTheme="majorBidi" w:hAnsiTheme="majorBidi" w:cstheme="majorBidi"/>
          <w:lang w:val="en-US"/>
        </w:rPr>
        <w:t>Tanouti</w:t>
      </w:r>
      <w:proofErr w:type="spellEnd"/>
      <w:r w:rsidRPr="000C6547">
        <w:rPr>
          <w:rFonts w:asciiTheme="majorBidi" w:hAnsiTheme="majorBidi" w:cstheme="majorBidi"/>
          <w:lang w:val="en-US"/>
        </w:rPr>
        <w:t xml:space="preserve">, B., Nibou, L., </w:t>
      </w:r>
      <w:proofErr w:type="spellStart"/>
      <w:r w:rsidRPr="000C6547">
        <w:rPr>
          <w:rFonts w:asciiTheme="majorBidi" w:hAnsiTheme="majorBidi" w:cstheme="majorBidi"/>
          <w:lang w:val="en-US"/>
        </w:rPr>
        <w:t>Yaacoubi</w:t>
      </w:r>
      <w:proofErr w:type="spellEnd"/>
      <w:r w:rsidRPr="000C6547">
        <w:rPr>
          <w:rFonts w:asciiTheme="majorBidi" w:hAnsiTheme="majorBidi" w:cstheme="majorBidi"/>
          <w:lang w:val="en-US"/>
        </w:rPr>
        <w:t xml:space="preserve">, A. and Bonnet, J.P., 2009. </w:t>
      </w:r>
      <w:r w:rsidRPr="000C6547">
        <w:rPr>
          <w:rFonts w:asciiTheme="majorBidi" w:hAnsiTheme="majorBidi" w:cstheme="majorBidi"/>
        </w:rPr>
        <w:t xml:space="preserve">Mineralogical and physicochemical investigation of Mg-smectite from </w:t>
      </w:r>
      <w:proofErr w:type="spellStart"/>
      <w:r w:rsidRPr="000C6547">
        <w:rPr>
          <w:rFonts w:asciiTheme="majorBidi" w:hAnsiTheme="majorBidi" w:cstheme="majorBidi"/>
        </w:rPr>
        <w:t>Jbel</w:t>
      </w:r>
      <w:proofErr w:type="spellEnd"/>
      <w:r w:rsidRPr="000C6547">
        <w:rPr>
          <w:rFonts w:asciiTheme="majorBidi" w:hAnsiTheme="majorBidi" w:cstheme="majorBidi"/>
        </w:rPr>
        <w:t xml:space="preserve"> </w:t>
      </w:r>
      <w:proofErr w:type="spellStart"/>
      <w:r w:rsidRPr="000C6547">
        <w:rPr>
          <w:rFonts w:asciiTheme="majorBidi" w:hAnsiTheme="majorBidi" w:cstheme="majorBidi"/>
        </w:rPr>
        <w:t>Ghassoul</w:t>
      </w:r>
      <w:proofErr w:type="spellEnd"/>
      <w:r w:rsidRPr="000C6547">
        <w:rPr>
          <w:rFonts w:asciiTheme="majorBidi" w:hAnsiTheme="majorBidi" w:cstheme="majorBidi"/>
        </w:rPr>
        <w:t xml:space="preserve">, Morocco. Clays and Clay Minerals, 57(2), pp.264-270. </w:t>
      </w:r>
    </w:p>
    <w:p w14:paraId="4FA463D3"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Benhammou</w:t>
      </w:r>
      <w:proofErr w:type="spellEnd"/>
      <w:r w:rsidRPr="000C6547">
        <w:rPr>
          <w:rFonts w:asciiTheme="majorBidi" w:hAnsiTheme="majorBidi" w:cstheme="majorBidi"/>
        </w:rPr>
        <w:t xml:space="preserve">, A., </w:t>
      </w:r>
      <w:proofErr w:type="spellStart"/>
      <w:r w:rsidRPr="000C6547">
        <w:rPr>
          <w:rFonts w:asciiTheme="majorBidi" w:hAnsiTheme="majorBidi" w:cstheme="majorBidi"/>
        </w:rPr>
        <w:t>Yaacoubi</w:t>
      </w:r>
      <w:proofErr w:type="spellEnd"/>
      <w:r w:rsidRPr="000C6547">
        <w:rPr>
          <w:rFonts w:asciiTheme="majorBidi" w:hAnsiTheme="majorBidi" w:cstheme="majorBidi"/>
        </w:rPr>
        <w:t xml:space="preserve">, A., Nibou, L. and </w:t>
      </w:r>
      <w:proofErr w:type="spellStart"/>
      <w:r w:rsidRPr="000C6547">
        <w:rPr>
          <w:rFonts w:asciiTheme="majorBidi" w:hAnsiTheme="majorBidi" w:cstheme="majorBidi"/>
        </w:rPr>
        <w:t>Tanouti</w:t>
      </w:r>
      <w:proofErr w:type="spellEnd"/>
      <w:r w:rsidRPr="000C6547">
        <w:rPr>
          <w:rFonts w:asciiTheme="majorBidi" w:hAnsiTheme="majorBidi" w:cstheme="majorBidi"/>
        </w:rPr>
        <w:t xml:space="preserve">, B., 2005. Study of the removal of mercury (II) and chromium (VI) from aqueous solutions by Moroccan </w:t>
      </w:r>
      <w:proofErr w:type="spellStart"/>
      <w:r w:rsidRPr="000C6547">
        <w:rPr>
          <w:rFonts w:asciiTheme="majorBidi" w:hAnsiTheme="majorBidi" w:cstheme="majorBidi"/>
        </w:rPr>
        <w:t>stevensite</w:t>
      </w:r>
      <w:proofErr w:type="spellEnd"/>
      <w:r w:rsidRPr="000C6547">
        <w:rPr>
          <w:rFonts w:asciiTheme="majorBidi" w:hAnsiTheme="majorBidi" w:cstheme="majorBidi"/>
        </w:rPr>
        <w:t xml:space="preserve">. Journal of Hazardous Materials, 117(2-3), pp.243-249. </w:t>
      </w:r>
      <w:hyperlink r:id="rId29" w:history="1">
        <w:r w:rsidRPr="000C6547">
          <w:rPr>
            <w:rStyle w:val="Lienhypertexte"/>
            <w:rFonts w:asciiTheme="majorBidi" w:hAnsiTheme="majorBidi" w:cstheme="majorBidi"/>
          </w:rPr>
          <w:t>https://doi.org/10.1016/j.jhazmat.2004.09.023</w:t>
        </w:r>
      </w:hyperlink>
      <w:r w:rsidRPr="000C6547">
        <w:rPr>
          <w:rFonts w:asciiTheme="majorBidi" w:hAnsiTheme="majorBidi" w:cstheme="majorBidi"/>
        </w:rPr>
        <w:t xml:space="preserve"> </w:t>
      </w:r>
    </w:p>
    <w:p w14:paraId="70968777"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Bentahar, Y., Hurel, C., </w:t>
      </w:r>
      <w:proofErr w:type="spellStart"/>
      <w:r w:rsidRPr="000C6547">
        <w:rPr>
          <w:rFonts w:asciiTheme="majorBidi" w:hAnsiTheme="majorBidi" w:cstheme="majorBidi"/>
        </w:rPr>
        <w:t>Draoui</w:t>
      </w:r>
      <w:proofErr w:type="spellEnd"/>
      <w:r w:rsidRPr="000C6547">
        <w:rPr>
          <w:rFonts w:asciiTheme="majorBidi" w:hAnsiTheme="majorBidi" w:cstheme="majorBidi"/>
        </w:rPr>
        <w:t xml:space="preserve">, K., </w:t>
      </w:r>
      <w:proofErr w:type="spellStart"/>
      <w:r w:rsidRPr="000C6547">
        <w:rPr>
          <w:rFonts w:asciiTheme="majorBidi" w:hAnsiTheme="majorBidi" w:cstheme="majorBidi"/>
        </w:rPr>
        <w:t>Khairoun</w:t>
      </w:r>
      <w:proofErr w:type="spellEnd"/>
      <w:r w:rsidRPr="000C6547">
        <w:rPr>
          <w:rFonts w:asciiTheme="majorBidi" w:hAnsiTheme="majorBidi" w:cstheme="majorBidi"/>
        </w:rPr>
        <w:t xml:space="preserve">, S. and </w:t>
      </w:r>
      <w:proofErr w:type="spellStart"/>
      <w:r w:rsidRPr="000C6547">
        <w:rPr>
          <w:rFonts w:asciiTheme="majorBidi" w:hAnsiTheme="majorBidi" w:cstheme="majorBidi"/>
        </w:rPr>
        <w:t>Marmier</w:t>
      </w:r>
      <w:proofErr w:type="spellEnd"/>
      <w:r w:rsidRPr="000C6547">
        <w:rPr>
          <w:rFonts w:asciiTheme="majorBidi" w:hAnsiTheme="majorBidi" w:cstheme="majorBidi"/>
        </w:rPr>
        <w:t xml:space="preserve">, N., 2016. Adsorptive properties of Moroccan clays for the removal of arsenic (V) from aqueous solution. Applied Clay Science, 119, pp.385-392. </w:t>
      </w:r>
      <w:hyperlink r:id="rId30" w:history="1">
        <w:r w:rsidRPr="000C6547">
          <w:rPr>
            <w:rStyle w:val="Lienhypertexte"/>
            <w:rFonts w:asciiTheme="majorBidi" w:hAnsiTheme="majorBidi" w:cstheme="majorBidi"/>
          </w:rPr>
          <w:t>https://doi.org/10.1016/j.clay.2015.11.008</w:t>
        </w:r>
      </w:hyperlink>
      <w:r w:rsidRPr="000C6547">
        <w:rPr>
          <w:rFonts w:asciiTheme="majorBidi" w:hAnsiTheme="majorBidi" w:cstheme="majorBidi"/>
        </w:rPr>
        <w:t xml:space="preserve"> </w:t>
      </w:r>
    </w:p>
    <w:p w14:paraId="59D7DD0F"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Bounab, L., </w:t>
      </w:r>
      <w:proofErr w:type="spellStart"/>
      <w:r w:rsidRPr="000C6547">
        <w:rPr>
          <w:rFonts w:asciiTheme="majorBidi" w:hAnsiTheme="majorBidi" w:cstheme="majorBidi"/>
        </w:rPr>
        <w:t>Draoui</w:t>
      </w:r>
      <w:proofErr w:type="spellEnd"/>
      <w:r w:rsidRPr="000C6547">
        <w:rPr>
          <w:rFonts w:asciiTheme="majorBidi" w:hAnsiTheme="majorBidi" w:cstheme="majorBidi"/>
        </w:rPr>
        <w:t xml:space="preserve">, K., </w:t>
      </w:r>
      <w:proofErr w:type="spellStart"/>
      <w:r w:rsidRPr="000C6547">
        <w:rPr>
          <w:rFonts w:asciiTheme="majorBidi" w:hAnsiTheme="majorBidi" w:cstheme="majorBidi"/>
        </w:rPr>
        <w:t>Ahrouch</w:t>
      </w:r>
      <w:proofErr w:type="spellEnd"/>
      <w:r w:rsidRPr="000C6547">
        <w:rPr>
          <w:rFonts w:asciiTheme="majorBidi" w:hAnsiTheme="majorBidi" w:cstheme="majorBidi"/>
        </w:rPr>
        <w:t xml:space="preserve">, M., Hadri, M., Bouchta, D. and </w:t>
      </w:r>
      <w:proofErr w:type="spellStart"/>
      <w:r w:rsidRPr="000C6547">
        <w:rPr>
          <w:rFonts w:asciiTheme="majorBidi" w:hAnsiTheme="majorBidi" w:cstheme="majorBidi"/>
        </w:rPr>
        <w:t>Barhoun</w:t>
      </w:r>
      <w:proofErr w:type="spellEnd"/>
      <w:r w:rsidRPr="000C6547">
        <w:rPr>
          <w:rFonts w:asciiTheme="majorBidi" w:hAnsiTheme="majorBidi" w:cstheme="majorBidi"/>
        </w:rPr>
        <w:t xml:space="preserve">, A., 2017. An effective functionalized Moroccan bentonite: Application for a green remediation of m-cresol. Journal of Materials and Environmental Sciences, 8(1), pp.244-256. </w:t>
      </w:r>
    </w:p>
    <w:p w14:paraId="494879F7"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Bowell, R.J., 1994. Sorption of arsenic by iron oxides and oxyhydroxides in soils. Applied geochemistry, 9(3), pp.279-286. </w:t>
      </w:r>
      <w:hyperlink r:id="rId31" w:tgtFrame="_blank" w:tooltip="Persistent link using digital object identifier" w:history="1">
        <w:r w:rsidRPr="000C6547">
          <w:rPr>
            <w:rStyle w:val="Lienhypertexte"/>
            <w:rFonts w:asciiTheme="majorBidi" w:hAnsiTheme="majorBidi" w:cstheme="majorBidi"/>
          </w:rPr>
          <w:t>https://doi.org/10.1016/0883-2927(94)90038-8</w:t>
        </w:r>
      </w:hyperlink>
      <w:r w:rsidRPr="000C6547">
        <w:rPr>
          <w:rFonts w:asciiTheme="majorBidi" w:hAnsiTheme="majorBidi" w:cstheme="majorBidi"/>
        </w:rPr>
        <w:t xml:space="preserve"> </w:t>
      </w:r>
    </w:p>
    <w:p w14:paraId="7C7BD9AF" w14:textId="77777777" w:rsidR="000C6547" w:rsidRPr="000C6547" w:rsidRDefault="000C6547" w:rsidP="000C6547">
      <w:pPr>
        <w:ind w:left="709" w:hanging="709"/>
        <w:jc w:val="both"/>
        <w:rPr>
          <w:rFonts w:asciiTheme="majorBidi" w:eastAsia="Times New Roman" w:hAnsiTheme="majorBidi" w:cstheme="majorBidi"/>
        </w:rPr>
      </w:pPr>
      <w:r w:rsidRPr="000C6547">
        <w:rPr>
          <w:rFonts w:asciiTheme="majorBidi" w:hAnsiTheme="majorBidi" w:cstheme="majorBidi"/>
          <w:color w:val="222222"/>
          <w:shd w:val="clear" w:color="auto" w:fill="FFFFFF"/>
        </w:rPr>
        <w:t>Bradl, H. B. (2004). Adsorption of heavy metal ions on soils and soils constituents. </w:t>
      </w:r>
      <w:r w:rsidRPr="000C6547">
        <w:rPr>
          <w:rFonts w:asciiTheme="majorBidi" w:hAnsiTheme="majorBidi" w:cstheme="majorBidi"/>
          <w:i/>
          <w:iCs/>
          <w:color w:val="222222"/>
          <w:shd w:val="clear" w:color="auto" w:fill="FFFFFF"/>
        </w:rPr>
        <w:t>Journal of colloid and interface science</w:t>
      </w:r>
      <w:r w:rsidRPr="000C6547">
        <w:rPr>
          <w:rFonts w:asciiTheme="majorBidi" w:hAnsiTheme="majorBidi" w:cstheme="majorBidi"/>
          <w:color w:val="222222"/>
          <w:shd w:val="clear" w:color="auto" w:fill="FFFFFF"/>
        </w:rPr>
        <w:t>, </w:t>
      </w:r>
      <w:r w:rsidRPr="000C6547">
        <w:rPr>
          <w:rFonts w:asciiTheme="majorBidi" w:hAnsiTheme="majorBidi" w:cstheme="majorBidi"/>
          <w:i/>
          <w:iCs/>
          <w:color w:val="222222"/>
          <w:shd w:val="clear" w:color="auto" w:fill="FFFFFF"/>
        </w:rPr>
        <w:t>277</w:t>
      </w:r>
      <w:r w:rsidRPr="000C6547">
        <w:rPr>
          <w:rFonts w:asciiTheme="majorBidi" w:hAnsiTheme="majorBidi" w:cstheme="majorBidi"/>
          <w:color w:val="222222"/>
          <w:shd w:val="clear" w:color="auto" w:fill="FFFFFF"/>
        </w:rPr>
        <w:t xml:space="preserve">(1), 1-18. </w:t>
      </w:r>
      <w:hyperlink r:id="rId32" w:history="1">
        <w:r w:rsidRPr="000C6547">
          <w:rPr>
            <w:rStyle w:val="Lienhypertexte"/>
            <w:rFonts w:asciiTheme="majorBidi" w:hAnsiTheme="majorBidi" w:cstheme="majorBidi"/>
            <w:shd w:val="clear" w:color="auto" w:fill="FFFFFF"/>
          </w:rPr>
          <w:t>https://doi.org/10.1016/j.jcis.2004.04.005</w:t>
        </w:r>
      </w:hyperlink>
      <w:r w:rsidRPr="000C6547">
        <w:rPr>
          <w:rFonts w:asciiTheme="majorBidi" w:hAnsiTheme="majorBidi" w:cstheme="majorBidi"/>
          <w:color w:val="222222"/>
          <w:shd w:val="clear" w:color="auto" w:fill="FFFFFF"/>
        </w:rPr>
        <w:t xml:space="preserve"> </w:t>
      </w:r>
    </w:p>
    <w:p w14:paraId="365B106D"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Brady, J.P., </w:t>
      </w:r>
      <w:proofErr w:type="spellStart"/>
      <w:r w:rsidRPr="000C6547">
        <w:rPr>
          <w:rFonts w:asciiTheme="majorBidi" w:hAnsiTheme="majorBidi" w:cstheme="majorBidi"/>
        </w:rPr>
        <w:t>Ayoko</w:t>
      </w:r>
      <w:proofErr w:type="spellEnd"/>
      <w:r w:rsidRPr="000C6547">
        <w:rPr>
          <w:rFonts w:asciiTheme="majorBidi" w:hAnsiTheme="majorBidi" w:cstheme="majorBidi"/>
        </w:rPr>
        <w:t xml:space="preserve">, G.A., Martens, W.N. and Goonetilleke, A., 2015. Development of a hybrid pollution index for heavy metals in marine and estuarine sediments. Environmental monitoring and assessment, 187(5), p.306. </w:t>
      </w:r>
      <w:hyperlink r:id="rId33" w:history="1">
        <w:r w:rsidRPr="000C6547">
          <w:rPr>
            <w:rStyle w:val="Lienhypertexte"/>
            <w:rFonts w:asciiTheme="majorBidi" w:hAnsiTheme="majorBidi" w:cstheme="majorBidi"/>
          </w:rPr>
          <w:t>https://doi.org/10.1007/s10661-015-4563-x</w:t>
        </w:r>
      </w:hyperlink>
      <w:r w:rsidRPr="000C6547">
        <w:rPr>
          <w:rFonts w:asciiTheme="majorBidi" w:hAnsiTheme="majorBidi" w:cstheme="majorBidi"/>
        </w:rPr>
        <w:t xml:space="preserve"> </w:t>
      </w:r>
    </w:p>
    <w:p w14:paraId="5E91F731"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Burham, N. and Sayed, M., 2016. Adsorption behavior of Cd2+ and Zn2+ onto natural Egyptian bentonitic clay. Minerals, 6(4), p.129. </w:t>
      </w:r>
      <w:hyperlink r:id="rId34" w:history="1">
        <w:r w:rsidRPr="000C6547">
          <w:rPr>
            <w:rStyle w:val="Lienhypertexte"/>
            <w:rFonts w:asciiTheme="majorBidi" w:hAnsiTheme="majorBidi" w:cstheme="majorBidi"/>
          </w:rPr>
          <w:t>https://doi.org/10.3390/min6040129</w:t>
        </w:r>
      </w:hyperlink>
      <w:r w:rsidRPr="000C6547">
        <w:rPr>
          <w:rFonts w:asciiTheme="majorBidi" w:hAnsiTheme="majorBidi" w:cstheme="majorBidi"/>
        </w:rPr>
        <w:t xml:space="preserve">  </w:t>
      </w:r>
    </w:p>
    <w:p w14:paraId="20C50B96"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Chai, J.B., Au, P.I., Mubarak, N.M., Khalid, M., Ng, W.P.Q., Jagadish, P., </w:t>
      </w:r>
      <w:proofErr w:type="spellStart"/>
      <w:r w:rsidRPr="000C6547">
        <w:rPr>
          <w:rFonts w:asciiTheme="majorBidi" w:hAnsiTheme="majorBidi" w:cstheme="majorBidi"/>
        </w:rPr>
        <w:t>Walvekar</w:t>
      </w:r>
      <w:proofErr w:type="spellEnd"/>
      <w:r w:rsidRPr="000C6547">
        <w:rPr>
          <w:rFonts w:asciiTheme="majorBidi" w:hAnsiTheme="majorBidi" w:cstheme="majorBidi"/>
        </w:rPr>
        <w:t xml:space="preserve">, R. and Abdullah, E.C., 2020. Adsorption of heavy metal from industrial wastewater onto low-cost Malaysian kaolin clay–based adsorbent. Environmental Science and Pollution Research, 27(12), pp.13949-13962. </w:t>
      </w:r>
      <w:hyperlink r:id="rId35" w:history="1">
        <w:r w:rsidRPr="000C6547">
          <w:rPr>
            <w:rStyle w:val="Lienhypertexte"/>
            <w:rFonts w:asciiTheme="majorBidi" w:hAnsiTheme="majorBidi" w:cstheme="majorBidi"/>
          </w:rPr>
          <w:t>https://doi.org/10.1007/s11356-020-07755-y</w:t>
        </w:r>
      </w:hyperlink>
      <w:r w:rsidRPr="000C6547">
        <w:rPr>
          <w:rFonts w:asciiTheme="majorBidi" w:hAnsiTheme="majorBidi" w:cstheme="majorBidi"/>
        </w:rPr>
        <w:t xml:space="preserve"> </w:t>
      </w:r>
    </w:p>
    <w:p w14:paraId="425A4BD7" w14:textId="77777777" w:rsidR="000C6547" w:rsidRPr="000C6547" w:rsidRDefault="000C6547" w:rsidP="000C6547">
      <w:pPr>
        <w:ind w:left="709" w:hanging="709"/>
        <w:jc w:val="both"/>
        <w:rPr>
          <w:rFonts w:asciiTheme="majorBidi" w:hAnsiTheme="majorBidi" w:cstheme="majorBidi"/>
        </w:rPr>
      </w:pPr>
      <w:r w:rsidRPr="000F084C">
        <w:rPr>
          <w:rFonts w:asciiTheme="majorBidi" w:hAnsiTheme="majorBidi" w:cstheme="majorBidi"/>
          <w:lang w:val="en-US"/>
        </w:rPr>
        <w:t xml:space="preserve">Chen, H., Teng, Y., Lu, S., Wang, Y. and Wang, J., 2015. </w:t>
      </w:r>
      <w:r w:rsidRPr="000C6547">
        <w:rPr>
          <w:rFonts w:asciiTheme="majorBidi" w:hAnsiTheme="majorBidi" w:cstheme="majorBidi"/>
        </w:rPr>
        <w:t xml:space="preserve">Contamination features and health risk of soil heavy metals in China. Science of the total environment, 512, pp.143-153. </w:t>
      </w:r>
      <w:hyperlink r:id="rId36" w:tgtFrame="_blank" w:tooltip="Persistent link using digital object identifier" w:history="1">
        <w:r w:rsidRPr="000C6547">
          <w:rPr>
            <w:rStyle w:val="Lienhypertexte"/>
            <w:rFonts w:asciiTheme="majorBidi" w:hAnsiTheme="majorBidi" w:cstheme="majorBidi"/>
          </w:rPr>
          <w:t>https://doi.org/10.1016/j.scitotenv.2015.01.025</w:t>
        </w:r>
      </w:hyperlink>
    </w:p>
    <w:p w14:paraId="602F5E8B" w14:textId="77777777" w:rsidR="000C6547" w:rsidRPr="000C6547" w:rsidRDefault="000C6547" w:rsidP="000C6547">
      <w:pPr>
        <w:ind w:left="709" w:hanging="709"/>
        <w:jc w:val="both"/>
        <w:rPr>
          <w:rFonts w:asciiTheme="majorBidi" w:hAnsiTheme="majorBidi" w:cstheme="majorBidi"/>
        </w:rPr>
      </w:pPr>
      <w:proofErr w:type="spellStart"/>
      <w:r w:rsidRPr="000E3D8F">
        <w:rPr>
          <w:rFonts w:asciiTheme="majorBidi" w:hAnsiTheme="majorBidi" w:cstheme="majorBidi"/>
          <w:lang w:val="es-ES"/>
        </w:rPr>
        <w:lastRenderedPageBreak/>
        <w:t>Dahmani</w:t>
      </w:r>
      <w:proofErr w:type="spellEnd"/>
      <w:r w:rsidRPr="000E3D8F">
        <w:rPr>
          <w:rFonts w:asciiTheme="majorBidi" w:hAnsiTheme="majorBidi" w:cstheme="majorBidi"/>
          <w:lang w:val="es-ES"/>
        </w:rPr>
        <w:t xml:space="preserve">, H., </w:t>
      </w:r>
      <w:proofErr w:type="spellStart"/>
      <w:r w:rsidRPr="000E3D8F">
        <w:rPr>
          <w:rFonts w:asciiTheme="majorBidi" w:hAnsiTheme="majorBidi" w:cstheme="majorBidi"/>
          <w:lang w:val="es-ES"/>
        </w:rPr>
        <w:t>Jadid</w:t>
      </w:r>
      <w:proofErr w:type="spellEnd"/>
      <w:r w:rsidRPr="000E3D8F">
        <w:rPr>
          <w:rFonts w:asciiTheme="majorBidi" w:hAnsiTheme="majorBidi" w:cstheme="majorBidi"/>
          <w:lang w:val="es-ES"/>
        </w:rPr>
        <w:t xml:space="preserve">, M., El </w:t>
      </w:r>
      <w:proofErr w:type="spellStart"/>
      <w:r w:rsidRPr="000E3D8F">
        <w:rPr>
          <w:rFonts w:asciiTheme="majorBidi" w:hAnsiTheme="majorBidi" w:cstheme="majorBidi"/>
          <w:lang w:val="es-ES"/>
        </w:rPr>
        <w:t>Hammouti</w:t>
      </w:r>
      <w:proofErr w:type="spellEnd"/>
      <w:r w:rsidRPr="000E3D8F">
        <w:rPr>
          <w:rFonts w:asciiTheme="majorBidi" w:hAnsiTheme="majorBidi" w:cstheme="majorBidi"/>
          <w:lang w:val="es-ES"/>
        </w:rPr>
        <w:t xml:space="preserve">, K., </w:t>
      </w:r>
      <w:proofErr w:type="spellStart"/>
      <w:r w:rsidRPr="000E3D8F">
        <w:rPr>
          <w:rFonts w:asciiTheme="majorBidi" w:hAnsiTheme="majorBidi" w:cstheme="majorBidi"/>
          <w:lang w:val="es-ES"/>
        </w:rPr>
        <w:t>Talbi</w:t>
      </w:r>
      <w:proofErr w:type="spellEnd"/>
      <w:r w:rsidRPr="000E3D8F">
        <w:rPr>
          <w:rFonts w:asciiTheme="majorBidi" w:hAnsiTheme="majorBidi" w:cstheme="majorBidi"/>
          <w:lang w:val="es-ES"/>
        </w:rPr>
        <w:t xml:space="preserve">, F. and El </w:t>
      </w:r>
      <w:proofErr w:type="spellStart"/>
      <w:r w:rsidRPr="000E3D8F">
        <w:rPr>
          <w:rFonts w:asciiTheme="majorBidi" w:hAnsiTheme="majorBidi" w:cstheme="majorBidi"/>
          <w:lang w:val="es-ES"/>
        </w:rPr>
        <w:t>Ouahabi</w:t>
      </w:r>
      <w:proofErr w:type="spellEnd"/>
      <w:r w:rsidRPr="000E3D8F">
        <w:rPr>
          <w:rFonts w:asciiTheme="majorBidi" w:hAnsiTheme="majorBidi" w:cstheme="majorBidi"/>
          <w:lang w:val="es-ES"/>
        </w:rPr>
        <w:t xml:space="preserve">, M., 2019. </w:t>
      </w:r>
      <w:r w:rsidRPr="000C6547">
        <w:rPr>
          <w:rFonts w:asciiTheme="majorBidi" w:hAnsiTheme="majorBidi" w:cstheme="majorBidi"/>
        </w:rPr>
        <w:t xml:space="preserve">Mineralogy and geochemistry of the </w:t>
      </w:r>
      <w:proofErr w:type="spellStart"/>
      <w:r w:rsidRPr="000C6547">
        <w:rPr>
          <w:rFonts w:asciiTheme="majorBidi" w:hAnsiTheme="majorBidi" w:cstheme="majorBidi"/>
        </w:rPr>
        <w:t>Guenfouda</w:t>
      </w:r>
      <w:proofErr w:type="spellEnd"/>
      <w:r w:rsidRPr="000C6547">
        <w:rPr>
          <w:rFonts w:asciiTheme="majorBidi" w:hAnsiTheme="majorBidi" w:cstheme="majorBidi"/>
        </w:rPr>
        <w:t xml:space="preserve"> Clay Deposit, Jerada province, Northeastern Morocco. European Journal of Scientific Research, 154(361-384). </w:t>
      </w:r>
    </w:p>
    <w:p w14:paraId="144AEFFD" w14:textId="77777777" w:rsidR="000C6547" w:rsidRPr="001000A9" w:rsidRDefault="000C6547" w:rsidP="000C6547">
      <w:pPr>
        <w:ind w:left="709" w:hanging="709"/>
        <w:jc w:val="both"/>
        <w:rPr>
          <w:rFonts w:asciiTheme="majorBidi" w:hAnsiTheme="majorBidi" w:cstheme="majorBidi"/>
          <w:lang w:val="en-US"/>
        </w:rPr>
      </w:pPr>
      <w:r w:rsidRPr="000F084C">
        <w:rPr>
          <w:rFonts w:asciiTheme="majorBidi" w:hAnsiTheme="majorBidi" w:cstheme="majorBidi"/>
          <w:shd w:val="clear" w:color="auto" w:fill="FFFFFF"/>
          <w:lang w:val="en-US"/>
        </w:rPr>
        <w:t xml:space="preserve">Dong, Y., Li, H., Fan, Y., Ma, X., Sun, D., Wang, Y., Gao, Z., Dong, X., 2020. </w:t>
      </w:r>
      <w:r w:rsidRPr="000C6547">
        <w:rPr>
          <w:rFonts w:asciiTheme="majorBidi" w:hAnsiTheme="majorBidi" w:cstheme="majorBidi"/>
          <w:shd w:val="clear" w:color="auto" w:fill="FFFFFF"/>
        </w:rPr>
        <w:t>Tunable dewatering behavior of montmorillonite suspension by adjusting solution pH and electrolyte concentration. </w:t>
      </w:r>
      <w:r w:rsidRPr="001000A9">
        <w:rPr>
          <w:rFonts w:asciiTheme="majorBidi" w:hAnsiTheme="majorBidi" w:cstheme="majorBidi"/>
          <w:shd w:val="clear" w:color="auto" w:fill="FFFFFF"/>
          <w:lang w:val="en-US"/>
        </w:rPr>
        <w:t>Minerals, 10(4), 293</w:t>
      </w:r>
      <w:r w:rsidRPr="001000A9">
        <w:rPr>
          <w:rFonts w:asciiTheme="majorBidi" w:hAnsiTheme="majorBidi" w:cstheme="majorBidi"/>
          <w:lang w:val="en-US"/>
        </w:rPr>
        <w:t xml:space="preserve">. </w:t>
      </w:r>
      <w:hyperlink r:id="rId37" w:history="1">
        <w:r w:rsidRPr="001000A9">
          <w:rPr>
            <w:rStyle w:val="Lienhypertexte"/>
            <w:rFonts w:asciiTheme="majorBidi" w:hAnsiTheme="majorBidi" w:cstheme="majorBidi"/>
            <w:lang w:val="en-US"/>
          </w:rPr>
          <w:t>https://doi.org/10.3390/min10040293</w:t>
        </w:r>
      </w:hyperlink>
      <w:r w:rsidRPr="001000A9">
        <w:rPr>
          <w:rFonts w:asciiTheme="majorBidi" w:hAnsiTheme="majorBidi" w:cstheme="majorBidi"/>
          <w:lang w:val="en-US"/>
        </w:rPr>
        <w:t xml:space="preserve"> </w:t>
      </w:r>
    </w:p>
    <w:p w14:paraId="19E56932" w14:textId="77777777" w:rsidR="000C6547" w:rsidRPr="000C6547" w:rsidRDefault="000C6547" w:rsidP="000C6547">
      <w:pPr>
        <w:ind w:left="709" w:hanging="709"/>
        <w:jc w:val="both"/>
        <w:rPr>
          <w:rFonts w:asciiTheme="majorBidi" w:hAnsiTheme="majorBidi" w:cstheme="majorBidi"/>
        </w:rPr>
      </w:pPr>
      <w:r w:rsidRPr="001000A9">
        <w:rPr>
          <w:rFonts w:asciiTheme="majorBidi" w:hAnsiTheme="majorBidi" w:cstheme="majorBidi"/>
          <w:shd w:val="clear" w:color="auto" w:fill="FFFFFF"/>
          <w:lang w:val="en-US"/>
        </w:rPr>
        <w:t xml:space="preserve">Du, J.Z., Huang, D.K., 2008. </w:t>
      </w:r>
      <w:r w:rsidRPr="000C6547">
        <w:rPr>
          <w:rFonts w:asciiTheme="majorBidi" w:hAnsiTheme="majorBidi" w:cstheme="majorBidi"/>
          <w:shd w:val="clear" w:color="auto" w:fill="FFFFFF"/>
        </w:rPr>
        <w:t xml:space="preserve">A comment </w:t>
      </w:r>
      <w:proofErr w:type="spellStart"/>
      <w:r w:rsidRPr="000C6547">
        <w:rPr>
          <w:rFonts w:asciiTheme="majorBidi" w:hAnsiTheme="majorBidi" w:cstheme="majorBidi"/>
          <w:shd w:val="clear" w:color="auto" w:fill="FFFFFF"/>
        </w:rPr>
        <w:t>on'Measurement</w:t>
      </w:r>
      <w:proofErr w:type="spellEnd"/>
      <w:r w:rsidRPr="000C6547">
        <w:rPr>
          <w:rFonts w:asciiTheme="majorBidi" w:hAnsiTheme="majorBidi" w:cstheme="majorBidi"/>
          <w:shd w:val="clear" w:color="auto" w:fill="FFFFFF"/>
        </w:rPr>
        <w:t xml:space="preserve"> of the radioactivity of 238 U, 226 Ra, 210 Pb, 228 Th, 232 Th, 228 Ra, 137 Cs and 40 K in tea using gamma-</w:t>
      </w:r>
      <w:proofErr w:type="spellStart"/>
      <w:r w:rsidRPr="000C6547">
        <w:rPr>
          <w:rFonts w:asciiTheme="majorBidi" w:hAnsiTheme="majorBidi" w:cstheme="majorBidi"/>
          <w:shd w:val="clear" w:color="auto" w:fill="FFFFFF"/>
        </w:rPr>
        <w:t>spectrometry'by</w:t>
      </w:r>
      <w:proofErr w:type="spellEnd"/>
      <w:r w:rsidRPr="000C6547">
        <w:rPr>
          <w:rFonts w:asciiTheme="majorBidi" w:hAnsiTheme="majorBidi" w:cstheme="majorBidi"/>
          <w:shd w:val="clear" w:color="auto" w:fill="FFFFFF"/>
        </w:rPr>
        <w:t xml:space="preserve"> S. Harb. J. </w:t>
      </w:r>
      <w:proofErr w:type="spellStart"/>
      <w:r w:rsidRPr="000C6547">
        <w:rPr>
          <w:rFonts w:asciiTheme="majorBidi" w:hAnsiTheme="majorBidi" w:cstheme="majorBidi"/>
          <w:shd w:val="clear" w:color="auto" w:fill="FFFFFF"/>
        </w:rPr>
        <w:t>Radioanal</w:t>
      </w:r>
      <w:proofErr w:type="spellEnd"/>
      <w:r w:rsidRPr="000C6547">
        <w:rPr>
          <w:rFonts w:asciiTheme="majorBidi" w:hAnsiTheme="majorBidi" w:cstheme="majorBidi"/>
          <w:shd w:val="clear" w:color="auto" w:fill="FFFFFF"/>
        </w:rPr>
        <w:t xml:space="preserve">. </w:t>
      </w:r>
      <w:proofErr w:type="spellStart"/>
      <w:r w:rsidRPr="000C6547">
        <w:rPr>
          <w:rFonts w:asciiTheme="majorBidi" w:hAnsiTheme="majorBidi" w:cstheme="majorBidi"/>
          <w:shd w:val="clear" w:color="auto" w:fill="FFFFFF"/>
        </w:rPr>
        <w:t>Nucl</w:t>
      </w:r>
      <w:proofErr w:type="spellEnd"/>
      <w:r w:rsidRPr="000C6547">
        <w:rPr>
          <w:rFonts w:asciiTheme="majorBidi" w:hAnsiTheme="majorBidi" w:cstheme="majorBidi"/>
          <w:shd w:val="clear" w:color="auto" w:fill="FFFFFF"/>
        </w:rPr>
        <w:t>. Chem., 278(1), 219-220</w:t>
      </w:r>
      <w:r w:rsidRPr="000C6547">
        <w:rPr>
          <w:rFonts w:asciiTheme="majorBidi" w:hAnsiTheme="majorBidi" w:cstheme="majorBidi"/>
        </w:rPr>
        <w:t xml:space="preserve">. </w:t>
      </w:r>
      <w:hyperlink r:id="rId38" w:history="1">
        <w:r w:rsidRPr="000C6547">
          <w:rPr>
            <w:rStyle w:val="Lienhypertexte"/>
            <w:rFonts w:asciiTheme="majorBidi" w:hAnsiTheme="majorBidi" w:cstheme="majorBidi"/>
          </w:rPr>
          <w:t>https://doi.org/10.1007/s10967-007-7258-0</w:t>
        </w:r>
      </w:hyperlink>
      <w:r w:rsidRPr="000C6547">
        <w:rPr>
          <w:rFonts w:asciiTheme="majorBidi" w:hAnsiTheme="majorBidi" w:cstheme="majorBidi"/>
        </w:rPr>
        <w:t xml:space="preserve"> </w:t>
      </w:r>
    </w:p>
    <w:p w14:paraId="1101640E"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Dzombak</w:t>
      </w:r>
      <w:proofErr w:type="spellEnd"/>
      <w:r w:rsidRPr="000C6547">
        <w:rPr>
          <w:rFonts w:asciiTheme="majorBidi" w:hAnsiTheme="majorBidi" w:cstheme="majorBidi"/>
        </w:rPr>
        <w:t>, D.A. and Morel, F.M., 1991. Surface complexation modeling: hydrous ferric oxide. John Wiley &amp; Sons.</w:t>
      </w:r>
    </w:p>
    <w:p w14:paraId="7D682C19"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Eberl, D.D., Jones, B.F. and Khoury, H.N., 1982. Mixed-layer </w:t>
      </w:r>
      <w:proofErr w:type="spellStart"/>
      <w:r w:rsidRPr="000C6547">
        <w:rPr>
          <w:rFonts w:asciiTheme="majorBidi" w:hAnsiTheme="majorBidi" w:cstheme="majorBidi"/>
        </w:rPr>
        <w:t>kerolite</w:t>
      </w:r>
      <w:proofErr w:type="spellEnd"/>
      <w:r w:rsidRPr="000C6547">
        <w:rPr>
          <w:rFonts w:asciiTheme="majorBidi" w:hAnsiTheme="majorBidi" w:cstheme="majorBidi"/>
        </w:rPr>
        <w:t>/</w:t>
      </w:r>
      <w:proofErr w:type="spellStart"/>
      <w:r w:rsidRPr="000C6547">
        <w:rPr>
          <w:rFonts w:asciiTheme="majorBidi" w:hAnsiTheme="majorBidi" w:cstheme="majorBidi"/>
        </w:rPr>
        <w:t>stevensite</w:t>
      </w:r>
      <w:proofErr w:type="spellEnd"/>
      <w:r w:rsidRPr="000C6547">
        <w:rPr>
          <w:rFonts w:asciiTheme="majorBidi" w:hAnsiTheme="majorBidi" w:cstheme="majorBidi"/>
        </w:rPr>
        <w:t xml:space="preserve"> from the Amargosa Desert, Nevada. Clays and Clay Minerals, 30(5), pp.321-326. </w:t>
      </w:r>
      <w:hyperlink r:id="rId39" w:history="1">
        <w:r w:rsidRPr="000C6547">
          <w:rPr>
            <w:rStyle w:val="Lienhypertexte"/>
            <w:rFonts w:asciiTheme="majorBidi" w:hAnsiTheme="majorBidi" w:cstheme="majorBidi"/>
          </w:rPr>
          <w:t>https://doi.org/10.1346/CCMN.1982.0300501</w:t>
        </w:r>
      </w:hyperlink>
      <w:r w:rsidRPr="000C6547">
        <w:rPr>
          <w:rFonts w:asciiTheme="majorBidi" w:hAnsiTheme="majorBidi" w:cstheme="majorBidi"/>
        </w:rPr>
        <w:t xml:space="preserve"> </w:t>
      </w:r>
    </w:p>
    <w:p w14:paraId="2070B212" w14:textId="77777777" w:rsidR="000C6547" w:rsidRPr="000C6547" w:rsidRDefault="000C6547" w:rsidP="000C6547">
      <w:pPr>
        <w:ind w:left="709" w:hanging="709"/>
        <w:jc w:val="both"/>
        <w:rPr>
          <w:rFonts w:asciiTheme="majorBidi" w:hAnsiTheme="majorBidi" w:cstheme="majorBidi"/>
          <w:lang w:val="en-US"/>
        </w:rPr>
      </w:pPr>
      <w:r w:rsidRPr="000C6547">
        <w:rPr>
          <w:rFonts w:asciiTheme="majorBidi" w:hAnsiTheme="majorBidi" w:cstheme="majorBidi"/>
        </w:rPr>
        <w:t xml:space="preserve">EN 12457‑4:2002 Characterisation of waste – Leaching – Part 4: One stage batch test at a liquid‑to‑solid ratio of 10 L/kg for materials with particle size below 10 mm (without or with size reduction)*. </w:t>
      </w:r>
      <w:r w:rsidRPr="000C6547">
        <w:rPr>
          <w:rFonts w:asciiTheme="majorBidi" w:hAnsiTheme="majorBidi" w:cstheme="majorBidi"/>
          <w:lang w:val="en-US"/>
        </w:rPr>
        <w:t xml:space="preserve">Brussels: </w:t>
      </w:r>
      <w:proofErr w:type="spellStart"/>
      <w:r w:rsidRPr="000C6547">
        <w:rPr>
          <w:rFonts w:asciiTheme="majorBidi" w:hAnsiTheme="majorBidi" w:cstheme="majorBidi"/>
          <w:lang w:val="en-US"/>
        </w:rPr>
        <w:t>Comité</w:t>
      </w:r>
      <w:proofErr w:type="spellEnd"/>
      <w:r w:rsidRPr="000C6547">
        <w:rPr>
          <w:rFonts w:asciiTheme="majorBidi" w:hAnsiTheme="majorBidi" w:cstheme="majorBidi"/>
          <w:lang w:val="en-US"/>
        </w:rPr>
        <w:t xml:space="preserve"> </w:t>
      </w:r>
      <w:proofErr w:type="spellStart"/>
      <w:r w:rsidRPr="000C6547">
        <w:rPr>
          <w:rFonts w:asciiTheme="majorBidi" w:hAnsiTheme="majorBidi" w:cstheme="majorBidi"/>
          <w:lang w:val="en-US"/>
        </w:rPr>
        <w:t>Européen</w:t>
      </w:r>
      <w:proofErr w:type="spellEnd"/>
      <w:r w:rsidRPr="000C6547">
        <w:rPr>
          <w:rFonts w:asciiTheme="majorBidi" w:hAnsiTheme="majorBidi" w:cstheme="majorBidi"/>
          <w:lang w:val="en-US"/>
        </w:rPr>
        <w:t xml:space="preserve"> de </w:t>
      </w:r>
      <w:proofErr w:type="spellStart"/>
      <w:r w:rsidRPr="000C6547">
        <w:rPr>
          <w:rFonts w:asciiTheme="majorBidi" w:hAnsiTheme="majorBidi" w:cstheme="majorBidi"/>
          <w:lang w:val="en-US"/>
        </w:rPr>
        <w:t>Normalisation</w:t>
      </w:r>
      <w:proofErr w:type="spellEnd"/>
      <w:r w:rsidRPr="000C6547">
        <w:rPr>
          <w:rFonts w:asciiTheme="majorBidi" w:hAnsiTheme="majorBidi" w:cstheme="majorBidi"/>
          <w:lang w:val="en-US"/>
        </w:rPr>
        <w:t xml:space="preserve">.  </w:t>
      </w:r>
    </w:p>
    <w:p w14:paraId="1E6C211A"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EN, B.S., 2002. 12457-2, Characterisation of Waste–Leaching–Compliance test for leaching of granular waste materials and sludges. British Standard, UK.</w:t>
      </w:r>
    </w:p>
    <w:p w14:paraId="353E9DA4"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lang w:val="en-US"/>
        </w:rPr>
        <w:t>Es-</w:t>
      </w:r>
      <w:proofErr w:type="spellStart"/>
      <w:r w:rsidRPr="000C6547">
        <w:rPr>
          <w:rFonts w:asciiTheme="majorBidi" w:hAnsiTheme="majorBidi" w:cstheme="majorBidi"/>
          <w:lang w:val="en-US"/>
        </w:rPr>
        <w:t>sahbany</w:t>
      </w:r>
      <w:proofErr w:type="spellEnd"/>
      <w:r w:rsidRPr="000C6547">
        <w:rPr>
          <w:rFonts w:asciiTheme="majorBidi" w:hAnsiTheme="majorBidi" w:cstheme="majorBidi"/>
          <w:lang w:val="en-US"/>
        </w:rPr>
        <w:t xml:space="preserve">, H., </w:t>
      </w:r>
      <w:proofErr w:type="spellStart"/>
      <w:r w:rsidRPr="000C6547">
        <w:rPr>
          <w:rFonts w:asciiTheme="majorBidi" w:hAnsiTheme="majorBidi" w:cstheme="majorBidi"/>
          <w:lang w:val="en-US"/>
        </w:rPr>
        <w:t>Berradi</w:t>
      </w:r>
      <w:proofErr w:type="spellEnd"/>
      <w:r w:rsidRPr="000C6547">
        <w:rPr>
          <w:rFonts w:asciiTheme="majorBidi" w:hAnsiTheme="majorBidi" w:cstheme="majorBidi"/>
          <w:lang w:val="en-US"/>
        </w:rPr>
        <w:t xml:space="preserve">, M., </w:t>
      </w:r>
      <w:proofErr w:type="spellStart"/>
      <w:r w:rsidRPr="000C6547">
        <w:rPr>
          <w:rFonts w:asciiTheme="majorBidi" w:hAnsiTheme="majorBidi" w:cstheme="majorBidi"/>
          <w:lang w:val="en-US"/>
        </w:rPr>
        <w:t>Belfakir</w:t>
      </w:r>
      <w:proofErr w:type="spellEnd"/>
      <w:r w:rsidRPr="000C6547">
        <w:rPr>
          <w:rFonts w:asciiTheme="majorBidi" w:hAnsiTheme="majorBidi" w:cstheme="majorBidi"/>
          <w:lang w:val="en-US"/>
        </w:rPr>
        <w:t xml:space="preserve">, M. and El </w:t>
      </w:r>
      <w:proofErr w:type="spellStart"/>
      <w:r w:rsidRPr="000C6547">
        <w:rPr>
          <w:rFonts w:asciiTheme="majorBidi" w:hAnsiTheme="majorBidi" w:cstheme="majorBidi"/>
          <w:lang w:val="en-US"/>
        </w:rPr>
        <w:t>Youbi</w:t>
      </w:r>
      <w:proofErr w:type="spellEnd"/>
      <w:r w:rsidRPr="000C6547">
        <w:rPr>
          <w:rFonts w:asciiTheme="majorBidi" w:hAnsiTheme="majorBidi" w:cstheme="majorBidi"/>
          <w:lang w:val="en-US"/>
        </w:rPr>
        <w:t xml:space="preserve">, M.S., 2016. </w:t>
      </w:r>
      <w:r w:rsidRPr="000C6547">
        <w:rPr>
          <w:rFonts w:asciiTheme="majorBidi" w:hAnsiTheme="majorBidi" w:cstheme="majorBidi"/>
        </w:rPr>
        <w:t xml:space="preserve">Kinetic study of copper adsorption onto Moroccan </w:t>
      </w:r>
      <w:proofErr w:type="spellStart"/>
      <w:r w:rsidRPr="000C6547">
        <w:rPr>
          <w:rFonts w:asciiTheme="majorBidi" w:hAnsiTheme="majorBidi" w:cstheme="majorBidi"/>
        </w:rPr>
        <w:t>Illitic</w:t>
      </w:r>
      <w:proofErr w:type="spellEnd"/>
      <w:r w:rsidRPr="000C6547">
        <w:rPr>
          <w:rFonts w:asciiTheme="majorBidi" w:hAnsiTheme="majorBidi" w:cstheme="majorBidi"/>
        </w:rPr>
        <w:t xml:space="preserve"> and kaolinite clay. Moroccan Journal of Chemistry, 4, pp.352-360. </w:t>
      </w:r>
    </w:p>
    <w:p w14:paraId="3E326316"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Essebaai</w:t>
      </w:r>
      <w:proofErr w:type="spellEnd"/>
      <w:r w:rsidRPr="000C6547">
        <w:rPr>
          <w:rFonts w:asciiTheme="majorBidi" w:hAnsiTheme="majorBidi" w:cstheme="majorBidi"/>
        </w:rPr>
        <w:t xml:space="preserve">, H., Ismi, I., </w:t>
      </w:r>
      <w:proofErr w:type="spellStart"/>
      <w:r w:rsidRPr="000C6547">
        <w:rPr>
          <w:rFonts w:asciiTheme="majorBidi" w:hAnsiTheme="majorBidi" w:cstheme="majorBidi"/>
        </w:rPr>
        <w:t>Lebkiri</w:t>
      </w:r>
      <w:proofErr w:type="spellEnd"/>
      <w:r w:rsidRPr="000C6547">
        <w:rPr>
          <w:rFonts w:asciiTheme="majorBidi" w:hAnsiTheme="majorBidi" w:cstheme="majorBidi"/>
        </w:rPr>
        <w:t xml:space="preserve">, A., </w:t>
      </w:r>
      <w:proofErr w:type="spellStart"/>
      <w:r w:rsidRPr="000C6547">
        <w:rPr>
          <w:rFonts w:asciiTheme="majorBidi" w:hAnsiTheme="majorBidi" w:cstheme="majorBidi"/>
        </w:rPr>
        <w:t>Marzak</w:t>
      </w:r>
      <w:proofErr w:type="spellEnd"/>
      <w:r w:rsidRPr="000C6547">
        <w:rPr>
          <w:rFonts w:asciiTheme="majorBidi" w:hAnsiTheme="majorBidi" w:cstheme="majorBidi"/>
        </w:rPr>
        <w:t xml:space="preserve">, S. and </w:t>
      </w:r>
      <w:proofErr w:type="spellStart"/>
      <w:r w:rsidRPr="000C6547">
        <w:rPr>
          <w:rFonts w:asciiTheme="majorBidi" w:hAnsiTheme="majorBidi" w:cstheme="majorBidi"/>
        </w:rPr>
        <w:t>Rifi</w:t>
      </w:r>
      <w:proofErr w:type="spellEnd"/>
      <w:r w:rsidRPr="000C6547">
        <w:rPr>
          <w:rFonts w:asciiTheme="majorBidi" w:hAnsiTheme="majorBidi" w:cstheme="majorBidi"/>
        </w:rPr>
        <w:t xml:space="preserve">, E.H., 2019. Kinetic and thermodynamic study of adsorption of copper (II) ion on Moroccan clay. Mediterranean Journal of Chemistry, 9(2), pp.102-15. </w:t>
      </w:r>
      <w:hyperlink r:id="rId40" w:history="1">
        <w:r w:rsidRPr="000C6547">
          <w:rPr>
            <w:rStyle w:val="Lienhypertexte"/>
            <w:rFonts w:asciiTheme="majorBidi" w:hAnsiTheme="majorBidi" w:cstheme="majorBidi"/>
          </w:rPr>
          <w:t>http://dx.doi.org/10.13171/mjc92190909510he</w:t>
        </w:r>
      </w:hyperlink>
      <w:r w:rsidRPr="000C6547">
        <w:rPr>
          <w:rFonts w:asciiTheme="majorBidi" w:hAnsiTheme="majorBidi" w:cstheme="majorBidi"/>
        </w:rPr>
        <w:t xml:space="preserve"> </w:t>
      </w:r>
    </w:p>
    <w:p w14:paraId="2E1019E9"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European Council. (2003). Council Decision 2003/33/EC of 19 December 2002 establishing criteria and procedures for the acceptance of waste at landfills pursuant to Article 16 and Annex II of Directive 1999/31/EC. Official Journal of the European Union, L11, 27–49, 16 January 2003.</w:t>
      </w:r>
    </w:p>
    <w:p w14:paraId="3ABECE18" w14:textId="77777777" w:rsidR="000C6547" w:rsidRPr="000C6547" w:rsidRDefault="000C6547" w:rsidP="000C6547">
      <w:pPr>
        <w:ind w:left="709" w:hanging="709"/>
        <w:jc w:val="both"/>
        <w:rPr>
          <w:rFonts w:asciiTheme="majorBidi" w:eastAsia="Times New Roman" w:hAnsiTheme="majorBidi" w:cstheme="majorBidi"/>
        </w:rPr>
      </w:pPr>
      <w:r w:rsidRPr="000C6547">
        <w:rPr>
          <w:rFonts w:asciiTheme="majorBidi" w:eastAsia="Times New Roman" w:hAnsiTheme="majorBidi" w:cstheme="majorBidi"/>
        </w:rPr>
        <w:t>European Council. (2013). Council Directive 2013/59/Euratom of 5 December 2013 laying down basic safety standards for protection against the dangers arising from exposure to ionising radiation. Official Journal of the European Union, L13/1.</w:t>
      </w:r>
    </w:p>
    <w:p w14:paraId="44F54F60"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Faiz, Y., Tufail, M., Javed, M.T. and Chaudhry, M.M., 2009. Road dust pollution of Cd, Cu, Ni, Pb and Zn along </w:t>
      </w:r>
      <w:proofErr w:type="spellStart"/>
      <w:r w:rsidRPr="000C6547">
        <w:rPr>
          <w:rFonts w:asciiTheme="majorBidi" w:hAnsiTheme="majorBidi" w:cstheme="majorBidi"/>
        </w:rPr>
        <w:t>islamabad</w:t>
      </w:r>
      <w:proofErr w:type="spellEnd"/>
      <w:r w:rsidRPr="000C6547">
        <w:rPr>
          <w:rFonts w:asciiTheme="majorBidi" w:hAnsiTheme="majorBidi" w:cstheme="majorBidi"/>
        </w:rPr>
        <w:t xml:space="preserve"> expressway, Pakistan. Microchemical Journal, 92(2), pp.186-192. </w:t>
      </w:r>
      <w:hyperlink r:id="rId41" w:tgtFrame="_blank" w:tooltip="Persistent link using digital object identifier" w:history="1">
        <w:r w:rsidRPr="000C6547">
          <w:rPr>
            <w:rStyle w:val="Lienhypertexte"/>
            <w:rFonts w:asciiTheme="majorBidi" w:hAnsiTheme="majorBidi" w:cstheme="majorBidi"/>
          </w:rPr>
          <w:t>https://doi.org/10.1016/j.microc.2009.03.009</w:t>
        </w:r>
      </w:hyperlink>
    </w:p>
    <w:p w14:paraId="11F2FBDB" w14:textId="77777777" w:rsidR="000C6547" w:rsidRPr="000E3D8F" w:rsidRDefault="000C6547" w:rsidP="000C6547">
      <w:pPr>
        <w:ind w:left="709" w:hanging="709"/>
        <w:jc w:val="both"/>
        <w:rPr>
          <w:rFonts w:asciiTheme="majorBidi" w:hAnsiTheme="majorBidi" w:cstheme="majorBidi"/>
          <w:lang w:val="pt-BR"/>
        </w:rPr>
      </w:pPr>
      <w:r w:rsidRPr="000C6547">
        <w:rPr>
          <w:rFonts w:asciiTheme="majorBidi" w:hAnsiTheme="majorBidi" w:cstheme="majorBidi"/>
        </w:rPr>
        <w:t xml:space="preserve">Fernández-Nava, Y., </w:t>
      </w:r>
      <w:proofErr w:type="spellStart"/>
      <w:r w:rsidRPr="000C6547">
        <w:rPr>
          <w:rFonts w:asciiTheme="majorBidi" w:hAnsiTheme="majorBidi" w:cstheme="majorBidi"/>
        </w:rPr>
        <w:t>Ulmanu</w:t>
      </w:r>
      <w:proofErr w:type="spellEnd"/>
      <w:r w:rsidRPr="000C6547">
        <w:rPr>
          <w:rFonts w:asciiTheme="majorBidi" w:hAnsiTheme="majorBidi" w:cstheme="majorBidi"/>
        </w:rPr>
        <w:t xml:space="preserve">, M., Anger, I., </w:t>
      </w:r>
      <w:proofErr w:type="spellStart"/>
      <w:r w:rsidRPr="000C6547">
        <w:rPr>
          <w:rFonts w:asciiTheme="majorBidi" w:hAnsiTheme="majorBidi" w:cstheme="majorBidi"/>
        </w:rPr>
        <w:t>Marañón</w:t>
      </w:r>
      <w:proofErr w:type="spellEnd"/>
      <w:r w:rsidRPr="000C6547">
        <w:rPr>
          <w:rFonts w:asciiTheme="majorBidi" w:hAnsiTheme="majorBidi" w:cstheme="majorBidi"/>
        </w:rPr>
        <w:t xml:space="preserve">, E. and </w:t>
      </w:r>
      <w:proofErr w:type="spellStart"/>
      <w:r w:rsidRPr="000C6547">
        <w:rPr>
          <w:rFonts w:asciiTheme="majorBidi" w:hAnsiTheme="majorBidi" w:cstheme="majorBidi"/>
        </w:rPr>
        <w:t>Castrillón</w:t>
      </w:r>
      <w:proofErr w:type="spellEnd"/>
      <w:r w:rsidRPr="000C6547">
        <w:rPr>
          <w:rFonts w:asciiTheme="majorBidi" w:hAnsiTheme="majorBidi" w:cstheme="majorBidi"/>
        </w:rPr>
        <w:t xml:space="preserve">, L., 2011. Use of granular bentonite in the removal of mercury (II), cadmium (II) and lead (II) from aqueous solutions. </w:t>
      </w:r>
      <w:r w:rsidRPr="000E3D8F">
        <w:rPr>
          <w:rFonts w:asciiTheme="majorBidi" w:hAnsiTheme="majorBidi" w:cstheme="majorBidi"/>
          <w:lang w:val="pt-BR"/>
        </w:rPr>
        <w:t xml:space="preserve">Water, Air, &amp; Soil Pollution, 215, pp.239-249. https://doi.org/10.1007/s11270-010-0474-1 </w:t>
      </w:r>
    </w:p>
    <w:p w14:paraId="31B4BC34" w14:textId="77777777" w:rsidR="000C6547" w:rsidRPr="000C6547" w:rsidRDefault="000C6547" w:rsidP="000C6547">
      <w:pPr>
        <w:ind w:left="709" w:hanging="709"/>
        <w:jc w:val="both"/>
        <w:rPr>
          <w:rFonts w:asciiTheme="majorBidi" w:hAnsiTheme="majorBidi" w:cstheme="majorBidi"/>
          <w:lang w:val="en-US"/>
        </w:rPr>
      </w:pPr>
      <w:r w:rsidRPr="000E3D8F">
        <w:rPr>
          <w:rFonts w:asciiTheme="majorBidi" w:hAnsiTheme="majorBidi" w:cstheme="majorBidi"/>
          <w:lang w:val="pt-BR"/>
        </w:rPr>
        <w:t xml:space="preserve">Ferreira, S.L., da Silva Junior, J.B., dos Santos, I.F., dse Oliveira, O.M., Cerda, V. and Queiroz, A.F., 2022. </w:t>
      </w:r>
      <w:r w:rsidRPr="000C6547">
        <w:rPr>
          <w:rFonts w:asciiTheme="majorBidi" w:hAnsiTheme="majorBidi" w:cstheme="majorBidi"/>
        </w:rPr>
        <w:t>Use of pollution indices and ecological risk in the assessment of contamination from chemical elements in soils and sediments–Practical aspects. </w:t>
      </w:r>
      <w:r w:rsidRPr="000C6547">
        <w:rPr>
          <w:rFonts w:asciiTheme="majorBidi" w:hAnsiTheme="majorBidi" w:cstheme="majorBidi"/>
          <w:lang w:val="en-US"/>
        </w:rPr>
        <w:t>Trends in Environmental Analytical Chemistry, 35, p.e00169.</w:t>
      </w:r>
    </w:p>
    <w:p w14:paraId="7DA4E0D7"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Fowle, J.R. and Dearfield, K.L., 2000. US Environmental Protection Agency: Risk Characterization Handbook. Science Policy Council, US Environmental Protection Agency.</w:t>
      </w:r>
    </w:p>
    <w:p w14:paraId="3952A306" w14:textId="77777777" w:rsidR="000C6547" w:rsidRPr="000C6547" w:rsidRDefault="000C6547" w:rsidP="000C6547">
      <w:pPr>
        <w:tabs>
          <w:tab w:val="left" w:pos="284"/>
        </w:tabs>
        <w:ind w:left="709" w:hanging="709"/>
        <w:jc w:val="both"/>
        <w:rPr>
          <w:rFonts w:asciiTheme="majorBidi" w:hAnsiTheme="majorBidi" w:cstheme="majorBidi"/>
          <w:color w:val="222222"/>
          <w:shd w:val="clear" w:color="auto" w:fill="FFFFFF"/>
        </w:rPr>
      </w:pPr>
      <w:proofErr w:type="spellStart"/>
      <w:r w:rsidRPr="000C6547">
        <w:rPr>
          <w:rFonts w:asciiTheme="majorBidi" w:hAnsiTheme="majorBidi" w:cstheme="majorBidi"/>
          <w:color w:val="222222"/>
          <w:shd w:val="clear" w:color="auto" w:fill="FFFFFF"/>
        </w:rPr>
        <w:lastRenderedPageBreak/>
        <w:t>Gázquez</w:t>
      </w:r>
      <w:proofErr w:type="spellEnd"/>
      <w:r w:rsidRPr="000C6547">
        <w:rPr>
          <w:rFonts w:asciiTheme="majorBidi" w:hAnsiTheme="majorBidi" w:cstheme="majorBidi"/>
          <w:color w:val="222222"/>
          <w:shd w:val="clear" w:color="auto" w:fill="FFFFFF"/>
        </w:rPr>
        <w:t>, M. J., Gómez, D. C. P., Alonso, J. J., Pérez-Moreno, S. M., Ramos-</w:t>
      </w:r>
      <w:proofErr w:type="spellStart"/>
      <w:r w:rsidRPr="000C6547">
        <w:rPr>
          <w:rFonts w:asciiTheme="majorBidi" w:hAnsiTheme="majorBidi" w:cstheme="majorBidi"/>
          <w:color w:val="222222"/>
          <w:shd w:val="clear" w:color="auto" w:fill="FFFFFF"/>
        </w:rPr>
        <w:t>Lerate</w:t>
      </w:r>
      <w:proofErr w:type="spellEnd"/>
      <w:r w:rsidRPr="000C6547">
        <w:rPr>
          <w:rFonts w:asciiTheme="majorBidi" w:hAnsiTheme="majorBidi" w:cstheme="majorBidi"/>
          <w:color w:val="222222"/>
          <w:shd w:val="clear" w:color="auto" w:fill="FFFFFF"/>
        </w:rPr>
        <w:t>, I., Casas-Ruiz, M., &amp; Bolívar, J. P. (2023). A new methodology based on TRU resin to measure U-, Th-isotopes and 210Po by alpha-particle spectrometry. </w:t>
      </w:r>
      <w:r w:rsidRPr="000C6547">
        <w:rPr>
          <w:rFonts w:asciiTheme="majorBidi" w:hAnsiTheme="majorBidi" w:cstheme="majorBidi"/>
          <w:i/>
          <w:iCs/>
          <w:color w:val="222222"/>
          <w:shd w:val="clear" w:color="auto" w:fill="FFFFFF"/>
        </w:rPr>
        <w:t>Talanta</w:t>
      </w:r>
      <w:r w:rsidRPr="000C6547">
        <w:rPr>
          <w:rFonts w:asciiTheme="majorBidi" w:hAnsiTheme="majorBidi" w:cstheme="majorBidi"/>
          <w:color w:val="222222"/>
          <w:shd w:val="clear" w:color="auto" w:fill="FFFFFF"/>
        </w:rPr>
        <w:t>, </w:t>
      </w:r>
      <w:r w:rsidRPr="000C6547">
        <w:rPr>
          <w:rFonts w:asciiTheme="majorBidi" w:hAnsiTheme="majorBidi" w:cstheme="majorBidi"/>
          <w:i/>
          <w:iCs/>
          <w:color w:val="222222"/>
          <w:shd w:val="clear" w:color="auto" w:fill="FFFFFF"/>
        </w:rPr>
        <w:t>253</w:t>
      </w:r>
      <w:r w:rsidRPr="000C6547">
        <w:rPr>
          <w:rFonts w:asciiTheme="majorBidi" w:hAnsiTheme="majorBidi" w:cstheme="majorBidi"/>
          <w:color w:val="222222"/>
          <w:shd w:val="clear" w:color="auto" w:fill="FFFFFF"/>
        </w:rPr>
        <w:t xml:space="preserve">, 123972. </w:t>
      </w:r>
      <w:hyperlink r:id="rId42" w:history="1">
        <w:r w:rsidRPr="000C6547">
          <w:rPr>
            <w:rStyle w:val="Lienhypertexte"/>
            <w:rFonts w:asciiTheme="majorBidi" w:hAnsiTheme="majorBidi" w:cstheme="majorBidi"/>
            <w:shd w:val="clear" w:color="auto" w:fill="FFFFFF"/>
          </w:rPr>
          <w:t>https://doi.org/10.1016/j.talanta.2022.123972</w:t>
        </w:r>
      </w:hyperlink>
      <w:r w:rsidRPr="000C6547">
        <w:rPr>
          <w:rFonts w:asciiTheme="majorBidi" w:hAnsiTheme="majorBidi" w:cstheme="majorBidi"/>
          <w:color w:val="222222"/>
          <w:shd w:val="clear" w:color="auto" w:fill="FFFFFF"/>
        </w:rPr>
        <w:t xml:space="preserve"> </w:t>
      </w:r>
    </w:p>
    <w:p w14:paraId="3244EE07"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Ghosh, S., Bakshi, M., Kumar, A., Ramanathan, A.L., Biswas, J.K., Bhattacharyya, S., Chaudhuri, P., Shaheen, S.M. and </w:t>
      </w:r>
      <w:proofErr w:type="spellStart"/>
      <w:r w:rsidRPr="000C6547">
        <w:rPr>
          <w:rFonts w:asciiTheme="majorBidi" w:hAnsiTheme="majorBidi" w:cstheme="majorBidi"/>
        </w:rPr>
        <w:t>Rinklebe</w:t>
      </w:r>
      <w:proofErr w:type="spellEnd"/>
      <w:r w:rsidRPr="000C6547">
        <w:rPr>
          <w:rFonts w:asciiTheme="majorBidi" w:hAnsiTheme="majorBidi" w:cstheme="majorBidi"/>
        </w:rPr>
        <w:t xml:space="preserve">, J., 2019. Assessing the potential ecological risk of Co, Cr, Cu, Fe and Zn in the sediments of Hooghly–Matla estuarine system, India. Environmental geochemistry and health, 41, pp.53-70. </w:t>
      </w:r>
      <w:hyperlink r:id="rId43" w:history="1">
        <w:r w:rsidRPr="000C6547">
          <w:rPr>
            <w:rStyle w:val="Lienhypertexte"/>
            <w:rFonts w:asciiTheme="majorBidi" w:hAnsiTheme="majorBidi" w:cstheme="majorBidi"/>
          </w:rPr>
          <w:t>https://doi.org/10.1007/s10653-018-0119-7</w:t>
        </w:r>
      </w:hyperlink>
    </w:p>
    <w:p w14:paraId="196C5C03"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Goldberg, S., Forster, H.S. and Godfrey, C.L., 1996. Molybdenum adsorption on oxides, clay minerals, and soils. Soil Science Society of America Journal, 60(2), pp.425-432. </w:t>
      </w:r>
      <w:hyperlink r:id="rId44" w:history="1">
        <w:r w:rsidRPr="000C6547">
          <w:rPr>
            <w:rStyle w:val="Lienhypertexte"/>
            <w:rFonts w:asciiTheme="majorBidi" w:hAnsiTheme="majorBidi" w:cstheme="majorBidi"/>
          </w:rPr>
          <w:t>https://doi.org/10.2136/sssaj1996.03615995006000020013x</w:t>
        </w:r>
      </w:hyperlink>
    </w:p>
    <w:p w14:paraId="6D128DEB"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Gope, M., Masto, R.E., George, J., Hoque, R.R. and Balachandran, S., 2017. Bioavailability and health risk of some potentially toxic elements (Cd, Cu, Pb and Zn) in street dust of Asansol, India. Ecotoxicology and Environmental Safety, 138, pp.231-241. </w:t>
      </w:r>
      <w:hyperlink r:id="rId45" w:tgtFrame="_blank" w:tooltip="Persistent link using digital object identifier" w:history="1">
        <w:r w:rsidRPr="000C6547">
          <w:rPr>
            <w:rStyle w:val="Lienhypertexte"/>
            <w:rFonts w:asciiTheme="majorBidi" w:hAnsiTheme="majorBidi" w:cstheme="majorBidi"/>
          </w:rPr>
          <w:t>https://doi.org/10.1016/j.ecoenv.2017.01.008</w:t>
        </w:r>
      </w:hyperlink>
    </w:p>
    <w:p w14:paraId="7BDB5E5D" w14:textId="77777777" w:rsidR="000C6547" w:rsidRPr="00B938DA" w:rsidRDefault="000C6547" w:rsidP="000C6547">
      <w:pPr>
        <w:ind w:left="709" w:hanging="709"/>
        <w:jc w:val="both"/>
        <w:rPr>
          <w:rFonts w:asciiTheme="majorBidi" w:hAnsiTheme="majorBidi" w:cstheme="majorBidi"/>
          <w:lang w:val="en-US"/>
        </w:rPr>
      </w:pPr>
      <w:proofErr w:type="spellStart"/>
      <w:r w:rsidRPr="000C6547">
        <w:rPr>
          <w:rFonts w:asciiTheme="majorBidi" w:hAnsiTheme="majorBidi" w:cstheme="majorBidi"/>
          <w:shd w:val="clear" w:color="auto" w:fill="FFFFFF"/>
          <w:lang w:val="de-DE"/>
        </w:rPr>
        <w:t>Gu</w:t>
      </w:r>
      <w:proofErr w:type="spellEnd"/>
      <w:r w:rsidRPr="000C6547">
        <w:rPr>
          <w:rFonts w:asciiTheme="majorBidi" w:hAnsiTheme="majorBidi" w:cstheme="majorBidi"/>
          <w:shd w:val="clear" w:color="auto" w:fill="FFFFFF"/>
          <w:lang w:val="de-DE"/>
        </w:rPr>
        <w:t xml:space="preserve">, X., Cheng, C., Zhang, J., Zhang, J., Chen, G., Ma, C., Zhang, Z., 2017. </w:t>
      </w:r>
      <w:r w:rsidRPr="000C6547">
        <w:rPr>
          <w:rFonts w:asciiTheme="majorBidi" w:hAnsiTheme="majorBidi" w:cstheme="majorBidi"/>
          <w:shd w:val="clear" w:color="auto" w:fill="FFFFFF"/>
        </w:rPr>
        <w:t>Stabilization of montmorillonite by ammoniated lignosulfonates and its use in water-based drilling fluid. </w:t>
      </w:r>
      <w:r w:rsidRPr="00B938DA">
        <w:rPr>
          <w:rFonts w:asciiTheme="majorBidi" w:hAnsiTheme="majorBidi" w:cstheme="majorBidi"/>
          <w:shd w:val="clear" w:color="auto" w:fill="FFFFFF"/>
          <w:lang w:val="en-US"/>
        </w:rPr>
        <w:t>Sci. Adv. Mater. 9(6), 928-933</w:t>
      </w:r>
      <w:r w:rsidRPr="00B938DA">
        <w:rPr>
          <w:rFonts w:asciiTheme="majorBidi" w:hAnsiTheme="majorBidi" w:cstheme="majorBidi"/>
          <w:lang w:val="en-US"/>
        </w:rPr>
        <w:t xml:space="preserve">. </w:t>
      </w:r>
      <w:hyperlink r:id="rId46" w:history="1">
        <w:r w:rsidRPr="00B938DA">
          <w:rPr>
            <w:rStyle w:val="Lienhypertexte"/>
            <w:rFonts w:asciiTheme="majorBidi" w:hAnsiTheme="majorBidi" w:cstheme="majorBidi"/>
            <w:lang w:val="en-US"/>
          </w:rPr>
          <w:t>https://doi.org/10.1166/sam.2017.3065</w:t>
        </w:r>
      </w:hyperlink>
    </w:p>
    <w:p w14:paraId="29C00881" w14:textId="77777777" w:rsidR="000C6547" w:rsidRPr="000C6547" w:rsidRDefault="000C6547" w:rsidP="000C6547">
      <w:pPr>
        <w:ind w:left="709" w:hanging="709"/>
        <w:jc w:val="both"/>
        <w:rPr>
          <w:rFonts w:asciiTheme="majorBidi" w:hAnsiTheme="majorBidi" w:cstheme="majorBidi"/>
        </w:rPr>
      </w:pPr>
      <w:proofErr w:type="spellStart"/>
      <w:r w:rsidRPr="00B938DA">
        <w:rPr>
          <w:rFonts w:asciiTheme="majorBidi" w:hAnsiTheme="majorBidi" w:cstheme="majorBidi"/>
          <w:shd w:val="clear" w:color="auto" w:fill="FFFFFF"/>
          <w:lang w:val="en-US"/>
        </w:rPr>
        <w:t>Gubitosa</w:t>
      </w:r>
      <w:proofErr w:type="spellEnd"/>
      <w:r w:rsidRPr="00B938DA">
        <w:rPr>
          <w:rFonts w:asciiTheme="majorBidi" w:hAnsiTheme="majorBidi" w:cstheme="majorBidi"/>
          <w:shd w:val="clear" w:color="auto" w:fill="FFFFFF"/>
          <w:lang w:val="en-US"/>
        </w:rPr>
        <w:t xml:space="preserve">, J., Rizzi, V., Fini, P., Cosma, P., 2019. </w:t>
      </w:r>
      <w:r w:rsidRPr="000C6547">
        <w:rPr>
          <w:rFonts w:asciiTheme="majorBidi" w:hAnsiTheme="majorBidi" w:cstheme="majorBidi"/>
          <w:shd w:val="clear" w:color="auto" w:fill="FFFFFF"/>
        </w:rPr>
        <w:t>Hair care cosmetics: From traditional shampoo to solid clay and herbal shampoo, a review. Cosmetics 6(1), 13</w:t>
      </w:r>
      <w:r w:rsidRPr="000C6547">
        <w:rPr>
          <w:rFonts w:asciiTheme="majorBidi" w:hAnsiTheme="majorBidi" w:cstheme="majorBidi"/>
        </w:rPr>
        <w:t xml:space="preserve">.  </w:t>
      </w:r>
      <w:hyperlink r:id="rId47" w:history="1">
        <w:r w:rsidRPr="000C6547">
          <w:rPr>
            <w:rStyle w:val="Lienhypertexte"/>
            <w:rFonts w:asciiTheme="majorBidi" w:hAnsiTheme="majorBidi" w:cstheme="majorBidi"/>
          </w:rPr>
          <w:t>https://doi.org/10.3390/cosmetics6010013</w:t>
        </w:r>
      </w:hyperlink>
      <w:r w:rsidRPr="000C6547">
        <w:rPr>
          <w:rFonts w:asciiTheme="majorBidi" w:hAnsiTheme="majorBidi" w:cstheme="majorBidi"/>
        </w:rPr>
        <w:t xml:space="preserve"> </w:t>
      </w:r>
    </w:p>
    <w:p w14:paraId="4712F3EF" w14:textId="77777777" w:rsidR="000C6547" w:rsidRPr="000C6547" w:rsidRDefault="000C6547" w:rsidP="000C6547">
      <w:pPr>
        <w:ind w:left="709" w:hanging="709"/>
        <w:jc w:val="both"/>
        <w:rPr>
          <w:rFonts w:asciiTheme="majorBidi" w:hAnsiTheme="majorBidi" w:cstheme="majorBidi"/>
          <w:lang w:val="fr-FR"/>
        </w:rPr>
      </w:pPr>
      <w:proofErr w:type="spellStart"/>
      <w:r w:rsidRPr="000C6547">
        <w:rPr>
          <w:rFonts w:asciiTheme="majorBidi" w:hAnsiTheme="majorBidi" w:cstheme="majorBidi"/>
          <w:shd w:val="clear" w:color="auto" w:fill="FFFFFF"/>
        </w:rPr>
        <w:t>Harrou</w:t>
      </w:r>
      <w:proofErr w:type="spellEnd"/>
      <w:r w:rsidRPr="000C6547">
        <w:rPr>
          <w:rFonts w:asciiTheme="majorBidi" w:hAnsiTheme="majorBidi" w:cstheme="majorBidi"/>
          <w:shd w:val="clear" w:color="auto" w:fill="FFFFFF"/>
        </w:rPr>
        <w:t>, A., Ouahabi, M.E., Fagel, N., Barba-Lobo, A., Pérez-Moreno, S.M., Raya, J.P.B., Gharibi, E., 2024. Assessment of the mobility of potentially toxic trace elements (PTEs) and radionuclides released in soils stabilized with mixtures of bentonite-lime-</w:t>
      </w:r>
      <w:proofErr w:type="spellStart"/>
      <w:r w:rsidRPr="000C6547">
        <w:rPr>
          <w:rFonts w:asciiTheme="majorBidi" w:hAnsiTheme="majorBidi" w:cstheme="majorBidi"/>
          <w:shd w:val="clear" w:color="auto" w:fill="FFFFFF"/>
        </w:rPr>
        <w:t>phosphogypsum</w:t>
      </w:r>
      <w:proofErr w:type="spellEnd"/>
      <w:r w:rsidRPr="000C6547">
        <w:rPr>
          <w:rFonts w:asciiTheme="majorBidi" w:hAnsiTheme="majorBidi" w:cstheme="majorBidi"/>
          <w:shd w:val="clear" w:color="auto" w:fill="FFFFFF"/>
        </w:rPr>
        <w:t>. </w:t>
      </w:r>
      <w:r w:rsidRPr="000C6547">
        <w:rPr>
          <w:rFonts w:asciiTheme="majorBidi" w:hAnsiTheme="majorBidi" w:cstheme="majorBidi"/>
          <w:shd w:val="clear" w:color="auto" w:fill="FFFFFF"/>
          <w:lang w:val="fr-FR"/>
        </w:rPr>
        <w:t xml:space="preserve">Environ. </w:t>
      </w:r>
      <w:proofErr w:type="spellStart"/>
      <w:r w:rsidRPr="000C6547">
        <w:rPr>
          <w:rFonts w:asciiTheme="majorBidi" w:hAnsiTheme="majorBidi" w:cstheme="majorBidi"/>
          <w:shd w:val="clear" w:color="auto" w:fill="FFFFFF"/>
          <w:lang w:val="fr-FR"/>
        </w:rPr>
        <w:t>Sci</w:t>
      </w:r>
      <w:proofErr w:type="spellEnd"/>
      <w:r w:rsidRPr="000C6547">
        <w:rPr>
          <w:rFonts w:asciiTheme="majorBidi" w:hAnsiTheme="majorBidi" w:cstheme="majorBidi"/>
          <w:shd w:val="clear" w:color="auto" w:fill="FFFFFF"/>
          <w:lang w:val="fr-FR"/>
        </w:rPr>
        <w:t xml:space="preserve">. </w:t>
      </w:r>
      <w:proofErr w:type="spellStart"/>
      <w:r w:rsidRPr="000C6547">
        <w:rPr>
          <w:rFonts w:asciiTheme="majorBidi" w:hAnsiTheme="majorBidi" w:cstheme="majorBidi"/>
          <w:shd w:val="clear" w:color="auto" w:fill="FFFFFF"/>
          <w:lang w:val="fr-FR"/>
        </w:rPr>
        <w:t>Pollut</w:t>
      </w:r>
      <w:proofErr w:type="spellEnd"/>
      <w:r w:rsidRPr="000C6547">
        <w:rPr>
          <w:rFonts w:asciiTheme="majorBidi" w:hAnsiTheme="majorBidi" w:cstheme="majorBidi"/>
          <w:shd w:val="clear" w:color="auto" w:fill="FFFFFF"/>
          <w:lang w:val="fr-FR"/>
        </w:rPr>
        <w:t xml:space="preserve">. </w:t>
      </w:r>
      <w:proofErr w:type="spellStart"/>
      <w:r w:rsidRPr="000C6547">
        <w:rPr>
          <w:rFonts w:asciiTheme="majorBidi" w:hAnsiTheme="majorBidi" w:cstheme="majorBidi"/>
          <w:shd w:val="clear" w:color="auto" w:fill="FFFFFF"/>
          <w:lang w:val="fr-FR"/>
        </w:rPr>
        <w:t>Res</w:t>
      </w:r>
      <w:proofErr w:type="spellEnd"/>
      <w:r w:rsidRPr="000C6547">
        <w:rPr>
          <w:rFonts w:asciiTheme="majorBidi" w:hAnsiTheme="majorBidi" w:cstheme="majorBidi"/>
          <w:shd w:val="clear" w:color="auto" w:fill="FFFFFF"/>
          <w:lang w:val="fr-FR"/>
        </w:rPr>
        <w:t xml:space="preserve">. 31(40), 52917-52932. </w:t>
      </w:r>
      <w:hyperlink r:id="rId48" w:history="1">
        <w:r w:rsidRPr="000C6547">
          <w:rPr>
            <w:rStyle w:val="Lienhypertexte"/>
            <w:rFonts w:asciiTheme="majorBidi" w:hAnsiTheme="majorBidi" w:cstheme="majorBidi"/>
            <w:lang w:val="fr-FR"/>
          </w:rPr>
          <w:t>https://doi.org/10.1007/s11356-024-34694-9</w:t>
        </w:r>
      </w:hyperlink>
    </w:p>
    <w:p w14:paraId="3D250512" w14:textId="77777777" w:rsidR="000C6547" w:rsidRPr="000F084C" w:rsidRDefault="000C6547" w:rsidP="000C6547">
      <w:pPr>
        <w:ind w:left="709" w:hanging="709"/>
        <w:jc w:val="both"/>
        <w:rPr>
          <w:rFonts w:asciiTheme="majorBidi" w:hAnsiTheme="majorBidi" w:cstheme="majorBidi"/>
          <w:lang w:val="de-DE"/>
        </w:rPr>
      </w:pPr>
      <w:proofErr w:type="spellStart"/>
      <w:r w:rsidRPr="000C6547">
        <w:rPr>
          <w:rFonts w:asciiTheme="majorBidi" w:hAnsiTheme="majorBidi" w:cstheme="majorBidi"/>
          <w:lang w:val="fr-FR"/>
        </w:rPr>
        <w:t>Herranz</w:t>
      </w:r>
      <w:proofErr w:type="spellEnd"/>
      <w:r w:rsidRPr="000C6547">
        <w:rPr>
          <w:rFonts w:asciiTheme="majorBidi" w:hAnsiTheme="majorBidi" w:cstheme="majorBidi"/>
          <w:lang w:val="fr-FR"/>
        </w:rPr>
        <w:t xml:space="preserve">, J.E. and </w:t>
      </w:r>
      <w:proofErr w:type="spellStart"/>
      <w:r w:rsidRPr="000C6547">
        <w:rPr>
          <w:rFonts w:asciiTheme="majorBidi" w:hAnsiTheme="majorBidi" w:cstheme="majorBidi"/>
          <w:lang w:val="fr-FR"/>
        </w:rPr>
        <w:t>Pozo</w:t>
      </w:r>
      <w:proofErr w:type="spellEnd"/>
      <w:r w:rsidRPr="000C6547">
        <w:rPr>
          <w:rFonts w:asciiTheme="majorBidi" w:hAnsiTheme="majorBidi" w:cstheme="majorBidi"/>
          <w:lang w:val="fr-FR"/>
        </w:rPr>
        <w:t xml:space="preserve">, M., 2022. </w:t>
      </w:r>
      <w:r w:rsidRPr="000C6547">
        <w:rPr>
          <w:rFonts w:asciiTheme="majorBidi" w:hAnsiTheme="majorBidi" w:cstheme="majorBidi"/>
        </w:rPr>
        <w:t xml:space="preserve">Sepiolite and other authigenic Mg-clay minerals formation in different Palustrine environments (Madrid Basin, Spain). </w:t>
      </w:r>
      <w:r w:rsidRPr="000F084C">
        <w:rPr>
          <w:rFonts w:asciiTheme="majorBidi" w:hAnsiTheme="majorBidi" w:cstheme="majorBidi"/>
          <w:lang w:val="de-DE"/>
        </w:rPr>
        <w:t xml:space="preserve">Minerals, 12(8), p.987. </w:t>
      </w:r>
      <w:hyperlink r:id="rId49" w:history="1">
        <w:r w:rsidRPr="000F084C">
          <w:rPr>
            <w:rStyle w:val="Lienhypertexte"/>
            <w:rFonts w:asciiTheme="majorBidi" w:hAnsiTheme="majorBidi" w:cstheme="majorBidi"/>
            <w:lang w:val="de-DE"/>
          </w:rPr>
          <w:t>https://doi.org/10.3390/min12080987</w:t>
        </w:r>
      </w:hyperlink>
      <w:r w:rsidRPr="000F084C">
        <w:rPr>
          <w:rFonts w:asciiTheme="majorBidi" w:hAnsiTheme="majorBidi" w:cstheme="majorBidi"/>
          <w:lang w:val="de-DE"/>
        </w:rPr>
        <w:t xml:space="preserve"> </w:t>
      </w:r>
    </w:p>
    <w:p w14:paraId="504056EF"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lang w:val="de-DE"/>
        </w:rPr>
        <w:t xml:space="preserve">Hu, Z., </w:t>
      </w:r>
      <w:proofErr w:type="spellStart"/>
      <w:r w:rsidRPr="000C6547">
        <w:rPr>
          <w:rFonts w:asciiTheme="majorBidi" w:hAnsiTheme="majorBidi" w:cstheme="majorBidi"/>
          <w:lang w:val="de-DE"/>
        </w:rPr>
        <w:t>Haneklaus</w:t>
      </w:r>
      <w:proofErr w:type="spellEnd"/>
      <w:r w:rsidRPr="000C6547">
        <w:rPr>
          <w:rFonts w:asciiTheme="majorBidi" w:hAnsiTheme="majorBidi" w:cstheme="majorBidi"/>
          <w:lang w:val="de-DE"/>
        </w:rPr>
        <w:t xml:space="preserve">, S., </w:t>
      </w:r>
      <w:proofErr w:type="spellStart"/>
      <w:r w:rsidRPr="000C6547">
        <w:rPr>
          <w:rFonts w:asciiTheme="majorBidi" w:hAnsiTheme="majorBidi" w:cstheme="majorBidi"/>
          <w:lang w:val="de-DE"/>
        </w:rPr>
        <w:t>Sparovek</w:t>
      </w:r>
      <w:proofErr w:type="spellEnd"/>
      <w:r w:rsidRPr="000C6547">
        <w:rPr>
          <w:rFonts w:asciiTheme="majorBidi" w:hAnsiTheme="majorBidi" w:cstheme="majorBidi"/>
          <w:lang w:val="de-DE"/>
        </w:rPr>
        <w:t xml:space="preserve">, G. &amp; </w:t>
      </w:r>
      <w:proofErr w:type="spellStart"/>
      <w:r w:rsidRPr="000C6547">
        <w:rPr>
          <w:rFonts w:asciiTheme="majorBidi" w:hAnsiTheme="majorBidi" w:cstheme="majorBidi"/>
          <w:lang w:val="de-DE"/>
        </w:rPr>
        <w:t>Schnug</w:t>
      </w:r>
      <w:proofErr w:type="spellEnd"/>
      <w:r w:rsidRPr="000C6547">
        <w:rPr>
          <w:rFonts w:asciiTheme="majorBidi" w:hAnsiTheme="majorBidi" w:cstheme="majorBidi"/>
          <w:lang w:val="de-DE"/>
        </w:rPr>
        <w:t xml:space="preserve">, E. (2006). </w:t>
      </w:r>
      <w:r w:rsidRPr="000C6547">
        <w:rPr>
          <w:rFonts w:asciiTheme="majorBidi" w:hAnsiTheme="majorBidi" w:cstheme="majorBidi"/>
          <w:lang w:val="en-US"/>
        </w:rPr>
        <w:t xml:space="preserve">Rare earth elements in soils. Communications in soil science and plant analysis, 37(9-10), 1381-1420. </w:t>
      </w:r>
      <w:hyperlink r:id="rId50" w:history="1">
        <w:r w:rsidRPr="000C6547">
          <w:rPr>
            <w:rStyle w:val="Lienhypertexte"/>
            <w:rFonts w:asciiTheme="majorBidi" w:hAnsiTheme="majorBidi" w:cstheme="majorBidi"/>
            <w:lang w:val="en-US"/>
          </w:rPr>
          <w:t>https://doi.org/10.1080/00103620600628680</w:t>
        </w:r>
      </w:hyperlink>
      <w:r w:rsidRPr="000C6547">
        <w:rPr>
          <w:rFonts w:asciiTheme="majorBidi" w:hAnsiTheme="majorBidi" w:cstheme="majorBidi"/>
          <w:lang w:val="en-US"/>
        </w:rPr>
        <w:t xml:space="preserve"> </w:t>
      </w:r>
    </w:p>
    <w:p w14:paraId="4F53EF08"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Islam, M.S., Ahmed, M.K. and Habibullah-Al-Mamun, M., 2015. Metal speciation in soil and health risk due to vegetables consumption in Bangladesh. Environmental monitoring and assessment, 187, pp.1-15. </w:t>
      </w:r>
      <w:hyperlink r:id="rId51" w:history="1">
        <w:r w:rsidRPr="000C6547">
          <w:rPr>
            <w:rStyle w:val="Lienhypertexte"/>
            <w:rFonts w:asciiTheme="majorBidi" w:hAnsiTheme="majorBidi" w:cstheme="majorBidi"/>
          </w:rPr>
          <w:t>https://doi.org/10.1007/s10661-015-4533-3</w:t>
        </w:r>
      </w:hyperlink>
      <w:r w:rsidRPr="000C6547">
        <w:rPr>
          <w:rFonts w:asciiTheme="majorBidi" w:hAnsiTheme="majorBidi" w:cstheme="majorBidi"/>
        </w:rPr>
        <w:t xml:space="preserve"> </w:t>
      </w:r>
    </w:p>
    <w:p w14:paraId="6205E86F"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Kabata-Pendias</w:t>
      </w:r>
      <w:proofErr w:type="spellEnd"/>
      <w:r w:rsidRPr="000C6547">
        <w:rPr>
          <w:rFonts w:asciiTheme="majorBidi" w:hAnsiTheme="majorBidi" w:cstheme="majorBidi"/>
        </w:rPr>
        <w:t>, A., 2000. Trace elements in soils and plants. CRC press.</w:t>
      </w:r>
    </w:p>
    <w:p w14:paraId="17B2E50F"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Keçeci, M., Usta, S. and Uygur, V., 2020. Lead adsorption in soils and the effect of soil properties: case study from Turkey. Environmental Earth Sciences, 79(18), p.416. </w:t>
      </w:r>
      <w:hyperlink r:id="rId52" w:history="1">
        <w:r w:rsidRPr="000C6547">
          <w:rPr>
            <w:rStyle w:val="Lienhypertexte"/>
            <w:rFonts w:asciiTheme="majorBidi" w:hAnsiTheme="majorBidi" w:cstheme="majorBidi"/>
          </w:rPr>
          <w:t>https://doi.org/10.1007/s12665-020-09156-3</w:t>
        </w:r>
      </w:hyperlink>
      <w:r w:rsidRPr="000C6547">
        <w:rPr>
          <w:rFonts w:asciiTheme="majorBidi" w:hAnsiTheme="majorBidi" w:cstheme="majorBidi"/>
        </w:rPr>
        <w:t xml:space="preserve"> </w:t>
      </w:r>
    </w:p>
    <w:p w14:paraId="450A3828"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Kersten, M., 2024. Temperature-dependent adsorption by goethite of molybdate and vanadate. Applied Geochemistry, 162, p.105907. </w:t>
      </w:r>
      <w:hyperlink r:id="rId53" w:tgtFrame="_blank" w:tooltip="Persistent link using digital object identifier" w:history="1">
        <w:r w:rsidRPr="000C6547">
          <w:rPr>
            <w:rStyle w:val="Lienhypertexte"/>
            <w:rFonts w:asciiTheme="majorBidi" w:hAnsiTheme="majorBidi" w:cstheme="majorBidi"/>
          </w:rPr>
          <w:t>https://doi.org/10.1016/j.apgeochem.2024.105907</w:t>
        </w:r>
      </w:hyperlink>
    </w:p>
    <w:p w14:paraId="341929DA"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Khan, S., Naushad, M., Lima, E.C., Zhang, S., Shaheen, S.M. and </w:t>
      </w:r>
      <w:proofErr w:type="spellStart"/>
      <w:r w:rsidRPr="000C6547">
        <w:rPr>
          <w:rFonts w:asciiTheme="majorBidi" w:hAnsiTheme="majorBidi" w:cstheme="majorBidi"/>
        </w:rPr>
        <w:t>Rinklebe</w:t>
      </w:r>
      <w:proofErr w:type="spellEnd"/>
      <w:r w:rsidRPr="000C6547">
        <w:rPr>
          <w:rFonts w:asciiTheme="majorBidi" w:hAnsiTheme="majorBidi" w:cstheme="majorBidi"/>
        </w:rPr>
        <w:t xml:space="preserve">, J., 2021. Global soil pollution by toxic elements: Current status and future perspectives on the risk assessment and </w:t>
      </w:r>
      <w:r w:rsidRPr="000C6547">
        <w:rPr>
          <w:rFonts w:asciiTheme="majorBidi" w:hAnsiTheme="majorBidi" w:cstheme="majorBidi"/>
        </w:rPr>
        <w:lastRenderedPageBreak/>
        <w:t>remediation strategies–A review. Journal of Hazardous Materials, 417, p.126039. https://doi.org/10.1016/j.jhazmat.2021.126039</w:t>
      </w:r>
    </w:p>
    <w:p w14:paraId="4467696F"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Khanam, R., Kumar, A., Nayak, A.K., Shahid, M., Tripathi, R., Vijayakumar, S., Bhaduri, D., Kumar, U., Mohanty, S., Panneerselvam, P. and Chatterjee, D., 2020. Metal (loid) s (As, Hg, Se, Pb and Cd) in paddy soil: Bioavailability and potential risk to human health. Science of the Total Environment, 699, p.134330. </w:t>
      </w:r>
      <w:hyperlink r:id="rId54" w:tgtFrame="_blank" w:tooltip="Persistent link using digital object identifier" w:history="1">
        <w:r w:rsidRPr="000C6547">
          <w:rPr>
            <w:rStyle w:val="Lienhypertexte"/>
            <w:rFonts w:asciiTheme="majorBidi" w:hAnsiTheme="majorBidi" w:cstheme="majorBidi"/>
          </w:rPr>
          <w:t>https://doi.org/10.1016/j.scitotenv.2019.134330</w:t>
        </w:r>
      </w:hyperlink>
    </w:p>
    <w:p w14:paraId="4E44ADFA"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Khouya</w:t>
      </w:r>
      <w:proofErr w:type="spellEnd"/>
      <w:r w:rsidRPr="000C6547">
        <w:rPr>
          <w:rFonts w:asciiTheme="majorBidi" w:hAnsiTheme="majorBidi" w:cstheme="majorBidi"/>
        </w:rPr>
        <w:t xml:space="preserve">, E.H., </w:t>
      </w:r>
      <w:proofErr w:type="spellStart"/>
      <w:r w:rsidRPr="000C6547">
        <w:rPr>
          <w:rFonts w:asciiTheme="majorBidi" w:hAnsiTheme="majorBidi" w:cstheme="majorBidi"/>
        </w:rPr>
        <w:t>Legrouri</w:t>
      </w:r>
      <w:proofErr w:type="spellEnd"/>
      <w:r w:rsidRPr="000C6547">
        <w:rPr>
          <w:rFonts w:asciiTheme="majorBidi" w:hAnsiTheme="majorBidi" w:cstheme="majorBidi"/>
        </w:rPr>
        <w:t xml:space="preserve">, K., </w:t>
      </w:r>
      <w:proofErr w:type="spellStart"/>
      <w:r w:rsidRPr="000C6547">
        <w:rPr>
          <w:rFonts w:asciiTheme="majorBidi" w:hAnsiTheme="majorBidi" w:cstheme="majorBidi"/>
        </w:rPr>
        <w:t>Fakhi</w:t>
      </w:r>
      <w:proofErr w:type="spellEnd"/>
      <w:r w:rsidRPr="000C6547">
        <w:rPr>
          <w:rFonts w:asciiTheme="majorBidi" w:hAnsiTheme="majorBidi" w:cstheme="majorBidi"/>
        </w:rPr>
        <w:t xml:space="preserve">, S. and </w:t>
      </w:r>
      <w:proofErr w:type="spellStart"/>
      <w:r w:rsidRPr="000C6547">
        <w:rPr>
          <w:rFonts w:asciiTheme="majorBidi" w:hAnsiTheme="majorBidi" w:cstheme="majorBidi"/>
        </w:rPr>
        <w:t>Hannache</w:t>
      </w:r>
      <w:proofErr w:type="spellEnd"/>
      <w:r w:rsidRPr="000C6547">
        <w:rPr>
          <w:rFonts w:asciiTheme="majorBidi" w:hAnsiTheme="majorBidi" w:cstheme="majorBidi"/>
        </w:rPr>
        <w:t xml:space="preserve">, H., 2010. Adsorption of uranium and thorium on new adsorbent prepared from Moroccan oil shale impregnated with phosphoric acid. Nature </w:t>
      </w:r>
      <w:proofErr w:type="spellStart"/>
      <w:r w:rsidRPr="000C6547">
        <w:rPr>
          <w:rFonts w:asciiTheme="majorBidi" w:hAnsiTheme="majorBidi" w:cstheme="majorBidi"/>
        </w:rPr>
        <w:t>Precedings</w:t>
      </w:r>
      <w:proofErr w:type="spellEnd"/>
      <w:r w:rsidRPr="000C6547">
        <w:rPr>
          <w:rFonts w:asciiTheme="majorBidi" w:hAnsiTheme="majorBidi" w:cstheme="majorBidi"/>
        </w:rPr>
        <w:t>, pp.1-1. https://doi.org/10.1038/npre.2010.5098.1</w:t>
      </w:r>
    </w:p>
    <w:p w14:paraId="3BD323D1"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lang w:val="en-US"/>
        </w:rPr>
        <w:t xml:space="preserve">Kolo, M.T., Khandaker, M.U., Amin, Y.M., Abdullah, W.H.B., Bradley, D.A. &amp; </w:t>
      </w:r>
      <w:proofErr w:type="spellStart"/>
      <w:r w:rsidRPr="000C6547">
        <w:rPr>
          <w:rFonts w:asciiTheme="majorBidi" w:hAnsiTheme="majorBidi" w:cstheme="majorBidi"/>
          <w:lang w:val="en-US"/>
        </w:rPr>
        <w:t>Alzimami</w:t>
      </w:r>
      <w:proofErr w:type="spellEnd"/>
      <w:r w:rsidRPr="000C6547">
        <w:rPr>
          <w:rFonts w:asciiTheme="majorBidi" w:hAnsiTheme="majorBidi" w:cstheme="majorBidi"/>
          <w:lang w:val="en-US"/>
        </w:rPr>
        <w:t xml:space="preserve">, K.S. (2018). Assessment of health risk due to the exposure of heavy metals in soil around mega coal-fired cement factory in Nigeria. Results in physics, 11, 755-762. </w:t>
      </w:r>
      <w:hyperlink r:id="rId55" w:tgtFrame="_blank" w:tooltip="Persistent link using digital object identifier" w:history="1">
        <w:r w:rsidRPr="000C6547">
          <w:rPr>
            <w:rStyle w:val="Lienhypertexte"/>
            <w:rFonts w:asciiTheme="majorBidi" w:hAnsiTheme="majorBidi" w:cstheme="majorBidi"/>
            <w:lang w:val="en-US"/>
          </w:rPr>
          <w:t>https://doi.org/10.1016/j.rinp.2018.10.003</w:t>
        </w:r>
      </w:hyperlink>
      <w:r w:rsidRPr="000C6547">
        <w:rPr>
          <w:rFonts w:asciiTheme="majorBidi" w:hAnsiTheme="majorBidi" w:cstheme="majorBidi"/>
          <w:lang w:val="en-US"/>
        </w:rPr>
        <w:t xml:space="preserve"> </w:t>
      </w:r>
    </w:p>
    <w:p w14:paraId="2E11D428"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Leharne</w:t>
      </w:r>
      <w:proofErr w:type="spellEnd"/>
      <w:r w:rsidRPr="000C6547">
        <w:rPr>
          <w:rFonts w:asciiTheme="majorBidi" w:hAnsiTheme="majorBidi" w:cstheme="majorBidi"/>
        </w:rPr>
        <w:t xml:space="preserve">, S., Charlesworth, D. and Chowdhry, B., 1992. A survey of metal levels in street dusts in an inner London neighbourhood. Environment International, 18(3), pp.263-270.  </w:t>
      </w:r>
      <w:hyperlink r:id="rId56" w:history="1">
        <w:r w:rsidRPr="000C6547">
          <w:rPr>
            <w:rStyle w:val="Lienhypertexte"/>
            <w:rFonts w:asciiTheme="majorBidi" w:hAnsiTheme="majorBidi" w:cstheme="majorBidi"/>
          </w:rPr>
          <w:t>https://doi.org/10.1016/0160-4120(92)90109-H</w:t>
        </w:r>
      </w:hyperlink>
    </w:p>
    <w:p w14:paraId="7D04C417"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Li, P., Lin, C., Cheng, H., Duan, X. and Lei, K., 2015. Contamination and health risks of soil heavy metals around a lead/zinc smelter in southwestern China. Ecotoxicology and Environmental Safety, 113, pp.391-399. </w:t>
      </w:r>
      <w:hyperlink r:id="rId57" w:tgtFrame="_blank" w:tooltip="Persistent link using digital object identifier" w:history="1">
        <w:r w:rsidRPr="000C6547">
          <w:rPr>
            <w:rStyle w:val="Lienhypertexte"/>
            <w:rFonts w:asciiTheme="majorBidi" w:hAnsiTheme="majorBidi" w:cstheme="majorBidi"/>
          </w:rPr>
          <w:t>https://doi.org/10.1016/j.ecoenv.2014.12.025</w:t>
        </w:r>
      </w:hyperlink>
      <w:r w:rsidRPr="000C6547">
        <w:rPr>
          <w:rFonts w:asciiTheme="majorBidi" w:hAnsiTheme="majorBidi" w:cstheme="majorBidi"/>
        </w:rPr>
        <w:t xml:space="preserve"> </w:t>
      </w:r>
    </w:p>
    <w:p w14:paraId="3AE3A416"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Li, X., Wu, T., Bao, H., Liu, X., Xu, C., Zhao, Y., Liu, D. and Yu, H., 2017. Potential toxic trace element (PTE) contamination in Baoji urban soil (NW China): spatial distribution, mobility behavior, and health risk. Environmental Science and Pollution Research, 24(24), pp.19749-19766. </w:t>
      </w:r>
      <w:hyperlink r:id="rId58" w:history="1">
        <w:r w:rsidRPr="000C6547">
          <w:rPr>
            <w:rStyle w:val="Lienhypertexte"/>
            <w:rFonts w:asciiTheme="majorBidi" w:hAnsiTheme="majorBidi" w:cstheme="majorBidi"/>
          </w:rPr>
          <w:t>https://doi.org/10.1007/s11356-017-9526-z</w:t>
        </w:r>
      </w:hyperlink>
      <w:r w:rsidRPr="000C6547">
        <w:rPr>
          <w:rFonts w:asciiTheme="majorBidi" w:hAnsiTheme="majorBidi" w:cstheme="majorBidi"/>
        </w:rPr>
        <w:t xml:space="preserve"> </w:t>
      </w:r>
    </w:p>
    <w:p w14:paraId="4A1AB20A"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Loutfi, M., </w:t>
      </w:r>
      <w:proofErr w:type="spellStart"/>
      <w:r w:rsidRPr="000C6547">
        <w:rPr>
          <w:rFonts w:asciiTheme="majorBidi" w:hAnsiTheme="majorBidi" w:cstheme="majorBidi"/>
        </w:rPr>
        <w:t>Mariouch</w:t>
      </w:r>
      <w:proofErr w:type="spellEnd"/>
      <w:r w:rsidRPr="000C6547">
        <w:rPr>
          <w:rFonts w:asciiTheme="majorBidi" w:hAnsiTheme="majorBidi" w:cstheme="majorBidi"/>
        </w:rPr>
        <w:t xml:space="preserve">, R., </w:t>
      </w:r>
      <w:proofErr w:type="spellStart"/>
      <w:r w:rsidRPr="000C6547">
        <w:rPr>
          <w:rFonts w:asciiTheme="majorBidi" w:hAnsiTheme="majorBidi" w:cstheme="majorBidi"/>
        </w:rPr>
        <w:t>Belfaquir</w:t>
      </w:r>
      <w:proofErr w:type="spellEnd"/>
      <w:r w:rsidRPr="000C6547">
        <w:rPr>
          <w:rFonts w:asciiTheme="majorBidi" w:hAnsiTheme="majorBidi" w:cstheme="majorBidi"/>
        </w:rPr>
        <w:t xml:space="preserve">, M. and Elyoubi, M.S., 2021. Removal of nickel from aqueous solutions using natural clay from northern </w:t>
      </w:r>
      <w:proofErr w:type="spellStart"/>
      <w:r w:rsidRPr="000C6547">
        <w:rPr>
          <w:rFonts w:asciiTheme="majorBidi" w:hAnsiTheme="majorBidi" w:cstheme="majorBidi"/>
        </w:rPr>
        <w:t>morocco</w:t>
      </w:r>
      <w:proofErr w:type="spellEnd"/>
      <w:r w:rsidRPr="000C6547">
        <w:rPr>
          <w:rFonts w:asciiTheme="majorBidi" w:hAnsiTheme="majorBidi" w:cstheme="majorBidi"/>
        </w:rPr>
        <w:t xml:space="preserve">. Materials Today: Proceedings, 45, pp.7457-7467. </w:t>
      </w:r>
      <w:hyperlink r:id="rId59" w:history="1">
        <w:r w:rsidRPr="000C6547">
          <w:rPr>
            <w:rStyle w:val="Lienhypertexte"/>
            <w:rFonts w:asciiTheme="majorBidi" w:hAnsiTheme="majorBidi" w:cstheme="majorBidi"/>
          </w:rPr>
          <w:t>https://doi.org/10.1016/j.matpr.2021.02.018</w:t>
        </w:r>
      </w:hyperlink>
      <w:r w:rsidRPr="000C6547">
        <w:rPr>
          <w:rFonts w:asciiTheme="majorBidi" w:hAnsiTheme="majorBidi" w:cstheme="majorBidi"/>
        </w:rPr>
        <w:t xml:space="preserve"> </w:t>
      </w:r>
    </w:p>
    <w:p w14:paraId="7D2CFF7F"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Lu, M., Xia, Y., Yan, J. and Wang, L., 2025. Wet carbonation of MSWI fly ash for sustainable limestone calcined clay cement-type composites. Cement and Concrete Composites, 156, p.105866. </w:t>
      </w:r>
      <w:hyperlink r:id="rId60" w:history="1">
        <w:r w:rsidRPr="000C6547">
          <w:rPr>
            <w:rStyle w:val="Lienhypertexte"/>
            <w:rFonts w:asciiTheme="majorBidi" w:hAnsiTheme="majorBidi" w:cstheme="majorBidi"/>
          </w:rPr>
          <w:t>https://doi.org/10.1016/j.cemconcomp.2024.105866</w:t>
        </w:r>
      </w:hyperlink>
      <w:r w:rsidRPr="000C6547">
        <w:rPr>
          <w:rFonts w:asciiTheme="majorBidi" w:hAnsiTheme="majorBidi" w:cstheme="majorBidi"/>
        </w:rPr>
        <w:t xml:space="preserve"> </w:t>
      </w:r>
    </w:p>
    <w:p w14:paraId="4252B17C"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Maged, A., Ismael, I.S., </w:t>
      </w:r>
      <w:proofErr w:type="spellStart"/>
      <w:r w:rsidRPr="000C6547">
        <w:rPr>
          <w:rFonts w:asciiTheme="majorBidi" w:hAnsiTheme="majorBidi" w:cstheme="majorBidi"/>
        </w:rPr>
        <w:t>Kharbish</w:t>
      </w:r>
      <w:proofErr w:type="spellEnd"/>
      <w:r w:rsidRPr="000C6547">
        <w:rPr>
          <w:rFonts w:asciiTheme="majorBidi" w:hAnsiTheme="majorBidi" w:cstheme="majorBidi"/>
        </w:rPr>
        <w:t xml:space="preserve">, S., Sarkar, B., </w:t>
      </w:r>
      <w:proofErr w:type="spellStart"/>
      <w:r w:rsidRPr="000C6547">
        <w:rPr>
          <w:rFonts w:asciiTheme="majorBidi" w:hAnsiTheme="majorBidi" w:cstheme="majorBidi"/>
        </w:rPr>
        <w:t>Peräniemi</w:t>
      </w:r>
      <w:proofErr w:type="spellEnd"/>
      <w:r w:rsidRPr="000C6547">
        <w:rPr>
          <w:rFonts w:asciiTheme="majorBidi" w:hAnsiTheme="majorBidi" w:cstheme="majorBidi"/>
        </w:rPr>
        <w:t xml:space="preserve">, S. and Bhatnagar, A., 2020. Enhanced interlayer trapping of Pb (II) ions within kaolinite layers: intercalation, characterization, and sorption studies. Environmental Science and Pollution Research, 27(2), pp.1870-1887. </w:t>
      </w:r>
      <w:hyperlink r:id="rId61" w:history="1">
        <w:r w:rsidRPr="000C6547">
          <w:rPr>
            <w:rStyle w:val="Lienhypertexte"/>
            <w:rFonts w:asciiTheme="majorBidi" w:hAnsiTheme="majorBidi" w:cstheme="majorBidi"/>
          </w:rPr>
          <w:t>https://doi.org/10.1007/s11356-019-06845-w</w:t>
        </w:r>
      </w:hyperlink>
      <w:r w:rsidRPr="000C6547">
        <w:rPr>
          <w:rFonts w:asciiTheme="majorBidi" w:hAnsiTheme="majorBidi" w:cstheme="majorBidi"/>
        </w:rPr>
        <w:t xml:space="preserve"> </w:t>
      </w:r>
    </w:p>
    <w:p w14:paraId="796FAFBF"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Matłok</w:t>
      </w:r>
      <w:proofErr w:type="spellEnd"/>
      <w:r w:rsidRPr="000C6547">
        <w:rPr>
          <w:rFonts w:asciiTheme="majorBidi" w:hAnsiTheme="majorBidi" w:cstheme="majorBidi"/>
        </w:rPr>
        <w:t xml:space="preserve">, M., Petrus, R. and </w:t>
      </w:r>
      <w:proofErr w:type="spellStart"/>
      <w:r w:rsidRPr="000C6547">
        <w:rPr>
          <w:rFonts w:asciiTheme="majorBidi" w:hAnsiTheme="majorBidi" w:cstheme="majorBidi"/>
        </w:rPr>
        <w:t>Warchoł</w:t>
      </w:r>
      <w:proofErr w:type="spellEnd"/>
      <w:r w:rsidRPr="000C6547">
        <w:rPr>
          <w:rFonts w:asciiTheme="majorBidi" w:hAnsiTheme="majorBidi" w:cstheme="majorBidi"/>
        </w:rPr>
        <w:t xml:space="preserve">, J.K., 2015. Equilibrium study of heavy metals adsorption on kaolin. Industrial &amp; Engineering Chemistry Research, 54(27), pp.6975-6984. https://doi.org/10.1021/acs.iecr.5b00880 </w:t>
      </w:r>
    </w:p>
    <w:p w14:paraId="4CB61A16"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lang w:val="de-DE"/>
        </w:rPr>
        <w:t xml:space="preserve">Mensah, A.K., Marschner, B., Shaheen, S.M., Wang, J., Wang, S.L. and </w:t>
      </w:r>
      <w:proofErr w:type="spellStart"/>
      <w:r w:rsidRPr="000C6547">
        <w:rPr>
          <w:rFonts w:asciiTheme="majorBidi" w:hAnsiTheme="majorBidi" w:cstheme="majorBidi"/>
          <w:lang w:val="de-DE"/>
        </w:rPr>
        <w:t>Rinklebe</w:t>
      </w:r>
      <w:proofErr w:type="spellEnd"/>
      <w:r w:rsidRPr="000C6547">
        <w:rPr>
          <w:rFonts w:asciiTheme="majorBidi" w:hAnsiTheme="majorBidi" w:cstheme="majorBidi"/>
          <w:lang w:val="de-DE"/>
        </w:rPr>
        <w:t xml:space="preserve">, J., 2020. </w:t>
      </w:r>
      <w:r w:rsidRPr="000C6547">
        <w:rPr>
          <w:rFonts w:asciiTheme="majorBidi" w:hAnsiTheme="majorBidi" w:cstheme="majorBidi"/>
        </w:rPr>
        <w:t xml:space="preserve">Arsenic contamination in abandoned and active gold mine spoils in Ghana: Geochemical fractionation, speciation, and assessment of the potential human health risk. Environmental Pollution, 261, p.114116. </w:t>
      </w:r>
      <w:hyperlink r:id="rId62" w:tgtFrame="_blank" w:tooltip="Persistent link using digital object identifier" w:history="1">
        <w:r w:rsidRPr="000C6547">
          <w:rPr>
            <w:rStyle w:val="Lienhypertexte"/>
            <w:rFonts w:asciiTheme="majorBidi" w:hAnsiTheme="majorBidi" w:cstheme="majorBidi"/>
          </w:rPr>
          <w:t>https://doi.org/10.1016/j.envpol.2020.114116</w:t>
        </w:r>
      </w:hyperlink>
    </w:p>
    <w:p w14:paraId="0113A6D2" w14:textId="77777777" w:rsidR="000C6547" w:rsidRPr="00A12C92" w:rsidRDefault="000C6547" w:rsidP="000C6547">
      <w:pPr>
        <w:ind w:left="709" w:hanging="709"/>
        <w:jc w:val="both"/>
        <w:rPr>
          <w:rFonts w:asciiTheme="majorBidi" w:hAnsiTheme="majorBidi" w:cstheme="majorBidi"/>
          <w:lang w:val="nb-NO"/>
        </w:rPr>
      </w:pPr>
      <w:r w:rsidRPr="000C6547">
        <w:rPr>
          <w:rFonts w:asciiTheme="majorBidi" w:hAnsiTheme="majorBidi" w:cstheme="majorBidi"/>
          <w:shd w:val="clear" w:color="auto" w:fill="FFFFFF"/>
        </w:rPr>
        <w:t>Migdisov, A., Williams-Jones, A.E., Brugger, J., Caporuscio, F.A., 2016. Hydrothermal transport, deposition, and fractionation of the REE: Experimental data and thermodynamic calculations. </w:t>
      </w:r>
      <w:r w:rsidRPr="001000A9">
        <w:rPr>
          <w:rFonts w:asciiTheme="majorBidi" w:hAnsiTheme="majorBidi" w:cstheme="majorBidi"/>
          <w:shd w:val="clear" w:color="auto" w:fill="FFFFFF"/>
        </w:rPr>
        <w:t>Chem. Geol. 439, 13-42</w:t>
      </w:r>
      <w:r w:rsidRPr="001000A9">
        <w:rPr>
          <w:rFonts w:asciiTheme="majorBidi" w:hAnsiTheme="majorBidi" w:cstheme="majorBidi"/>
        </w:rPr>
        <w:t xml:space="preserve">. </w:t>
      </w:r>
      <w:hyperlink r:id="rId63" w:tgtFrame="_blank" w:tooltip="Persistent link using digital object identifier" w:history="1">
        <w:r w:rsidRPr="00A12C92">
          <w:rPr>
            <w:rStyle w:val="Lienhypertexte"/>
            <w:rFonts w:asciiTheme="majorBidi" w:hAnsiTheme="majorBidi" w:cstheme="majorBidi"/>
            <w:lang w:val="nb-NO"/>
          </w:rPr>
          <w:t>https://doi.org/10.1016/j.chemgeo.2016.06.005</w:t>
        </w:r>
      </w:hyperlink>
    </w:p>
    <w:p w14:paraId="69F37E2F" w14:textId="77777777" w:rsidR="000C6547" w:rsidRPr="000C6547" w:rsidDel="00A60BF4" w:rsidRDefault="000C6547" w:rsidP="000C6547">
      <w:pPr>
        <w:ind w:left="709" w:hanging="709"/>
        <w:jc w:val="both"/>
        <w:rPr>
          <w:rFonts w:asciiTheme="majorBidi" w:hAnsiTheme="majorBidi" w:cstheme="majorBidi"/>
        </w:rPr>
      </w:pPr>
      <w:r w:rsidRPr="00A12C92">
        <w:rPr>
          <w:rFonts w:asciiTheme="majorBidi" w:hAnsiTheme="majorBidi" w:cstheme="majorBidi"/>
          <w:shd w:val="clear" w:color="auto" w:fill="FFFFFF"/>
          <w:lang w:val="nb-NO"/>
        </w:rPr>
        <w:lastRenderedPageBreak/>
        <w:t xml:space="preserve">Mihailović, A., Vasić, M.V., Todorović, N., Hansman, J., Vasin, J., Krmar, M., 2014. </w:t>
      </w:r>
      <w:r w:rsidRPr="000C6547">
        <w:rPr>
          <w:rFonts w:asciiTheme="majorBidi" w:hAnsiTheme="majorBidi" w:cstheme="majorBidi"/>
          <w:shd w:val="clear" w:color="auto" w:fill="FFFFFF"/>
        </w:rPr>
        <w:t>Potential factors affecting accumulation of unsupported 210Pb in soil. </w:t>
      </w:r>
      <w:proofErr w:type="spellStart"/>
      <w:r w:rsidRPr="000C6547">
        <w:rPr>
          <w:rFonts w:asciiTheme="majorBidi" w:hAnsiTheme="majorBidi" w:cstheme="majorBidi"/>
          <w:shd w:val="clear" w:color="auto" w:fill="FFFFFF"/>
        </w:rPr>
        <w:t>Radiat</w:t>
      </w:r>
      <w:proofErr w:type="spellEnd"/>
      <w:r w:rsidRPr="000C6547">
        <w:rPr>
          <w:rFonts w:asciiTheme="majorBidi" w:hAnsiTheme="majorBidi" w:cstheme="majorBidi"/>
          <w:shd w:val="clear" w:color="auto" w:fill="FFFFFF"/>
        </w:rPr>
        <w:t>. Phys. Chem., 99, 74-78</w:t>
      </w:r>
      <w:r w:rsidRPr="000C6547">
        <w:rPr>
          <w:rFonts w:asciiTheme="majorBidi" w:hAnsiTheme="majorBidi" w:cstheme="majorBidi"/>
        </w:rPr>
        <w:t xml:space="preserve">. </w:t>
      </w:r>
      <w:hyperlink r:id="rId64" w:tgtFrame="_blank" w:tooltip="Persistent link using digital object identifier" w:history="1">
        <w:r w:rsidRPr="000C6547">
          <w:rPr>
            <w:rStyle w:val="Lienhypertexte"/>
            <w:rFonts w:asciiTheme="majorBidi" w:hAnsiTheme="majorBidi" w:cstheme="majorBidi"/>
          </w:rPr>
          <w:t>https://doi.org/10.1016/j.radphyschem.2014.02.020</w:t>
        </w:r>
      </w:hyperlink>
      <w:r w:rsidRPr="000C6547">
        <w:rPr>
          <w:rFonts w:asciiTheme="majorBidi" w:hAnsiTheme="majorBidi" w:cstheme="majorBidi"/>
        </w:rPr>
        <w:t xml:space="preserve"> </w:t>
      </w:r>
    </w:p>
    <w:p w14:paraId="3D3CBE3F"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Moussout</w:t>
      </w:r>
      <w:proofErr w:type="spellEnd"/>
      <w:r w:rsidRPr="000C6547">
        <w:rPr>
          <w:rFonts w:asciiTheme="majorBidi" w:hAnsiTheme="majorBidi" w:cstheme="majorBidi"/>
        </w:rPr>
        <w:t xml:space="preserve">, H., </w:t>
      </w:r>
      <w:proofErr w:type="spellStart"/>
      <w:r w:rsidRPr="000C6547">
        <w:rPr>
          <w:rFonts w:asciiTheme="majorBidi" w:hAnsiTheme="majorBidi" w:cstheme="majorBidi"/>
        </w:rPr>
        <w:t>Ahlafi</w:t>
      </w:r>
      <w:proofErr w:type="spellEnd"/>
      <w:r w:rsidRPr="000C6547">
        <w:rPr>
          <w:rFonts w:asciiTheme="majorBidi" w:hAnsiTheme="majorBidi" w:cstheme="majorBidi"/>
        </w:rPr>
        <w:t xml:space="preserve">, H., </w:t>
      </w:r>
      <w:proofErr w:type="spellStart"/>
      <w:r w:rsidRPr="000C6547">
        <w:rPr>
          <w:rFonts w:asciiTheme="majorBidi" w:hAnsiTheme="majorBidi" w:cstheme="majorBidi"/>
        </w:rPr>
        <w:t>Aazza</w:t>
      </w:r>
      <w:proofErr w:type="spellEnd"/>
      <w:r w:rsidRPr="000C6547">
        <w:rPr>
          <w:rFonts w:asciiTheme="majorBidi" w:hAnsiTheme="majorBidi" w:cstheme="majorBidi"/>
        </w:rPr>
        <w:t xml:space="preserve">, M., </w:t>
      </w:r>
      <w:proofErr w:type="spellStart"/>
      <w:r w:rsidRPr="000C6547">
        <w:rPr>
          <w:rFonts w:asciiTheme="majorBidi" w:hAnsiTheme="majorBidi" w:cstheme="majorBidi"/>
        </w:rPr>
        <w:t>Chfaira</w:t>
      </w:r>
      <w:proofErr w:type="spellEnd"/>
      <w:r w:rsidRPr="000C6547">
        <w:rPr>
          <w:rFonts w:asciiTheme="majorBidi" w:hAnsiTheme="majorBidi" w:cstheme="majorBidi"/>
        </w:rPr>
        <w:t xml:space="preserve">, R. and Mounir, C., 2020. Interfacial electrochemical properties of natural Moroccan </w:t>
      </w:r>
      <w:proofErr w:type="spellStart"/>
      <w:r w:rsidRPr="000C6547">
        <w:rPr>
          <w:rFonts w:asciiTheme="majorBidi" w:hAnsiTheme="majorBidi" w:cstheme="majorBidi"/>
        </w:rPr>
        <w:t>Ghassoul</w:t>
      </w:r>
      <w:proofErr w:type="spellEnd"/>
      <w:r w:rsidRPr="000C6547">
        <w:rPr>
          <w:rFonts w:asciiTheme="majorBidi" w:hAnsiTheme="majorBidi" w:cstheme="majorBidi"/>
        </w:rPr>
        <w:t xml:space="preserve"> (</w:t>
      </w:r>
      <w:proofErr w:type="spellStart"/>
      <w:r w:rsidRPr="000C6547">
        <w:rPr>
          <w:rFonts w:asciiTheme="majorBidi" w:hAnsiTheme="majorBidi" w:cstheme="majorBidi"/>
        </w:rPr>
        <w:t>stevensite</w:t>
      </w:r>
      <w:proofErr w:type="spellEnd"/>
      <w:r w:rsidRPr="000C6547">
        <w:rPr>
          <w:rFonts w:asciiTheme="majorBidi" w:hAnsiTheme="majorBidi" w:cstheme="majorBidi"/>
        </w:rPr>
        <w:t>) clay in aqueous suspension. </w:t>
      </w:r>
      <w:proofErr w:type="spellStart"/>
      <w:r w:rsidRPr="000C6547">
        <w:rPr>
          <w:rFonts w:asciiTheme="majorBidi" w:hAnsiTheme="majorBidi" w:cstheme="majorBidi"/>
        </w:rPr>
        <w:t>Heliyon</w:t>
      </w:r>
      <w:proofErr w:type="spellEnd"/>
      <w:r w:rsidRPr="000C6547">
        <w:rPr>
          <w:rFonts w:asciiTheme="majorBidi" w:hAnsiTheme="majorBidi" w:cstheme="majorBidi"/>
        </w:rPr>
        <w:t xml:space="preserve">, 6(3). </w:t>
      </w:r>
      <w:hyperlink r:id="rId65" w:history="1">
        <w:r w:rsidRPr="000C6547">
          <w:rPr>
            <w:rStyle w:val="Lienhypertexte"/>
            <w:rFonts w:asciiTheme="majorBidi" w:hAnsiTheme="majorBidi" w:cstheme="majorBidi"/>
          </w:rPr>
          <w:t>https://doi.org/10.1016/j.heliyon.2020.e03634</w:t>
        </w:r>
      </w:hyperlink>
      <w:r w:rsidRPr="000C6547">
        <w:rPr>
          <w:rFonts w:asciiTheme="majorBidi" w:hAnsiTheme="majorBidi" w:cstheme="majorBidi"/>
        </w:rPr>
        <w:t xml:space="preserve"> </w:t>
      </w:r>
    </w:p>
    <w:p w14:paraId="5E5B4EC7"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Muller, G., 1969. Index of </w:t>
      </w:r>
      <w:proofErr w:type="spellStart"/>
      <w:r w:rsidRPr="000C6547">
        <w:rPr>
          <w:rFonts w:asciiTheme="majorBidi" w:hAnsiTheme="majorBidi" w:cstheme="majorBidi"/>
        </w:rPr>
        <w:t>geoaccumulation</w:t>
      </w:r>
      <w:proofErr w:type="spellEnd"/>
      <w:r w:rsidRPr="000C6547">
        <w:rPr>
          <w:rFonts w:asciiTheme="majorBidi" w:hAnsiTheme="majorBidi" w:cstheme="majorBidi"/>
        </w:rPr>
        <w:t xml:space="preserve"> in sediments of the Rhine River. J. Geol. 2, 108–118.</w:t>
      </w:r>
    </w:p>
    <w:p w14:paraId="6FEA049A" w14:textId="77777777" w:rsidR="000C6547" w:rsidRPr="000C6547" w:rsidRDefault="000C6547" w:rsidP="000C6547">
      <w:pPr>
        <w:ind w:left="709" w:hanging="709"/>
        <w:jc w:val="both"/>
        <w:rPr>
          <w:rFonts w:asciiTheme="majorBidi" w:hAnsiTheme="majorBidi" w:cstheme="majorBidi"/>
          <w:lang w:val="en-US"/>
        </w:rPr>
      </w:pPr>
      <w:proofErr w:type="spellStart"/>
      <w:r w:rsidRPr="000C6547">
        <w:rPr>
          <w:rFonts w:asciiTheme="majorBidi" w:hAnsiTheme="majorBidi" w:cstheme="majorBidi"/>
          <w:lang w:val="en-US"/>
        </w:rPr>
        <w:t>Nagajyoti</w:t>
      </w:r>
      <w:proofErr w:type="spellEnd"/>
      <w:r w:rsidRPr="000C6547">
        <w:rPr>
          <w:rFonts w:asciiTheme="majorBidi" w:hAnsiTheme="majorBidi" w:cstheme="majorBidi"/>
          <w:lang w:val="en-US"/>
        </w:rPr>
        <w:t xml:space="preserve">, P.C., Lee, K.D. &amp; Sreekanth, T.V.M. (2010). Heavy metals, occurrence and toxicity for plants: a review. Environmental chemistry letters, 8, 199-216. </w:t>
      </w:r>
      <w:hyperlink r:id="rId66" w:history="1">
        <w:r w:rsidRPr="000C6547">
          <w:rPr>
            <w:rStyle w:val="Lienhypertexte"/>
            <w:rFonts w:asciiTheme="majorBidi" w:hAnsiTheme="majorBidi" w:cstheme="majorBidi"/>
            <w:lang w:val="en-US"/>
          </w:rPr>
          <w:t>https://doi.org/10.1007/s10311-010-0297-8</w:t>
        </w:r>
      </w:hyperlink>
      <w:r w:rsidRPr="000C6547">
        <w:rPr>
          <w:rFonts w:asciiTheme="majorBidi" w:hAnsiTheme="majorBidi" w:cstheme="majorBidi"/>
          <w:lang w:val="en-US"/>
        </w:rPr>
        <w:t xml:space="preserve"> </w:t>
      </w:r>
    </w:p>
    <w:p w14:paraId="7FBF7FC1" w14:textId="77777777" w:rsidR="000C6547" w:rsidRPr="000C6547" w:rsidRDefault="000C6547" w:rsidP="000C6547">
      <w:pPr>
        <w:ind w:left="709" w:hanging="709"/>
        <w:jc w:val="both"/>
        <w:rPr>
          <w:rFonts w:asciiTheme="majorBidi" w:hAnsiTheme="majorBidi" w:cstheme="majorBidi"/>
        </w:rPr>
      </w:pPr>
      <w:r w:rsidRPr="000F084C">
        <w:rPr>
          <w:rFonts w:asciiTheme="majorBidi" w:hAnsiTheme="majorBidi" w:cstheme="majorBidi"/>
          <w:shd w:val="clear" w:color="auto" w:fill="FFFFFF"/>
          <w:lang w:val="en-US"/>
        </w:rPr>
        <w:t xml:space="preserve">Naja, G.M., Volesky, B., 2017. </w:t>
      </w:r>
      <w:r w:rsidRPr="000C6547">
        <w:rPr>
          <w:rFonts w:asciiTheme="majorBidi" w:hAnsiTheme="majorBidi" w:cstheme="majorBidi"/>
          <w:shd w:val="clear" w:color="auto" w:fill="FFFFFF"/>
        </w:rPr>
        <w:t xml:space="preserve">Toxicity and sources of Pb, Cd, Hg, Cr, As, and radionuclides in the environment. In Handbook of advanced industrial and hazardous wastes management, 855-903. </w:t>
      </w:r>
    </w:p>
    <w:p w14:paraId="7094FA09" w14:textId="77777777" w:rsidR="000C6547" w:rsidRPr="000C6547" w:rsidRDefault="000C6547" w:rsidP="000C6547">
      <w:pPr>
        <w:ind w:left="709" w:hanging="709"/>
        <w:jc w:val="both"/>
        <w:rPr>
          <w:rFonts w:asciiTheme="majorBidi" w:hAnsiTheme="majorBidi" w:cstheme="majorBidi"/>
          <w:lang w:val="en-US"/>
        </w:rPr>
      </w:pPr>
      <w:r w:rsidRPr="000C6547">
        <w:rPr>
          <w:rFonts w:asciiTheme="majorBidi" w:hAnsiTheme="majorBidi" w:cstheme="majorBidi"/>
          <w:shd w:val="clear" w:color="auto" w:fill="FFFFFF"/>
        </w:rPr>
        <w:t>Naujokas, M.F., Anderson, B., Ahsan, H., Aposhian, H.V., Graziano, J.H., Thompson, C., Suk, W.A., 2013. The broad scope of health effects from chronic arsenic exposure: update on a worldwide public health problem. </w:t>
      </w:r>
      <w:r w:rsidRPr="000C6547">
        <w:rPr>
          <w:rFonts w:asciiTheme="majorBidi" w:hAnsiTheme="majorBidi" w:cstheme="majorBidi"/>
          <w:shd w:val="clear" w:color="auto" w:fill="FFFFFF"/>
          <w:lang w:val="en-US"/>
        </w:rPr>
        <w:t xml:space="preserve">Environ. Health </w:t>
      </w:r>
      <w:proofErr w:type="spellStart"/>
      <w:r w:rsidRPr="000C6547">
        <w:rPr>
          <w:rFonts w:asciiTheme="majorBidi" w:hAnsiTheme="majorBidi" w:cstheme="majorBidi"/>
          <w:shd w:val="clear" w:color="auto" w:fill="FFFFFF"/>
          <w:lang w:val="en-US"/>
        </w:rPr>
        <w:t>Perspect</w:t>
      </w:r>
      <w:proofErr w:type="spellEnd"/>
      <w:r w:rsidRPr="000C6547">
        <w:rPr>
          <w:rFonts w:asciiTheme="majorBidi" w:hAnsiTheme="majorBidi" w:cstheme="majorBidi"/>
          <w:shd w:val="clear" w:color="auto" w:fill="FFFFFF"/>
          <w:lang w:val="en-US"/>
        </w:rPr>
        <w:t>. 121(3), 295-302</w:t>
      </w:r>
      <w:r w:rsidRPr="000C6547">
        <w:rPr>
          <w:rFonts w:asciiTheme="majorBidi" w:hAnsiTheme="majorBidi" w:cstheme="majorBidi"/>
          <w:lang w:val="en-US"/>
        </w:rPr>
        <w:t xml:space="preserve">. </w:t>
      </w:r>
      <w:hyperlink r:id="rId67" w:history="1">
        <w:r w:rsidRPr="000C6547">
          <w:rPr>
            <w:rStyle w:val="Lienhypertexte"/>
            <w:rFonts w:asciiTheme="majorBidi" w:hAnsiTheme="majorBidi" w:cstheme="majorBidi"/>
            <w:lang w:val="en-US"/>
          </w:rPr>
          <w:t>https://doi.org/10.1289/ehp.1205875</w:t>
        </w:r>
      </w:hyperlink>
    </w:p>
    <w:p w14:paraId="1E490CE7" w14:textId="77777777" w:rsidR="000C6547" w:rsidRPr="000C6547" w:rsidRDefault="000C6547" w:rsidP="000C6547">
      <w:pPr>
        <w:ind w:left="709" w:hanging="709"/>
        <w:jc w:val="both"/>
        <w:rPr>
          <w:rFonts w:asciiTheme="majorBidi" w:hAnsiTheme="majorBidi" w:cstheme="majorBidi"/>
        </w:rPr>
      </w:pPr>
      <w:r w:rsidRPr="000F084C">
        <w:rPr>
          <w:rFonts w:asciiTheme="majorBidi" w:hAnsiTheme="majorBidi" w:cstheme="majorBidi"/>
          <w:lang w:val="en-US"/>
        </w:rPr>
        <w:t xml:space="preserve">Novikau, R. and </w:t>
      </w:r>
      <w:proofErr w:type="spellStart"/>
      <w:r w:rsidRPr="000F084C">
        <w:rPr>
          <w:rFonts w:asciiTheme="majorBidi" w:hAnsiTheme="majorBidi" w:cstheme="majorBidi"/>
          <w:lang w:val="en-US"/>
        </w:rPr>
        <w:t>Lujaniene</w:t>
      </w:r>
      <w:proofErr w:type="spellEnd"/>
      <w:r w:rsidRPr="000F084C">
        <w:rPr>
          <w:rFonts w:asciiTheme="majorBidi" w:hAnsiTheme="majorBidi" w:cstheme="majorBidi"/>
          <w:lang w:val="en-US"/>
        </w:rPr>
        <w:t xml:space="preserve">, G., 2022. </w:t>
      </w:r>
      <w:r w:rsidRPr="000C6547">
        <w:rPr>
          <w:rFonts w:asciiTheme="majorBidi" w:hAnsiTheme="majorBidi" w:cstheme="majorBidi"/>
        </w:rPr>
        <w:t xml:space="preserve">Adsorption behaviour of pollutants: Heavy metals, radionuclides, organic pollutants, on clays and their minerals (raw, modified and treated): A review. Journal of Environmental Management, 309, p.114685. https://doi.org/10.1016/j.jenvman.2022.114685 </w:t>
      </w:r>
    </w:p>
    <w:p w14:paraId="7380C777" w14:textId="77777777" w:rsidR="000C6547" w:rsidRPr="000C6547" w:rsidRDefault="000C6547" w:rsidP="000C6547">
      <w:pPr>
        <w:ind w:left="709" w:hanging="709"/>
        <w:jc w:val="both"/>
        <w:rPr>
          <w:rFonts w:asciiTheme="majorBidi" w:hAnsiTheme="majorBidi" w:cstheme="majorBidi"/>
          <w:lang w:val="en-US"/>
        </w:rPr>
      </w:pPr>
      <w:proofErr w:type="spellStart"/>
      <w:r w:rsidRPr="000C6547">
        <w:rPr>
          <w:rFonts w:asciiTheme="majorBidi" w:hAnsiTheme="majorBidi" w:cstheme="majorBidi"/>
          <w:lang w:val="en-US"/>
        </w:rPr>
        <w:t>Palansooriya</w:t>
      </w:r>
      <w:proofErr w:type="spellEnd"/>
      <w:r w:rsidRPr="000C6547">
        <w:rPr>
          <w:rFonts w:asciiTheme="majorBidi" w:hAnsiTheme="majorBidi" w:cstheme="majorBidi"/>
          <w:lang w:val="en-US"/>
        </w:rPr>
        <w:t xml:space="preserve">, K.N., Shaheen, S.M., Chen, S.S., Tsang, D.C., Hashimoto, Y., Hou, D., Bolan, N.S., </w:t>
      </w:r>
      <w:proofErr w:type="spellStart"/>
      <w:r w:rsidRPr="000C6547">
        <w:rPr>
          <w:rFonts w:asciiTheme="majorBidi" w:hAnsiTheme="majorBidi" w:cstheme="majorBidi"/>
          <w:lang w:val="en-US"/>
        </w:rPr>
        <w:t>Rinklebe</w:t>
      </w:r>
      <w:proofErr w:type="spellEnd"/>
      <w:r w:rsidRPr="000C6547">
        <w:rPr>
          <w:rFonts w:asciiTheme="majorBidi" w:hAnsiTheme="majorBidi" w:cstheme="majorBidi"/>
          <w:lang w:val="en-US"/>
        </w:rPr>
        <w:t xml:space="preserve">, J. &amp; Ok, Y.S. (2020). Soil amendments for immobilization of potentially toxic elements in contaminated soils: A critical review. Environment international, 134, 105046. </w:t>
      </w:r>
      <w:hyperlink r:id="rId68" w:tgtFrame="_blank" w:tooltip="Persistent link using digital object identifier" w:history="1">
        <w:r w:rsidRPr="000C6547">
          <w:rPr>
            <w:rStyle w:val="Lienhypertexte"/>
            <w:rFonts w:asciiTheme="majorBidi" w:hAnsiTheme="majorBidi" w:cstheme="majorBidi"/>
            <w:lang w:val="en-US"/>
          </w:rPr>
          <w:t>https://doi.org/10.1016/j.envint.2019.105046</w:t>
        </w:r>
      </w:hyperlink>
      <w:r w:rsidRPr="000C6547">
        <w:rPr>
          <w:rFonts w:asciiTheme="majorBidi" w:hAnsiTheme="majorBidi" w:cstheme="majorBidi"/>
          <w:lang w:val="en-US"/>
        </w:rPr>
        <w:t xml:space="preserve"> </w:t>
      </w:r>
    </w:p>
    <w:p w14:paraId="2E71205C" w14:textId="77777777" w:rsidR="000C6547" w:rsidRPr="00B938DA" w:rsidRDefault="000C6547" w:rsidP="000C6547">
      <w:pPr>
        <w:ind w:left="709" w:hanging="709"/>
        <w:jc w:val="both"/>
        <w:rPr>
          <w:rFonts w:asciiTheme="majorBidi" w:hAnsiTheme="majorBidi" w:cstheme="majorBidi"/>
          <w:lang w:val="de-DE"/>
        </w:rPr>
      </w:pPr>
      <w:r w:rsidRPr="000C6547">
        <w:rPr>
          <w:rFonts w:asciiTheme="majorBidi" w:hAnsiTheme="majorBidi" w:cstheme="majorBidi"/>
          <w:shd w:val="clear" w:color="auto" w:fill="FFFFFF"/>
        </w:rPr>
        <w:t>Patrick, L., 2006. Lead Toxicity, a review of the literature. Part I: Exposure, Evaluation, and treatment. </w:t>
      </w:r>
      <w:r w:rsidRPr="00B938DA">
        <w:rPr>
          <w:rFonts w:asciiTheme="majorBidi" w:hAnsiTheme="majorBidi" w:cstheme="majorBidi"/>
          <w:shd w:val="clear" w:color="auto" w:fill="FFFFFF"/>
          <w:lang w:val="de-DE"/>
        </w:rPr>
        <w:t>Altern. Med. Rev. 11(1)</w:t>
      </w:r>
      <w:r w:rsidRPr="00B938DA">
        <w:rPr>
          <w:rFonts w:asciiTheme="majorBidi" w:hAnsiTheme="majorBidi" w:cstheme="majorBidi"/>
          <w:lang w:val="de-DE"/>
        </w:rPr>
        <w:t xml:space="preserve">, 2-22. </w:t>
      </w:r>
    </w:p>
    <w:p w14:paraId="44F33446" w14:textId="77777777" w:rsidR="000C6547" w:rsidRPr="000C6547" w:rsidRDefault="000C6547" w:rsidP="000C6547">
      <w:pPr>
        <w:ind w:left="709" w:hanging="709"/>
        <w:jc w:val="both"/>
        <w:rPr>
          <w:rFonts w:asciiTheme="majorBidi" w:hAnsiTheme="majorBidi" w:cstheme="majorBidi"/>
        </w:rPr>
      </w:pPr>
      <w:r w:rsidRPr="00B938DA">
        <w:rPr>
          <w:rFonts w:asciiTheme="majorBidi" w:hAnsiTheme="majorBidi" w:cstheme="majorBidi"/>
          <w:shd w:val="clear" w:color="auto" w:fill="FFFFFF"/>
          <w:lang w:val="de-DE"/>
        </w:rPr>
        <w:t xml:space="preserve">Pei, P., </w:t>
      </w:r>
      <w:proofErr w:type="spellStart"/>
      <w:r w:rsidRPr="00B938DA">
        <w:rPr>
          <w:rFonts w:asciiTheme="majorBidi" w:hAnsiTheme="majorBidi" w:cstheme="majorBidi"/>
          <w:shd w:val="clear" w:color="auto" w:fill="FFFFFF"/>
          <w:lang w:val="de-DE"/>
        </w:rPr>
        <w:t>Xu</w:t>
      </w:r>
      <w:proofErr w:type="spellEnd"/>
      <w:r w:rsidRPr="00B938DA">
        <w:rPr>
          <w:rFonts w:asciiTheme="majorBidi" w:hAnsiTheme="majorBidi" w:cstheme="majorBidi"/>
          <w:shd w:val="clear" w:color="auto" w:fill="FFFFFF"/>
          <w:lang w:val="de-DE"/>
        </w:rPr>
        <w:t xml:space="preserve">, Y., Zheng, S., Liang, X., Sun, Y., Lin, D., Wang, L., 2021. </w:t>
      </w:r>
      <w:r w:rsidRPr="000C6547">
        <w:rPr>
          <w:rFonts w:asciiTheme="majorBidi" w:hAnsiTheme="majorBidi" w:cstheme="majorBidi"/>
          <w:shd w:val="clear" w:color="auto" w:fill="FFFFFF"/>
        </w:rPr>
        <w:t xml:space="preserve">The use of bentonite and organic amendments for remediation of Cd contaminated fields: an environmental perspective. Land </w:t>
      </w:r>
      <w:proofErr w:type="spellStart"/>
      <w:r w:rsidRPr="000C6547">
        <w:rPr>
          <w:rFonts w:asciiTheme="majorBidi" w:hAnsiTheme="majorBidi" w:cstheme="majorBidi"/>
          <w:shd w:val="clear" w:color="auto" w:fill="FFFFFF"/>
        </w:rPr>
        <w:t>Degrad</w:t>
      </w:r>
      <w:proofErr w:type="spellEnd"/>
      <w:r w:rsidRPr="000C6547">
        <w:rPr>
          <w:rFonts w:asciiTheme="majorBidi" w:hAnsiTheme="majorBidi" w:cstheme="majorBidi"/>
          <w:shd w:val="clear" w:color="auto" w:fill="FFFFFF"/>
        </w:rPr>
        <w:t>. Dev. 32(13), 3639-3652</w:t>
      </w:r>
      <w:r w:rsidRPr="000C6547">
        <w:rPr>
          <w:rFonts w:asciiTheme="majorBidi" w:hAnsiTheme="majorBidi" w:cstheme="majorBidi"/>
        </w:rPr>
        <w:t xml:space="preserve">. </w:t>
      </w:r>
      <w:hyperlink r:id="rId69" w:history="1">
        <w:r w:rsidRPr="000C6547">
          <w:rPr>
            <w:rStyle w:val="Lienhypertexte"/>
            <w:rFonts w:asciiTheme="majorBidi" w:hAnsiTheme="majorBidi" w:cstheme="majorBidi"/>
          </w:rPr>
          <w:t>https://doi.org/10.1002/ldr.3797</w:t>
        </w:r>
      </w:hyperlink>
      <w:r w:rsidRPr="000C6547">
        <w:rPr>
          <w:rFonts w:asciiTheme="majorBidi" w:hAnsiTheme="majorBidi" w:cstheme="majorBidi"/>
        </w:rPr>
        <w:t xml:space="preserve"> </w:t>
      </w:r>
    </w:p>
    <w:p w14:paraId="41294CE1" w14:textId="77777777" w:rsidR="000C6547" w:rsidRPr="000E3D8F" w:rsidRDefault="000C6547" w:rsidP="000C6547">
      <w:pPr>
        <w:keepNext/>
        <w:ind w:left="709" w:hanging="709"/>
        <w:jc w:val="both"/>
        <w:rPr>
          <w:rFonts w:asciiTheme="majorBidi" w:hAnsiTheme="majorBidi" w:cstheme="majorBidi"/>
          <w:lang w:val="en-US"/>
        </w:rPr>
      </w:pPr>
      <w:r w:rsidRPr="000C6547">
        <w:rPr>
          <w:rFonts w:asciiTheme="majorBidi" w:hAnsiTheme="majorBidi" w:cstheme="majorBidi"/>
          <w:shd w:val="clear" w:color="auto" w:fill="FFFFFF"/>
        </w:rPr>
        <w:t>Persson, B. R., Holm, E., 2011. Polonium-210 and lead-210 in the terrestrial environment: a historical review. </w:t>
      </w:r>
      <w:r w:rsidRPr="000E3D8F">
        <w:rPr>
          <w:rFonts w:asciiTheme="majorBidi" w:hAnsiTheme="majorBidi" w:cstheme="majorBidi"/>
          <w:shd w:val="clear" w:color="auto" w:fill="FFFFFF"/>
          <w:lang w:val="en-US"/>
        </w:rPr>
        <w:t xml:space="preserve">J. Environ. </w:t>
      </w:r>
      <w:proofErr w:type="spellStart"/>
      <w:r w:rsidRPr="000E3D8F">
        <w:rPr>
          <w:rFonts w:asciiTheme="majorBidi" w:hAnsiTheme="majorBidi" w:cstheme="majorBidi"/>
          <w:shd w:val="clear" w:color="auto" w:fill="FFFFFF"/>
          <w:lang w:val="en-US"/>
        </w:rPr>
        <w:t>Radioact</w:t>
      </w:r>
      <w:proofErr w:type="spellEnd"/>
      <w:r w:rsidRPr="000E3D8F">
        <w:rPr>
          <w:rFonts w:asciiTheme="majorBidi" w:hAnsiTheme="majorBidi" w:cstheme="majorBidi"/>
          <w:shd w:val="clear" w:color="auto" w:fill="FFFFFF"/>
          <w:lang w:val="en-US"/>
        </w:rPr>
        <w:t>. 102(5), 420-429</w:t>
      </w:r>
      <w:r w:rsidRPr="000E3D8F">
        <w:rPr>
          <w:rFonts w:asciiTheme="majorBidi" w:hAnsiTheme="majorBidi" w:cstheme="majorBidi"/>
          <w:lang w:val="en-US"/>
        </w:rPr>
        <w:t xml:space="preserve">. </w:t>
      </w:r>
      <w:hyperlink r:id="rId70" w:tgtFrame="_blank" w:tooltip="Persistent link using digital object identifier" w:history="1">
        <w:r w:rsidRPr="000E3D8F">
          <w:rPr>
            <w:rStyle w:val="Lienhypertexte"/>
            <w:rFonts w:asciiTheme="majorBidi" w:hAnsiTheme="majorBidi" w:cstheme="majorBidi"/>
            <w:lang w:val="en-US"/>
          </w:rPr>
          <w:t>https://doi.org/10.1016/j.jenvrad.2011.01.005</w:t>
        </w:r>
      </w:hyperlink>
      <w:r w:rsidRPr="000E3D8F">
        <w:rPr>
          <w:rFonts w:asciiTheme="majorBidi" w:hAnsiTheme="majorBidi" w:cstheme="majorBidi"/>
          <w:lang w:val="en-US"/>
        </w:rPr>
        <w:t xml:space="preserve"> </w:t>
      </w:r>
    </w:p>
    <w:p w14:paraId="68771958" w14:textId="77777777" w:rsidR="000C6547" w:rsidRPr="000C6547" w:rsidRDefault="000C6547" w:rsidP="000C6547">
      <w:pPr>
        <w:ind w:left="709" w:hanging="709"/>
        <w:jc w:val="both"/>
        <w:rPr>
          <w:rFonts w:asciiTheme="majorBidi" w:hAnsiTheme="majorBidi" w:cstheme="majorBidi"/>
          <w:lang w:val="en-US"/>
        </w:rPr>
      </w:pPr>
      <w:r w:rsidRPr="00B938DA">
        <w:rPr>
          <w:rFonts w:asciiTheme="majorBidi" w:hAnsiTheme="majorBidi" w:cstheme="majorBidi"/>
          <w:lang w:val="en-US"/>
        </w:rPr>
        <w:t xml:space="preserve">Plum, L.M., Rink, L. &amp; Haase, H. (2010). </w:t>
      </w:r>
      <w:r w:rsidRPr="000C6547">
        <w:rPr>
          <w:rFonts w:asciiTheme="majorBidi" w:hAnsiTheme="majorBidi" w:cstheme="majorBidi"/>
          <w:lang w:val="en-US"/>
        </w:rPr>
        <w:t xml:space="preserve">The essential toxin: impact of zinc on human health. International journal of environmental research and public health, 7(4), 1342-1365. </w:t>
      </w:r>
      <w:hyperlink r:id="rId71" w:history="1">
        <w:r w:rsidRPr="000C6547">
          <w:rPr>
            <w:rStyle w:val="Lienhypertexte"/>
            <w:rFonts w:asciiTheme="majorBidi" w:hAnsiTheme="majorBidi" w:cstheme="majorBidi"/>
            <w:lang w:val="en-US"/>
          </w:rPr>
          <w:t>https://doi.org/10.3390/ijerph7041342</w:t>
        </w:r>
      </w:hyperlink>
      <w:r w:rsidRPr="000C6547">
        <w:rPr>
          <w:rFonts w:asciiTheme="majorBidi" w:hAnsiTheme="majorBidi" w:cstheme="majorBidi"/>
          <w:lang w:val="en-US"/>
        </w:rPr>
        <w:t xml:space="preserve"> </w:t>
      </w:r>
    </w:p>
    <w:p w14:paraId="3C143B5B" w14:textId="77777777" w:rsidR="000C6547" w:rsidRPr="000F084C" w:rsidRDefault="000C6547" w:rsidP="000C6547">
      <w:pPr>
        <w:keepNext/>
        <w:ind w:left="709" w:hanging="709"/>
        <w:jc w:val="both"/>
        <w:rPr>
          <w:rFonts w:asciiTheme="majorBidi" w:hAnsiTheme="majorBidi" w:cstheme="majorBidi"/>
          <w:lang w:val="en-US"/>
        </w:rPr>
      </w:pPr>
      <w:r w:rsidRPr="000E3D8F">
        <w:rPr>
          <w:rFonts w:asciiTheme="majorBidi" w:hAnsiTheme="majorBidi" w:cstheme="majorBidi"/>
          <w:shd w:val="clear" w:color="auto" w:fill="FFFFFF"/>
          <w:lang w:val="en-US"/>
        </w:rPr>
        <w:t>Ramos-</w:t>
      </w:r>
      <w:proofErr w:type="spellStart"/>
      <w:r w:rsidRPr="000E3D8F">
        <w:rPr>
          <w:rFonts w:asciiTheme="majorBidi" w:hAnsiTheme="majorBidi" w:cstheme="majorBidi"/>
          <w:shd w:val="clear" w:color="auto" w:fill="FFFFFF"/>
          <w:lang w:val="en-US"/>
        </w:rPr>
        <w:t>Lerate</w:t>
      </w:r>
      <w:proofErr w:type="spellEnd"/>
      <w:r w:rsidRPr="000E3D8F">
        <w:rPr>
          <w:rFonts w:asciiTheme="majorBidi" w:hAnsiTheme="majorBidi" w:cstheme="majorBidi"/>
          <w:shd w:val="clear" w:color="auto" w:fill="FFFFFF"/>
          <w:lang w:val="en-US"/>
        </w:rPr>
        <w:t xml:space="preserve">, I., Lozano-Bermejo, R., Burneo, J.I., Armijos, C., Piñero, M., Bolívar, J.P., </w:t>
      </w:r>
      <w:proofErr w:type="spellStart"/>
      <w:r w:rsidRPr="000E3D8F">
        <w:rPr>
          <w:rFonts w:asciiTheme="majorBidi" w:hAnsiTheme="majorBidi" w:cstheme="majorBidi"/>
          <w:shd w:val="clear" w:color="auto" w:fill="FFFFFF"/>
          <w:lang w:val="en-US"/>
        </w:rPr>
        <w:t>Gázquez</w:t>
      </w:r>
      <w:proofErr w:type="spellEnd"/>
      <w:r w:rsidRPr="000E3D8F">
        <w:rPr>
          <w:rFonts w:asciiTheme="majorBidi" w:hAnsiTheme="majorBidi" w:cstheme="majorBidi"/>
          <w:shd w:val="clear" w:color="auto" w:fill="FFFFFF"/>
          <w:lang w:val="en-US"/>
        </w:rPr>
        <w:t xml:space="preserve">, M.J., 2024. </w:t>
      </w:r>
      <w:r w:rsidRPr="000C6547">
        <w:rPr>
          <w:rFonts w:asciiTheme="majorBidi" w:hAnsiTheme="majorBidi" w:cstheme="majorBidi"/>
          <w:shd w:val="clear" w:color="auto" w:fill="FFFFFF"/>
        </w:rPr>
        <w:t>Radiological assessment of both unperturbed and agricultural soils from Southern Ecuador. J. Agric. Food Res. 101236</w:t>
      </w:r>
      <w:r w:rsidRPr="000C6547">
        <w:rPr>
          <w:rFonts w:asciiTheme="majorBidi" w:hAnsiTheme="majorBidi" w:cstheme="majorBidi"/>
        </w:rPr>
        <w:t xml:space="preserve">. </w:t>
      </w:r>
      <w:hyperlink r:id="rId72" w:history="1">
        <w:r w:rsidRPr="000F084C">
          <w:rPr>
            <w:rStyle w:val="Lienhypertexte"/>
            <w:rFonts w:asciiTheme="majorBidi" w:hAnsiTheme="majorBidi" w:cstheme="majorBidi"/>
            <w:lang w:val="en-US"/>
          </w:rPr>
          <w:t>https://doi.org/10.1016/j.jafr.2024.101236</w:t>
        </w:r>
      </w:hyperlink>
    </w:p>
    <w:p w14:paraId="6F35EB98" w14:textId="77777777" w:rsidR="000C6547" w:rsidRPr="000C6547" w:rsidRDefault="000C6547" w:rsidP="000C6547">
      <w:pPr>
        <w:ind w:left="709" w:hanging="709"/>
        <w:jc w:val="both"/>
        <w:rPr>
          <w:rFonts w:asciiTheme="majorBidi" w:hAnsiTheme="majorBidi" w:cstheme="majorBidi"/>
        </w:rPr>
      </w:pPr>
      <w:r w:rsidRPr="000F084C">
        <w:rPr>
          <w:rFonts w:asciiTheme="majorBidi" w:hAnsiTheme="majorBidi" w:cstheme="majorBidi"/>
          <w:lang w:val="en-US"/>
        </w:rPr>
        <w:t xml:space="preserve">Reimann, C. and De Caritat, P., 2005. </w:t>
      </w:r>
      <w:r w:rsidRPr="000C6547">
        <w:rPr>
          <w:rFonts w:asciiTheme="majorBidi" w:hAnsiTheme="majorBidi" w:cstheme="majorBidi"/>
        </w:rPr>
        <w:t xml:space="preserve">Distinguishing between natural and anthropogenic sources for elements in the environment: regional geochemical surveys versus enrichment factors. Science of the total environment, 337(1-3), pp.91-107. </w:t>
      </w:r>
      <w:hyperlink r:id="rId73" w:history="1">
        <w:r w:rsidRPr="000C6547">
          <w:rPr>
            <w:rStyle w:val="Lienhypertexte"/>
            <w:rFonts w:asciiTheme="majorBidi" w:hAnsiTheme="majorBidi" w:cstheme="majorBidi"/>
          </w:rPr>
          <w:t>https://doi.org/10.1016/j.scitotenv.2004.06.011</w:t>
        </w:r>
      </w:hyperlink>
      <w:r w:rsidRPr="000C6547">
        <w:rPr>
          <w:rFonts w:asciiTheme="majorBidi" w:hAnsiTheme="majorBidi" w:cstheme="majorBidi"/>
        </w:rPr>
        <w:t xml:space="preserve"> </w:t>
      </w:r>
    </w:p>
    <w:p w14:paraId="029C28BF" w14:textId="77777777" w:rsidR="000C6547" w:rsidRPr="000C6547" w:rsidRDefault="000C6547" w:rsidP="000C6547">
      <w:pPr>
        <w:ind w:left="709" w:hanging="709"/>
        <w:jc w:val="both"/>
        <w:rPr>
          <w:rFonts w:asciiTheme="majorBidi" w:hAnsiTheme="majorBidi" w:cstheme="majorBidi"/>
          <w:lang w:val="fr-FR"/>
        </w:rPr>
      </w:pPr>
      <w:proofErr w:type="spellStart"/>
      <w:r w:rsidRPr="000C6547">
        <w:rPr>
          <w:rFonts w:asciiTheme="majorBidi" w:hAnsiTheme="majorBidi" w:cstheme="majorBidi"/>
        </w:rPr>
        <w:t>Rinklebe</w:t>
      </w:r>
      <w:proofErr w:type="spellEnd"/>
      <w:r w:rsidRPr="000C6547">
        <w:rPr>
          <w:rFonts w:asciiTheme="majorBidi" w:hAnsiTheme="majorBidi" w:cstheme="majorBidi"/>
        </w:rPr>
        <w:t>, J., Antoniadis, V., Shaheen, S.M., Rosche, O. and Altermann, M., 2019. Health risk assessment of potentially toxic elements in soils along the Central Elbe River, Germany. </w:t>
      </w:r>
      <w:proofErr w:type="spellStart"/>
      <w:r w:rsidRPr="000C6547">
        <w:rPr>
          <w:rFonts w:asciiTheme="majorBidi" w:hAnsiTheme="majorBidi" w:cstheme="majorBidi"/>
          <w:lang w:val="fr-FR"/>
        </w:rPr>
        <w:t>Environment</w:t>
      </w:r>
      <w:proofErr w:type="spellEnd"/>
      <w:r w:rsidRPr="000C6547">
        <w:rPr>
          <w:rFonts w:asciiTheme="majorBidi" w:hAnsiTheme="majorBidi" w:cstheme="majorBidi"/>
          <w:lang w:val="fr-FR"/>
        </w:rPr>
        <w:t xml:space="preserve"> international, 126, pp.76-88. </w:t>
      </w:r>
      <w:hyperlink r:id="rId74" w:tgtFrame="_blank" w:tooltip="Persistent link using digital object identifier" w:history="1">
        <w:r w:rsidRPr="000C6547">
          <w:rPr>
            <w:rStyle w:val="Lienhypertexte"/>
            <w:rFonts w:asciiTheme="majorBidi" w:hAnsiTheme="majorBidi" w:cstheme="majorBidi"/>
            <w:lang w:val="fr-FR"/>
          </w:rPr>
          <w:t>https://doi.org/10.1016/j.envint.2019.02.011</w:t>
        </w:r>
      </w:hyperlink>
    </w:p>
    <w:p w14:paraId="3BD3EB0C" w14:textId="77777777" w:rsidR="000C6547" w:rsidRPr="000C6547" w:rsidRDefault="000C6547" w:rsidP="000C6547">
      <w:pPr>
        <w:keepNext/>
        <w:ind w:left="709" w:hanging="709"/>
        <w:jc w:val="both"/>
        <w:rPr>
          <w:rFonts w:asciiTheme="majorBidi" w:hAnsiTheme="majorBidi" w:cstheme="majorBidi"/>
        </w:rPr>
      </w:pPr>
      <w:proofErr w:type="spellStart"/>
      <w:r w:rsidRPr="000C6547">
        <w:rPr>
          <w:rFonts w:asciiTheme="majorBidi" w:hAnsiTheme="majorBidi" w:cstheme="majorBidi"/>
          <w:lang w:val="fr-MA"/>
        </w:rPr>
        <w:lastRenderedPageBreak/>
        <w:t>Rudnick</w:t>
      </w:r>
      <w:proofErr w:type="spellEnd"/>
      <w:r w:rsidRPr="000C6547">
        <w:rPr>
          <w:rFonts w:asciiTheme="majorBidi" w:hAnsiTheme="majorBidi" w:cstheme="majorBidi"/>
          <w:lang w:val="fr-MA"/>
        </w:rPr>
        <w:t xml:space="preserve"> R.L., Gao S., 2010. </w:t>
      </w:r>
      <w:r w:rsidRPr="000C6547">
        <w:rPr>
          <w:rFonts w:asciiTheme="majorBidi" w:hAnsiTheme="majorBidi" w:cstheme="majorBidi"/>
        </w:rPr>
        <w:t xml:space="preserve">Composition on the continental crust, in Readings from the Treatise on Geochemistry, Holland, HD, </w:t>
      </w:r>
      <w:proofErr w:type="spellStart"/>
      <w:r w:rsidRPr="000C6547">
        <w:rPr>
          <w:rFonts w:asciiTheme="majorBidi" w:hAnsiTheme="majorBidi" w:cstheme="majorBidi"/>
        </w:rPr>
        <w:t>Turekian</w:t>
      </w:r>
      <w:proofErr w:type="spellEnd"/>
      <w:r w:rsidRPr="000C6547">
        <w:rPr>
          <w:rFonts w:asciiTheme="majorBidi" w:hAnsiTheme="majorBidi" w:cstheme="majorBidi"/>
        </w:rPr>
        <w:t xml:space="preserve"> KK (Eds.). Academic Press. 680.</w:t>
      </w:r>
    </w:p>
    <w:p w14:paraId="4BED0606" w14:textId="77777777" w:rsidR="000C6547" w:rsidRPr="000C6547" w:rsidRDefault="000C6547" w:rsidP="000C6547">
      <w:pPr>
        <w:ind w:left="709" w:hanging="709"/>
        <w:jc w:val="both"/>
        <w:rPr>
          <w:rFonts w:asciiTheme="majorBidi" w:hAnsiTheme="majorBidi" w:cstheme="majorBidi"/>
          <w:color w:val="222222"/>
          <w:shd w:val="clear" w:color="auto" w:fill="FFFFFF"/>
          <w:lang w:val="en-US"/>
        </w:rPr>
      </w:pPr>
      <w:r w:rsidRPr="000C6547">
        <w:rPr>
          <w:rFonts w:asciiTheme="majorBidi" w:hAnsiTheme="majorBidi" w:cstheme="majorBidi"/>
          <w:color w:val="222222"/>
          <w:shd w:val="clear" w:color="auto" w:fill="FFFFFF"/>
        </w:rPr>
        <w:t>Rudnick, R. L., &amp; Gao, S. (2003). </w:t>
      </w:r>
      <w:r w:rsidRPr="000C6547">
        <w:rPr>
          <w:rFonts w:asciiTheme="majorBidi" w:hAnsiTheme="majorBidi" w:cstheme="majorBidi"/>
          <w:i/>
          <w:iCs/>
          <w:color w:val="222222"/>
          <w:shd w:val="clear" w:color="auto" w:fill="FFFFFF"/>
        </w:rPr>
        <w:t xml:space="preserve">3.01–Composition of the Continental Crust. </w:t>
      </w:r>
      <w:r w:rsidRPr="000C6547">
        <w:rPr>
          <w:rFonts w:asciiTheme="majorBidi" w:hAnsiTheme="majorBidi" w:cstheme="majorBidi"/>
          <w:i/>
          <w:iCs/>
          <w:color w:val="222222"/>
          <w:shd w:val="clear" w:color="auto" w:fill="FFFFFF"/>
          <w:lang w:val="en-US"/>
        </w:rPr>
        <w:t>Treatise on Geochemistry 3, 1–64</w:t>
      </w:r>
      <w:r w:rsidRPr="000C6547">
        <w:rPr>
          <w:rFonts w:asciiTheme="majorBidi" w:hAnsiTheme="majorBidi" w:cstheme="majorBidi"/>
          <w:color w:val="222222"/>
          <w:shd w:val="clear" w:color="auto" w:fill="FFFFFF"/>
          <w:lang w:val="en-US"/>
        </w:rPr>
        <w:t xml:space="preserve">. </w:t>
      </w:r>
      <w:hyperlink r:id="rId75" w:history="1">
        <w:r w:rsidRPr="000C6547">
          <w:rPr>
            <w:rStyle w:val="Lienhypertexte"/>
            <w:rFonts w:asciiTheme="majorBidi" w:hAnsiTheme="majorBidi" w:cstheme="majorBidi"/>
            <w:shd w:val="clear" w:color="auto" w:fill="FFFFFF"/>
            <w:lang w:val="en-US"/>
          </w:rPr>
          <w:t>https://doi.org/10.1016/B0-08-043751-6/03016-4</w:t>
        </w:r>
      </w:hyperlink>
      <w:r w:rsidRPr="000C6547">
        <w:rPr>
          <w:rFonts w:asciiTheme="majorBidi" w:hAnsiTheme="majorBidi" w:cstheme="majorBidi"/>
          <w:color w:val="222222"/>
          <w:shd w:val="clear" w:color="auto" w:fill="FFFFFF"/>
          <w:lang w:val="en-US"/>
        </w:rPr>
        <w:t xml:space="preserve"> </w:t>
      </w:r>
    </w:p>
    <w:p w14:paraId="5F0CFCC7"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lang w:val="en-US"/>
        </w:rPr>
        <w:t xml:space="preserve">Saha, S., Hazra, G.C., Saha, B. and Mandal, B., 2015. </w:t>
      </w:r>
      <w:r w:rsidRPr="000C6547">
        <w:rPr>
          <w:rFonts w:asciiTheme="majorBidi" w:hAnsiTheme="majorBidi" w:cstheme="majorBidi"/>
        </w:rPr>
        <w:t xml:space="preserve">Assessment of heavy metals contamination in different crops grown in long-term sewage-irrigated areas of Kolkata, West Bengal, India. Environmental monitoring and assessment, 187, pp.1-12. </w:t>
      </w:r>
      <w:hyperlink r:id="rId76" w:history="1">
        <w:r w:rsidRPr="000C6547">
          <w:rPr>
            <w:rStyle w:val="Lienhypertexte"/>
            <w:rFonts w:asciiTheme="majorBidi" w:hAnsiTheme="majorBidi" w:cstheme="majorBidi"/>
          </w:rPr>
          <w:t>https://doi.org/10.1007/s10661-014-4087-9</w:t>
        </w:r>
      </w:hyperlink>
      <w:r w:rsidRPr="000C6547">
        <w:rPr>
          <w:rFonts w:asciiTheme="majorBidi" w:hAnsiTheme="majorBidi" w:cstheme="majorBidi"/>
        </w:rPr>
        <w:t xml:space="preserve"> </w:t>
      </w:r>
    </w:p>
    <w:p w14:paraId="104A4E04"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Segad</w:t>
      </w:r>
      <w:proofErr w:type="spellEnd"/>
      <w:r w:rsidRPr="000C6547">
        <w:rPr>
          <w:rFonts w:asciiTheme="majorBidi" w:hAnsiTheme="majorBidi" w:cstheme="majorBidi"/>
        </w:rPr>
        <w:t xml:space="preserve">, M., Jonsson, B., Åkesson, T. and Cabane, B., 2010. Ca/Na montmorillonite: structure, forces and swelling properties. Langmuir, 26(8), pp.5782-5790. https://doi.org/10.1021/la9036293 </w:t>
      </w:r>
    </w:p>
    <w:p w14:paraId="0D9F9C43"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Seliman</w:t>
      </w:r>
      <w:proofErr w:type="spellEnd"/>
      <w:r w:rsidRPr="000C6547">
        <w:rPr>
          <w:rFonts w:asciiTheme="majorBidi" w:hAnsiTheme="majorBidi" w:cstheme="majorBidi"/>
        </w:rPr>
        <w:t xml:space="preserve">, A.F., Lasheen, Y.F., </w:t>
      </w:r>
      <w:proofErr w:type="spellStart"/>
      <w:r w:rsidRPr="000C6547">
        <w:rPr>
          <w:rFonts w:asciiTheme="majorBidi" w:hAnsiTheme="majorBidi" w:cstheme="majorBidi"/>
        </w:rPr>
        <w:t>Youssief</w:t>
      </w:r>
      <w:proofErr w:type="spellEnd"/>
      <w:r w:rsidRPr="000C6547">
        <w:rPr>
          <w:rFonts w:asciiTheme="majorBidi" w:hAnsiTheme="majorBidi" w:cstheme="majorBidi"/>
        </w:rPr>
        <w:t xml:space="preserve">, M.A.E., Abo-Aly, M.M. and Shehata, F.A., 2014. Removal of some radionuclides from contaminated solution using natural clay: bentonite. Journal of Radioanalytical and Nuclear Chemistry, 300, pp.969-979. https://doi.org/10.1007/s10967-014-3027-z </w:t>
      </w:r>
    </w:p>
    <w:p w14:paraId="3F3A81A5"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Shaheen, S.M., Abdelrazek, M.A., </w:t>
      </w:r>
      <w:proofErr w:type="spellStart"/>
      <w:r w:rsidRPr="000C6547">
        <w:rPr>
          <w:rFonts w:asciiTheme="majorBidi" w:hAnsiTheme="majorBidi" w:cstheme="majorBidi"/>
        </w:rPr>
        <w:t>Elthoth</w:t>
      </w:r>
      <w:proofErr w:type="spellEnd"/>
      <w:r w:rsidRPr="000C6547">
        <w:rPr>
          <w:rFonts w:asciiTheme="majorBidi" w:hAnsiTheme="majorBidi" w:cstheme="majorBidi"/>
        </w:rPr>
        <w:t xml:space="preserve">, M., </w:t>
      </w:r>
      <w:proofErr w:type="spellStart"/>
      <w:r w:rsidRPr="000C6547">
        <w:rPr>
          <w:rFonts w:asciiTheme="majorBidi" w:hAnsiTheme="majorBidi" w:cstheme="majorBidi"/>
        </w:rPr>
        <w:t>Moghanm</w:t>
      </w:r>
      <w:proofErr w:type="spellEnd"/>
      <w:r w:rsidRPr="000C6547">
        <w:rPr>
          <w:rFonts w:asciiTheme="majorBidi" w:hAnsiTheme="majorBidi" w:cstheme="majorBidi"/>
        </w:rPr>
        <w:t xml:space="preserve">, F.S., Mohamed, R., Hamza, A., El-Habashi, N., Wang, J. and </w:t>
      </w:r>
      <w:proofErr w:type="spellStart"/>
      <w:r w:rsidRPr="000C6547">
        <w:rPr>
          <w:rFonts w:asciiTheme="majorBidi" w:hAnsiTheme="majorBidi" w:cstheme="majorBidi"/>
        </w:rPr>
        <w:t>Rinklebe</w:t>
      </w:r>
      <w:proofErr w:type="spellEnd"/>
      <w:r w:rsidRPr="000C6547">
        <w:rPr>
          <w:rFonts w:asciiTheme="majorBidi" w:hAnsiTheme="majorBidi" w:cstheme="majorBidi"/>
        </w:rPr>
        <w:t xml:space="preserve">, J., 2019. Potentially toxic elements in saltmarsh sediments and common reed (Phragmites australis) of </w:t>
      </w:r>
      <w:proofErr w:type="spellStart"/>
      <w:r w:rsidRPr="000C6547">
        <w:rPr>
          <w:rFonts w:asciiTheme="majorBidi" w:hAnsiTheme="majorBidi" w:cstheme="majorBidi"/>
        </w:rPr>
        <w:t>Burullus</w:t>
      </w:r>
      <w:proofErr w:type="spellEnd"/>
      <w:r w:rsidRPr="000C6547">
        <w:rPr>
          <w:rFonts w:asciiTheme="majorBidi" w:hAnsiTheme="majorBidi" w:cstheme="majorBidi"/>
        </w:rPr>
        <w:t xml:space="preserve"> coastal lagoon at North Nile Delta, Egypt: A survey and risk assessment. Science of the total environment, 649, pp.1237-1249. </w:t>
      </w:r>
      <w:hyperlink r:id="rId77" w:history="1">
        <w:r w:rsidRPr="000C6547">
          <w:rPr>
            <w:rStyle w:val="Lienhypertexte"/>
            <w:rFonts w:asciiTheme="majorBidi" w:hAnsiTheme="majorBidi" w:cstheme="majorBidi"/>
          </w:rPr>
          <w:t>https://doi.org/10.1016/j.scitotenv.2018.08.359</w:t>
        </w:r>
      </w:hyperlink>
    </w:p>
    <w:p w14:paraId="428C5F79"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Shaheen, S.M., Antoniadis, V., Kwon, E., Song, H., Wang, S.L., Hseu, Z.Y. and </w:t>
      </w:r>
      <w:proofErr w:type="spellStart"/>
      <w:r w:rsidRPr="000C6547">
        <w:rPr>
          <w:rFonts w:asciiTheme="majorBidi" w:hAnsiTheme="majorBidi" w:cstheme="majorBidi"/>
        </w:rPr>
        <w:t>Rinklebe</w:t>
      </w:r>
      <w:proofErr w:type="spellEnd"/>
      <w:r w:rsidRPr="000C6547">
        <w:rPr>
          <w:rFonts w:asciiTheme="majorBidi" w:hAnsiTheme="majorBidi" w:cstheme="majorBidi"/>
        </w:rPr>
        <w:t xml:space="preserve">, J., 2020. Soil contamination by potentially toxic elements and the associated human health risk in geo-and anthropogenic contaminated soils: A case study from the temperate region (Germany) and the arid region (Egypt). Environmental Pollution, 262, p.114312. </w:t>
      </w:r>
      <w:hyperlink r:id="rId78" w:tgtFrame="_blank" w:tooltip="Persistent link using digital object identifier" w:history="1">
        <w:r w:rsidRPr="000C6547">
          <w:rPr>
            <w:rStyle w:val="Lienhypertexte"/>
            <w:rFonts w:asciiTheme="majorBidi" w:hAnsiTheme="majorBidi" w:cstheme="majorBidi"/>
          </w:rPr>
          <w:t>https://doi.org/10.1016/j.envpol.2020.114312</w:t>
        </w:r>
      </w:hyperlink>
    </w:p>
    <w:p w14:paraId="1E377834"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Singh, B.K. and Um, W., 2023. Application of clay materials for sorption of radionuclides from waste solutions. Minerals, 13(2), p.239. https://doi.org/10.3390/min13020239</w:t>
      </w:r>
    </w:p>
    <w:p w14:paraId="510B3529"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shd w:val="clear" w:color="auto" w:fill="FFFFFF"/>
        </w:rPr>
        <w:t>Smedley, P.L., Kinniburgh, D.G., 2002. A review of the source, behaviour and distribution of arsenic in natural waters. Appl. Geochem. 17(5), 517-568.</w:t>
      </w:r>
      <w:r w:rsidRPr="000C6547">
        <w:rPr>
          <w:rFonts w:asciiTheme="majorBidi" w:hAnsiTheme="majorBidi" w:cstheme="majorBidi"/>
        </w:rPr>
        <w:t xml:space="preserve"> </w:t>
      </w:r>
      <w:hyperlink r:id="rId79" w:tgtFrame="_blank" w:tooltip="Persistent link using digital object identifier" w:history="1">
        <w:r w:rsidRPr="000C6547">
          <w:rPr>
            <w:rStyle w:val="Lienhypertexte"/>
            <w:rFonts w:asciiTheme="majorBidi" w:hAnsiTheme="majorBidi" w:cstheme="majorBidi"/>
          </w:rPr>
          <w:t>https://doi.org/10.1016/S0883-2927(02)00018-5</w:t>
        </w:r>
      </w:hyperlink>
      <w:r w:rsidRPr="000C6547">
        <w:rPr>
          <w:rFonts w:asciiTheme="majorBidi" w:hAnsiTheme="majorBidi" w:cstheme="majorBidi"/>
        </w:rPr>
        <w:t xml:space="preserve"> </w:t>
      </w:r>
    </w:p>
    <w:p w14:paraId="360350AB"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shd w:val="clear" w:color="auto" w:fill="FFFFFF"/>
        </w:rPr>
        <w:t>Smith, A.H., Lingas, E.O., Rahman, M., 2000. Contamination of drinking-water by arsenic in Bangladesh: a public health emergency. Bull. World Health Organ. 78(9), 1093-1103</w:t>
      </w:r>
      <w:r w:rsidRPr="000C6547">
        <w:rPr>
          <w:rFonts w:asciiTheme="majorBidi" w:hAnsiTheme="majorBidi" w:cstheme="majorBidi"/>
        </w:rPr>
        <w:t>.</w:t>
      </w:r>
    </w:p>
    <w:p w14:paraId="383A83BE"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Srivastava, P., Singh, B. and Angove, M., 2005. Competitive adsorption behavior of heavy metals on kaolinite. Journal of Colloid and Interface Science, 290(1), pp.28-38. https://doi.org/10.1016/j.jcis.2005.04.036 </w:t>
      </w:r>
    </w:p>
    <w:p w14:paraId="37DCDEC6"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Stumm, W. and Morgan, J.J., 1996. Aquatic Chemistry, 3rd ed. Wiley, New York.</w:t>
      </w:r>
    </w:p>
    <w:p w14:paraId="2F5B2819"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Sutherland, R.A., 2000. Bed sediment-associated trace metals in an urban stream, Oahu, Hawaii. Environmental geology, 39, pp.611-627. </w:t>
      </w:r>
      <w:hyperlink r:id="rId80" w:history="1">
        <w:r w:rsidRPr="000C6547">
          <w:rPr>
            <w:rStyle w:val="Lienhypertexte"/>
            <w:rFonts w:asciiTheme="majorBidi" w:hAnsiTheme="majorBidi" w:cstheme="majorBidi"/>
          </w:rPr>
          <w:t>https://doi.org/10.1007/s002540050473</w:t>
        </w:r>
      </w:hyperlink>
    </w:p>
    <w:p w14:paraId="571E1C93" w14:textId="77777777" w:rsidR="000C6547" w:rsidRPr="000C6547" w:rsidRDefault="000C6547" w:rsidP="000C6547">
      <w:pPr>
        <w:ind w:left="709" w:hanging="709"/>
        <w:jc w:val="both"/>
        <w:rPr>
          <w:rFonts w:asciiTheme="majorBidi" w:hAnsiTheme="majorBidi" w:cstheme="majorBidi"/>
          <w:lang w:val="en-US"/>
        </w:rPr>
      </w:pPr>
      <w:proofErr w:type="spellStart"/>
      <w:r w:rsidRPr="000C6547">
        <w:rPr>
          <w:rFonts w:asciiTheme="majorBidi" w:hAnsiTheme="majorBidi" w:cstheme="majorBidi"/>
        </w:rPr>
        <w:t>Suwanmanon</w:t>
      </w:r>
      <w:proofErr w:type="spellEnd"/>
      <w:r w:rsidRPr="000C6547">
        <w:rPr>
          <w:rFonts w:asciiTheme="majorBidi" w:hAnsiTheme="majorBidi" w:cstheme="majorBidi"/>
        </w:rPr>
        <w:t>, S. and Kim, K.I., 2021. Pollution load index for heavy metals of agricultural soils adjacent to industrial complexes in the Jeon-Buk regions of Korea. Korean Journal of Soil Science and Fertilizer, 54(3), pp.311-321.</w:t>
      </w:r>
    </w:p>
    <w:p w14:paraId="393B16E8"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shd w:val="clear" w:color="auto" w:fill="FFFFFF"/>
        </w:rPr>
        <w:t>Tchounwou</w:t>
      </w:r>
      <w:proofErr w:type="spellEnd"/>
      <w:r w:rsidRPr="000C6547">
        <w:rPr>
          <w:rFonts w:asciiTheme="majorBidi" w:hAnsiTheme="majorBidi" w:cstheme="majorBidi"/>
          <w:shd w:val="clear" w:color="auto" w:fill="FFFFFF"/>
        </w:rPr>
        <w:t xml:space="preserve">, P.B., </w:t>
      </w:r>
      <w:proofErr w:type="spellStart"/>
      <w:r w:rsidRPr="000C6547">
        <w:rPr>
          <w:rFonts w:asciiTheme="majorBidi" w:hAnsiTheme="majorBidi" w:cstheme="majorBidi"/>
          <w:shd w:val="clear" w:color="auto" w:fill="FFFFFF"/>
        </w:rPr>
        <w:t>Yedjou</w:t>
      </w:r>
      <w:proofErr w:type="spellEnd"/>
      <w:r w:rsidRPr="000C6547">
        <w:rPr>
          <w:rFonts w:asciiTheme="majorBidi" w:hAnsiTheme="majorBidi" w:cstheme="majorBidi"/>
          <w:shd w:val="clear" w:color="auto" w:fill="FFFFFF"/>
        </w:rPr>
        <w:t>, C.G., Patlolla, A.K., Sutton, D.J., 2012. Heavy metal toxicity and the environment. Molecular, clinical and environmental toxicology: 3 environmental toxicology, 133-164</w:t>
      </w:r>
      <w:r w:rsidRPr="000C6547">
        <w:rPr>
          <w:rFonts w:asciiTheme="majorBidi" w:hAnsiTheme="majorBidi" w:cstheme="majorBidi"/>
        </w:rPr>
        <w:t xml:space="preserve">. </w:t>
      </w:r>
      <w:hyperlink r:id="rId81" w:history="1">
        <w:r w:rsidRPr="000C6547">
          <w:rPr>
            <w:rStyle w:val="Lienhypertexte"/>
            <w:rFonts w:asciiTheme="majorBidi" w:hAnsiTheme="majorBidi" w:cstheme="majorBidi"/>
          </w:rPr>
          <w:t>https://doi.org/10.1007/978-3-7643-8340-4_6</w:t>
        </w:r>
      </w:hyperlink>
      <w:r w:rsidRPr="000C6547">
        <w:rPr>
          <w:rFonts w:asciiTheme="majorBidi" w:hAnsiTheme="majorBidi" w:cstheme="majorBidi"/>
        </w:rPr>
        <w:t xml:space="preserve"> </w:t>
      </w:r>
    </w:p>
    <w:p w14:paraId="2AEAA484"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lastRenderedPageBreak/>
        <w:t xml:space="preserve">Tian, L., Fu, K.B., Chen, S., Yao, J. and Bian, L., 2022. Comparison of microscopic adsorption characteristics of Zn (II), Pb (II), and Cu (II) on kaolinite. Scientific Reports, 12(1), p.15936. </w:t>
      </w:r>
      <w:r w:rsidRPr="000C6547">
        <w:rPr>
          <w:rFonts w:asciiTheme="majorBidi" w:hAnsiTheme="majorBidi" w:cstheme="majorBidi"/>
          <w:shd w:val="clear" w:color="auto" w:fill="FFFFFF"/>
        </w:rPr>
        <w:t xml:space="preserve"> </w:t>
      </w:r>
      <w:hyperlink r:id="rId82" w:history="1">
        <w:r w:rsidRPr="000C6547">
          <w:rPr>
            <w:rStyle w:val="Lienhypertexte"/>
            <w:rFonts w:asciiTheme="majorBidi" w:hAnsiTheme="majorBidi" w:cstheme="majorBidi"/>
          </w:rPr>
          <w:t>https://doi.org/10.1038/s41598-022-20238-z</w:t>
        </w:r>
      </w:hyperlink>
      <w:r w:rsidRPr="000C6547">
        <w:rPr>
          <w:rFonts w:asciiTheme="majorBidi" w:hAnsiTheme="majorBidi" w:cstheme="majorBidi"/>
        </w:rPr>
        <w:t xml:space="preserve"> </w:t>
      </w:r>
    </w:p>
    <w:p w14:paraId="06B61474"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Tokarský</w:t>
      </w:r>
      <w:proofErr w:type="spellEnd"/>
      <w:r w:rsidRPr="000C6547">
        <w:rPr>
          <w:rFonts w:asciiTheme="majorBidi" w:hAnsiTheme="majorBidi" w:cstheme="majorBidi"/>
        </w:rPr>
        <w:t xml:space="preserve">, J., 2018. </w:t>
      </w:r>
      <w:proofErr w:type="spellStart"/>
      <w:r w:rsidRPr="000C6547">
        <w:rPr>
          <w:rFonts w:asciiTheme="majorBidi" w:hAnsiTheme="majorBidi" w:cstheme="majorBidi"/>
        </w:rPr>
        <w:t>Ghassoul</w:t>
      </w:r>
      <w:proofErr w:type="spellEnd"/>
      <w:r w:rsidRPr="000C6547">
        <w:rPr>
          <w:rFonts w:asciiTheme="majorBidi" w:hAnsiTheme="majorBidi" w:cstheme="majorBidi"/>
        </w:rPr>
        <w:t xml:space="preserve">–Moroccan clay with excellent adsorption properties. Materials Today: Proceedings, 5, pp.S78-S87. </w:t>
      </w:r>
      <w:hyperlink r:id="rId83" w:tgtFrame="_blank" w:tooltip="Persistent link using digital object identifier" w:history="1">
        <w:r w:rsidRPr="000C6547">
          <w:rPr>
            <w:rStyle w:val="Lienhypertexte"/>
            <w:rFonts w:asciiTheme="majorBidi" w:hAnsiTheme="majorBidi" w:cstheme="majorBidi"/>
          </w:rPr>
          <w:t>https://doi.org/10.1016/j.matpr.2018.05.060</w:t>
        </w:r>
      </w:hyperlink>
    </w:p>
    <w:p w14:paraId="123B57F9"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United States Environmental Protection Agency. Exposure Factors Handbook: 2011 Edition. Office of Research and Development: Washington, DC. 2011.</w:t>
      </w:r>
    </w:p>
    <w:p w14:paraId="09AA96EB"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UNSCEAR, 2000. Sources and Effects of Ionizing Radiation: UNSCEAR 2000 Report to the General Assembly, with Scientific Annexes. Volume I: Sources. Annex B: Exposures from Natural Radiation Sources. New York: United Nations. Sales No. E.00.IX.3. ISBN 92-1-142238-8</w:t>
      </w:r>
    </w:p>
    <w:p w14:paraId="706C7655"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UNSCEAR, 2008. United Nations Scientific Committee on the Effects of Atomic Radiation, 2008. Effects of ionizing radiation. Scientific Annexes E, 203–204. </w:t>
      </w:r>
    </w:p>
    <w:p w14:paraId="0C04873B"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USEPA, 2001. Risk assessment guidance for superfund. In: Part A, Process for Conducting Probabilistic Risk Assessment. vol. III. Office of Emergency and Remedial Response, U.S. Environmental Protection Agency, Washington, DC, pp. 20460. Available at. https://www.epa.gov/risk/risk-assessment-guidance-superfund-rags-volume-iii-part, Accessed date: 22 September 2018.</w:t>
      </w:r>
    </w:p>
    <w:p w14:paraId="24C488B9"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Wedepohl, K.H., 1995. The composition of the continental crust. </w:t>
      </w:r>
      <w:proofErr w:type="spellStart"/>
      <w:r w:rsidRPr="000E3D8F">
        <w:rPr>
          <w:rFonts w:asciiTheme="majorBidi" w:hAnsiTheme="majorBidi" w:cstheme="majorBidi"/>
          <w:lang w:val="fr-BE"/>
        </w:rPr>
        <w:t>Geochimica</w:t>
      </w:r>
      <w:proofErr w:type="spellEnd"/>
      <w:r w:rsidRPr="000E3D8F">
        <w:rPr>
          <w:rFonts w:asciiTheme="majorBidi" w:hAnsiTheme="majorBidi" w:cstheme="majorBidi"/>
          <w:lang w:val="fr-BE"/>
        </w:rPr>
        <w:t xml:space="preserve"> et </w:t>
      </w:r>
      <w:proofErr w:type="spellStart"/>
      <w:r w:rsidRPr="000E3D8F">
        <w:rPr>
          <w:rFonts w:asciiTheme="majorBidi" w:hAnsiTheme="majorBidi" w:cstheme="majorBidi"/>
          <w:lang w:val="fr-BE"/>
        </w:rPr>
        <w:t>cosmochimica</w:t>
      </w:r>
      <w:proofErr w:type="spellEnd"/>
      <w:r w:rsidRPr="000E3D8F">
        <w:rPr>
          <w:rFonts w:asciiTheme="majorBidi" w:hAnsiTheme="majorBidi" w:cstheme="majorBidi"/>
          <w:lang w:val="fr-BE"/>
        </w:rPr>
        <w:t xml:space="preserve"> Acta, 59(7), pp.1217-1232. </w:t>
      </w:r>
      <w:hyperlink r:id="rId84" w:tgtFrame="_blank" w:tooltip="Persistent link using digital object identifier" w:history="1">
        <w:r w:rsidRPr="000C6547">
          <w:rPr>
            <w:rStyle w:val="Lienhypertexte"/>
            <w:rFonts w:asciiTheme="majorBidi" w:hAnsiTheme="majorBidi" w:cstheme="majorBidi"/>
          </w:rPr>
          <w:t>https://doi.org/10.1016/0016-7037(95)00038-2</w:t>
        </w:r>
      </w:hyperlink>
    </w:p>
    <w:p w14:paraId="22BDF414"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WHO, World Health Organization, 2010. Childhood lead poisoning. In Childhood lead poisoning.</w:t>
      </w:r>
    </w:p>
    <w:p w14:paraId="6C49790E" w14:textId="77777777" w:rsidR="000C6547" w:rsidRPr="000C6547" w:rsidRDefault="000C6547" w:rsidP="000C6547">
      <w:pPr>
        <w:ind w:left="709" w:hanging="709"/>
        <w:jc w:val="both"/>
        <w:rPr>
          <w:rFonts w:asciiTheme="majorBidi" w:hAnsiTheme="majorBidi" w:cstheme="majorBidi"/>
          <w:lang w:val="en-US"/>
        </w:rPr>
      </w:pPr>
      <w:r w:rsidRPr="000C6547">
        <w:rPr>
          <w:rFonts w:asciiTheme="majorBidi" w:hAnsiTheme="majorBidi" w:cstheme="majorBidi"/>
        </w:rPr>
        <w:t xml:space="preserve">Xu, P., Peng, G., Su, L., Gao, Y., Gao, L. and Li, D., 2018. Microplastic risk assessment in surface waters: A case study in the Changjiang Estuary, China. Marine pollution bulletin, 133, pp.647-654. </w:t>
      </w:r>
      <w:hyperlink r:id="rId85" w:tgtFrame="_blank" w:tooltip="Persistent link using digital object identifier" w:history="1">
        <w:r w:rsidRPr="000C6547">
          <w:rPr>
            <w:rStyle w:val="Lienhypertexte"/>
            <w:rFonts w:asciiTheme="majorBidi" w:hAnsiTheme="majorBidi" w:cstheme="majorBidi"/>
          </w:rPr>
          <w:t>https://doi.org/10.1016/j.marpolbul.2018.06.020</w:t>
        </w:r>
      </w:hyperlink>
      <w:r w:rsidRPr="000C6547">
        <w:rPr>
          <w:rFonts w:asciiTheme="majorBidi" w:hAnsiTheme="majorBidi" w:cstheme="majorBidi"/>
        </w:rPr>
        <w:t xml:space="preserve"> </w:t>
      </w:r>
    </w:p>
    <w:p w14:paraId="59B60D76"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Yang, X., Zhou, Y., Hu, J., Zheng, Q., Zhao, Y., </w:t>
      </w:r>
      <w:proofErr w:type="spellStart"/>
      <w:r w:rsidRPr="000C6547">
        <w:rPr>
          <w:rFonts w:asciiTheme="majorBidi" w:hAnsiTheme="majorBidi" w:cstheme="majorBidi"/>
        </w:rPr>
        <w:t>Lv</w:t>
      </w:r>
      <w:proofErr w:type="spellEnd"/>
      <w:r w:rsidRPr="000C6547">
        <w:rPr>
          <w:rFonts w:asciiTheme="majorBidi" w:hAnsiTheme="majorBidi" w:cstheme="majorBidi"/>
        </w:rPr>
        <w:t xml:space="preserve">, G. and Liao, L., 2024. Clay minerals and clay-based materials for heavy metals pollution control. Science of The Total Environment, p.176193. https://doi.org/10.1016/j.scitotenv.2024.176193 </w:t>
      </w:r>
    </w:p>
    <w:p w14:paraId="382F5FFA" w14:textId="77777777" w:rsidR="000C6547" w:rsidRPr="000C6547" w:rsidRDefault="000C6547" w:rsidP="000C6547">
      <w:pPr>
        <w:ind w:left="709" w:hanging="709"/>
        <w:jc w:val="both"/>
        <w:rPr>
          <w:rFonts w:asciiTheme="majorBidi" w:hAnsiTheme="majorBidi" w:cstheme="majorBidi"/>
        </w:rPr>
      </w:pPr>
      <w:r w:rsidRPr="00B938DA">
        <w:rPr>
          <w:rFonts w:asciiTheme="majorBidi" w:hAnsiTheme="majorBidi" w:cstheme="majorBidi"/>
          <w:lang w:val="de-DE"/>
        </w:rPr>
        <w:t xml:space="preserve">Yavuz, Ö., </w:t>
      </w:r>
      <w:proofErr w:type="spellStart"/>
      <w:r w:rsidRPr="00B938DA">
        <w:rPr>
          <w:rFonts w:asciiTheme="majorBidi" w:hAnsiTheme="majorBidi" w:cstheme="majorBidi"/>
          <w:lang w:val="de-DE"/>
        </w:rPr>
        <w:t>Altunkaynak</w:t>
      </w:r>
      <w:proofErr w:type="spellEnd"/>
      <w:r w:rsidRPr="00B938DA">
        <w:rPr>
          <w:rFonts w:asciiTheme="majorBidi" w:hAnsiTheme="majorBidi" w:cstheme="majorBidi"/>
          <w:lang w:val="de-DE"/>
        </w:rPr>
        <w:t xml:space="preserve">, Y. and Güzel, F., 2003. </w:t>
      </w:r>
      <w:r w:rsidRPr="000C6547">
        <w:rPr>
          <w:rFonts w:asciiTheme="majorBidi" w:hAnsiTheme="majorBidi" w:cstheme="majorBidi"/>
        </w:rPr>
        <w:t xml:space="preserve">Removal of copper, nickel, cobalt and manganese from aqueous solution by kaolinite. Water research, 37(4), pp.948-952. https://doi.org/10.1016/S0043-1354(02)00409-8 </w:t>
      </w:r>
    </w:p>
    <w:p w14:paraId="0C81DA2E" w14:textId="77777777" w:rsidR="000C6547" w:rsidRPr="000C6547" w:rsidRDefault="000C6547" w:rsidP="000C6547">
      <w:pPr>
        <w:ind w:left="709" w:hanging="709"/>
        <w:jc w:val="both"/>
        <w:rPr>
          <w:rFonts w:asciiTheme="majorBidi" w:hAnsiTheme="majorBidi" w:cstheme="majorBidi"/>
        </w:rPr>
      </w:pPr>
      <w:proofErr w:type="spellStart"/>
      <w:r w:rsidRPr="000C6547">
        <w:rPr>
          <w:rFonts w:asciiTheme="majorBidi" w:hAnsiTheme="majorBidi" w:cstheme="majorBidi"/>
        </w:rPr>
        <w:t>Yeniyol</w:t>
      </w:r>
      <w:proofErr w:type="spellEnd"/>
      <w:r w:rsidRPr="000C6547">
        <w:rPr>
          <w:rFonts w:asciiTheme="majorBidi" w:hAnsiTheme="majorBidi" w:cstheme="majorBidi"/>
        </w:rPr>
        <w:t xml:space="preserve">, M., 2014. Characterization of two forms of sepiolite and related Mg-rich clay minerals from </w:t>
      </w:r>
      <w:proofErr w:type="spellStart"/>
      <w:r w:rsidRPr="000C6547">
        <w:rPr>
          <w:rFonts w:asciiTheme="majorBidi" w:hAnsiTheme="majorBidi" w:cstheme="majorBidi"/>
        </w:rPr>
        <w:t>Yenidoğ</w:t>
      </w:r>
      <w:proofErr w:type="spellEnd"/>
      <w:r w:rsidRPr="000C6547">
        <w:rPr>
          <w:rFonts w:asciiTheme="majorBidi" w:hAnsiTheme="majorBidi" w:cstheme="majorBidi"/>
        </w:rPr>
        <w:t xml:space="preserve"> an (</w:t>
      </w:r>
      <w:proofErr w:type="spellStart"/>
      <w:r w:rsidRPr="000C6547">
        <w:rPr>
          <w:rFonts w:asciiTheme="majorBidi" w:hAnsiTheme="majorBidi" w:cstheme="majorBidi"/>
        </w:rPr>
        <w:t>Sivrihisar</w:t>
      </w:r>
      <w:proofErr w:type="spellEnd"/>
      <w:r w:rsidRPr="000C6547">
        <w:rPr>
          <w:rFonts w:asciiTheme="majorBidi" w:hAnsiTheme="majorBidi" w:cstheme="majorBidi"/>
        </w:rPr>
        <w:t xml:space="preserve">, Turkey). Clay minerals, 49(1), pp.91-108. </w:t>
      </w:r>
      <w:hyperlink r:id="rId86" w:tgtFrame="_blank" w:history="1">
        <w:r w:rsidRPr="000C6547">
          <w:rPr>
            <w:rStyle w:val="Lienhypertexte"/>
            <w:rFonts w:asciiTheme="majorBidi" w:hAnsiTheme="majorBidi" w:cstheme="majorBidi"/>
          </w:rPr>
          <w:t>https://doi.org/10.1180/claymin.2014.049.1.08</w:t>
        </w:r>
      </w:hyperlink>
      <w:r w:rsidRPr="000C6547">
        <w:rPr>
          <w:rFonts w:asciiTheme="majorBidi" w:hAnsiTheme="majorBidi" w:cstheme="majorBidi"/>
        </w:rPr>
        <w:t xml:space="preserve"> </w:t>
      </w:r>
    </w:p>
    <w:p w14:paraId="6C9BE0D0" w14:textId="77777777" w:rsidR="000C6547" w:rsidRPr="000C6547" w:rsidRDefault="000C6547" w:rsidP="000C6547">
      <w:pPr>
        <w:ind w:left="709" w:hanging="709"/>
        <w:jc w:val="both"/>
        <w:rPr>
          <w:rFonts w:asciiTheme="majorBidi" w:hAnsiTheme="majorBidi" w:cstheme="majorBidi"/>
        </w:rPr>
      </w:pPr>
      <w:r w:rsidRPr="000C6547">
        <w:rPr>
          <w:rFonts w:asciiTheme="majorBidi" w:hAnsiTheme="majorBidi" w:cstheme="majorBidi"/>
        </w:rPr>
        <w:t xml:space="preserve">Zhang, J., Coker, V.S., </w:t>
      </w:r>
      <w:proofErr w:type="spellStart"/>
      <w:r w:rsidRPr="000C6547">
        <w:rPr>
          <w:rFonts w:asciiTheme="majorBidi" w:hAnsiTheme="majorBidi" w:cstheme="majorBidi"/>
        </w:rPr>
        <w:t>Mosselmans</w:t>
      </w:r>
      <w:proofErr w:type="spellEnd"/>
      <w:r w:rsidRPr="000C6547">
        <w:rPr>
          <w:rFonts w:asciiTheme="majorBidi" w:hAnsiTheme="majorBidi" w:cstheme="majorBidi"/>
        </w:rPr>
        <w:t xml:space="preserve">, J.F.W. and Shaw, S., 2022. Adsorption of octahedral mono-molybdate and poly-molybdate onto hematite: A multi-technique approach. Journal of Hazardous Materials, 431, p.128564.3 </w:t>
      </w:r>
      <w:hyperlink r:id="rId87" w:tgtFrame="_blank" w:tooltip="Persistent link using digital object identifier" w:history="1">
        <w:r w:rsidRPr="000C6547">
          <w:rPr>
            <w:rStyle w:val="Lienhypertexte"/>
            <w:rFonts w:asciiTheme="majorBidi" w:hAnsiTheme="majorBidi" w:cstheme="majorBidi"/>
          </w:rPr>
          <w:t>https://doi.org/10.1016/j.jhazmat.2022.128564</w:t>
        </w:r>
      </w:hyperlink>
      <w:r w:rsidRPr="000C6547">
        <w:rPr>
          <w:rFonts w:asciiTheme="majorBidi" w:hAnsiTheme="majorBidi" w:cstheme="majorBidi"/>
        </w:rPr>
        <w:t xml:space="preserve"> </w:t>
      </w:r>
    </w:p>
    <w:p w14:paraId="330C7E0E" w14:textId="77777777" w:rsidR="000C6547" w:rsidRPr="000C6547" w:rsidRDefault="000C6547" w:rsidP="000C6547">
      <w:pPr>
        <w:ind w:left="709" w:hanging="709"/>
        <w:jc w:val="both"/>
        <w:rPr>
          <w:rStyle w:val="Lienhypertexte"/>
          <w:rFonts w:asciiTheme="majorBidi" w:hAnsiTheme="majorBidi" w:cstheme="majorBidi"/>
        </w:rPr>
      </w:pPr>
      <w:r w:rsidRPr="000C6547">
        <w:rPr>
          <w:rFonts w:asciiTheme="majorBidi" w:hAnsiTheme="majorBidi" w:cstheme="majorBidi"/>
        </w:rPr>
        <w:t xml:space="preserve">Zoller, W.H., Gladney, E.S. and Duce, R.A., 1974. Atmospheric concentrations and sources of trace metals at the South Pole. science, 183(4121), pp.198-200. </w:t>
      </w:r>
      <w:hyperlink r:id="rId88" w:history="1">
        <w:r w:rsidRPr="000C6547">
          <w:rPr>
            <w:rStyle w:val="Lienhypertexte"/>
            <w:rFonts w:asciiTheme="majorBidi" w:hAnsiTheme="majorBidi" w:cstheme="majorBidi"/>
          </w:rPr>
          <w:t>https://doi.org/10.1126/science.183.4121.198</w:t>
        </w:r>
      </w:hyperlink>
    </w:p>
    <w:p w14:paraId="6D43E34F" w14:textId="77777777" w:rsidR="00272710" w:rsidRPr="00871092" w:rsidRDefault="00272710" w:rsidP="00871092">
      <w:pPr>
        <w:spacing w:after="0" w:line="240" w:lineRule="auto"/>
        <w:rPr>
          <w:rFonts w:asciiTheme="majorBidi" w:hAnsiTheme="majorBidi" w:cstheme="majorBidi"/>
        </w:rPr>
      </w:pPr>
    </w:p>
    <w:sectPr w:rsidR="00272710" w:rsidRPr="00871092" w:rsidSect="00900658">
      <w:footerReference w:type="default" r:id="rId89"/>
      <w:pgSz w:w="11906" w:h="16838" w:code="9"/>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5BB6A" w14:textId="77777777" w:rsidR="001D3700" w:rsidRDefault="001D3700">
      <w:pPr>
        <w:spacing w:after="0" w:line="240" w:lineRule="auto"/>
      </w:pPr>
      <w:r>
        <w:separator/>
      </w:r>
    </w:p>
  </w:endnote>
  <w:endnote w:type="continuationSeparator" w:id="0">
    <w:p w14:paraId="12B94B08" w14:textId="77777777" w:rsidR="001D3700" w:rsidRDefault="001D3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94554"/>
      <w:docPartObj>
        <w:docPartGallery w:val="Page Numbers (Bottom of Page)"/>
        <w:docPartUnique/>
      </w:docPartObj>
    </w:sdtPr>
    <w:sdtContent>
      <w:p w14:paraId="076510F4" w14:textId="1DACBC06" w:rsidR="00402AE1" w:rsidRPr="00286C92" w:rsidRDefault="00402AE1">
        <w:pPr>
          <w:pStyle w:val="Pieddepage"/>
          <w:jc w:val="center"/>
        </w:pPr>
        <w:r w:rsidRPr="00286C92">
          <w:fldChar w:fldCharType="begin"/>
        </w:r>
        <w:r w:rsidRPr="00286C92">
          <w:instrText>PAGE   \* MERGEFORMAT</w:instrText>
        </w:r>
        <w:r w:rsidRPr="00286C92">
          <w:fldChar w:fldCharType="separate"/>
        </w:r>
        <w:r w:rsidR="002E10A5">
          <w:rPr>
            <w:noProof/>
          </w:rPr>
          <w:t>2</w:t>
        </w:r>
        <w:r w:rsidRPr="00286C92">
          <w:fldChar w:fldCharType="end"/>
        </w:r>
      </w:p>
    </w:sdtContent>
  </w:sdt>
  <w:p w14:paraId="4B481DA2" w14:textId="77777777" w:rsidR="00402AE1" w:rsidRPr="00286C92" w:rsidRDefault="00402AE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019C" w14:textId="77777777" w:rsidR="001D3700" w:rsidRDefault="001D3700">
      <w:pPr>
        <w:spacing w:after="0" w:line="240" w:lineRule="auto"/>
      </w:pPr>
      <w:r>
        <w:separator/>
      </w:r>
    </w:p>
  </w:footnote>
  <w:footnote w:type="continuationSeparator" w:id="0">
    <w:p w14:paraId="01BE02A0" w14:textId="77777777" w:rsidR="001D3700" w:rsidRDefault="001D37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4B6"/>
    <w:multiLevelType w:val="hybridMultilevel"/>
    <w:tmpl w:val="C62655B8"/>
    <w:lvl w:ilvl="0" w:tplc="A7FAB3FE">
      <w:start w:val="1"/>
      <w:numFmt w:val="bullet"/>
      <w:lvlText w:val="-"/>
      <w:lvlJc w:val="left"/>
      <w:pPr>
        <w:ind w:left="720" w:hanging="360"/>
      </w:pPr>
      <w:rPr>
        <w:rFonts w:ascii="Times New Roman" w:eastAsia="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2FE704C"/>
    <w:multiLevelType w:val="multilevel"/>
    <w:tmpl w:val="080C0029"/>
    <w:lvl w:ilvl="0">
      <w:start w:val="1"/>
      <w:numFmt w:val="decimal"/>
      <w:pStyle w:val="Style1"/>
      <w:suff w:val="space"/>
      <w:lvlText w:val="Chapitre %1"/>
      <w:lvlJc w:val="left"/>
      <w:pPr>
        <w:ind w:left="0" w:firstLine="0"/>
      </w:pPr>
      <w:rPr>
        <w:rFonts w:hint="default"/>
        <w:b/>
        <w:bCs/>
      </w:rPr>
    </w:lvl>
    <w:lvl w:ilvl="1">
      <w:start w:val="1"/>
      <w:numFmt w:val="none"/>
      <w:suff w:val="nothing"/>
      <w:lvlText w:val=""/>
      <w:lvlJc w:val="left"/>
      <w:pPr>
        <w:ind w:left="0" w:firstLine="0"/>
      </w:pPr>
      <w:rPr>
        <w:rFonts w:hint="default"/>
        <w:i w:val="0"/>
        <w:iCs/>
      </w:rPr>
    </w:lvl>
    <w:lvl w:ilvl="2">
      <w:start w:val="1"/>
      <w:numFmt w:val="none"/>
      <w:suff w:val="nothing"/>
      <w:lvlText w:val=""/>
      <w:lvlJc w:val="left"/>
      <w:pPr>
        <w:ind w:left="0" w:firstLine="0"/>
      </w:pPr>
      <w:rPr>
        <w:rFonts w:hint="default"/>
        <w:i w:val="0"/>
        <w:iCs/>
      </w:rPr>
    </w:lvl>
    <w:lvl w:ilvl="3">
      <w:start w:val="1"/>
      <w:numFmt w:val="none"/>
      <w:suff w:val="nothing"/>
      <w:lvlText w:val=""/>
      <w:lvlJc w:val="left"/>
      <w:pPr>
        <w:ind w:left="0" w:firstLine="0"/>
      </w:pPr>
      <w:rPr>
        <w:rFonts w:hint="default"/>
        <w:b/>
        <w:bCs/>
        <w:i w:val="0"/>
        <w:iCs/>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6DA12B8"/>
    <w:multiLevelType w:val="multilevel"/>
    <w:tmpl w:val="9E9C62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BD4EA8"/>
    <w:multiLevelType w:val="hybridMultilevel"/>
    <w:tmpl w:val="9FF03C92"/>
    <w:lvl w:ilvl="0" w:tplc="82EACB30">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1AE3DCC"/>
    <w:multiLevelType w:val="hybridMultilevel"/>
    <w:tmpl w:val="FE14CBFA"/>
    <w:lvl w:ilvl="0" w:tplc="A3989730">
      <w:start w:val="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2F13BAA"/>
    <w:multiLevelType w:val="hybridMultilevel"/>
    <w:tmpl w:val="3D30DC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ABF24AC"/>
    <w:multiLevelType w:val="hybridMultilevel"/>
    <w:tmpl w:val="465A3F80"/>
    <w:lvl w:ilvl="0" w:tplc="730C05AE">
      <w:start w:val="1"/>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29945B6"/>
    <w:multiLevelType w:val="hybridMultilevel"/>
    <w:tmpl w:val="C17EADF0"/>
    <w:lvl w:ilvl="0" w:tplc="48BA5A90">
      <w:start w:val="2"/>
      <w:numFmt w:val="bullet"/>
      <w:lvlText w:val="-"/>
      <w:lvlJc w:val="left"/>
      <w:pPr>
        <w:ind w:left="720" w:hanging="360"/>
      </w:pPr>
      <w:rPr>
        <w:rFonts w:ascii="Calibri" w:eastAsia="Times New Roman" w:hAnsi="Calibri" w:cs="Calibri"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5E71156"/>
    <w:multiLevelType w:val="hybridMultilevel"/>
    <w:tmpl w:val="12B02A64"/>
    <w:lvl w:ilvl="0" w:tplc="28E07E7E">
      <w:start w:val="2"/>
      <w:numFmt w:val="bullet"/>
      <w:lvlText w:val="-"/>
      <w:lvlJc w:val="left"/>
      <w:pPr>
        <w:ind w:left="720" w:hanging="360"/>
      </w:pPr>
      <w:rPr>
        <w:rFonts w:ascii="Calibri" w:eastAsia="Times New Roman" w:hAnsi="Calibri" w:cs="Calibri"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7B72D0B"/>
    <w:multiLevelType w:val="hybridMultilevel"/>
    <w:tmpl w:val="11FA1B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8B954F1"/>
    <w:multiLevelType w:val="hybridMultilevel"/>
    <w:tmpl w:val="C2A60A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A4B1F77"/>
    <w:multiLevelType w:val="multilevel"/>
    <w:tmpl w:val="BC50E924"/>
    <w:lvl w:ilvl="0">
      <w:start w:val="1"/>
      <w:numFmt w:val="decimal"/>
      <w:pStyle w:val="Titre1"/>
      <w:lvlText w:val="%1"/>
      <w:lvlJc w:val="left"/>
      <w:pPr>
        <w:ind w:left="432" w:hanging="432"/>
      </w:pPr>
    </w:lvl>
    <w:lvl w:ilvl="1">
      <w:start w:val="1"/>
      <w:numFmt w:val="decimal"/>
      <w:pStyle w:val="Titre2"/>
      <w:lvlText w:val="%1.%2"/>
      <w:lvlJc w:val="left"/>
      <w:pPr>
        <w:ind w:left="576" w:hanging="576"/>
      </w:pPr>
      <w:rPr>
        <w:sz w:val="22"/>
        <w:szCs w:val="22"/>
      </w:rPr>
    </w:lvl>
    <w:lvl w:ilvl="2">
      <w:start w:val="1"/>
      <w:numFmt w:val="decimal"/>
      <w:pStyle w:val="Titre3"/>
      <w:lvlText w:val="%1.%2.%3"/>
      <w:lvlJc w:val="left"/>
      <w:pPr>
        <w:ind w:left="720" w:hanging="720"/>
      </w:pPr>
      <w:rPr>
        <w:b/>
        <w:bCs/>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2" w15:restartNumberingAfterBreak="0">
    <w:nsid w:val="4B8B5ADD"/>
    <w:multiLevelType w:val="multilevel"/>
    <w:tmpl w:val="CACC8A82"/>
    <w:lvl w:ilvl="0">
      <w:start w:val="1"/>
      <w:numFmt w:val="decimal"/>
      <w:lvlText w:val="%1"/>
      <w:lvlJc w:val="left"/>
      <w:pPr>
        <w:ind w:left="432" w:hanging="432"/>
      </w:pPr>
    </w:lvl>
    <w:lvl w:ilvl="1">
      <w:start w:val="1"/>
      <w:numFmt w:val="decimal"/>
      <w:lvlText w:val="%1.%2"/>
      <w:lvlJc w:val="left"/>
      <w:pPr>
        <w:ind w:left="576" w:hanging="576"/>
      </w:pPr>
      <w:rPr>
        <w:sz w:val="24"/>
        <w:szCs w:val="28"/>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02D01FA"/>
    <w:multiLevelType w:val="multilevel"/>
    <w:tmpl w:val="CACC8A82"/>
    <w:lvl w:ilvl="0">
      <w:start w:val="1"/>
      <w:numFmt w:val="decimal"/>
      <w:lvlText w:val="%1"/>
      <w:lvlJc w:val="left"/>
      <w:pPr>
        <w:ind w:left="432" w:hanging="432"/>
      </w:pPr>
    </w:lvl>
    <w:lvl w:ilvl="1">
      <w:start w:val="1"/>
      <w:numFmt w:val="decimal"/>
      <w:lvlText w:val="%1.%2"/>
      <w:lvlJc w:val="left"/>
      <w:pPr>
        <w:ind w:left="576" w:hanging="576"/>
      </w:pPr>
      <w:rPr>
        <w:sz w:val="24"/>
        <w:szCs w:val="28"/>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1F73F03"/>
    <w:multiLevelType w:val="hybridMultilevel"/>
    <w:tmpl w:val="638669A2"/>
    <w:lvl w:ilvl="0" w:tplc="B9907DE6">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46616D3"/>
    <w:multiLevelType w:val="hybridMultilevel"/>
    <w:tmpl w:val="8D5ED4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8F97EF2"/>
    <w:multiLevelType w:val="hybridMultilevel"/>
    <w:tmpl w:val="F2B2305C"/>
    <w:lvl w:ilvl="0" w:tplc="6AB2C804">
      <w:start w:val="1"/>
      <w:numFmt w:val="lowerLetter"/>
      <w:lvlText w:val="(%1)"/>
      <w:lvlJc w:val="left"/>
      <w:pPr>
        <w:ind w:left="720" w:hanging="36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D3F7E6A"/>
    <w:multiLevelType w:val="multilevel"/>
    <w:tmpl w:val="CACC8A82"/>
    <w:lvl w:ilvl="0">
      <w:start w:val="1"/>
      <w:numFmt w:val="decimal"/>
      <w:lvlText w:val="%1"/>
      <w:lvlJc w:val="left"/>
      <w:pPr>
        <w:ind w:left="432" w:hanging="432"/>
      </w:pPr>
    </w:lvl>
    <w:lvl w:ilvl="1">
      <w:start w:val="1"/>
      <w:numFmt w:val="decimal"/>
      <w:lvlText w:val="%1.%2"/>
      <w:lvlJc w:val="left"/>
      <w:pPr>
        <w:ind w:left="576" w:hanging="576"/>
      </w:pPr>
      <w:rPr>
        <w:sz w:val="24"/>
        <w:szCs w:val="28"/>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5885581"/>
    <w:multiLevelType w:val="multilevel"/>
    <w:tmpl w:val="CACC8A82"/>
    <w:lvl w:ilvl="0">
      <w:start w:val="1"/>
      <w:numFmt w:val="decimal"/>
      <w:lvlText w:val="%1"/>
      <w:lvlJc w:val="left"/>
      <w:pPr>
        <w:ind w:left="432" w:hanging="432"/>
      </w:pPr>
    </w:lvl>
    <w:lvl w:ilvl="1">
      <w:start w:val="1"/>
      <w:numFmt w:val="decimal"/>
      <w:lvlText w:val="%1.%2"/>
      <w:lvlJc w:val="left"/>
      <w:pPr>
        <w:ind w:left="576" w:hanging="576"/>
      </w:pPr>
      <w:rPr>
        <w:sz w:val="24"/>
        <w:szCs w:val="28"/>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B2E7FEE"/>
    <w:multiLevelType w:val="hybridMultilevel"/>
    <w:tmpl w:val="676AC1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C5F1A48"/>
    <w:multiLevelType w:val="hybridMultilevel"/>
    <w:tmpl w:val="0E8462BE"/>
    <w:lvl w:ilvl="0" w:tplc="ED9E7F52">
      <w:start w:val="1"/>
      <w:numFmt w:val="upperLetter"/>
      <w:lvlText w:val="(%1)"/>
      <w:lvlJc w:val="left"/>
      <w:pPr>
        <w:ind w:left="502" w:hanging="360"/>
      </w:pPr>
      <w:rPr>
        <w:rFonts w:hint="default"/>
        <w:color w:val="auto"/>
      </w:r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num w:numId="1" w16cid:durableId="2069985395">
    <w:abstractNumId w:val="1"/>
  </w:num>
  <w:num w:numId="2" w16cid:durableId="1114252967">
    <w:abstractNumId w:val="11"/>
  </w:num>
  <w:num w:numId="3" w16cid:durableId="645934265">
    <w:abstractNumId w:val="13"/>
  </w:num>
  <w:num w:numId="4" w16cid:durableId="1300764521">
    <w:abstractNumId w:val="17"/>
  </w:num>
  <w:num w:numId="5" w16cid:durableId="817722823">
    <w:abstractNumId w:val="18"/>
  </w:num>
  <w:num w:numId="6" w16cid:durableId="135421188">
    <w:abstractNumId w:val="12"/>
  </w:num>
  <w:num w:numId="7" w16cid:durableId="321084559">
    <w:abstractNumId w:val="9"/>
  </w:num>
  <w:num w:numId="8" w16cid:durableId="1014842964">
    <w:abstractNumId w:val="16"/>
  </w:num>
  <w:num w:numId="9" w16cid:durableId="332338673">
    <w:abstractNumId w:val="20"/>
  </w:num>
  <w:num w:numId="10" w16cid:durableId="856698270">
    <w:abstractNumId w:val="6"/>
  </w:num>
  <w:num w:numId="11" w16cid:durableId="1283270219">
    <w:abstractNumId w:val="0"/>
  </w:num>
  <w:num w:numId="12" w16cid:durableId="1563176084">
    <w:abstractNumId w:val="15"/>
  </w:num>
  <w:num w:numId="13" w16cid:durableId="190386358">
    <w:abstractNumId w:val="10"/>
  </w:num>
  <w:num w:numId="14" w16cid:durableId="1357777399">
    <w:abstractNumId w:val="19"/>
  </w:num>
  <w:num w:numId="15" w16cid:durableId="763039251">
    <w:abstractNumId w:val="5"/>
  </w:num>
  <w:num w:numId="16" w16cid:durableId="775517660">
    <w:abstractNumId w:val="3"/>
  </w:num>
  <w:num w:numId="17" w16cid:durableId="418796413">
    <w:abstractNumId w:val="7"/>
  </w:num>
  <w:num w:numId="18" w16cid:durableId="1283224573">
    <w:abstractNumId w:val="8"/>
  </w:num>
  <w:num w:numId="19" w16cid:durableId="1610819913">
    <w:abstractNumId w:val="4"/>
  </w:num>
  <w:num w:numId="20" w16cid:durableId="1261333533">
    <w:abstractNumId w:val="14"/>
  </w:num>
  <w:num w:numId="21" w16cid:durableId="151822862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F3"/>
    <w:rsid w:val="00001AFB"/>
    <w:rsid w:val="0001138A"/>
    <w:rsid w:val="00026816"/>
    <w:rsid w:val="00055ADC"/>
    <w:rsid w:val="00057FA2"/>
    <w:rsid w:val="000B15E1"/>
    <w:rsid w:val="000C6547"/>
    <w:rsid w:val="000C6B9A"/>
    <w:rsid w:val="000D5EDD"/>
    <w:rsid w:val="000E3D8F"/>
    <w:rsid w:val="000E3F80"/>
    <w:rsid w:val="000F084C"/>
    <w:rsid w:val="001000A9"/>
    <w:rsid w:val="00112F3C"/>
    <w:rsid w:val="001348B4"/>
    <w:rsid w:val="00136646"/>
    <w:rsid w:val="00160FC0"/>
    <w:rsid w:val="001D3700"/>
    <w:rsid w:val="001E47BC"/>
    <w:rsid w:val="001F542E"/>
    <w:rsid w:val="001F56F4"/>
    <w:rsid w:val="002057A8"/>
    <w:rsid w:val="0023354E"/>
    <w:rsid w:val="0023397D"/>
    <w:rsid w:val="002407CE"/>
    <w:rsid w:val="002506C7"/>
    <w:rsid w:val="002507B4"/>
    <w:rsid w:val="00271F8A"/>
    <w:rsid w:val="00272710"/>
    <w:rsid w:val="002741CD"/>
    <w:rsid w:val="0028511E"/>
    <w:rsid w:val="002949CF"/>
    <w:rsid w:val="00297EB0"/>
    <w:rsid w:val="002B2C04"/>
    <w:rsid w:val="002B4070"/>
    <w:rsid w:val="002D0393"/>
    <w:rsid w:val="002D6A80"/>
    <w:rsid w:val="002E10A5"/>
    <w:rsid w:val="002E2B97"/>
    <w:rsid w:val="002E340A"/>
    <w:rsid w:val="002F2BA2"/>
    <w:rsid w:val="00316915"/>
    <w:rsid w:val="00354038"/>
    <w:rsid w:val="00374489"/>
    <w:rsid w:val="00375714"/>
    <w:rsid w:val="003942A1"/>
    <w:rsid w:val="003D1ED8"/>
    <w:rsid w:val="003E3AA4"/>
    <w:rsid w:val="003F5B1B"/>
    <w:rsid w:val="00402AE1"/>
    <w:rsid w:val="00474689"/>
    <w:rsid w:val="004768DC"/>
    <w:rsid w:val="0049641C"/>
    <w:rsid w:val="004A191F"/>
    <w:rsid w:val="004B59C8"/>
    <w:rsid w:val="004B6B60"/>
    <w:rsid w:val="004C2686"/>
    <w:rsid w:val="004C43D0"/>
    <w:rsid w:val="00500C6A"/>
    <w:rsid w:val="0052350E"/>
    <w:rsid w:val="00523E1C"/>
    <w:rsid w:val="005244EE"/>
    <w:rsid w:val="00526480"/>
    <w:rsid w:val="00532044"/>
    <w:rsid w:val="0055351C"/>
    <w:rsid w:val="00556630"/>
    <w:rsid w:val="0056188B"/>
    <w:rsid w:val="0056770F"/>
    <w:rsid w:val="00576927"/>
    <w:rsid w:val="005B7D9A"/>
    <w:rsid w:val="005C6660"/>
    <w:rsid w:val="005F6E76"/>
    <w:rsid w:val="00607CF3"/>
    <w:rsid w:val="00613894"/>
    <w:rsid w:val="00641CE0"/>
    <w:rsid w:val="006519BA"/>
    <w:rsid w:val="0065375D"/>
    <w:rsid w:val="0068194D"/>
    <w:rsid w:val="006A24D8"/>
    <w:rsid w:val="006B0A21"/>
    <w:rsid w:val="006B43DA"/>
    <w:rsid w:val="006B7F1F"/>
    <w:rsid w:val="006C17B1"/>
    <w:rsid w:val="006C7FB8"/>
    <w:rsid w:val="006E12FF"/>
    <w:rsid w:val="006E3E89"/>
    <w:rsid w:val="006F325A"/>
    <w:rsid w:val="006F7DD4"/>
    <w:rsid w:val="00700239"/>
    <w:rsid w:val="00701F89"/>
    <w:rsid w:val="00720A4E"/>
    <w:rsid w:val="00721A96"/>
    <w:rsid w:val="0072418B"/>
    <w:rsid w:val="00754BC9"/>
    <w:rsid w:val="007609C7"/>
    <w:rsid w:val="00787906"/>
    <w:rsid w:val="007A4E31"/>
    <w:rsid w:val="007B2B22"/>
    <w:rsid w:val="007C3033"/>
    <w:rsid w:val="007C5743"/>
    <w:rsid w:val="007D248B"/>
    <w:rsid w:val="007D2D85"/>
    <w:rsid w:val="007E2C3F"/>
    <w:rsid w:val="00800A90"/>
    <w:rsid w:val="00825600"/>
    <w:rsid w:val="0082597D"/>
    <w:rsid w:val="008379BD"/>
    <w:rsid w:val="008428C0"/>
    <w:rsid w:val="00843A96"/>
    <w:rsid w:val="00843FD7"/>
    <w:rsid w:val="0085467B"/>
    <w:rsid w:val="00871092"/>
    <w:rsid w:val="008811CD"/>
    <w:rsid w:val="008938CB"/>
    <w:rsid w:val="008F39B1"/>
    <w:rsid w:val="00900658"/>
    <w:rsid w:val="00911EF9"/>
    <w:rsid w:val="00912FC4"/>
    <w:rsid w:val="009135E5"/>
    <w:rsid w:val="00924DB4"/>
    <w:rsid w:val="0095357B"/>
    <w:rsid w:val="00955BF8"/>
    <w:rsid w:val="00963FDC"/>
    <w:rsid w:val="0098459F"/>
    <w:rsid w:val="009B5D91"/>
    <w:rsid w:val="009C3C43"/>
    <w:rsid w:val="009E67EE"/>
    <w:rsid w:val="009F12C5"/>
    <w:rsid w:val="00A04A98"/>
    <w:rsid w:val="00A127CE"/>
    <w:rsid w:val="00A12C92"/>
    <w:rsid w:val="00A33FAC"/>
    <w:rsid w:val="00A53D0E"/>
    <w:rsid w:val="00A7047A"/>
    <w:rsid w:val="00A85E04"/>
    <w:rsid w:val="00A94C11"/>
    <w:rsid w:val="00AB256F"/>
    <w:rsid w:val="00AE2D01"/>
    <w:rsid w:val="00AF20CE"/>
    <w:rsid w:val="00B01FFC"/>
    <w:rsid w:val="00B10FFB"/>
    <w:rsid w:val="00B258D2"/>
    <w:rsid w:val="00B37333"/>
    <w:rsid w:val="00B40B30"/>
    <w:rsid w:val="00B524EE"/>
    <w:rsid w:val="00B80499"/>
    <w:rsid w:val="00B81BE4"/>
    <w:rsid w:val="00B8289B"/>
    <w:rsid w:val="00B87965"/>
    <w:rsid w:val="00B91753"/>
    <w:rsid w:val="00B938DA"/>
    <w:rsid w:val="00B93FB1"/>
    <w:rsid w:val="00BA4673"/>
    <w:rsid w:val="00BB2C52"/>
    <w:rsid w:val="00BC00D8"/>
    <w:rsid w:val="00BC3C8B"/>
    <w:rsid w:val="00BC7C39"/>
    <w:rsid w:val="00BD38DB"/>
    <w:rsid w:val="00C24136"/>
    <w:rsid w:val="00C56239"/>
    <w:rsid w:val="00C573C8"/>
    <w:rsid w:val="00C57B40"/>
    <w:rsid w:val="00C70006"/>
    <w:rsid w:val="00C72DBF"/>
    <w:rsid w:val="00C86A6C"/>
    <w:rsid w:val="00CB168A"/>
    <w:rsid w:val="00CC5426"/>
    <w:rsid w:val="00CC5D44"/>
    <w:rsid w:val="00D00737"/>
    <w:rsid w:val="00D0359D"/>
    <w:rsid w:val="00D16BCD"/>
    <w:rsid w:val="00D26413"/>
    <w:rsid w:val="00D26E3E"/>
    <w:rsid w:val="00D50268"/>
    <w:rsid w:val="00D5082D"/>
    <w:rsid w:val="00D6583D"/>
    <w:rsid w:val="00D65CE3"/>
    <w:rsid w:val="00D71838"/>
    <w:rsid w:val="00D96C12"/>
    <w:rsid w:val="00DA0DA6"/>
    <w:rsid w:val="00DA1FB6"/>
    <w:rsid w:val="00DA38C9"/>
    <w:rsid w:val="00DA4572"/>
    <w:rsid w:val="00DA60E0"/>
    <w:rsid w:val="00DE1D3E"/>
    <w:rsid w:val="00DF464B"/>
    <w:rsid w:val="00DF5895"/>
    <w:rsid w:val="00E06829"/>
    <w:rsid w:val="00E11144"/>
    <w:rsid w:val="00E20143"/>
    <w:rsid w:val="00E336E5"/>
    <w:rsid w:val="00E44651"/>
    <w:rsid w:val="00E51C85"/>
    <w:rsid w:val="00E70CA3"/>
    <w:rsid w:val="00E77F7C"/>
    <w:rsid w:val="00E87B88"/>
    <w:rsid w:val="00EC263E"/>
    <w:rsid w:val="00F068F6"/>
    <w:rsid w:val="00F30851"/>
    <w:rsid w:val="00F32844"/>
    <w:rsid w:val="00F32C54"/>
    <w:rsid w:val="00F35DE6"/>
    <w:rsid w:val="00F37A6C"/>
    <w:rsid w:val="00F57FC8"/>
    <w:rsid w:val="00F65452"/>
    <w:rsid w:val="00FC4B82"/>
    <w:rsid w:val="00FD3427"/>
    <w:rsid w:val="00FE28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968A3"/>
  <w15:chartTrackingRefBased/>
  <w15:docId w15:val="{AC79BFD3-D67C-403D-896F-E54ED13B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CF3"/>
    <w:rPr>
      <w:rFonts w:eastAsiaTheme="minorEastAsia" w:cs="Arial"/>
      <w:kern w:val="2"/>
      <w:lang w:val="en-CA" w:eastAsia="fr-BE"/>
    </w:rPr>
  </w:style>
  <w:style w:type="paragraph" w:styleId="Titre1">
    <w:name w:val="heading 1"/>
    <w:basedOn w:val="Normal"/>
    <w:next w:val="Normal"/>
    <w:link w:val="Titre1Car"/>
    <w:uiPriority w:val="9"/>
    <w:qFormat/>
    <w:rsid w:val="00607CF3"/>
    <w:pPr>
      <w:keepNext/>
      <w:keepLines/>
      <w:numPr>
        <w:numId w:val="2"/>
      </w:numPr>
      <w:spacing w:before="480" w:after="240"/>
      <w:outlineLvl w:val="0"/>
    </w:pPr>
    <w:rPr>
      <w:rFonts w:asciiTheme="majorBidi" w:eastAsiaTheme="majorEastAsia" w:hAnsiTheme="majorBidi" w:cstheme="majorBidi"/>
      <w:b/>
      <w:sz w:val="20"/>
      <w:szCs w:val="32"/>
    </w:rPr>
  </w:style>
  <w:style w:type="paragraph" w:styleId="Titre2">
    <w:name w:val="heading 2"/>
    <w:basedOn w:val="Normal"/>
    <w:next w:val="Normal"/>
    <w:link w:val="Titre2Car"/>
    <w:uiPriority w:val="9"/>
    <w:unhideWhenUsed/>
    <w:qFormat/>
    <w:rsid w:val="00607CF3"/>
    <w:pPr>
      <w:keepNext/>
      <w:numPr>
        <w:ilvl w:val="1"/>
        <w:numId w:val="2"/>
      </w:numPr>
      <w:spacing w:before="360" w:after="180"/>
      <w:outlineLvl w:val="1"/>
    </w:pPr>
    <w:rPr>
      <w:rFonts w:asciiTheme="majorBidi" w:eastAsiaTheme="majorEastAsia" w:hAnsiTheme="majorBidi" w:cs="Times New Roman"/>
      <w:b/>
      <w:bCs/>
      <w:iCs/>
      <w:sz w:val="24"/>
      <w:szCs w:val="28"/>
    </w:rPr>
  </w:style>
  <w:style w:type="paragraph" w:styleId="Titre3">
    <w:name w:val="heading 3"/>
    <w:basedOn w:val="Normal"/>
    <w:next w:val="Normal"/>
    <w:link w:val="Titre3Car"/>
    <w:uiPriority w:val="9"/>
    <w:unhideWhenUsed/>
    <w:qFormat/>
    <w:rsid w:val="00607CF3"/>
    <w:pPr>
      <w:keepNext/>
      <w:numPr>
        <w:ilvl w:val="2"/>
        <w:numId w:val="2"/>
      </w:numPr>
      <w:spacing w:before="360" w:after="180"/>
      <w:outlineLvl w:val="2"/>
    </w:pPr>
    <w:rPr>
      <w:rFonts w:asciiTheme="majorBidi" w:eastAsiaTheme="majorEastAsia" w:hAnsiTheme="majorBidi" w:cs="Times New Roman"/>
      <w:b/>
      <w:bCs/>
      <w:sz w:val="24"/>
      <w:szCs w:val="26"/>
    </w:rPr>
  </w:style>
  <w:style w:type="paragraph" w:styleId="Titre4">
    <w:name w:val="heading 4"/>
    <w:basedOn w:val="Normal"/>
    <w:next w:val="Normal"/>
    <w:link w:val="Titre4Car"/>
    <w:uiPriority w:val="9"/>
    <w:semiHidden/>
    <w:unhideWhenUsed/>
    <w:qFormat/>
    <w:rsid w:val="00607CF3"/>
    <w:pPr>
      <w:keepNext/>
      <w:numPr>
        <w:ilvl w:val="3"/>
        <w:numId w:val="2"/>
      </w:numPr>
      <w:spacing w:before="240" w:after="60"/>
      <w:outlineLvl w:val="3"/>
    </w:pPr>
    <w:rPr>
      <w:b/>
      <w:bCs/>
      <w:sz w:val="28"/>
      <w:szCs w:val="28"/>
    </w:rPr>
  </w:style>
  <w:style w:type="paragraph" w:styleId="Titre5">
    <w:name w:val="heading 5"/>
    <w:basedOn w:val="Normal"/>
    <w:next w:val="Normal"/>
    <w:link w:val="Titre5Car"/>
    <w:uiPriority w:val="9"/>
    <w:semiHidden/>
    <w:unhideWhenUsed/>
    <w:qFormat/>
    <w:rsid w:val="00607CF3"/>
    <w:pPr>
      <w:numPr>
        <w:ilvl w:val="4"/>
        <w:numId w:val="2"/>
      </w:numPr>
      <w:spacing w:before="240" w:after="60"/>
      <w:outlineLvl w:val="4"/>
    </w:pPr>
    <w:rPr>
      <w:b/>
      <w:bCs/>
      <w:i/>
      <w:iCs/>
      <w:sz w:val="26"/>
      <w:szCs w:val="26"/>
    </w:rPr>
  </w:style>
  <w:style w:type="paragraph" w:styleId="Titre6">
    <w:name w:val="heading 6"/>
    <w:basedOn w:val="Normal"/>
    <w:next w:val="Normal"/>
    <w:link w:val="Titre6Car"/>
    <w:uiPriority w:val="9"/>
    <w:semiHidden/>
    <w:unhideWhenUsed/>
    <w:qFormat/>
    <w:rsid w:val="00607CF3"/>
    <w:pPr>
      <w:numPr>
        <w:ilvl w:val="5"/>
        <w:numId w:val="2"/>
      </w:numPr>
      <w:spacing w:before="240" w:after="60"/>
      <w:outlineLvl w:val="5"/>
    </w:pPr>
    <w:rPr>
      <w:b/>
      <w:bCs/>
    </w:rPr>
  </w:style>
  <w:style w:type="paragraph" w:styleId="Titre7">
    <w:name w:val="heading 7"/>
    <w:basedOn w:val="Normal"/>
    <w:next w:val="Normal"/>
    <w:link w:val="Titre7Car"/>
    <w:uiPriority w:val="9"/>
    <w:semiHidden/>
    <w:unhideWhenUsed/>
    <w:qFormat/>
    <w:rsid w:val="00607CF3"/>
    <w:pPr>
      <w:numPr>
        <w:ilvl w:val="6"/>
        <w:numId w:val="2"/>
      </w:numPr>
      <w:spacing w:before="240" w:after="60"/>
      <w:outlineLvl w:val="6"/>
    </w:pPr>
    <w:rPr>
      <w:sz w:val="24"/>
      <w:szCs w:val="24"/>
    </w:rPr>
  </w:style>
  <w:style w:type="paragraph" w:styleId="Titre8">
    <w:name w:val="heading 8"/>
    <w:basedOn w:val="Normal"/>
    <w:next w:val="Normal"/>
    <w:link w:val="Titre8Car"/>
    <w:uiPriority w:val="9"/>
    <w:semiHidden/>
    <w:unhideWhenUsed/>
    <w:qFormat/>
    <w:rsid w:val="00607CF3"/>
    <w:pPr>
      <w:numPr>
        <w:ilvl w:val="7"/>
        <w:numId w:val="2"/>
      </w:numPr>
      <w:spacing w:before="240" w:after="60"/>
      <w:outlineLvl w:val="7"/>
    </w:pPr>
    <w:rPr>
      <w:i/>
      <w:iCs/>
      <w:sz w:val="24"/>
      <w:szCs w:val="24"/>
    </w:rPr>
  </w:style>
  <w:style w:type="paragraph" w:styleId="Titre9">
    <w:name w:val="heading 9"/>
    <w:basedOn w:val="Normal"/>
    <w:next w:val="Normal"/>
    <w:link w:val="Titre9Car"/>
    <w:uiPriority w:val="9"/>
    <w:semiHidden/>
    <w:unhideWhenUsed/>
    <w:qFormat/>
    <w:rsid w:val="00607CF3"/>
    <w:pPr>
      <w:numPr>
        <w:ilvl w:val="8"/>
        <w:numId w:val="2"/>
      </w:numPr>
      <w:spacing w:before="240" w:after="60"/>
      <w:outlineLvl w:val="8"/>
    </w:pPr>
    <w:rPr>
      <w:rFonts w:asciiTheme="majorHAnsi" w:eastAsiaTheme="majorEastAsia" w:hAnsiTheme="majorHAnsi" w:cs="Times New Roman"/>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7CF3"/>
    <w:rPr>
      <w:rFonts w:asciiTheme="majorBidi" w:eastAsiaTheme="majorEastAsia" w:hAnsiTheme="majorBidi" w:cstheme="majorBidi"/>
      <w:b/>
      <w:kern w:val="2"/>
      <w:sz w:val="20"/>
      <w:szCs w:val="32"/>
      <w:lang w:val="en-CA" w:eastAsia="fr-BE"/>
    </w:rPr>
  </w:style>
  <w:style w:type="character" w:customStyle="1" w:styleId="Titre2Car">
    <w:name w:val="Titre 2 Car"/>
    <w:basedOn w:val="Policepardfaut"/>
    <w:link w:val="Titre2"/>
    <w:uiPriority w:val="9"/>
    <w:rsid w:val="00607CF3"/>
    <w:rPr>
      <w:rFonts w:asciiTheme="majorBidi" w:eastAsiaTheme="majorEastAsia" w:hAnsiTheme="majorBidi" w:cs="Times New Roman"/>
      <w:b/>
      <w:bCs/>
      <w:iCs/>
      <w:kern w:val="2"/>
      <w:sz w:val="24"/>
      <w:szCs w:val="28"/>
      <w:lang w:val="en-CA" w:eastAsia="fr-BE"/>
    </w:rPr>
  </w:style>
  <w:style w:type="character" w:customStyle="1" w:styleId="Titre3Car">
    <w:name w:val="Titre 3 Car"/>
    <w:basedOn w:val="Policepardfaut"/>
    <w:link w:val="Titre3"/>
    <w:uiPriority w:val="9"/>
    <w:rsid w:val="00607CF3"/>
    <w:rPr>
      <w:rFonts w:asciiTheme="majorBidi" w:eastAsiaTheme="majorEastAsia" w:hAnsiTheme="majorBidi" w:cs="Times New Roman"/>
      <w:b/>
      <w:bCs/>
      <w:kern w:val="2"/>
      <w:sz w:val="24"/>
      <w:szCs w:val="26"/>
      <w:lang w:val="en-CA" w:eastAsia="fr-BE"/>
    </w:rPr>
  </w:style>
  <w:style w:type="character" w:customStyle="1" w:styleId="Titre4Car">
    <w:name w:val="Titre 4 Car"/>
    <w:basedOn w:val="Policepardfaut"/>
    <w:link w:val="Titre4"/>
    <w:uiPriority w:val="9"/>
    <w:semiHidden/>
    <w:rsid w:val="00607CF3"/>
    <w:rPr>
      <w:rFonts w:eastAsiaTheme="minorEastAsia" w:cs="Arial"/>
      <w:b/>
      <w:bCs/>
      <w:kern w:val="2"/>
      <w:sz w:val="28"/>
      <w:szCs w:val="28"/>
      <w:lang w:val="en-CA" w:eastAsia="fr-BE"/>
    </w:rPr>
  </w:style>
  <w:style w:type="character" w:customStyle="1" w:styleId="Titre5Car">
    <w:name w:val="Titre 5 Car"/>
    <w:basedOn w:val="Policepardfaut"/>
    <w:link w:val="Titre5"/>
    <w:uiPriority w:val="9"/>
    <w:semiHidden/>
    <w:rsid w:val="00607CF3"/>
    <w:rPr>
      <w:rFonts w:eastAsiaTheme="minorEastAsia" w:cs="Arial"/>
      <w:b/>
      <w:bCs/>
      <w:i/>
      <w:iCs/>
      <w:kern w:val="2"/>
      <w:sz w:val="26"/>
      <w:szCs w:val="26"/>
      <w:lang w:val="en-CA" w:eastAsia="fr-BE"/>
    </w:rPr>
  </w:style>
  <w:style w:type="character" w:customStyle="1" w:styleId="Titre6Car">
    <w:name w:val="Titre 6 Car"/>
    <w:basedOn w:val="Policepardfaut"/>
    <w:link w:val="Titre6"/>
    <w:uiPriority w:val="9"/>
    <w:semiHidden/>
    <w:rsid w:val="00607CF3"/>
    <w:rPr>
      <w:rFonts w:eastAsiaTheme="minorEastAsia" w:cs="Arial"/>
      <w:b/>
      <w:bCs/>
      <w:kern w:val="2"/>
      <w:lang w:val="en-CA" w:eastAsia="fr-BE"/>
    </w:rPr>
  </w:style>
  <w:style w:type="character" w:customStyle="1" w:styleId="Titre7Car">
    <w:name w:val="Titre 7 Car"/>
    <w:basedOn w:val="Policepardfaut"/>
    <w:link w:val="Titre7"/>
    <w:uiPriority w:val="9"/>
    <w:semiHidden/>
    <w:rsid w:val="00607CF3"/>
    <w:rPr>
      <w:rFonts w:eastAsiaTheme="minorEastAsia" w:cs="Arial"/>
      <w:kern w:val="2"/>
      <w:sz w:val="24"/>
      <w:szCs w:val="24"/>
      <w:lang w:val="en-CA" w:eastAsia="fr-BE"/>
    </w:rPr>
  </w:style>
  <w:style w:type="character" w:customStyle="1" w:styleId="Titre8Car">
    <w:name w:val="Titre 8 Car"/>
    <w:basedOn w:val="Policepardfaut"/>
    <w:link w:val="Titre8"/>
    <w:uiPriority w:val="9"/>
    <w:semiHidden/>
    <w:rsid w:val="00607CF3"/>
    <w:rPr>
      <w:rFonts w:eastAsiaTheme="minorEastAsia" w:cs="Arial"/>
      <w:i/>
      <w:iCs/>
      <w:kern w:val="2"/>
      <w:sz w:val="24"/>
      <w:szCs w:val="24"/>
      <w:lang w:val="en-CA" w:eastAsia="fr-BE"/>
    </w:rPr>
  </w:style>
  <w:style w:type="character" w:customStyle="1" w:styleId="Titre9Car">
    <w:name w:val="Titre 9 Car"/>
    <w:basedOn w:val="Policepardfaut"/>
    <w:link w:val="Titre9"/>
    <w:uiPriority w:val="9"/>
    <w:semiHidden/>
    <w:rsid w:val="00607CF3"/>
    <w:rPr>
      <w:rFonts w:asciiTheme="majorHAnsi" w:eastAsiaTheme="majorEastAsia" w:hAnsiTheme="majorHAnsi" w:cs="Times New Roman"/>
      <w:kern w:val="2"/>
      <w:lang w:val="en-CA" w:eastAsia="fr-BE"/>
    </w:rPr>
  </w:style>
  <w:style w:type="paragraph" w:customStyle="1" w:styleId="Style1">
    <w:name w:val="Style1"/>
    <w:basedOn w:val="Titre1"/>
    <w:link w:val="Style1Car"/>
    <w:qFormat/>
    <w:rsid w:val="00607CF3"/>
    <w:pPr>
      <w:numPr>
        <w:numId w:val="1"/>
      </w:numPr>
      <w:tabs>
        <w:tab w:val="num" w:pos="360"/>
      </w:tabs>
      <w:ind w:left="432" w:hanging="432"/>
    </w:pPr>
    <w:rPr>
      <w:b w:val="0"/>
      <w:sz w:val="24"/>
    </w:rPr>
  </w:style>
  <w:style w:type="character" w:customStyle="1" w:styleId="Style1Car">
    <w:name w:val="Style1 Car"/>
    <w:basedOn w:val="Titre1Car"/>
    <w:link w:val="Style1"/>
    <w:rsid w:val="00607CF3"/>
    <w:rPr>
      <w:rFonts w:asciiTheme="majorBidi" w:eastAsiaTheme="majorEastAsia" w:hAnsiTheme="majorBidi" w:cstheme="majorBidi"/>
      <w:b w:val="0"/>
      <w:kern w:val="2"/>
      <w:sz w:val="24"/>
      <w:szCs w:val="32"/>
      <w:lang w:val="en-CA" w:eastAsia="fr-BE"/>
    </w:rPr>
  </w:style>
  <w:style w:type="character" w:styleId="Lienhypertexte">
    <w:name w:val="Hyperlink"/>
    <w:basedOn w:val="Policepardfaut"/>
    <w:uiPriority w:val="99"/>
    <w:unhideWhenUsed/>
    <w:rsid w:val="00607CF3"/>
    <w:rPr>
      <w:rFonts w:cs="Times New Roman"/>
      <w:color w:val="0563C1"/>
      <w:u w:val="single"/>
    </w:rPr>
  </w:style>
  <w:style w:type="character" w:styleId="Marquedecommentaire">
    <w:name w:val="annotation reference"/>
    <w:basedOn w:val="Policepardfaut"/>
    <w:uiPriority w:val="99"/>
    <w:semiHidden/>
    <w:unhideWhenUsed/>
    <w:rsid w:val="00607CF3"/>
    <w:rPr>
      <w:rFonts w:cs="Times New Roman"/>
      <w:sz w:val="16"/>
      <w:szCs w:val="16"/>
    </w:rPr>
  </w:style>
  <w:style w:type="paragraph" w:styleId="Commentaire">
    <w:name w:val="annotation text"/>
    <w:basedOn w:val="Normal"/>
    <w:link w:val="CommentaireCar"/>
    <w:uiPriority w:val="99"/>
    <w:unhideWhenUsed/>
    <w:rsid w:val="00607CF3"/>
    <w:rPr>
      <w:sz w:val="20"/>
      <w:szCs w:val="20"/>
    </w:rPr>
  </w:style>
  <w:style w:type="character" w:customStyle="1" w:styleId="CommentaireCar">
    <w:name w:val="Commentaire Car"/>
    <w:basedOn w:val="Policepardfaut"/>
    <w:link w:val="Commentaire"/>
    <w:uiPriority w:val="99"/>
    <w:rsid w:val="00607CF3"/>
    <w:rPr>
      <w:rFonts w:eastAsiaTheme="minorEastAsia" w:cs="Arial"/>
      <w:kern w:val="2"/>
      <w:sz w:val="20"/>
      <w:szCs w:val="20"/>
      <w:lang w:val="en-CA" w:eastAsia="fr-BE"/>
    </w:rPr>
  </w:style>
  <w:style w:type="paragraph" w:styleId="En-tte">
    <w:name w:val="header"/>
    <w:basedOn w:val="Normal"/>
    <w:link w:val="En-tteCar"/>
    <w:uiPriority w:val="99"/>
    <w:unhideWhenUsed/>
    <w:rsid w:val="00607CF3"/>
    <w:pPr>
      <w:tabs>
        <w:tab w:val="center" w:pos="4536"/>
        <w:tab w:val="right" w:pos="9072"/>
      </w:tabs>
      <w:spacing w:after="0" w:line="240" w:lineRule="auto"/>
    </w:pPr>
  </w:style>
  <w:style w:type="character" w:customStyle="1" w:styleId="En-tteCar">
    <w:name w:val="En-tête Car"/>
    <w:basedOn w:val="Policepardfaut"/>
    <w:link w:val="En-tte"/>
    <w:uiPriority w:val="99"/>
    <w:rsid w:val="00607CF3"/>
    <w:rPr>
      <w:rFonts w:eastAsiaTheme="minorEastAsia" w:cs="Arial"/>
      <w:kern w:val="2"/>
      <w:lang w:val="en-CA" w:eastAsia="fr-BE"/>
    </w:rPr>
  </w:style>
  <w:style w:type="paragraph" w:styleId="Pieddepage">
    <w:name w:val="footer"/>
    <w:basedOn w:val="Normal"/>
    <w:link w:val="PieddepageCar"/>
    <w:uiPriority w:val="99"/>
    <w:unhideWhenUsed/>
    <w:rsid w:val="00607C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7CF3"/>
    <w:rPr>
      <w:rFonts w:eastAsiaTheme="minorEastAsia" w:cs="Arial"/>
      <w:kern w:val="2"/>
      <w:lang w:val="en-CA" w:eastAsia="fr-BE"/>
    </w:rPr>
  </w:style>
  <w:style w:type="character" w:styleId="Numrodeligne">
    <w:name w:val="line number"/>
    <w:basedOn w:val="Policepardfaut"/>
    <w:uiPriority w:val="99"/>
    <w:semiHidden/>
    <w:unhideWhenUsed/>
    <w:rsid w:val="00607CF3"/>
  </w:style>
  <w:style w:type="paragraph" w:styleId="Lgende">
    <w:name w:val="caption"/>
    <w:basedOn w:val="Normal"/>
    <w:next w:val="Normal"/>
    <w:uiPriority w:val="35"/>
    <w:unhideWhenUsed/>
    <w:qFormat/>
    <w:rsid w:val="00607CF3"/>
    <w:rPr>
      <w:b/>
      <w:bCs/>
      <w:sz w:val="20"/>
      <w:szCs w:val="20"/>
    </w:rPr>
  </w:style>
  <w:style w:type="table" w:styleId="Grilledetableauclaire">
    <w:name w:val="Grid Table Light"/>
    <w:basedOn w:val="TableauNormal"/>
    <w:uiPriority w:val="40"/>
    <w:rsid w:val="00607CF3"/>
    <w:pPr>
      <w:spacing w:after="0" w:line="240" w:lineRule="auto"/>
    </w:pPr>
    <w:rPr>
      <w:rFonts w:eastAsiaTheme="minorEastAsia" w:cs="Arial"/>
      <w:kern w:val="2"/>
      <w:lang w:val="fr-BE" w:eastAsia="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607CF3"/>
    <w:pPr>
      <w:spacing w:before="100" w:beforeAutospacing="1" w:after="100" w:afterAutospacing="1" w:line="240" w:lineRule="auto"/>
    </w:pPr>
    <w:rPr>
      <w:rFonts w:ascii="Times New Roman" w:hAnsi="Times New Roman" w:cs="Times New Roman"/>
      <w:kern w:val="0"/>
      <w:sz w:val="24"/>
      <w:szCs w:val="24"/>
    </w:rPr>
  </w:style>
  <w:style w:type="table" w:customStyle="1" w:styleId="Grilledetableauclaire1">
    <w:name w:val="Grille de tableau claire1"/>
    <w:basedOn w:val="TableauNormal"/>
    <w:next w:val="Grilledetableauclaire"/>
    <w:uiPriority w:val="40"/>
    <w:rsid w:val="00607CF3"/>
    <w:pPr>
      <w:spacing w:after="0" w:line="240" w:lineRule="auto"/>
    </w:pPr>
    <w:rPr>
      <w:rFonts w:eastAsiaTheme="minorEastAsia" w:cs="Arial"/>
      <w:kern w:val="2"/>
      <w:lang w:val="fr-BE" w:eastAsia="fr-B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lledetableauclaire2">
    <w:name w:val="Grille de tableau claire2"/>
    <w:basedOn w:val="TableauNormal"/>
    <w:next w:val="Grilledetableauclaire"/>
    <w:uiPriority w:val="40"/>
    <w:rsid w:val="00607CF3"/>
    <w:pPr>
      <w:spacing w:after="0" w:line="240" w:lineRule="auto"/>
    </w:pPr>
    <w:rPr>
      <w:rFonts w:eastAsiaTheme="minorEastAsia" w:cs="Arial"/>
      <w:kern w:val="2"/>
      <w:lang w:val="fr-BE" w:eastAsia="fr-B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Paragraphedeliste">
    <w:name w:val="List Paragraph"/>
    <w:basedOn w:val="Normal"/>
    <w:uiPriority w:val="34"/>
    <w:qFormat/>
    <w:rsid w:val="00607CF3"/>
    <w:pPr>
      <w:ind w:left="720"/>
      <w:contextualSpacing/>
    </w:pPr>
  </w:style>
  <w:style w:type="character" w:customStyle="1" w:styleId="katex-mathml">
    <w:name w:val="katex-mathml"/>
    <w:basedOn w:val="Policepardfaut"/>
    <w:rsid w:val="00607CF3"/>
  </w:style>
  <w:style w:type="character" w:customStyle="1" w:styleId="mord">
    <w:name w:val="mord"/>
    <w:basedOn w:val="Policepardfaut"/>
    <w:rsid w:val="00607CF3"/>
  </w:style>
  <w:style w:type="character" w:customStyle="1" w:styleId="overflow-hidden">
    <w:name w:val="overflow-hidden"/>
    <w:basedOn w:val="Policepardfaut"/>
    <w:rsid w:val="00607CF3"/>
  </w:style>
  <w:style w:type="character" w:customStyle="1" w:styleId="Mentionnonrsolue1">
    <w:name w:val="Mention non résolue1"/>
    <w:basedOn w:val="Policepardfaut"/>
    <w:uiPriority w:val="99"/>
    <w:semiHidden/>
    <w:unhideWhenUsed/>
    <w:rsid w:val="00607CF3"/>
    <w:rPr>
      <w:color w:val="605E5C"/>
      <w:shd w:val="clear" w:color="auto" w:fill="E1DFDD"/>
    </w:rPr>
  </w:style>
  <w:style w:type="character" w:customStyle="1" w:styleId="fontstyle01">
    <w:name w:val="fontstyle01"/>
    <w:basedOn w:val="Policepardfaut"/>
    <w:rsid w:val="00607CF3"/>
    <w:rPr>
      <w:rFonts w:ascii="Times-Roman" w:hAnsi="Times-Roman" w:hint="default"/>
      <w:b w:val="0"/>
      <w:bCs w:val="0"/>
      <w:i w:val="0"/>
      <w:iCs w:val="0"/>
      <w:color w:val="000000"/>
      <w:sz w:val="24"/>
      <w:szCs w:val="24"/>
    </w:rPr>
  </w:style>
  <w:style w:type="paragraph" w:styleId="Objetducommentaire">
    <w:name w:val="annotation subject"/>
    <w:basedOn w:val="Commentaire"/>
    <w:next w:val="Commentaire"/>
    <w:link w:val="ObjetducommentaireCar"/>
    <w:uiPriority w:val="99"/>
    <w:semiHidden/>
    <w:unhideWhenUsed/>
    <w:rsid w:val="00607CF3"/>
    <w:pPr>
      <w:spacing w:line="240" w:lineRule="auto"/>
    </w:pPr>
    <w:rPr>
      <w:b/>
      <w:bCs/>
    </w:rPr>
  </w:style>
  <w:style w:type="character" w:customStyle="1" w:styleId="ObjetducommentaireCar">
    <w:name w:val="Objet du commentaire Car"/>
    <w:basedOn w:val="CommentaireCar"/>
    <w:link w:val="Objetducommentaire"/>
    <w:uiPriority w:val="99"/>
    <w:semiHidden/>
    <w:rsid w:val="00607CF3"/>
    <w:rPr>
      <w:rFonts w:eastAsiaTheme="minorEastAsia" w:cs="Arial"/>
      <w:b/>
      <w:bCs/>
      <w:kern w:val="2"/>
      <w:sz w:val="20"/>
      <w:szCs w:val="20"/>
      <w:lang w:val="en-CA" w:eastAsia="fr-BE"/>
    </w:rPr>
  </w:style>
  <w:style w:type="table" w:styleId="Grilledutableau">
    <w:name w:val="Table Grid"/>
    <w:basedOn w:val="TableauNormal"/>
    <w:uiPriority w:val="39"/>
    <w:rsid w:val="00607CF3"/>
    <w:pPr>
      <w:spacing w:after="0" w:line="240" w:lineRule="auto"/>
    </w:pPr>
    <w:rPr>
      <w:kern w:val="2"/>
      <w:lang w:val="fr-B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607CF3"/>
    <w:rPr>
      <w:color w:val="954F72" w:themeColor="followedHyperlink"/>
      <w:u w:val="single"/>
    </w:rPr>
  </w:style>
  <w:style w:type="paragraph" w:styleId="Titre">
    <w:name w:val="Title"/>
    <w:basedOn w:val="Normal"/>
    <w:next w:val="Normal"/>
    <w:link w:val="TitreCar"/>
    <w:uiPriority w:val="10"/>
    <w:qFormat/>
    <w:rsid w:val="00607CF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607CF3"/>
    <w:rPr>
      <w:rFonts w:asciiTheme="majorHAnsi" w:eastAsiaTheme="majorEastAsia" w:hAnsiTheme="majorHAnsi" w:cstheme="majorBidi"/>
      <w:spacing w:val="-10"/>
      <w:kern w:val="28"/>
      <w:sz w:val="56"/>
      <w:szCs w:val="56"/>
      <w:lang w:val="en-CA"/>
      <w14:ligatures w14:val="standardContextual"/>
    </w:rPr>
  </w:style>
  <w:style w:type="paragraph" w:styleId="Sous-titre">
    <w:name w:val="Subtitle"/>
    <w:basedOn w:val="Normal"/>
    <w:next w:val="Normal"/>
    <w:link w:val="Sous-titreCar"/>
    <w:uiPriority w:val="11"/>
    <w:qFormat/>
    <w:rsid w:val="00607CF3"/>
    <w:pPr>
      <w:numPr>
        <w:ilvl w:val="1"/>
      </w:numPr>
    </w:pPr>
    <w:rPr>
      <w:rFonts w:eastAsiaTheme="majorEastAsia" w:cstheme="majorBidi"/>
      <w:color w:val="595959" w:themeColor="text1" w:themeTint="A6"/>
      <w:spacing w:val="15"/>
      <w:sz w:val="28"/>
      <w:szCs w:val="28"/>
      <w:lang w:eastAsia="en-US"/>
      <w14:ligatures w14:val="standardContextual"/>
    </w:rPr>
  </w:style>
  <w:style w:type="character" w:customStyle="1" w:styleId="Sous-titreCar">
    <w:name w:val="Sous-titre Car"/>
    <w:basedOn w:val="Policepardfaut"/>
    <w:link w:val="Sous-titre"/>
    <w:uiPriority w:val="11"/>
    <w:rsid w:val="00607CF3"/>
    <w:rPr>
      <w:rFonts w:eastAsiaTheme="majorEastAsia" w:cstheme="majorBidi"/>
      <w:color w:val="595959" w:themeColor="text1" w:themeTint="A6"/>
      <w:spacing w:val="15"/>
      <w:kern w:val="2"/>
      <w:sz w:val="28"/>
      <w:szCs w:val="28"/>
      <w:lang w:val="en-CA"/>
      <w14:ligatures w14:val="standardContextual"/>
    </w:rPr>
  </w:style>
  <w:style w:type="paragraph" w:styleId="Citation">
    <w:name w:val="Quote"/>
    <w:basedOn w:val="Normal"/>
    <w:next w:val="Normal"/>
    <w:link w:val="CitationCar"/>
    <w:uiPriority w:val="29"/>
    <w:qFormat/>
    <w:rsid w:val="00607CF3"/>
    <w:pPr>
      <w:spacing w:before="160"/>
      <w:jc w:val="center"/>
    </w:pPr>
    <w:rPr>
      <w:rFonts w:eastAsiaTheme="minorHAnsi" w:cstheme="minorBidi"/>
      <w:i/>
      <w:iCs/>
      <w:color w:val="404040" w:themeColor="text1" w:themeTint="BF"/>
      <w:lang w:eastAsia="en-US"/>
      <w14:ligatures w14:val="standardContextual"/>
    </w:rPr>
  </w:style>
  <w:style w:type="character" w:customStyle="1" w:styleId="CitationCar">
    <w:name w:val="Citation Car"/>
    <w:basedOn w:val="Policepardfaut"/>
    <w:link w:val="Citation"/>
    <w:uiPriority w:val="29"/>
    <w:rsid w:val="00607CF3"/>
    <w:rPr>
      <w:i/>
      <w:iCs/>
      <w:color w:val="404040" w:themeColor="text1" w:themeTint="BF"/>
      <w:kern w:val="2"/>
      <w:lang w:val="en-CA"/>
      <w14:ligatures w14:val="standardContextual"/>
    </w:rPr>
  </w:style>
  <w:style w:type="character" w:styleId="Accentuationintense">
    <w:name w:val="Intense Emphasis"/>
    <w:basedOn w:val="Policepardfaut"/>
    <w:uiPriority w:val="21"/>
    <w:qFormat/>
    <w:rsid w:val="00607CF3"/>
    <w:rPr>
      <w:i/>
      <w:iCs/>
      <w:color w:val="2E74B5" w:themeColor="accent1" w:themeShade="BF"/>
    </w:rPr>
  </w:style>
  <w:style w:type="paragraph" w:styleId="Citationintense">
    <w:name w:val="Intense Quote"/>
    <w:basedOn w:val="Normal"/>
    <w:next w:val="Normal"/>
    <w:link w:val="CitationintenseCar"/>
    <w:uiPriority w:val="30"/>
    <w:qFormat/>
    <w:rsid w:val="00607CF3"/>
    <w:pPr>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cstheme="minorBidi"/>
      <w:i/>
      <w:iCs/>
      <w:color w:val="2E74B5" w:themeColor="accent1" w:themeShade="BF"/>
      <w:lang w:eastAsia="en-US"/>
      <w14:ligatures w14:val="standardContextual"/>
    </w:rPr>
  </w:style>
  <w:style w:type="character" w:customStyle="1" w:styleId="CitationintenseCar">
    <w:name w:val="Citation intense Car"/>
    <w:basedOn w:val="Policepardfaut"/>
    <w:link w:val="Citationintense"/>
    <w:uiPriority w:val="30"/>
    <w:rsid w:val="00607CF3"/>
    <w:rPr>
      <w:i/>
      <w:iCs/>
      <w:color w:val="2E74B5" w:themeColor="accent1" w:themeShade="BF"/>
      <w:kern w:val="2"/>
      <w:lang w:val="en-CA"/>
      <w14:ligatures w14:val="standardContextual"/>
    </w:rPr>
  </w:style>
  <w:style w:type="character" w:styleId="Rfrenceintense">
    <w:name w:val="Intense Reference"/>
    <w:basedOn w:val="Policepardfaut"/>
    <w:uiPriority w:val="32"/>
    <w:qFormat/>
    <w:rsid w:val="00607CF3"/>
    <w:rPr>
      <w:b/>
      <w:bCs/>
      <w:smallCaps/>
      <w:color w:val="2E74B5" w:themeColor="accent1" w:themeShade="BF"/>
      <w:spacing w:val="5"/>
    </w:rPr>
  </w:style>
  <w:style w:type="paragraph" w:styleId="Rvision">
    <w:name w:val="Revision"/>
    <w:hidden/>
    <w:uiPriority w:val="99"/>
    <w:semiHidden/>
    <w:rsid w:val="00607CF3"/>
    <w:pPr>
      <w:spacing w:after="0" w:line="240" w:lineRule="auto"/>
    </w:pPr>
    <w:rPr>
      <w:rFonts w:eastAsiaTheme="minorEastAsia" w:cs="Arial"/>
      <w:kern w:val="2"/>
      <w:lang w:val="fr-BE" w:eastAsia="fr-BE"/>
    </w:rPr>
  </w:style>
  <w:style w:type="character" w:customStyle="1" w:styleId="Mentionnonrsolue2">
    <w:name w:val="Mention non résolue2"/>
    <w:basedOn w:val="Policepardfaut"/>
    <w:uiPriority w:val="99"/>
    <w:semiHidden/>
    <w:unhideWhenUsed/>
    <w:rsid w:val="00607CF3"/>
    <w:rPr>
      <w:color w:val="605E5C"/>
      <w:shd w:val="clear" w:color="auto" w:fill="E1DFDD"/>
    </w:rPr>
  </w:style>
  <w:style w:type="paragraph" w:styleId="Textedebulles">
    <w:name w:val="Balloon Text"/>
    <w:basedOn w:val="Normal"/>
    <w:link w:val="TextedebullesCar"/>
    <w:uiPriority w:val="99"/>
    <w:semiHidden/>
    <w:unhideWhenUsed/>
    <w:rsid w:val="00607CF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07CF3"/>
    <w:rPr>
      <w:rFonts w:ascii="Segoe UI" w:eastAsiaTheme="minorEastAsia" w:hAnsi="Segoe UI" w:cs="Segoe UI"/>
      <w:kern w:val="2"/>
      <w:sz w:val="18"/>
      <w:szCs w:val="18"/>
      <w:lang w:val="en-CA" w:eastAsia="fr-BE"/>
    </w:rPr>
  </w:style>
  <w:style w:type="character" w:customStyle="1" w:styleId="Mentionnonrsolue3">
    <w:name w:val="Mention non résolue3"/>
    <w:basedOn w:val="Policepardfaut"/>
    <w:uiPriority w:val="99"/>
    <w:semiHidden/>
    <w:unhideWhenUsed/>
    <w:rsid w:val="00607CF3"/>
    <w:rPr>
      <w:color w:val="605E5C"/>
      <w:shd w:val="clear" w:color="auto" w:fill="E1DFDD"/>
    </w:rPr>
  </w:style>
  <w:style w:type="character" w:customStyle="1" w:styleId="Mencinsinresolver1">
    <w:name w:val="Mención sin resolver1"/>
    <w:basedOn w:val="Policepardfaut"/>
    <w:uiPriority w:val="99"/>
    <w:semiHidden/>
    <w:unhideWhenUsed/>
    <w:rsid w:val="00607CF3"/>
    <w:rPr>
      <w:color w:val="605E5C"/>
      <w:shd w:val="clear" w:color="auto" w:fill="E1DFDD"/>
    </w:rPr>
  </w:style>
  <w:style w:type="character" w:styleId="Textedelespacerserv">
    <w:name w:val="Placeholder Text"/>
    <w:basedOn w:val="Policepardfaut"/>
    <w:uiPriority w:val="99"/>
    <w:semiHidden/>
    <w:rsid w:val="00607CF3"/>
    <w:rPr>
      <w:color w:val="666666"/>
    </w:rPr>
  </w:style>
  <w:style w:type="paragraph" w:customStyle="1" w:styleId="msonormal0">
    <w:name w:val="msonormal"/>
    <w:basedOn w:val="Normal"/>
    <w:rsid w:val="00607CF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font5">
    <w:name w:val="font5"/>
    <w:basedOn w:val="Normal"/>
    <w:rsid w:val="00607CF3"/>
    <w:pPr>
      <w:spacing w:before="100" w:beforeAutospacing="1" w:after="100" w:afterAutospacing="1" w:line="240" w:lineRule="auto"/>
    </w:pPr>
    <w:rPr>
      <w:rFonts w:ascii="Times New Roman" w:eastAsia="Times New Roman" w:hAnsi="Times New Roman" w:cs="Times New Roman"/>
      <w:color w:val="000000"/>
      <w:kern w:val="0"/>
      <w:sz w:val="20"/>
      <w:szCs w:val="20"/>
    </w:rPr>
  </w:style>
  <w:style w:type="paragraph" w:customStyle="1" w:styleId="font6">
    <w:name w:val="font6"/>
    <w:basedOn w:val="Normal"/>
    <w:rsid w:val="00607CF3"/>
    <w:pPr>
      <w:spacing w:before="100" w:beforeAutospacing="1" w:after="100" w:afterAutospacing="1" w:line="240" w:lineRule="auto"/>
    </w:pPr>
    <w:rPr>
      <w:rFonts w:ascii="Times New Roman" w:eastAsia="Times New Roman" w:hAnsi="Times New Roman" w:cs="Times New Roman"/>
      <w:color w:val="000000"/>
      <w:kern w:val="0"/>
      <w:sz w:val="20"/>
      <w:szCs w:val="20"/>
    </w:rPr>
  </w:style>
  <w:style w:type="paragraph" w:customStyle="1" w:styleId="xl63">
    <w:name w:val="xl63"/>
    <w:basedOn w:val="Normal"/>
    <w:rsid w:val="00607CF3"/>
    <w:pPr>
      <w:pBdr>
        <w:top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64">
    <w:name w:val="xl64"/>
    <w:basedOn w:val="Normal"/>
    <w:rsid w:val="00607CF3"/>
    <w:pPr>
      <w:pBdr>
        <w:bottom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65">
    <w:name w:val="xl65"/>
    <w:basedOn w:val="Normal"/>
    <w:rsid w:val="00607CF3"/>
    <w:pP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66">
    <w:name w:val="xl66"/>
    <w:basedOn w:val="Normal"/>
    <w:rsid w:val="00607CF3"/>
    <w:pPr>
      <w:spacing w:before="100" w:beforeAutospacing="1" w:after="100" w:afterAutospacing="1" w:line="240" w:lineRule="auto"/>
    </w:pPr>
    <w:rPr>
      <w:rFonts w:ascii="Times New Roman" w:eastAsia="Times New Roman" w:hAnsi="Times New Roman" w:cs="Times New Roman"/>
      <w:kern w:val="0"/>
      <w:sz w:val="20"/>
      <w:szCs w:val="20"/>
    </w:rPr>
  </w:style>
  <w:style w:type="paragraph" w:customStyle="1" w:styleId="xl67">
    <w:name w:val="xl67"/>
    <w:basedOn w:val="Normal"/>
    <w:rsid w:val="00607CF3"/>
    <w:pPr>
      <w:pBdr>
        <w:bottom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68">
    <w:name w:val="xl68"/>
    <w:basedOn w:val="Normal"/>
    <w:rsid w:val="00607CF3"/>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69">
    <w:name w:val="xl69"/>
    <w:basedOn w:val="Normal"/>
    <w:rsid w:val="00607CF3"/>
    <w:pPr>
      <w:shd w:val="clear" w:color="000000" w:fill="FFFF00"/>
      <w:spacing w:before="100" w:beforeAutospacing="1" w:after="100" w:afterAutospacing="1" w:line="240" w:lineRule="auto"/>
    </w:pPr>
    <w:rPr>
      <w:rFonts w:ascii="Times New Roman" w:eastAsia="Times New Roman" w:hAnsi="Times New Roman" w:cs="Times New Roman"/>
      <w:kern w:val="0"/>
      <w:sz w:val="20"/>
      <w:szCs w:val="20"/>
    </w:rPr>
  </w:style>
  <w:style w:type="paragraph" w:customStyle="1" w:styleId="xl70">
    <w:name w:val="xl70"/>
    <w:basedOn w:val="Normal"/>
    <w:rsid w:val="00607CF3"/>
    <w:pPr>
      <w:pBdr>
        <w:top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0"/>
      <w:szCs w:val="20"/>
    </w:rPr>
  </w:style>
  <w:style w:type="paragraph" w:customStyle="1" w:styleId="xl71">
    <w:name w:val="xl71"/>
    <w:basedOn w:val="Normal"/>
    <w:rsid w:val="00607CF3"/>
    <w:pPr>
      <w:pBdr>
        <w:top w:val="single" w:sz="12"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72">
    <w:name w:val="xl72"/>
    <w:basedOn w:val="Normal"/>
    <w:rsid w:val="00607CF3"/>
    <w:pPr>
      <w:pBdr>
        <w:bottom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0"/>
      <w:szCs w:val="20"/>
    </w:rPr>
  </w:style>
  <w:style w:type="paragraph" w:customStyle="1" w:styleId="xl73">
    <w:name w:val="xl73"/>
    <w:basedOn w:val="Normal"/>
    <w:rsid w:val="00607CF3"/>
    <w:pPr>
      <w:pBdr>
        <w:bottom w:val="single" w:sz="12"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kern w:val="0"/>
      <w:sz w:val="20"/>
      <w:szCs w:val="20"/>
    </w:rPr>
  </w:style>
  <w:style w:type="paragraph" w:customStyle="1" w:styleId="xl74">
    <w:name w:val="xl74"/>
    <w:basedOn w:val="Normal"/>
    <w:rsid w:val="00607CF3"/>
    <w:pP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rPr>
  </w:style>
  <w:style w:type="paragraph" w:customStyle="1" w:styleId="xl75">
    <w:name w:val="xl75"/>
    <w:basedOn w:val="Normal"/>
    <w:rsid w:val="00607CF3"/>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76">
    <w:name w:val="xl76"/>
    <w:basedOn w:val="Normal"/>
    <w:rsid w:val="00607CF3"/>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rPr>
  </w:style>
  <w:style w:type="paragraph" w:customStyle="1" w:styleId="xl77">
    <w:name w:val="xl77"/>
    <w:basedOn w:val="Normal"/>
    <w:rsid w:val="00607CF3"/>
    <w:pP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rPr>
  </w:style>
  <w:style w:type="character" w:customStyle="1" w:styleId="whitespace-nowrap">
    <w:name w:val="whitespace-nowrap!"/>
    <w:basedOn w:val="Policepardfaut"/>
    <w:rsid w:val="00607CF3"/>
  </w:style>
  <w:style w:type="character" w:styleId="lev">
    <w:name w:val="Strong"/>
    <w:basedOn w:val="Policepardfaut"/>
    <w:uiPriority w:val="22"/>
    <w:qFormat/>
    <w:rsid w:val="00607CF3"/>
    <w:rPr>
      <w:b/>
      <w:bCs/>
    </w:rPr>
  </w:style>
  <w:style w:type="paragraph" w:customStyle="1" w:styleId="ds-markdown-paragraph">
    <w:name w:val="ds-markdown-paragraph"/>
    <w:basedOn w:val="Normal"/>
    <w:rsid w:val="00607CF3"/>
    <w:pPr>
      <w:spacing w:before="100" w:beforeAutospacing="1" w:after="100" w:afterAutospacing="1" w:line="240" w:lineRule="auto"/>
    </w:pPr>
    <w:rPr>
      <w:rFonts w:ascii="Times New Roman" w:eastAsia="Times New Roman" w:hAnsi="Times New Roman" w:cs="Times New Roman"/>
      <w:kern w:val="0"/>
      <w:sz w:val="24"/>
      <w:szCs w:val="24"/>
      <w:lang w:val="en-US" w:eastAsia="en-US"/>
    </w:rPr>
  </w:style>
  <w:style w:type="character" w:styleId="Accentuation">
    <w:name w:val="Emphasis"/>
    <w:basedOn w:val="Policepardfaut"/>
    <w:uiPriority w:val="20"/>
    <w:qFormat/>
    <w:rsid w:val="00607CF3"/>
    <w:rPr>
      <w:i/>
      <w:iCs/>
    </w:rPr>
  </w:style>
  <w:style w:type="character" w:customStyle="1" w:styleId="Mentionnonrsolue4">
    <w:name w:val="Mention non résolue4"/>
    <w:basedOn w:val="Policepardfaut"/>
    <w:uiPriority w:val="99"/>
    <w:semiHidden/>
    <w:unhideWhenUsed/>
    <w:rsid w:val="00607CF3"/>
    <w:rPr>
      <w:color w:val="605E5C"/>
      <w:shd w:val="clear" w:color="auto" w:fill="E1DFDD"/>
    </w:rPr>
  </w:style>
  <w:style w:type="character" w:customStyle="1" w:styleId="vlist-s">
    <w:name w:val="vlist-s"/>
    <w:basedOn w:val="Policepardfaut"/>
    <w:rsid w:val="00607CF3"/>
  </w:style>
  <w:style w:type="character" w:customStyle="1" w:styleId="mrel">
    <w:name w:val="mrel"/>
    <w:basedOn w:val="Policepardfaut"/>
    <w:rsid w:val="00607CF3"/>
  </w:style>
  <w:style w:type="character" w:customStyle="1" w:styleId="mopen">
    <w:name w:val="mopen"/>
    <w:basedOn w:val="Policepardfaut"/>
    <w:rsid w:val="00607CF3"/>
  </w:style>
  <w:style w:type="character" w:customStyle="1" w:styleId="mclose">
    <w:name w:val="mclose"/>
    <w:basedOn w:val="Policepardfaut"/>
    <w:rsid w:val="00607CF3"/>
  </w:style>
  <w:style w:type="character" w:customStyle="1" w:styleId="mbin">
    <w:name w:val="mbin"/>
    <w:basedOn w:val="Policepardfaut"/>
    <w:rsid w:val="00607CF3"/>
  </w:style>
  <w:style w:type="character" w:customStyle="1" w:styleId="mop">
    <w:name w:val="mop"/>
    <w:basedOn w:val="Policepardfaut"/>
    <w:rsid w:val="00607CF3"/>
  </w:style>
  <w:style w:type="character" w:customStyle="1" w:styleId="delimsizing">
    <w:name w:val="delimsizing"/>
    <w:basedOn w:val="Policepardfaut"/>
    <w:rsid w:val="00607CF3"/>
  </w:style>
  <w:style w:type="character" w:customStyle="1" w:styleId="minner">
    <w:name w:val="minner"/>
    <w:basedOn w:val="Policepardfaut"/>
    <w:rsid w:val="00607CF3"/>
  </w:style>
  <w:style w:type="character" w:styleId="Mentionnonrsolue">
    <w:name w:val="Unresolved Mention"/>
    <w:basedOn w:val="Policepardfaut"/>
    <w:uiPriority w:val="99"/>
    <w:semiHidden/>
    <w:unhideWhenUsed/>
    <w:rsid w:val="00924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19487">
      <w:bodyDiv w:val="1"/>
      <w:marLeft w:val="0"/>
      <w:marRight w:val="0"/>
      <w:marTop w:val="0"/>
      <w:marBottom w:val="0"/>
      <w:divBdr>
        <w:top w:val="none" w:sz="0" w:space="0" w:color="auto"/>
        <w:left w:val="none" w:sz="0" w:space="0" w:color="auto"/>
        <w:bottom w:val="none" w:sz="0" w:space="0" w:color="auto"/>
        <w:right w:val="none" w:sz="0" w:space="0" w:color="auto"/>
      </w:divBdr>
    </w:div>
    <w:div w:id="2088724239">
      <w:bodyDiv w:val="1"/>
      <w:marLeft w:val="0"/>
      <w:marRight w:val="0"/>
      <w:marTop w:val="0"/>
      <w:marBottom w:val="0"/>
      <w:divBdr>
        <w:top w:val="none" w:sz="0" w:space="0" w:color="auto"/>
        <w:left w:val="none" w:sz="0" w:space="0" w:color="auto"/>
        <w:bottom w:val="none" w:sz="0" w:space="0" w:color="auto"/>
        <w:right w:val="none" w:sz="0" w:space="0" w:color="auto"/>
      </w:divBdr>
      <w:divsChild>
        <w:div w:id="159472673">
          <w:marLeft w:val="0"/>
          <w:marRight w:val="0"/>
          <w:marTop w:val="0"/>
          <w:marBottom w:val="0"/>
          <w:divBdr>
            <w:top w:val="none" w:sz="0" w:space="0" w:color="auto"/>
            <w:left w:val="none" w:sz="0" w:space="0" w:color="auto"/>
            <w:bottom w:val="none" w:sz="0" w:space="0" w:color="auto"/>
            <w:right w:val="none" w:sz="0" w:space="0" w:color="auto"/>
          </w:divBdr>
        </w:div>
        <w:div w:id="17630972">
          <w:marLeft w:val="0"/>
          <w:marRight w:val="0"/>
          <w:marTop w:val="0"/>
          <w:marBottom w:val="0"/>
          <w:divBdr>
            <w:top w:val="none" w:sz="0" w:space="0" w:color="auto"/>
            <w:left w:val="none" w:sz="0" w:space="0" w:color="auto"/>
            <w:bottom w:val="none" w:sz="0" w:space="0" w:color="auto"/>
            <w:right w:val="none" w:sz="0" w:space="0" w:color="auto"/>
          </w:divBdr>
        </w:div>
        <w:div w:id="19745060">
          <w:marLeft w:val="0"/>
          <w:marRight w:val="0"/>
          <w:marTop w:val="0"/>
          <w:marBottom w:val="0"/>
          <w:divBdr>
            <w:top w:val="none" w:sz="0" w:space="0" w:color="auto"/>
            <w:left w:val="none" w:sz="0" w:space="0" w:color="auto"/>
            <w:bottom w:val="none" w:sz="0" w:space="0" w:color="auto"/>
            <w:right w:val="none" w:sz="0" w:space="0" w:color="auto"/>
          </w:divBdr>
        </w:div>
        <w:div w:id="2072534174">
          <w:marLeft w:val="0"/>
          <w:marRight w:val="0"/>
          <w:marTop w:val="0"/>
          <w:marBottom w:val="0"/>
          <w:divBdr>
            <w:top w:val="none" w:sz="0" w:space="0" w:color="auto"/>
            <w:left w:val="none" w:sz="0" w:space="0" w:color="auto"/>
            <w:bottom w:val="none" w:sz="0" w:space="0" w:color="auto"/>
            <w:right w:val="none" w:sz="0" w:space="0" w:color="auto"/>
          </w:divBdr>
        </w:div>
        <w:div w:id="979070880">
          <w:marLeft w:val="0"/>
          <w:marRight w:val="0"/>
          <w:marTop w:val="0"/>
          <w:marBottom w:val="0"/>
          <w:divBdr>
            <w:top w:val="none" w:sz="0" w:space="0" w:color="auto"/>
            <w:left w:val="none" w:sz="0" w:space="0" w:color="auto"/>
            <w:bottom w:val="none" w:sz="0" w:space="0" w:color="auto"/>
            <w:right w:val="none" w:sz="0" w:space="0" w:color="auto"/>
          </w:divBdr>
        </w:div>
        <w:div w:id="2063089635">
          <w:marLeft w:val="0"/>
          <w:marRight w:val="0"/>
          <w:marTop w:val="0"/>
          <w:marBottom w:val="0"/>
          <w:divBdr>
            <w:top w:val="none" w:sz="0" w:space="0" w:color="auto"/>
            <w:left w:val="none" w:sz="0" w:space="0" w:color="auto"/>
            <w:bottom w:val="none" w:sz="0" w:space="0" w:color="auto"/>
            <w:right w:val="none" w:sz="0" w:space="0" w:color="auto"/>
          </w:divBdr>
        </w:div>
        <w:div w:id="2039500772">
          <w:marLeft w:val="0"/>
          <w:marRight w:val="0"/>
          <w:marTop w:val="0"/>
          <w:marBottom w:val="0"/>
          <w:divBdr>
            <w:top w:val="none" w:sz="0" w:space="0" w:color="auto"/>
            <w:left w:val="none" w:sz="0" w:space="0" w:color="auto"/>
            <w:bottom w:val="none" w:sz="0" w:space="0" w:color="auto"/>
            <w:right w:val="none" w:sz="0" w:space="0" w:color="auto"/>
          </w:divBdr>
        </w:div>
        <w:div w:id="128788541">
          <w:marLeft w:val="0"/>
          <w:marRight w:val="0"/>
          <w:marTop w:val="0"/>
          <w:marBottom w:val="0"/>
          <w:divBdr>
            <w:top w:val="none" w:sz="0" w:space="0" w:color="auto"/>
            <w:left w:val="none" w:sz="0" w:space="0" w:color="auto"/>
            <w:bottom w:val="none" w:sz="0" w:space="0" w:color="auto"/>
            <w:right w:val="none" w:sz="0" w:space="0" w:color="auto"/>
          </w:divBdr>
        </w:div>
        <w:div w:id="1247769205">
          <w:marLeft w:val="0"/>
          <w:marRight w:val="0"/>
          <w:marTop w:val="0"/>
          <w:marBottom w:val="0"/>
          <w:divBdr>
            <w:top w:val="none" w:sz="0" w:space="0" w:color="auto"/>
            <w:left w:val="none" w:sz="0" w:space="0" w:color="auto"/>
            <w:bottom w:val="none" w:sz="0" w:space="0" w:color="auto"/>
            <w:right w:val="none" w:sz="0" w:space="0" w:color="auto"/>
          </w:divBdr>
        </w:div>
        <w:div w:id="209997527">
          <w:marLeft w:val="0"/>
          <w:marRight w:val="0"/>
          <w:marTop w:val="0"/>
          <w:marBottom w:val="0"/>
          <w:divBdr>
            <w:top w:val="none" w:sz="0" w:space="0" w:color="auto"/>
            <w:left w:val="none" w:sz="0" w:space="0" w:color="auto"/>
            <w:bottom w:val="none" w:sz="0" w:space="0" w:color="auto"/>
            <w:right w:val="none" w:sz="0" w:space="0" w:color="auto"/>
          </w:divBdr>
        </w:div>
        <w:div w:id="700400131">
          <w:marLeft w:val="0"/>
          <w:marRight w:val="0"/>
          <w:marTop w:val="0"/>
          <w:marBottom w:val="0"/>
          <w:divBdr>
            <w:top w:val="none" w:sz="0" w:space="0" w:color="auto"/>
            <w:left w:val="none" w:sz="0" w:space="0" w:color="auto"/>
            <w:bottom w:val="none" w:sz="0" w:space="0" w:color="auto"/>
            <w:right w:val="none" w:sz="0" w:space="0" w:color="auto"/>
          </w:divBdr>
        </w:div>
        <w:div w:id="1998923823">
          <w:marLeft w:val="0"/>
          <w:marRight w:val="0"/>
          <w:marTop w:val="0"/>
          <w:marBottom w:val="0"/>
          <w:divBdr>
            <w:top w:val="none" w:sz="0" w:space="0" w:color="auto"/>
            <w:left w:val="none" w:sz="0" w:space="0" w:color="auto"/>
            <w:bottom w:val="none" w:sz="0" w:space="0" w:color="auto"/>
            <w:right w:val="none" w:sz="0" w:space="0" w:color="auto"/>
          </w:divBdr>
        </w:div>
        <w:div w:id="846558981">
          <w:marLeft w:val="0"/>
          <w:marRight w:val="0"/>
          <w:marTop w:val="0"/>
          <w:marBottom w:val="0"/>
          <w:divBdr>
            <w:top w:val="none" w:sz="0" w:space="0" w:color="auto"/>
            <w:left w:val="none" w:sz="0" w:space="0" w:color="auto"/>
            <w:bottom w:val="none" w:sz="0" w:space="0" w:color="auto"/>
            <w:right w:val="none" w:sz="0" w:space="0" w:color="auto"/>
          </w:divBdr>
        </w:div>
        <w:div w:id="443118368">
          <w:marLeft w:val="0"/>
          <w:marRight w:val="0"/>
          <w:marTop w:val="0"/>
          <w:marBottom w:val="0"/>
          <w:divBdr>
            <w:top w:val="none" w:sz="0" w:space="0" w:color="auto"/>
            <w:left w:val="none" w:sz="0" w:space="0" w:color="auto"/>
            <w:bottom w:val="none" w:sz="0" w:space="0" w:color="auto"/>
            <w:right w:val="none" w:sz="0" w:space="0" w:color="auto"/>
          </w:divBdr>
        </w:div>
        <w:div w:id="1180780715">
          <w:marLeft w:val="0"/>
          <w:marRight w:val="0"/>
          <w:marTop w:val="0"/>
          <w:marBottom w:val="0"/>
          <w:divBdr>
            <w:top w:val="none" w:sz="0" w:space="0" w:color="auto"/>
            <w:left w:val="none" w:sz="0" w:space="0" w:color="auto"/>
            <w:bottom w:val="none" w:sz="0" w:space="0" w:color="auto"/>
            <w:right w:val="none" w:sz="0" w:space="0" w:color="auto"/>
          </w:divBdr>
        </w:div>
        <w:div w:id="1887057709">
          <w:marLeft w:val="0"/>
          <w:marRight w:val="0"/>
          <w:marTop w:val="0"/>
          <w:marBottom w:val="0"/>
          <w:divBdr>
            <w:top w:val="none" w:sz="0" w:space="0" w:color="auto"/>
            <w:left w:val="none" w:sz="0" w:space="0" w:color="auto"/>
            <w:bottom w:val="none" w:sz="0" w:space="0" w:color="auto"/>
            <w:right w:val="none" w:sz="0" w:space="0" w:color="auto"/>
          </w:divBdr>
        </w:div>
        <w:div w:id="1664897516">
          <w:marLeft w:val="0"/>
          <w:marRight w:val="0"/>
          <w:marTop w:val="0"/>
          <w:marBottom w:val="0"/>
          <w:divBdr>
            <w:top w:val="none" w:sz="0" w:space="0" w:color="auto"/>
            <w:left w:val="none" w:sz="0" w:space="0" w:color="auto"/>
            <w:bottom w:val="none" w:sz="0" w:space="0" w:color="auto"/>
            <w:right w:val="none" w:sz="0" w:space="0" w:color="auto"/>
          </w:divBdr>
        </w:div>
        <w:div w:id="1746150022">
          <w:marLeft w:val="0"/>
          <w:marRight w:val="0"/>
          <w:marTop w:val="0"/>
          <w:marBottom w:val="0"/>
          <w:divBdr>
            <w:top w:val="none" w:sz="0" w:space="0" w:color="auto"/>
            <w:left w:val="none" w:sz="0" w:space="0" w:color="auto"/>
            <w:bottom w:val="none" w:sz="0" w:space="0" w:color="auto"/>
            <w:right w:val="none" w:sz="0" w:space="0" w:color="auto"/>
          </w:divBdr>
        </w:div>
        <w:div w:id="205024334">
          <w:marLeft w:val="0"/>
          <w:marRight w:val="0"/>
          <w:marTop w:val="0"/>
          <w:marBottom w:val="0"/>
          <w:divBdr>
            <w:top w:val="none" w:sz="0" w:space="0" w:color="auto"/>
            <w:left w:val="none" w:sz="0" w:space="0" w:color="auto"/>
            <w:bottom w:val="none" w:sz="0" w:space="0" w:color="auto"/>
            <w:right w:val="none" w:sz="0" w:space="0" w:color="auto"/>
          </w:divBdr>
        </w:div>
        <w:div w:id="537739945">
          <w:marLeft w:val="0"/>
          <w:marRight w:val="0"/>
          <w:marTop w:val="0"/>
          <w:marBottom w:val="0"/>
          <w:divBdr>
            <w:top w:val="none" w:sz="0" w:space="0" w:color="auto"/>
            <w:left w:val="none" w:sz="0" w:space="0" w:color="auto"/>
            <w:bottom w:val="none" w:sz="0" w:space="0" w:color="auto"/>
            <w:right w:val="none" w:sz="0" w:space="0" w:color="auto"/>
          </w:divBdr>
        </w:div>
        <w:div w:id="1584299247">
          <w:marLeft w:val="0"/>
          <w:marRight w:val="0"/>
          <w:marTop w:val="0"/>
          <w:marBottom w:val="0"/>
          <w:divBdr>
            <w:top w:val="none" w:sz="0" w:space="0" w:color="auto"/>
            <w:left w:val="none" w:sz="0" w:space="0" w:color="auto"/>
            <w:bottom w:val="none" w:sz="0" w:space="0" w:color="auto"/>
            <w:right w:val="none" w:sz="0" w:space="0" w:color="auto"/>
          </w:divBdr>
        </w:div>
        <w:div w:id="65760909">
          <w:marLeft w:val="0"/>
          <w:marRight w:val="0"/>
          <w:marTop w:val="0"/>
          <w:marBottom w:val="0"/>
          <w:divBdr>
            <w:top w:val="none" w:sz="0" w:space="0" w:color="auto"/>
            <w:left w:val="none" w:sz="0" w:space="0" w:color="auto"/>
            <w:bottom w:val="none" w:sz="0" w:space="0" w:color="auto"/>
            <w:right w:val="none" w:sz="0" w:space="0" w:color="auto"/>
          </w:divBdr>
        </w:div>
        <w:div w:id="852115076">
          <w:marLeft w:val="0"/>
          <w:marRight w:val="0"/>
          <w:marTop w:val="0"/>
          <w:marBottom w:val="0"/>
          <w:divBdr>
            <w:top w:val="none" w:sz="0" w:space="0" w:color="auto"/>
            <w:left w:val="none" w:sz="0" w:space="0" w:color="auto"/>
            <w:bottom w:val="none" w:sz="0" w:space="0" w:color="auto"/>
            <w:right w:val="none" w:sz="0" w:space="0" w:color="auto"/>
          </w:divBdr>
        </w:div>
        <w:div w:id="1802725369">
          <w:marLeft w:val="0"/>
          <w:marRight w:val="0"/>
          <w:marTop w:val="0"/>
          <w:marBottom w:val="0"/>
          <w:divBdr>
            <w:top w:val="none" w:sz="0" w:space="0" w:color="auto"/>
            <w:left w:val="none" w:sz="0" w:space="0" w:color="auto"/>
            <w:bottom w:val="none" w:sz="0" w:space="0" w:color="auto"/>
            <w:right w:val="none" w:sz="0" w:space="0" w:color="auto"/>
          </w:divBdr>
        </w:div>
        <w:div w:id="1456947446">
          <w:marLeft w:val="0"/>
          <w:marRight w:val="0"/>
          <w:marTop w:val="0"/>
          <w:marBottom w:val="0"/>
          <w:divBdr>
            <w:top w:val="none" w:sz="0" w:space="0" w:color="auto"/>
            <w:left w:val="none" w:sz="0" w:space="0" w:color="auto"/>
            <w:bottom w:val="none" w:sz="0" w:space="0" w:color="auto"/>
            <w:right w:val="none" w:sz="0" w:space="0" w:color="auto"/>
          </w:divBdr>
        </w:div>
        <w:div w:id="1269854032">
          <w:marLeft w:val="0"/>
          <w:marRight w:val="0"/>
          <w:marTop w:val="0"/>
          <w:marBottom w:val="0"/>
          <w:divBdr>
            <w:top w:val="none" w:sz="0" w:space="0" w:color="auto"/>
            <w:left w:val="none" w:sz="0" w:space="0" w:color="auto"/>
            <w:bottom w:val="none" w:sz="0" w:space="0" w:color="auto"/>
            <w:right w:val="none" w:sz="0" w:space="0" w:color="auto"/>
          </w:divBdr>
        </w:div>
        <w:div w:id="2040815108">
          <w:marLeft w:val="0"/>
          <w:marRight w:val="0"/>
          <w:marTop w:val="0"/>
          <w:marBottom w:val="0"/>
          <w:divBdr>
            <w:top w:val="none" w:sz="0" w:space="0" w:color="auto"/>
            <w:left w:val="none" w:sz="0" w:space="0" w:color="auto"/>
            <w:bottom w:val="none" w:sz="0" w:space="0" w:color="auto"/>
            <w:right w:val="none" w:sz="0" w:space="0" w:color="auto"/>
          </w:divBdr>
        </w:div>
        <w:div w:id="1685476875">
          <w:marLeft w:val="0"/>
          <w:marRight w:val="0"/>
          <w:marTop w:val="0"/>
          <w:marBottom w:val="0"/>
          <w:divBdr>
            <w:top w:val="none" w:sz="0" w:space="0" w:color="auto"/>
            <w:left w:val="none" w:sz="0" w:space="0" w:color="auto"/>
            <w:bottom w:val="none" w:sz="0" w:space="0" w:color="auto"/>
            <w:right w:val="none" w:sz="0" w:space="0" w:color="auto"/>
          </w:divBdr>
        </w:div>
        <w:div w:id="1987053006">
          <w:marLeft w:val="0"/>
          <w:marRight w:val="0"/>
          <w:marTop w:val="0"/>
          <w:marBottom w:val="0"/>
          <w:divBdr>
            <w:top w:val="none" w:sz="0" w:space="0" w:color="auto"/>
            <w:left w:val="none" w:sz="0" w:space="0" w:color="auto"/>
            <w:bottom w:val="none" w:sz="0" w:space="0" w:color="auto"/>
            <w:right w:val="none" w:sz="0" w:space="0" w:color="auto"/>
          </w:divBdr>
        </w:div>
        <w:div w:id="1027372786">
          <w:marLeft w:val="0"/>
          <w:marRight w:val="0"/>
          <w:marTop w:val="0"/>
          <w:marBottom w:val="0"/>
          <w:divBdr>
            <w:top w:val="none" w:sz="0" w:space="0" w:color="auto"/>
            <w:left w:val="none" w:sz="0" w:space="0" w:color="auto"/>
            <w:bottom w:val="none" w:sz="0" w:space="0" w:color="auto"/>
            <w:right w:val="none" w:sz="0" w:space="0" w:color="auto"/>
          </w:divBdr>
        </w:div>
        <w:div w:id="1072701784">
          <w:marLeft w:val="0"/>
          <w:marRight w:val="0"/>
          <w:marTop w:val="0"/>
          <w:marBottom w:val="0"/>
          <w:divBdr>
            <w:top w:val="none" w:sz="0" w:space="0" w:color="auto"/>
            <w:left w:val="none" w:sz="0" w:space="0" w:color="auto"/>
            <w:bottom w:val="none" w:sz="0" w:space="0" w:color="auto"/>
            <w:right w:val="none" w:sz="0" w:space="0" w:color="auto"/>
          </w:divBdr>
        </w:div>
        <w:div w:id="819812106">
          <w:marLeft w:val="0"/>
          <w:marRight w:val="0"/>
          <w:marTop w:val="0"/>
          <w:marBottom w:val="0"/>
          <w:divBdr>
            <w:top w:val="none" w:sz="0" w:space="0" w:color="auto"/>
            <w:left w:val="none" w:sz="0" w:space="0" w:color="auto"/>
            <w:bottom w:val="none" w:sz="0" w:space="0" w:color="auto"/>
            <w:right w:val="none" w:sz="0" w:space="0" w:color="auto"/>
          </w:divBdr>
        </w:div>
        <w:div w:id="1307274515">
          <w:marLeft w:val="0"/>
          <w:marRight w:val="0"/>
          <w:marTop w:val="0"/>
          <w:marBottom w:val="0"/>
          <w:divBdr>
            <w:top w:val="none" w:sz="0" w:space="0" w:color="auto"/>
            <w:left w:val="none" w:sz="0" w:space="0" w:color="auto"/>
            <w:bottom w:val="none" w:sz="0" w:space="0" w:color="auto"/>
            <w:right w:val="none" w:sz="0" w:space="0" w:color="auto"/>
          </w:divBdr>
        </w:div>
        <w:div w:id="313140430">
          <w:marLeft w:val="0"/>
          <w:marRight w:val="0"/>
          <w:marTop w:val="0"/>
          <w:marBottom w:val="0"/>
          <w:divBdr>
            <w:top w:val="none" w:sz="0" w:space="0" w:color="auto"/>
            <w:left w:val="none" w:sz="0" w:space="0" w:color="auto"/>
            <w:bottom w:val="none" w:sz="0" w:space="0" w:color="auto"/>
            <w:right w:val="none" w:sz="0" w:space="0" w:color="auto"/>
          </w:divBdr>
        </w:div>
        <w:div w:id="112599964">
          <w:marLeft w:val="0"/>
          <w:marRight w:val="0"/>
          <w:marTop w:val="0"/>
          <w:marBottom w:val="0"/>
          <w:divBdr>
            <w:top w:val="none" w:sz="0" w:space="0" w:color="auto"/>
            <w:left w:val="none" w:sz="0" w:space="0" w:color="auto"/>
            <w:bottom w:val="none" w:sz="0" w:space="0" w:color="auto"/>
            <w:right w:val="none" w:sz="0" w:space="0" w:color="auto"/>
          </w:divBdr>
        </w:div>
        <w:div w:id="832649621">
          <w:marLeft w:val="0"/>
          <w:marRight w:val="0"/>
          <w:marTop w:val="0"/>
          <w:marBottom w:val="0"/>
          <w:divBdr>
            <w:top w:val="none" w:sz="0" w:space="0" w:color="auto"/>
            <w:left w:val="none" w:sz="0" w:space="0" w:color="auto"/>
            <w:bottom w:val="none" w:sz="0" w:space="0" w:color="auto"/>
            <w:right w:val="none" w:sz="0" w:space="0" w:color="auto"/>
          </w:divBdr>
        </w:div>
        <w:div w:id="645596005">
          <w:marLeft w:val="0"/>
          <w:marRight w:val="0"/>
          <w:marTop w:val="0"/>
          <w:marBottom w:val="0"/>
          <w:divBdr>
            <w:top w:val="none" w:sz="0" w:space="0" w:color="auto"/>
            <w:left w:val="none" w:sz="0" w:space="0" w:color="auto"/>
            <w:bottom w:val="none" w:sz="0" w:space="0" w:color="auto"/>
            <w:right w:val="none" w:sz="0" w:space="0" w:color="auto"/>
          </w:divBdr>
        </w:div>
        <w:div w:id="882639020">
          <w:marLeft w:val="0"/>
          <w:marRight w:val="0"/>
          <w:marTop w:val="0"/>
          <w:marBottom w:val="0"/>
          <w:divBdr>
            <w:top w:val="none" w:sz="0" w:space="0" w:color="auto"/>
            <w:left w:val="none" w:sz="0" w:space="0" w:color="auto"/>
            <w:bottom w:val="none" w:sz="0" w:space="0" w:color="auto"/>
            <w:right w:val="none" w:sz="0" w:space="0" w:color="auto"/>
          </w:divBdr>
        </w:div>
        <w:div w:id="1020467368">
          <w:marLeft w:val="0"/>
          <w:marRight w:val="0"/>
          <w:marTop w:val="0"/>
          <w:marBottom w:val="0"/>
          <w:divBdr>
            <w:top w:val="none" w:sz="0" w:space="0" w:color="auto"/>
            <w:left w:val="none" w:sz="0" w:space="0" w:color="auto"/>
            <w:bottom w:val="none" w:sz="0" w:space="0" w:color="auto"/>
            <w:right w:val="none" w:sz="0" w:space="0" w:color="auto"/>
          </w:divBdr>
        </w:div>
        <w:div w:id="1691370754">
          <w:marLeft w:val="0"/>
          <w:marRight w:val="0"/>
          <w:marTop w:val="0"/>
          <w:marBottom w:val="0"/>
          <w:divBdr>
            <w:top w:val="none" w:sz="0" w:space="0" w:color="auto"/>
            <w:left w:val="none" w:sz="0" w:space="0" w:color="auto"/>
            <w:bottom w:val="none" w:sz="0" w:space="0" w:color="auto"/>
            <w:right w:val="none" w:sz="0" w:space="0" w:color="auto"/>
          </w:divBdr>
        </w:div>
        <w:div w:id="2109151326">
          <w:marLeft w:val="0"/>
          <w:marRight w:val="0"/>
          <w:marTop w:val="0"/>
          <w:marBottom w:val="0"/>
          <w:divBdr>
            <w:top w:val="none" w:sz="0" w:space="0" w:color="auto"/>
            <w:left w:val="none" w:sz="0" w:space="0" w:color="auto"/>
            <w:bottom w:val="none" w:sz="0" w:space="0" w:color="auto"/>
            <w:right w:val="none" w:sz="0" w:space="0" w:color="auto"/>
          </w:divBdr>
        </w:div>
        <w:div w:id="1869486659">
          <w:marLeft w:val="0"/>
          <w:marRight w:val="0"/>
          <w:marTop w:val="0"/>
          <w:marBottom w:val="0"/>
          <w:divBdr>
            <w:top w:val="none" w:sz="0" w:space="0" w:color="auto"/>
            <w:left w:val="none" w:sz="0" w:space="0" w:color="auto"/>
            <w:bottom w:val="none" w:sz="0" w:space="0" w:color="auto"/>
            <w:right w:val="none" w:sz="0" w:space="0" w:color="auto"/>
          </w:divBdr>
        </w:div>
        <w:div w:id="379280918">
          <w:marLeft w:val="0"/>
          <w:marRight w:val="0"/>
          <w:marTop w:val="0"/>
          <w:marBottom w:val="0"/>
          <w:divBdr>
            <w:top w:val="none" w:sz="0" w:space="0" w:color="auto"/>
            <w:left w:val="none" w:sz="0" w:space="0" w:color="auto"/>
            <w:bottom w:val="none" w:sz="0" w:space="0" w:color="auto"/>
            <w:right w:val="none" w:sz="0" w:space="0" w:color="auto"/>
          </w:divBdr>
        </w:div>
        <w:div w:id="254439107">
          <w:marLeft w:val="0"/>
          <w:marRight w:val="0"/>
          <w:marTop w:val="0"/>
          <w:marBottom w:val="0"/>
          <w:divBdr>
            <w:top w:val="none" w:sz="0" w:space="0" w:color="auto"/>
            <w:left w:val="none" w:sz="0" w:space="0" w:color="auto"/>
            <w:bottom w:val="none" w:sz="0" w:space="0" w:color="auto"/>
            <w:right w:val="none" w:sz="0" w:space="0" w:color="auto"/>
          </w:divBdr>
        </w:div>
        <w:div w:id="1356887614">
          <w:marLeft w:val="0"/>
          <w:marRight w:val="0"/>
          <w:marTop w:val="0"/>
          <w:marBottom w:val="0"/>
          <w:divBdr>
            <w:top w:val="none" w:sz="0" w:space="0" w:color="auto"/>
            <w:left w:val="none" w:sz="0" w:space="0" w:color="auto"/>
            <w:bottom w:val="none" w:sz="0" w:space="0" w:color="auto"/>
            <w:right w:val="none" w:sz="0" w:space="0" w:color="auto"/>
          </w:divBdr>
        </w:div>
        <w:div w:id="1411853649">
          <w:marLeft w:val="0"/>
          <w:marRight w:val="0"/>
          <w:marTop w:val="0"/>
          <w:marBottom w:val="0"/>
          <w:divBdr>
            <w:top w:val="none" w:sz="0" w:space="0" w:color="auto"/>
            <w:left w:val="none" w:sz="0" w:space="0" w:color="auto"/>
            <w:bottom w:val="none" w:sz="0" w:space="0" w:color="auto"/>
            <w:right w:val="none" w:sz="0" w:space="0" w:color="auto"/>
          </w:divBdr>
        </w:div>
        <w:div w:id="188222470">
          <w:marLeft w:val="0"/>
          <w:marRight w:val="0"/>
          <w:marTop w:val="0"/>
          <w:marBottom w:val="0"/>
          <w:divBdr>
            <w:top w:val="none" w:sz="0" w:space="0" w:color="auto"/>
            <w:left w:val="none" w:sz="0" w:space="0" w:color="auto"/>
            <w:bottom w:val="none" w:sz="0" w:space="0" w:color="auto"/>
            <w:right w:val="none" w:sz="0" w:space="0" w:color="auto"/>
          </w:divBdr>
        </w:div>
        <w:div w:id="1112361044">
          <w:marLeft w:val="0"/>
          <w:marRight w:val="0"/>
          <w:marTop w:val="0"/>
          <w:marBottom w:val="0"/>
          <w:divBdr>
            <w:top w:val="none" w:sz="0" w:space="0" w:color="auto"/>
            <w:left w:val="none" w:sz="0" w:space="0" w:color="auto"/>
            <w:bottom w:val="none" w:sz="0" w:space="0" w:color="auto"/>
            <w:right w:val="none" w:sz="0" w:space="0" w:color="auto"/>
          </w:divBdr>
        </w:div>
        <w:div w:id="1271746118">
          <w:marLeft w:val="0"/>
          <w:marRight w:val="0"/>
          <w:marTop w:val="0"/>
          <w:marBottom w:val="0"/>
          <w:divBdr>
            <w:top w:val="none" w:sz="0" w:space="0" w:color="auto"/>
            <w:left w:val="none" w:sz="0" w:space="0" w:color="auto"/>
            <w:bottom w:val="none" w:sz="0" w:space="0" w:color="auto"/>
            <w:right w:val="none" w:sz="0" w:space="0" w:color="auto"/>
          </w:divBdr>
        </w:div>
        <w:div w:id="1825898570">
          <w:marLeft w:val="0"/>
          <w:marRight w:val="0"/>
          <w:marTop w:val="0"/>
          <w:marBottom w:val="0"/>
          <w:divBdr>
            <w:top w:val="none" w:sz="0" w:space="0" w:color="auto"/>
            <w:left w:val="none" w:sz="0" w:space="0" w:color="auto"/>
            <w:bottom w:val="none" w:sz="0" w:space="0" w:color="auto"/>
            <w:right w:val="none" w:sz="0" w:space="0" w:color="auto"/>
          </w:divBdr>
        </w:div>
        <w:div w:id="564072859">
          <w:marLeft w:val="0"/>
          <w:marRight w:val="0"/>
          <w:marTop w:val="0"/>
          <w:marBottom w:val="0"/>
          <w:divBdr>
            <w:top w:val="none" w:sz="0" w:space="0" w:color="auto"/>
            <w:left w:val="none" w:sz="0" w:space="0" w:color="auto"/>
            <w:bottom w:val="none" w:sz="0" w:space="0" w:color="auto"/>
            <w:right w:val="none" w:sz="0" w:space="0" w:color="auto"/>
          </w:divBdr>
        </w:div>
        <w:div w:id="1973948534">
          <w:marLeft w:val="0"/>
          <w:marRight w:val="0"/>
          <w:marTop w:val="0"/>
          <w:marBottom w:val="0"/>
          <w:divBdr>
            <w:top w:val="none" w:sz="0" w:space="0" w:color="auto"/>
            <w:left w:val="none" w:sz="0" w:space="0" w:color="auto"/>
            <w:bottom w:val="none" w:sz="0" w:space="0" w:color="auto"/>
            <w:right w:val="none" w:sz="0" w:space="0" w:color="auto"/>
          </w:divBdr>
        </w:div>
        <w:div w:id="491604420">
          <w:marLeft w:val="0"/>
          <w:marRight w:val="0"/>
          <w:marTop w:val="0"/>
          <w:marBottom w:val="0"/>
          <w:divBdr>
            <w:top w:val="none" w:sz="0" w:space="0" w:color="auto"/>
            <w:left w:val="none" w:sz="0" w:space="0" w:color="auto"/>
            <w:bottom w:val="none" w:sz="0" w:space="0" w:color="auto"/>
            <w:right w:val="none" w:sz="0" w:space="0" w:color="auto"/>
          </w:divBdr>
        </w:div>
        <w:div w:id="85808655">
          <w:marLeft w:val="0"/>
          <w:marRight w:val="0"/>
          <w:marTop w:val="0"/>
          <w:marBottom w:val="0"/>
          <w:divBdr>
            <w:top w:val="none" w:sz="0" w:space="0" w:color="auto"/>
            <w:left w:val="none" w:sz="0" w:space="0" w:color="auto"/>
            <w:bottom w:val="none" w:sz="0" w:space="0" w:color="auto"/>
            <w:right w:val="none" w:sz="0" w:space="0" w:color="auto"/>
          </w:divBdr>
        </w:div>
        <w:div w:id="464934204">
          <w:marLeft w:val="0"/>
          <w:marRight w:val="0"/>
          <w:marTop w:val="0"/>
          <w:marBottom w:val="0"/>
          <w:divBdr>
            <w:top w:val="none" w:sz="0" w:space="0" w:color="auto"/>
            <w:left w:val="none" w:sz="0" w:space="0" w:color="auto"/>
            <w:bottom w:val="none" w:sz="0" w:space="0" w:color="auto"/>
            <w:right w:val="none" w:sz="0" w:space="0" w:color="auto"/>
          </w:divBdr>
        </w:div>
        <w:div w:id="10693939">
          <w:marLeft w:val="0"/>
          <w:marRight w:val="0"/>
          <w:marTop w:val="0"/>
          <w:marBottom w:val="0"/>
          <w:divBdr>
            <w:top w:val="none" w:sz="0" w:space="0" w:color="auto"/>
            <w:left w:val="none" w:sz="0" w:space="0" w:color="auto"/>
            <w:bottom w:val="none" w:sz="0" w:space="0" w:color="auto"/>
            <w:right w:val="none" w:sz="0" w:space="0" w:color="auto"/>
          </w:divBdr>
        </w:div>
        <w:div w:id="361712165">
          <w:marLeft w:val="0"/>
          <w:marRight w:val="0"/>
          <w:marTop w:val="0"/>
          <w:marBottom w:val="0"/>
          <w:divBdr>
            <w:top w:val="none" w:sz="0" w:space="0" w:color="auto"/>
            <w:left w:val="none" w:sz="0" w:space="0" w:color="auto"/>
            <w:bottom w:val="none" w:sz="0" w:space="0" w:color="auto"/>
            <w:right w:val="none" w:sz="0" w:space="0" w:color="auto"/>
          </w:divBdr>
        </w:div>
        <w:div w:id="81924968">
          <w:marLeft w:val="0"/>
          <w:marRight w:val="0"/>
          <w:marTop w:val="0"/>
          <w:marBottom w:val="0"/>
          <w:divBdr>
            <w:top w:val="none" w:sz="0" w:space="0" w:color="auto"/>
            <w:left w:val="none" w:sz="0" w:space="0" w:color="auto"/>
            <w:bottom w:val="none" w:sz="0" w:space="0" w:color="auto"/>
            <w:right w:val="none" w:sz="0" w:space="0" w:color="auto"/>
          </w:divBdr>
        </w:div>
        <w:div w:id="415327859">
          <w:marLeft w:val="0"/>
          <w:marRight w:val="0"/>
          <w:marTop w:val="0"/>
          <w:marBottom w:val="0"/>
          <w:divBdr>
            <w:top w:val="none" w:sz="0" w:space="0" w:color="auto"/>
            <w:left w:val="none" w:sz="0" w:space="0" w:color="auto"/>
            <w:bottom w:val="none" w:sz="0" w:space="0" w:color="auto"/>
            <w:right w:val="none" w:sz="0" w:space="0" w:color="auto"/>
          </w:divBdr>
        </w:div>
        <w:div w:id="33509103">
          <w:marLeft w:val="0"/>
          <w:marRight w:val="0"/>
          <w:marTop w:val="0"/>
          <w:marBottom w:val="0"/>
          <w:divBdr>
            <w:top w:val="none" w:sz="0" w:space="0" w:color="auto"/>
            <w:left w:val="none" w:sz="0" w:space="0" w:color="auto"/>
            <w:bottom w:val="none" w:sz="0" w:space="0" w:color="auto"/>
            <w:right w:val="none" w:sz="0" w:space="0" w:color="auto"/>
          </w:divBdr>
        </w:div>
        <w:div w:id="1204944911">
          <w:marLeft w:val="0"/>
          <w:marRight w:val="0"/>
          <w:marTop w:val="0"/>
          <w:marBottom w:val="0"/>
          <w:divBdr>
            <w:top w:val="none" w:sz="0" w:space="0" w:color="auto"/>
            <w:left w:val="none" w:sz="0" w:space="0" w:color="auto"/>
            <w:bottom w:val="none" w:sz="0" w:space="0" w:color="auto"/>
            <w:right w:val="none" w:sz="0" w:space="0" w:color="auto"/>
          </w:divBdr>
        </w:div>
        <w:div w:id="1499536058">
          <w:marLeft w:val="0"/>
          <w:marRight w:val="0"/>
          <w:marTop w:val="0"/>
          <w:marBottom w:val="0"/>
          <w:divBdr>
            <w:top w:val="none" w:sz="0" w:space="0" w:color="auto"/>
            <w:left w:val="none" w:sz="0" w:space="0" w:color="auto"/>
            <w:bottom w:val="none" w:sz="0" w:space="0" w:color="auto"/>
            <w:right w:val="none" w:sz="0" w:space="0" w:color="auto"/>
          </w:divBdr>
        </w:div>
        <w:div w:id="1882865314">
          <w:marLeft w:val="0"/>
          <w:marRight w:val="0"/>
          <w:marTop w:val="0"/>
          <w:marBottom w:val="0"/>
          <w:divBdr>
            <w:top w:val="none" w:sz="0" w:space="0" w:color="auto"/>
            <w:left w:val="none" w:sz="0" w:space="0" w:color="auto"/>
            <w:bottom w:val="none" w:sz="0" w:space="0" w:color="auto"/>
            <w:right w:val="none" w:sz="0" w:space="0" w:color="auto"/>
          </w:divBdr>
        </w:div>
        <w:div w:id="1840776057">
          <w:marLeft w:val="0"/>
          <w:marRight w:val="0"/>
          <w:marTop w:val="0"/>
          <w:marBottom w:val="0"/>
          <w:divBdr>
            <w:top w:val="none" w:sz="0" w:space="0" w:color="auto"/>
            <w:left w:val="none" w:sz="0" w:space="0" w:color="auto"/>
            <w:bottom w:val="none" w:sz="0" w:space="0" w:color="auto"/>
            <w:right w:val="none" w:sz="0" w:space="0" w:color="auto"/>
          </w:divBdr>
        </w:div>
        <w:div w:id="849761646">
          <w:marLeft w:val="0"/>
          <w:marRight w:val="0"/>
          <w:marTop w:val="0"/>
          <w:marBottom w:val="0"/>
          <w:divBdr>
            <w:top w:val="none" w:sz="0" w:space="0" w:color="auto"/>
            <w:left w:val="none" w:sz="0" w:space="0" w:color="auto"/>
            <w:bottom w:val="none" w:sz="0" w:space="0" w:color="auto"/>
            <w:right w:val="none" w:sz="0" w:space="0" w:color="auto"/>
          </w:divBdr>
        </w:div>
        <w:div w:id="155537294">
          <w:marLeft w:val="0"/>
          <w:marRight w:val="0"/>
          <w:marTop w:val="0"/>
          <w:marBottom w:val="0"/>
          <w:divBdr>
            <w:top w:val="none" w:sz="0" w:space="0" w:color="auto"/>
            <w:left w:val="none" w:sz="0" w:space="0" w:color="auto"/>
            <w:bottom w:val="none" w:sz="0" w:space="0" w:color="auto"/>
            <w:right w:val="none" w:sz="0" w:space="0" w:color="auto"/>
          </w:divBdr>
        </w:div>
        <w:div w:id="244651914">
          <w:marLeft w:val="0"/>
          <w:marRight w:val="0"/>
          <w:marTop w:val="0"/>
          <w:marBottom w:val="0"/>
          <w:divBdr>
            <w:top w:val="none" w:sz="0" w:space="0" w:color="auto"/>
            <w:left w:val="none" w:sz="0" w:space="0" w:color="auto"/>
            <w:bottom w:val="none" w:sz="0" w:space="0" w:color="auto"/>
            <w:right w:val="none" w:sz="0" w:space="0" w:color="auto"/>
          </w:divBdr>
        </w:div>
        <w:div w:id="243073286">
          <w:marLeft w:val="0"/>
          <w:marRight w:val="0"/>
          <w:marTop w:val="0"/>
          <w:marBottom w:val="0"/>
          <w:divBdr>
            <w:top w:val="none" w:sz="0" w:space="0" w:color="auto"/>
            <w:left w:val="none" w:sz="0" w:space="0" w:color="auto"/>
            <w:bottom w:val="none" w:sz="0" w:space="0" w:color="auto"/>
            <w:right w:val="none" w:sz="0" w:space="0" w:color="auto"/>
          </w:divBdr>
        </w:div>
        <w:div w:id="1011839610">
          <w:marLeft w:val="0"/>
          <w:marRight w:val="0"/>
          <w:marTop w:val="0"/>
          <w:marBottom w:val="0"/>
          <w:divBdr>
            <w:top w:val="none" w:sz="0" w:space="0" w:color="auto"/>
            <w:left w:val="none" w:sz="0" w:space="0" w:color="auto"/>
            <w:bottom w:val="none" w:sz="0" w:space="0" w:color="auto"/>
            <w:right w:val="none" w:sz="0" w:space="0" w:color="auto"/>
          </w:divBdr>
        </w:div>
        <w:div w:id="1802533419">
          <w:marLeft w:val="0"/>
          <w:marRight w:val="0"/>
          <w:marTop w:val="0"/>
          <w:marBottom w:val="0"/>
          <w:divBdr>
            <w:top w:val="none" w:sz="0" w:space="0" w:color="auto"/>
            <w:left w:val="none" w:sz="0" w:space="0" w:color="auto"/>
            <w:bottom w:val="none" w:sz="0" w:space="0" w:color="auto"/>
            <w:right w:val="none" w:sz="0" w:space="0" w:color="auto"/>
          </w:divBdr>
        </w:div>
        <w:div w:id="2076472143">
          <w:marLeft w:val="0"/>
          <w:marRight w:val="0"/>
          <w:marTop w:val="0"/>
          <w:marBottom w:val="0"/>
          <w:divBdr>
            <w:top w:val="none" w:sz="0" w:space="0" w:color="auto"/>
            <w:left w:val="none" w:sz="0" w:space="0" w:color="auto"/>
            <w:bottom w:val="none" w:sz="0" w:space="0" w:color="auto"/>
            <w:right w:val="none" w:sz="0" w:space="0" w:color="auto"/>
          </w:divBdr>
        </w:div>
        <w:div w:id="996030029">
          <w:marLeft w:val="0"/>
          <w:marRight w:val="0"/>
          <w:marTop w:val="0"/>
          <w:marBottom w:val="0"/>
          <w:divBdr>
            <w:top w:val="none" w:sz="0" w:space="0" w:color="auto"/>
            <w:left w:val="none" w:sz="0" w:space="0" w:color="auto"/>
            <w:bottom w:val="none" w:sz="0" w:space="0" w:color="auto"/>
            <w:right w:val="none" w:sz="0" w:space="0" w:color="auto"/>
          </w:divBdr>
        </w:div>
        <w:div w:id="1254360524">
          <w:marLeft w:val="0"/>
          <w:marRight w:val="0"/>
          <w:marTop w:val="0"/>
          <w:marBottom w:val="0"/>
          <w:divBdr>
            <w:top w:val="none" w:sz="0" w:space="0" w:color="auto"/>
            <w:left w:val="none" w:sz="0" w:space="0" w:color="auto"/>
            <w:bottom w:val="none" w:sz="0" w:space="0" w:color="auto"/>
            <w:right w:val="none" w:sz="0" w:space="0" w:color="auto"/>
          </w:divBdr>
        </w:div>
        <w:div w:id="2081898395">
          <w:marLeft w:val="0"/>
          <w:marRight w:val="0"/>
          <w:marTop w:val="0"/>
          <w:marBottom w:val="0"/>
          <w:divBdr>
            <w:top w:val="none" w:sz="0" w:space="0" w:color="auto"/>
            <w:left w:val="none" w:sz="0" w:space="0" w:color="auto"/>
            <w:bottom w:val="none" w:sz="0" w:space="0" w:color="auto"/>
            <w:right w:val="none" w:sz="0" w:space="0" w:color="auto"/>
          </w:divBdr>
        </w:div>
        <w:div w:id="653876106">
          <w:marLeft w:val="0"/>
          <w:marRight w:val="0"/>
          <w:marTop w:val="0"/>
          <w:marBottom w:val="0"/>
          <w:divBdr>
            <w:top w:val="none" w:sz="0" w:space="0" w:color="auto"/>
            <w:left w:val="none" w:sz="0" w:space="0" w:color="auto"/>
            <w:bottom w:val="none" w:sz="0" w:space="0" w:color="auto"/>
            <w:right w:val="none" w:sz="0" w:space="0" w:color="auto"/>
          </w:divBdr>
        </w:div>
        <w:div w:id="1471048544">
          <w:marLeft w:val="0"/>
          <w:marRight w:val="0"/>
          <w:marTop w:val="0"/>
          <w:marBottom w:val="0"/>
          <w:divBdr>
            <w:top w:val="none" w:sz="0" w:space="0" w:color="auto"/>
            <w:left w:val="none" w:sz="0" w:space="0" w:color="auto"/>
            <w:bottom w:val="none" w:sz="0" w:space="0" w:color="auto"/>
            <w:right w:val="none" w:sz="0" w:space="0" w:color="auto"/>
          </w:divBdr>
        </w:div>
        <w:div w:id="1547064443">
          <w:marLeft w:val="0"/>
          <w:marRight w:val="0"/>
          <w:marTop w:val="0"/>
          <w:marBottom w:val="0"/>
          <w:divBdr>
            <w:top w:val="none" w:sz="0" w:space="0" w:color="auto"/>
            <w:left w:val="none" w:sz="0" w:space="0" w:color="auto"/>
            <w:bottom w:val="none" w:sz="0" w:space="0" w:color="auto"/>
            <w:right w:val="none" w:sz="0" w:space="0" w:color="auto"/>
          </w:divBdr>
        </w:div>
        <w:div w:id="262110539">
          <w:marLeft w:val="0"/>
          <w:marRight w:val="0"/>
          <w:marTop w:val="0"/>
          <w:marBottom w:val="0"/>
          <w:divBdr>
            <w:top w:val="none" w:sz="0" w:space="0" w:color="auto"/>
            <w:left w:val="none" w:sz="0" w:space="0" w:color="auto"/>
            <w:bottom w:val="none" w:sz="0" w:space="0" w:color="auto"/>
            <w:right w:val="none" w:sz="0" w:space="0" w:color="auto"/>
          </w:divBdr>
        </w:div>
        <w:div w:id="1639721912">
          <w:marLeft w:val="0"/>
          <w:marRight w:val="0"/>
          <w:marTop w:val="0"/>
          <w:marBottom w:val="0"/>
          <w:divBdr>
            <w:top w:val="none" w:sz="0" w:space="0" w:color="auto"/>
            <w:left w:val="none" w:sz="0" w:space="0" w:color="auto"/>
            <w:bottom w:val="none" w:sz="0" w:space="0" w:color="auto"/>
            <w:right w:val="none" w:sz="0" w:space="0" w:color="auto"/>
          </w:divBdr>
        </w:div>
        <w:div w:id="1323122185">
          <w:marLeft w:val="0"/>
          <w:marRight w:val="0"/>
          <w:marTop w:val="0"/>
          <w:marBottom w:val="0"/>
          <w:divBdr>
            <w:top w:val="none" w:sz="0" w:space="0" w:color="auto"/>
            <w:left w:val="none" w:sz="0" w:space="0" w:color="auto"/>
            <w:bottom w:val="none" w:sz="0" w:space="0" w:color="auto"/>
            <w:right w:val="none" w:sz="0" w:space="0" w:color="auto"/>
          </w:divBdr>
        </w:div>
        <w:div w:id="56055259">
          <w:marLeft w:val="0"/>
          <w:marRight w:val="0"/>
          <w:marTop w:val="0"/>
          <w:marBottom w:val="0"/>
          <w:divBdr>
            <w:top w:val="none" w:sz="0" w:space="0" w:color="auto"/>
            <w:left w:val="none" w:sz="0" w:space="0" w:color="auto"/>
            <w:bottom w:val="none" w:sz="0" w:space="0" w:color="auto"/>
            <w:right w:val="none" w:sz="0" w:space="0" w:color="auto"/>
          </w:divBdr>
        </w:div>
        <w:div w:id="1614746422">
          <w:marLeft w:val="0"/>
          <w:marRight w:val="0"/>
          <w:marTop w:val="0"/>
          <w:marBottom w:val="0"/>
          <w:divBdr>
            <w:top w:val="none" w:sz="0" w:space="0" w:color="auto"/>
            <w:left w:val="none" w:sz="0" w:space="0" w:color="auto"/>
            <w:bottom w:val="none" w:sz="0" w:space="0" w:color="auto"/>
            <w:right w:val="none" w:sz="0" w:space="0" w:color="auto"/>
          </w:divBdr>
        </w:div>
        <w:div w:id="2093693273">
          <w:marLeft w:val="0"/>
          <w:marRight w:val="0"/>
          <w:marTop w:val="0"/>
          <w:marBottom w:val="0"/>
          <w:divBdr>
            <w:top w:val="none" w:sz="0" w:space="0" w:color="auto"/>
            <w:left w:val="none" w:sz="0" w:space="0" w:color="auto"/>
            <w:bottom w:val="none" w:sz="0" w:space="0" w:color="auto"/>
            <w:right w:val="none" w:sz="0" w:space="0" w:color="auto"/>
          </w:divBdr>
        </w:div>
        <w:div w:id="843939371">
          <w:marLeft w:val="0"/>
          <w:marRight w:val="0"/>
          <w:marTop w:val="0"/>
          <w:marBottom w:val="0"/>
          <w:divBdr>
            <w:top w:val="none" w:sz="0" w:space="0" w:color="auto"/>
            <w:left w:val="none" w:sz="0" w:space="0" w:color="auto"/>
            <w:bottom w:val="none" w:sz="0" w:space="0" w:color="auto"/>
            <w:right w:val="none" w:sz="0" w:space="0" w:color="auto"/>
          </w:divBdr>
        </w:div>
        <w:div w:id="2017682458">
          <w:marLeft w:val="0"/>
          <w:marRight w:val="0"/>
          <w:marTop w:val="0"/>
          <w:marBottom w:val="0"/>
          <w:divBdr>
            <w:top w:val="none" w:sz="0" w:space="0" w:color="auto"/>
            <w:left w:val="none" w:sz="0" w:space="0" w:color="auto"/>
            <w:bottom w:val="none" w:sz="0" w:space="0" w:color="auto"/>
            <w:right w:val="none" w:sz="0" w:space="0" w:color="auto"/>
          </w:divBdr>
        </w:div>
        <w:div w:id="1333024165">
          <w:marLeft w:val="0"/>
          <w:marRight w:val="0"/>
          <w:marTop w:val="0"/>
          <w:marBottom w:val="0"/>
          <w:divBdr>
            <w:top w:val="none" w:sz="0" w:space="0" w:color="auto"/>
            <w:left w:val="none" w:sz="0" w:space="0" w:color="auto"/>
            <w:bottom w:val="none" w:sz="0" w:space="0" w:color="auto"/>
            <w:right w:val="none" w:sz="0" w:space="0" w:color="auto"/>
          </w:divBdr>
        </w:div>
        <w:div w:id="1187521491">
          <w:marLeft w:val="0"/>
          <w:marRight w:val="0"/>
          <w:marTop w:val="0"/>
          <w:marBottom w:val="0"/>
          <w:divBdr>
            <w:top w:val="none" w:sz="0" w:space="0" w:color="auto"/>
            <w:left w:val="none" w:sz="0" w:space="0" w:color="auto"/>
            <w:bottom w:val="none" w:sz="0" w:space="0" w:color="auto"/>
            <w:right w:val="none" w:sz="0" w:space="0" w:color="auto"/>
          </w:divBdr>
        </w:div>
        <w:div w:id="1729986119">
          <w:marLeft w:val="0"/>
          <w:marRight w:val="0"/>
          <w:marTop w:val="0"/>
          <w:marBottom w:val="0"/>
          <w:divBdr>
            <w:top w:val="none" w:sz="0" w:space="0" w:color="auto"/>
            <w:left w:val="none" w:sz="0" w:space="0" w:color="auto"/>
            <w:bottom w:val="none" w:sz="0" w:space="0" w:color="auto"/>
            <w:right w:val="none" w:sz="0" w:space="0" w:color="auto"/>
          </w:divBdr>
        </w:div>
        <w:div w:id="245727224">
          <w:marLeft w:val="0"/>
          <w:marRight w:val="0"/>
          <w:marTop w:val="0"/>
          <w:marBottom w:val="0"/>
          <w:divBdr>
            <w:top w:val="none" w:sz="0" w:space="0" w:color="auto"/>
            <w:left w:val="none" w:sz="0" w:space="0" w:color="auto"/>
            <w:bottom w:val="none" w:sz="0" w:space="0" w:color="auto"/>
            <w:right w:val="none" w:sz="0" w:space="0" w:color="auto"/>
          </w:divBdr>
        </w:div>
        <w:div w:id="16204123">
          <w:marLeft w:val="0"/>
          <w:marRight w:val="0"/>
          <w:marTop w:val="0"/>
          <w:marBottom w:val="0"/>
          <w:divBdr>
            <w:top w:val="none" w:sz="0" w:space="0" w:color="auto"/>
            <w:left w:val="none" w:sz="0" w:space="0" w:color="auto"/>
            <w:bottom w:val="none" w:sz="0" w:space="0" w:color="auto"/>
            <w:right w:val="none" w:sz="0" w:space="0" w:color="auto"/>
          </w:divBdr>
        </w:div>
        <w:div w:id="1341079233">
          <w:marLeft w:val="0"/>
          <w:marRight w:val="0"/>
          <w:marTop w:val="0"/>
          <w:marBottom w:val="0"/>
          <w:divBdr>
            <w:top w:val="none" w:sz="0" w:space="0" w:color="auto"/>
            <w:left w:val="none" w:sz="0" w:space="0" w:color="auto"/>
            <w:bottom w:val="none" w:sz="0" w:space="0" w:color="auto"/>
            <w:right w:val="none" w:sz="0" w:space="0" w:color="auto"/>
          </w:divBdr>
        </w:div>
        <w:div w:id="491726692">
          <w:marLeft w:val="0"/>
          <w:marRight w:val="0"/>
          <w:marTop w:val="0"/>
          <w:marBottom w:val="0"/>
          <w:divBdr>
            <w:top w:val="none" w:sz="0" w:space="0" w:color="auto"/>
            <w:left w:val="none" w:sz="0" w:space="0" w:color="auto"/>
            <w:bottom w:val="none" w:sz="0" w:space="0" w:color="auto"/>
            <w:right w:val="none" w:sz="0" w:space="0" w:color="auto"/>
          </w:divBdr>
        </w:div>
        <w:div w:id="673341834">
          <w:marLeft w:val="0"/>
          <w:marRight w:val="0"/>
          <w:marTop w:val="0"/>
          <w:marBottom w:val="0"/>
          <w:divBdr>
            <w:top w:val="none" w:sz="0" w:space="0" w:color="auto"/>
            <w:left w:val="none" w:sz="0" w:space="0" w:color="auto"/>
            <w:bottom w:val="none" w:sz="0" w:space="0" w:color="auto"/>
            <w:right w:val="none" w:sz="0" w:space="0" w:color="auto"/>
          </w:divBdr>
        </w:div>
        <w:div w:id="13386678">
          <w:marLeft w:val="0"/>
          <w:marRight w:val="0"/>
          <w:marTop w:val="0"/>
          <w:marBottom w:val="0"/>
          <w:divBdr>
            <w:top w:val="none" w:sz="0" w:space="0" w:color="auto"/>
            <w:left w:val="none" w:sz="0" w:space="0" w:color="auto"/>
            <w:bottom w:val="none" w:sz="0" w:space="0" w:color="auto"/>
            <w:right w:val="none" w:sz="0" w:space="0" w:color="auto"/>
          </w:divBdr>
        </w:div>
        <w:div w:id="1261373953">
          <w:marLeft w:val="0"/>
          <w:marRight w:val="0"/>
          <w:marTop w:val="0"/>
          <w:marBottom w:val="0"/>
          <w:divBdr>
            <w:top w:val="none" w:sz="0" w:space="0" w:color="auto"/>
            <w:left w:val="none" w:sz="0" w:space="0" w:color="auto"/>
            <w:bottom w:val="none" w:sz="0" w:space="0" w:color="auto"/>
            <w:right w:val="none" w:sz="0" w:space="0" w:color="auto"/>
          </w:divBdr>
        </w:div>
        <w:div w:id="1251692199">
          <w:marLeft w:val="0"/>
          <w:marRight w:val="0"/>
          <w:marTop w:val="0"/>
          <w:marBottom w:val="0"/>
          <w:divBdr>
            <w:top w:val="none" w:sz="0" w:space="0" w:color="auto"/>
            <w:left w:val="none" w:sz="0" w:space="0" w:color="auto"/>
            <w:bottom w:val="none" w:sz="0" w:space="0" w:color="auto"/>
            <w:right w:val="none" w:sz="0" w:space="0" w:color="auto"/>
          </w:divBdr>
        </w:div>
        <w:div w:id="1999573531">
          <w:marLeft w:val="0"/>
          <w:marRight w:val="0"/>
          <w:marTop w:val="0"/>
          <w:marBottom w:val="0"/>
          <w:divBdr>
            <w:top w:val="none" w:sz="0" w:space="0" w:color="auto"/>
            <w:left w:val="none" w:sz="0" w:space="0" w:color="auto"/>
            <w:bottom w:val="none" w:sz="0" w:space="0" w:color="auto"/>
            <w:right w:val="none" w:sz="0" w:space="0" w:color="auto"/>
          </w:divBdr>
        </w:div>
        <w:div w:id="334259690">
          <w:marLeft w:val="0"/>
          <w:marRight w:val="0"/>
          <w:marTop w:val="0"/>
          <w:marBottom w:val="0"/>
          <w:divBdr>
            <w:top w:val="none" w:sz="0" w:space="0" w:color="auto"/>
            <w:left w:val="none" w:sz="0" w:space="0" w:color="auto"/>
            <w:bottom w:val="none" w:sz="0" w:space="0" w:color="auto"/>
            <w:right w:val="none" w:sz="0" w:space="0" w:color="auto"/>
          </w:divBdr>
        </w:div>
        <w:div w:id="1889682083">
          <w:marLeft w:val="0"/>
          <w:marRight w:val="0"/>
          <w:marTop w:val="0"/>
          <w:marBottom w:val="0"/>
          <w:divBdr>
            <w:top w:val="none" w:sz="0" w:space="0" w:color="auto"/>
            <w:left w:val="none" w:sz="0" w:space="0" w:color="auto"/>
            <w:bottom w:val="none" w:sz="0" w:space="0" w:color="auto"/>
            <w:right w:val="none" w:sz="0" w:space="0" w:color="auto"/>
          </w:divBdr>
        </w:div>
        <w:div w:id="171720483">
          <w:marLeft w:val="0"/>
          <w:marRight w:val="0"/>
          <w:marTop w:val="0"/>
          <w:marBottom w:val="0"/>
          <w:divBdr>
            <w:top w:val="none" w:sz="0" w:space="0" w:color="auto"/>
            <w:left w:val="none" w:sz="0" w:space="0" w:color="auto"/>
            <w:bottom w:val="none" w:sz="0" w:space="0" w:color="auto"/>
            <w:right w:val="none" w:sz="0" w:space="0" w:color="auto"/>
          </w:divBdr>
        </w:div>
        <w:div w:id="948315616">
          <w:marLeft w:val="0"/>
          <w:marRight w:val="0"/>
          <w:marTop w:val="0"/>
          <w:marBottom w:val="0"/>
          <w:divBdr>
            <w:top w:val="none" w:sz="0" w:space="0" w:color="auto"/>
            <w:left w:val="none" w:sz="0" w:space="0" w:color="auto"/>
            <w:bottom w:val="none" w:sz="0" w:space="0" w:color="auto"/>
            <w:right w:val="none" w:sz="0" w:space="0" w:color="auto"/>
          </w:divBdr>
        </w:div>
        <w:div w:id="453451879">
          <w:marLeft w:val="0"/>
          <w:marRight w:val="0"/>
          <w:marTop w:val="0"/>
          <w:marBottom w:val="0"/>
          <w:divBdr>
            <w:top w:val="none" w:sz="0" w:space="0" w:color="auto"/>
            <w:left w:val="none" w:sz="0" w:space="0" w:color="auto"/>
            <w:bottom w:val="none" w:sz="0" w:space="0" w:color="auto"/>
            <w:right w:val="none" w:sz="0" w:space="0" w:color="auto"/>
          </w:divBdr>
        </w:div>
        <w:div w:id="386225147">
          <w:marLeft w:val="0"/>
          <w:marRight w:val="0"/>
          <w:marTop w:val="0"/>
          <w:marBottom w:val="0"/>
          <w:divBdr>
            <w:top w:val="none" w:sz="0" w:space="0" w:color="auto"/>
            <w:left w:val="none" w:sz="0" w:space="0" w:color="auto"/>
            <w:bottom w:val="none" w:sz="0" w:space="0" w:color="auto"/>
            <w:right w:val="none" w:sz="0" w:space="0" w:color="auto"/>
          </w:divBdr>
        </w:div>
        <w:div w:id="1429614615">
          <w:marLeft w:val="0"/>
          <w:marRight w:val="0"/>
          <w:marTop w:val="0"/>
          <w:marBottom w:val="0"/>
          <w:divBdr>
            <w:top w:val="none" w:sz="0" w:space="0" w:color="auto"/>
            <w:left w:val="none" w:sz="0" w:space="0" w:color="auto"/>
            <w:bottom w:val="none" w:sz="0" w:space="0" w:color="auto"/>
            <w:right w:val="none" w:sz="0" w:space="0" w:color="auto"/>
          </w:divBdr>
        </w:div>
        <w:div w:id="1935363072">
          <w:marLeft w:val="0"/>
          <w:marRight w:val="0"/>
          <w:marTop w:val="0"/>
          <w:marBottom w:val="0"/>
          <w:divBdr>
            <w:top w:val="none" w:sz="0" w:space="0" w:color="auto"/>
            <w:left w:val="none" w:sz="0" w:space="0" w:color="auto"/>
            <w:bottom w:val="none" w:sz="0" w:space="0" w:color="auto"/>
            <w:right w:val="none" w:sz="0" w:space="0" w:color="auto"/>
          </w:divBdr>
        </w:div>
        <w:div w:id="704405232">
          <w:marLeft w:val="0"/>
          <w:marRight w:val="0"/>
          <w:marTop w:val="0"/>
          <w:marBottom w:val="0"/>
          <w:divBdr>
            <w:top w:val="none" w:sz="0" w:space="0" w:color="auto"/>
            <w:left w:val="none" w:sz="0" w:space="0" w:color="auto"/>
            <w:bottom w:val="none" w:sz="0" w:space="0" w:color="auto"/>
            <w:right w:val="none" w:sz="0" w:space="0" w:color="auto"/>
          </w:divBdr>
        </w:div>
        <w:div w:id="838664954">
          <w:marLeft w:val="0"/>
          <w:marRight w:val="0"/>
          <w:marTop w:val="0"/>
          <w:marBottom w:val="0"/>
          <w:divBdr>
            <w:top w:val="none" w:sz="0" w:space="0" w:color="auto"/>
            <w:left w:val="none" w:sz="0" w:space="0" w:color="auto"/>
            <w:bottom w:val="none" w:sz="0" w:space="0" w:color="auto"/>
            <w:right w:val="none" w:sz="0" w:space="0" w:color="auto"/>
          </w:divBdr>
        </w:div>
        <w:div w:id="1112087996">
          <w:marLeft w:val="0"/>
          <w:marRight w:val="0"/>
          <w:marTop w:val="0"/>
          <w:marBottom w:val="0"/>
          <w:divBdr>
            <w:top w:val="none" w:sz="0" w:space="0" w:color="auto"/>
            <w:left w:val="none" w:sz="0" w:space="0" w:color="auto"/>
            <w:bottom w:val="none" w:sz="0" w:space="0" w:color="auto"/>
            <w:right w:val="none" w:sz="0" w:space="0" w:color="auto"/>
          </w:divBdr>
        </w:div>
        <w:div w:id="1102267350">
          <w:marLeft w:val="0"/>
          <w:marRight w:val="0"/>
          <w:marTop w:val="0"/>
          <w:marBottom w:val="0"/>
          <w:divBdr>
            <w:top w:val="none" w:sz="0" w:space="0" w:color="auto"/>
            <w:left w:val="none" w:sz="0" w:space="0" w:color="auto"/>
            <w:bottom w:val="none" w:sz="0" w:space="0" w:color="auto"/>
            <w:right w:val="none" w:sz="0" w:space="0" w:color="auto"/>
          </w:divBdr>
        </w:div>
        <w:div w:id="331832145">
          <w:marLeft w:val="0"/>
          <w:marRight w:val="0"/>
          <w:marTop w:val="0"/>
          <w:marBottom w:val="0"/>
          <w:divBdr>
            <w:top w:val="none" w:sz="0" w:space="0" w:color="auto"/>
            <w:left w:val="none" w:sz="0" w:space="0" w:color="auto"/>
            <w:bottom w:val="none" w:sz="0" w:space="0" w:color="auto"/>
            <w:right w:val="none" w:sz="0" w:space="0" w:color="auto"/>
          </w:divBdr>
        </w:div>
        <w:div w:id="1397167074">
          <w:marLeft w:val="0"/>
          <w:marRight w:val="0"/>
          <w:marTop w:val="0"/>
          <w:marBottom w:val="0"/>
          <w:divBdr>
            <w:top w:val="none" w:sz="0" w:space="0" w:color="auto"/>
            <w:left w:val="none" w:sz="0" w:space="0" w:color="auto"/>
            <w:bottom w:val="none" w:sz="0" w:space="0" w:color="auto"/>
            <w:right w:val="none" w:sz="0" w:space="0" w:color="auto"/>
          </w:divBdr>
        </w:div>
        <w:div w:id="1493133938">
          <w:marLeft w:val="0"/>
          <w:marRight w:val="0"/>
          <w:marTop w:val="0"/>
          <w:marBottom w:val="0"/>
          <w:divBdr>
            <w:top w:val="none" w:sz="0" w:space="0" w:color="auto"/>
            <w:left w:val="none" w:sz="0" w:space="0" w:color="auto"/>
            <w:bottom w:val="none" w:sz="0" w:space="0" w:color="auto"/>
            <w:right w:val="none" w:sz="0" w:space="0" w:color="auto"/>
          </w:divBdr>
        </w:div>
        <w:div w:id="1031613529">
          <w:marLeft w:val="0"/>
          <w:marRight w:val="0"/>
          <w:marTop w:val="0"/>
          <w:marBottom w:val="0"/>
          <w:divBdr>
            <w:top w:val="none" w:sz="0" w:space="0" w:color="auto"/>
            <w:left w:val="none" w:sz="0" w:space="0" w:color="auto"/>
            <w:bottom w:val="none" w:sz="0" w:space="0" w:color="auto"/>
            <w:right w:val="none" w:sz="0" w:space="0" w:color="auto"/>
          </w:divBdr>
        </w:div>
        <w:div w:id="1648171648">
          <w:marLeft w:val="0"/>
          <w:marRight w:val="0"/>
          <w:marTop w:val="0"/>
          <w:marBottom w:val="0"/>
          <w:divBdr>
            <w:top w:val="none" w:sz="0" w:space="0" w:color="auto"/>
            <w:left w:val="none" w:sz="0" w:space="0" w:color="auto"/>
            <w:bottom w:val="none" w:sz="0" w:space="0" w:color="auto"/>
            <w:right w:val="none" w:sz="0" w:space="0" w:color="auto"/>
          </w:divBdr>
        </w:div>
        <w:div w:id="719208819">
          <w:marLeft w:val="0"/>
          <w:marRight w:val="0"/>
          <w:marTop w:val="0"/>
          <w:marBottom w:val="0"/>
          <w:divBdr>
            <w:top w:val="none" w:sz="0" w:space="0" w:color="auto"/>
            <w:left w:val="none" w:sz="0" w:space="0" w:color="auto"/>
            <w:bottom w:val="none" w:sz="0" w:space="0" w:color="auto"/>
            <w:right w:val="none" w:sz="0" w:space="0" w:color="auto"/>
          </w:divBdr>
        </w:div>
        <w:div w:id="2126850304">
          <w:marLeft w:val="0"/>
          <w:marRight w:val="0"/>
          <w:marTop w:val="0"/>
          <w:marBottom w:val="0"/>
          <w:divBdr>
            <w:top w:val="none" w:sz="0" w:space="0" w:color="auto"/>
            <w:left w:val="none" w:sz="0" w:space="0" w:color="auto"/>
            <w:bottom w:val="none" w:sz="0" w:space="0" w:color="auto"/>
            <w:right w:val="none" w:sz="0" w:space="0" w:color="auto"/>
          </w:divBdr>
        </w:div>
        <w:div w:id="154229221">
          <w:marLeft w:val="0"/>
          <w:marRight w:val="0"/>
          <w:marTop w:val="0"/>
          <w:marBottom w:val="0"/>
          <w:divBdr>
            <w:top w:val="none" w:sz="0" w:space="0" w:color="auto"/>
            <w:left w:val="none" w:sz="0" w:space="0" w:color="auto"/>
            <w:bottom w:val="none" w:sz="0" w:space="0" w:color="auto"/>
            <w:right w:val="none" w:sz="0" w:space="0" w:color="auto"/>
          </w:divBdr>
        </w:div>
        <w:div w:id="1095978001">
          <w:marLeft w:val="0"/>
          <w:marRight w:val="0"/>
          <w:marTop w:val="0"/>
          <w:marBottom w:val="0"/>
          <w:divBdr>
            <w:top w:val="none" w:sz="0" w:space="0" w:color="auto"/>
            <w:left w:val="none" w:sz="0" w:space="0" w:color="auto"/>
            <w:bottom w:val="none" w:sz="0" w:space="0" w:color="auto"/>
            <w:right w:val="none" w:sz="0" w:space="0" w:color="auto"/>
          </w:divBdr>
        </w:div>
        <w:div w:id="1290936046">
          <w:marLeft w:val="0"/>
          <w:marRight w:val="0"/>
          <w:marTop w:val="0"/>
          <w:marBottom w:val="0"/>
          <w:divBdr>
            <w:top w:val="none" w:sz="0" w:space="0" w:color="auto"/>
            <w:left w:val="none" w:sz="0" w:space="0" w:color="auto"/>
            <w:bottom w:val="none" w:sz="0" w:space="0" w:color="auto"/>
            <w:right w:val="none" w:sz="0" w:space="0" w:color="auto"/>
          </w:divBdr>
        </w:div>
        <w:div w:id="709653162">
          <w:marLeft w:val="0"/>
          <w:marRight w:val="0"/>
          <w:marTop w:val="0"/>
          <w:marBottom w:val="0"/>
          <w:divBdr>
            <w:top w:val="none" w:sz="0" w:space="0" w:color="auto"/>
            <w:left w:val="none" w:sz="0" w:space="0" w:color="auto"/>
            <w:bottom w:val="none" w:sz="0" w:space="0" w:color="auto"/>
            <w:right w:val="none" w:sz="0" w:space="0" w:color="auto"/>
          </w:divBdr>
        </w:div>
        <w:div w:id="75056343">
          <w:marLeft w:val="0"/>
          <w:marRight w:val="0"/>
          <w:marTop w:val="0"/>
          <w:marBottom w:val="0"/>
          <w:divBdr>
            <w:top w:val="none" w:sz="0" w:space="0" w:color="auto"/>
            <w:left w:val="none" w:sz="0" w:space="0" w:color="auto"/>
            <w:bottom w:val="none" w:sz="0" w:space="0" w:color="auto"/>
            <w:right w:val="none" w:sz="0" w:space="0" w:color="auto"/>
          </w:divBdr>
        </w:div>
        <w:div w:id="2124418987">
          <w:marLeft w:val="0"/>
          <w:marRight w:val="0"/>
          <w:marTop w:val="0"/>
          <w:marBottom w:val="0"/>
          <w:divBdr>
            <w:top w:val="none" w:sz="0" w:space="0" w:color="auto"/>
            <w:left w:val="none" w:sz="0" w:space="0" w:color="auto"/>
            <w:bottom w:val="none" w:sz="0" w:space="0" w:color="auto"/>
            <w:right w:val="none" w:sz="0" w:space="0" w:color="auto"/>
          </w:divBdr>
        </w:div>
        <w:div w:id="581531316">
          <w:marLeft w:val="0"/>
          <w:marRight w:val="0"/>
          <w:marTop w:val="0"/>
          <w:marBottom w:val="0"/>
          <w:divBdr>
            <w:top w:val="none" w:sz="0" w:space="0" w:color="auto"/>
            <w:left w:val="none" w:sz="0" w:space="0" w:color="auto"/>
            <w:bottom w:val="none" w:sz="0" w:space="0" w:color="auto"/>
            <w:right w:val="none" w:sz="0" w:space="0" w:color="auto"/>
          </w:divBdr>
        </w:div>
        <w:div w:id="119958965">
          <w:marLeft w:val="0"/>
          <w:marRight w:val="0"/>
          <w:marTop w:val="0"/>
          <w:marBottom w:val="0"/>
          <w:divBdr>
            <w:top w:val="none" w:sz="0" w:space="0" w:color="auto"/>
            <w:left w:val="none" w:sz="0" w:space="0" w:color="auto"/>
            <w:bottom w:val="none" w:sz="0" w:space="0" w:color="auto"/>
            <w:right w:val="none" w:sz="0" w:space="0" w:color="auto"/>
          </w:divBdr>
        </w:div>
        <w:div w:id="1649748772">
          <w:marLeft w:val="0"/>
          <w:marRight w:val="0"/>
          <w:marTop w:val="0"/>
          <w:marBottom w:val="0"/>
          <w:divBdr>
            <w:top w:val="none" w:sz="0" w:space="0" w:color="auto"/>
            <w:left w:val="none" w:sz="0" w:space="0" w:color="auto"/>
            <w:bottom w:val="none" w:sz="0" w:space="0" w:color="auto"/>
            <w:right w:val="none" w:sz="0" w:space="0" w:color="auto"/>
          </w:divBdr>
        </w:div>
        <w:div w:id="160194793">
          <w:marLeft w:val="0"/>
          <w:marRight w:val="0"/>
          <w:marTop w:val="0"/>
          <w:marBottom w:val="0"/>
          <w:divBdr>
            <w:top w:val="none" w:sz="0" w:space="0" w:color="auto"/>
            <w:left w:val="none" w:sz="0" w:space="0" w:color="auto"/>
            <w:bottom w:val="none" w:sz="0" w:space="0" w:color="auto"/>
            <w:right w:val="none" w:sz="0" w:space="0" w:color="auto"/>
          </w:divBdr>
        </w:div>
        <w:div w:id="2087072204">
          <w:marLeft w:val="0"/>
          <w:marRight w:val="0"/>
          <w:marTop w:val="0"/>
          <w:marBottom w:val="0"/>
          <w:divBdr>
            <w:top w:val="none" w:sz="0" w:space="0" w:color="auto"/>
            <w:left w:val="none" w:sz="0" w:space="0" w:color="auto"/>
            <w:bottom w:val="none" w:sz="0" w:space="0" w:color="auto"/>
            <w:right w:val="none" w:sz="0" w:space="0" w:color="auto"/>
          </w:divBdr>
        </w:div>
        <w:div w:id="2080055180">
          <w:marLeft w:val="0"/>
          <w:marRight w:val="0"/>
          <w:marTop w:val="0"/>
          <w:marBottom w:val="0"/>
          <w:divBdr>
            <w:top w:val="none" w:sz="0" w:space="0" w:color="auto"/>
            <w:left w:val="none" w:sz="0" w:space="0" w:color="auto"/>
            <w:bottom w:val="none" w:sz="0" w:space="0" w:color="auto"/>
            <w:right w:val="none" w:sz="0" w:space="0" w:color="auto"/>
          </w:divBdr>
        </w:div>
        <w:div w:id="1018969066">
          <w:marLeft w:val="0"/>
          <w:marRight w:val="0"/>
          <w:marTop w:val="0"/>
          <w:marBottom w:val="0"/>
          <w:divBdr>
            <w:top w:val="none" w:sz="0" w:space="0" w:color="auto"/>
            <w:left w:val="none" w:sz="0" w:space="0" w:color="auto"/>
            <w:bottom w:val="none" w:sz="0" w:space="0" w:color="auto"/>
            <w:right w:val="none" w:sz="0" w:space="0" w:color="auto"/>
          </w:divBdr>
        </w:div>
        <w:div w:id="706181531">
          <w:marLeft w:val="0"/>
          <w:marRight w:val="0"/>
          <w:marTop w:val="0"/>
          <w:marBottom w:val="0"/>
          <w:divBdr>
            <w:top w:val="none" w:sz="0" w:space="0" w:color="auto"/>
            <w:left w:val="none" w:sz="0" w:space="0" w:color="auto"/>
            <w:bottom w:val="none" w:sz="0" w:space="0" w:color="auto"/>
            <w:right w:val="none" w:sz="0" w:space="0" w:color="auto"/>
          </w:divBdr>
        </w:div>
        <w:div w:id="1784381000">
          <w:marLeft w:val="0"/>
          <w:marRight w:val="0"/>
          <w:marTop w:val="0"/>
          <w:marBottom w:val="0"/>
          <w:divBdr>
            <w:top w:val="none" w:sz="0" w:space="0" w:color="auto"/>
            <w:left w:val="none" w:sz="0" w:space="0" w:color="auto"/>
            <w:bottom w:val="none" w:sz="0" w:space="0" w:color="auto"/>
            <w:right w:val="none" w:sz="0" w:space="0" w:color="auto"/>
          </w:divBdr>
        </w:div>
        <w:div w:id="1167793990">
          <w:marLeft w:val="0"/>
          <w:marRight w:val="0"/>
          <w:marTop w:val="0"/>
          <w:marBottom w:val="0"/>
          <w:divBdr>
            <w:top w:val="none" w:sz="0" w:space="0" w:color="auto"/>
            <w:left w:val="none" w:sz="0" w:space="0" w:color="auto"/>
            <w:bottom w:val="none" w:sz="0" w:space="0" w:color="auto"/>
            <w:right w:val="none" w:sz="0" w:space="0" w:color="auto"/>
          </w:divBdr>
        </w:div>
        <w:div w:id="1149596375">
          <w:marLeft w:val="0"/>
          <w:marRight w:val="0"/>
          <w:marTop w:val="0"/>
          <w:marBottom w:val="0"/>
          <w:divBdr>
            <w:top w:val="none" w:sz="0" w:space="0" w:color="auto"/>
            <w:left w:val="none" w:sz="0" w:space="0" w:color="auto"/>
            <w:bottom w:val="none" w:sz="0" w:space="0" w:color="auto"/>
            <w:right w:val="none" w:sz="0" w:space="0" w:color="auto"/>
          </w:divBdr>
        </w:div>
        <w:div w:id="1497382626">
          <w:marLeft w:val="0"/>
          <w:marRight w:val="0"/>
          <w:marTop w:val="0"/>
          <w:marBottom w:val="0"/>
          <w:divBdr>
            <w:top w:val="none" w:sz="0" w:space="0" w:color="auto"/>
            <w:left w:val="none" w:sz="0" w:space="0" w:color="auto"/>
            <w:bottom w:val="none" w:sz="0" w:space="0" w:color="auto"/>
            <w:right w:val="none" w:sz="0" w:space="0" w:color="auto"/>
          </w:divBdr>
        </w:div>
        <w:div w:id="1894384884">
          <w:marLeft w:val="0"/>
          <w:marRight w:val="0"/>
          <w:marTop w:val="0"/>
          <w:marBottom w:val="0"/>
          <w:divBdr>
            <w:top w:val="none" w:sz="0" w:space="0" w:color="auto"/>
            <w:left w:val="none" w:sz="0" w:space="0" w:color="auto"/>
            <w:bottom w:val="none" w:sz="0" w:space="0" w:color="auto"/>
            <w:right w:val="none" w:sz="0" w:space="0" w:color="auto"/>
          </w:divBdr>
        </w:div>
        <w:div w:id="307053311">
          <w:marLeft w:val="0"/>
          <w:marRight w:val="0"/>
          <w:marTop w:val="0"/>
          <w:marBottom w:val="0"/>
          <w:divBdr>
            <w:top w:val="none" w:sz="0" w:space="0" w:color="auto"/>
            <w:left w:val="none" w:sz="0" w:space="0" w:color="auto"/>
            <w:bottom w:val="none" w:sz="0" w:space="0" w:color="auto"/>
            <w:right w:val="none" w:sz="0" w:space="0" w:color="auto"/>
          </w:divBdr>
        </w:div>
        <w:div w:id="1061443165">
          <w:marLeft w:val="0"/>
          <w:marRight w:val="0"/>
          <w:marTop w:val="0"/>
          <w:marBottom w:val="0"/>
          <w:divBdr>
            <w:top w:val="none" w:sz="0" w:space="0" w:color="auto"/>
            <w:left w:val="none" w:sz="0" w:space="0" w:color="auto"/>
            <w:bottom w:val="none" w:sz="0" w:space="0" w:color="auto"/>
            <w:right w:val="none" w:sz="0" w:space="0" w:color="auto"/>
          </w:divBdr>
        </w:div>
        <w:div w:id="1541085670">
          <w:marLeft w:val="0"/>
          <w:marRight w:val="0"/>
          <w:marTop w:val="0"/>
          <w:marBottom w:val="0"/>
          <w:divBdr>
            <w:top w:val="none" w:sz="0" w:space="0" w:color="auto"/>
            <w:left w:val="none" w:sz="0" w:space="0" w:color="auto"/>
            <w:bottom w:val="none" w:sz="0" w:space="0" w:color="auto"/>
            <w:right w:val="none" w:sz="0" w:space="0" w:color="auto"/>
          </w:divBdr>
        </w:div>
        <w:div w:id="747456391">
          <w:marLeft w:val="0"/>
          <w:marRight w:val="0"/>
          <w:marTop w:val="0"/>
          <w:marBottom w:val="0"/>
          <w:divBdr>
            <w:top w:val="none" w:sz="0" w:space="0" w:color="auto"/>
            <w:left w:val="none" w:sz="0" w:space="0" w:color="auto"/>
            <w:bottom w:val="none" w:sz="0" w:space="0" w:color="auto"/>
            <w:right w:val="none" w:sz="0" w:space="0" w:color="auto"/>
          </w:divBdr>
        </w:div>
        <w:div w:id="758872256">
          <w:marLeft w:val="0"/>
          <w:marRight w:val="0"/>
          <w:marTop w:val="0"/>
          <w:marBottom w:val="0"/>
          <w:divBdr>
            <w:top w:val="none" w:sz="0" w:space="0" w:color="auto"/>
            <w:left w:val="none" w:sz="0" w:space="0" w:color="auto"/>
            <w:bottom w:val="none" w:sz="0" w:space="0" w:color="auto"/>
            <w:right w:val="none" w:sz="0" w:space="0" w:color="auto"/>
          </w:divBdr>
        </w:div>
        <w:div w:id="2128888017">
          <w:marLeft w:val="0"/>
          <w:marRight w:val="0"/>
          <w:marTop w:val="0"/>
          <w:marBottom w:val="0"/>
          <w:divBdr>
            <w:top w:val="none" w:sz="0" w:space="0" w:color="auto"/>
            <w:left w:val="none" w:sz="0" w:space="0" w:color="auto"/>
            <w:bottom w:val="none" w:sz="0" w:space="0" w:color="auto"/>
            <w:right w:val="none" w:sz="0" w:space="0" w:color="auto"/>
          </w:divBdr>
        </w:div>
        <w:div w:id="1015034216">
          <w:marLeft w:val="0"/>
          <w:marRight w:val="0"/>
          <w:marTop w:val="0"/>
          <w:marBottom w:val="0"/>
          <w:divBdr>
            <w:top w:val="none" w:sz="0" w:space="0" w:color="auto"/>
            <w:left w:val="none" w:sz="0" w:space="0" w:color="auto"/>
            <w:bottom w:val="none" w:sz="0" w:space="0" w:color="auto"/>
            <w:right w:val="none" w:sz="0" w:space="0" w:color="auto"/>
          </w:divBdr>
        </w:div>
        <w:div w:id="127211021">
          <w:marLeft w:val="0"/>
          <w:marRight w:val="0"/>
          <w:marTop w:val="0"/>
          <w:marBottom w:val="0"/>
          <w:divBdr>
            <w:top w:val="none" w:sz="0" w:space="0" w:color="auto"/>
            <w:left w:val="none" w:sz="0" w:space="0" w:color="auto"/>
            <w:bottom w:val="none" w:sz="0" w:space="0" w:color="auto"/>
            <w:right w:val="none" w:sz="0" w:space="0" w:color="auto"/>
          </w:divBdr>
        </w:div>
        <w:div w:id="213321907">
          <w:marLeft w:val="0"/>
          <w:marRight w:val="0"/>
          <w:marTop w:val="0"/>
          <w:marBottom w:val="0"/>
          <w:divBdr>
            <w:top w:val="none" w:sz="0" w:space="0" w:color="auto"/>
            <w:left w:val="none" w:sz="0" w:space="0" w:color="auto"/>
            <w:bottom w:val="none" w:sz="0" w:space="0" w:color="auto"/>
            <w:right w:val="none" w:sz="0" w:space="0" w:color="auto"/>
          </w:divBdr>
        </w:div>
        <w:div w:id="1106772153">
          <w:marLeft w:val="0"/>
          <w:marRight w:val="0"/>
          <w:marTop w:val="0"/>
          <w:marBottom w:val="0"/>
          <w:divBdr>
            <w:top w:val="none" w:sz="0" w:space="0" w:color="auto"/>
            <w:left w:val="none" w:sz="0" w:space="0" w:color="auto"/>
            <w:bottom w:val="none" w:sz="0" w:space="0" w:color="auto"/>
            <w:right w:val="none" w:sz="0" w:space="0" w:color="auto"/>
          </w:divBdr>
        </w:div>
        <w:div w:id="1356275359">
          <w:marLeft w:val="0"/>
          <w:marRight w:val="0"/>
          <w:marTop w:val="0"/>
          <w:marBottom w:val="0"/>
          <w:divBdr>
            <w:top w:val="none" w:sz="0" w:space="0" w:color="auto"/>
            <w:left w:val="none" w:sz="0" w:space="0" w:color="auto"/>
            <w:bottom w:val="none" w:sz="0" w:space="0" w:color="auto"/>
            <w:right w:val="none" w:sz="0" w:space="0" w:color="auto"/>
          </w:divBdr>
        </w:div>
        <w:div w:id="1540895804">
          <w:marLeft w:val="0"/>
          <w:marRight w:val="0"/>
          <w:marTop w:val="0"/>
          <w:marBottom w:val="0"/>
          <w:divBdr>
            <w:top w:val="none" w:sz="0" w:space="0" w:color="auto"/>
            <w:left w:val="none" w:sz="0" w:space="0" w:color="auto"/>
            <w:bottom w:val="none" w:sz="0" w:space="0" w:color="auto"/>
            <w:right w:val="none" w:sz="0" w:space="0" w:color="auto"/>
          </w:divBdr>
        </w:div>
        <w:div w:id="1759599101">
          <w:marLeft w:val="0"/>
          <w:marRight w:val="0"/>
          <w:marTop w:val="0"/>
          <w:marBottom w:val="0"/>
          <w:divBdr>
            <w:top w:val="none" w:sz="0" w:space="0" w:color="auto"/>
            <w:left w:val="none" w:sz="0" w:space="0" w:color="auto"/>
            <w:bottom w:val="none" w:sz="0" w:space="0" w:color="auto"/>
            <w:right w:val="none" w:sz="0" w:space="0" w:color="auto"/>
          </w:divBdr>
        </w:div>
        <w:div w:id="1787580672">
          <w:marLeft w:val="0"/>
          <w:marRight w:val="0"/>
          <w:marTop w:val="0"/>
          <w:marBottom w:val="0"/>
          <w:divBdr>
            <w:top w:val="none" w:sz="0" w:space="0" w:color="auto"/>
            <w:left w:val="none" w:sz="0" w:space="0" w:color="auto"/>
            <w:bottom w:val="none" w:sz="0" w:space="0" w:color="auto"/>
            <w:right w:val="none" w:sz="0" w:space="0" w:color="auto"/>
          </w:divBdr>
        </w:div>
        <w:div w:id="516845543">
          <w:marLeft w:val="0"/>
          <w:marRight w:val="0"/>
          <w:marTop w:val="0"/>
          <w:marBottom w:val="0"/>
          <w:divBdr>
            <w:top w:val="none" w:sz="0" w:space="0" w:color="auto"/>
            <w:left w:val="none" w:sz="0" w:space="0" w:color="auto"/>
            <w:bottom w:val="none" w:sz="0" w:space="0" w:color="auto"/>
            <w:right w:val="none" w:sz="0" w:space="0" w:color="auto"/>
          </w:divBdr>
        </w:div>
        <w:div w:id="744299745">
          <w:marLeft w:val="0"/>
          <w:marRight w:val="0"/>
          <w:marTop w:val="0"/>
          <w:marBottom w:val="0"/>
          <w:divBdr>
            <w:top w:val="none" w:sz="0" w:space="0" w:color="auto"/>
            <w:left w:val="none" w:sz="0" w:space="0" w:color="auto"/>
            <w:bottom w:val="none" w:sz="0" w:space="0" w:color="auto"/>
            <w:right w:val="none" w:sz="0" w:space="0" w:color="auto"/>
          </w:divBdr>
        </w:div>
        <w:div w:id="1848860296">
          <w:marLeft w:val="0"/>
          <w:marRight w:val="0"/>
          <w:marTop w:val="0"/>
          <w:marBottom w:val="0"/>
          <w:divBdr>
            <w:top w:val="none" w:sz="0" w:space="0" w:color="auto"/>
            <w:left w:val="none" w:sz="0" w:space="0" w:color="auto"/>
            <w:bottom w:val="none" w:sz="0" w:space="0" w:color="auto"/>
            <w:right w:val="none" w:sz="0" w:space="0" w:color="auto"/>
          </w:divBdr>
        </w:div>
        <w:div w:id="705107751">
          <w:marLeft w:val="0"/>
          <w:marRight w:val="0"/>
          <w:marTop w:val="0"/>
          <w:marBottom w:val="0"/>
          <w:divBdr>
            <w:top w:val="none" w:sz="0" w:space="0" w:color="auto"/>
            <w:left w:val="none" w:sz="0" w:space="0" w:color="auto"/>
            <w:bottom w:val="none" w:sz="0" w:space="0" w:color="auto"/>
            <w:right w:val="none" w:sz="0" w:space="0" w:color="auto"/>
          </w:divBdr>
        </w:div>
        <w:div w:id="883831552">
          <w:marLeft w:val="0"/>
          <w:marRight w:val="0"/>
          <w:marTop w:val="0"/>
          <w:marBottom w:val="0"/>
          <w:divBdr>
            <w:top w:val="none" w:sz="0" w:space="0" w:color="auto"/>
            <w:left w:val="none" w:sz="0" w:space="0" w:color="auto"/>
            <w:bottom w:val="none" w:sz="0" w:space="0" w:color="auto"/>
            <w:right w:val="none" w:sz="0" w:space="0" w:color="auto"/>
          </w:divBdr>
        </w:div>
        <w:div w:id="698240336">
          <w:marLeft w:val="0"/>
          <w:marRight w:val="0"/>
          <w:marTop w:val="0"/>
          <w:marBottom w:val="0"/>
          <w:divBdr>
            <w:top w:val="none" w:sz="0" w:space="0" w:color="auto"/>
            <w:left w:val="none" w:sz="0" w:space="0" w:color="auto"/>
            <w:bottom w:val="none" w:sz="0" w:space="0" w:color="auto"/>
            <w:right w:val="none" w:sz="0" w:space="0" w:color="auto"/>
          </w:divBdr>
        </w:div>
        <w:div w:id="400635644">
          <w:marLeft w:val="0"/>
          <w:marRight w:val="0"/>
          <w:marTop w:val="0"/>
          <w:marBottom w:val="0"/>
          <w:divBdr>
            <w:top w:val="none" w:sz="0" w:space="0" w:color="auto"/>
            <w:left w:val="none" w:sz="0" w:space="0" w:color="auto"/>
            <w:bottom w:val="none" w:sz="0" w:space="0" w:color="auto"/>
            <w:right w:val="none" w:sz="0" w:space="0" w:color="auto"/>
          </w:divBdr>
        </w:div>
        <w:div w:id="1945727268">
          <w:marLeft w:val="0"/>
          <w:marRight w:val="0"/>
          <w:marTop w:val="0"/>
          <w:marBottom w:val="0"/>
          <w:divBdr>
            <w:top w:val="none" w:sz="0" w:space="0" w:color="auto"/>
            <w:left w:val="none" w:sz="0" w:space="0" w:color="auto"/>
            <w:bottom w:val="none" w:sz="0" w:space="0" w:color="auto"/>
            <w:right w:val="none" w:sz="0" w:space="0" w:color="auto"/>
          </w:divBdr>
        </w:div>
        <w:div w:id="569460372">
          <w:marLeft w:val="0"/>
          <w:marRight w:val="0"/>
          <w:marTop w:val="0"/>
          <w:marBottom w:val="0"/>
          <w:divBdr>
            <w:top w:val="none" w:sz="0" w:space="0" w:color="auto"/>
            <w:left w:val="none" w:sz="0" w:space="0" w:color="auto"/>
            <w:bottom w:val="none" w:sz="0" w:space="0" w:color="auto"/>
            <w:right w:val="none" w:sz="0" w:space="0" w:color="auto"/>
          </w:divBdr>
        </w:div>
        <w:div w:id="1078135864">
          <w:marLeft w:val="0"/>
          <w:marRight w:val="0"/>
          <w:marTop w:val="0"/>
          <w:marBottom w:val="0"/>
          <w:divBdr>
            <w:top w:val="none" w:sz="0" w:space="0" w:color="auto"/>
            <w:left w:val="none" w:sz="0" w:space="0" w:color="auto"/>
            <w:bottom w:val="none" w:sz="0" w:space="0" w:color="auto"/>
            <w:right w:val="none" w:sz="0" w:space="0" w:color="auto"/>
          </w:divBdr>
        </w:div>
        <w:div w:id="1555384761">
          <w:marLeft w:val="0"/>
          <w:marRight w:val="0"/>
          <w:marTop w:val="0"/>
          <w:marBottom w:val="0"/>
          <w:divBdr>
            <w:top w:val="none" w:sz="0" w:space="0" w:color="auto"/>
            <w:left w:val="none" w:sz="0" w:space="0" w:color="auto"/>
            <w:bottom w:val="none" w:sz="0" w:space="0" w:color="auto"/>
            <w:right w:val="none" w:sz="0" w:space="0" w:color="auto"/>
          </w:divBdr>
        </w:div>
        <w:div w:id="1807895097">
          <w:marLeft w:val="0"/>
          <w:marRight w:val="0"/>
          <w:marTop w:val="0"/>
          <w:marBottom w:val="0"/>
          <w:divBdr>
            <w:top w:val="none" w:sz="0" w:space="0" w:color="auto"/>
            <w:left w:val="none" w:sz="0" w:space="0" w:color="auto"/>
            <w:bottom w:val="none" w:sz="0" w:space="0" w:color="auto"/>
            <w:right w:val="none" w:sz="0" w:space="0" w:color="auto"/>
          </w:divBdr>
        </w:div>
        <w:div w:id="2051295220">
          <w:marLeft w:val="0"/>
          <w:marRight w:val="0"/>
          <w:marTop w:val="0"/>
          <w:marBottom w:val="0"/>
          <w:divBdr>
            <w:top w:val="none" w:sz="0" w:space="0" w:color="auto"/>
            <w:left w:val="none" w:sz="0" w:space="0" w:color="auto"/>
            <w:bottom w:val="none" w:sz="0" w:space="0" w:color="auto"/>
            <w:right w:val="none" w:sz="0" w:space="0" w:color="auto"/>
          </w:divBdr>
        </w:div>
        <w:div w:id="2024814649">
          <w:marLeft w:val="0"/>
          <w:marRight w:val="0"/>
          <w:marTop w:val="0"/>
          <w:marBottom w:val="0"/>
          <w:divBdr>
            <w:top w:val="none" w:sz="0" w:space="0" w:color="auto"/>
            <w:left w:val="none" w:sz="0" w:space="0" w:color="auto"/>
            <w:bottom w:val="none" w:sz="0" w:space="0" w:color="auto"/>
            <w:right w:val="none" w:sz="0" w:space="0" w:color="auto"/>
          </w:divBdr>
        </w:div>
        <w:div w:id="1758480358">
          <w:marLeft w:val="0"/>
          <w:marRight w:val="0"/>
          <w:marTop w:val="0"/>
          <w:marBottom w:val="0"/>
          <w:divBdr>
            <w:top w:val="none" w:sz="0" w:space="0" w:color="auto"/>
            <w:left w:val="none" w:sz="0" w:space="0" w:color="auto"/>
            <w:bottom w:val="none" w:sz="0" w:space="0" w:color="auto"/>
            <w:right w:val="none" w:sz="0" w:space="0" w:color="auto"/>
          </w:divBdr>
        </w:div>
        <w:div w:id="1456170078">
          <w:marLeft w:val="0"/>
          <w:marRight w:val="0"/>
          <w:marTop w:val="0"/>
          <w:marBottom w:val="0"/>
          <w:divBdr>
            <w:top w:val="none" w:sz="0" w:space="0" w:color="auto"/>
            <w:left w:val="none" w:sz="0" w:space="0" w:color="auto"/>
            <w:bottom w:val="none" w:sz="0" w:space="0" w:color="auto"/>
            <w:right w:val="none" w:sz="0" w:space="0" w:color="auto"/>
          </w:divBdr>
        </w:div>
        <w:div w:id="137649074">
          <w:marLeft w:val="0"/>
          <w:marRight w:val="0"/>
          <w:marTop w:val="0"/>
          <w:marBottom w:val="0"/>
          <w:divBdr>
            <w:top w:val="none" w:sz="0" w:space="0" w:color="auto"/>
            <w:left w:val="none" w:sz="0" w:space="0" w:color="auto"/>
            <w:bottom w:val="none" w:sz="0" w:space="0" w:color="auto"/>
            <w:right w:val="none" w:sz="0" w:space="0" w:color="auto"/>
          </w:divBdr>
        </w:div>
        <w:div w:id="1585840669">
          <w:marLeft w:val="0"/>
          <w:marRight w:val="0"/>
          <w:marTop w:val="0"/>
          <w:marBottom w:val="0"/>
          <w:divBdr>
            <w:top w:val="none" w:sz="0" w:space="0" w:color="auto"/>
            <w:left w:val="none" w:sz="0" w:space="0" w:color="auto"/>
            <w:bottom w:val="none" w:sz="0" w:space="0" w:color="auto"/>
            <w:right w:val="none" w:sz="0" w:space="0" w:color="auto"/>
          </w:divBdr>
        </w:div>
        <w:div w:id="508327079">
          <w:marLeft w:val="0"/>
          <w:marRight w:val="0"/>
          <w:marTop w:val="0"/>
          <w:marBottom w:val="0"/>
          <w:divBdr>
            <w:top w:val="none" w:sz="0" w:space="0" w:color="auto"/>
            <w:left w:val="none" w:sz="0" w:space="0" w:color="auto"/>
            <w:bottom w:val="none" w:sz="0" w:space="0" w:color="auto"/>
            <w:right w:val="none" w:sz="0" w:space="0" w:color="auto"/>
          </w:divBdr>
        </w:div>
        <w:div w:id="1452168254">
          <w:marLeft w:val="0"/>
          <w:marRight w:val="0"/>
          <w:marTop w:val="0"/>
          <w:marBottom w:val="0"/>
          <w:divBdr>
            <w:top w:val="none" w:sz="0" w:space="0" w:color="auto"/>
            <w:left w:val="none" w:sz="0" w:space="0" w:color="auto"/>
            <w:bottom w:val="none" w:sz="0" w:space="0" w:color="auto"/>
            <w:right w:val="none" w:sz="0" w:space="0" w:color="auto"/>
          </w:divBdr>
        </w:div>
        <w:div w:id="26763802">
          <w:marLeft w:val="0"/>
          <w:marRight w:val="0"/>
          <w:marTop w:val="0"/>
          <w:marBottom w:val="0"/>
          <w:divBdr>
            <w:top w:val="none" w:sz="0" w:space="0" w:color="auto"/>
            <w:left w:val="none" w:sz="0" w:space="0" w:color="auto"/>
            <w:bottom w:val="none" w:sz="0" w:space="0" w:color="auto"/>
            <w:right w:val="none" w:sz="0" w:space="0" w:color="auto"/>
          </w:divBdr>
        </w:div>
        <w:div w:id="460928747">
          <w:marLeft w:val="0"/>
          <w:marRight w:val="0"/>
          <w:marTop w:val="0"/>
          <w:marBottom w:val="0"/>
          <w:divBdr>
            <w:top w:val="none" w:sz="0" w:space="0" w:color="auto"/>
            <w:left w:val="none" w:sz="0" w:space="0" w:color="auto"/>
            <w:bottom w:val="none" w:sz="0" w:space="0" w:color="auto"/>
            <w:right w:val="none" w:sz="0" w:space="0" w:color="auto"/>
          </w:divBdr>
        </w:div>
        <w:div w:id="1952544841">
          <w:marLeft w:val="0"/>
          <w:marRight w:val="0"/>
          <w:marTop w:val="0"/>
          <w:marBottom w:val="0"/>
          <w:divBdr>
            <w:top w:val="none" w:sz="0" w:space="0" w:color="auto"/>
            <w:left w:val="none" w:sz="0" w:space="0" w:color="auto"/>
            <w:bottom w:val="none" w:sz="0" w:space="0" w:color="auto"/>
            <w:right w:val="none" w:sz="0" w:space="0" w:color="auto"/>
          </w:divBdr>
        </w:div>
        <w:div w:id="609747331">
          <w:marLeft w:val="0"/>
          <w:marRight w:val="0"/>
          <w:marTop w:val="0"/>
          <w:marBottom w:val="0"/>
          <w:divBdr>
            <w:top w:val="none" w:sz="0" w:space="0" w:color="auto"/>
            <w:left w:val="none" w:sz="0" w:space="0" w:color="auto"/>
            <w:bottom w:val="none" w:sz="0" w:space="0" w:color="auto"/>
            <w:right w:val="none" w:sz="0" w:space="0" w:color="auto"/>
          </w:divBdr>
        </w:div>
        <w:div w:id="310672421">
          <w:marLeft w:val="0"/>
          <w:marRight w:val="0"/>
          <w:marTop w:val="0"/>
          <w:marBottom w:val="0"/>
          <w:divBdr>
            <w:top w:val="none" w:sz="0" w:space="0" w:color="auto"/>
            <w:left w:val="none" w:sz="0" w:space="0" w:color="auto"/>
            <w:bottom w:val="none" w:sz="0" w:space="0" w:color="auto"/>
            <w:right w:val="none" w:sz="0" w:space="0" w:color="auto"/>
          </w:divBdr>
        </w:div>
        <w:div w:id="1343971770">
          <w:marLeft w:val="0"/>
          <w:marRight w:val="0"/>
          <w:marTop w:val="0"/>
          <w:marBottom w:val="0"/>
          <w:divBdr>
            <w:top w:val="none" w:sz="0" w:space="0" w:color="auto"/>
            <w:left w:val="none" w:sz="0" w:space="0" w:color="auto"/>
            <w:bottom w:val="none" w:sz="0" w:space="0" w:color="auto"/>
            <w:right w:val="none" w:sz="0" w:space="0" w:color="auto"/>
          </w:divBdr>
        </w:div>
        <w:div w:id="1320117315">
          <w:marLeft w:val="0"/>
          <w:marRight w:val="0"/>
          <w:marTop w:val="0"/>
          <w:marBottom w:val="0"/>
          <w:divBdr>
            <w:top w:val="none" w:sz="0" w:space="0" w:color="auto"/>
            <w:left w:val="none" w:sz="0" w:space="0" w:color="auto"/>
            <w:bottom w:val="none" w:sz="0" w:space="0" w:color="auto"/>
            <w:right w:val="none" w:sz="0" w:space="0" w:color="auto"/>
          </w:divBdr>
        </w:div>
        <w:div w:id="126168557">
          <w:marLeft w:val="0"/>
          <w:marRight w:val="0"/>
          <w:marTop w:val="0"/>
          <w:marBottom w:val="0"/>
          <w:divBdr>
            <w:top w:val="none" w:sz="0" w:space="0" w:color="auto"/>
            <w:left w:val="none" w:sz="0" w:space="0" w:color="auto"/>
            <w:bottom w:val="none" w:sz="0" w:space="0" w:color="auto"/>
            <w:right w:val="none" w:sz="0" w:space="0" w:color="auto"/>
          </w:divBdr>
        </w:div>
        <w:div w:id="1959675688">
          <w:marLeft w:val="0"/>
          <w:marRight w:val="0"/>
          <w:marTop w:val="0"/>
          <w:marBottom w:val="0"/>
          <w:divBdr>
            <w:top w:val="none" w:sz="0" w:space="0" w:color="auto"/>
            <w:left w:val="none" w:sz="0" w:space="0" w:color="auto"/>
            <w:bottom w:val="none" w:sz="0" w:space="0" w:color="auto"/>
            <w:right w:val="none" w:sz="0" w:space="0" w:color="auto"/>
          </w:divBdr>
        </w:div>
        <w:div w:id="1901819684">
          <w:marLeft w:val="0"/>
          <w:marRight w:val="0"/>
          <w:marTop w:val="0"/>
          <w:marBottom w:val="0"/>
          <w:divBdr>
            <w:top w:val="none" w:sz="0" w:space="0" w:color="auto"/>
            <w:left w:val="none" w:sz="0" w:space="0" w:color="auto"/>
            <w:bottom w:val="none" w:sz="0" w:space="0" w:color="auto"/>
            <w:right w:val="none" w:sz="0" w:space="0" w:color="auto"/>
          </w:divBdr>
        </w:div>
        <w:div w:id="1234700923">
          <w:marLeft w:val="0"/>
          <w:marRight w:val="0"/>
          <w:marTop w:val="0"/>
          <w:marBottom w:val="0"/>
          <w:divBdr>
            <w:top w:val="none" w:sz="0" w:space="0" w:color="auto"/>
            <w:left w:val="none" w:sz="0" w:space="0" w:color="auto"/>
            <w:bottom w:val="none" w:sz="0" w:space="0" w:color="auto"/>
            <w:right w:val="none" w:sz="0" w:space="0" w:color="auto"/>
          </w:divBdr>
        </w:div>
        <w:div w:id="198519031">
          <w:marLeft w:val="0"/>
          <w:marRight w:val="0"/>
          <w:marTop w:val="0"/>
          <w:marBottom w:val="0"/>
          <w:divBdr>
            <w:top w:val="none" w:sz="0" w:space="0" w:color="auto"/>
            <w:left w:val="none" w:sz="0" w:space="0" w:color="auto"/>
            <w:bottom w:val="none" w:sz="0" w:space="0" w:color="auto"/>
            <w:right w:val="none" w:sz="0" w:space="0" w:color="auto"/>
          </w:divBdr>
        </w:div>
        <w:div w:id="549466351">
          <w:marLeft w:val="0"/>
          <w:marRight w:val="0"/>
          <w:marTop w:val="0"/>
          <w:marBottom w:val="0"/>
          <w:divBdr>
            <w:top w:val="none" w:sz="0" w:space="0" w:color="auto"/>
            <w:left w:val="none" w:sz="0" w:space="0" w:color="auto"/>
            <w:bottom w:val="none" w:sz="0" w:space="0" w:color="auto"/>
            <w:right w:val="none" w:sz="0" w:space="0" w:color="auto"/>
          </w:divBdr>
        </w:div>
        <w:div w:id="1386367780">
          <w:marLeft w:val="0"/>
          <w:marRight w:val="0"/>
          <w:marTop w:val="0"/>
          <w:marBottom w:val="0"/>
          <w:divBdr>
            <w:top w:val="none" w:sz="0" w:space="0" w:color="auto"/>
            <w:left w:val="none" w:sz="0" w:space="0" w:color="auto"/>
            <w:bottom w:val="none" w:sz="0" w:space="0" w:color="auto"/>
            <w:right w:val="none" w:sz="0" w:space="0" w:color="auto"/>
          </w:divBdr>
        </w:div>
        <w:div w:id="1083142117">
          <w:marLeft w:val="0"/>
          <w:marRight w:val="0"/>
          <w:marTop w:val="0"/>
          <w:marBottom w:val="0"/>
          <w:divBdr>
            <w:top w:val="none" w:sz="0" w:space="0" w:color="auto"/>
            <w:left w:val="none" w:sz="0" w:space="0" w:color="auto"/>
            <w:bottom w:val="none" w:sz="0" w:space="0" w:color="auto"/>
            <w:right w:val="none" w:sz="0" w:space="0" w:color="auto"/>
          </w:divBdr>
        </w:div>
        <w:div w:id="1076243700">
          <w:marLeft w:val="0"/>
          <w:marRight w:val="0"/>
          <w:marTop w:val="0"/>
          <w:marBottom w:val="0"/>
          <w:divBdr>
            <w:top w:val="none" w:sz="0" w:space="0" w:color="auto"/>
            <w:left w:val="none" w:sz="0" w:space="0" w:color="auto"/>
            <w:bottom w:val="none" w:sz="0" w:space="0" w:color="auto"/>
            <w:right w:val="none" w:sz="0" w:space="0" w:color="auto"/>
          </w:divBdr>
        </w:div>
        <w:div w:id="256255651">
          <w:marLeft w:val="0"/>
          <w:marRight w:val="0"/>
          <w:marTop w:val="0"/>
          <w:marBottom w:val="0"/>
          <w:divBdr>
            <w:top w:val="none" w:sz="0" w:space="0" w:color="auto"/>
            <w:left w:val="none" w:sz="0" w:space="0" w:color="auto"/>
            <w:bottom w:val="none" w:sz="0" w:space="0" w:color="auto"/>
            <w:right w:val="none" w:sz="0" w:space="0" w:color="auto"/>
          </w:divBdr>
        </w:div>
        <w:div w:id="1262451320">
          <w:marLeft w:val="0"/>
          <w:marRight w:val="0"/>
          <w:marTop w:val="0"/>
          <w:marBottom w:val="0"/>
          <w:divBdr>
            <w:top w:val="none" w:sz="0" w:space="0" w:color="auto"/>
            <w:left w:val="none" w:sz="0" w:space="0" w:color="auto"/>
            <w:bottom w:val="none" w:sz="0" w:space="0" w:color="auto"/>
            <w:right w:val="none" w:sz="0" w:space="0" w:color="auto"/>
          </w:divBdr>
        </w:div>
        <w:div w:id="2001537027">
          <w:marLeft w:val="0"/>
          <w:marRight w:val="0"/>
          <w:marTop w:val="0"/>
          <w:marBottom w:val="0"/>
          <w:divBdr>
            <w:top w:val="none" w:sz="0" w:space="0" w:color="auto"/>
            <w:left w:val="none" w:sz="0" w:space="0" w:color="auto"/>
            <w:bottom w:val="none" w:sz="0" w:space="0" w:color="auto"/>
            <w:right w:val="none" w:sz="0" w:space="0" w:color="auto"/>
          </w:divBdr>
        </w:div>
        <w:div w:id="1663461486">
          <w:marLeft w:val="0"/>
          <w:marRight w:val="0"/>
          <w:marTop w:val="0"/>
          <w:marBottom w:val="0"/>
          <w:divBdr>
            <w:top w:val="none" w:sz="0" w:space="0" w:color="auto"/>
            <w:left w:val="none" w:sz="0" w:space="0" w:color="auto"/>
            <w:bottom w:val="none" w:sz="0" w:space="0" w:color="auto"/>
            <w:right w:val="none" w:sz="0" w:space="0" w:color="auto"/>
          </w:divBdr>
        </w:div>
        <w:div w:id="2080860867">
          <w:marLeft w:val="0"/>
          <w:marRight w:val="0"/>
          <w:marTop w:val="0"/>
          <w:marBottom w:val="0"/>
          <w:divBdr>
            <w:top w:val="none" w:sz="0" w:space="0" w:color="auto"/>
            <w:left w:val="none" w:sz="0" w:space="0" w:color="auto"/>
            <w:bottom w:val="none" w:sz="0" w:space="0" w:color="auto"/>
            <w:right w:val="none" w:sz="0" w:space="0" w:color="auto"/>
          </w:divBdr>
        </w:div>
        <w:div w:id="1561673888">
          <w:marLeft w:val="0"/>
          <w:marRight w:val="0"/>
          <w:marTop w:val="0"/>
          <w:marBottom w:val="0"/>
          <w:divBdr>
            <w:top w:val="none" w:sz="0" w:space="0" w:color="auto"/>
            <w:left w:val="none" w:sz="0" w:space="0" w:color="auto"/>
            <w:bottom w:val="none" w:sz="0" w:space="0" w:color="auto"/>
            <w:right w:val="none" w:sz="0" w:space="0" w:color="auto"/>
          </w:divBdr>
        </w:div>
        <w:div w:id="1482691189">
          <w:marLeft w:val="0"/>
          <w:marRight w:val="0"/>
          <w:marTop w:val="0"/>
          <w:marBottom w:val="0"/>
          <w:divBdr>
            <w:top w:val="none" w:sz="0" w:space="0" w:color="auto"/>
            <w:left w:val="none" w:sz="0" w:space="0" w:color="auto"/>
            <w:bottom w:val="none" w:sz="0" w:space="0" w:color="auto"/>
            <w:right w:val="none" w:sz="0" w:space="0" w:color="auto"/>
          </w:divBdr>
        </w:div>
        <w:div w:id="757214339">
          <w:marLeft w:val="0"/>
          <w:marRight w:val="0"/>
          <w:marTop w:val="0"/>
          <w:marBottom w:val="0"/>
          <w:divBdr>
            <w:top w:val="none" w:sz="0" w:space="0" w:color="auto"/>
            <w:left w:val="none" w:sz="0" w:space="0" w:color="auto"/>
            <w:bottom w:val="none" w:sz="0" w:space="0" w:color="auto"/>
            <w:right w:val="none" w:sz="0" w:space="0" w:color="auto"/>
          </w:divBdr>
        </w:div>
        <w:div w:id="677200964">
          <w:marLeft w:val="0"/>
          <w:marRight w:val="0"/>
          <w:marTop w:val="0"/>
          <w:marBottom w:val="0"/>
          <w:divBdr>
            <w:top w:val="none" w:sz="0" w:space="0" w:color="auto"/>
            <w:left w:val="none" w:sz="0" w:space="0" w:color="auto"/>
            <w:bottom w:val="none" w:sz="0" w:space="0" w:color="auto"/>
            <w:right w:val="none" w:sz="0" w:space="0" w:color="auto"/>
          </w:divBdr>
        </w:div>
        <w:div w:id="228464950">
          <w:marLeft w:val="0"/>
          <w:marRight w:val="0"/>
          <w:marTop w:val="0"/>
          <w:marBottom w:val="0"/>
          <w:divBdr>
            <w:top w:val="none" w:sz="0" w:space="0" w:color="auto"/>
            <w:left w:val="none" w:sz="0" w:space="0" w:color="auto"/>
            <w:bottom w:val="none" w:sz="0" w:space="0" w:color="auto"/>
            <w:right w:val="none" w:sz="0" w:space="0" w:color="auto"/>
          </w:divBdr>
        </w:div>
        <w:div w:id="871848776">
          <w:marLeft w:val="0"/>
          <w:marRight w:val="0"/>
          <w:marTop w:val="0"/>
          <w:marBottom w:val="0"/>
          <w:divBdr>
            <w:top w:val="none" w:sz="0" w:space="0" w:color="auto"/>
            <w:left w:val="none" w:sz="0" w:space="0" w:color="auto"/>
            <w:bottom w:val="none" w:sz="0" w:space="0" w:color="auto"/>
            <w:right w:val="none" w:sz="0" w:space="0" w:color="auto"/>
          </w:divBdr>
        </w:div>
        <w:div w:id="44259723">
          <w:marLeft w:val="0"/>
          <w:marRight w:val="0"/>
          <w:marTop w:val="0"/>
          <w:marBottom w:val="0"/>
          <w:divBdr>
            <w:top w:val="none" w:sz="0" w:space="0" w:color="auto"/>
            <w:left w:val="none" w:sz="0" w:space="0" w:color="auto"/>
            <w:bottom w:val="none" w:sz="0" w:space="0" w:color="auto"/>
            <w:right w:val="none" w:sz="0" w:space="0" w:color="auto"/>
          </w:divBdr>
        </w:div>
        <w:div w:id="981999862">
          <w:marLeft w:val="0"/>
          <w:marRight w:val="0"/>
          <w:marTop w:val="0"/>
          <w:marBottom w:val="0"/>
          <w:divBdr>
            <w:top w:val="none" w:sz="0" w:space="0" w:color="auto"/>
            <w:left w:val="none" w:sz="0" w:space="0" w:color="auto"/>
            <w:bottom w:val="none" w:sz="0" w:space="0" w:color="auto"/>
            <w:right w:val="none" w:sz="0" w:space="0" w:color="auto"/>
          </w:divBdr>
        </w:div>
        <w:div w:id="456142001">
          <w:marLeft w:val="0"/>
          <w:marRight w:val="0"/>
          <w:marTop w:val="0"/>
          <w:marBottom w:val="0"/>
          <w:divBdr>
            <w:top w:val="none" w:sz="0" w:space="0" w:color="auto"/>
            <w:left w:val="none" w:sz="0" w:space="0" w:color="auto"/>
            <w:bottom w:val="none" w:sz="0" w:space="0" w:color="auto"/>
            <w:right w:val="none" w:sz="0" w:space="0" w:color="auto"/>
          </w:divBdr>
        </w:div>
        <w:div w:id="320738729">
          <w:marLeft w:val="0"/>
          <w:marRight w:val="0"/>
          <w:marTop w:val="0"/>
          <w:marBottom w:val="0"/>
          <w:divBdr>
            <w:top w:val="none" w:sz="0" w:space="0" w:color="auto"/>
            <w:left w:val="none" w:sz="0" w:space="0" w:color="auto"/>
            <w:bottom w:val="none" w:sz="0" w:space="0" w:color="auto"/>
            <w:right w:val="none" w:sz="0" w:space="0" w:color="auto"/>
          </w:divBdr>
        </w:div>
        <w:div w:id="364524225">
          <w:marLeft w:val="0"/>
          <w:marRight w:val="0"/>
          <w:marTop w:val="0"/>
          <w:marBottom w:val="0"/>
          <w:divBdr>
            <w:top w:val="none" w:sz="0" w:space="0" w:color="auto"/>
            <w:left w:val="none" w:sz="0" w:space="0" w:color="auto"/>
            <w:bottom w:val="none" w:sz="0" w:space="0" w:color="auto"/>
            <w:right w:val="none" w:sz="0" w:space="0" w:color="auto"/>
          </w:divBdr>
        </w:div>
        <w:div w:id="1015692238">
          <w:marLeft w:val="0"/>
          <w:marRight w:val="0"/>
          <w:marTop w:val="0"/>
          <w:marBottom w:val="0"/>
          <w:divBdr>
            <w:top w:val="none" w:sz="0" w:space="0" w:color="auto"/>
            <w:left w:val="none" w:sz="0" w:space="0" w:color="auto"/>
            <w:bottom w:val="none" w:sz="0" w:space="0" w:color="auto"/>
            <w:right w:val="none" w:sz="0" w:space="0" w:color="auto"/>
          </w:divBdr>
        </w:div>
        <w:div w:id="1535655231">
          <w:marLeft w:val="0"/>
          <w:marRight w:val="0"/>
          <w:marTop w:val="0"/>
          <w:marBottom w:val="0"/>
          <w:divBdr>
            <w:top w:val="none" w:sz="0" w:space="0" w:color="auto"/>
            <w:left w:val="none" w:sz="0" w:space="0" w:color="auto"/>
            <w:bottom w:val="none" w:sz="0" w:space="0" w:color="auto"/>
            <w:right w:val="none" w:sz="0" w:space="0" w:color="auto"/>
          </w:divBdr>
        </w:div>
        <w:div w:id="1001271637">
          <w:marLeft w:val="0"/>
          <w:marRight w:val="0"/>
          <w:marTop w:val="0"/>
          <w:marBottom w:val="0"/>
          <w:divBdr>
            <w:top w:val="none" w:sz="0" w:space="0" w:color="auto"/>
            <w:left w:val="none" w:sz="0" w:space="0" w:color="auto"/>
            <w:bottom w:val="none" w:sz="0" w:space="0" w:color="auto"/>
            <w:right w:val="none" w:sz="0" w:space="0" w:color="auto"/>
          </w:divBdr>
        </w:div>
        <w:div w:id="630480152">
          <w:marLeft w:val="0"/>
          <w:marRight w:val="0"/>
          <w:marTop w:val="0"/>
          <w:marBottom w:val="0"/>
          <w:divBdr>
            <w:top w:val="none" w:sz="0" w:space="0" w:color="auto"/>
            <w:left w:val="none" w:sz="0" w:space="0" w:color="auto"/>
            <w:bottom w:val="none" w:sz="0" w:space="0" w:color="auto"/>
            <w:right w:val="none" w:sz="0" w:space="0" w:color="auto"/>
          </w:divBdr>
        </w:div>
        <w:div w:id="354767641">
          <w:marLeft w:val="0"/>
          <w:marRight w:val="0"/>
          <w:marTop w:val="0"/>
          <w:marBottom w:val="0"/>
          <w:divBdr>
            <w:top w:val="none" w:sz="0" w:space="0" w:color="auto"/>
            <w:left w:val="none" w:sz="0" w:space="0" w:color="auto"/>
            <w:bottom w:val="none" w:sz="0" w:space="0" w:color="auto"/>
            <w:right w:val="none" w:sz="0" w:space="0" w:color="auto"/>
          </w:divBdr>
        </w:div>
        <w:div w:id="2008745555">
          <w:marLeft w:val="0"/>
          <w:marRight w:val="0"/>
          <w:marTop w:val="0"/>
          <w:marBottom w:val="0"/>
          <w:divBdr>
            <w:top w:val="none" w:sz="0" w:space="0" w:color="auto"/>
            <w:left w:val="none" w:sz="0" w:space="0" w:color="auto"/>
            <w:bottom w:val="none" w:sz="0" w:space="0" w:color="auto"/>
            <w:right w:val="none" w:sz="0" w:space="0" w:color="auto"/>
          </w:divBdr>
        </w:div>
        <w:div w:id="833373961">
          <w:marLeft w:val="0"/>
          <w:marRight w:val="0"/>
          <w:marTop w:val="0"/>
          <w:marBottom w:val="0"/>
          <w:divBdr>
            <w:top w:val="none" w:sz="0" w:space="0" w:color="auto"/>
            <w:left w:val="none" w:sz="0" w:space="0" w:color="auto"/>
            <w:bottom w:val="none" w:sz="0" w:space="0" w:color="auto"/>
            <w:right w:val="none" w:sz="0" w:space="0" w:color="auto"/>
          </w:divBdr>
        </w:div>
        <w:div w:id="1370914017">
          <w:marLeft w:val="0"/>
          <w:marRight w:val="0"/>
          <w:marTop w:val="0"/>
          <w:marBottom w:val="0"/>
          <w:divBdr>
            <w:top w:val="none" w:sz="0" w:space="0" w:color="auto"/>
            <w:left w:val="none" w:sz="0" w:space="0" w:color="auto"/>
            <w:bottom w:val="none" w:sz="0" w:space="0" w:color="auto"/>
            <w:right w:val="none" w:sz="0" w:space="0" w:color="auto"/>
          </w:divBdr>
        </w:div>
        <w:div w:id="1928273400">
          <w:marLeft w:val="0"/>
          <w:marRight w:val="0"/>
          <w:marTop w:val="0"/>
          <w:marBottom w:val="0"/>
          <w:divBdr>
            <w:top w:val="none" w:sz="0" w:space="0" w:color="auto"/>
            <w:left w:val="none" w:sz="0" w:space="0" w:color="auto"/>
            <w:bottom w:val="none" w:sz="0" w:space="0" w:color="auto"/>
            <w:right w:val="none" w:sz="0" w:space="0" w:color="auto"/>
          </w:divBdr>
        </w:div>
        <w:div w:id="1415056629">
          <w:marLeft w:val="0"/>
          <w:marRight w:val="0"/>
          <w:marTop w:val="0"/>
          <w:marBottom w:val="0"/>
          <w:divBdr>
            <w:top w:val="none" w:sz="0" w:space="0" w:color="auto"/>
            <w:left w:val="none" w:sz="0" w:space="0" w:color="auto"/>
            <w:bottom w:val="none" w:sz="0" w:space="0" w:color="auto"/>
            <w:right w:val="none" w:sz="0" w:space="0" w:color="auto"/>
          </w:divBdr>
        </w:div>
        <w:div w:id="400521277">
          <w:marLeft w:val="0"/>
          <w:marRight w:val="0"/>
          <w:marTop w:val="0"/>
          <w:marBottom w:val="0"/>
          <w:divBdr>
            <w:top w:val="none" w:sz="0" w:space="0" w:color="auto"/>
            <w:left w:val="none" w:sz="0" w:space="0" w:color="auto"/>
            <w:bottom w:val="none" w:sz="0" w:space="0" w:color="auto"/>
            <w:right w:val="none" w:sz="0" w:space="0" w:color="auto"/>
          </w:divBdr>
        </w:div>
        <w:div w:id="1461535936">
          <w:marLeft w:val="0"/>
          <w:marRight w:val="0"/>
          <w:marTop w:val="0"/>
          <w:marBottom w:val="0"/>
          <w:divBdr>
            <w:top w:val="none" w:sz="0" w:space="0" w:color="auto"/>
            <w:left w:val="none" w:sz="0" w:space="0" w:color="auto"/>
            <w:bottom w:val="none" w:sz="0" w:space="0" w:color="auto"/>
            <w:right w:val="none" w:sz="0" w:space="0" w:color="auto"/>
          </w:divBdr>
        </w:div>
        <w:div w:id="76248204">
          <w:marLeft w:val="0"/>
          <w:marRight w:val="0"/>
          <w:marTop w:val="0"/>
          <w:marBottom w:val="0"/>
          <w:divBdr>
            <w:top w:val="none" w:sz="0" w:space="0" w:color="auto"/>
            <w:left w:val="none" w:sz="0" w:space="0" w:color="auto"/>
            <w:bottom w:val="none" w:sz="0" w:space="0" w:color="auto"/>
            <w:right w:val="none" w:sz="0" w:space="0" w:color="auto"/>
          </w:divBdr>
        </w:div>
        <w:div w:id="1496338054">
          <w:marLeft w:val="0"/>
          <w:marRight w:val="0"/>
          <w:marTop w:val="0"/>
          <w:marBottom w:val="0"/>
          <w:divBdr>
            <w:top w:val="none" w:sz="0" w:space="0" w:color="auto"/>
            <w:left w:val="none" w:sz="0" w:space="0" w:color="auto"/>
            <w:bottom w:val="none" w:sz="0" w:space="0" w:color="auto"/>
            <w:right w:val="none" w:sz="0" w:space="0" w:color="auto"/>
          </w:divBdr>
        </w:div>
        <w:div w:id="2029790234">
          <w:marLeft w:val="0"/>
          <w:marRight w:val="0"/>
          <w:marTop w:val="0"/>
          <w:marBottom w:val="0"/>
          <w:divBdr>
            <w:top w:val="none" w:sz="0" w:space="0" w:color="auto"/>
            <w:left w:val="none" w:sz="0" w:space="0" w:color="auto"/>
            <w:bottom w:val="none" w:sz="0" w:space="0" w:color="auto"/>
            <w:right w:val="none" w:sz="0" w:space="0" w:color="auto"/>
          </w:divBdr>
        </w:div>
        <w:div w:id="416756574">
          <w:marLeft w:val="0"/>
          <w:marRight w:val="0"/>
          <w:marTop w:val="0"/>
          <w:marBottom w:val="0"/>
          <w:divBdr>
            <w:top w:val="none" w:sz="0" w:space="0" w:color="auto"/>
            <w:left w:val="none" w:sz="0" w:space="0" w:color="auto"/>
            <w:bottom w:val="none" w:sz="0" w:space="0" w:color="auto"/>
            <w:right w:val="none" w:sz="0" w:space="0" w:color="auto"/>
          </w:divBdr>
        </w:div>
        <w:div w:id="780027676">
          <w:marLeft w:val="0"/>
          <w:marRight w:val="0"/>
          <w:marTop w:val="0"/>
          <w:marBottom w:val="0"/>
          <w:divBdr>
            <w:top w:val="none" w:sz="0" w:space="0" w:color="auto"/>
            <w:left w:val="none" w:sz="0" w:space="0" w:color="auto"/>
            <w:bottom w:val="none" w:sz="0" w:space="0" w:color="auto"/>
            <w:right w:val="none" w:sz="0" w:space="0" w:color="auto"/>
          </w:divBdr>
        </w:div>
        <w:div w:id="276760078">
          <w:marLeft w:val="0"/>
          <w:marRight w:val="0"/>
          <w:marTop w:val="0"/>
          <w:marBottom w:val="0"/>
          <w:divBdr>
            <w:top w:val="none" w:sz="0" w:space="0" w:color="auto"/>
            <w:left w:val="none" w:sz="0" w:space="0" w:color="auto"/>
            <w:bottom w:val="none" w:sz="0" w:space="0" w:color="auto"/>
            <w:right w:val="none" w:sz="0" w:space="0" w:color="auto"/>
          </w:divBdr>
        </w:div>
        <w:div w:id="1345745437">
          <w:marLeft w:val="0"/>
          <w:marRight w:val="0"/>
          <w:marTop w:val="0"/>
          <w:marBottom w:val="0"/>
          <w:divBdr>
            <w:top w:val="none" w:sz="0" w:space="0" w:color="auto"/>
            <w:left w:val="none" w:sz="0" w:space="0" w:color="auto"/>
            <w:bottom w:val="none" w:sz="0" w:space="0" w:color="auto"/>
            <w:right w:val="none" w:sz="0" w:space="0" w:color="auto"/>
          </w:divBdr>
        </w:div>
        <w:div w:id="1937328535">
          <w:marLeft w:val="0"/>
          <w:marRight w:val="0"/>
          <w:marTop w:val="0"/>
          <w:marBottom w:val="0"/>
          <w:divBdr>
            <w:top w:val="none" w:sz="0" w:space="0" w:color="auto"/>
            <w:left w:val="none" w:sz="0" w:space="0" w:color="auto"/>
            <w:bottom w:val="none" w:sz="0" w:space="0" w:color="auto"/>
            <w:right w:val="none" w:sz="0" w:space="0" w:color="auto"/>
          </w:divBdr>
        </w:div>
        <w:div w:id="1076591693">
          <w:marLeft w:val="0"/>
          <w:marRight w:val="0"/>
          <w:marTop w:val="0"/>
          <w:marBottom w:val="0"/>
          <w:divBdr>
            <w:top w:val="none" w:sz="0" w:space="0" w:color="auto"/>
            <w:left w:val="none" w:sz="0" w:space="0" w:color="auto"/>
            <w:bottom w:val="none" w:sz="0" w:space="0" w:color="auto"/>
            <w:right w:val="none" w:sz="0" w:space="0" w:color="auto"/>
          </w:divBdr>
        </w:div>
        <w:div w:id="1422944753">
          <w:marLeft w:val="0"/>
          <w:marRight w:val="0"/>
          <w:marTop w:val="0"/>
          <w:marBottom w:val="0"/>
          <w:divBdr>
            <w:top w:val="none" w:sz="0" w:space="0" w:color="auto"/>
            <w:left w:val="none" w:sz="0" w:space="0" w:color="auto"/>
            <w:bottom w:val="none" w:sz="0" w:space="0" w:color="auto"/>
            <w:right w:val="none" w:sz="0" w:space="0" w:color="auto"/>
          </w:divBdr>
        </w:div>
        <w:div w:id="1978682915">
          <w:marLeft w:val="0"/>
          <w:marRight w:val="0"/>
          <w:marTop w:val="0"/>
          <w:marBottom w:val="0"/>
          <w:divBdr>
            <w:top w:val="none" w:sz="0" w:space="0" w:color="auto"/>
            <w:left w:val="none" w:sz="0" w:space="0" w:color="auto"/>
            <w:bottom w:val="none" w:sz="0" w:space="0" w:color="auto"/>
            <w:right w:val="none" w:sz="0" w:space="0" w:color="auto"/>
          </w:divBdr>
        </w:div>
        <w:div w:id="889613118">
          <w:marLeft w:val="0"/>
          <w:marRight w:val="0"/>
          <w:marTop w:val="0"/>
          <w:marBottom w:val="0"/>
          <w:divBdr>
            <w:top w:val="none" w:sz="0" w:space="0" w:color="auto"/>
            <w:left w:val="none" w:sz="0" w:space="0" w:color="auto"/>
            <w:bottom w:val="none" w:sz="0" w:space="0" w:color="auto"/>
            <w:right w:val="none" w:sz="0" w:space="0" w:color="auto"/>
          </w:divBdr>
        </w:div>
        <w:div w:id="1361514020">
          <w:marLeft w:val="0"/>
          <w:marRight w:val="0"/>
          <w:marTop w:val="0"/>
          <w:marBottom w:val="0"/>
          <w:divBdr>
            <w:top w:val="none" w:sz="0" w:space="0" w:color="auto"/>
            <w:left w:val="none" w:sz="0" w:space="0" w:color="auto"/>
            <w:bottom w:val="none" w:sz="0" w:space="0" w:color="auto"/>
            <w:right w:val="none" w:sz="0" w:space="0" w:color="auto"/>
          </w:divBdr>
        </w:div>
        <w:div w:id="2095324308">
          <w:marLeft w:val="0"/>
          <w:marRight w:val="0"/>
          <w:marTop w:val="0"/>
          <w:marBottom w:val="0"/>
          <w:divBdr>
            <w:top w:val="none" w:sz="0" w:space="0" w:color="auto"/>
            <w:left w:val="none" w:sz="0" w:space="0" w:color="auto"/>
            <w:bottom w:val="none" w:sz="0" w:space="0" w:color="auto"/>
            <w:right w:val="none" w:sz="0" w:space="0" w:color="auto"/>
          </w:divBdr>
        </w:div>
        <w:div w:id="1659185947">
          <w:marLeft w:val="0"/>
          <w:marRight w:val="0"/>
          <w:marTop w:val="0"/>
          <w:marBottom w:val="0"/>
          <w:divBdr>
            <w:top w:val="none" w:sz="0" w:space="0" w:color="auto"/>
            <w:left w:val="none" w:sz="0" w:space="0" w:color="auto"/>
            <w:bottom w:val="none" w:sz="0" w:space="0" w:color="auto"/>
            <w:right w:val="none" w:sz="0" w:space="0" w:color="auto"/>
          </w:divBdr>
        </w:div>
        <w:div w:id="1217623676">
          <w:marLeft w:val="0"/>
          <w:marRight w:val="0"/>
          <w:marTop w:val="0"/>
          <w:marBottom w:val="0"/>
          <w:divBdr>
            <w:top w:val="none" w:sz="0" w:space="0" w:color="auto"/>
            <w:left w:val="none" w:sz="0" w:space="0" w:color="auto"/>
            <w:bottom w:val="none" w:sz="0" w:space="0" w:color="auto"/>
            <w:right w:val="none" w:sz="0" w:space="0" w:color="auto"/>
          </w:divBdr>
        </w:div>
        <w:div w:id="278416733">
          <w:marLeft w:val="0"/>
          <w:marRight w:val="0"/>
          <w:marTop w:val="0"/>
          <w:marBottom w:val="0"/>
          <w:divBdr>
            <w:top w:val="none" w:sz="0" w:space="0" w:color="auto"/>
            <w:left w:val="none" w:sz="0" w:space="0" w:color="auto"/>
            <w:bottom w:val="none" w:sz="0" w:space="0" w:color="auto"/>
            <w:right w:val="none" w:sz="0" w:space="0" w:color="auto"/>
          </w:divBdr>
        </w:div>
        <w:div w:id="214396430">
          <w:marLeft w:val="0"/>
          <w:marRight w:val="0"/>
          <w:marTop w:val="0"/>
          <w:marBottom w:val="0"/>
          <w:divBdr>
            <w:top w:val="none" w:sz="0" w:space="0" w:color="auto"/>
            <w:left w:val="none" w:sz="0" w:space="0" w:color="auto"/>
            <w:bottom w:val="none" w:sz="0" w:space="0" w:color="auto"/>
            <w:right w:val="none" w:sz="0" w:space="0" w:color="auto"/>
          </w:divBdr>
        </w:div>
        <w:div w:id="728112159">
          <w:marLeft w:val="0"/>
          <w:marRight w:val="0"/>
          <w:marTop w:val="0"/>
          <w:marBottom w:val="0"/>
          <w:divBdr>
            <w:top w:val="none" w:sz="0" w:space="0" w:color="auto"/>
            <w:left w:val="none" w:sz="0" w:space="0" w:color="auto"/>
            <w:bottom w:val="none" w:sz="0" w:space="0" w:color="auto"/>
            <w:right w:val="none" w:sz="0" w:space="0" w:color="auto"/>
          </w:divBdr>
        </w:div>
        <w:div w:id="1570310964">
          <w:marLeft w:val="0"/>
          <w:marRight w:val="0"/>
          <w:marTop w:val="0"/>
          <w:marBottom w:val="0"/>
          <w:divBdr>
            <w:top w:val="none" w:sz="0" w:space="0" w:color="auto"/>
            <w:left w:val="none" w:sz="0" w:space="0" w:color="auto"/>
            <w:bottom w:val="none" w:sz="0" w:space="0" w:color="auto"/>
            <w:right w:val="none" w:sz="0" w:space="0" w:color="auto"/>
          </w:divBdr>
        </w:div>
        <w:div w:id="1675494511">
          <w:marLeft w:val="0"/>
          <w:marRight w:val="0"/>
          <w:marTop w:val="0"/>
          <w:marBottom w:val="0"/>
          <w:divBdr>
            <w:top w:val="none" w:sz="0" w:space="0" w:color="auto"/>
            <w:left w:val="none" w:sz="0" w:space="0" w:color="auto"/>
            <w:bottom w:val="none" w:sz="0" w:space="0" w:color="auto"/>
            <w:right w:val="none" w:sz="0" w:space="0" w:color="auto"/>
          </w:divBdr>
        </w:div>
        <w:div w:id="235669240">
          <w:marLeft w:val="0"/>
          <w:marRight w:val="0"/>
          <w:marTop w:val="0"/>
          <w:marBottom w:val="0"/>
          <w:divBdr>
            <w:top w:val="none" w:sz="0" w:space="0" w:color="auto"/>
            <w:left w:val="none" w:sz="0" w:space="0" w:color="auto"/>
            <w:bottom w:val="none" w:sz="0" w:space="0" w:color="auto"/>
            <w:right w:val="none" w:sz="0" w:space="0" w:color="auto"/>
          </w:divBdr>
        </w:div>
        <w:div w:id="1744793758">
          <w:marLeft w:val="0"/>
          <w:marRight w:val="0"/>
          <w:marTop w:val="0"/>
          <w:marBottom w:val="0"/>
          <w:divBdr>
            <w:top w:val="none" w:sz="0" w:space="0" w:color="auto"/>
            <w:left w:val="none" w:sz="0" w:space="0" w:color="auto"/>
            <w:bottom w:val="none" w:sz="0" w:space="0" w:color="auto"/>
            <w:right w:val="none" w:sz="0" w:space="0" w:color="auto"/>
          </w:divBdr>
        </w:div>
        <w:div w:id="286547767">
          <w:marLeft w:val="0"/>
          <w:marRight w:val="0"/>
          <w:marTop w:val="0"/>
          <w:marBottom w:val="0"/>
          <w:divBdr>
            <w:top w:val="none" w:sz="0" w:space="0" w:color="auto"/>
            <w:left w:val="none" w:sz="0" w:space="0" w:color="auto"/>
            <w:bottom w:val="none" w:sz="0" w:space="0" w:color="auto"/>
            <w:right w:val="none" w:sz="0" w:space="0" w:color="auto"/>
          </w:divBdr>
        </w:div>
        <w:div w:id="1713073964">
          <w:marLeft w:val="0"/>
          <w:marRight w:val="0"/>
          <w:marTop w:val="0"/>
          <w:marBottom w:val="0"/>
          <w:divBdr>
            <w:top w:val="none" w:sz="0" w:space="0" w:color="auto"/>
            <w:left w:val="none" w:sz="0" w:space="0" w:color="auto"/>
            <w:bottom w:val="none" w:sz="0" w:space="0" w:color="auto"/>
            <w:right w:val="none" w:sz="0" w:space="0" w:color="auto"/>
          </w:divBdr>
        </w:div>
        <w:div w:id="276564250">
          <w:marLeft w:val="0"/>
          <w:marRight w:val="0"/>
          <w:marTop w:val="0"/>
          <w:marBottom w:val="0"/>
          <w:divBdr>
            <w:top w:val="none" w:sz="0" w:space="0" w:color="auto"/>
            <w:left w:val="none" w:sz="0" w:space="0" w:color="auto"/>
            <w:bottom w:val="none" w:sz="0" w:space="0" w:color="auto"/>
            <w:right w:val="none" w:sz="0" w:space="0" w:color="auto"/>
          </w:divBdr>
        </w:div>
        <w:div w:id="873343613">
          <w:marLeft w:val="0"/>
          <w:marRight w:val="0"/>
          <w:marTop w:val="0"/>
          <w:marBottom w:val="0"/>
          <w:divBdr>
            <w:top w:val="none" w:sz="0" w:space="0" w:color="auto"/>
            <w:left w:val="none" w:sz="0" w:space="0" w:color="auto"/>
            <w:bottom w:val="none" w:sz="0" w:space="0" w:color="auto"/>
            <w:right w:val="none" w:sz="0" w:space="0" w:color="auto"/>
          </w:divBdr>
        </w:div>
        <w:div w:id="76565236">
          <w:marLeft w:val="0"/>
          <w:marRight w:val="0"/>
          <w:marTop w:val="0"/>
          <w:marBottom w:val="0"/>
          <w:divBdr>
            <w:top w:val="none" w:sz="0" w:space="0" w:color="auto"/>
            <w:left w:val="none" w:sz="0" w:space="0" w:color="auto"/>
            <w:bottom w:val="none" w:sz="0" w:space="0" w:color="auto"/>
            <w:right w:val="none" w:sz="0" w:space="0" w:color="auto"/>
          </w:divBdr>
        </w:div>
        <w:div w:id="182597874">
          <w:marLeft w:val="0"/>
          <w:marRight w:val="0"/>
          <w:marTop w:val="0"/>
          <w:marBottom w:val="0"/>
          <w:divBdr>
            <w:top w:val="none" w:sz="0" w:space="0" w:color="auto"/>
            <w:left w:val="none" w:sz="0" w:space="0" w:color="auto"/>
            <w:bottom w:val="none" w:sz="0" w:space="0" w:color="auto"/>
            <w:right w:val="none" w:sz="0" w:space="0" w:color="auto"/>
          </w:divBdr>
        </w:div>
        <w:div w:id="850074236">
          <w:marLeft w:val="0"/>
          <w:marRight w:val="0"/>
          <w:marTop w:val="0"/>
          <w:marBottom w:val="0"/>
          <w:divBdr>
            <w:top w:val="none" w:sz="0" w:space="0" w:color="auto"/>
            <w:left w:val="none" w:sz="0" w:space="0" w:color="auto"/>
            <w:bottom w:val="none" w:sz="0" w:space="0" w:color="auto"/>
            <w:right w:val="none" w:sz="0" w:space="0" w:color="auto"/>
          </w:divBdr>
        </w:div>
        <w:div w:id="690566327">
          <w:marLeft w:val="0"/>
          <w:marRight w:val="0"/>
          <w:marTop w:val="0"/>
          <w:marBottom w:val="0"/>
          <w:divBdr>
            <w:top w:val="none" w:sz="0" w:space="0" w:color="auto"/>
            <w:left w:val="none" w:sz="0" w:space="0" w:color="auto"/>
            <w:bottom w:val="none" w:sz="0" w:space="0" w:color="auto"/>
            <w:right w:val="none" w:sz="0" w:space="0" w:color="auto"/>
          </w:divBdr>
        </w:div>
        <w:div w:id="1436513889">
          <w:marLeft w:val="0"/>
          <w:marRight w:val="0"/>
          <w:marTop w:val="0"/>
          <w:marBottom w:val="0"/>
          <w:divBdr>
            <w:top w:val="none" w:sz="0" w:space="0" w:color="auto"/>
            <w:left w:val="none" w:sz="0" w:space="0" w:color="auto"/>
            <w:bottom w:val="none" w:sz="0" w:space="0" w:color="auto"/>
            <w:right w:val="none" w:sz="0" w:space="0" w:color="auto"/>
          </w:divBdr>
        </w:div>
        <w:div w:id="592125371">
          <w:marLeft w:val="0"/>
          <w:marRight w:val="0"/>
          <w:marTop w:val="0"/>
          <w:marBottom w:val="0"/>
          <w:divBdr>
            <w:top w:val="none" w:sz="0" w:space="0" w:color="auto"/>
            <w:left w:val="none" w:sz="0" w:space="0" w:color="auto"/>
            <w:bottom w:val="none" w:sz="0" w:space="0" w:color="auto"/>
            <w:right w:val="none" w:sz="0" w:space="0" w:color="auto"/>
          </w:divBdr>
        </w:div>
        <w:div w:id="482090932">
          <w:marLeft w:val="0"/>
          <w:marRight w:val="0"/>
          <w:marTop w:val="0"/>
          <w:marBottom w:val="0"/>
          <w:divBdr>
            <w:top w:val="none" w:sz="0" w:space="0" w:color="auto"/>
            <w:left w:val="none" w:sz="0" w:space="0" w:color="auto"/>
            <w:bottom w:val="none" w:sz="0" w:space="0" w:color="auto"/>
            <w:right w:val="none" w:sz="0" w:space="0" w:color="auto"/>
          </w:divBdr>
        </w:div>
        <w:div w:id="1028339087">
          <w:marLeft w:val="0"/>
          <w:marRight w:val="0"/>
          <w:marTop w:val="0"/>
          <w:marBottom w:val="0"/>
          <w:divBdr>
            <w:top w:val="none" w:sz="0" w:space="0" w:color="auto"/>
            <w:left w:val="none" w:sz="0" w:space="0" w:color="auto"/>
            <w:bottom w:val="none" w:sz="0" w:space="0" w:color="auto"/>
            <w:right w:val="none" w:sz="0" w:space="0" w:color="auto"/>
          </w:divBdr>
        </w:div>
        <w:div w:id="1208831268">
          <w:marLeft w:val="0"/>
          <w:marRight w:val="0"/>
          <w:marTop w:val="0"/>
          <w:marBottom w:val="0"/>
          <w:divBdr>
            <w:top w:val="none" w:sz="0" w:space="0" w:color="auto"/>
            <w:left w:val="none" w:sz="0" w:space="0" w:color="auto"/>
            <w:bottom w:val="none" w:sz="0" w:space="0" w:color="auto"/>
            <w:right w:val="none" w:sz="0" w:space="0" w:color="auto"/>
          </w:divBdr>
        </w:div>
        <w:div w:id="179589138">
          <w:marLeft w:val="0"/>
          <w:marRight w:val="0"/>
          <w:marTop w:val="0"/>
          <w:marBottom w:val="0"/>
          <w:divBdr>
            <w:top w:val="none" w:sz="0" w:space="0" w:color="auto"/>
            <w:left w:val="none" w:sz="0" w:space="0" w:color="auto"/>
            <w:bottom w:val="none" w:sz="0" w:space="0" w:color="auto"/>
            <w:right w:val="none" w:sz="0" w:space="0" w:color="auto"/>
          </w:divBdr>
        </w:div>
        <w:div w:id="1944536851">
          <w:marLeft w:val="0"/>
          <w:marRight w:val="0"/>
          <w:marTop w:val="0"/>
          <w:marBottom w:val="0"/>
          <w:divBdr>
            <w:top w:val="none" w:sz="0" w:space="0" w:color="auto"/>
            <w:left w:val="none" w:sz="0" w:space="0" w:color="auto"/>
            <w:bottom w:val="none" w:sz="0" w:space="0" w:color="auto"/>
            <w:right w:val="none" w:sz="0" w:space="0" w:color="auto"/>
          </w:divBdr>
        </w:div>
        <w:div w:id="833185860">
          <w:marLeft w:val="0"/>
          <w:marRight w:val="0"/>
          <w:marTop w:val="0"/>
          <w:marBottom w:val="0"/>
          <w:divBdr>
            <w:top w:val="none" w:sz="0" w:space="0" w:color="auto"/>
            <w:left w:val="none" w:sz="0" w:space="0" w:color="auto"/>
            <w:bottom w:val="none" w:sz="0" w:space="0" w:color="auto"/>
            <w:right w:val="none" w:sz="0" w:space="0" w:color="auto"/>
          </w:divBdr>
        </w:div>
        <w:div w:id="272447610">
          <w:marLeft w:val="0"/>
          <w:marRight w:val="0"/>
          <w:marTop w:val="0"/>
          <w:marBottom w:val="0"/>
          <w:divBdr>
            <w:top w:val="none" w:sz="0" w:space="0" w:color="auto"/>
            <w:left w:val="none" w:sz="0" w:space="0" w:color="auto"/>
            <w:bottom w:val="none" w:sz="0" w:space="0" w:color="auto"/>
            <w:right w:val="none" w:sz="0" w:space="0" w:color="auto"/>
          </w:divBdr>
        </w:div>
        <w:div w:id="772168363">
          <w:marLeft w:val="0"/>
          <w:marRight w:val="0"/>
          <w:marTop w:val="0"/>
          <w:marBottom w:val="0"/>
          <w:divBdr>
            <w:top w:val="none" w:sz="0" w:space="0" w:color="auto"/>
            <w:left w:val="none" w:sz="0" w:space="0" w:color="auto"/>
            <w:bottom w:val="none" w:sz="0" w:space="0" w:color="auto"/>
            <w:right w:val="none" w:sz="0" w:space="0" w:color="auto"/>
          </w:divBdr>
        </w:div>
        <w:div w:id="1828011697">
          <w:marLeft w:val="0"/>
          <w:marRight w:val="0"/>
          <w:marTop w:val="0"/>
          <w:marBottom w:val="0"/>
          <w:divBdr>
            <w:top w:val="none" w:sz="0" w:space="0" w:color="auto"/>
            <w:left w:val="none" w:sz="0" w:space="0" w:color="auto"/>
            <w:bottom w:val="none" w:sz="0" w:space="0" w:color="auto"/>
            <w:right w:val="none" w:sz="0" w:space="0" w:color="auto"/>
          </w:divBdr>
        </w:div>
        <w:div w:id="888229096">
          <w:marLeft w:val="0"/>
          <w:marRight w:val="0"/>
          <w:marTop w:val="0"/>
          <w:marBottom w:val="0"/>
          <w:divBdr>
            <w:top w:val="none" w:sz="0" w:space="0" w:color="auto"/>
            <w:left w:val="none" w:sz="0" w:space="0" w:color="auto"/>
            <w:bottom w:val="none" w:sz="0" w:space="0" w:color="auto"/>
            <w:right w:val="none" w:sz="0" w:space="0" w:color="auto"/>
          </w:divBdr>
        </w:div>
        <w:div w:id="51586819">
          <w:marLeft w:val="0"/>
          <w:marRight w:val="0"/>
          <w:marTop w:val="0"/>
          <w:marBottom w:val="0"/>
          <w:divBdr>
            <w:top w:val="none" w:sz="0" w:space="0" w:color="auto"/>
            <w:left w:val="none" w:sz="0" w:space="0" w:color="auto"/>
            <w:bottom w:val="none" w:sz="0" w:space="0" w:color="auto"/>
            <w:right w:val="none" w:sz="0" w:space="0" w:color="auto"/>
          </w:divBdr>
        </w:div>
        <w:div w:id="751245346">
          <w:marLeft w:val="0"/>
          <w:marRight w:val="0"/>
          <w:marTop w:val="0"/>
          <w:marBottom w:val="0"/>
          <w:divBdr>
            <w:top w:val="none" w:sz="0" w:space="0" w:color="auto"/>
            <w:left w:val="none" w:sz="0" w:space="0" w:color="auto"/>
            <w:bottom w:val="none" w:sz="0" w:space="0" w:color="auto"/>
            <w:right w:val="none" w:sz="0" w:space="0" w:color="auto"/>
          </w:divBdr>
        </w:div>
        <w:div w:id="1398282076">
          <w:marLeft w:val="0"/>
          <w:marRight w:val="0"/>
          <w:marTop w:val="0"/>
          <w:marBottom w:val="0"/>
          <w:divBdr>
            <w:top w:val="none" w:sz="0" w:space="0" w:color="auto"/>
            <w:left w:val="none" w:sz="0" w:space="0" w:color="auto"/>
            <w:bottom w:val="none" w:sz="0" w:space="0" w:color="auto"/>
            <w:right w:val="none" w:sz="0" w:space="0" w:color="auto"/>
          </w:divBdr>
        </w:div>
        <w:div w:id="558446055">
          <w:marLeft w:val="0"/>
          <w:marRight w:val="0"/>
          <w:marTop w:val="0"/>
          <w:marBottom w:val="0"/>
          <w:divBdr>
            <w:top w:val="none" w:sz="0" w:space="0" w:color="auto"/>
            <w:left w:val="none" w:sz="0" w:space="0" w:color="auto"/>
            <w:bottom w:val="none" w:sz="0" w:space="0" w:color="auto"/>
            <w:right w:val="none" w:sz="0" w:space="0" w:color="auto"/>
          </w:divBdr>
        </w:div>
        <w:div w:id="1846825568">
          <w:marLeft w:val="0"/>
          <w:marRight w:val="0"/>
          <w:marTop w:val="0"/>
          <w:marBottom w:val="0"/>
          <w:divBdr>
            <w:top w:val="none" w:sz="0" w:space="0" w:color="auto"/>
            <w:left w:val="none" w:sz="0" w:space="0" w:color="auto"/>
            <w:bottom w:val="none" w:sz="0" w:space="0" w:color="auto"/>
            <w:right w:val="none" w:sz="0" w:space="0" w:color="auto"/>
          </w:divBdr>
        </w:div>
        <w:div w:id="1171677268">
          <w:marLeft w:val="0"/>
          <w:marRight w:val="0"/>
          <w:marTop w:val="0"/>
          <w:marBottom w:val="0"/>
          <w:divBdr>
            <w:top w:val="none" w:sz="0" w:space="0" w:color="auto"/>
            <w:left w:val="none" w:sz="0" w:space="0" w:color="auto"/>
            <w:bottom w:val="none" w:sz="0" w:space="0" w:color="auto"/>
            <w:right w:val="none" w:sz="0" w:space="0" w:color="auto"/>
          </w:divBdr>
        </w:div>
        <w:div w:id="594944961">
          <w:marLeft w:val="0"/>
          <w:marRight w:val="0"/>
          <w:marTop w:val="0"/>
          <w:marBottom w:val="0"/>
          <w:divBdr>
            <w:top w:val="none" w:sz="0" w:space="0" w:color="auto"/>
            <w:left w:val="none" w:sz="0" w:space="0" w:color="auto"/>
            <w:bottom w:val="none" w:sz="0" w:space="0" w:color="auto"/>
            <w:right w:val="none" w:sz="0" w:space="0" w:color="auto"/>
          </w:divBdr>
        </w:div>
        <w:div w:id="1050030172">
          <w:marLeft w:val="0"/>
          <w:marRight w:val="0"/>
          <w:marTop w:val="0"/>
          <w:marBottom w:val="0"/>
          <w:divBdr>
            <w:top w:val="none" w:sz="0" w:space="0" w:color="auto"/>
            <w:left w:val="none" w:sz="0" w:space="0" w:color="auto"/>
            <w:bottom w:val="none" w:sz="0" w:space="0" w:color="auto"/>
            <w:right w:val="none" w:sz="0" w:space="0" w:color="auto"/>
          </w:divBdr>
        </w:div>
        <w:div w:id="1268391979">
          <w:marLeft w:val="0"/>
          <w:marRight w:val="0"/>
          <w:marTop w:val="0"/>
          <w:marBottom w:val="0"/>
          <w:divBdr>
            <w:top w:val="none" w:sz="0" w:space="0" w:color="auto"/>
            <w:left w:val="none" w:sz="0" w:space="0" w:color="auto"/>
            <w:bottom w:val="none" w:sz="0" w:space="0" w:color="auto"/>
            <w:right w:val="none" w:sz="0" w:space="0" w:color="auto"/>
          </w:divBdr>
        </w:div>
        <w:div w:id="325329534">
          <w:marLeft w:val="0"/>
          <w:marRight w:val="0"/>
          <w:marTop w:val="0"/>
          <w:marBottom w:val="0"/>
          <w:divBdr>
            <w:top w:val="none" w:sz="0" w:space="0" w:color="auto"/>
            <w:left w:val="none" w:sz="0" w:space="0" w:color="auto"/>
            <w:bottom w:val="none" w:sz="0" w:space="0" w:color="auto"/>
            <w:right w:val="none" w:sz="0" w:space="0" w:color="auto"/>
          </w:divBdr>
        </w:div>
        <w:div w:id="1218395928">
          <w:marLeft w:val="0"/>
          <w:marRight w:val="0"/>
          <w:marTop w:val="0"/>
          <w:marBottom w:val="0"/>
          <w:divBdr>
            <w:top w:val="none" w:sz="0" w:space="0" w:color="auto"/>
            <w:left w:val="none" w:sz="0" w:space="0" w:color="auto"/>
            <w:bottom w:val="none" w:sz="0" w:space="0" w:color="auto"/>
            <w:right w:val="none" w:sz="0" w:space="0" w:color="auto"/>
          </w:divBdr>
        </w:div>
        <w:div w:id="555437180">
          <w:marLeft w:val="0"/>
          <w:marRight w:val="0"/>
          <w:marTop w:val="0"/>
          <w:marBottom w:val="0"/>
          <w:divBdr>
            <w:top w:val="none" w:sz="0" w:space="0" w:color="auto"/>
            <w:left w:val="none" w:sz="0" w:space="0" w:color="auto"/>
            <w:bottom w:val="none" w:sz="0" w:space="0" w:color="auto"/>
            <w:right w:val="none" w:sz="0" w:space="0" w:color="auto"/>
          </w:divBdr>
        </w:div>
        <w:div w:id="1470704302">
          <w:marLeft w:val="0"/>
          <w:marRight w:val="0"/>
          <w:marTop w:val="0"/>
          <w:marBottom w:val="0"/>
          <w:divBdr>
            <w:top w:val="none" w:sz="0" w:space="0" w:color="auto"/>
            <w:left w:val="none" w:sz="0" w:space="0" w:color="auto"/>
            <w:bottom w:val="none" w:sz="0" w:space="0" w:color="auto"/>
            <w:right w:val="none" w:sz="0" w:space="0" w:color="auto"/>
          </w:divBdr>
        </w:div>
        <w:div w:id="1511136035">
          <w:marLeft w:val="0"/>
          <w:marRight w:val="0"/>
          <w:marTop w:val="0"/>
          <w:marBottom w:val="0"/>
          <w:divBdr>
            <w:top w:val="none" w:sz="0" w:space="0" w:color="auto"/>
            <w:left w:val="none" w:sz="0" w:space="0" w:color="auto"/>
            <w:bottom w:val="none" w:sz="0" w:space="0" w:color="auto"/>
            <w:right w:val="none" w:sz="0" w:space="0" w:color="auto"/>
          </w:divBdr>
        </w:div>
        <w:div w:id="524907221">
          <w:marLeft w:val="0"/>
          <w:marRight w:val="0"/>
          <w:marTop w:val="0"/>
          <w:marBottom w:val="0"/>
          <w:divBdr>
            <w:top w:val="none" w:sz="0" w:space="0" w:color="auto"/>
            <w:left w:val="none" w:sz="0" w:space="0" w:color="auto"/>
            <w:bottom w:val="none" w:sz="0" w:space="0" w:color="auto"/>
            <w:right w:val="none" w:sz="0" w:space="0" w:color="auto"/>
          </w:divBdr>
        </w:div>
        <w:div w:id="203444027">
          <w:marLeft w:val="0"/>
          <w:marRight w:val="0"/>
          <w:marTop w:val="0"/>
          <w:marBottom w:val="0"/>
          <w:divBdr>
            <w:top w:val="none" w:sz="0" w:space="0" w:color="auto"/>
            <w:left w:val="none" w:sz="0" w:space="0" w:color="auto"/>
            <w:bottom w:val="none" w:sz="0" w:space="0" w:color="auto"/>
            <w:right w:val="none" w:sz="0" w:space="0" w:color="auto"/>
          </w:divBdr>
        </w:div>
        <w:div w:id="784273648">
          <w:marLeft w:val="0"/>
          <w:marRight w:val="0"/>
          <w:marTop w:val="0"/>
          <w:marBottom w:val="0"/>
          <w:divBdr>
            <w:top w:val="none" w:sz="0" w:space="0" w:color="auto"/>
            <w:left w:val="none" w:sz="0" w:space="0" w:color="auto"/>
            <w:bottom w:val="none" w:sz="0" w:space="0" w:color="auto"/>
            <w:right w:val="none" w:sz="0" w:space="0" w:color="auto"/>
          </w:divBdr>
        </w:div>
        <w:div w:id="1288273467">
          <w:marLeft w:val="0"/>
          <w:marRight w:val="0"/>
          <w:marTop w:val="0"/>
          <w:marBottom w:val="0"/>
          <w:divBdr>
            <w:top w:val="none" w:sz="0" w:space="0" w:color="auto"/>
            <w:left w:val="none" w:sz="0" w:space="0" w:color="auto"/>
            <w:bottom w:val="none" w:sz="0" w:space="0" w:color="auto"/>
            <w:right w:val="none" w:sz="0" w:space="0" w:color="auto"/>
          </w:divBdr>
        </w:div>
        <w:div w:id="1171136564">
          <w:marLeft w:val="0"/>
          <w:marRight w:val="0"/>
          <w:marTop w:val="0"/>
          <w:marBottom w:val="0"/>
          <w:divBdr>
            <w:top w:val="none" w:sz="0" w:space="0" w:color="auto"/>
            <w:left w:val="none" w:sz="0" w:space="0" w:color="auto"/>
            <w:bottom w:val="none" w:sz="0" w:space="0" w:color="auto"/>
            <w:right w:val="none" w:sz="0" w:space="0" w:color="auto"/>
          </w:divBdr>
        </w:div>
        <w:div w:id="186796619">
          <w:marLeft w:val="0"/>
          <w:marRight w:val="0"/>
          <w:marTop w:val="0"/>
          <w:marBottom w:val="0"/>
          <w:divBdr>
            <w:top w:val="none" w:sz="0" w:space="0" w:color="auto"/>
            <w:left w:val="none" w:sz="0" w:space="0" w:color="auto"/>
            <w:bottom w:val="none" w:sz="0" w:space="0" w:color="auto"/>
            <w:right w:val="none" w:sz="0" w:space="0" w:color="auto"/>
          </w:divBdr>
        </w:div>
        <w:div w:id="1180923710">
          <w:marLeft w:val="0"/>
          <w:marRight w:val="0"/>
          <w:marTop w:val="0"/>
          <w:marBottom w:val="0"/>
          <w:divBdr>
            <w:top w:val="none" w:sz="0" w:space="0" w:color="auto"/>
            <w:left w:val="none" w:sz="0" w:space="0" w:color="auto"/>
            <w:bottom w:val="none" w:sz="0" w:space="0" w:color="auto"/>
            <w:right w:val="none" w:sz="0" w:space="0" w:color="auto"/>
          </w:divBdr>
        </w:div>
        <w:div w:id="509413234">
          <w:marLeft w:val="0"/>
          <w:marRight w:val="0"/>
          <w:marTop w:val="0"/>
          <w:marBottom w:val="0"/>
          <w:divBdr>
            <w:top w:val="none" w:sz="0" w:space="0" w:color="auto"/>
            <w:left w:val="none" w:sz="0" w:space="0" w:color="auto"/>
            <w:bottom w:val="none" w:sz="0" w:space="0" w:color="auto"/>
            <w:right w:val="none" w:sz="0" w:space="0" w:color="auto"/>
          </w:divBdr>
        </w:div>
        <w:div w:id="762459861">
          <w:marLeft w:val="0"/>
          <w:marRight w:val="0"/>
          <w:marTop w:val="0"/>
          <w:marBottom w:val="0"/>
          <w:divBdr>
            <w:top w:val="none" w:sz="0" w:space="0" w:color="auto"/>
            <w:left w:val="none" w:sz="0" w:space="0" w:color="auto"/>
            <w:bottom w:val="none" w:sz="0" w:space="0" w:color="auto"/>
            <w:right w:val="none" w:sz="0" w:space="0" w:color="auto"/>
          </w:divBdr>
        </w:div>
        <w:div w:id="478544495">
          <w:marLeft w:val="0"/>
          <w:marRight w:val="0"/>
          <w:marTop w:val="0"/>
          <w:marBottom w:val="0"/>
          <w:divBdr>
            <w:top w:val="none" w:sz="0" w:space="0" w:color="auto"/>
            <w:left w:val="none" w:sz="0" w:space="0" w:color="auto"/>
            <w:bottom w:val="none" w:sz="0" w:space="0" w:color="auto"/>
            <w:right w:val="none" w:sz="0" w:space="0" w:color="auto"/>
          </w:divBdr>
        </w:div>
        <w:div w:id="1784616062">
          <w:marLeft w:val="0"/>
          <w:marRight w:val="0"/>
          <w:marTop w:val="0"/>
          <w:marBottom w:val="0"/>
          <w:divBdr>
            <w:top w:val="none" w:sz="0" w:space="0" w:color="auto"/>
            <w:left w:val="none" w:sz="0" w:space="0" w:color="auto"/>
            <w:bottom w:val="none" w:sz="0" w:space="0" w:color="auto"/>
            <w:right w:val="none" w:sz="0" w:space="0" w:color="auto"/>
          </w:divBdr>
        </w:div>
        <w:div w:id="1039278967">
          <w:marLeft w:val="0"/>
          <w:marRight w:val="0"/>
          <w:marTop w:val="0"/>
          <w:marBottom w:val="0"/>
          <w:divBdr>
            <w:top w:val="none" w:sz="0" w:space="0" w:color="auto"/>
            <w:left w:val="none" w:sz="0" w:space="0" w:color="auto"/>
            <w:bottom w:val="none" w:sz="0" w:space="0" w:color="auto"/>
            <w:right w:val="none" w:sz="0" w:space="0" w:color="auto"/>
          </w:divBdr>
        </w:div>
        <w:div w:id="616643471">
          <w:marLeft w:val="0"/>
          <w:marRight w:val="0"/>
          <w:marTop w:val="0"/>
          <w:marBottom w:val="0"/>
          <w:divBdr>
            <w:top w:val="none" w:sz="0" w:space="0" w:color="auto"/>
            <w:left w:val="none" w:sz="0" w:space="0" w:color="auto"/>
            <w:bottom w:val="none" w:sz="0" w:space="0" w:color="auto"/>
            <w:right w:val="none" w:sz="0" w:space="0" w:color="auto"/>
          </w:divBdr>
        </w:div>
        <w:div w:id="2093237096">
          <w:marLeft w:val="0"/>
          <w:marRight w:val="0"/>
          <w:marTop w:val="0"/>
          <w:marBottom w:val="0"/>
          <w:divBdr>
            <w:top w:val="none" w:sz="0" w:space="0" w:color="auto"/>
            <w:left w:val="none" w:sz="0" w:space="0" w:color="auto"/>
            <w:bottom w:val="none" w:sz="0" w:space="0" w:color="auto"/>
            <w:right w:val="none" w:sz="0" w:space="0" w:color="auto"/>
          </w:divBdr>
        </w:div>
        <w:div w:id="226187001">
          <w:marLeft w:val="0"/>
          <w:marRight w:val="0"/>
          <w:marTop w:val="0"/>
          <w:marBottom w:val="0"/>
          <w:divBdr>
            <w:top w:val="none" w:sz="0" w:space="0" w:color="auto"/>
            <w:left w:val="none" w:sz="0" w:space="0" w:color="auto"/>
            <w:bottom w:val="none" w:sz="0" w:space="0" w:color="auto"/>
            <w:right w:val="none" w:sz="0" w:space="0" w:color="auto"/>
          </w:divBdr>
        </w:div>
        <w:div w:id="962225516">
          <w:marLeft w:val="0"/>
          <w:marRight w:val="0"/>
          <w:marTop w:val="0"/>
          <w:marBottom w:val="0"/>
          <w:divBdr>
            <w:top w:val="none" w:sz="0" w:space="0" w:color="auto"/>
            <w:left w:val="none" w:sz="0" w:space="0" w:color="auto"/>
            <w:bottom w:val="none" w:sz="0" w:space="0" w:color="auto"/>
            <w:right w:val="none" w:sz="0" w:space="0" w:color="auto"/>
          </w:divBdr>
        </w:div>
        <w:div w:id="2142797312">
          <w:marLeft w:val="0"/>
          <w:marRight w:val="0"/>
          <w:marTop w:val="0"/>
          <w:marBottom w:val="0"/>
          <w:divBdr>
            <w:top w:val="none" w:sz="0" w:space="0" w:color="auto"/>
            <w:left w:val="none" w:sz="0" w:space="0" w:color="auto"/>
            <w:bottom w:val="none" w:sz="0" w:space="0" w:color="auto"/>
            <w:right w:val="none" w:sz="0" w:space="0" w:color="auto"/>
          </w:divBdr>
        </w:div>
        <w:div w:id="2000689728">
          <w:marLeft w:val="0"/>
          <w:marRight w:val="0"/>
          <w:marTop w:val="0"/>
          <w:marBottom w:val="0"/>
          <w:divBdr>
            <w:top w:val="none" w:sz="0" w:space="0" w:color="auto"/>
            <w:left w:val="none" w:sz="0" w:space="0" w:color="auto"/>
            <w:bottom w:val="none" w:sz="0" w:space="0" w:color="auto"/>
            <w:right w:val="none" w:sz="0" w:space="0" w:color="auto"/>
          </w:divBdr>
        </w:div>
        <w:div w:id="132454489">
          <w:marLeft w:val="0"/>
          <w:marRight w:val="0"/>
          <w:marTop w:val="0"/>
          <w:marBottom w:val="0"/>
          <w:divBdr>
            <w:top w:val="none" w:sz="0" w:space="0" w:color="auto"/>
            <w:left w:val="none" w:sz="0" w:space="0" w:color="auto"/>
            <w:bottom w:val="none" w:sz="0" w:space="0" w:color="auto"/>
            <w:right w:val="none" w:sz="0" w:space="0" w:color="auto"/>
          </w:divBdr>
        </w:div>
        <w:div w:id="733742559">
          <w:marLeft w:val="0"/>
          <w:marRight w:val="0"/>
          <w:marTop w:val="0"/>
          <w:marBottom w:val="0"/>
          <w:divBdr>
            <w:top w:val="none" w:sz="0" w:space="0" w:color="auto"/>
            <w:left w:val="none" w:sz="0" w:space="0" w:color="auto"/>
            <w:bottom w:val="none" w:sz="0" w:space="0" w:color="auto"/>
            <w:right w:val="none" w:sz="0" w:space="0" w:color="auto"/>
          </w:divBdr>
        </w:div>
        <w:div w:id="1071580620">
          <w:marLeft w:val="0"/>
          <w:marRight w:val="0"/>
          <w:marTop w:val="0"/>
          <w:marBottom w:val="0"/>
          <w:divBdr>
            <w:top w:val="none" w:sz="0" w:space="0" w:color="auto"/>
            <w:left w:val="none" w:sz="0" w:space="0" w:color="auto"/>
            <w:bottom w:val="none" w:sz="0" w:space="0" w:color="auto"/>
            <w:right w:val="none" w:sz="0" w:space="0" w:color="auto"/>
          </w:divBdr>
        </w:div>
        <w:div w:id="1829711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radphyschem.2024.111763" TargetMode="External"/><Relationship Id="rId21" Type="http://schemas.openxmlformats.org/officeDocument/2006/relationships/hyperlink" Target="https://doi.org/10.3390/molecules26185528" TargetMode="External"/><Relationship Id="rId42" Type="http://schemas.openxmlformats.org/officeDocument/2006/relationships/hyperlink" Target="https://doi.org/10.1016/j.talanta.2022.123972" TargetMode="External"/><Relationship Id="rId47" Type="http://schemas.openxmlformats.org/officeDocument/2006/relationships/hyperlink" Target="https://doi.org/10.3390/cosmetics6010013" TargetMode="External"/><Relationship Id="rId63" Type="http://schemas.openxmlformats.org/officeDocument/2006/relationships/hyperlink" Target="https://doi.org/10.1016/j.chemgeo.2016.06.005" TargetMode="External"/><Relationship Id="rId68" Type="http://schemas.openxmlformats.org/officeDocument/2006/relationships/hyperlink" Target="https://doi.org/10.1016/j.envint.2019.105046" TargetMode="External"/><Relationship Id="rId84" Type="http://schemas.openxmlformats.org/officeDocument/2006/relationships/hyperlink" Target="https://doi.org/10.1016/0016-7037(95)00038-2" TargetMode="External"/><Relationship Id="rId89" Type="http://schemas.openxmlformats.org/officeDocument/2006/relationships/footer" Target="footer1.xml"/><Relationship Id="rId16" Type="http://schemas.openxmlformats.org/officeDocument/2006/relationships/hyperlink" Target="https://doi.org/10.3906/kim-2004-82" TargetMode="External"/><Relationship Id="rId11" Type="http://schemas.openxmlformats.org/officeDocument/2006/relationships/image" Target="media/image2.jpeg"/><Relationship Id="rId32" Type="http://schemas.openxmlformats.org/officeDocument/2006/relationships/hyperlink" Target="https://doi.org/10.1016/j.jcis.2004.04.005" TargetMode="External"/><Relationship Id="rId37" Type="http://schemas.openxmlformats.org/officeDocument/2006/relationships/hyperlink" Target="https://doi.org/10.3390/min10040293" TargetMode="External"/><Relationship Id="rId53" Type="http://schemas.openxmlformats.org/officeDocument/2006/relationships/hyperlink" Target="https://doi.org/10.1016/j.apgeochem.2024.105907" TargetMode="External"/><Relationship Id="rId58" Type="http://schemas.openxmlformats.org/officeDocument/2006/relationships/hyperlink" Target="https://doi.org/10.1007/s11356-017-9526-z" TargetMode="External"/><Relationship Id="rId74" Type="http://schemas.openxmlformats.org/officeDocument/2006/relationships/hyperlink" Target="https://doi.org/10.1016/j.envint.2019.02.011" TargetMode="External"/><Relationship Id="rId79" Type="http://schemas.openxmlformats.org/officeDocument/2006/relationships/hyperlink" Target="https://doi.org/10.1016/S0883-2927(02)00018-5"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5.png"/><Relationship Id="rId22" Type="http://schemas.openxmlformats.org/officeDocument/2006/relationships/hyperlink" Target="https://doi.org/10.1007/978-94-007-4470-7" TargetMode="External"/><Relationship Id="rId27" Type="http://schemas.openxmlformats.org/officeDocument/2006/relationships/hyperlink" Target="https://doi.org/10.24996/ijs.2025.66.1.18" TargetMode="External"/><Relationship Id="rId30" Type="http://schemas.openxmlformats.org/officeDocument/2006/relationships/hyperlink" Target="https://doi.org/10.1016/j.clay.2015.11.008" TargetMode="External"/><Relationship Id="rId35" Type="http://schemas.openxmlformats.org/officeDocument/2006/relationships/hyperlink" Target="https://doi.org/10.1007/s11356-020-07755-y" TargetMode="External"/><Relationship Id="rId43" Type="http://schemas.openxmlformats.org/officeDocument/2006/relationships/hyperlink" Target="https://doi.org/10.1007/s10653-018-0119-7" TargetMode="External"/><Relationship Id="rId48" Type="http://schemas.openxmlformats.org/officeDocument/2006/relationships/hyperlink" Target="https://doi.org/10.1007/s11356-024-34694-9" TargetMode="External"/><Relationship Id="rId56" Type="http://schemas.openxmlformats.org/officeDocument/2006/relationships/hyperlink" Target="https://doi.org/10.1016/0160-4120(92)90109-H" TargetMode="External"/><Relationship Id="rId64" Type="http://schemas.openxmlformats.org/officeDocument/2006/relationships/hyperlink" Target="https://doi.org/10.1016/j.radphyschem.2014.02.020" TargetMode="External"/><Relationship Id="rId69" Type="http://schemas.openxmlformats.org/officeDocument/2006/relationships/hyperlink" Target="https://doi.org/10.1002/ldr.3797" TargetMode="External"/><Relationship Id="rId77" Type="http://schemas.openxmlformats.org/officeDocument/2006/relationships/hyperlink" Target="https://doi.org/10.1016/j.scitotenv.2018.08.359" TargetMode="External"/><Relationship Id="rId8" Type="http://schemas.openxmlformats.org/officeDocument/2006/relationships/hyperlink" Target="mailto:gharibi_elkhadir@yahoo.fr" TargetMode="External"/><Relationship Id="rId51" Type="http://schemas.openxmlformats.org/officeDocument/2006/relationships/hyperlink" Target="https://doi.org/10.1007/s10661-015-4533-3" TargetMode="External"/><Relationship Id="rId72" Type="http://schemas.openxmlformats.org/officeDocument/2006/relationships/hyperlink" Target="https://doi.org/10.1016/j.jafr.2024.101236" TargetMode="External"/><Relationship Id="rId80" Type="http://schemas.openxmlformats.org/officeDocument/2006/relationships/hyperlink" Target="https://doi.org/10.1007/s002540050473" TargetMode="External"/><Relationship Id="rId85" Type="http://schemas.openxmlformats.org/officeDocument/2006/relationships/hyperlink" Target="https://doi.org/10.1016/j.marpolbul.2018.06.02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doi.org/10.3390/su13148027" TargetMode="External"/><Relationship Id="rId25" Type="http://schemas.openxmlformats.org/officeDocument/2006/relationships/hyperlink" Target="https://doi.org/10.1007/978-3-540-87746-2_63" TargetMode="External"/><Relationship Id="rId33" Type="http://schemas.openxmlformats.org/officeDocument/2006/relationships/hyperlink" Target="https://doi.org/10.1007/s10661-015-4563-x" TargetMode="External"/><Relationship Id="rId38" Type="http://schemas.openxmlformats.org/officeDocument/2006/relationships/hyperlink" Target="https://doi.org/10.1007/s10967-007-7258-0" TargetMode="External"/><Relationship Id="rId46" Type="http://schemas.openxmlformats.org/officeDocument/2006/relationships/hyperlink" Target="https://doi.org/10.1166/sam.2017.3065" TargetMode="External"/><Relationship Id="rId59" Type="http://schemas.openxmlformats.org/officeDocument/2006/relationships/hyperlink" Target="https://doi.org/10.1016/j.matpr.2021.02.018" TargetMode="External"/><Relationship Id="rId67" Type="http://schemas.openxmlformats.org/officeDocument/2006/relationships/hyperlink" Target="https://doi.org/10.1289/ehp.1205875" TargetMode="External"/><Relationship Id="rId20" Type="http://schemas.openxmlformats.org/officeDocument/2006/relationships/hyperlink" Target="https://doi.org/10.1016/j.totert.2023.100039" TargetMode="External"/><Relationship Id="rId41" Type="http://schemas.openxmlformats.org/officeDocument/2006/relationships/hyperlink" Target="https://doi.org/10.1016/j.microc.2009.03.009" TargetMode="External"/><Relationship Id="rId54" Type="http://schemas.openxmlformats.org/officeDocument/2006/relationships/hyperlink" Target="https://doi.org/10.1016/j.scitotenv.2019.134330" TargetMode="External"/><Relationship Id="rId62" Type="http://schemas.openxmlformats.org/officeDocument/2006/relationships/hyperlink" Target="https://doi.org/10.1016/j.envpol.2020.114116" TargetMode="External"/><Relationship Id="rId70" Type="http://schemas.openxmlformats.org/officeDocument/2006/relationships/hyperlink" Target="https://doi.org/10.1016/j.jenvrad.2011.01.005" TargetMode="External"/><Relationship Id="rId75" Type="http://schemas.openxmlformats.org/officeDocument/2006/relationships/hyperlink" Target="https://doi.org/10.1016/B0-08-043751-6/03016-4" TargetMode="External"/><Relationship Id="rId83" Type="http://schemas.openxmlformats.org/officeDocument/2006/relationships/hyperlink" Target="https://doi.org/10.1016/j.matpr.2018.05.060" TargetMode="External"/><Relationship Id="rId88" Type="http://schemas.openxmlformats.org/officeDocument/2006/relationships/hyperlink" Target="https://doi.org/10.1126/science.183.4121.198"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doi.org/10.1346/CCMN.2003.0510501" TargetMode="External"/><Relationship Id="rId28" Type="http://schemas.openxmlformats.org/officeDocument/2006/relationships/hyperlink" Target="https://doi.org/10.1016/j.jconhyd.2020.103685" TargetMode="External"/><Relationship Id="rId36" Type="http://schemas.openxmlformats.org/officeDocument/2006/relationships/hyperlink" Target="https://doi.org/10.1016/j.scitotenv.2015.01.025" TargetMode="External"/><Relationship Id="rId49" Type="http://schemas.openxmlformats.org/officeDocument/2006/relationships/hyperlink" Target="https://doi.org/10.3390/min12080987" TargetMode="External"/><Relationship Id="rId57" Type="http://schemas.openxmlformats.org/officeDocument/2006/relationships/hyperlink" Target="https://doi.org/10.1016/j.ecoenv.2014.12.025" TargetMode="External"/><Relationship Id="rId10" Type="http://schemas.openxmlformats.org/officeDocument/2006/relationships/image" Target="media/image1.tiff"/><Relationship Id="rId31" Type="http://schemas.openxmlformats.org/officeDocument/2006/relationships/hyperlink" Target="https://doi.org/10.1016/0883-2927(94)90038-8" TargetMode="External"/><Relationship Id="rId44" Type="http://schemas.openxmlformats.org/officeDocument/2006/relationships/hyperlink" Target="https://doi.org/10.2136/sssaj1996.03615995006000020013x" TargetMode="External"/><Relationship Id="rId52" Type="http://schemas.openxmlformats.org/officeDocument/2006/relationships/hyperlink" Target="https://doi.org/10.1007/s12665-020-09156-3" TargetMode="External"/><Relationship Id="rId60" Type="http://schemas.openxmlformats.org/officeDocument/2006/relationships/hyperlink" Target="https://doi.org/10.1016/j.cemconcomp.2024.105866" TargetMode="External"/><Relationship Id="rId65" Type="http://schemas.openxmlformats.org/officeDocument/2006/relationships/hyperlink" Target="https://doi.org/10.1016/j.heliyon.2020.e03634" TargetMode="External"/><Relationship Id="rId73" Type="http://schemas.openxmlformats.org/officeDocument/2006/relationships/hyperlink" Target="https://doi.org/10.1016/j.scitotenv.2004.06.011" TargetMode="External"/><Relationship Id="rId78" Type="http://schemas.openxmlformats.org/officeDocument/2006/relationships/hyperlink" Target="https://doi.org/10.1016/j.envpol.2020.114312" TargetMode="External"/><Relationship Id="rId81" Type="http://schemas.openxmlformats.org/officeDocument/2006/relationships/hyperlink" Target="https://doi.org/10.1007/978-3-7643-8340-4_6" TargetMode="External"/><Relationship Id="rId86" Type="http://schemas.openxmlformats.org/officeDocument/2006/relationships/hyperlink" Target="https://doi.org/10.1180/claymin.2014.049.1.08" TargetMode="External"/><Relationship Id="rId4" Type="http://schemas.openxmlformats.org/officeDocument/2006/relationships/settings" Target="settings.xml"/><Relationship Id="rId9" Type="http://schemas.openxmlformats.org/officeDocument/2006/relationships/hyperlink" Target="mailto:Harrou201@gmail.com" TargetMode="External"/><Relationship Id="rId13" Type="http://schemas.openxmlformats.org/officeDocument/2006/relationships/image" Target="media/image4.png"/><Relationship Id="rId18" Type="http://schemas.openxmlformats.org/officeDocument/2006/relationships/hyperlink" Target="https://doi.org/10.1007/s10450-024-00583-3" TargetMode="External"/><Relationship Id="rId39" Type="http://schemas.openxmlformats.org/officeDocument/2006/relationships/hyperlink" Target="https://doi.org/10.1346/CCMN.1982.0300501" TargetMode="External"/><Relationship Id="rId34" Type="http://schemas.openxmlformats.org/officeDocument/2006/relationships/hyperlink" Target="https://doi.org/10.3390/min6040129" TargetMode="External"/><Relationship Id="rId50" Type="http://schemas.openxmlformats.org/officeDocument/2006/relationships/hyperlink" Target="https://doi.org/10.1080/00103620600628680" TargetMode="External"/><Relationship Id="rId55" Type="http://schemas.openxmlformats.org/officeDocument/2006/relationships/hyperlink" Target="https://doi.org/10.1016/j.rinp.2018.10.003" TargetMode="External"/><Relationship Id="rId76" Type="http://schemas.openxmlformats.org/officeDocument/2006/relationships/hyperlink" Target="https://doi.org/10.1007/s10661-014-4087-9" TargetMode="External"/><Relationship Id="rId7" Type="http://schemas.openxmlformats.org/officeDocument/2006/relationships/endnotes" Target="endnotes.xml"/><Relationship Id="rId71" Type="http://schemas.openxmlformats.org/officeDocument/2006/relationships/hyperlink" Target="https://doi.org/10.3390/ijerph7041342" TargetMode="External"/><Relationship Id="rId2" Type="http://schemas.openxmlformats.org/officeDocument/2006/relationships/numbering" Target="numbering.xml"/><Relationship Id="rId29" Type="http://schemas.openxmlformats.org/officeDocument/2006/relationships/hyperlink" Target="https://doi.org/10.1016/j.jhazmat.2004.09.023" TargetMode="External"/><Relationship Id="rId24" Type="http://schemas.openxmlformats.org/officeDocument/2006/relationships/hyperlink" Target="https://doi.org/10.1007/s10653-016-9882-5" TargetMode="External"/><Relationship Id="rId40" Type="http://schemas.openxmlformats.org/officeDocument/2006/relationships/hyperlink" Target="http://dx.doi.org/10.13171/mjc92190909510he" TargetMode="External"/><Relationship Id="rId45" Type="http://schemas.openxmlformats.org/officeDocument/2006/relationships/hyperlink" Target="https://doi.org/10.1016/j.ecoenv.2017.01.008" TargetMode="External"/><Relationship Id="rId66" Type="http://schemas.openxmlformats.org/officeDocument/2006/relationships/hyperlink" Target="https://doi.org/10.1007/s10311-010-0297-8" TargetMode="External"/><Relationship Id="rId87" Type="http://schemas.openxmlformats.org/officeDocument/2006/relationships/hyperlink" Target="https://doi.org/10.1016/j.jhazmat.2022.128564" TargetMode="External"/><Relationship Id="rId61" Type="http://schemas.openxmlformats.org/officeDocument/2006/relationships/hyperlink" Target="https://doi.org/10.1007/s11356-019-06845-w" TargetMode="External"/><Relationship Id="rId82" Type="http://schemas.openxmlformats.org/officeDocument/2006/relationships/hyperlink" Target="https://doi.org/10.1038/s41598-022-20238-z" TargetMode="External"/><Relationship Id="rId19" Type="http://schemas.openxmlformats.org/officeDocument/2006/relationships/hyperlink" Target="https://doi.org/10.1007/s10653-022-013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83A14-2163-4390-9232-3F6946E03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12844</Words>
  <Characters>70646</Characters>
  <Application>Microsoft Office Word</Application>
  <DocSecurity>0</DocSecurity>
  <Lines>588</Lines>
  <Paragraphs>166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elkhadir gharibi</dc:creator>
  <cp:keywords/>
  <dc:description/>
  <cp:lastModifiedBy>Achraf HARROU</cp:lastModifiedBy>
  <cp:revision>8</cp:revision>
  <cp:lastPrinted>2025-11-07T16:22:00Z</cp:lastPrinted>
  <dcterms:created xsi:type="dcterms:W3CDTF">2025-12-24T14:56:00Z</dcterms:created>
  <dcterms:modified xsi:type="dcterms:W3CDTF">2025-12-24T15:41:00Z</dcterms:modified>
</cp:coreProperties>
</file>