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713E8" w14:textId="05CEB5C0" w:rsidR="005B0709" w:rsidRDefault="00255E65" w:rsidP="005B0709">
      <w:pPr>
        <w:pStyle w:val="Title"/>
        <w:rPr>
          <w:lang w:val="en-US"/>
        </w:rPr>
      </w:pPr>
      <w:r>
        <w:rPr>
          <w:lang w:val="en-US"/>
        </w:rPr>
        <w:t>D</w:t>
      </w:r>
      <w:r w:rsidR="002A095F">
        <w:rPr>
          <w:lang w:val="en-US"/>
        </w:rPr>
        <w:t xml:space="preserve">rivers </w:t>
      </w:r>
      <w:r w:rsidR="005562C5">
        <w:rPr>
          <w:lang w:val="en-US"/>
        </w:rPr>
        <w:t xml:space="preserve">of </w:t>
      </w:r>
      <w:r w:rsidR="000B1FB1" w:rsidRPr="000B1FB1">
        <w:rPr>
          <w:lang w:val="en-US"/>
        </w:rPr>
        <w:t>locus coeruleus</w:t>
      </w:r>
      <w:r w:rsidR="000B1FB1">
        <w:rPr>
          <w:lang w:val="en-US"/>
        </w:rPr>
        <w:t xml:space="preserve"> </w:t>
      </w:r>
      <w:r w:rsidR="005562C5">
        <w:rPr>
          <w:lang w:val="en-US"/>
        </w:rPr>
        <w:t xml:space="preserve">contrast in </w:t>
      </w:r>
      <w:r w:rsidR="004852B8">
        <w:rPr>
          <w:lang w:val="en-US"/>
        </w:rPr>
        <w:t>magnetization transfer</w:t>
      </w:r>
      <w:r w:rsidR="009D0B2F">
        <w:rPr>
          <w:lang w:val="en-US"/>
        </w:rPr>
        <w:t xml:space="preserve"> </w:t>
      </w:r>
      <w:r>
        <w:rPr>
          <w:lang w:val="en-US"/>
        </w:rPr>
        <w:t>magnetic resonance imaging</w:t>
      </w:r>
      <w:r w:rsidR="007C089A">
        <w:rPr>
          <w:lang w:val="en-US"/>
        </w:rPr>
        <w:t xml:space="preserve"> </w:t>
      </w:r>
    </w:p>
    <w:p w14:paraId="24238473" w14:textId="77777777" w:rsidR="005B0709" w:rsidRDefault="005B0709" w:rsidP="005B0709">
      <w:pPr>
        <w:rPr>
          <w:lang w:val="en-US"/>
        </w:rPr>
      </w:pPr>
    </w:p>
    <w:p w14:paraId="7BA73C32" w14:textId="69FF000A" w:rsidR="005B0709" w:rsidRPr="008971E5" w:rsidRDefault="005B0709" w:rsidP="00CB7BC3">
      <w:pPr>
        <w:autoSpaceDE w:val="0"/>
        <w:autoSpaceDN w:val="0"/>
        <w:adjustRightInd w:val="0"/>
        <w:spacing w:line="240" w:lineRule="auto"/>
        <w:rPr>
          <w:rFonts w:cstheme="minorHAnsi"/>
          <w:kern w:val="0"/>
          <w:lang w:val="en-US"/>
        </w:rPr>
      </w:pPr>
      <w:r w:rsidRPr="008971E5">
        <w:rPr>
          <w:rFonts w:cstheme="minorHAnsi"/>
          <w:kern w:val="0"/>
          <w:lang w:val="en-US"/>
        </w:rPr>
        <w:t xml:space="preserve">Mikhail </w:t>
      </w:r>
      <w:r w:rsidR="009703EB" w:rsidRPr="009703EB">
        <w:rPr>
          <w:rFonts w:cstheme="minorHAnsi"/>
          <w:kern w:val="0"/>
          <w:lang w:val="en-US"/>
        </w:rPr>
        <w:t>Zubkov</w:t>
      </w:r>
      <w:r w:rsidR="009703EB" w:rsidRPr="009703EB">
        <w:rPr>
          <w:rFonts w:cstheme="minorHAnsi"/>
          <w:kern w:val="0"/>
          <w:vertAlign w:val="superscript"/>
          <w:lang w:val="en-US"/>
        </w:rPr>
        <w:t>1</w:t>
      </w:r>
      <w:r w:rsidR="009703EB" w:rsidRPr="009703EB">
        <w:rPr>
          <w:rFonts w:cstheme="minorHAnsi"/>
          <w:kern w:val="0"/>
          <w:lang w:val="en-US"/>
        </w:rPr>
        <w:t xml:space="preserve">, </w:t>
      </w:r>
      <w:r w:rsidR="009703EB" w:rsidRPr="0028294B">
        <w:rPr>
          <w:rFonts w:cstheme="minorHAnsi"/>
          <w:kern w:val="0"/>
          <w:lang w:val="en-US"/>
        </w:rPr>
        <w:t>Aurora Gasparello</w:t>
      </w:r>
      <w:r w:rsidR="009703EB" w:rsidRPr="0028294B">
        <w:rPr>
          <w:rFonts w:cstheme="minorHAnsi"/>
          <w:kern w:val="0"/>
          <w:vertAlign w:val="superscript"/>
          <w:lang w:val="en-US"/>
        </w:rPr>
        <w:t>1</w:t>
      </w:r>
      <w:r w:rsidR="00DE3020">
        <w:rPr>
          <w:rFonts w:cstheme="minorHAnsi"/>
          <w:kern w:val="0"/>
          <w:vertAlign w:val="superscript"/>
          <w:lang w:val="en-US"/>
        </w:rPr>
        <w:t>,2</w:t>
      </w:r>
      <w:r w:rsidR="009703EB" w:rsidRPr="0028294B">
        <w:rPr>
          <w:rFonts w:cstheme="minorHAnsi"/>
          <w:kern w:val="0"/>
          <w:lang w:val="en-US"/>
        </w:rPr>
        <w:t xml:space="preserve">, </w:t>
      </w:r>
      <w:r w:rsidR="00631D67" w:rsidRPr="00631D67">
        <w:rPr>
          <w:rFonts w:cstheme="minorHAnsi"/>
          <w:kern w:val="0"/>
          <w:lang w:val="en-US"/>
        </w:rPr>
        <w:t>Nicholas John Simos</w:t>
      </w:r>
      <w:r w:rsidR="00633BC1" w:rsidRPr="00633BC1">
        <w:rPr>
          <w:rFonts w:cstheme="minorHAnsi"/>
          <w:kern w:val="0"/>
          <w:vertAlign w:val="superscript"/>
          <w:lang w:val="en-US"/>
        </w:rPr>
        <w:t>1</w:t>
      </w:r>
      <w:r w:rsidR="00633BC1">
        <w:rPr>
          <w:rFonts w:cstheme="minorHAnsi"/>
          <w:kern w:val="0"/>
          <w:lang w:val="en-US"/>
        </w:rPr>
        <w:t>,</w:t>
      </w:r>
      <w:r w:rsidR="00CB7BC3">
        <w:rPr>
          <w:rFonts w:cstheme="minorHAnsi"/>
          <w:kern w:val="0"/>
          <w:lang w:val="en-US"/>
        </w:rPr>
        <w:t xml:space="preserve"> </w:t>
      </w:r>
      <w:r w:rsidR="001B3BE7" w:rsidRPr="001B3BE7">
        <w:rPr>
          <w:rFonts w:cstheme="minorHAnsi"/>
          <w:kern w:val="0"/>
          <w:lang w:val="en-US"/>
        </w:rPr>
        <w:t>Maarten</w:t>
      </w:r>
      <w:r w:rsidR="003E6563">
        <w:rPr>
          <w:rFonts w:cstheme="minorHAnsi"/>
          <w:kern w:val="0"/>
          <w:lang w:val="en-US"/>
        </w:rPr>
        <w:t xml:space="preserve"> </w:t>
      </w:r>
      <w:r w:rsidR="003E6563" w:rsidRPr="003E6563">
        <w:rPr>
          <w:rFonts w:cstheme="minorHAnsi"/>
          <w:kern w:val="0"/>
          <w:lang w:val="en-US"/>
        </w:rPr>
        <w:t>Spruyt</w:t>
      </w:r>
      <w:r w:rsidR="003E6563" w:rsidRPr="003E6563">
        <w:rPr>
          <w:rFonts w:cstheme="minorHAnsi"/>
          <w:kern w:val="0"/>
          <w:vertAlign w:val="superscript"/>
          <w:lang w:val="en-US"/>
        </w:rPr>
        <w:t>1</w:t>
      </w:r>
      <w:r w:rsidR="00CB7BC3">
        <w:rPr>
          <w:rFonts w:cstheme="minorHAnsi"/>
          <w:kern w:val="0"/>
          <w:lang w:val="en-US"/>
        </w:rPr>
        <w:t>,</w:t>
      </w:r>
      <w:r w:rsidR="009703EB">
        <w:rPr>
          <w:rFonts w:cstheme="minorHAnsi"/>
          <w:kern w:val="0"/>
          <w:lang w:val="en-US"/>
        </w:rPr>
        <w:t xml:space="preserve"> </w:t>
      </w:r>
      <w:r w:rsidR="0004370B" w:rsidRPr="0028294B">
        <w:rPr>
          <w:rFonts w:cstheme="minorHAnsi"/>
          <w:kern w:val="0"/>
          <w:lang w:val="en-US"/>
        </w:rPr>
        <w:t>Nasrin Mortazavi</w:t>
      </w:r>
      <w:r w:rsidR="0004370B" w:rsidRPr="0028294B">
        <w:rPr>
          <w:rFonts w:cstheme="minorHAnsi"/>
          <w:kern w:val="0"/>
          <w:vertAlign w:val="superscript"/>
          <w:lang w:val="en-US"/>
        </w:rPr>
        <w:t>1</w:t>
      </w:r>
      <w:r w:rsidR="00A75A80" w:rsidRPr="0028294B">
        <w:rPr>
          <w:rFonts w:cstheme="minorHAnsi"/>
          <w:kern w:val="0"/>
          <w:lang w:val="en-US"/>
        </w:rPr>
        <w:t>,</w:t>
      </w:r>
      <w:r w:rsidR="00A514C3">
        <w:rPr>
          <w:rFonts w:cstheme="minorHAnsi"/>
          <w:kern w:val="0"/>
          <w:lang w:val="en-US"/>
        </w:rPr>
        <w:t xml:space="preserve"> </w:t>
      </w:r>
      <w:r w:rsidR="00A514C3" w:rsidRPr="008971E5">
        <w:rPr>
          <w:rFonts w:cstheme="minorHAnsi"/>
          <w:lang w:val="en-US"/>
        </w:rPr>
        <w:t>Laurent Lamalle</w:t>
      </w:r>
      <w:r w:rsidR="00A514C3" w:rsidRPr="008971E5">
        <w:rPr>
          <w:rFonts w:cstheme="minorHAnsi"/>
          <w:vertAlign w:val="superscript"/>
          <w:lang w:val="en-US"/>
        </w:rPr>
        <w:t>1</w:t>
      </w:r>
      <w:r w:rsidR="00A514C3" w:rsidRPr="008971E5">
        <w:rPr>
          <w:rFonts w:cstheme="minorHAnsi"/>
          <w:lang w:val="en-US"/>
        </w:rPr>
        <w:t>, Fabienne Collette</w:t>
      </w:r>
      <w:r w:rsidR="00A514C3" w:rsidRPr="008971E5">
        <w:rPr>
          <w:rFonts w:cstheme="minorHAnsi"/>
          <w:vertAlign w:val="superscript"/>
          <w:lang w:val="en-US"/>
        </w:rPr>
        <w:t>1</w:t>
      </w:r>
      <w:r w:rsidR="00DE3020">
        <w:rPr>
          <w:rFonts w:cstheme="minorHAnsi"/>
          <w:vertAlign w:val="superscript"/>
          <w:lang w:val="en-US"/>
        </w:rPr>
        <w:t>,2</w:t>
      </w:r>
      <w:r w:rsidR="00A514C3" w:rsidRPr="008971E5">
        <w:rPr>
          <w:rFonts w:cstheme="minorHAnsi"/>
          <w:lang w:val="en-US"/>
        </w:rPr>
        <w:t>,</w:t>
      </w:r>
      <w:r w:rsidR="00A514C3">
        <w:rPr>
          <w:rFonts w:cstheme="minorHAnsi"/>
          <w:lang w:val="en-US"/>
        </w:rPr>
        <w:t xml:space="preserve"> </w:t>
      </w:r>
      <w:r w:rsidR="00A514C3" w:rsidRPr="0049734A">
        <w:rPr>
          <w:rFonts w:cstheme="minorHAnsi"/>
          <w:lang w:val="en-US"/>
        </w:rPr>
        <w:t>Emilie Lommers</w:t>
      </w:r>
      <w:r w:rsidR="00A514C3" w:rsidRPr="0049734A">
        <w:rPr>
          <w:rFonts w:cstheme="minorHAnsi"/>
          <w:vertAlign w:val="superscript"/>
          <w:lang w:val="en-US"/>
        </w:rPr>
        <w:t>1</w:t>
      </w:r>
      <w:r w:rsidR="00A514C3" w:rsidRPr="00A514C3">
        <w:rPr>
          <w:rFonts w:cstheme="minorHAnsi"/>
          <w:lang w:val="en-US"/>
        </w:rPr>
        <w:t>,</w:t>
      </w:r>
      <w:r w:rsidR="0028294B" w:rsidRPr="0028294B">
        <w:rPr>
          <w:rFonts w:cstheme="minorHAnsi"/>
          <w:lang w:val="en-US"/>
        </w:rPr>
        <w:t xml:space="preserve"> </w:t>
      </w:r>
      <w:r w:rsidR="0028294B" w:rsidRPr="0049734A">
        <w:rPr>
          <w:rFonts w:cstheme="minorHAnsi"/>
          <w:lang w:val="en-US"/>
        </w:rPr>
        <w:t>Kerrin J Pine</w:t>
      </w:r>
      <w:r w:rsidR="0028294B" w:rsidRPr="0049734A">
        <w:rPr>
          <w:rFonts w:cstheme="minorHAnsi"/>
          <w:vertAlign w:val="superscript"/>
          <w:lang w:val="en-US"/>
        </w:rPr>
        <w:t>2</w:t>
      </w:r>
      <w:r w:rsidR="0028294B" w:rsidRPr="0028294B">
        <w:rPr>
          <w:rFonts w:cstheme="minorHAnsi"/>
          <w:lang w:val="en-US"/>
        </w:rPr>
        <w:t>,</w:t>
      </w:r>
      <w:r w:rsidR="0028294B">
        <w:rPr>
          <w:rFonts w:cstheme="minorHAnsi"/>
          <w:lang w:val="en-US"/>
        </w:rPr>
        <w:t xml:space="preserve"> </w:t>
      </w:r>
      <w:r w:rsidR="0028294B" w:rsidRPr="0049734A">
        <w:rPr>
          <w:rFonts w:cstheme="minorHAnsi"/>
          <w:lang w:val="en-US"/>
        </w:rPr>
        <w:t>Evgeniya Kirilina</w:t>
      </w:r>
      <w:r w:rsidR="0028294B" w:rsidRPr="0049734A">
        <w:rPr>
          <w:rFonts w:cstheme="minorHAnsi"/>
          <w:vertAlign w:val="superscript"/>
          <w:lang w:val="en-US"/>
        </w:rPr>
        <w:t>2</w:t>
      </w:r>
      <w:r w:rsidR="0028294B">
        <w:rPr>
          <w:rFonts w:cstheme="minorHAnsi"/>
          <w:lang w:val="en-US"/>
        </w:rPr>
        <w:t>,</w:t>
      </w:r>
      <w:r w:rsidR="00865E11">
        <w:rPr>
          <w:rFonts w:cstheme="minorHAnsi"/>
          <w:lang w:val="en-US"/>
        </w:rPr>
        <w:t xml:space="preserve"> </w:t>
      </w:r>
      <w:r w:rsidRPr="008971E5">
        <w:rPr>
          <w:rFonts w:cstheme="minorHAnsi"/>
          <w:kern w:val="0"/>
          <w:lang w:val="en-US"/>
        </w:rPr>
        <w:t>Puneet Talwar</w:t>
      </w:r>
      <w:r w:rsidRPr="008971E5">
        <w:rPr>
          <w:rFonts w:cstheme="minorHAnsi"/>
          <w:kern w:val="0"/>
          <w:vertAlign w:val="superscript"/>
          <w:lang w:val="en-US"/>
        </w:rPr>
        <w:t>1</w:t>
      </w:r>
      <w:r w:rsidRPr="008971E5">
        <w:rPr>
          <w:rFonts w:cstheme="minorHAnsi"/>
          <w:kern w:val="0"/>
          <w:lang w:val="en-US"/>
        </w:rPr>
        <w:t>, Gilles Vandewalle</w:t>
      </w:r>
      <w:r w:rsidRPr="008971E5">
        <w:rPr>
          <w:rFonts w:cstheme="minorHAnsi"/>
          <w:kern w:val="0"/>
          <w:vertAlign w:val="superscript"/>
          <w:lang w:val="en-US"/>
        </w:rPr>
        <w:t>1</w:t>
      </w:r>
    </w:p>
    <w:p w14:paraId="59BD3B61" w14:textId="1CC7DD16" w:rsidR="005B0709" w:rsidRDefault="005B0709" w:rsidP="005B0709">
      <w:pPr>
        <w:autoSpaceDE w:val="0"/>
        <w:autoSpaceDN w:val="0"/>
        <w:adjustRightInd w:val="0"/>
        <w:spacing w:after="0" w:line="240" w:lineRule="auto"/>
        <w:rPr>
          <w:rFonts w:cstheme="minorHAnsi"/>
          <w:kern w:val="0"/>
          <w:lang w:val="en-GB"/>
        </w:rPr>
      </w:pPr>
      <w:r w:rsidRPr="008971E5">
        <w:rPr>
          <w:rFonts w:cstheme="minorHAnsi"/>
          <w:kern w:val="0"/>
          <w:vertAlign w:val="superscript"/>
          <w:lang w:val="en-GB"/>
        </w:rPr>
        <w:t>1</w:t>
      </w:r>
      <w:r w:rsidRPr="008971E5">
        <w:rPr>
          <w:rFonts w:cstheme="minorHAnsi"/>
          <w:kern w:val="0"/>
          <w:lang w:val="en-GB"/>
        </w:rPr>
        <w:t xml:space="preserve"> GIGA-Institute, </w:t>
      </w:r>
      <w:r w:rsidR="00735746" w:rsidRPr="00735746">
        <w:rPr>
          <w:rFonts w:cstheme="minorHAnsi"/>
          <w:kern w:val="0"/>
          <w:lang w:val="en-GB"/>
        </w:rPr>
        <w:t>CRC-Human Imaging</w:t>
      </w:r>
      <w:r w:rsidRPr="008971E5">
        <w:rPr>
          <w:rFonts w:cstheme="minorHAnsi"/>
          <w:kern w:val="0"/>
          <w:lang w:val="en-GB"/>
        </w:rPr>
        <w:t xml:space="preserve"> Unit, University of Liège, Liège, Belgium</w:t>
      </w:r>
    </w:p>
    <w:p w14:paraId="365C8800" w14:textId="7994B045" w:rsidR="00352A11" w:rsidRDefault="00352A11" w:rsidP="005B0709">
      <w:pPr>
        <w:autoSpaceDE w:val="0"/>
        <w:autoSpaceDN w:val="0"/>
        <w:adjustRightInd w:val="0"/>
        <w:spacing w:after="0" w:line="240" w:lineRule="auto"/>
        <w:rPr>
          <w:rFonts w:cstheme="minorHAnsi"/>
          <w:kern w:val="0"/>
          <w:lang w:val="en-GB"/>
        </w:rPr>
      </w:pPr>
      <w:r w:rsidRPr="00DD2790">
        <w:rPr>
          <w:rFonts w:cstheme="minorHAnsi"/>
          <w:kern w:val="0"/>
          <w:vertAlign w:val="superscript"/>
          <w:lang w:val="en-GB"/>
        </w:rPr>
        <w:t>2</w:t>
      </w:r>
      <w:r>
        <w:rPr>
          <w:rFonts w:cstheme="minorHAnsi"/>
          <w:kern w:val="0"/>
          <w:lang w:val="en-GB"/>
        </w:rPr>
        <w:t xml:space="preserve"> </w:t>
      </w:r>
      <w:r w:rsidRPr="00352A11">
        <w:rPr>
          <w:rFonts w:cstheme="minorHAnsi"/>
          <w:kern w:val="0"/>
          <w:lang w:val="en-GB"/>
        </w:rPr>
        <w:t>Psychology and Neuroscience of Cognition Research Unit, University of Liège, Liège, Belgium</w:t>
      </w:r>
    </w:p>
    <w:p w14:paraId="51F59B66" w14:textId="33F999F3" w:rsidR="001663A4" w:rsidRDefault="00352A11" w:rsidP="001663A4">
      <w:pPr>
        <w:spacing w:after="60"/>
        <w:rPr>
          <w:lang w:val="en-GB"/>
        </w:rPr>
      </w:pPr>
      <w:r>
        <w:rPr>
          <w:vertAlign w:val="superscript"/>
          <w:lang w:val="en-GB"/>
        </w:rPr>
        <w:t xml:space="preserve">3 </w:t>
      </w:r>
      <w:r w:rsidR="001663A4" w:rsidRPr="008971E5">
        <w:rPr>
          <w:lang w:val="en-GB"/>
        </w:rPr>
        <w:t xml:space="preserve">Department of </w:t>
      </w:r>
      <w:proofErr w:type="spellStart"/>
      <w:r w:rsidR="001663A4" w:rsidRPr="008971E5">
        <w:rPr>
          <w:lang w:val="en-GB"/>
        </w:rPr>
        <w:t>Neurophysics</w:t>
      </w:r>
      <w:proofErr w:type="spellEnd"/>
      <w:r w:rsidR="001663A4" w:rsidRPr="008971E5">
        <w:rPr>
          <w:lang w:val="en-GB"/>
        </w:rPr>
        <w:t>, Max Planck Institute for Human Cognitive and Brain Sciences, Leipzig, Germany</w:t>
      </w:r>
    </w:p>
    <w:p w14:paraId="5007AFF1" w14:textId="77777777" w:rsidR="001663A4" w:rsidRPr="008971E5" w:rsidRDefault="001663A4" w:rsidP="005B0709">
      <w:pPr>
        <w:autoSpaceDE w:val="0"/>
        <w:autoSpaceDN w:val="0"/>
        <w:adjustRightInd w:val="0"/>
        <w:spacing w:after="0" w:line="240" w:lineRule="auto"/>
        <w:rPr>
          <w:rFonts w:cstheme="minorHAnsi"/>
          <w:kern w:val="0"/>
          <w:lang w:val="en-GB"/>
        </w:rPr>
      </w:pPr>
    </w:p>
    <w:p w14:paraId="4B9BEF4D" w14:textId="77777777" w:rsidR="005B0709" w:rsidRPr="00BD266E" w:rsidRDefault="005B0709" w:rsidP="005B0709">
      <w:pPr>
        <w:autoSpaceDE w:val="0"/>
        <w:autoSpaceDN w:val="0"/>
        <w:adjustRightInd w:val="0"/>
        <w:spacing w:after="0" w:line="240" w:lineRule="auto"/>
        <w:rPr>
          <w:rFonts w:ascii="Klavika-Regular" w:hAnsi="Klavika-Regular" w:cs="Klavika-Regular"/>
          <w:kern w:val="0"/>
          <w:sz w:val="16"/>
          <w:szCs w:val="16"/>
          <w:lang w:val="en-GB"/>
        </w:rPr>
      </w:pPr>
    </w:p>
    <w:p w14:paraId="72B2B9D7" w14:textId="53D392C6" w:rsidR="00D9006E" w:rsidRDefault="00D9006E" w:rsidP="00920A13">
      <w:pPr>
        <w:pStyle w:val="Heading1"/>
        <w:rPr>
          <w:lang w:val="en-US"/>
        </w:rPr>
      </w:pPr>
      <w:r>
        <w:rPr>
          <w:lang w:val="en-US"/>
        </w:rPr>
        <w:t>Introduction</w:t>
      </w:r>
    </w:p>
    <w:p w14:paraId="661151C4" w14:textId="730594BD" w:rsidR="00224199" w:rsidRDefault="00224199" w:rsidP="0094411E">
      <w:pPr>
        <w:jc w:val="both"/>
        <w:rPr>
          <w:lang w:val="en-US"/>
        </w:rPr>
      </w:pPr>
      <w:r w:rsidRPr="0028294B">
        <w:rPr>
          <w:lang w:val="en-US"/>
        </w:rPr>
        <w:t>The</w:t>
      </w:r>
      <w:r w:rsidR="00A61BAD" w:rsidRPr="0028294B">
        <w:rPr>
          <w:lang w:val="en-US"/>
        </w:rPr>
        <w:t xml:space="preserve"> integrity of the</w:t>
      </w:r>
      <w:r w:rsidRPr="0028294B">
        <w:rPr>
          <w:lang w:val="en-US"/>
        </w:rPr>
        <w:t xml:space="preserve"> noradrenergic locus coeruleus (LC) </w:t>
      </w:r>
      <w:r w:rsidR="001E7447" w:rsidRPr="0028294B">
        <w:rPr>
          <w:lang w:val="en-US"/>
        </w:rPr>
        <w:t xml:space="preserve">is critical for </w:t>
      </w:r>
      <w:r w:rsidR="00A6274F" w:rsidRPr="0028294B">
        <w:rPr>
          <w:lang w:val="en-US"/>
        </w:rPr>
        <w:t xml:space="preserve">regulating </w:t>
      </w:r>
      <w:r w:rsidR="007E3769" w:rsidRPr="0028294B">
        <w:rPr>
          <w:lang w:val="en-US"/>
        </w:rPr>
        <w:t>sleep,</w:t>
      </w:r>
      <w:r w:rsidR="00A6274F" w:rsidRPr="0028294B">
        <w:rPr>
          <w:lang w:val="en-US"/>
        </w:rPr>
        <w:t xml:space="preserve"> arousal, </w:t>
      </w:r>
      <w:r w:rsidR="00CE6713" w:rsidRPr="0028294B">
        <w:rPr>
          <w:lang w:val="en-US"/>
        </w:rPr>
        <w:t>attention,</w:t>
      </w:r>
      <w:r w:rsidR="007E3769" w:rsidRPr="0028294B">
        <w:rPr>
          <w:lang w:val="en-US"/>
        </w:rPr>
        <w:t xml:space="preserve"> cognition, </w:t>
      </w:r>
      <w:r w:rsidR="00CE6713" w:rsidRPr="0028294B">
        <w:rPr>
          <w:lang w:val="en-US"/>
        </w:rPr>
        <w:t xml:space="preserve">memory and other </w:t>
      </w:r>
      <w:r w:rsidR="007B6CB6">
        <w:rPr>
          <w:lang w:val="en-US"/>
        </w:rPr>
        <w:t>integral</w:t>
      </w:r>
      <w:r w:rsidR="007B6CB6" w:rsidRPr="0028294B">
        <w:rPr>
          <w:lang w:val="en-US"/>
        </w:rPr>
        <w:t xml:space="preserve"> </w:t>
      </w:r>
      <w:r w:rsidR="00CE6713" w:rsidRPr="0028294B">
        <w:rPr>
          <w:lang w:val="en-US"/>
        </w:rPr>
        <w:t>brain functions</w:t>
      </w:r>
      <w:r w:rsidR="000A2343">
        <w:fldChar w:fldCharType="begin"/>
      </w:r>
      <w:r w:rsidR="000A2343" w:rsidRPr="0028294B">
        <w:rPr>
          <w:lang w:val="en-US"/>
        </w:rPr>
        <w:instrText xml:space="preserve"> ADDIN ZOTERO_ITEM CSL_CITATION {"citationID":"pUgB4EyY","properties":{"formattedCitation":"\\super 1\\nosupersub{}","plainCitation":"1","noteIndex":0},"citationItems":[{"id":3507,"uris":["http://zotero.org/users/3752416/items/4ELKF3BF"],"itemData":{"id":3507,"type":"article-journal","abstract":"The noradrenergic nucleus locus coeruleus (LC) is a tiny cluster of cells located bilaterally in the pons just under the fourth ventricle. Despite its small size (it groups just 1,500 neurons on each side in the rat), it projects to the entire forebrain, brainstem and cerebellum.The LC is part of what used to be known as the 'ascending reticular activating system', so it is not surprising that early theories of this system's function focused on vigilance and sleep–wake cycles.Studies of the effects of noradrenaline at a cellular level reveal multiple actions, including effects on membrane potentials, cellular excitability, synaptic plasticity and the signal/noise ratio in sensory regions.More recent studies have found that this system is implicated in many cognitive processes, including attention, learning, memory and decision making.A large body of evidence has accumulated showing the LC noradrenaline system plays an important part in mediating behaviourally driven long-term potentiation and memory consolidation.Functional-imaging studies suggest that this system is engaged in situations that require shifts in attention, perceptual rivalry and memory retrieval, supporting a general view that the LC promotes rapid neuronal-network reorganization in response to cognitive demand.","container-title":"Nature Reviews Neuroscience","DOI":"10.1038/nrn2573","ISSN":"1471-0048","issue":"3","journalAbbreviation":"Nat Rev Neurosci","language":"en","license":"2009 Springer Nature Limited","note":"publisher: Nature Publishing Group","page":"211-223","source":"www.nature.com","title":"The locus coeruleus and noradrenergic modulation of cognition","volume":"10","author":[{"family":"Sara","given":"Susan J."}],"issued":{"date-parts":[["2009",3]]}}}],"schema":"https://github.com/citation-style-language/schema/raw/master/csl-citation.json"} </w:instrText>
      </w:r>
      <w:r w:rsidR="000A2343">
        <w:fldChar w:fldCharType="separate"/>
      </w:r>
      <w:r w:rsidR="000A2343" w:rsidRPr="0028294B">
        <w:rPr>
          <w:rFonts w:ascii="Calibri" w:hAnsi="Calibri" w:cs="Calibri"/>
          <w:kern w:val="0"/>
          <w:vertAlign w:val="superscript"/>
          <w:lang w:val="en-US"/>
        </w:rPr>
        <w:t>1</w:t>
      </w:r>
      <w:r w:rsidR="000A2343">
        <w:fldChar w:fldCharType="end"/>
      </w:r>
      <w:r w:rsidR="00CE6713" w:rsidRPr="0028294B">
        <w:rPr>
          <w:lang w:val="en-US"/>
        </w:rPr>
        <w:t>.</w:t>
      </w:r>
      <w:r w:rsidR="00A61BAD" w:rsidRPr="0028294B">
        <w:rPr>
          <w:lang w:val="en-US"/>
        </w:rPr>
        <w:t xml:space="preserve"> Non-invasive probing into the</w:t>
      </w:r>
      <w:r w:rsidR="007B6CB6">
        <w:rPr>
          <w:lang w:val="en-US"/>
        </w:rPr>
        <w:t xml:space="preserve"> </w:t>
      </w:r>
      <w:r w:rsidR="0008591C" w:rsidRPr="0008591C">
        <w:t>physiological</w:t>
      </w:r>
      <w:r w:rsidR="00A61BAD" w:rsidRPr="0028294B">
        <w:rPr>
          <w:lang w:val="en-US"/>
        </w:rPr>
        <w:t xml:space="preserve"> state of LC </w:t>
      </w:r>
      <w:r w:rsidR="00AF19EB" w:rsidRPr="0028294B">
        <w:rPr>
          <w:lang w:val="en-US"/>
        </w:rPr>
        <w:t xml:space="preserve">can be done through magnetic resonance imaging (MRI), particularly </w:t>
      </w:r>
      <w:r w:rsidR="0078065C">
        <w:rPr>
          <w:lang w:val="en-US"/>
        </w:rPr>
        <w:t xml:space="preserve">at </w:t>
      </w:r>
      <w:r w:rsidR="00AF19EB" w:rsidRPr="0028294B">
        <w:rPr>
          <w:lang w:val="en-US"/>
        </w:rPr>
        <w:t xml:space="preserve">ultra-high field (UHF), as it </w:t>
      </w:r>
      <w:r w:rsidR="006A506F" w:rsidRPr="0028294B">
        <w:rPr>
          <w:lang w:val="en-US"/>
        </w:rPr>
        <w:t>provides high-resolution capabilities</w:t>
      </w:r>
      <w:r w:rsidR="004841CE" w:rsidRPr="00A514C3">
        <w:rPr>
          <w:lang w:val="en-US"/>
        </w:rPr>
        <w:t xml:space="preserve"> </w:t>
      </w:r>
      <w:r w:rsidR="004841CE">
        <w:rPr>
          <w:lang w:val="en-US"/>
        </w:rPr>
        <w:t xml:space="preserve">facilitating </w:t>
      </w:r>
      <w:r w:rsidR="005E0CC9">
        <w:rPr>
          <w:lang w:val="en-US"/>
        </w:rPr>
        <w:t>the LC imaging</w:t>
      </w:r>
      <w:r w:rsidR="005133E7">
        <w:rPr>
          <w:lang w:val="en-US"/>
        </w:rPr>
        <w:fldChar w:fldCharType="begin"/>
      </w:r>
      <w:r w:rsidR="000A2343">
        <w:rPr>
          <w:lang w:val="en-US"/>
        </w:rPr>
        <w:instrText xml:space="preserve"> ADDIN ZOTERO_ITEM CSL_CITATION {"citationID":"ZmsyeC7K","properties":{"formattedCitation":"\\super 2\\nosupersub{}","plainCitation":"2","noteIndex":0},"citationItems":[{"id":3503,"uris":["http://zotero.org/users/3752416/items/WEM4MBXE"],"itemData":{"id":3503,"type":"article-journal","abstract":"Locus Coeruleus (LC) is a neuromelanin-rich brainstem structure that is the source of noradrenaline in the cortex and is thought to modulate attention and memory. LC imaging in vivo is commonly performed with a 2D T1-weighted Turbo Spin Echo (TSE) MRI sequence, an approach that suffers from several drawbacks at 3T, including long acquisition times and highly anisotropic spatial resolution. In this study, we developed a high-resolution Magnetization Transfer (MT) sequence for LC imaging at both 7T and 3T and compared its performance to a TSE sequence. Results indicate that LC imaging can be achieved with an MT sequence at both 7 and 3T at higher spatial resolution than the 3T TSE. Furthermore, we investigated whether the currently disputed source of contrast in the LC region with a TSE sequence relates to MT effects or shortened T1 and T2* due to increased iron concentration. Our results suggest that the contrast in the LC area relates to MT effects. To conclude, in this study we managed to image the LC, for the first time, at 7T and at an increased resolution compared to the current state-of-the-art. Imaging the LC is highly relevant for clinical diagnostics as structural tissue properties of the LC may hold promise as a biomarker in neurodegenerative diseases.","collection-title":"Neuroimaging with Ultra-high Field MRI: Present and Future","container-title":"NeuroImage","DOI":"10.1016/j.neuroimage.2017.07.045","ISSN":"1053-8119","journalAbbreviation":"NeuroImage","page":"427-436","source":"ScienceDirect","title":"High-resolution in vivo imaging of human locus coeruleus by magnetization transfer MRI at 3T and 7T","volume":"168","author":[{"family":"Priovoulos","given":"Nikos"},{"family":"Jacobs","given":"Heidi I. L."},{"family":"Ivanov","given":"Dimo"},{"family":"Uludağ","given":"Kâmil"},{"family":"Verhey","given":"Frans R. J."},{"family":"Poser","given":"Benedikt A."}],"issued":{"date-parts":[["2018",3,1]]}}}],"schema":"https://github.com/citation-style-language/schema/raw/master/csl-citation.json"} </w:instrText>
      </w:r>
      <w:r w:rsidR="005133E7">
        <w:rPr>
          <w:lang w:val="en-US"/>
        </w:rPr>
        <w:fldChar w:fldCharType="separate"/>
      </w:r>
      <w:r w:rsidR="000A2343" w:rsidRPr="00631D67">
        <w:rPr>
          <w:rFonts w:ascii="Calibri" w:hAnsi="Calibri" w:cs="Calibri"/>
          <w:kern w:val="0"/>
          <w:vertAlign w:val="superscript"/>
          <w:lang w:val="en-US"/>
        </w:rPr>
        <w:t>2</w:t>
      </w:r>
      <w:r w:rsidR="005133E7">
        <w:rPr>
          <w:lang w:val="en-US"/>
        </w:rPr>
        <w:fldChar w:fldCharType="end"/>
      </w:r>
      <w:r w:rsidR="005E0CC9">
        <w:rPr>
          <w:lang w:val="en-US"/>
        </w:rPr>
        <w:t>.</w:t>
      </w:r>
      <w:r w:rsidR="00F6391B">
        <w:rPr>
          <w:lang w:val="en-US"/>
        </w:rPr>
        <w:t xml:space="preserve"> </w:t>
      </w:r>
      <w:r w:rsidR="00D16C88">
        <w:rPr>
          <w:lang w:val="en-US"/>
        </w:rPr>
        <w:t xml:space="preserve">At </w:t>
      </w:r>
      <w:r w:rsidR="00C35704">
        <w:rPr>
          <w:lang w:val="en-US"/>
        </w:rPr>
        <w:t xml:space="preserve">UHF MRI </w:t>
      </w:r>
      <w:r w:rsidR="00F6391B">
        <w:rPr>
          <w:lang w:val="en-US"/>
        </w:rPr>
        <w:t>LC is particularly prominent in the magnetization transfer</w:t>
      </w:r>
      <w:r w:rsidR="005169D5">
        <w:rPr>
          <w:lang w:val="en-US"/>
        </w:rPr>
        <w:t xml:space="preserve"> (MT)</w:t>
      </w:r>
      <w:r w:rsidR="00F6391B">
        <w:rPr>
          <w:lang w:val="en-US"/>
        </w:rPr>
        <w:t xml:space="preserve"> based </w:t>
      </w:r>
      <w:r w:rsidR="00C35704">
        <w:rPr>
          <w:lang w:val="en-US"/>
        </w:rPr>
        <w:t>imaging techniques</w:t>
      </w:r>
      <w:r w:rsidR="004559BB">
        <w:rPr>
          <w:lang w:val="en-US"/>
        </w:rPr>
        <w:t>.</w:t>
      </w:r>
      <w:r w:rsidR="00C35704">
        <w:rPr>
          <w:lang w:val="en-US"/>
        </w:rPr>
        <w:t xml:space="preserve"> </w:t>
      </w:r>
      <w:r w:rsidR="005169D5">
        <w:rPr>
          <w:lang w:val="en-US"/>
        </w:rPr>
        <w:t>T</w:t>
      </w:r>
      <w:r w:rsidR="00C35704">
        <w:rPr>
          <w:lang w:val="en-US"/>
        </w:rPr>
        <w:t xml:space="preserve">he </w:t>
      </w:r>
      <w:r w:rsidR="005169D5">
        <w:rPr>
          <w:lang w:val="en-US"/>
        </w:rPr>
        <w:t>difference</w:t>
      </w:r>
      <w:r w:rsidR="004559BB">
        <w:rPr>
          <w:lang w:val="en-US"/>
        </w:rPr>
        <w:t xml:space="preserve"> of the LC</w:t>
      </w:r>
      <w:r w:rsidR="005169D5">
        <w:rPr>
          <w:lang w:val="en-US"/>
        </w:rPr>
        <w:t xml:space="preserve"> intensity </w:t>
      </w:r>
      <w:r w:rsidR="00C63A54">
        <w:rPr>
          <w:lang w:val="en-US"/>
        </w:rPr>
        <w:t>and the</w:t>
      </w:r>
      <w:r w:rsidR="004559BB">
        <w:rPr>
          <w:lang w:val="en-US"/>
        </w:rPr>
        <w:t xml:space="preserve"> surrounding tissues</w:t>
      </w:r>
      <w:r w:rsidR="005169D5">
        <w:rPr>
          <w:lang w:val="en-US"/>
        </w:rPr>
        <w:t xml:space="preserve"> intensity in MT</w:t>
      </w:r>
      <w:r w:rsidR="004E59E6">
        <w:rPr>
          <w:lang w:val="en-US"/>
        </w:rPr>
        <w:t>-weighted images</w:t>
      </w:r>
      <w:r w:rsidR="004559BB">
        <w:rPr>
          <w:lang w:val="en-US"/>
        </w:rPr>
        <w:t xml:space="preserve"> (LC-contrast)</w:t>
      </w:r>
      <w:r w:rsidR="004E59E6">
        <w:rPr>
          <w:lang w:val="en-US"/>
        </w:rPr>
        <w:t xml:space="preserve"> has been </w:t>
      </w:r>
      <w:r w:rsidR="002B4681">
        <w:rPr>
          <w:lang w:val="en-US"/>
        </w:rPr>
        <w:t xml:space="preserve">found </w:t>
      </w:r>
      <w:r w:rsidR="004E59E6">
        <w:rPr>
          <w:lang w:val="en-US"/>
        </w:rPr>
        <w:t xml:space="preserve">to correlate </w:t>
      </w:r>
      <w:r w:rsidR="00A16AC5">
        <w:rPr>
          <w:lang w:val="en-US"/>
        </w:rPr>
        <w:t xml:space="preserve">with the </w:t>
      </w:r>
      <w:r w:rsidR="004E59E6">
        <w:rPr>
          <w:lang w:val="en-US"/>
        </w:rPr>
        <w:t>LC integrity</w:t>
      </w:r>
      <w:r w:rsidR="002A1299">
        <w:rPr>
          <w:lang w:val="en-US"/>
        </w:rPr>
        <w:t xml:space="preserve"> and neuromelanin content,</w:t>
      </w:r>
      <w:r w:rsidR="009A0293">
        <w:rPr>
          <w:lang w:val="en-US"/>
        </w:rPr>
        <w:t xml:space="preserve"> thus becoming a </w:t>
      </w:r>
      <w:r w:rsidR="00A649CA">
        <w:rPr>
          <w:lang w:val="en-US"/>
        </w:rPr>
        <w:t xml:space="preserve">measurement of choice for many studies. </w:t>
      </w:r>
      <w:r w:rsidR="002A1299">
        <w:rPr>
          <w:lang w:val="en-US"/>
        </w:rPr>
        <w:t>Nevertheless, t</w:t>
      </w:r>
      <w:r w:rsidR="00A649CA">
        <w:rPr>
          <w:lang w:val="en-US"/>
        </w:rPr>
        <w:t>he implicit arbitrary scaling of</w:t>
      </w:r>
      <w:r w:rsidR="004559BB">
        <w:rPr>
          <w:lang w:val="en-US"/>
        </w:rPr>
        <w:t xml:space="preserve"> </w:t>
      </w:r>
      <w:r w:rsidR="00A649CA">
        <w:rPr>
          <w:lang w:val="en-US"/>
        </w:rPr>
        <w:t xml:space="preserve">MRI images </w:t>
      </w:r>
      <w:r w:rsidR="002A1299">
        <w:rPr>
          <w:lang w:val="en-US"/>
        </w:rPr>
        <w:t xml:space="preserve">renders the LC-contrast </w:t>
      </w:r>
      <w:r w:rsidR="00141DF3">
        <w:rPr>
          <w:lang w:val="en-US"/>
        </w:rPr>
        <w:t>a non- or semi-quantitative metric, as it precludes directly relating the LC-contrast to tissue microstructure.</w:t>
      </w:r>
      <w:r w:rsidR="00E3328B">
        <w:rPr>
          <w:lang w:val="en-US"/>
        </w:rPr>
        <w:t xml:space="preserve"> LC-contrast has been partially linked</w:t>
      </w:r>
      <w:r w:rsidR="001664B4">
        <w:rPr>
          <w:lang w:val="en-US"/>
        </w:rPr>
        <w:fldChar w:fldCharType="begin"/>
      </w:r>
      <w:r w:rsidR="000A2343">
        <w:rPr>
          <w:lang w:val="en-US"/>
        </w:rPr>
        <w:instrText xml:space="preserve"> ADDIN ZOTERO_ITEM CSL_CITATION {"citationID":"W8aaZHsK","properties":{"formattedCitation":"\\super 2\\nosupersub{}","plainCitation":"2","noteIndex":0},"citationItems":[{"id":3503,"uris":["http://zotero.org/users/3752416/items/WEM4MBXE"],"itemData":{"id":3503,"type":"article-journal","abstract":"Locus Coeruleus (LC) is a neuromelanin-rich brainstem structure that is the source of noradrenaline in the cortex and is thought to modulate attention and memory. LC imaging in vivo is commonly performed with a 2D T1-weighted Turbo Spin Echo (TSE) MRI sequence, an approach that suffers from several drawbacks at 3T, including long acquisition times and highly anisotropic spatial resolution. In this study, we developed a high-resolution Magnetization Transfer (MT) sequence for LC imaging at both 7T and 3T and compared its performance to a TSE sequence. Results indicate that LC imaging can be achieved with an MT sequence at both 7 and 3T at higher spatial resolution than the 3T TSE. Furthermore, we investigated whether the currently disputed source of contrast in the LC region with a TSE sequence relates to MT effects or shortened T1 and T2* due to increased iron concentration. Our results suggest that the contrast in the LC area relates to MT effects. To conclude, in this study we managed to image the LC, for the first time, at 7T and at an increased resolution compared to the current state-of-the-art. Imaging the LC is highly relevant for clinical diagnostics as structural tissue properties of the LC may hold promise as a biomarker in neurodegenerative diseases.","collection-title":"Neuroimaging with Ultra-high Field MRI: Present and Future","container-title":"NeuroImage","DOI":"10.1016/j.neuroimage.2017.07.045","ISSN":"1053-8119","journalAbbreviation":"NeuroImage","page":"427-436","source":"ScienceDirect","title":"High-resolution in vivo imaging of human locus coeruleus by magnetization transfer MRI at 3T and 7T","volume":"168","author":[{"family":"Priovoulos","given":"Nikos"},{"family":"Jacobs","given":"Heidi I. L."},{"family":"Ivanov","given":"Dimo"},{"family":"Uludağ","given":"Kâmil"},{"family":"Verhey","given":"Frans R. J."},{"family":"Poser","given":"Benedikt A."}],"issued":{"date-parts":[["2018",3,1]]}}}],"schema":"https://github.com/citation-style-language/schema/raw/master/csl-citation.json"} </w:instrText>
      </w:r>
      <w:r w:rsidR="001664B4">
        <w:rPr>
          <w:lang w:val="en-US"/>
        </w:rPr>
        <w:fldChar w:fldCharType="separate"/>
      </w:r>
      <w:r w:rsidR="000A2343" w:rsidRPr="0028294B">
        <w:rPr>
          <w:rFonts w:ascii="Calibri" w:hAnsi="Calibri" w:cs="Calibri"/>
          <w:kern w:val="0"/>
          <w:vertAlign w:val="superscript"/>
          <w:lang w:val="en-US"/>
        </w:rPr>
        <w:t>2</w:t>
      </w:r>
      <w:r w:rsidR="001664B4">
        <w:rPr>
          <w:lang w:val="en-US"/>
        </w:rPr>
        <w:fldChar w:fldCharType="end"/>
      </w:r>
      <w:r w:rsidR="00E3328B">
        <w:rPr>
          <w:lang w:val="en-US"/>
        </w:rPr>
        <w:t xml:space="preserve"> to other truly quantitative metrics</w:t>
      </w:r>
      <w:r w:rsidR="00C328CE">
        <w:rPr>
          <w:lang w:val="en-US"/>
        </w:rPr>
        <w:t>, such as R1, R2, and R2* relaxation rates, quantitative measurements of MT</w:t>
      </w:r>
      <w:r w:rsidR="00875A2F">
        <w:rPr>
          <w:lang w:val="en-US"/>
        </w:rPr>
        <w:t>, and proton density</w:t>
      </w:r>
      <w:r w:rsidR="00427421">
        <w:rPr>
          <w:lang w:val="en-US"/>
        </w:rPr>
        <w:t xml:space="preserve"> (PD)</w:t>
      </w:r>
      <w:r w:rsidR="00875A2F">
        <w:rPr>
          <w:lang w:val="en-US"/>
        </w:rPr>
        <w:t xml:space="preserve">. Nevertheless, the exact </w:t>
      </w:r>
      <w:r w:rsidR="00554E67">
        <w:rPr>
          <w:lang w:val="en-US"/>
        </w:rPr>
        <w:t>relation between</w:t>
      </w:r>
      <w:r w:rsidR="0094411E">
        <w:rPr>
          <w:lang w:val="en-US"/>
        </w:rPr>
        <w:t xml:space="preserve"> </w:t>
      </w:r>
      <w:r w:rsidR="00554E67">
        <w:rPr>
          <w:lang w:val="en-US"/>
        </w:rPr>
        <w:t>qu</w:t>
      </w:r>
      <w:r w:rsidR="007F1A19">
        <w:rPr>
          <w:lang w:val="en-US"/>
        </w:rPr>
        <w:t xml:space="preserve">antitative </w:t>
      </w:r>
      <w:r w:rsidR="00554E67">
        <w:rPr>
          <w:lang w:val="en-US"/>
        </w:rPr>
        <w:t>tissue parameters</w:t>
      </w:r>
      <w:r w:rsidR="0094411E">
        <w:rPr>
          <w:lang w:val="en-US"/>
        </w:rPr>
        <w:t xml:space="preserve"> </w:t>
      </w:r>
      <w:r w:rsidR="007F1A19">
        <w:rPr>
          <w:lang w:val="en-US"/>
        </w:rPr>
        <w:t xml:space="preserve">and </w:t>
      </w:r>
      <w:r w:rsidR="0094411E">
        <w:rPr>
          <w:lang w:val="en-US"/>
        </w:rPr>
        <w:t xml:space="preserve">the LC-contrast </w:t>
      </w:r>
      <w:r w:rsidR="00FE7566">
        <w:rPr>
          <w:lang w:val="en-US"/>
        </w:rPr>
        <w:t>has</w:t>
      </w:r>
      <w:r w:rsidR="0094411E">
        <w:rPr>
          <w:lang w:val="en-US"/>
        </w:rPr>
        <w:t xml:space="preserve"> not been established.</w:t>
      </w:r>
    </w:p>
    <w:p w14:paraId="31435728" w14:textId="43421742" w:rsidR="00AE0F43" w:rsidRPr="004841CE" w:rsidRDefault="00AE0F43" w:rsidP="0094411E">
      <w:pPr>
        <w:jc w:val="both"/>
        <w:rPr>
          <w:lang w:val="en-US"/>
        </w:rPr>
      </w:pPr>
      <w:r>
        <w:rPr>
          <w:lang w:val="en-US"/>
        </w:rPr>
        <w:t xml:space="preserve">In this work we </w:t>
      </w:r>
      <w:r w:rsidR="00152DCB">
        <w:rPr>
          <w:lang w:val="en-US"/>
        </w:rPr>
        <w:t>have employed a multiparameter mapping</w:t>
      </w:r>
      <w:r w:rsidR="00CE12E1">
        <w:rPr>
          <w:lang w:val="en-US"/>
        </w:rPr>
        <w:t xml:space="preserve"> (MPM)</w:t>
      </w:r>
      <w:r w:rsidR="00152DCB">
        <w:rPr>
          <w:lang w:val="en-US"/>
        </w:rPr>
        <w:t xml:space="preserve"> approach </w:t>
      </w:r>
      <w:r w:rsidR="005E12FE">
        <w:rPr>
          <w:lang w:val="en-US"/>
        </w:rPr>
        <w:t xml:space="preserve">to obtain the quantitative measurements of the LC. </w:t>
      </w:r>
      <w:r w:rsidR="00994301">
        <w:rPr>
          <w:lang w:val="en-US"/>
        </w:rPr>
        <w:t>This, in turn, allow</w:t>
      </w:r>
      <w:r w:rsidR="0017044C">
        <w:rPr>
          <w:lang w:val="en-US"/>
        </w:rPr>
        <w:t>ed us</w:t>
      </w:r>
      <w:r w:rsidR="00994301">
        <w:rPr>
          <w:lang w:val="en-US"/>
        </w:rPr>
        <w:t xml:space="preserve"> to </w:t>
      </w:r>
      <w:r w:rsidR="00FE7566">
        <w:rPr>
          <w:lang w:val="en-US"/>
        </w:rPr>
        <w:t>assess</w:t>
      </w:r>
      <w:r w:rsidR="00994301">
        <w:rPr>
          <w:lang w:val="en-US"/>
        </w:rPr>
        <w:t xml:space="preserve"> which tissue properties are more likely to drive the LC-contrast, and which ones are the </w:t>
      </w:r>
      <w:r w:rsidR="00883DA9">
        <w:rPr>
          <w:lang w:val="en-US"/>
        </w:rPr>
        <w:t>prominent</w:t>
      </w:r>
      <w:r w:rsidR="00994301">
        <w:rPr>
          <w:lang w:val="en-US"/>
        </w:rPr>
        <w:t xml:space="preserve"> candidates for</w:t>
      </w:r>
      <w:r w:rsidR="009114D4">
        <w:rPr>
          <w:lang w:val="en-US"/>
        </w:rPr>
        <w:t xml:space="preserve"> building the biophysical models linking the </w:t>
      </w:r>
      <w:r w:rsidR="004F0728">
        <w:rPr>
          <w:lang w:val="en-US"/>
        </w:rPr>
        <w:t xml:space="preserve">MRI-based measurements to the </w:t>
      </w:r>
      <w:r w:rsidR="009114D4">
        <w:rPr>
          <w:lang w:val="en-US"/>
        </w:rPr>
        <w:t>LC</w:t>
      </w:r>
      <w:r w:rsidR="00994301">
        <w:rPr>
          <w:lang w:val="en-US"/>
        </w:rPr>
        <w:t xml:space="preserve"> microstructural </w:t>
      </w:r>
      <w:r w:rsidR="009114D4">
        <w:rPr>
          <w:lang w:val="en-US"/>
        </w:rPr>
        <w:t>integrity</w:t>
      </w:r>
      <w:r w:rsidR="004F0728">
        <w:rPr>
          <w:lang w:val="en-US"/>
        </w:rPr>
        <w:t>.</w:t>
      </w:r>
    </w:p>
    <w:p w14:paraId="132D59DB" w14:textId="14DF5E7C" w:rsidR="006169C1" w:rsidRDefault="004B2C9A" w:rsidP="00920A13">
      <w:pPr>
        <w:pStyle w:val="Heading1"/>
        <w:rPr>
          <w:lang w:val="en-US"/>
        </w:rPr>
      </w:pPr>
      <w:r>
        <w:rPr>
          <w:lang w:val="en-US"/>
        </w:rPr>
        <w:t>Methods</w:t>
      </w:r>
    </w:p>
    <w:p w14:paraId="7BB76B0D" w14:textId="6DC7258D" w:rsidR="005B0709" w:rsidRDefault="005B0709" w:rsidP="005B0709">
      <w:pPr>
        <w:rPr>
          <w:lang w:val="en-US"/>
        </w:rPr>
      </w:pPr>
      <w:r w:rsidRPr="005D0588">
        <w:rPr>
          <w:lang w:val="en-US"/>
        </w:rPr>
        <w:t xml:space="preserve">The sample consists of </w:t>
      </w:r>
      <w:r w:rsidR="000B3C76" w:rsidRPr="005D0588">
        <w:rPr>
          <w:lang w:val="en-US"/>
        </w:rPr>
        <w:t>2</w:t>
      </w:r>
      <w:r w:rsidR="000D7D77" w:rsidRPr="005D0588">
        <w:rPr>
          <w:lang w:val="en-US"/>
        </w:rPr>
        <w:t>8</w:t>
      </w:r>
      <w:r w:rsidRPr="005D0588">
        <w:rPr>
          <w:lang w:val="en-US"/>
        </w:rPr>
        <w:t xml:space="preserve"> healthy volunteers (</w:t>
      </w:r>
      <w:r w:rsidR="00F07334" w:rsidRPr="005D0588">
        <w:rPr>
          <w:lang w:val="en-US"/>
        </w:rPr>
        <w:t>12</w:t>
      </w:r>
      <w:r w:rsidRPr="005D0588">
        <w:rPr>
          <w:lang w:val="en-US"/>
        </w:rPr>
        <w:t xml:space="preserve"> males) with age ranging from </w:t>
      </w:r>
      <w:r w:rsidR="00D47460" w:rsidRPr="005D0588">
        <w:rPr>
          <w:lang w:val="en-US"/>
        </w:rPr>
        <w:t>21</w:t>
      </w:r>
      <w:r w:rsidRPr="005D0588">
        <w:rPr>
          <w:lang w:val="en-US"/>
        </w:rPr>
        <w:t xml:space="preserve"> to </w:t>
      </w:r>
      <w:r w:rsidR="00D47460" w:rsidRPr="005D0588">
        <w:rPr>
          <w:lang w:val="en-US"/>
        </w:rPr>
        <w:t>73</w:t>
      </w:r>
      <w:r w:rsidRPr="005D0588">
        <w:rPr>
          <w:lang w:val="en-US"/>
        </w:rPr>
        <w:t xml:space="preserve">y (median of </w:t>
      </w:r>
      <w:r w:rsidR="0049534A" w:rsidRPr="005D0588">
        <w:rPr>
          <w:lang w:val="en-US"/>
        </w:rPr>
        <w:t>29</w:t>
      </w:r>
      <w:r w:rsidRPr="005D0588">
        <w:rPr>
          <w:lang w:val="en-US"/>
        </w:rPr>
        <w:t xml:space="preserve">). Subjects underwent the scanning at 7T Terra MRI (Siemens Healthineers, Erlangen, Germany) with </w:t>
      </w:r>
      <w:proofErr w:type="gramStart"/>
      <w:r w:rsidRPr="005D0588">
        <w:rPr>
          <w:lang w:val="en-US"/>
        </w:rPr>
        <w:t>a</w:t>
      </w:r>
      <w:proofErr w:type="gramEnd"/>
      <w:r w:rsidRPr="005D0588">
        <w:rPr>
          <w:lang w:val="en-US"/>
        </w:rPr>
        <w:t xml:space="preserve"> </w:t>
      </w:r>
      <w:r w:rsidR="006E6D47" w:rsidRPr="005D0588">
        <w:rPr>
          <w:lang w:val="en-US"/>
        </w:rPr>
        <w:t>8-Tx/32-Rx RF head coil (Nova Medical, Wilmington, MA, USA)</w:t>
      </w:r>
      <w:r w:rsidRPr="005D0588">
        <w:rPr>
          <w:lang w:val="en-US"/>
        </w:rPr>
        <w:t>.</w:t>
      </w:r>
    </w:p>
    <w:p w14:paraId="620FECB0" w14:textId="32A9FE00" w:rsidR="00F84225" w:rsidRDefault="00CE12E1" w:rsidP="008D0E62">
      <w:pPr>
        <w:jc w:val="both"/>
        <w:rPr>
          <w:lang w:val="en-US"/>
        </w:rPr>
      </w:pPr>
      <w:r>
        <w:rPr>
          <w:lang w:val="en-US"/>
        </w:rPr>
        <w:t xml:space="preserve">The MPM </w:t>
      </w:r>
      <w:r w:rsidR="006E6D47">
        <w:rPr>
          <w:lang w:val="en-US"/>
        </w:rPr>
        <w:t>p</w:t>
      </w:r>
      <w:r w:rsidR="00F84225">
        <w:rPr>
          <w:lang w:val="en-US"/>
        </w:rPr>
        <w:t>rotocol</w:t>
      </w:r>
      <w:r w:rsidR="006D24F7">
        <w:rPr>
          <w:lang w:val="en-US"/>
        </w:rPr>
        <w:fldChar w:fldCharType="begin"/>
      </w:r>
      <w:r w:rsidR="000A2343">
        <w:rPr>
          <w:lang w:val="en-US"/>
        </w:rPr>
        <w:instrText xml:space="preserve"> ADDIN ZOTERO_ITEM CSL_CITATION {"citationID":"7OBOR4q5","properties":{"formattedCitation":"\\super 3\\nosupersub{}","plainCitation":"3","noteIndex":0},"citationItems":[{"id":3113,"uris":["http://zotero.org/users/3752416/items/T6MBZRJV"],"itemData":{"id":3113,"type":"article-journal","abstract":"Multi-center studies using magnetic resonance imaging facilitate studying small effect sizes, global population variance and rare diseases. The reliability and sensitivity of these multi-center studies crucially depend on the comparability of the data generated at different sites and time points. The level of inter-site comparability is still controversial for conventional anatomical T1-weighted MRI data. Quantitative multi-parameter mapping (MPM) was designed to provide MR parameter measures that are comparable across sites and time points, i.e., 1 mm high-resolution maps of the longitudinal relaxation rate (R1 = 1/T1), effective proton density (PD*), magnetization transfer saturation (MT) and effective transverse relaxation rate (R2* = 1/T2*). MPM was validated at 3T for use in multi-center studies by scanning five volunteers at three different sites. We determined the inter-site bias, inter-site and intra-site coefficient of variation (CoV) for typical morphometric measures [i.e., gray matter (GM) probability maps used in voxel-based morphometry] and the four quantitative parameters. The inter-site bias and CoV were smaller than 3.1 and 8%, respectively, except for the inter-site CoV of R2* (&lt;20%). The GM probability maps based on the MT parameter maps had a 14% higher inter-site reproducibility than maps based on conventional T1-weighted images. The low inter-site bias and variance in the parameters and derived GM probability maps confirm the high comparability of the quantitative maps across sites and time points. The reliability, short acquisition time, high resolution and the detailed insights into the brain microstructure provided by MPM makes it an efficient tool for multi-center imaging studies.","container-title":"Frontiers in Neuroscience","ISSN":"1662-453X","source":"Frontiers","title":"Quantitative multi-parameter mapping of R1, PD*, MT, and R2* at 3T: a multi-center validation","title-short":"Quantitative multi-parameter mapping of R1, PD*, MT, and R2* at 3T","URL":"https://www.frontiersin.org/articles/10.3389/fnins.2013.00095","volume":"7","author":[{"family":"Weiskopf","given":"Nikolaus"},{"family":"Suckling","given":"John"},{"family":"Williams","given":"Guy"},{"family":"Correia","given":"Marta"},{"family":"Inkster","given":"Becky"},{"family":"Tait","given":"Roger"},{"family":"Ooi","given":"Cinly"},{"family":"Bullmore","given":"Edward"},{"family":"Lutti","given":"Antoine"}],"accessed":{"date-parts":[["2023",11,30]]},"issued":{"date-parts":[["2013"]]}}}],"schema":"https://github.com/citation-style-language/schema/raw/master/csl-citation.json"} </w:instrText>
      </w:r>
      <w:r w:rsidR="006D24F7">
        <w:rPr>
          <w:lang w:val="en-US"/>
        </w:rPr>
        <w:fldChar w:fldCharType="separate"/>
      </w:r>
      <w:r w:rsidR="000A2343" w:rsidRPr="0028294B">
        <w:rPr>
          <w:rFonts w:ascii="Calibri" w:hAnsi="Calibri" w:cs="Calibri"/>
          <w:kern w:val="0"/>
          <w:vertAlign w:val="superscript"/>
          <w:lang w:val="en-US"/>
        </w:rPr>
        <w:t>3</w:t>
      </w:r>
      <w:r w:rsidR="006D24F7">
        <w:rPr>
          <w:lang w:val="en-US"/>
        </w:rPr>
        <w:fldChar w:fldCharType="end"/>
      </w:r>
      <w:r w:rsidR="00F84225">
        <w:rPr>
          <w:lang w:val="en-US"/>
        </w:rPr>
        <w:t xml:space="preserve"> </w:t>
      </w:r>
      <w:r w:rsidR="006E6D47">
        <w:rPr>
          <w:lang w:val="en-US"/>
        </w:rPr>
        <w:t>comprised</w:t>
      </w:r>
      <w:r w:rsidR="00F84225">
        <w:rPr>
          <w:lang w:val="en-US"/>
        </w:rPr>
        <w:t xml:space="preserve"> three</w:t>
      </w:r>
      <w:r w:rsidR="00F84225" w:rsidRPr="00A85750">
        <w:rPr>
          <w:lang w:val="en-US"/>
        </w:rPr>
        <w:t xml:space="preserve"> (</w:t>
      </w:r>
      <w:r w:rsidR="00F84225">
        <w:rPr>
          <w:lang w:val="en-US"/>
        </w:rPr>
        <w:t>T1-weighted, PD-weighted, MT-weighted</w:t>
      </w:r>
      <w:r w:rsidR="00F84225" w:rsidRPr="00A85750">
        <w:rPr>
          <w:lang w:val="en-US"/>
        </w:rPr>
        <w:t>)</w:t>
      </w:r>
      <w:r w:rsidR="00F84225">
        <w:rPr>
          <w:lang w:val="en-US"/>
        </w:rPr>
        <w:t xml:space="preserve"> </w:t>
      </w:r>
      <w:r w:rsidR="00F84225" w:rsidRPr="00A85750">
        <w:rPr>
          <w:lang w:val="en-GB"/>
        </w:rPr>
        <w:t xml:space="preserve">whole-brain </w:t>
      </w:r>
      <w:r w:rsidR="00F84225">
        <w:rPr>
          <w:lang w:val="en-US"/>
        </w:rPr>
        <w:t>3D FLASH-based multi-echo sequences covering the</w:t>
      </w:r>
      <w:r w:rsidR="0074689C">
        <w:rPr>
          <w:lang w:val="en-US"/>
        </w:rPr>
        <w:t xml:space="preserve"> sagittal</w:t>
      </w:r>
      <w:r w:rsidR="00F84225">
        <w:rPr>
          <w:lang w:val="en-US"/>
        </w:rPr>
        <w:t xml:space="preserve"> </w:t>
      </w:r>
      <w:proofErr w:type="spellStart"/>
      <w:r w:rsidR="00F84225">
        <w:rPr>
          <w:lang w:val="en-US"/>
        </w:rPr>
        <w:t>FoV</w:t>
      </w:r>
      <w:proofErr w:type="spellEnd"/>
      <w:r w:rsidR="00F84225">
        <w:rPr>
          <w:lang w:val="en-US"/>
        </w:rPr>
        <w:t xml:space="preserve"> of 250</w:t>
      </w:r>
      <w:r w:rsidR="00F84225">
        <w:rPr>
          <w:rFonts w:cstheme="minorHAnsi"/>
          <w:lang w:val="en-US"/>
        </w:rPr>
        <w:t>×218×173 mm</w:t>
      </w:r>
      <w:r w:rsidR="00F84225">
        <w:rPr>
          <w:lang w:val="en-US"/>
        </w:rPr>
        <w:t xml:space="preserve"> with </w:t>
      </w:r>
      <w:r w:rsidR="00F84225" w:rsidRPr="009E628F">
        <w:rPr>
          <w:lang w:val="en-GB"/>
        </w:rPr>
        <w:t xml:space="preserve">isotropic resolution of 0.6 </w:t>
      </w:r>
      <w:r w:rsidR="00F84225" w:rsidRPr="00A85750">
        <w:rPr>
          <w:lang w:val="en-GB"/>
        </w:rPr>
        <w:t xml:space="preserve">mm (TR </w:t>
      </w:r>
      <w:r w:rsidR="00F84225">
        <w:rPr>
          <w:lang w:val="en-US"/>
        </w:rPr>
        <w:t>22.4</w:t>
      </w:r>
      <w:r w:rsidR="00F84225" w:rsidRPr="00A85750">
        <w:rPr>
          <w:lang w:val="en-GB"/>
        </w:rPr>
        <w:t xml:space="preserve"> </w:t>
      </w:r>
      <w:proofErr w:type="spellStart"/>
      <w:r w:rsidR="00F84225" w:rsidRPr="00A85750">
        <w:rPr>
          <w:lang w:val="en-GB"/>
        </w:rPr>
        <w:t>ms</w:t>
      </w:r>
      <w:proofErr w:type="spellEnd"/>
      <w:r w:rsidR="00F84225" w:rsidRPr="00A85750">
        <w:rPr>
          <w:lang w:val="en-GB"/>
        </w:rPr>
        <w:t xml:space="preserve">, FA </w:t>
      </w:r>
      <w:proofErr w:type="spellStart"/>
      <w:r w:rsidR="00F84225" w:rsidRPr="00A85750">
        <w:rPr>
          <w:lang w:val="en-GB"/>
        </w:rPr>
        <w:t>PDw</w:t>
      </w:r>
      <w:proofErr w:type="spellEnd"/>
      <w:r w:rsidR="00F84225">
        <w:rPr>
          <w:lang w:val="en-US"/>
        </w:rPr>
        <w:t>/</w:t>
      </w:r>
      <w:proofErr w:type="spellStart"/>
      <w:r w:rsidR="00F84225">
        <w:rPr>
          <w:lang w:val="en-US"/>
        </w:rPr>
        <w:t>MTw</w:t>
      </w:r>
      <w:proofErr w:type="spellEnd"/>
      <w:r w:rsidR="00F84225" w:rsidRPr="00A85750">
        <w:rPr>
          <w:lang w:val="en-GB"/>
        </w:rPr>
        <w:t xml:space="preserve">/T1w </w:t>
      </w:r>
      <w:r w:rsidR="00F84225">
        <w:rPr>
          <w:lang w:val="en-US"/>
        </w:rPr>
        <w:t>7/7</w:t>
      </w:r>
      <w:r w:rsidR="00F84225" w:rsidRPr="00A85750">
        <w:rPr>
          <w:lang w:val="en-GB"/>
        </w:rPr>
        <w:t>/2</w:t>
      </w:r>
      <w:r w:rsidR="00F84225">
        <w:rPr>
          <w:lang w:val="en-GB"/>
        </w:rPr>
        <w:t>2</w:t>
      </w:r>
      <w:r w:rsidR="00F84225" w:rsidRPr="00A85750">
        <w:rPr>
          <w:lang w:val="en-GB"/>
        </w:rPr>
        <w:t xml:space="preserve">°, six </w:t>
      </w:r>
      <w:proofErr w:type="spellStart"/>
      <w:r w:rsidR="00F84225" w:rsidRPr="00A85750">
        <w:rPr>
          <w:lang w:val="en-GB"/>
        </w:rPr>
        <w:t>equispaced</w:t>
      </w:r>
      <w:proofErr w:type="spellEnd"/>
      <w:r w:rsidR="00F84225" w:rsidRPr="00A85750">
        <w:rPr>
          <w:lang w:val="en-GB"/>
        </w:rPr>
        <w:t xml:space="preserve"> echoes </w:t>
      </w:r>
      <w:r w:rsidR="00F84225">
        <w:rPr>
          <w:lang w:val="en-US"/>
        </w:rPr>
        <w:t xml:space="preserve">with </w:t>
      </w:r>
      <w:r w:rsidR="00F84225" w:rsidRPr="00A85750">
        <w:rPr>
          <w:lang w:val="en-GB"/>
        </w:rPr>
        <w:t>TE</w:t>
      </w:r>
      <w:r w:rsidR="00F84225">
        <w:rPr>
          <w:lang w:val="en-US"/>
        </w:rPr>
        <w:t xml:space="preserve"> ranging from</w:t>
      </w:r>
      <w:r w:rsidR="00F84225" w:rsidRPr="00A85750">
        <w:rPr>
          <w:lang w:val="en-GB"/>
        </w:rPr>
        <w:t xml:space="preserve"> </w:t>
      </w:r>
      <w:r w:rsidR="00F84225">
        <w:rPr>
          <w:lang w:val="en-US"/>
        </w:rPr>
        <w:t>3</w:t>
      </w:r>
      <w:r w:rsidR="00F84225">
        <w:rPr>
          <w:lang w:val="en-GB"/>
        </w:rPr>
        <w:t xml:space="preserve"> </w:t>
      </w:r>
      <w:proofErr w:type="spellStart"/>
      <w:r w:rsidR="00F84225">
        <w:rPr>
          <w:lang w:val="en-GB"/>
        </w:rPr>
        <w:t>ms</w:t>
      </w:r>
      <w:proofErr w:type="spellEnd"/>
      <w:r w:rsidR="00F84225" w:rsidRPr="00A85750">
        <w:rPr>
          <w:lang w:val="en-GB"/>
        </w:rPr>
        <w:t xml:space="preserve"> </w:t>
      </w:r>
      <w:r w:rsidR="00F84225">
        <w:rPr>
          <w:lang w:val="en-US"/>
        </w:rPr>
        <w:t>to</w:t>
      </w:r>
      <w:r w:rsidR="00F84225" w:rsidRPr="00A85750">
        <w:rPr>
          <w:lang w:val="en-GB"/>
        </w:rPr>
        <w:t xml:space="preserve"> </w:t>
      </w:r>
      <w:r w:rsidR="00F84225">
        <w:rPr>
          <w:lang w:val="en-US"/>
        </w:rPr>
        <w:t>15</w:t>
      </w:r>
      <w:r w:rsidR="00F84225" w:rsidRPr="00A85750">
        <w:rPr>
          <w:lang w:val="en-GB"/>
        </w:rPr>
        <w:t>.</w:t>
      </w:r>
      <w:r w:rsidR="00F84225">
        <w:rPr>
          <w:lang w:val="en-US"/>
        </w:rPr>
        <w:t>6</w:t>
      </w:r>
      <w:r w:rsidR="00F84225" w:rsidRPr="00A85750">
        <w:rPr>
          <w:lang w:val="en-GB"/>
        </w:rPr>
        <w:t xml:space="preserve"> </w:t>
      </w:r>
      <w:proofErr w:type="spellStart"/>
      <w:r w:rsidR="00F84225" w:rsidRPr="00A85750">
        <w:rPr>
          <w:lang w:val="en-GB"/>
        </w:rPr>
        <w:t>ms</w:t>
      </w:r>
      <w:proofErr w:type="spellEnd"/>
      <w:r w:rsidR="00F84225">
        <w:rPr>
          <w:lang w:val="en-US"/>
        </w:rPr>
        <w:t xml:space="preserve"> for </w:t>
      </w:r>
      <w:proofErr w:type="spellStart"/>
      <w:r w:rsidR="00F84225">
        <w:rPr>
          <w:lang w:val="en-US"/>
        </w:rPr>
        <w:t>PDw</w:t>
      </w:r>
      <w:proofErr w:type="spellEnd"/>
      <w:r w:rsidR="00F84225">
        <w:rPr>
          <w:lang w:val="en-US"/>
        </w:rPr>
        <w:t xml:space="preserve"> and T1w and 4 </w:t>
      </w:r>
      <w:proofErr w:type="spellStart"/>
      <w:r w:rsidR="00F84225">
        <w:rPr>
          <w:lang w:val="en-US"/>
        </w:rPr>
        <w:t>equispaced</w:t>
      </w:r>
      <w:proofErr w:type="spellEnd"/>
      <w:r w:rsidR="00F84225">
        <w:rPr>
          <w:lang w:val="en-US"/>
        </w:rPr>
        <w:t xml:space="preserve"> echoes with TE ranging from 3 </w:t>
      </w:r>
      <w:proofErr w:type="spellStart"/>
      <w:r w:rsidR="00F84225">
        <w:rPr>
          <w:lang w:val="en-US"/>
        </w:rPr>
        <w:t>ms</w:t>
      </w:r>
      <w:proofErr w:type="spellEnd"/>
      <w:r w:rsidR="00F84225">
        <w:rPr>
          <w:lang w:val="en-US"/>
        </w:rPr>
        <w:t xml:space="preserve"> to 10.56 </w:t>
      </w:r>
      <w:proofErr w:type="spellStart"/>
      <w:r w:rsidR="00F84225">
        <w:rPr>
          <w:lang w:val="en-US"/>
        </w:rPr>
        <w:lastRenderedPageBreak/>
        <w:t>ms</w:t>
      </w:r>
      <w:proofErr w:type="spellEnd"/>
      <w:r w:rsidR="00F84225">
        <w:rPr>
          <w:lang w:val="en-US"/>
        </w:rPr>
        <w:t xml:space="preserve"> for </w:t>
      </w:r>
      <w:proofErr w:type="spellStart"/>
      <w:r w:rsidR="00F84225">
        <w:rPr>
          <w:lang w:val="en-US"/>
        </w:rPr>
        <w:t>MTw</w:t>
      </w:r>
      <w:proofErr w:type="spellEnd"/>
      <w:r w:rsidR="00F84225">
        <w:rPr>
          <w:lang w:val="en-US"/>
        </w:rPr>
        <w:t xml:space="preserve"> (the latter </w:t>
      </w:r>
      <w:r w:rsidR="00F84225">
        <w:rPr>
          <w:lang w:val="en-GB"/>
        </w:rPr>
        <w:t xml:space="preserve">achieved by applying a 4 </w:t>
      </w:r>
      <w:proofErr w:type="spellStart"/>
      <w:r w:rsidR="00F84225">
        <w:rPr>
          <w:lang w:val="en-GB"/>
        </w:rPr>
        <w:t>ms</w:t>
      </w:r>
      <w:proofErr w:type="spellEnd"/>
      <w:r w:rsidR="00F84225">
        <w:rPr>
          <w:lang w:val="en-GB"/>
        </w:rPr>
        <w:t>, 130</w:t>
      </w:r>
      <w:r w:rsidR="00F84225" w:rsidRPr="00F340B4">
        <w:rPr>
          <w:lang w:val="en-US"/>
        </w:rPr>
        <w:t>°</w:t>
      </w:r>
      <w:r w:rsidR="00F84225">
        <w:rPr>
          <w:lang w:val="en-GB"/>
        </w:rPr>
        <w:t xml:space="preserve"> Gaussian-shaped pulse, 3 kHz off-resonance)</w:t>
      </w:r>
      <w:r w:rsidR="00F84225" w:rsidRPr="00A85750">
        <w:rPr>
          <w:lang w:val="en-GB"/>
        </w:rPr>
        <w:t>,</w:t>
      </w:r>
      <w:r w:rsidR="00F84225">
        <w:rPr>
          <w:lang w:val="en-GB"/>
        </w:rPr>
        <w:t xml:space="preserve"> </w:t>
      </w:r>
      <w:r w:rsidR="00F84225" w:rsidRPr="00554D88">
        <w:rPr>
          <w:lang w:val="en-US"/>
        </w:rPr>
        <w:t xml:space="preserve">CAIPIRINHA </w:t>
      </w:r>
      <w:r w:rsidR="00F84225">
        <w:rPr>
          <w:lang w:val="en-US"/>
        </w:rPr>
        <w:t>acceleration in two phase encoding directions with acceleration factor</w:t>
      </w:r>
      <w:r w:rsidR="00F84225" w:rsidRPr="00A85750">
        <w:rPr>
          <w:lang w:val="en-GB"/>
        </w:rPr>
        <w:t xml:space="preserve"> R=2</w:t>
      </w:r>
      <w:r w:rsidR="00F84225">
        <w:rPr>
          <w:lang w:val="en-US"/>
        </w:rPr>
        <w:t xml:space="preserve"> in each, </w:t>
      </w:r>
      <w:proofErr w:type="spellStart"/>
      <w:r w:rsidR="00F84225">
        <w:rPr>
          <w:lang w:val="en-US"/>
        </w:rPr>
        <w:t>kT</w:t>
      </w:r>
      <w:proofErr w:type="spellEnd"/>
      <w:r w:rsidR="00F84225">
        <w:rPr>
          <w:lang w:val="en-US"/>
        </w:rPr>
        <w:t>-points pulses for RF homogeneity improvement</w:t>
      </w:r>
      <w:r w:rsidR="00F84225" w:rsidRPr="00A85750">
        <w:rPr>
          <w:lang w:val="en-GB"/>
        </w:rPr>
        <w:t xml:space="preserve"> and </w:t>
      </w:r>
      <w:r w:rsidR="00F84225">
        <w:rPr>
          <w:lang w:val="en-GB"/>
        </w:rPr>
        <w:t xml:space="preserve">AFI based </w:t>
      </w:r>
      <w:r w:rsidR="00F84225" w:rsidRPr="00A85750">
        <w:rPr>
          <w:lang w:val="en-GB"/>
        </w:rPr>
        <w:t>B1 mapping for transmit field correction.</w:t>
      </w:r>
      <w:r w:rsidR="00F84225">
        <w:rPr>
          <w:lang w:val="en-GB"/>
        </w:rPr>
        <w:t xml:space="preserve"> The field mapping protocol was acquired at an isotropic 4 mm resolution</w:t>
      </w:r>
      <w:r w:rsidR="00F84225" w:rsidRPr="00A85750">
        <w:rPr>
          <w:lang w:val="en-GB"/>
        </w:rPr>
        <w:t xml:space="preserve"> </w:t>
      </w:r>
      <w:r w:rsidR="00F84225">
        <w:rPr>
          <w:lang w:val="en-GB"/>
        </w:rPr>
        <w:t xml:space="preserve">(two TR values of 25 </w:t>
      </w:r>
      <w:proofErr w:type="spellStart"/>
      <w:r w:rsidR="00F84225">
        <w:rPr>
          <w:lang w:val="en-GB"/>
        </w:rPr>
        <w:t>ms</w:t>
      </w:r>
      <w:proofErr w:type="spellEnd"/>
      <w:r w:rsidR="00F84225">
        <w:rPr>
          <w:lang w:val="en-GB"/>
        </w:rPr>
        <w:t xml:space="preserve"> and 125 </w:t>
      </w:r>
      <w:proofErr w:type="spellStart"/>
      <w:r w:rsidR="00F84225">
        <w:rPr>
          <w:lang w:val="en-GB"/>
        </w:rPr>
        <w:t>ms</w:t>
      </w:r>
      <w:proofErr w:type="spellEnd"/>
      <w:r w:rsidR="00F84225">
        <w:rPr>
          <w:lang w:val="en-GB"/>
        </w:rPr>
        <w:t xml:space="preserve">, TE 2.12 </w:t>
      </w:r>
      <w:proofErr w:type="spellStart"/>
      <w:r w:rsidR="00F84225">
        <w:rPr>
          <w:lang w:val="en-GB"/>
        </w:rPr>
        <w:t>ms</w:t>
      </w:r>
      <w:proofErr w:type="spellEnd"/>
      <w:r w:rsidR="00F84225">
        <w:rPr>
          <w:lang w:val="en-GB"/>
        </w:rPr>
        <w:t>, nominal pulse flip angle of 55</w:t>
      </w:r>
      <w:r w:rsidR="00F84225" w:rsidRPr="0049734A">
        <w:rPr>
          <w:lang w:val="en-US"/>
        </w:rPr>
        <w:t>°,</w:t>
      </w:r>
      <w:r w:rsidR="00F84225" w:rsidRPr="00897A23">
        <w:rPr>
          <w:lang w:val="en-US"/>
        </w:rPr>
        <w:t xml:space="preserve"> </w:t>
      </w:r>
      <w:r w:rsidR="00F84225">
        <w:rPr>
          <w:lang w:val="en-US"/>
        </w:rPr>
        <w:t>GRAPPA</w:t>
      </w:r>
      <w:r w:rsidR="00F84225" w:rsidRPr="00554D88">
        <w:rPr>
          <w:lang w:val="en-US"/>
        </w:rPr>
        <w:t xml:space="preserve"> </w:t>
      </w:r>
      <w:r w:rsidR="00F84225">
        <w:rPr>
          <w:lang w:val="en-US"/>
        </w:rPr>
        <w:t>acceleration in one phase encoding direction with an acceleration factor</w:t>
      </w:r>
      <w:r w:rsidR="00F84225" w:rsidRPr="00A85750">
        <w:rPr>
          <w:lang w:val="en-GB"/>
        </w:rPr>
        <w:t xml:space="preserve"> R=2</w:t>
      </w:r>
      <w:r w:rsidR="00F84225">
        <w:rPr>
          <w:lang w:val="en-GB"/>
        </w:rPr>
        <w:t>). Two field mappings were performed per protocol to account for different B1</w:t>
      </w:r>
      <w:r w:rsidR="00F84225" w:rsidRPr="008A7A4E">
        <w:rPr>
          <w:vertAlign w:val="superscript"/>
          <w:lang w:val="en-GB"/>
        </w:rPr>
        <w:t>+</w:t>
      </w:r>
      <w:r w:rsidR="00F84225">
        <w:rPr>
          <w:lang w:val="en-GB"/>
        </w:rPr>
        <w:t xml:space="preserve"> distributions when using the </w:t>
      </w:r>
      <w:proofErr w:type="spellStart"/>
      <w:r w:rsidR="00F84225">
        <w:rPr>
          <w:lang w:val="en-US"/>
        </w:rPr>
        <w:t>kT</w:t>
      </w:r>
      <w:proofErr w:type="spellEnd"/>
      <w:r w:rsidR="00F84225">
        <w:rPr>
          <w:lang w:val="en-US"/>
        </w:rPr>
        <w:t>-points excitation pulses and the Gaussian-shaped MT-pulses.</w:t>
      </w:r>
    </w:p>
    <w:p w14:paraId="77CCAB9A" w14:textId="38280B06" w:rsidR="002C2CE0" w:rsidRDefault="00DC4D6A" w:rsidP="008D0E62">
      <w:pPr>
        <w:jc w:val="both"/>
        <w:rPr>
          <w:lang w:val="en-US"/>
        </w:rPr>
      </w:pPr>
      <w:r>
        <w:rPr>
          <w:lang w:val="en-US"/>
        </w:rPr>
        <w:t>I</w:t>
      </w:r>
      <w:r w:rsidR="00F307C0">
        <w:rPr>
          <w:lang w:val="en-US"/>
        </w:rPr>
        <w:t>mages</w:t>
      </w:r>
      <w:r w:rsidR="0079625E">
        <w:rPr>
          <w:lang w:val="en-US"/>
        </w:rPr>
        <w:t xml:space="preserve"> used</w:t>
      </w:r>
      <w:r w:rsidR="00F307C0">
        <w:rPr>
          <w:lang w:val="en-US"/>
        </w:rPr>
        <w:t xml:space="preserve"> for </w:t>
      </w:r>
      <w:r>
        <w:rPr>
          <w:lang w:val="en-US"/>
        </w:rPr>
        <w:t xml:space="preserve">the </w:t>
      </w:r>
      <w:r w:rsidR="00F307C0">
        <w:rPr>
          <w:lang w:val="en-US"/>
        </w:rPr>
        <w:t xml:space="preserve">LC-contrast calculation and LC segmentation were acquired with a </w:t>
      </w:r>
      <w:r>
        <w:rPr>
          <w:lang w:val="en-US"/>
        </w:rPr>
        <w:t>MT</w:t>
      </w:r>
      <w:r w:rsidRPr="00DC4D6A">
        <w:rPr>
          <w:lang w:val="en-US"/>
        </w:rPr>
        <w:t>-weighted turbo flash (MT-TFL) sequence</w:t>
      </w:r>
      <w:r w:rsidR="00C3480E">
        <w:rPr>
          <w:lang w:val="en-US"/>
        </w:rPr>
        <w:fldChar w:fldCharType="begin"/>
      </w:r>
      <w:r w:rsidR="000A2343">
        <w:rPr>
          <w:lang w:val="en-US"/>
        </w:rPr>
        <w:instrText xml:space="preserve"> ADDIN ZOTERO_ITEM CSL_CITATION {"citationID":"A5SvgJRd","properties":{"formattedCitation":"\\super 2\\nosupersub{}","plainCitation":"2","noteIndex":0},"citationItems":[{"id":3503,"uris":["http://zotero.org/users/3752416/items/WEM4MBXE"],"itemData":{"id":3503,"type":"article-journal","abstract":"Locus Coeruleus (LC) is a neuromelanin-rich brainstem structure that is the source of noradrenaline in the cortex and is thought to modulate attention and memory. LC imaging in vivo is commonly performed with a 2D T1-weighted Turbo Spin Echo (TSE) MRI sequence, an approach that suffers from several drawbacks at 3T, including long acquisition times and highly anisotropic spatial resolution. In this study, we developed a high-resolution Magnetization Transfer (MT) sequence for LC imaging at both 7T and 3T and compared its performance to a TSE sequence. Results indicate that LC imaging can be achieved with an MT sequence at both 7 and 3T at higher spatial resolution than the 3T TSE. Furthermore, we investigated whether the currently disputed source of contrast in the LC region with a TSE sequence relates to MT effects or shortened T1 and T2* due to increased iron concentration. Our results suggest that the contrast in the LC area relates to MT effects. To conclude, in this study we managed to image the LC, for the first time, at 7T and at an increased resolution compared to the current state-of-the-art. Imaging the LC is highly relevant for clinical diagnostics as structural tissue properties of the LC may hold promise as a biomarker in neurodegenerative diseases.","collection-title":"Neuroimaging with Ultra-high Field MRI: Present and Future","container-title":"NeuroImage","DOI":"10.1016/j.neuroimage.2017.07.045","ISSN":"1053-8119","journalAbbreviation":"NeuroImage","page":"427-436","source":"ScienceDirect","title":"High-resolution in vivo imaging of human locus coeruleus by magnetization transfer MRI at 3T and 7T","volume":"168","author":[{"family":"Priovoulos","given":"Nikos"},{"family":"Jacobs","given":"Heidi I. L."},{"family":"Ivanov","given":"Dimo"},{"family":"Uludağ","given":"Kâmil"},{"family":"Verhey","given":"Frans R. J."},{"family":"Poser","given":"Benedikt A."}],"issued":{"date-parts":[["2018",3,1]]}}}],"schema":"https://github.com/citation-style-language/schema/raw/master/csl-citation.json"} </w:instrText>
      </w:r>
      <w:r w:rsidR="00C3480E">
        <w:rPr>
          <w:lang w:val="en-US"/>
        </w:rPr>
        <w:fldChar w:fldCharType="separate"/>
      </w:r>
      <w:r w:rsidR="000A2343" w:rsidRPr="0028294B">
        <w:rPr>
          <w:rFonts w:ascii="Calibri" w:hAnsi="Calibri" w:cs="Calibri"/>
          <w:kern w:val="0"/>
          <w:vertAlign w:val="superscript"/>
          <w:lang w:val="en-US"/>
        </w:rPr>
        <w:t>2</w:t>
      </w:r>
      <w:r w:rsidR="00C3480E">
        <w:rPr>
          <w:lang w:val="en-US"/>
        </w:rPr>
        <w:fldChar w:fldCharType="end"/>
      </w:r>
      <w:r w:rsidR="0038094D">
        <w:rPr>
          <w:lang w:val="en-US"/>
        </w:rPr>
        <w:t>, where</w:t>
      </w:r>
      <w:r w:rsidR="00332FF7" w:rsidRPr="0028294B">
        <w:rPr>
          <w:lang w:val="en-US"/>
        </w:rPr>
        <w:t xml:space="preserve"> a multi-shot 3D readout</w:t>
      </w:r>
      <w:r w:rsidR="00CF4073">
        <w:rPr>
          <w:lang w:val="en-US"/>
        </w:rPr>
        <w:t xml:space="preserve"> </w:t>
      </w:r>
      <w:r w:rsidR="0038094D">
        <w:rPr>
          <w:lang w:val="en-US"/>
        </w:rPr>
        <w:t xml:space="preserve">was performed in a </w:t>
      </w:r>
      <w:r w:rsidR="002B29F4">
        <w:rPr>
          <w:lang w:val="en-US"/>
        </w:rPr>
        <w:t>30 mm slab</w:t>
      </w:r>
      <w:r w:rsidR="00564030">
        <w:rPr>
          <w:lang w:val="en-US"/>
        </w:rPr>
        <w:t xml:space="preserve"> with the across-slab resolution of 0.5</w:t>
      </w:r>
      <w:r w:rsidR="00CE78C4">
        <w:rPr>
          <w:lang w:val="en-US"/>
        </w:rPr>
        <w:t xml:space="preserve"> </w:t>
      </w:r>
      <w:r w:rsidR="00564030">
        <w:rPr>
          <w:lang w:val="en-US"/>
        </w:rPr>
        <w:t>mm and</w:t>
      </w:r>
      <w:r w:rsidR="00CE78C4">
        <w:rPr>
          <w:lang w:val="en-US"/>
        </w:rPr>
        <w:t xml:space="preserve"> </w:t>
      </w:r>
      <w:r w:rsidR="00CE78C4" w:rsidRPr="0028294B">
        <w:rPr>
          <w:lang w:val="en-US"/>
        </w:rPr>
        <w:t>0.4×0.4 mm</w:t>
      </w:r>
      <w:r w:rsidR="00CE78C4" w:rsidRPr="0028294B">
        <w:rPr>
          <w:vertAlign w:val="superscript"/>
          <w:lang w:val="en-US"/>
        </w:rPr>
        <w:t>2</w:t>
      </w:r>
      <w:r w:rsidR="00CE78C4">
        <w:rPr>
          <w:lang w:val="en-US"/>
        </w:rPr>
        <w:t xml:space="preserve"> resolution in the slab plane. The </w:t>
      </w:r>
      <w:r w:rsidR="001B68D2" w:rsidRPr="0028294B">
        <w:rPr>
          <w:lang w:val="en-US"/>
        </w:rPr>
        <w:t xml:space="preserve">sequence parameters were </w:t>
      </w:r>
      <w:r w:rsidR="00332FF7" w:rsidRPr="0028294B">
        <w:rPr>
          <w:lang w:val="en-US"/>
        </w:rPr>
        <w:t>TR = 5</w:t>
      </w:r>
      <w:r w:rsidR="001B68D2" w:rsidRPr="0028294B">
        <w:rPr>
          <w:lang w:val="en-US"/>
        </w:rPr>
        <w:t>44</w:t>
      </w:r>
      <w:r w:rsidR="00332FF7" w:rsidRPr="0028294B">
        <w:rPr>
          <w:lang w:val="en-US"/>
        </w:rPr>
        <w:t> </w:t>
      </w:r>
      <w:proofErr w:type="spellStart"/>
      <w:r w:rsidR="00332FF7" w:rsidRPr="0028294B">
        <w:rPr>
          <w:lang w:val="en-US"/>
        </w:rPr>
        <w:t>ms</w:t>
      </w:r>
      <w:proofErr w:type="spellEnd"/>
      <w:r w:rsidR="00332FF7" w:rsidRPr="0028294B">
        <w:rPr>
          <w:lang w:val="en-US"/>
        </w:rPr>
        <w:t>, TE = 4.08, flip angle = 8°</w:t>
      </w:r>
      <w:r w:rsidR="001B68D2" w:rsidRPr="0028294B">
        <w:rPr>
          <w:lang w:val="en-US"/>
        </w:rPr>
        <w:t xml:space="preserve">. Sampling the </w:t>
      </w:r>
      <w:proofErr w:type="spellStart"/>
      <w:r w:rsidR="00332FF7" w:rsidRPr="0028294B">
        <w:rPr>
          <w:lang w:val="en-US"/>
        </w:rPr>
        <w:t>cent</w:t>
      </w:r>
      <w:r w:rsidR="001B68D2" w:rsidRPr="0028294B">
        <w:rPr>
          <w:lang w:val="en-US"/>
        </w:rPr>
        <w:t>re</w:t>
      </w:r>
      <w:proofErr w:type="spellEnd"/>
      <w:r w:rsidR="001B68D2" w:rsidRPr="0028294B">
        <w:rPr>
          <w:lang w:val="en-US"/>
        </w:rPr>
        <w:t xml:space="preserve"> of</w:t>
      </w:r>
      <w:r w:rsidR="00332FF7" w:rsidRPr="0028294B">
        <w:rPr>
          <w:lang w:val="en-US"/>
        </w:rPr>
        <w:t xml:space="preserve"> k-space</w:t>
      </w:r>
      <w:r w:rsidR="001B68D2" w:rsidRPr="0028294B">
        <w:rPr>
          <w:lang w:val="en-US"/>
        </w:rPr>
        <w:t xml:space="preserve"> was </w:t>
      </w:r>
      <w:r w:rsidR="00332FF7" w:rsidRPr="0028294B">
        <w:rPr>
          <w:lang w:val="en-US"/>
        </w:rPr>
        <w:t xml:space="preserve">preceded by 20 long off-resonant Gaussian </w:t>
      </w:r>
      <w:proofErr w:type="spellStart"/>
      <w:r w:rsidR="00332FF7" w:rsidRPr="0028294B">
        <w:rPr>
          <w:lang w:val="en-US"/>
        </w:rPr>
        <w:t>sinc</w:t>
      </w:r>
      <w:proofErr w:type="spellEnd"/>
      <w:r w:rsidR="00332FF7" w:rsidRPr="0028294B">
        <w:rPr>
          <w:lang w:val="en-US"/>
        </w:rPr>
        <w:t xml:space="preserve"> pulses (pulse length = </w:t>
      </w:r>
      <w:r w:rsidR="00584225" w:rsidRPr="0028294B">
        <w:rPr>
          <w:lang w:val="en-US"/>
        </w:rPr>
        <w:t>10</w:t>
      </w:r>
      <w:r w:rsidR="00332FF7" w:rsidRPr="0028294B">
        <w:rPr>
          <w:lang w:val="en-US"/>
        </w:rPr>
        <w:t> </w:t>
      </w:r>
      <w:proofErr w:type="spellStart"/>
      <w:r w:rsidR="00332FF7" w:rsidRPr="0028294B">
        <w:rPr>
          <w:lang w:val="en-US"/>
        </w:rPr>
        <w:t>ms</w:t>
      </w:r>
      <w:proofErr w:type="spellEnd"/>
      <w:r w:rsidR="00332FF7" w:rsidRPr="0028294B">
        <w:rPr>
          <w:lang w:val="en-US"/>
        </w:rPr>
        <w:t xml:space="preserve">, </w:t>
      </w:r>
      <w:r w:rsidR="00D90CD1" w:rsidRPr="0028294B">
        <w:rPr>
          <w:lang w:val="en-US"/>
        </w:rPr>
        <w:t>pulse offset of 2000 Hz and nominal flip angle of 350</w:t>
      </w:r>
      <w:r w:rsidR="00606D60" w:rsidRPr="0028294B">
        <w:rPr>
          <w:lang w:val="en-US"/>
        </w:rPr>
        <w:t>°</w:t>
      </w:r>
      <w:r w:rsidR="00332FF7" w:rsidRPr="0028294B">
        <w:rPr>
          <w:lang w:val="en-US"/>
        </w:rPr>
        <w:t>). The field of view was placed perpendicular to the dorsal surface of the pons and covered an area between the inferior colliculi and the caudal border of the pons.</w:t>
      </w:r>
    </w:p>
    <w:p w14:paraId="0C2A7B5B" w14:textId="5A263FC5" w:rsidR="003B07AF" w:rsidRPr="0028294B" w:rsidRDefault="004B6853" w:rsidP="00F869E4">
      <w:pPr>
        <w:jc w:val="both"/>
        <w:rPr>
          <w:lang w:val="en-US"/>
        </w:rPr>
      </w:pPr>
      <w:r w:rsidRPr="00A85750">
        <w:rPr>
          <w:lang w:val="en-GB"/>
        </w:rPr>
        <w:t xml:space="preserve">The </w:t>
      </w:r>
      <w:r w:rsidR="00CB442D">
        <w:rPr>
          <w:lang w:val="en-GB"/>
        </w:rPr>
        <w:t xml:space="preserve">whole-brain </w:t>
      </w:r>
      <w:r>
        <w:rPr>
          <w:lang w:val="en-US"/>
        </w:rPr>
        <w:t>images</w:t>
      </w:r>
      <w:r w:rsidRPr="00A85750">
        <w:rPr>
          <w:lang w:val="en-GB"/>
        </w:rPr>
        <w:t xml:space="preserve"> were processed </w:t>
      </w:r>
      <w:r>
        <w:rPr>
          <w:lang w:val="en-US"/>
        </w:rPr>
        <w:t>through</w:t>
      </w:r>
      <w:r w:rsidR="000601BA">
        <w:rPr>
          <w:lang w:val="en-US"/>
        </w:rPr>
        <w:t xml:space="preserve"> a</w:t>
      </w:r>
      <w:r>
        <w:rPr>
          <w:lang w:val="en-GB"/>
        </w:rPr>
        <w:t xml:space="preserve"> pipeline</w:t>
      </w:r>
      <w:r w:rsidR="000601BA">
        <w:rPr>
          <w:lang w:val="en-GB"/>
        </w:rPr>
        <w:t xml:space="preserve"> comprising</w:t>
      </w:r>
      <w:r>
        <w:rPr>
          <w:lang w:val="en-GB"/>
        </w:rPr>
        <w:t xml:space="preserve"> LCPCA-based denoising of the anatomical magnitude images, </w:t>
      </w:r>
      <w:proofErr w:type="spellStart"/>
      <w:r>
        <w:rPr>
          <w:lang w:val="en-GB"/>
        </w:rPr>
        <w:t>hMRI</w:t>
      </w:r>
      <w:proofErr w:type="spellEnd"/>
      <w:r>
        <w:rPr>
          <w:lang w:val="en-GB"/>
        </w:rPr>
        <w:t>-toolbox</w:t>
      </w:r>
      <w:r w:rsidR="00AD39E2">
        <w:rPr>
          <w:lang w:val="en-GB"/>
        </w:rPr>
        <w:fldChar w:fldCharType="begin"/>
      </w:r>
      <w:r w:rsidR="000A2343">
        <w:rPr>
          <w:lang w:val="en-GB"/>
        </w:rPr>
        <w:instrText xml:space="preserve"> ADDIN ZOTERO_ITEM CSL_CITATION {"citationID":"eZJh1VRf","properties":{"formattedCitation":"\\super 4\\nosupersub{}","plainCitation":"4","noteIndex":0},"citationItems":[{"id":3104,"uris":["http://zotero.org/users/3752416/items/ZLDX25L8"],"itemData":{"id":3104,"type":"article-journal","abstract":"Neuroscience and clinical researchers are increasingly interested in quantitative magnetic resonance imaging (qMRI) due to its sensitivity to micro-structural properties of brain tissue such as axon, myelin, iron and water concentration. We introduce the hMRI-toolbox, an open-source, easy-to-use tool available on GitHub, for qMRI data handling and processing, presented together with a tutorial and example dataset. This toolbox allows the estimation of high-quality multi-parameter qMRI maps (longitudinal and effective transverse relaxation rates R1 and R2</w:instrText>
      </w:r>
      <w:r w:rsidR="000A2343">
        <w:rPr>
          <w:rFonts w:ascii="Cambria Math" w:hAnsi="Cambria Math" w:cs="Cambria Math"/>
          <w:lang w:val="en-GB"/>
        </w:rPr>
        <w:instrText>⋆</w:instrText>
      </w:r>
      <w:r w:rsidR="000A2343">
        <w:rPr>
          <w:lang w:val="en-GB"/>
        </w:rPr>
        <w:instrText xml:space="preserve">, proton density PD and magnetisation transfer MT saturation) that can be used for quantitative parameter analysis and accurate delineation of subcortical brain structures. The qMRI maps generated by the toolbox are key input parameters for biophysical models designed to estimate tissue microstructure properties such as the MR g-ratio and to derive standard and novel MRI biomarkers. Thus, the current version of the toolbox is a first step towards in vivo histology using MRI (hMRI) and is being extended further in this direction. Embedded in the Statistical Parametric Mapping (SPM) framework, it benefits from the extensive range of established SPM tools for high-accuracy spatial registration and statistical inferences and can be readily combined with existing SPM toolboxes for estimating diffusion MRI parameter maps. From a user's perspective, the hMRI-toolbox is an efficient, robust and simple framework for investigating qMRI data in neuroscience and clinical research.","container-title":"NeuroImage","DOI":"10.1016/j.neuroimage.2019.01.029","ISSN":"1053-8119","journalAbbreviation":"NeuroImage","page":"191-210","source":"ScienceDirect","title":"hMRI – A toolbox for quantitative MRI in neuroscience and clinical research","volume":"194","author":[{"family":"Tabelow","given":"Karsten"},{"family":"Balteau","given":"Evelyne"},{"family":"Ashburner","given":"John"},{"family":"Callaghan","given":"Martina F."},{"family":"Draganski","given":"Bogdan"},{"family":"Helms","given":"Gunther"},{"family":"Kherif","given":"Ferath"},{"family":"Leutritz","given":"Tobias"},{"family":"Lutti","given":"Antoine"},{"family":"Phillips","given":"Christophe"},{"family":"Reimer","given":"Enrico"},{"family":"Ruthotto","given":"Lars"},{"family":"Seif","given":"Maryam"},{"family":"Weiskopf","given":"Nikolaus"},{"family":"Ziegler","given":"Gabriel"},{"family":"Mohammadi","given":"Siawoosh"}],"issued":{"date-parts":[["2019",7,1]]}}}],"schema":"https://github.com/citation-style-language/schema/raw/master/csl-citation.json"} </w:instrText>
      </w:r>
      <w:r w:rsidR="00AD39E2">
        <w:rPr>
          <w:lang w:val="en-GB"/>
        </w:rPr>
        <w:fldChar w:fldCharType="separate"/>
      </w:r>
      <w:r w:rsidR="000A2343" w:rsidRPr="0028294B">
        <w:rPr>
          <w:rFonts w:ascii="Calibri" w:hAnsi="Calibri" w:cs="Calibri"/>
          <w:kern w:val="0"/>
          <w:vertAlign w:val="superscript"/>
          <w:lang w:val="en-US"/>
        </w:rPr>
        <w:t>4</w:t>
      </w:r>
      <w:r w:rsidR="00AD39E2">
        <w:rPr>
          <w:lang w:val="en-GB"/>
        </w:rPr>
        <w:fldChar w:fldCharType="end"/>
      </w:r>
      <w:r>
        <w:rPr>
          <w:lang w:val="en-GB"/>
        </w:rPr>
        <w:t xml:space="preserve"> </w:t>
      </w:r>
      <w:r w:rsidR="00C26624">
        <w:rPr>
          <w:lang w:val="en-GB"/>
        </w:rPr>
        <w:t xml:space="preserve">(0.6.1) </w:t>
      </w:r>
      <w:r>
        <w:rPr>
          <w:lang w:val="en-GB"/>
        </w:rPr>
        <w:t>based quantitative parameter maps calculation, employing incomplete spoiling correction,</w:t>
      </w:r>
      <w:r w:rsidR="00EB55BE">
        <w:rPr>
          <w:lang w:val="en-GB"/>
        </w:rPr>
        <w:t xml:space="preserve"> </w:t>
      </w:r>
      <w:r>
        <w:rPr>
          <w:lang w:val="en-GB"/>
        </w:rPr>
        <w:t>and two-iteration weighted least squares R2* fitting.</w:t>
      </w:r>
      <w:r w:rsidR="001B4656">
        <w:rPr>
          <w:lang w:val="en-GB"/>
        </w:rPr>
        <w:t xml:space="preserve"> </w:t>
      </w:r>
      <w:r w:rsidR="0047189C">
        <w:rPr>
          <w:lang w:val="en-GB"/>
        </w:rPr>
        <w:t xml:space="preserve">The </w:t>
      </w:r>
      <w:r w:rsidR="009127CB">
        <w:rPr>
          <w:lang w:val="en-GB"/>
        </w:rPr>
        <w:t>LC-specific MT-TFL images</w:t>
      </w:r>
      <w:r w:rsidR="008D0E62">
        <w:rPr>
          <w:lang w:val="en-GB"/>
        </w:rPr>
        <w:t xml:space="preserve"> were processed through a segmentation pipeline, which included </w:t>
      </w:r>
      <w:r w:rsidR="00CE1ED1">
        <w:rPr>
          <w:lang w:val="en-GB"/>
        </w:rPr>
        <w:t>ANT</w:t>
      </w:r>
      <w:r w:rsidR="00435E9B">
        <w:rPr>
          <w:lang w:val="en-GB"/>
        </w:rPr>
        <w:t xml:space="preserve">s-based co-alignment of the images to a </w:t>
      </w:r>
      <w:r w:rsidR="004D5ADF">
        <w:rPr>
          <w:lang w:val="en-GB"/>
        </w:rPr>
        <w:t>subject-specific anatomical space</w:t>
      </w:r>
      <w:r w:rsidR="00F869E4">
        <w:rPr>
          <w:lang w:val="en-GB"/>
        </w:rPr>
        <w:t xml:space="preserve"> and manual delineation of the </w:t>
      </w:r>
      <w:r w:rsidR="00F869E4" w:rsidRPr="0028294B">
        <w:rPr>
          <w:lang w:val="en-US"/>
        </w:rPr>
        <w:t xml:space="preserve">LC based on voxel intensities and prior knowledge </w:t>
      </w:r>
      <w:r w:rsidR="00EB55BE">
        <w:rPr>
          <w:lang w:val="en-US"/>
        </w:rPr>
        <w:t>of the</w:t>
      </w:r>
      <w:r w:rsidR="00EB55BE" w:rsidRPr="0028294B">
        <w:rPr>
          <w:lang w:val="en-US"/>
        </w:rPr>
        <w:t xml:space="preserve"> </w:t>
      </w:r>
      <w:r w:rsidR="00F869E4" w:rsidRPr="0028294B">
        <w:rPr>
          <w:lang w:val="en-US"/>
        </w:rPr>
        <w:t>LC anatomy</w:t>
      </w:r>
      <w:r w:rsidR="006E242F" w:rsidRPr="0028294B">
        <w:rPr>
          <w:lang w:val="en-US"/>
        </w:rPr>
        <w:t xml:space="preserve"> by two raters for each participant</w:t>
      </w:r>
      <w:r w:rsidR="001F7845" w:rsidRPr="0028294B">
        <w:rPr>
          <w:lang w:val="en-US"/>
        </w:rPr>
        <w:t xml:space="preserve"> (</w:t>
      </w:r>
      <w:r w:rsidR="001F7845">
        <w:fldChar w:fldCharType="begin"/>
      </w:r>
      <w:r w:rsidR="001F7845" w:rsidRPr="0028294B">
        <w:rPr>
          <w:lang w:val="en-US"/>
        </w:rPr>
        <w:instrText xml:space="preserve"> REF _Ref216451814 \h </w:instrText>
      </w:r>
      <w:r w:rsidR="001F7845">
        <w:fldChar w:fldCharType="separate"/>
      </w:r>
      <w:r w:rsidR="001F7845" w:rsidRPr="0028294B">
        <w:rPr>
          <w:lang w:val="en-US"/>
        </w:rPr>
        <w:t xml:space="preserve">Figure </w:t>
      </w:r>
      <w:r w:rsidR="001F7845" w:rsidRPr="0028294B">
        <w:rPr>
          <w:noProof/>
          <w:lang w:val="en-US"/>
        </w:rPr>
        <w:t>1</w:t>
      </w:r>
      <w:r w:rsidR="001F7845">
        <w:fldChar w:fldCharType="end"/>
      </w:r>
      <w:r w:rsidR="001F7845" w:rsidRPr="0028294B">
        <w:rPr>
          <w:lang w:val="en-US"/>
        </w:rPr>
        <w:t>)</w:t>
      </w:r>
      <w:r w:rsidR="00F869E4" w:rsidRPr="0028294B">
        <w:rPr>
          <w:lang w:val="en-US"/>
        </w:rPr>
        <w:t>.</w:t>
      </w:r>
      <w:r w:rsidR="002C67A5" w:rsidRPr="0028294B">
        <w:rPr>
          <w:lang w:val="en-US"/>
        </w:rPr>
        <w:t xml:space="preserve"> The same raters also have delineated a </w:t>
      </w:r>
      <w:r w:rsidR="00FE01A7" w:rsidRPr="0028294B">
        <w:rPr>
          <w:lang w:val="en-US"/>
        </w:rPr>
        <w:t>reference region in the pontine tegmentum.</w:t>
      </w:r>
      <w:r w:rsidR="009B67CA" w:rsidRPr="0028294B">
        <w:rPr>
          <w:lang w:val="en-US"/>
        </w:rPr>
        <w:t xml:space="preserve"> </w:t>
      </w:r>
    </w:p>
    <w:p w14:paraId="09B2720B" w14:textId="77777777" w:rsidR="001F7845" w:rsidRDefault="001F7845" w:rsidP="001F7845">
      <w:pPr>
        <w:keepNext/>
        <w:jc w:val="both"/>
      </w:pPr>
      <w:r>
        <w:rPr>
          <w:noProof/>
        </w:rPr>
        <w:drawing>
          <wp:inline distT="0" distB="0" distL="0" distR="0" wp14:anchorId="54DB997B" wp14:editId="69E9BCD8">
            <wp:extent cx="5731510" cy="1429755"/>
            <wp:effectExtent l="0" t="0" r="2540" b="0"/>
            <wp:docPr id="714794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94466"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429755"/>
                    </a:xfrm>
                    <a:prstGeom prst="rect">
                      <a:avLst/>
                    </a:prstGeom>
                  </pic:spPr>
                </pic:pic>
              </a:graphicData>
            </a:graphic>
          </wp:inline>
        </w:drawing>
      </w:r>
    </w:p>
    <w:p w14:paraId="4801ADDB" w14:textId="200DB638" w:rsidR="001F7845" w:rsidRPr="0028294B" w:rsidRDefault="001F7845" w:rsidP="001F7845">
      <w:pPr>
        <w:pStyle w:val="Caption"/>
        <w:jc w:val="both"/>
        <w:rPr>
          <w:lang w:val="en-US"/>
        </w:rPr>
      </w:pPr>
      <w:bookmarkStart w:id="0" w:name="_Ref216451814"/>
      <w:r w:rsidRPr="0028294B">
        <w:rPr>
          <w:lang w:val="en-US"/>
        </w:rPr>
        <w:t xml:space="preserve">Figure </w:t>
      </w:r>
      <w:r w:rsidR="001245FA">
        <w:fldChar w:fldCharType="begin"/>
      </w:r>
      <w:r w:rsidR="001245FA" w:rsidRPr="0028294B">
        <w:rPr>
          <w:lang w:val="en-US"/>
        </w:rPr>
        <w:instrText xml:space="preserve"> SEQ Figure \* ARABIC </w:instrText>
      </w:r>
      <w:r w:rsidR="001245FA">
        <w:fldChar w:fldCharType="separate"/>
      </w:r>
      <w:r w:rsidR="001245FA" w:rsidRPr="0028294B">
        <w:rPr>
          <w:noProof/>
          <w:lang w:val="en-US"/>
        </w:rPr>
        <w:t>1</w:t>
      </w:r>
      <w:r w:rsidR="001245FA">
        <w:rPr>
          <w:noProof/>
        </w:rPr>
        <w:fldChar w:fldCharType="end"/>
      </w:r>
      <w:bookmarkEnd w:id="0"/>
      <w:r w:rsidRPr="0028294B">
        <w:rPr>
          <w:lang w:val="en-US"/>
        </w:rPr>
        <w:t xml:space="preserve"> Example of the LC segmentation and </w:t>
      </w:r>
      <w:r w:rsidR="00C46FE4" w:rsidRPr="0028294B">
        <w:rPr>
          <w:lang w:val="en-US"/>
        </w:rPr>
        <w:t xml:space="preserve">imaging modalities. </w:t>
      </w:r>
      <w:proofErr w:type="gramStart"/>
      <w:r w:rsidR="00C46FE4" w:rsidRPr="0028294B">
        <w:rPr>
          <w:lang w:val="en-US"/>
        </w:rPr>
        <w:t>A,B</w:t>
      </w:r>
      <w:proofErr w:type="gramEnd"/>
      <w:r w:rsidR="00C46FE4" w:rsidRPr="0028294B">
        <w:rPr>
          <w:lang w:val="en-US"/>
        </w:rPr>
        <w:t xml:space="preserve"> – axial and coronal MT-TFL images with LC</w:t>
      </w:r>
      <w:r w:rsidR="00557F9E" w:rsidRPr="0028294B">
        <w:rPr>
          <w:lang w:val="en-US"/>
        </w:rPr>
        <w:t xml:space="preserve"> consensus</w:t>
      </w:r>
      <w:r w:rsidR="00C46FE4" w:rsidRPr="0028294B">
        <w:rPr>
          <w:lang w:val="en-US"/>
        </w:rPr>
        <w:t xml:space="preserve"> masks</w:t>
      </w:r>
      <w:r w:rsidR="00560583">
        <w:rPr>
          <w:lang w:val="en-US"/>
        </w:rPr>
        <w:t xml:space="preserve"> (green)</w:t>
      </w:r>
      <w:r w:rsidR="00C46FE4" w:rsidRPr="0028294B">
        <w:rPr>
          <w:lang w:val="en-US"/>
        </w:rPr>
        <w:t xml:space="preserve">. </w:t>
      </w:r>
      <w:proofErr w:type="gramStart"/>
      <w:r w:rsidR="00C46FE4" w:rsidRPr="0028294B">
        <w:rPr>
          <w:lang w:val="en-US"/>
        </w:rPr>
        <w:t>C,D</w:t>
      </w:r>
      <w:proofErr w:type="gramEnd"/>
      <w:r w:rsidR="00C46FE4" w:rsidRPr="0028294B">
        <w:rPr>
          <w:lang w:val="en-US"/>
        </w:rPr>
        <w:t xml:space="preserve"> </w:t>
      </w:r>
      <w:r w:rsidR="00557F9E" w:rsidRPr="0028294B">
        <w:rPr>
          <w:lang w:val="en-US"/>
        </w:rPr>
        <w:t>–</w:t>
      </w:r>
      <w:r w:rsidR="00C46FE4" w:rsidRPr="0028294B">
        <w:rPr>
          <w:lang w:val="en-US"/>
        </w:rPr>
        <w:t xml:space="preserve"> </w:t>
      </w:r>
      <w:r w:rsidR="00557F9E" w:rsidRPr="0028294B">
        <w:rPr>
          <w:lang w:val="en-US"/>
        </w:rPr>
        <w:t xml:space="preserve">axial and coronal slices through the R1 maps for the same subject with overlaid consensus LC masks. </w:t>
      </w:r>
      <w:proofErr w:type="gramStart"/>
      <w:r w:rsidR="00557F9E" w:rsidRPr="0028294B">
        <w:rPr>
          <w:lang w:val="en-US"/>
        </w:rPr>
        <w:t>E,F</w:t>
      </w:r>
      <w:proofErr w:type="gramEnd"/>
      <w:r w:rsidR="00557F9E" w:rsidRPr="0028294B">
        <w:rPr>
          <w:lang w:val="en-US"/>
        </w:rPr>
        <w:t xml:space="preserve"> – axial and coronal</w:t>
      </w:r>
      <w:r w:rsidR="007D7AC6" w:rsidRPr="0028294B">
        <w:rPr>
          <w:lang w:val="en-US"/>
        </w:rPr>
        <w:t xml:space="preserve"> slices through R2* maps for the same subject.</w:t>
      </w:r>
    </w:p>
    <w:p w14:paraId="603E0D8D" w14:textId="4F3046D7" w:rsidR="007D025A" w:rsidRDefault="00687E80" w:rsidP="00BC46BD">
      <w:pPr>
        <w:jc w:val="both"/>
        <w:rPr>
          <w:lang w:val="en-US"/>
        </w:rPr>
      </w:pPr>
      <w:r>
        <w:rPr>
          <w:lang w:val="en-US"/>
        </w:rPr>
        <w:t>Next, an intersection of LC masks for all the raters was used to create</w:t>
      </w:r>
      <w:r w:rsidR="00F174CF">
        <w:rPr>
          <w:lang w:val="en-US"/>
        </w:rPr>
        <w:t xml:space="preserve"> individual</w:t>
      </w:r>
      <w:r>
        <w:rPr>
          <w:lang w:val="en-US"/>
        </w:rPr>
        <w:t xml:space="preserve"> consensus </w:t>
      </w:r>
      <w:r w:rsidR="00D54493">
        <w:rPr>
          <w:lang w:val="en-US"/>
        </w:rPr>
        <w:t xml:space="preserve">LC masks, similarly consensus masks of reference region in the pons were </w:t>
      </w:r>
      <w:r w:rsidR="00F174CF">
        <w:rPr>
          <w:lang w:val="en-US"/>
        </w:rPr>
        <w:t>created for each participant.</w:t>
      </w:r>
      <w:r w:rsidR="000B3C76">
        <w:rPr>
          <w:lang w:val="en-US"/>
        </w:rPr>
        <w:t xml:space="preserve"> </w:t>
      </w:r>
      <w:proofErr w:type="gramStart"/>
      <w:r w:rsidR="00AB3A86">
        <w:rPr>
          <w:lang w:val="en-US"/>
        </w:rPr>
        <w:t xml:space="preserve">The </w:t>
      </w:r>
      <w:r w:rsidR="007D025A">
        <w:rPr>
          <w:lang w:val="en-US"/>
        </w:rPr>
        <w:t xml:space="preserve"> values</w:t>
      </w:r>
      <w:proofErr w:type="gramEnd"/>
      <w:r w:rsidR="007D025A">
        <w:rPr>
          <w:lang w:val="en-US"/>
        </w:rPr>
        <w:t xml:space="preserve"> of R1, R2*, PD and </w:t>
      </w:r>
      <w:proofErr w:type="spellStart"/>
      <w:r w:rsidR="007D025A">
        <w:rPr>
          <w:lang w:val="en-US"/>
        </w:rPr>
        <w:t>MTsat</w:t>
      </w:r>
      <w:proofErr w:type="spellEnd"/>
      <w:r w:rsidR="00E664AD">
        <w:rPr>
          <w:lang w:val="en-US"/>
        </w:rPr>
        <w:t>, as well as the intensity values of the MT-TFL images</w:t>
      </w:r>
      <w:r w:rsidR="007D025A">
        <w:rPr>
          <w:lang w:val="en-US"/>
        </w:rPr>
        <w:t xml:space="preserve"> were extracted from the</w:t>
      </w:r>
      <w:r w:rsidR="0000772D">
        <w:rPr>
          <w:lang w:val="en-US"/>
        </w:rPr>
        <w:t xml:space="preserve"> combined left and right</w:t>
      </w:r>
      <w:r w:rsidR="007D025A">
        <w:rPr>
          <w:lang w:val="en-US"/>
        </w:rPr>
        <w:t xml:space="preserve"> LC</w:t>
      </w:r>
      <w:r w:rsidR="008E1852">
        <w:rPr>
          <w:lang w:val="en-US"/>
        </w:rPr>
        <w:t xml:space="preserve"> regions</w:t>
      </w:r>
      <w:r w:rsidR="007D025A">
        <w:rPr>
          <w:lang w:val="en-US"/>
        </w:rPr>
        <w:t xml:space="preserve"> and the reference region</w:t>
      </w:r>
      <w:r w:rsidR="00E664AD">
        <w:rPr>
          <w:lang w:val="en-US"/>
        </w:rPr>
        <w:t>,</w:t>
      </w:r>
      <w:r w:rsidR="00AB3A86">
        <w:rPr>
          <w:lang w:val="en-US"/>
        </w:rPr>
        <w:t xml:space="preserve"> and outliers in each region and each subject were removed using </w:t>
      </w:r>
      <w:r w:rsidR="00AB3A86" w:rsidRPr="00AB3A86">
        <w:rPr>
          <w:lang w:val="en-US"/>
        </w:rPr>
        <w:t xml:space="preserve">generalized extreme </w:t>
      </w:r>
      <w:r w:rsidR="007B7C57">
        <w:rPr>
          <w:lang w:val="en-US"/>
        </w:rPr>
        <w:t>S</w:t>
      </w:r>
      <w:r w:rsidR="00AB3A86" w:rsidRPr="00AB3A86">
        <w:rPr>
          <w:lang w:val="en-US"/>
        </w:rPr>
        <w:t>tudentized deviate test for outliers</w:t>
      </w:r>
      <w:r w:rsidR="00404846">
        <w:rPr>
          <w:lang w:val="en-US"/>
        </w:rPr>
        <w:t>. LC</w:t>
      </w:r>
      <w:r w:rsidR="00E664AD">
        <w:rPr>
          <w:lang w:val="en-US"/>
        </w:rPr>
        <w:t>-</w:t>
      </w:r>
      <w:r w:rsidR="00404846">
        <w:rPr>
          <w:lang w:val="en-US"/>
        </w:rPr>
        <w:t xml:space="preserve">contrast in the MT-TFL images was calculated as the </w:t>
      </w:r>
      <w:r w:rsidR="00F92E32">
        <w:rPr>
          <w:lang w:val="en-US"/>
        </w:rPr>
        <w:t xml:space="preserve">difference between the </w:t>
      </w:r>
      <w:r w:rsidR="00AB3A86">
        <w:rPr>
          <w:lang w:val="en-US"/>
        </w:rPr>
        <w:t xml:space="preserve">median </w:t>
      </w:r>
      <w:r w:rsidR="00F92E32">
        <w:rPr>
          <w:lang w:val="en-US"/>
        </w:rPr>
        <w:t>intensity in the LC region and the</w:t>
      </w:r>
      <w:r w:rsidR="00AB3A86">
        <w:rPr>
          <w:lang w:val="en-US"/>
        </w:rPr>
        <w:t xml:space="preserve"> median</w:t>
      </w:r>
      <w:r w:rsidR="00F92E32">
        <w:rPr>
          <w:lang w:val="en-US"/>
        </w:rPr>
        <w:t xml:space="preserve"> intensity in the reference region</w:t>
      </w:r>
      <w:r w:rsidR="003E2100" w:rsidRPr="003E2100">
        <w:t>, relative to the latter.</w:t>
      </w:r>
      <w:r w:rsidR="00E664AD">
        <w:rPr>
          <w:lang w:val="en-US"/>
        </w:rPr>
        <w:t xml:space="preserve"> Quanti</w:t>
      </w:r>
      <w:r w:rsidR="006956BD">
        <w:rPr>
          <w:lang w:val="en-US"/>
        </w:rPr>
        <w:t xml:space="preserve">tative contrast was calculated as the difference between median values of the corresponding quantitative </w:t>
      </w:r>
      <w:r w:rsidR="00663389">
        <w:rPr>
          <w:lang w:val="en-US"/>
        </w:rPr>
        <w:t>parameter in the LC and reference region.</w:t>
      </w:r>
      <w:r w:rsidR="005E730F">
        <w:rPr>
          <w:lang w:val="en-US"/>
        </w:rPr>
        <w:t xml:space="preserve"> The resulting </w:t>
      </w:r>
      <w:r w:rsidR="00663389">
        <w:rPr>
          <w:lang w:val="en-US"/>
        </w:rPr>
        <w:t>quantitative contras</w:t>
      </w:r>
      <w:r w:rsidR="00E869F7">
        <w:rPr>
          <w:lang w:val="en-US"/>
        </w:rPr>
        <w:t>ts</w:t>
      </w:r>
      <w:r w:rsidR="005E730F">
        <w:rPr>
          <w:lang w:val="en-US"/>
        </w:rPr>
        <w:t xml:space="preserve"> were used as predictor variables (</w:t>
      </w:r>
      <w:r w:rsidR="00E869F7">
        <w:rPr>
          <w:rFonts w:cstheme="minorHAnsi"/>
          <w:lang w:val="en-US"/>
        </w:rPr>
        <w:t>Δ</w:t>
      </w:r>
      <w:r w:rsidR="005E730F">
        <w:rPr>
          <w:lang w:val="en-US"/>
        </w:rPr>
        <w:t xml:space="preserve">R1, </w:t>
      </w:r>
      <w:r w:rsidR="00E869F7">
        <w:rPr>
          <w:rFonts w:cstheme="minorHAnsi"/>
          <w:lang w:val="en-US"/>
        </w:rPr>
        <w:t>Δ</w:t>
      </w:r>
      <w:r w:rsidR="005E730F">
        <w:rPr>
          <w:lang w:val="en-US"/>
        </w:rPr>
        <w:t xml:space="preserve">R2*, </w:t>
      </w:r>
      <w:r w:rsidR="00E869F7">
        <w:rPr>
          <w:rFonts w:cstheme="minorHAnsi"/>
          <w:lang w:val="en-US"/>
        </w:rPr>
        <w:t>Δ</w:t>
      </w:r>
      <w:r w:rsidR="005E730F">
        <w:rPr>
          <w:lang w:val="en-US"/>
        </w:rPr>
        <w:t xml:space="preserve">PD and </w:t>
      </w:r>
      <w:proofErr w:type="spellStart"/>
      <w:r w:rsidR="00E869F7">
        <w:rPr>
          <w:rFonts w:cstheme="minorHAnsi"/>
          <w:lang w:val="en-US"/>
        </w:rPr>
        <w:t>Δ</w:t>
      </w:r>
      <w:r w:rsidR="005E730F">
        <w:rPr>
          <w:lang w:val="en-US"/>
        </w:rPr>
        <w:t>MTsat</w:t>
      </w:r>
      <w:proofErr w:type="spellEnd"/>
      <w:r w:rsidR="005E730F">
        <w:rPr>
          <w:lang w:val="en-US"/>
        </w:rPr>
        <w:t xml:space="preserve">) and </w:t>
      </w:r>
      <w:r w:rsidR="00D74C64">
        <w:rPr>
          <w:lang w:val="en-US"/>
        </w:rPr>
        <w:t xml:space="preserve">response variables (LC-contrast) in general linear models built </w:t>
      </w:r>
      <w:r w:rsidR="00BF0211">
        <w:rPr>
          <w:lang w:val="en-US"/>
        </w:rPr>
        <w:t xml:space="preserve">in </w:t>
      </w:r>
      <w:r w:rsidR="00D74C64">
        <w:rPr>
          <w:lang w:val="en-US"/>
        </w:rPr>
        <w:t>MATLAB 2022</w:t>
      </w:r>
      <w:r w:rsidR="0093408B">
        <w:rPr>
          <w:lang w:val="en-US"/>
        </w:rPr>
        <w:t>b</w:t>
      </w:r>
      <w:r w:rsidR="00D74C64">
        <w:rPr>
          <w:lang w:val="en-US"/>
        </w:rPr>
        <w:t>.</w:t>
      </w:r>
    </w:p>
    <w:p w14:paraId="3F1C5FC4" w14:textId="77777777" w:rsidR="00432BF0" w:rsidRDefault="00432BF0" w:rsidP="00920A13">
      <w:pPr>
        <w:pStyle w:val="Heading1"/>
        <w:rPr>
          <w:lang w:val="en-US"/>
        </w:rPr>
      </w:pPr>
      <w:r>
        <w:rPr>
          <w:lang w:val="en-US"/>
        </w:rPr>
        <w:lastRenderedPageBreak/>
        <w:t>Results</w:t>
      </w:r>
    </w:p>
    <w:p w14:paraId="3BD19D0E" w14:textId="6281A744" w:rsidR="007A0624" w:rsidRDefault="00DD76C2" w:rsidP="00D425CB">
      <w:pPr>
        <w:jc w:val="both"/>
        <w:rPr>
          <w:lang w:val="en-US"/>
        </w:rPr>
      </w:pPr>
      <w:r>
        <w:rPr>
          <w:lang w:val="en-US"/>
        </w:rPr>
        <w:t xml:space="preserve">High-resolution </w:t>
      </w:r>
      <w:r w:rsidR="00FE5073">
        <w:rPr>
          <w:lang w:val="en-US"/>
        </w:rPr>
        <w:t xml:space="preserve">quantitative maps of human brain were </w:t>
      </w:r>
      <w:r w:rsidR="00175F27">
        <w:rPr>
          <w:lang w:val="en-US"/>
        </w:rPr>
        <w:t>obtained</w:t>
      </w:r>
      <w:r w:rsidR="00FE5073">
        <w:rPr>
          <w:lang w:val="en-US"/>
        </w:rPr>
        <w:t xml:space="preserve"> and co</w:t>
      </w:r>
      <w:r w:rsidR="00DA5E8A">
        <w:rPr>
          <w:lang w:val="en-US"/>
        </w:rPr>
        <w:t xml:space="preserve">-aligned with MT-weighted TFL images of the LC region. </w:t>
      </w:r>
      <w:r w:rsidR="00FF4D48">
        <w:rPr>
          <w:lang w:val="en-US"/>
        </w:rPr>
        <w:t xml:space="preserve">The consensus LC masks </w:t>
      </w:r>
      <w:r w:rsidR="00B032BD">
        <w:rPr>
          <w:lang w:val="en-US"/>
        </w:rPr>
        <w:t>varied between the subjects from 96 voxels to 537 voxels (with me</w:t>
      </w:r>
      <w:r w:rsidR="00341071">
        <w:rPr>
          <w:lang w:val="en-US"/>
        </w:rPr>
        <w:t>di</w:t>
      </w:r>
      <w:r w:rsidR="00B032BD">
        <w:rPr>
          <w:lang w:val="en-US"/>
        </w:rPr>
        <w:t xml:space="preserve">an consensus mask size of </w:t>
      </w:r>
      <w:r w:rsidR="00341071">
        <w:rPr>
          <w:lang w:val="en-US"/>
        </w:rPr>
        <w:t>276</w:t>
      </w:r>
      <w:r w:rsidR="00B032BD">
        <w:rPr>
          <w:lang w:val="en-US"/>
        </w:rPr>
        <w:t xml:space="preserve"> voxels). </w:t>
      </w:r>
      <w:r w:rsidR="00A83781">
        <w:rPr>
          <w:lang w:val="en-US"/>
        </w:rPr>
        <w:t xml:space="preserve">The consensus pons reference masks varied between the subjects from </w:t>
      </w:r>
      <w:r w:rsidR="00AD1823">
        <w:rPr>
          <w:lang w:val="en-US"/>
        </w:rPr>
        <w:t>1176</w:t>
      </w:r>
      <w:r w:rsidR="00A83781">
        <w:rPr>
          <w:lang w:val="en-US"/>
        </w:rPr>
        <w:t xml:space="preserve"> voxels to </w:t>
      </w:r>
      <w:r w:rsidR="00AD1823">
        <w:rPr>
          <w:lang w:val="en-US"/>
        </w:rPr>
        <w:t>6300</w:t>
      </w:r>
      <w:r w:rsidR="00A83781">
        <w:rPr>
          <w:lang w:val="en-US"/>
        </w:rPr>
        <w:t xml:space="preserve"> voxels (with mean consensus mask size of </w:t>
      </w:r>
      <w:r w:rsidR="002A7822">
        <w:rPr>
          <w:lang w:val="en-US"/>
        </w:rPr>
        <w:t>4050</w:t>
      </w:r>
      <w:r w:rsidR="00A83781">
        <w:rPr>
          <w:lang w:val="en-US"/>
        </w:rPr>
        <w:t xml:space="preserve"> voxels).</w:t>
      </w:r>
      <w:r w:rsidR="00FF4D48">
        <w:rPr>
          <w:lang w:val="en-US"/>
        </w:rPr>
        <w:t xml:space="preserve"> </w:t>
      </w:r>
      <w:r w:rsidR="00DA5E8A">
        <w:rPr>
          <w:lang w:val="en-US"/>
        </w:rPr>
        <w:t xml:space="preserve">Median values of </w:t>
      </w:r>
      <w:r w:rsidR="00C70D15">
        <w:rPr>
          <w:lang w:val="en-US"/>
        </w:rPr>
        <w:t xml:space="preserve">R1, R2*, PD and </w:t>
      </w:r>
      <w:proofErr w:type="spellStart"/>
      <w:r w:rsidR="00C70D15">
        <w:rPr>
          <w:lang w:val="en-US"/>
        </w:rPr>
        <w:t>MTsat</w:t>
      </w:r>
      <w:proofErr w:type="spellEnd"/>
      <w:r w:rsidR="00C70D15">
        <w:rPr>
          <w:lang w:val="en-US"/>
        </w:rPr>
        <w:t>, as well as the values for LC-contrast were extracted</w:t>
      </w:r>
      <w:r w:rsidR="00AC666C">
        <w:rPr>
          <w:lang w:val="en-US"/>
        </w:rPr>
        <w:t xml:space="preserve"> for </w:t>
      </w:r>
      <w:r w:rsidR="00330CE6">
        <w:rPr>
          <w:lang w:val="en-US"/>
        </w:rPr>
        <w:t>28</w:t>
      </w:r>
      <w:r w:rsidR="00AC666C">
        <w:rPr>
          <w:lang w:val="en-US"/>
        </w:rPr>
        <w:t xml:space="preserve"> subjects</w:t>
      </w:r>
      <w:r w:rsidR="00C70D15">
        <w:rPr>
          <w:lang w:val="en-US"/>
        </w:rPr>
        <w:t xml:space="preserve"> from the </w:t>
      </w:r>
      <w:r w:rsidR="00AC666C">
        <w:rPr>
          <w:lang w:val="en-US"/>
        </w:rPr>
        <w:t>resulting dataset.</w:t>
      </w:r>
    </w:p>
    <w:p w14:paraId="61BE9DF1" w14:textId="34386945" w:rsidR="00952041" w:rsidRDefault="00952041" w:rsidP="00455667">
      <w:pPr>
        <w:jc w:val="both"/>
        <w:rPr>
          <w:lang w:val="en-US"/>
        </w:rPr>
      </w:pPr>
      <w:r>
        <w:rPr>
          <w:lang w:val="en-US"/>
        </w:rPr>
        <w:t xml:space="preserve">The linear models </w:t>
      </w:r>
      <w:r w:rsidR="00BF0211">
        <w:rPr>
          <w:lang w:val="en-US"/>
        </w:rPr>
        <w:t>showed</w:t>
      </w:r>
      <w:r>
        <w:rPr>
          <w:lang w:val="en-US"/>
        </w:rPr>
        <w:t xml:space="preserve"> </w:t>
      </w:r>
      <w:r w:rsidR="00670B34">
        <w:rPr>
          <w:lang w:val="en-US"/>
        </w:rPr>
        <w:t>borderline significant dependence</w:t>
      </w:r>
      <w:r>
        <w:rPr>
          <w:lang w:val="en-US"/>
        </w:rPr>
        <w:t xml:space="preserve"> o</w:t>
      </w:r>
      <w:r w:rsidR="00926DA4">
        <w:rPr>
          <w:lang w:val="en-US"/>
        </w:rPr>
        <w:t xml:space="preserve">f the LC-contrast on </w:t>
      </w:r>
      <w:r w:rsidR="00706D05">
        <w:rPr>
          <w:rFonts w:cstheme="minorHAnsi"/>
          <w:lang w:val="en-US"/>
        </w:rPr>
        <w:t>Δ</w:t>
      </w:r>
      <w:r w:rsidR="008958F5">
        <w:rPr>
          <w:lang w:val="en-US"/>
        </w:rPr>
        <w:t>R1</w:t>
      </w:r>
      <w:r w:rsidR="00926DA4">
        <w:rPr>
          <w:lang w:val="en-US"/>
        </w:rPr>
        <w:t xml:space="preserve"> and</w:t>
      </w:r>
      <w:r w:rsidR="0081301A">
        <w:rPr>
          <w:lang w:val="en-US"/>
        </w:rPr>
        <w:t xml:space="preserve"> </w:t>
      </w:r>
      <w:r w:rsidR="00706D05">
        <w:rPr>
          <w:rFonts w:cstheme="minorHAnsi"/>
          <w:lang w:val="en-US"/>
        </w:rPr>
        <w:t>Δ</w:t>
      </w:r>
      <w:r w:rsidR="0081301A">
        <w:rPr>
          <w:lang w:val="en-US"/>
        </w:rPr>
        <w:t>PD</w:t>
      </w:r>
      <w:r w:rsidR="003C6FEB">
        <w:rPr>
          <w:lang w:val="en-US"/>
        </w:rPr>
        <w:t xml:space="preserve">, and a trend for </w:t>
      </w:r>
      <w:r w:rsidR="00706D05">
        <w:rPr>
          <w:rFonts w:cstheme="minorHAnsi"/>
          <w:lang w:val="en-US"/>
        </w:rPr>
        <w:t>Δ</w:t>
      </w:r>
      <w:r w:rsidR="00BC2519">
        <w:rPr>
          <w:lang w:val="en-US"/>
        </w:rPr>
        <w:t>R2* dependence</w:t>
      </w:r>
      <w:r w:rsidR="001245FA">
        <w:rPr>
          <w:lang w:val="en-US"/>
        </w:rPr>
        <w:t xml:space="preserve"> (</w:t>
      </w:r>
      <w:r w:rsidR="001245FA">
        <w:rPr>
          <w:lang w:val="en-US"/>
        </w:rPr>
        <w:fldChar w:fldCharType="begin"/>
      </w:r>
      <w:r w:rsidR="001245FA">
        <w:rPr>
          <w:lang w:val="en-US"/>
        </w:rPr>
        <w:instrText xml:space="preserve"> REF _Ref216452639 \h </w:instrText>
      </w:r>
      <w:r w:rsidR="001245FA">
        <w:rPr>
          <w:lang w:val="en-US"/>
        </w:rPr>
      </w:r>
      <w:r w:rsidR="001245FA">
        <w:rPr>
          <w:lang w:val="en-US"/>
        </w:rPr>
        <w:fldChar w:fldCharType="separate"/>
      </w:r>
      <w:r w:rsidR="001245FA" w:rsidRPr="0028294B">
        <w:rPr>
          <w:lang w:val="en-US"/>
        </w:rPr>
        <w:t xml:space="preserve">Figure </w:t>
      </w:r>
      <w:r w:rsidR="001245FA" w:rsidRPr="0028294B">
        <w:rPr>
          <w:noProof/>
          <w:lang w:val="en-US"/>
        </w:rPr>
        <w:t>2</w:t>
      </w:r>
      <w:r w:rsidR="001245FA">
        <w:rPr>
          <w:lang w:val="en-US"/>
        </w:rPr>
        <w:fldChar w:fldCharType="end"/>
      </w:r>
      <w:r w:rsidR="001245FA">
        <w:rPr>
          <w:lang w:val="en-US"/>
        </w:rPr>
        <w:t>)</w:t>
      </w:r>
      <w:r w:rsidR="0081301A">
        <w:rPr>
          <w:lang w:val="en-US"/>
        </w:rPr>
        <w:t xml:space="preserve">. </w:t>
      </w:r>
      <w:r w:rsidR="003E1024">
        <w:rPr>
          <w:lang w:val="en-US"/>
        </w:rPr>
        <w:t>Notably, contrary to the previous results</w:t>
      </w:r>
      <w:r w:rsidR="00C3480E">
        <w:rPr>
          <w:lang w:val="en-US"/>
        </w:rPr>
        <w:fldChar w:fldCharType="begin"/>
      </w:r>
      <w:r w:rsidR="000A2343">
        <w:rPr>
          <w:lang w:val="en-US"/>
        </w:rPr>
        <w:instrText xml:space="preserve"> ADDIN ZOTERO_ITEM CSL_CITATION {"citationID":"zyHSKEzn","properties":{"formattedCitation":"\\super 2\\nosupersub{}","plainCitation":"2","noteIndex":0},"citationItems":[{"id":3503,"uris":["http://zotero.org/users/3752416/items/WEM4MBXE"],"itemData":{"id":3503,"type":"article-journal","abstract":"Locus Coeruleus (LC) is a neuromelanin-rich brainstem structure that is the source of noradrenaline in the cortex and is thought to modulate attention and memory. LC imaging in vivo is commonly performed with a 2D T1-weighted Turbo Spin Echo (TSE) MRI sequence, an approach that suffers from several drawbacks at 3T, including long acquisition times and highly anisotropic spatial resolution. In this study, we developed a high-resolution Magnetization Transfer (MT) sequence for LC imaging at both 7T and 3T and compared its performance to a TSE sequence. Results indicate that LC imaging can be achieved with an MT sequence at both 7 and 3T at higher spatial resolution than the 3T TSE. Furthermore, we investigated whether the currently disputed source of contrast in the LC region with a TSE sequence relates to MT effects or shortened T1 and T2* due to increased iron concentration. Our results suggest that the contrast in the LC area relates to MT effects. To conclude, in this study we managed to image the LC, for the first time, at 7T and at an increased resolution compared to the current state-of-the-art. Imaging the LC is highly relevant for clinical diagnostics as structural tissue properties of the LC may hold promise as a biomarker in neurodegenerative diseases.","collection-title":"Neuroimaging with Ultra-high Field MRI: Present and Future","container-title":"NeuroImage","DOI":"10.1016/j.neuroimage.2017.07.045","ISSN":"1053-8119","journalAbbreviation":"NeuroImage","page":"427-436","source":"ScienceDirect","title":"High-resolution in vivo imaging of human locus coeruleus by magnetization transfer MRI at 3T and 7T","volume":"168","author":[{"family":"Priovoulos","given":"Nikos"},{"family":"Jacobs","given":"Heidi I. L."},{"family":"Ivanov","given":"Dimo"},{"family":"Uludağ","given":"Kâmil"},{"family":"Verhey","given":"Frans R. J."},{"family":"Poser","given":"Benedikt A."}],"issued":{"date-parts":[["2018",3,1]]}}}],"schema":"https://github.com/citation-style-language/schema/raw/master/csl-citation.json"} </w:instrText>
      </w:r>
      <w:r w:rsidR="00C3480E">
        <w:rPr>
          <w:lang w:val="en-US"/>
        </w:rPr>
        <w:fldChar w:fldCharType="separate"/>
      </w:r>
      <w:r w:rsidR="000A2343" w:rsidRPr="0028294B">
        <w:rPr>
          <w:rFonts w:ascii="Calibri" w:hAnsi="Calibri" w:cs="Calibri"/>
          <w:kern w:val="0"/>
          <w:vertAlign w:val="superscript"/>
          <w:lang w:val="en-US"/>
        </w:rPr>
        <w:t>2</w:t>
      </w:r>
      <w:r w:rsidR="00C3480E">
        <w:rPr>
          <w:lang w:val="en-US"/>
        </w:rPr>
        <w:fldChar w:fldCharType="end"/>
      </w:r>
      <w:r w:rsidR="003E1024">
        <w:rPr>
          <w:lang w:val="en-US"/>
        </w:rPr>
        <w:t xml:space="preserve"> </w:t>
      </w:r>
      <w:r w:rsidR="00977AB6">
        <w:rPr>
          <w:lang w:val="en-US"/>
        </w:rPr>
        <w:t xml:space="preserve">the observed </w:t>
      </w:r>
      <w:r w:rsidR="00BC2519">
        <w:rPr>
          <w:lang w:val="en-US"/>
        </w:rPr>
        <w:t>dependence in</w:t>
      </w:r>
      <w:r w:rsidR="00605FE2">
        <w:rPr>
          <w:lang w:val="en-US"/>
        </w:rPr>
        <w:t xml:space="preserve"> </w:t>
      </w:r>
      <w:r w:rsidR="00706D05">
        <w:rPr>
          <w:rFonts w:cstheme="minorHAnsi"/>
          <w:lang w:val="en-US"/>
        </w:rPr>
        <w:t>Δ</w:t>
      </w:r>
      <w:r w:rsidR="00605FE2">
        <w:rPr>
          <w:lang w:val="en-US"/>
        </w:rPr>
        <w:t>R1</w:t>
      </w:r>
      <w:r w:rsidR="00A0738A">
        <w:rPr>
          <w:lang w:val="en-US"/>
        </w:rPr>
        <w:t xml:space="preserve"> (</w:t>
      </w:r>
      <w:r w:rsidR="005B2570">
        <w:rPr>
          <w:lang w:val="en-US"/>
        </w:rPr>
        <w:t>53</w:t>
      </w:r>
      <w:r w:rsidR="00C43DE5">
        <w:rPr>
          <w:rFonts w:cstheme="minorHAnsi"/>
          <w:lang w:val="en-US"/>
        </w:rPr>
        <w:t>±</w:t>
      </w:r>
      <w:r w:rsidR="00C43DE5">
        <w:rPr>
          <w:lang w:val="en-US"/>
        </w:rPr>
        <w:t>25</w:t>
      </w:r>
      <w:r w:rsidR="005B2570">
        <w:rPr>
          <w:lang w:val="en-US"/>
        </w:rPr>
        <w:t xml:space="preserve"> </w:t>
      </w:r>
      <w:proofErr w:type="spellStart"/>
      <w:r w:rsidR="005B2570">
        <w:rPr>
          <w:lang w:val="en-US"/>
        </w:rPr>
        <w:t>p.u</w:t>
      </w:r>
      <w:proofErr w:type="spellEnd"/>
      <w:r w:rsidR="005B2570">
        <w:rPr>
          <w:lang w:val="en-US"/>
        </w:rPr>
        <w:t>/s</w:t>
      </w:r>
      <w:r w:rsidR="005B2570" w:rsidRPr="005B2570">
        <w:rPr>
          <w:vertAlign w:val="superscript"/>
          <w:lang w:val="en-US"/>
        </w:rPr>
        <w:t>-1</w:t>
      </w:r>
      <w:r w:rsidR="005B2570">
        <w:rPr>
          <w:lang w:val="en-US"/>
        </w:rPr>
        <w:t xml:space="preserve">, </w:t>
      </w:r>
      <w:r w:rsidR="001D7E0F">
        <w:rPr>
          <w:lang w:val="en-US"/>
        </w:rPr>
        <w:t xml:space="preserve">p </w:t>
      </w:r>
      <w:r w:rsidR="001D7E0F">
        <w:rPr>
          <w:rFonts w:cstheme="minorHAnsi"/>
          <w:lang w:val="en-US"/>
        </w:rPr>
        <w:t>&lt;</w:t>
      </w:r>
      <w:r w:rsidR="001D7E0F">
        <w:rPr>
          <w:lang w:val="en-US"/>
        </w:rPr>
        <w:t xml:space="preserve"> 0.</w:t>
      </w:r>
      <w:r w:rsidR="00A41280">
        <w:rPr>
          <w:lang w:val="en-US"/>
        </w:rPr>
        <w:t>0</w:t>
      </w:r>
      <w:r w:rsidR="00617385">
        <w:rPr>
          <w:lang w:val="en-US"/>
        </w:rPr>
        <w:t>42</w:t>
      </w:r>
      <w:r w:rsidR="001D7E0F">
        <w:rPr>
          <w:lang w:val="en-US"/>
        </w:rPr>
        <w:t>)</w:t>
      </w:r>
      <w:r w:rsidR="00605FE2">
        <w:rPr>
          <w:lang w:val="en-US"/>
        </w:rPr>
        <w:t xml:space="preserve"> and </w:t>
      </w:r>
      <w:r w:rsidR="00706D05">
        <w:rPr>
          <w:rFonts w:cstheme="minorHAnsi"/>
          <w:lang w:val="en-US"/>
        </w:rPr>
        <w:t>Δ</w:t>
      </w:r>
      <w:r w:rsidR="00605FE2">
        <w:rPr>
          <w:lang w:val="en-US"/>
        </w:rPr>
        <w:t>PD</w:t>
      </w:r>
      <w:r w:rsidR="00A41280">
        <w:rPr>
          <w:lang w:val="en-US"/>
        </w:rPr>
        <w:t xml:space="preserve"> (</w:t>
      </w:r>
      <w:r w:rsidR="00FD2952">
        <w:rPr>
          <w:lang w:val="en-US"/>
        </w:rPr>
        <w:t>0.89</w:t>
      </w:r>
      <w:r w:rsidR="00C43DE5">
        <w:rPr>
          <w:rFonts w:cstheme="minorHAnsi"/>
          <w:lang w:val="en-US"/>
        </w:rPr>
        <w:t>±</w:t>
      </w:r>
      <w:r w:rsidR="004C3009">
        <w:rPr>
          <w:rFonts w:cstheme="minorHAnsi"/>
          <w:lang w:val="en-US"/>
        </w:rPr>
        <w:t>0.39</w:t>
      </w:r>
      <w:r w:rsidR="00FD2952">
        <w:rPr>
          <w:lang w:val="en-US"/>
        </w:rPr>
        <w:t xml:space="preserve"> </w:t>
      </w:r>
      <w:proofErr w:type="spellStart"/>
      <w:r w:rsidR="00FD2952">
        <w:rPr>
          <w:lang w:val="en-US"/>
        </w:rPr>
        <w:t>p.u</w:t>
      </w:r>
      <w:proofErr w:type="spellEnd"/>
      <w:r w:rsidR="00FD2952">
        <w:rPr>
          <w:lang w:val="en-US"/>
        </w:rPr>
        <w:t>.(LC-contrast)/</w:t>
      </w:r>
      <w:proofErr w:type="spellStart"/>
      <w:r w:rsidR="00FD2952">
        <w:rPr>
          <w:lang w:val="en-US"/>
        </w:rPr>
        <w:t>p.u</w:t>
      </w:r>
      <w:proofErr w:type="spellEnd"/>
      <w:r w:rsidR="00FD2952">
        <w:rPr>
          <w:lang w:val="en-US"/>
        </w:rPr>
        <w:t xml:space="preserve">.(PD), </w:t>
      </w:r>
      <w:r w:rsidR="00A41280">
        <w:rPr>
          <w:lang w:val="en-US"/>
        </w:rPr>
        <w:t xml:space="preserve">p </w:t>
      </w:r>
      <w:r w:rsidR="00A41280">
        <w:rPr>
          <w:rFonts w:cstheme="minorHAnsi"/>
          <w:lang w:val="en-US"/>
        </w:rPr>
        <w:t>&lt;</w:t>
      </w:r>
      <w:r w:rsidR="00A41280">
        <w:rPr>
          <w:lang w:val="en-US"/>
        </w:rPr>
        <w:t xml:space="preserve"> 0.0</w:t>
      </w:r>
      <w:r w:rsidR="00617385">
        <w:rPr>
          <w:lang w:val="en-US"/>
        </w:rPr>
        <w:t>33</w:t>
      </w:r>
      <w:r w:rsidR="00A41280">
        <w:rPr>
          <w:lang w:val="en-US"/>
        </w:rPr>
        <w:t>)</w:t>
      </w:r>
      <w:r w:rsidR="00605FE2">
        <w:rPr>
          <w:lang w:val="en-US"/>
        </w:rPr>
        <w:t xml:space="preserve"> was for</w:t>
      </w:r>
      <w:r w:rsidR="00AD5474">
        <w:rPr>
          <w:lang w:val="en-US"/>
        </w:rPr>
        <w:t xml:space="preserve"> LC-contrast being</w:t>
      </w:r>
      <w:r w:rsidR="00605FE2">
        <w:rPr>
          <w:lang w:val="en-US"/>
        </w:rPr>
        <w:t xml:space="preserve"> positively correlated</w:t>
      </w:r>
      <w:r w:rsidR="00AD5474">
        <w:rPr>
          <w:lang w:val="en-US"/>
        </w:rPr>
        <w:t xml:space="preserve"> to quantitative values, and in line with the previous results – negative for</w:t>
      </w:r>
      <w:r w:rsidR="00617385">
        <w:rPr>
          <w:lang w:val="en-US"/>
        </w:rPr>
        <w:t xml:space="preserve"> the</w:t>
      </w:r>
      <w:r w:rsidR="00AD5474">
        <w:rPr>
          <w:lang w:val="en-US"/>
        </w:rPr>
        <w:t xml:space="preserve"> </w:t>
      </w:r>
      <w:r w:rsidR="00706D05">
        <w:rPr>
          <w:rFonts w:cstheme="minorHAnsi"/>
          <w:lang w:val="en-US"/>
        </w:rPr>
        <w:t>Δ</w:t>
      </w:r>
      <w:r w:rsidR="00AD5474">
        <w:rPr>
          <w:lang w:val="en-US"/>
        </w:rPr>
        <w:t>R2*</w:t>
      </w:r>
      <w:r w:rsidR="00A41280">
        <w:rPr>
          <w:lang w:val="en-US"/>
        </w:rPr>
        <w:t xml:space="preserve"> </w:t>
      </w:r>
      <w:r w:rsidR="00617385">
        <w:rPr>
          <w:lang w:val="en-US"/>
        </w:rPr>
        <w:t xml:space="preserve">trend </w:t>
      </w:r>
      <w:r w:rsidR="00A41280">
        <w:rPr>
          <w:lang w:val="en-US"/>
        </w:rPr>
        <w:t>(</w:t>
      </w:r>
      <w:r w:rsidR="003A3C87">
        <w:rPr>
          <w:lang w:val="en-US"/>
        </w:rPr>
        <w:t>-0.37</w:t>
      </w:r>
      <w:r w:rsidR="004C3009">
        <w:rPr>
          <w:rFonts w:cstheme="minorHAnsi"/>
          <w:lang w:val="en-US"/>
        </w:rPr>
        <w:t>±0.20</w:t>
      </w:r>
      <w:r w:rsidR="003A3C87">
        <w:rPr>
          <w:lang w:val="en-US"/>
        </w:rPr>
        <w:t xml:space="preserve"> </w:t>
      </w:r>
      <w:proofErr w:type="spellStart"/>
      <w:r w:rsidR="003A3C87">
        <w:rPr>
          <w:lang w:val="en-US"/>
        </w:rPr>
        <w:t>p.u</w:t>
      </w:r>
      <w:proofErr w:type="spellEnd"/>
      <w:r w:rsidR="003A3C87">
        <w:rPr>
          <w:lang w:val="en-US"/>
        </w:rPr>
        <w:t>./s</w:t>
      </w:r>
      <w:r w:rsidR="003A3C87" w:rsidRPr="003A3C87">
        <w:rPr>
          <w:vertAlign w:val="superscript"/>
          <w:lang w:val="en-US"/>
        </w:rPr>
        <w:t>-1</w:t>
      </w:r>
      <w:r w:rsidR="003A3C87">
        <w:rPr>
          <w:lang w:val="en-US"/>
        </w:rPr>
        <w:t xml:space="preserve">, </w:t>
      </w:r>
      <w:r w:rsidR="00A41280">
        <w:rPr>
          <w:lang w:val="en-US"/>
        </w:rPr>
        <w:t xml:space="preserve">p &lt; </w:t>
      </w:r>
      <w:r w:rsidR="00D36D9C">
        <w:rPr>
          <w:lang w:val="en-US"/>
        </w:rPr>
        <w:t>0.0</w:t>
      </w:r>
      <w:r w:rsidR="00617385">
        <w:rPr>
          <w:lang w:val="en-US"/>
        </w:rPr>
        <w:t>75</w:t>
      </w:r>
      <w:r w:rsidR="00D36D9C">
        <w:rPr>
          <w:lang w:val="en-US"/>
        </w:rPr>
        <w:t>)</w:t>
      </w:r>
      <w:r w:rsidR="00AD5474">
        <w:rPr>
          <w:lang w:val="en-US"/>
        </w:rPr>
        <w:t>.</w:t>
      </w:r>
      <w:r w:rsidR="00A6276F">
        <w:rPr>
          <w:lang w:val="en-US"/>
        </w:rPr>
        <w:t xml:space="preserve"> </w:t>
      </w:r>
      <w:r w:rsidR="007F22A1">
        <w:rPr>
          <w:lang w:val="en-US"/>
        </w:rPr>
        <w:t>But</w:t>
      </w:r>
      <w:r w:rsidR="0081301A">
        <w:rPr>
          <w:lang w:val="en-US"/>
        </w:rPr>
        <w:t xml:space="preserve"> no</w:t>
      </w:r>
      <w:r w:rsidR="005B23BF">
        <w:rPr>
          <w:lang w:val="en-US"/>
        </w:rPr>
        <w:t xml:space="preserve"> relation with the </w:t>
      </w:r>
      <w:proofErr w:type="spellStart"/>
      <w:r w:rsidR="00706D05">
        <w:rPr>
          <w:rFonts w:cstheme="minorHAnsi"/>
          <w:lang w:val="en-US"/>
        </w:rPr>
        <w:t>Δ</w:t>
      </w:r>
      <w:r w:rsidR="005B23BF">
        <w:rPr>
          <w:lang w:val="en-US"/>
        </w:rPr>
        <w:t>MTSat</w:t>
      </w:r>
      <w:proofErr w:type="spellEnd"/>
      <w:r w:rsidR="005B23BF">
        <w:rPr>
          <w:lang w:val="en-US"/>
        </w:rPr>
        <w:t xml:space="preserve"> metric was observed</w:t>
      </w:r>
      <w:r w:rsidR="0044660F">
        <w:rPr>
          <w:lang w:val="en-US"/>
        </w:rPr>
        <w:t xml:space="preserve"> (p &gt; 0.</w:t>
      </w:r>
      <w:r w:rsidR="00A54A61">
        <w:rPr>
          <w:lang w:val="en-US"/>
        </w:rPr>
        <w:t>80</w:t>
      </w:r>
      <w:r w:rsidR="0044660F">
        <w:rPr>
          <w:lang w:val="en-US"/>
        </w:rPr>
        <w:t>)</w:t>
      </w:r>
      <w:r w:rsidR="005B23BF">
        <w:rPr>
          <w:lang w:val="en-US"/>
        </w:rPr>
        <w:t xml:space="preserve"> despite the </w:t>
      </w:r>
      <w:r w:rsidR="00143BD1">
        <w:rPr>
          <w:lang w:val="en-US"/>
        </w:rPr>
        <w:t>LC-contrast being driven primarily by MT-weighting.</w:t>
      </w:r>
    </w:p>
    <w:p w14:paraId="5B09AA11" w14:textId="77777777" w:rsidR="001245FA" w:rsidRDefault="001245FA" w:rsidP="001245FA">
      <w:pPr>
        <w:keepNext/>
        <w:jc w:val="both"/>
      </w:pPr>
      <w:r>
        <w:rPr>
          <w:noProof/>
          <w:lang w:val="en-US"/>
        </w:rPr>
        <w:drawing>
          <wp:inline distT="0" distB="0" distL="0" distR="0" wp14:anchorId="50897EA2" wp14:editId="7A91C9CD">
            <wp:extent cx="5582648" cy="4490085"/>
            <wp:effectExtent l="0" t="0" r="0" b="5715"/>
            <wp:docPr id="342046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46509"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82648" cy="4490085"/>
                    </a:xfrm>
                    <a:prstGeom prst="rect">
                      <a:avLst/>
                    </a:prstGeom>
                  </pic:spPr>
                </pic:pic>
              </a:graphicData>
            </a:graphic>
          </wp:inline>
        </w:drawing>
      </w:r>
    </w:p>
    <w:p w14:paraId="41EF362F" w14:textId="2329EAAC" w:rsidR="00827698" w:rsidRDefault="001245FA" w:rsidP="001245FA">
      <w:pPr>
        <w:pStyle w:val="Caption"/>
        <w:jc w:val="both"/>
        <w:rPr>
          <w:lang w:val="en-US"/>
        </w:rPr>
      </w:pPr>
      <w:bookmarkStart w:id="1" w:name="_Ref216452639"/>
      <w:r w:rsidRPr="0028294B">
        <w:rPr>
          <w:lang w:val="en-US"/>
        </w:rPr>
        <w:t xml:space="preserve">Figure </w:t>
      </w:r>
      <w:r>
        <w:fldChar w:fldCharType="begin"/>
      </w:r>
      <w:r w:rsidRPr="0028294B">
        <w:rPr>
          <w:lang w:val="en-US"/>
        </w:rPr>
        <w:instrText xml:space="preserve"> SEQ Figure \* ARABIC </w:instrText>
      </w:r>
      <w:r>
        <w:fldChar w:fldCharType="separate"/>
      </w:r>
      <w:r w:rsidRPr="0028294B">
        <w:rPr>
          <w:noProof/>
          <w:lang w:val="en-US"/>
        </w:rPr>
        <w:t>2</w:t>
      </w:r>
      <w:r>
        <w:rPr>
          <w:noProof/>
        </w:rPr>
        <w:fldChar w:fldCharType="end"/>
      </w:r>
      <w:bookmarkEnd w:id="1"/>
      <w:r w:rsidR="00FF57E4" w:rsidRPr="0028294B">
        <w:rPr>
          <w:lang w:val="en-US"/>
        </w:rPr>
        <w:t xml:space="preserve">. Added variable plots for LC-contrast against </w:t>
      </w:r>
      <w:r w:rsidR="00652658" w:rsidRPr="0028294B">
        <w:rPr>
          <w:lang w:val="en-US"/>
        </w:rPr>
        <w:t>difference in quantitative values</w:t>
      </w:r>
      <w:r w:rsidR="005E6873" w:rsidRPr="0028294B">
        <w:rPr>
          <w:lang w:val="en-US"/>
        </w:rPr>
        <w:t xml:space="preserve"> (</w:t>
      </w:r>
      <w:r w:rsidR="005E6873">
        <w:rPr>
          <w:rFonts w:cstheme="minorHAnsi"/>
          <w:lang w:val="en-US"/>
        </w:rPr>
        <w:t>Δ</w:t>
      </w:r>
      <w:r w:rsidR="005E6873">
        <w:rPr>
          <w:lang w:val="en-US"/>
        </w:rPr>
        <w:t xml:space="preserve">R1, </w:t>
      </w:r>
      <w:r w:rsidR="005E6873">
        <w:rPr>
          <w:rFonts w:cstheme="minorHAnsi"/>
          <w:lang w:val="en-US"/>
        </w:rPr>
        <w:t>Δ</w:t>
      </w:r>
      <w:r w:rsidR="005E6873">
        <w:rPr>
          <w:lang w:val="en-US"/>
        </w:rPr>
        <w:t xml:space="preserve">PD, </w:t>
      </w:r>
      <w:r w:rsidR="005E6873">
        <w:rPr>
          <w:rFonts w:cstheme="minorHAnsi"/>
          <w:lang w:val="en-US"/>
        </w:rPr>
        <w:t>Δ</w:t>
      </w:r>
      <w:r w:rsidR="005E6873">
        <w:rPr>
          <w:lang w:val="en-US"/>
        </w:rPr>
        <w:t xml:space="preserve">R2* and </w:t>
      </w:r>
      <w:proofErr w:type="spellStart"/>
      <w:r w:rsidR="005E6873">
        <w:rPr>
          <w:rFonts w:cstheme="minorHAnsi"/>
          <w:lang w:val="en-US"/>
        </w:rPr>
        <w:t>Δ</w:t>
      </w:r>
      <w:r w:rsidR="005E6873">
        <w:rPr>
          <w:lang w:val="en-US"/>
        </w:rPr>
        <w:t>MTSat</w:t>
      </w:r>
      <w:proofErr w:type="spellEnd"/>
      <w:r w:rsidR="005E6873">
        <w:rPr>
          <w:lang w:val="en-US"/>
        </w:rPr>
        <w:t>)</w:t>
      </w:r>
      <w:r w:rsidR="00652658" w:rsidRPr="0028294B">
        <w:rPr>
          <w:lang w:val="en-US"/>
        </w:rPr>
        <w:t xml:space="preserve"> between LC and reference region in the </w:t>
      </w:r>
      <w:r w:rsidR="005E6873" w:rsidRPr="0028294B">
        <w:rPr>
          <w:lang w:val="en-US"/>
        </w:rPr>
        <w:t>pontine tegmentum.</w:t>
      </w:r>
    </w:p>
    <w:p w14:paraId="1A0CBF7C" w14:textId="5891C0E9" w:rsidR="00CC0965" w:rsidRDefault="00D9006E" w:rsidP="00920A13">
      <w:pPr>
        <w:pStyle w:val="Heading1"/>
        <w:rPr>
          <w:lang w:val="en-US"/>
        </w:rPr>
      </w:pPr>
      <w:r>
        <w:rPr>
          <w:lang w:val="en-US"/>
        </w:rPr>
        <w:t>Conclusion</w:t>
      </w:r>
    </w:p>
    <w:p w14:paraId="72EEE6CA" w14:textId="1AD148FC" w:rsidR="006A6F61" w:rsidRDefault="00931C81" w:rsidP="00D425CB">
      <w:pPr>
        <w:jc w:val="both"/>
        <w:rPr>
          <w:lang w:val="en-US"/>
        </w:rPr>
      </w:pPr>
      <w:r>
        <w:rPr>
          <w:lang w:val="en-US"/>
        </w:rPr>
        <w:t xml:space="preserve">The correlations </w:t>
      </w:r>
      <w:r w:rsidR="00CD26CD">
        <w:rPr>
          <w:lang w:val="en-US"/>
        </w:rPr>
        <w:t xml:space="preserve">detected </w:t>
      </w:r>
      <w:r w:rsidR="0020707F">
        <w:rPr>
          <w:lang w:val="en-US"/>
        </w:rPr>
        <w:t>between the LC-contrast and the</w:t>
      </w:r>
      <w:r>
        <w:rPr>
          <w:lang w:val="en-US"/>
        </w:rPr>
        <w:t xml:space="preserve"> quantitative </w:t>
      </w:r>
      <w:r w:rsidR="000B2871">
        <w:rPr>
          <w:lang w:val="en-US"/>
        </w:rPr>
        <w:t xml:space="preserve">MR </w:t>
      </w:r>
      <w:r>
        <w:rPr>
          <w:lang w:val="en-US"/>
        </w:rPr>
        <w:t>parameters</w:t>
      </w:r>
      <w:r w:rsidR="000B2871">
        <w:rPr>
          <w:lang w:val="en-US"/>
        </w:rPr>
        <w:t xml:space="preserve"> </w:t>
      </w:r>
      <w:r w:rsidR="00373CED">
        <w:rPr>
          <w:lang w:val="en-US"/>
        </w:rPr>
        <w:t xml:space="preserve">suggest </w:t>
      </w:r>
      <w:r w:rsidR="0052406E">
        <w:rPr>
          <w:lang w:val="en-US"/>
        </w:rPr>
        <w:t xml:space="preserve">the </w:t>
      </w:r>
      <w:r w:rsidR="006E2615">
        <w:rPr>
          <w:lang w:val="en-US"/>
        </w:rPr>
        <w:t xml:space="preserve">potential </w:t>
      </w:r>
      <w:r w:rsidR="0052406E">
        <w:rPr>
          <w:lang w:val="en-US"/>
        </w:rPr>
        <w:t xml:space="preserve">existence of multiple </w:t>
      </w:r>
      <w:r w:rsidR="006E2615">
        <w:rPr>
          <w:lang w:val="en-US"/>
        </w:rPr>
        <w:t>microstructural mechanisms affecting the LC-contrast</w:t>
      </w:r>
      <w:r w:rsidR="005169EC">
        <w:rPr>
          <w:lang w:val="en-US"/>
        </w:rPr>
        <w:t xml:space="preserve">. While neuromelanin </w:t>
      </w:r>
      <w:r w:rsidR="0028018C">
        <w:rPr>
          <w:lang w:val="en-US"/>
        </w:rPr>
        <w:t xml:space="preserve">and iron </w:t>
      </w:r>
      <w:r w:rsidR="005169EC">
        <w:rPr>
          <w:lang w:val="en-US"/>
        </w:rPr>
        <w:t>content, considered to be the primary driver for the LC-contrast, can result</w:t>
      </w:r>
      <w:r w:rsidR="002C4B6D">
        <w:rPr>
          <w:lang w:val="en-US"/>
        </w:rPr>
        <w:fldChar w:fldCharType="begin"/>
      </w:r>
      <w:r w:rsidR="002C4B6D">
        <w:rPr>
          <w:lang w:val="en-US"/>
        </w:rPr>
        <w:instrText xml:space="preserve"> ADDIN ZOTERO_ITEM CSL_CITATION {"citationID":"a16u13FQ","properties":{"formattedCitation":"\\super 5\\nosupersub{}","plainCitation":"5","noteIndex":0},"citationItems":[{"id":3508,"uris":["http://zotero.org/users/3752416/items/PCLZXVG5"],"itemData":{"id":3508,"type":"article-journal","abstract":"We carried out an investigation to identify neuromelanin-containing noradrenergic and dopaminergic neurons in the locus ceruleus and substantia nigra pars compacta of healthy volunteers and patients with Parkinson's disease using a newly developed magnetic resonance imaging technique that can demonstrate neuromelanin-related contrast. The high-resolution neuromelanin images obtained by a 3-T scanner revealed high signal areas in the brain stem and these corresponded well with the location of the locus ceruleus and substantia nigra pars compacta in gross specimens. In Parkinson's disease patients, the signal intensity in the locus ceruleus and substantia nigra pars compacta was greatly reduced, suggesting depletion of neuromelanin-containing neurons. We conclude that neuromelanin magnetic resonance imaging can be used for direct visualization of the locus ceruleus and substantia nigra pars compacta, and may help in detecting pathological changes in Parkinson's disease and related disorders.","container-title":"NeuroReport","DOI":"10.1097/01.wnr.0000227984.84927.a7","ISSN":"0959-4965","issue":"11","language":"en-US","page":"1215","source":"journals.lww.com","title":"Neuromelanin magnetic resonance imaging of locus ceruleus and substantia nigra in Parkinson's disease","volume":"17","author":[{"family":"Sasaki","given":"Makoto"},{"family":"Shibata","given":"Eri"},{"family":"Tohyama","given":"Koujiro"},{"family":"Takahashi","given":"Junko"},{"family":"Otsuka","given":"Kotaro"},{"family":"Tsuchiya","given":"Kuniaki"},{"family":"Takahashi","given":"Satoshi"},{"family":"Ehara","given":"Shigeru"},{"family":"Terayama","given":"Yasuo"},{"family":"Sakai","given":"Akio"}],"issued":{"date-parts":[["2006",7,31]]}}}],"schema":"https://github.com/citation-style-language/schema/raw/master/csl-citation.json"} </w:instrText>
      </w:r>
      <w:r w:rsidR="002C4B6D">
        <w:rPr>
          <w:lang w:val="en-US"/>
        </w:rPr>
        <w:fldChar w:fldCharType="separate"/>
      </w:r>
      <w:r w:rsidR="002C4B6D" w:rsidRPr="0028294B">
        <w:rPr>
          <w:rFonts w:ascii="Calibri" w:hAnsi="Calibri" w:cs="Calibri"/>
          <w:kern w:val="0"/>
          <w:vertAlign w:val="superscript"/>
          <w:lang w:val="en-US"/>
        </w:rPr>
        <w:t>5</w:t>
      </w:r>
      <w:r w:rsidR="002C4B6D">
        <w:rPr>
          <w:lang w:val="en-US"/>
        </w:rPr>
        <w:fldChar w:fldCharType="end"/>
      </w:r>
      <w:r w:rsidR="005169EC">
        <w:rPr>
          <w:lang w:val="en-US"/>
        </w:rPr>
        <w:t xml:space="preserve"> in </w:t>
      </w:r>
      <w:r w:rsidR="00565BD3">
        <w:rPr>
          <w:lang w:val="en-US"/>
        </w:rPr>
        <w:t xml:space="preserve">the change of R1 </w:t>
      </w:r>
      <w:r w:rsidR="00FF227A">
        <w:rPr>
          <w:lang w:val="en-US"/>
        </w:rPr>
        <w:t>and</w:t>
      </w:r>
      <w:r w:rsidR="00633C0D">
        <w:rPr>
          <w:lang w:val="en-US"/>
        </w:rPr>
        <w:t xml:space="preserve"> R2*, the change in </w:t>
      </w:r>
      <w:r w:rsidR="00876B7E">
        <w:rPr>
          <w:lang w:val="en-US"/>
        </w:rPr>
        <w:t>PD is not directly rooted in the neuromelanin content.</w:t>
      </w:r>
      <w:r w:rsidR="00422273">
        <w:rPr>
          <w:lang w:val="en-US"/>
        </w:rPr>
        <w:t xml:space="preserve"> </w:t>
      </w:r>
      <w:r w:rsidR="006A6F61">
        <w:rPr>
          <w:lang w:val="en-US"/>
        </w:rPr>
        <w:t xml:space="preserve">The </w:t>
      </w:r>
      <w:r w:rsidR="006A6F61">
        <w:rPr>
          <w:lang w:val="en-US"/>
        </w:rPr>
        <w:lastRenderedPageBreak/>
        <w:t xml:space="preserve">lack of dependence on </w:t>
      </w:r>
      <w:proofErr w:type="spellStart"/>
      <w:r w:rsidR="006A6F61">
        <w:rPr>
          <w:lang w:val="en-US"/>
        </w:rPr>
        <w:t>MTSat</w:t>
      </w:r>
      <w:proofErr w:type="spellEnd"/>
      <w:r w:rsidR="006A6F61">
        <w:rPr>
          <w:lang w:val="en-US"/>
        </w:rPr>
        <w:t xml:space="preserve"> is potentially due to different MT approaches in the MPM and MT-TFL sequences, and thus </w:t>
      </w:r>
      <w:proofErr w:type="spellStart"/>
      <w:r w:rsidR="006A6F61">
        <w:rPr>
          <w:lang w:val="en-US"/>
        </w:rPr>
        <w:t>MTSat</w:t>
      </w:r>
      <w:proofErr w:type="spellEnd"/>
      <w:r w:rsidR="006A6F61">
        <w:rPr>
          <w:lang w:val="en-US"/>
        </w:rPr>
        <w:t xml:space="preserve"> and LC-contrast </w:t>
      </w:r>
      <w:r w:rsidR="00E94A63">
        <w:rPr>
          <w:lang w:val="en-US"/>
        </w:rPr>
        <w:t>being related to</w:t>
      </w:r>
      <w:r w:rsidR="005C75D0">
        <w:rPr>
          <w:lang w:val="en-US"/>
        </w:rPr>
        <w:t xml:space="preserve"> distinct</w:t>
      </w:r>
      <w:r w:rsidR="00C6304F">
        <w:rPr>
          <w:lang w:val="en-US"/>
        </w:rPr>
        <w:t>ly</w:t>
      </w:r>
      <w:r w:rsidR="00E94A63">
        <w:rPr>
          <w:lang w:val="en-US"/>
        </w:rPr>
        <w:t xml:space="preserve"> </w:t>
      </w:r>
      <w:proofErr w:type="gramStart"/>
      <w:r w:rsidR="00E94A63">
        <w:rPr>
          <w:lang w:val="en-US"/>
        </w:rPr>
        <w:t xml:space="preserve">different </w:t>
      </w:r>
      <w:r w:rsidR="00877B7B">
        <w:rPr>
          <w:lang w:val="en-US"/>
        </w:rPr>
        <w:t xml:space="preserve"> MT</w:t>
      </w:r>
      <w:proofErr w:type="gramEnd"/>
      <w:r w:rsidR="00C6304F">
        <w:rPr>
          <w:lang w:val="en-US"/>
        </w:rPr>
        <w:t xml:space="preserve"> processes</w:t>
      </w:r>
      <w:r w:rsidR="00877B7B">
        <w:rPr>
          <w:lang w:val="en-US"/>
        </w:rPr>
        <w:t>, while both being MT-related.</w:t>
      </w:r>
      <w:r w:rsidR="00C82E18">
        <w:rPr>
          <w:lang w:val="en-US"/>
        </w:rPr>
        <w:t xml:space="preserve"> This underlines the </w:t>
      </w:r>
      <w:r w:rsidR="00CC11B2">
        <w:rPr>
          <w:lang w:val="en-US"/>
        </w:rPr>
        <w:t xml:space="preserve">need for a comprehensive evaluation of the LC-contrast, being conventionally considered MT-driven, but as </w:t>
      </w:r>
      <w:r w:rsidR="00376773">
        <w:rPr>
          <w:lang w:val="en-US"/>
        </w:rPr>
        <w:t xml:space="preserve">suggested by the presented results, </w:t>
      </w:r>
      <w:r w:rsidR="00337718">
        <w:rPr>
          <w:lang w:val="en-US"/>
        </w:rPr>
        <w:t>comprising</w:t>
      </w:r>
      <w:r w:rsidR="00376773">
        <w:rPr>
          <w:lang w:val="en-US"/>
        </w:rPr>
        <w:t xml:space="preserve"> a mixture of contrast mechanisms.</w:t>
      </w:r>
    </w:p>
    <w:p w14:paraId="4620F2C2" w14:textId="104A4DA6" w:rsidR="00CD1E7B" w:rsidRDefault="00362F3A" w:rsidP="00D425CB">
      <w:pPr>
        <w:jc w:val="both"/>
        <w:rPr>
          <w:lang w:val="en-US"/>
        </w:rPr>
      </w:pPr>
      <w:r>
        <w:rPr>
          <w:lang w:val="en-US"/>
        </w:rPr>
        <w:t>T</w:t>
      </w:r>
      <w:r w:rsidR="00CD1E7B">
        <w:rPr>
          <w:lang w:val="en-US"/>
        </w:rPr>
        <w:t>he complexity of quantitative</w:t>
      </w:r>
      <w:r w:rsidR="00357300">
        <w:rPr>
          <w:lang w:val="en-US"/>
        </w:rPr>
        <w:t xml:space="preserve"> brain</w:t>
      </w:r>
      <w:r w:rsidR="00CD1E7B">
        <w:rPr>
          <w:lang w:val="en-US"/>
        </w:rPr>
        <w:t xml:space="preserve"> </w:t>
      </w:r>
      <w:r w:rsidR="00357300">
        <w:rPr>
          <w:lang w:val="en-US"/>
        </w:rPr>
        <w:t>mapping acquisition and processing schemes</w:t>
      </w:r>
      <w:r w:rsidR="000400AD">
        <w:rPr>
          <w:lang w:val="en-US"/>
        </w:rPr>
        <w:t xml:space="preserve">, and on the contrary the </w:t>
      </w:r>
      <w:r w:rsidR="001F38BD">
        <w:rPr>
          <w:lang w:val="en-US"/>
        </w:rPr>
        <w:t>apparent simplicity of MT-TFL acquisitions, leverages the</w:t>
      </w:r>
      <w:r>
        <w:rPr>
          <w:lang w:val="en-US"/>
        </w:rPr>
        <w:t xml:space="preserve"> LC-contrast derived from</w:t>
      </w:r>
      <w:r w:rsidR="001F38BD">
        <w:rPr>
          <w:lang w:val="en-US"/>
        </w:rPr>
        <w:t xml:space="preserve"> latter to be considered the </w:t>
      </w:r>
      <w:r>
        <w:rPr>
          <w:lang w:val="en-US"/>
        </w:rPr>
        <w:t xml:space="preserve">primary option of LC integrity assessment. Nevertheless, it is crucial to first obtain a comprehensive </w:t>
      </w:r>
      <w:r w:rsidR="00304A5D">
        <w:rPr>
          <w:lang w:val="en-US"/>
        </w:rPr>
        <w:t xml:space="preserve">description of the mechanisms causing the change in LC-contrast to better evaluate the LC integrity status based on the measured LC-contrast. </w:t>
      </w:r>
      <w:r w:rsidR="009F0387">
        <w:rPr>
          <w:lang w:val="en-US"/>
        </w:rPr>
        <w:t xml:space="preserve">This is the area where studies combining </w:t>
      </w:r>
      <w:r w:rsidR="001A3C42">
        <w:rPr>
          <w:lang w:val="en-US"/>
        </w:rPr>
        <w:t>quantitative measurements in the LC</w:t>
      </w:r>
      <w:r w:rsidR="00AF1F6A">
        <w:rPr>
          <w:lang w:val="en-US"/>
        </w:rPr>
        <w:t xml:space="preserve"> with LC-contrast,</w:t>
      </w:r>
      <w:r w:rsidR="001A3C42">
        <w:rPr>
          <w:lang w:val="en-US"/>
        </w:rPr>
        <w:t xml:space="preserve"> theoretical evaluation of the LC-contrast origins and</w:t>
      </w:r>
      <w:r w:rsidR="00AF1F6A">
        <w:rPr>
          <w:lang w:val="en-US"/>
        </w:rPr>
        <w:t xml:space="preserve"> biophysical models will be of utter importance.</w:t>
      </w:r>
    </w:p>
    <w:p w14:paraId="1FD937F5" w14:textId="6894008A" w:rsidR="00534C64" w:rsidRPr="00432BF0" w:rsidRDefault="00534C64" w:rsidP="00920A13">
      <w:pPr>
        <w:pStyle w:val="Heading1"/>
        <w:rPr>
          <w:lang w:val="en-US"/>
        </w:rPr>
      </w:pPr>
      <w:r>
        <w:rPr>
          <w:lang w:val="en-US"/>
        </w:rPr>
        <w:t>References</w:t>
      </w:r>
    </w:p>
    <w:p w14:paraId="094C48EF" w14:textId="77777777" w:rsidR="002C4B6D" w:rsidRPr="0028294B" w:rsidRDefault="00534C64" w:rsidP="002C4B6D">
      <w:pPr>
        <w:pStyle w:val="Bibliography"/>
        <w:rPr>
          <w:rFonts w:ascii="Calibri" w:hAnsi="Calibri" w:cs="Calibri"/>
          <w:lang w:val="en-US"/>
        </w:rPr>
      </w:pPr>
      <w:r>
        <w:rPr>
          <w:lang w:val="en-US"/>
        </w:rPr>
        <w:fldChar w:fldCharType="begin"/>
      </w:r>
      <w:r w:rsidR="005B0709">
        <w:rPr>
          <w:lang w:val="en-US"/>
        </w:rPr>
        <w:instrText xml:space="preserve"> ADDIN ZOTERO_BIBL {"uncited":[],"omitted":[],"custom":[]} CSL_BIBLIOGRAPHY </w:instrText>
      </w:r>
      <w:r>
        <w:rPr>
          <w:lang w:val="en-US"/>
        </w:rPr>
        <w:fldChar w:fldCharType="separate"/>
      </w:r>
      <w:r w:rsidR="002C4B6D" w:rsidRPr="0028294B">
        <w:rPr>
          <w:rFonts w:ascii="Calibri" w:hAnsi="Calibri" w:cs="Calibri"/>
          <w:lang w:val="en-US"/>
        </w:rPr>
        <w:t>1.</w:t>
      </w:r>
      <w:r w:rsidR="002C4B6D" w:rsidRPr="0028294B">
        <w:rPr>
          <w:rFonts w:ascii="Calibri" w:hAnsi="Calibri" w:cs="Calibri"/>
          <w:lang w:val="en-US"/>
        </w:rPr>
        <w:tab/>
        <w:t xml:space="preserve">Sara SJ. The locus coeruleus and noradrenergic modulation of cognition. </w:t>
      </w:r>
      <w:r w:rsidR="002C4B6D" w:rsidRPr="0028294B">
        <w:rPr>
          <w:rFonts w:ascii="Calibri" w:hAnsi="Calibri" w:cs="Calibri"/>
          <w:i/>
          <w:iCs/>
          <w:lang w:val="en-US"/>
        </w:rPr>
        <w:t>Nat Rev Neurosci</w:t>
      </w:r>
      <w:r w:rsidR="002C4B6D" w:rsidRPr="0028294B">
        <w:rPr>
          <w:rFonts w:ascii="Calibri" w:hAnsi="Calibri" w:cs="Calibri"/>
          <w:lang w:val="en-US"/>
        </w:rPr>
        <w:t>. 2009;10(3):211-223. doi:10.1038/nrn2573</w:t>
      </w:r>
    </w:p>
    <w:p w14:paraId="4E96C10E" w14:textId="77777777" w:rsidR="002C4B6D" w:rsidRPr="0028294B" w:rsidRDefault="002C4B6D" w:rsidP="002C4B6D">
      <w:pPr>
        <w:pStyle w:val="Bibliography"/>
        <w:rPr>
          <w:rFonts w:ascii="Calibri" w:hAnsi="Calibri" w:cs="Calibri"/>
          <w:lang w:val="en-US"/>
        </w:rPr>
      </w:pPr>
      <w:r w:rsidRPr="0028294B">
        <w:rPr>
          <w:rFonts w:ascii="Calibri" w:hAnsi="Calibri" w:cs="Calibri"/>
          <w:lang w:val="en-US"/>
        </w:rPr>
        <w:t>2.</w:t>
      </w:r>
      <w:r w:rsidRPr="0028294B">
        <w:rPr>
          <w:rFonts w:ascii="Calibri" w:hAnsi="Calibri" w:cs="Calibri"/>
          <w:lang w:val="en-US"/>
        </w:rPr>
        <w:tab/>
        <w:t xml:space="preserve">Priovoulos N, Jacobs HIL, Ivanov D, Uludağ K, Verhey FRJ, Poser BA. High-resolution in vivo imaging of human locus coeruleus by magnetization transfer MRI at 3T and 7T. </w:t>
      </w:r>
      <w:r w:rsidRPr="0028294B">
        <w:rPr>
          <w:rFonts w:ascii="Calibri" w:hAnsi="Calibri" w:cs="Calibri"/>
          <w:i/>
          <w:iCs/>
          <w:lang w:val="en-US"/>
        </w:rPr>
        <w:t>NeuroImage</w:t>
      </w:r>
      <w:r w:rsidRPr="0028294B">
        <w:rPr>
          <w:rFonts w:ascii="Calibri" w:hAnsi="Calibri" w:cs="Calibri"/>
          <w:lang w:val="en-US"/>
        </w:rPr>
        <w:t>. 2018;168:427-436. doi:10.1016/j.neuroimage.2017.07.045</w:t>
      </w:r>
    </w:p>
    <w:p w14:paraId="087913D3" w14:textId="77777777" w:rsidR="002C4B6D" w:rsidRPr="0028294B" w:rsidRDefault="002C4B6D" w:rsidP="002C4B6D">
      <w:pPr>
        <w:pStyle w:val="Bibliography"/>
        <w:rPr>
          <w:rFonts w:ascii="Calibri" w:hAnsi="Calibri" w:cs="Calibri"/>
          <w:lang w:val="en-US"/>
        </w:rPr>
      </w:pPr>
      <w:r w:rsidRPr="0028294B">
        <w:rPr>
          <w:rFonts w:ascii="Calibri" w:hAnsi="Calibri" w:cs="Calibri"/>
          <w:lang w:val="en-US"/>
        </w:rPr>
        <w:t>3.</w:t>
      </w:r>
      <w:r w:rsidRPr="0028294B">
        <w:rPr>
          <w:rFonts w:ascii="Calibri" w:hAnsi="Calibri" w:cs="Calibri"/>
          <w:lang w:val="en-US"/>
        </w:rPr>
        <w:tab/>
        <w:t xml:space="preserve">Weiskopf N, Suckling J, Williams G, et al. Quantitative multi-parameter mapping of R1, PD*, MT, and R2* at 3T: a multi-center validation. </w:t>
      </w:r>
      <w:r w:rsidRPr="0028294B">
        <w:rPr>
          <w:rFonts w:ascii="Calibri" w:hAnsi="Calibri" w:cs="Calibri"/>
          <w:i/>
          <w:iCs/>
          <w:lang w:val="en-US"/>
        </w:rPr>
        <w:t>Front Neurosci</w:t>
      </w:r>
      <w:r w:rsidRPr="0028294B">
        <w:rPr>
          <w:rFonts w:ascii="Calibri" w:hAnsi="Calibri" w:cs="Calibri"/>
          <w:lang w:val="en-US"/>
        </w:rPr>
        <w:t>. 2013;7. Accessed November 30, 2023. https://www.frontiersin.org/articles/10.3389/fnins.2013.00095</w:t>
      </w:r>
    </w:p>
    <w:p w14:paraId="27FA420C" w14:textId="77777777" w:rsidR="002C4B6D" w:rsidRPr="0028294B" w:rsidRDefault="002C4B6D" w:rsidP="002C4B6D">
      <w:pPr>
        <w:pStyle w:val="Bibliography"/>
        <w:rPr>
          <w:rFonts w:ascii="Calibri" w:hAnsi="Calibri" w:cs="Calibri"/>
          <w:lang w:val="en-US"/>
        </w:rPr>
      </w:pPr>
      <w:r w:rsidRPr="0028294B">
        <w:rPr>
          <w:rFonts w:ascii="Calibri" w:hAnsi="Calibri" w:cs="Calibri"/>
          <w:lang w:val="en-US"/>
        </w:rPr>
        <w:t>4.</w:t>
      </w:r>
      <w:r w:rsidRPr="0028294B">
        <w:rPr>
          <w:rFonts w:ascii="Calibri" w:hAnsi="Calibri" w:cs="Calibri"/>
          <w:lang w:val="en-US"/>
        </w:rPr>
        <w:tab/>
        <w:t xml:space="preserve">Tabelow K, Balteau E, Ashburner J, et al. hMRI – A toolbox for quantitative MRI in neuroscience and clinical research. </w:t>
      </w:r>
      <w:r w:rsidRPr="0028294B">
        <w:rPr>
          <w:rFonts w:ascii="Calibri" w:hAnsi="Calibri" w:cs="Calibri"/>
          <w:i/>
          <w:iCs/>
          <w:lang w:val="en-US"/>
        </w:rPr>
        <w:t>NeuroImage</w:t>
      </w:r>
      <w:r w:rsidRPr="0028294B">
        <w:rPr>
          <w:rFonts w:ascii="Calibri" w:hAnsi="Calibri" w:cs="Calibri"/>
          <w:lang w:val="en-US"/>
        </w:rPr>
        <w:t>. 2019;194:191-210. doi:10.1016/j.neuroimage.2019.01.029</w:t>
      </w:r>
    </w:p>
    <w:p w14:paraId="46C48945" w14:textId="77777777" w:rsidR="002C4B6D" w:rsidRPr="002C4B6D" w:rsidRDefault="002C4B6D" w:rsidP="002C4B6D">
      <w:pPr>
        <w:pStyle w:val="Bibliography"/>
        <w:rPr>
          <w:rFonts w:ascii="Calibri" w:hAnsi="Calibri" w:cs="Calibri"/>
        </w:rPr>
      </w:pPr>
      <w:r w:rsidRPr="0028294B">
        <w:rPr>
          <w:rFonts w:ascii="Calibri" w:hAnsi="Calibri" w:cs="Calibri"/>
          <w:lang w:val="en-US"/>
        </w:rPr>
        <w:t>5.</w:t>
      </w:r>
      <w:r w:rsidRPr="0028294B">
        <w:rPr>
          <w:rFonts w:ascii="Calibri" w:hAnsi="Calibri" w:cs="Calibri"/>
          <w:lang w:val="en-US"/>
        </w:rPr>
        <w:tab/>
        <w:t xml:space="preserve">Sasaki M, Shibata E, Tohyama K, et al. Neuromelanin magnetic resonance imaging of locus ceruleus and substantia nigra in Parkinson’s disease. </w:t>
      </w:r>
      <w:r w:rsidRPr="002C4B6D">
        <w:rPr>
          <w:rFonts w:ascii="Calibri" w:hAnsi="Calibri" w:cs="Calibri"/>
          <w:i/>
          <w:iCs/>
        </w:rPr>
        <w:t>NeuroReport</w:t>
      </w:r>
      <w:r w:rsidRPr="002C4B6D">
        <w:rPr>
          <w:rFonts w:ascii="Calibri" w:hAnsi="Calibri" w:cs="Calibri"/>
        </w:rPr>
        <w:t>. 2006;17(11):1215. doi:10.1097/01.wnr.0000227984.84927.a7</w:t>
      </w:r>
    </w:p>
    <w:p w14:paraId="21705AC1" w14:textId="51FD56A0" w:rsidR="004B2C9A" w:rsidRDefault="00534C64">
      <w:pPr>
        <w:rPr>
          <w:lang w:val="en-US"/>
        </w:rPr>
      </w:pPr>
      <w:r>
        <w:rPr>
          <w:lang w:val="en-US"/>
        </w:rPr>
        <w:fldChar w:fldCharType="end"/>
      </w:r>
    </w:p>
    <w:p w14:paraId="334DECC4" w14:textId="77777777" w:rsidR="00C72B66" w:rsidRDefault="00C72B66">
      <w:pPr>
        <w:rPr>
          <w:lang w:val="en-US"/>
        </w:rPr>
      </w:pPr>
    </w:p>
    <w:p w14:paraId="21EEBA23" w14:textId="57576E48" w:rsidR="00C72B66" w:rsidRPr="004B2C9A" w:rsidRDefault="00C72B66">
      <w:pPr>
        <w:rPr>
          <w:lang w:val="en-US"/>
        </w:rPr>
      </w:pPr>
      <w:r w:rsidRPr="00E05479">
        <w:rPr>
          <w:lang w:val="en-US"/>
        </w:rPr>
        <w:t xml:space="preserve">This work was conducted at the GIGA-In Vivo Imaging platform of </w:t>
      </w:r>
      <w:proofErr w:type="spellStart"/>
      <w:r w:rsidRPr="00E05479">
        <w:rPr>
          <w:lang w:val="en-US"/>
        </w:rPr>
        <w:t>ULiège</w:t>
      </w:r>
      <w:proofErr w:type="spellEnd"/>
      <w:r w:rsidRPr="00E05479">
        <w:rPr>
          <w:lang w:val="en-US"/>
        </w:rPr>
        <w:t xml:space="preserve">, Belgium. This work was supported by Fonds National de la Recherche Scientifique (FRS-FNRS, T.0242.19, T.0238.23 and J. 0222.20), the EU Joint </w:t>
      </w:r>
      <w:proofErr w:type="spellStart"/>
      <w:r w:rsidRPr="00E05479">
        <w:rPr>
          <w:lang w:val="en-US"/>
        </w:rPr>
        <w:t>Programme</w:t>
      </w:r>
      <w:proofErr w:type="spellEnd"/>
      <w:r w:rsidRPr="00E05479">
        <w:rPr>
          <w:lang w:val="en-US"/>
        </w:rPr>
        <w:t xml:space="preserve"> Neurodegenerative Disease Research (JPND) IRONSLEEP/HISTOPARK and SCAIFIELD projects, respectively – </w:t>
      </w:r>
      <w:r>
        <w:rPr>
          <w:lang w:val="en-US"/>
        </w:rPr>
        <w:t>(</w:t>
      </w:r>
      <w:r w:rsidRPr="00E05479">
        <w:rPr>
          <w:lang w:val="en-US"/>
        </w:rPr>
        <w:t>FNRS references: PINT-MULTI R.8011.21/R.8002.25 &amp; 8006.20</w:t>
      </w:r>
      <w:r>
        <w:rPr>
          <w:lang w:val="en-US"/>
        </w:rPr>
        <w:t xml:space="preserve">); </w:t>
      </w:r>
      <w:r w:rsidRPr="00E05479">
        <w:rPr>
          <w:lang w:val="en-US"/>
        </w:rPr>
        <w:t xml:space="preserve">Action de Recherche </w:t>
      </w:r>
      <w:proofErr w:type="spellStart"/>
      <w:r w:rsidRPr="00E05479">
        <w:rPr>
          <w:lang w:val="en-US"/>
        </w:rPr>
        <w:t>Concertée</w:t>
      </w:r>
      <w:proofErr w:type="spellEnd"/>
      <w:r w:rsidRPr="00E05479">
        <w:rPr>
          <w:lang w:val="en-US"/>
        </w:rPr>
        <w:t xml:space="preserve"> – Fédération </w:t>
      </w:r>
      <w:proofErr w:type="spellStart"/>
      <w:r w:rsidRPr="00E05479">
        <w:rPr>
          <w:lang w:val="en-US"/>
        </w:rPr>
        <w:t>Wallonie</w:t>
      </w:r>
      <w:proofErr w:type="spellEnd"/>
      <w:r w:rsidRPr="00E05479">
        <w:rPr>
          <w:lang w:val="en-US"/>
        </w:rPr>
        <w:t xml:space="preserve">-Bruxelles (ARC SLEEPDEM 17/27-09), Fondation Recherche Alzheimer (SAO-FRA 2019/0025 &amp; 2022/0014), Fondation Léon </w:t>
      </w:r>
      <w:proofErr w:type="spellStart"/>
      <w:r w:rsidRPr="00E05479">
        <w:rPr>
          <w:lang w:val="en-US"/>
        </w:rPr>
        <w:t>Frédéricq</w:t>
      </w:r>
      <w:proofErr w:type="spellEnd"/>
      <w:r w:rsidRPr="00E05479">
        <w:rPr>
          <w:lang w:val="en-US"/>
        </w:rPr>
        <w:t xml:space="preserve">, </w:t>
      </w:r>
      <w:proofErr w:type="spellStart"/>
      <w:r w:rsidRPr="00E05479">
        <w:rPr>
          <w:lang w:val="en-US"/>
        </w:rPr>
        <w:t>ULiège</w:t>
      </w:r>
      <w:proofErr w:type="spellEnd"/>
      <w:r w:rsidRPr="00E05479">
        <w:rPr>
          <w:lang w:val="en-US"/>
        </w:rPr>
        <w:t>, European Regional Development Fund (</w:t>
      </w:r>
      <w:proofErr w:type="spellStart"/>
      <w:r w:rsidRPr="00E05479">
        <w:rPr>
          <w:lang w:val="en-US"/>
        </w:rPr>
        <w:t>Radiomed</w:t>
      </w:r>
      <w:proofErr w:type="spellEnd"/>
      <w:r w:rsidRPr="00E05479">
        <w:rPr>
          <w:lang w:val="en-US"/>
        </w:rPr>
        <w:t>, Biomed-Hub, WALBIOIMAGING).</w:t>
      </w:r>
    </w:p>
    <w:sectPr w:rsidR="00C72B66" w:rsidRPr="004B2C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Klavika-Regular">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30"/>
    <w:rsid w:val="0000772D"/>
    <w:rsid w:val="0001255B"/>
    <w:rsid w:val="00017916"/>
    <w:rsid w:val="000400AD"/>
    <w:rsid w:val="0004370B"/>
    <w:rsid w:val="00056938"/>
    <w:rsid w:val="000601BA"/>
    <w:rsid w:val="000624A3"/>
    <w:rsid w:val="0007067A"/>
    <w:rsid w:val="00076618"/>
    <w:rsid w:val="00077FF2"/>
    <w:rsid w:val="0008591C"/>
    <w:rsid w:val="000947CB"/>
    <w:rsid w:val="000A2343"/>
    <w:rsid w:val="000B1FB1"/>
    <w:rsid w:val="000B2871"/>
    <w:rsid w:val="000B30C7"/>
    <w:rsid w:val="000B3C76"/>
    <w:rsid w:val="000D7D77"/>
    <w:rsid w:val="00113785"/>
    <w:rsid w:val="00121ECD"/>
    <w:rsid w:val="001245FA"/>
    <w:rsid w:val="001323F1"/>
    <w:rsid w:val="00141DF3"/>
    <w:rsid w:val="00143BD1"/>
    <w:rsid w:val="00152DCB"/>
    <w:rsid w:val="00153F7B"/>
    <w:rsid w:val="00164692"/>
    <w:rsid w:val="00165053"/>
    <w:rsid w:val="001663A4"/>
    <w:rsid w:val="001664B4"/>
    <w:rsid w:val="0017044C"/>
    <w:rsid w:val="00175F27"/>
    <w:rsid w:val="001A3C42"/>
    <w:rsid w:val="001A5901"/>
    <w:rsid w:val="001B24BF"/>
    <w:rsid w:val="001B3BE7"/>
    <w:rsid w:val="001B4656"/>
    <w:rsid w:val="001B644A"/>
    <w:rsid w:val="001B68D2"/>
    <w:rsid w:val="001D313C"/>
    <w:rsid w:val="001D7E0F"/>
    <w:rsid w:val="001E3EE9"/>
    <w:rsid w:val="001E7447"/>
    <w:rsid w:val="001F38BD"/>
    <w:rsid w:val="001F7845"/>
    <w:rsid w:val="0020707F"/>
    <w:rsid w:val="00224199"/>
    <w:rsid w:val="00234DBA"/>
    <w:rsid w:val="00245D4B"/>
    <w:rsid w:val="00255E65"/>
    <w:rsid w:val="0028018C"/>
    <w:rsid w:val="0028294B"/>
    <w:rsid w:val="002A095F"/>
    <w:rsid w:val="002A1299"/>
    <w:rsid w:val="002A4236"/>
    <w:rsid w:val="002A7822"/>
    <w:rsid w:val="002B29F4"/>
    <w:rsid w:val="002B3703"/>
    <w:rsid w:val="002B3A25"/>
    <w:rsid w:val="002B4681"/>
    <w:rsid w:val="002C2CE0"/>
    <w:rsid w:val="002C4B6D"/>
    <w:rsid w:val="002C67A5"/>
    <w:rsid w:val="002F047D"/>
    <w:rsid w:val="00304A5D"/>
    <w:rsid w:val="00306A9E"/>
    <w:rsid w:val="00312A9A"/>
    <w:rsid w:val="00330CE6"/>
    <w:rsid w:val="0033273C"/>
    <w:rsid w:val="00332FF7"/>
    <w:rsid w:val="00337718"/>
    <w:rsid w:val="00341071"/>
    <w:rsid w:val="00352A11"/>
    <w:rsid w:val="00357300"/>
    <w:rsid w:val="00362F3A"/>
    <w:rsid w:val="00371A23"/>
    <w:rsid w:val="00373CED"/>
    <w:rsid w:val="00376773"/>
    <w:rsid w:val="0038094D"/>
    <w:rsid w:val="003A3C87"/>
    <w:rsid w:val="003A5B28"/>
    <w:rsid w:val="003B07AF"/>
    <w:rsid w:val="003B6189"/>
    <w:rsid w:val="003C6FEB"/>
    <w:rsid w:val="003D0AEB"/>
    <w:rsid w:val="003E1024"/>
    <w:rsid w:val="003E2100"/>
    <w:rsid w:val="003E6563"/>
    <w:rsid w:val="00404846"/>
    <w:rsid w:val="00405B7F"/>
    <w:rsid w:val="00421308"/>
    <w:rsid w:val="00422273"/>
    <w:rsid w:val="00425EBC"/>
    <w:rsid w:val="00427421"/>
    <w:rsid w:val="00432BF0"/>
    <w:rsid w:val="00435E9B"/>
    <w:rsid w:val="0044660F"/>
    <w:rsid w:val="00455667"/>
    <w:rsid w:val="004559BB"/>
    <w:rsid w:val="00455A30"/>
    <w:rsid w:val="00456530"/>
    <w:rsid w:val="0047189C"/>
    <w:rsid w:val="004841CE"/>
    <w:rsid w:val="004852B8"/>
    <w:rsid w:val="004911EC"/>
    <w:rsid w:val="0049534A"/>
    <w:rsid w:val="004A5A74"/>
    <w:rsid w:val="004A797D"/>
    <w:rsid w:val="004B2C9A"/>
    <w:rsid w:val="004B319B"/>
    <w:rsid w:val="004B5B58"/>
    <w:rsid w:val="004B6853"/>
    <w:rsid w:val="004C3009"/>
    <w:rsid w:val="004D5ADF"/>
    <w:rsid w:val="004E59E6"/>
    <w:rsid w:val="004E6C40"/>
    <w:rsid w:val="004F0728"/>
    <w:rsid w:val="005133E7"/>
    <w:rsid w:val="005169D5"/>
    <w:rsid w:val="005169EC"/>
    <w:rsid w:val="0052406E"/>
    <w:rsid w:val="005302B3"/>
    <w:rsid w:val="00534C64"/>
    <w:rsid w:val="0054289C"/>
    <w:rsid w:val="00554E67"/>
    <w:rsid w:val="005562C5"/>
    <w:rsid w:val="00557F9E"/>
    <w:rsid w:val="00560583"/>
    <w:rsid w:val="00564030"/>
    <w:rsid w:val="00565BD3"/>
    <w:rsid w:val="00584225"/>
    <w:rsid w:val="005A78AC"/>
    <w:rsid w:val="005B0709"/>
    <w:rsid w:val="005B23BF"/>
    <w:rsid w:val="005B2570"/>
    <w:rsid w:val="005C75D0"/>
    <w:rsid w:val="005D0588"/>
    <w:rsid w:val="005E0CC9"/>
    <w:rsid w:val="005E12FE"/>
    <w:rsid w:val="005E6873"/>
    <w:rsid w:val="005E730F"/>
    <w:rsid w:val="00605FE2"/>
    <w:rsid w:val="0060636C"/>
    <w:rsid w:val="00606D60"/>
    <w:rsid w:val="0061002A"/>
    <w:rsid w:val="006169C1"/>
    <w:rsid w:val="00617385"/>
    <w:rsid w:val="00631D67"/>
    <w:rsid w:val="00633BC1"/>
    <w:rsid w:val="00633C0D"/>
    <w:rsid w:val="00641073"/>
    <w:rsid w:val="00652658"/>
    <w:rsid w:val="00663389"/>
    <w:rsid w:val="00670B34"/>
    <w:rsid w:val="00687E80"/>
    <w:rsid w:val="00690EE7"/>
    <w:rsid w:val="006956BD"/>
    <w:rsid w:val="006A506F"/>
    <w:rsid w:val="006A6F61"/>
    <w:rsid w:val="006B00A6"/>
    <w:rsid w:val="006D24F7"/>
    <w:rsid w:val="006E242F"/>
    <w:rsid w:val="006E2615"/>
    <w:rsid w:val="006E6D47"/>
    <w:rsid w:val="00706D05"/>
    <w:rsid w:val="00711C9F"/>
    <w:rsid w:val="00712770"/>
    <w:rsid w:val="00735746"/>
    <w:rsid w:val="00736729"/>
    <w:rsid w:val="0074689C"/>
    <w:rsid w:val="007624C1"/>
    <w:rsid w:val="00764F36"/>
    <w:rsid w:val="0078065C"/>
    <w:rsid w:val="0078440E"/>
    <w:rsid w:val="007961E9"/>
    <w:rsid w:val="0079625E"/>
    <w:rsid w:val="007A0624"/>
    <w:rsid w:val="007B6CB6"/>
    <w:rsid w:val="007B7C57"/>
    <w:rsid w:val="007C089A"/>
    <w:rsid w:val="007C2334"/>
    <w:rsid w:val="007C65CB"/>
    <w:rsid w:val="007D025A"/>
    <w:rsid w:val="007D7AC6"/>
    <w:rsid w:val="007E3769"/>
    <w:rsid w:val="007F1A19"/>
    <w:rsid w:val="007F22A1"/>
    <w:rsid w:val="0080261B"/>
    <w:rsid w:val="00805F95"/>
    <w:rsid w:val="00810598"/>
    <w:rsid w:val="0081301A"/>
    <w:rsid w:val="00817B9A"/>
    <w:rsid w:val="00823C90"/>
    <w:rsid w:val="00827698"/>
    <w:rsid w:val="00865E11"/>
    <w:rsid w:val="00874502"/>
    <w:rsid w:val="00875067"/>
    <w:rsid w:val="00875A2F"/>
    <w:rsid w:val="00876B7E"/>
    <w:rsid w:val="00877B7B"/>
    <w:rsid w:val="00883DA9"/>
    <w:rsid w:val="008958F5"/>
    <w:rsid w:val="008D0E62"/>
    <w:rsid w:val="008E1852"/>
    <w:rsid w:val="008F0D02"/>
    <w:rsid w:val="009114D4"/>
    <w:rsid w:val="009127CB"/>
    <w:rsid w:val="00912C4B"/>
    <w:rsid w:val="00920A13"/>
    <w:rsid w:val="009222B5"/>
    <w:rsid w:val="0092622B"/>
    <w:rsid w:val="00926DA4"/>
    <w:rsid w:val="00931C81"/>
    <w:rsid w:val="0093408B"/>
    <w:rsid w:val="0094411E"/>
    <w:rsid w:val="00952041"/>
    <w:rsid w:val="00953606"/>
    <w:rsid w:val="009703EB"/>
    <w:rsid w:val="00977AB6"/>
    <w:rsid w:val="00985A64"/>
    <w:rsid w:val="009864FB"/>
    <w:rsid w:val="00994301"/>
    <w:rsid w:val="009A0293"/>
    <w:rsid w:val="009A206A"/>
    <w:rsid w:val="009A7E75"/>
    <w:rsid w:val="009B67CA"/>
    <w:rsid w:val="009C5552"/>
    <w:rsid w:val="009D0B2F"/>
    <w:rsid w:val="009D2A08"/>
    <w:rsid w:val="009D75CC"/>
    <w:rsid w:val="009F0387"/>
    <w:rsid w:val="009F7CF4"/>
    <w:rsid w:val="00A0738A"/>
    <w:rsid w:val="00A16AC5"/>
    <w:rsid w:val="00A266E0"/>
    <w:rsid w:val="00A41280"/>
    <w:rsid w:val="00A514C3"/>
    <w:rsid w:val="00A54A61"/>
    <w:rsid w:val="00A61BAD"/>
    <w:rsid w:val="00A6274F"/>
    <w:rsid w:val="00A6276F"/>
    <w:rsid w:val="00A649CA"/>
    <w:rsid w:val="00A72766"/>
    <w:rsid w:val="00A75A80"/>
    <w:rsid w:val="00A83781"/>
    <w:rsid w:val="00AB3A86"/>
    <w:rsid w:val="00AC004C"/>
    <w:rsid w:val="00AC028F"/>
    <w:rsid w:val="00AC666C"/>
    <w:rsid w:val="00AD08E2"/>
    <w:rsid w:val="00AD1823"/>
    <w:rsid w:val="00AD1911"/>
    <w:rsid w:val="00AD39E2"/>
    <w:rsid w:val="00AD5474"/>
    <w:rsid w:val="00AE0F43"/>
    <w:rsid w:val="00AE17D4"/>
    <w:rsid w:val="00AE79FA"/>
    <w:rsid w:val="00AF19EB"/>
    <w:rsid w:val="00AF1F6A"/>
    <w:rsid w:val="00AF2E12"/>
    <w:rsid w:val="00B032BD"/>
    <w:rsid w:val="00B33F1E"/>
    <w:rsid w:val="00B36C45"/>
    <w:rsid w:val="00B423F6"/>
    <w:rsid w:val="00B54AA3"/>
    <w:rsid w:val="00B5770D"/>
    <w:rsid w:val="00B67AF1"/>
    <w:rsid w:val="00BB11DC"/>
    <w:rsid w:val="00BB180C"/>
    <w:rsid w:val="00BC2519"/>
    <w:rsid w:val="00BC46BD"/>
    <w:rsid w:val="00BD0784"/>
    <w:rsid w:val="00BD784D"/>
    <w:rsid w:val="00BE6ED7"/>
    <w:rsid w:val="00BF0211"/>
    <w:rsid w:val="00C00AA2"/>
    <w:rsid w:val="00C07EE2"/>
    <w:rsid w:val="00C12F86"/>
    <w:rsid w:val="00C143E9"/>
    <w:rsid w:val="00C25D90"/>
    <w:rsid w:val="00C26624"/>
    <w:rsid w:val="00C328CE"/>
    <w:rsid w:val="00C3480E"/>
    <w:rsid w:val="00C35704"/>
    <w:rsid w:val="00C376DE"/>
    <w:rsid w:val="00C43DE5"/>
    <w:rsid w:val="00C46FE4"/>
    <w:rsid w:val="00C6304F"/>
    <w:rsid w:val="00C63A54"/>
    <w:rsid w:val="00C66C41"/>
    <w:rsid w:val="00C70D15"/>
    <w:rsid w:val="00C72B66"/>
    <w:rsid w:val="00C82E18"/>
    <w:rsid w:val="00C91C76"/>
    <w:rsid w:val="00CA1BFE"/>
    <w:rsid w:val="00CA7588"/>
    <w:rsid w:val="00CB442D"/>
    <w:rsid w:val="00CB7BC3"/>
    <w:rsid w:val="00CC051F"/>
    <w:rsid w:val="00CC0965"/>
    <w:rsid w:val="00CC11B2"/>
    <w:rsid w:val="00CD1E7B"/>
    <w:rsid w:val="00CD26CD"/>
    <w:rsid w:val="00CD38D7"/>
    <w:rsid w:val="00CD4195"/>
    <w:rsid w:val="00CE12E1"/>
    <w:rsid w:val="00CE1ED1"/>
    <w:rsid w:val="00CE6713"/>
    <w:rsid w:val="00CE78C4"/>
    <w:rsid w:val="00CE79E4"/>
    <w:rsid w:val="00CF4073"/>
    <w:rsid w:val="00D10A97"/>
    <w:rsid w:val="00D16C88"/>
    <w:rsid w:val="00D25AD2"/>
    <w:rsid w:val="00D36D9C"/>
    <w:rsid w:val="00D425CB"/>
    <w:rsid w:val="00D47460"/>
    <w:rsid w:val="00D54493"/>
    <w:rsid w:val="00D604DA"/>
    <w:rsid w:val="00D677D6"/>
    <w:rsid w:val="00D72316"/>
    <w:rsid w:val="00D728B2"/>
    <w:rsid w:val="00D74C64"/>
    <w:rsid w:val="00D9006E"/>
    <w:rsid w:val="00D90CD1"/>
    <w:rsid w:val="00DA5E8A"/>
    <w:rsid w:val="00DC4D6A"/>
    <w:rsid w:val="00DD2790"/>
    <w:rsid w:val="00DD76C2"/>
    <w:rsid w:val="00DE3020"/>
    <w:rsid w:val="00DE33F1"/>
    <w:rsid w:val="00DF2846"/>
    <w:rsid w:val="00E0651A"/>
    <w:rsid w:val="00E3120E"/>
    <w:rsid w:val="00E3328B"/>
    <w:rsid w:val="00E54AFF"/>
    <w:rsid w:val="00E664AD"/>
    <w:rsid w:val="00E8269A"/>
    <w:rsid w:val="00E869F7"/>
    <w:rsid w:val="00E94A63"/>
    <w:rsid w:val="00EB55BE"/>
    <w:rsid w:val="00ED2E4E"/>
    <w:rsid w:val="00F07334"/>
    <w:rsid w:val="00F14BCC"/>
    <w:rsid w:val="00F14C17"/>
    <w:rsid w:val="00F174CF"/>
    <w:rsid w:val="00F23DA3"/>
    <w:rsid w:val="00F307C0"/>
    <w:rsid w:val="00F6391B"/>
    <w:rsid w:val="00F84225"/>
    <w:rsid w:val="00F869E4"/>
    <w:rsid w:val="00F9192E"/>
    <w:rsid w:val="00F92E32"/>
    <w:rsid w:val="00F94AD9"/>
    <w:rsid w:val="00FD2952"/>
    <w:rsid w:val="00FE01A7"/>
    <w:rsid w:val="00FE5073"/>
    <w:rsid w:val="00FE7566"/>
    <w:rsid w:val="00FF227A"/>
    <w:rsid w:val="00FF4D48"/>
    <w:rsid w:val="00FF5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90338"/>
  <w15:chartTrackingRefBased/>
  <w15:docId w15:val="{FB193EDC-B6C6-4FC3-B6C8-5BD5160B8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A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A1BFE"/>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534C64"/>
    <w:pPr>
      <w:tabs>
        <w:tab w:val="left" w:pos="264"/>
      </w:tabs>
      <w:spacing w:after="240" w:line="240" w:lineRule="auto"/>
      <w:ind w:left="264" w:hanging="264"/>
    </w:pPr>
  </w:style>
  <w:style w:type="paragraph" w:styleId="Title">
    <w:name w:val="Title"/>
    <w:basedOn w:val="Normal"/>
    <w:next w:val="Normal"/>
    <w:link w:val="TitleChar"/>
    <w:uiPriority w:val="10"/>
    <w:qFormat/>
    <w:rsid w:val="00920A1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A1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20A13"/>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F84225"/>
    <w:rPr>
      <w:sz w:val="16"/>
      <w:szCs w:val="16"/>
    </w:rPr>
  </w:style>
  <w:style w:type="paragraph" w:styleId="CommentText">
    <w:name w:val="annotation text"/>
    <w:basedOn w:val="Normal"/>
    <w:link w:val="CommentTextChar"/>
    <w:uiPriority w:val="99"/>
    <w:unhideWhenUsed/>
    <w:rsid w:val="00F84225"/>
    <w:pPr>
      <w:spacing w:line="240" w:lineRule="auto"/>
      <w:jc w:val="both"/>
    </w:pPr>
    <w:rPr>
      <w:sz w:val="20"/>
      <w:szCs w:val="20"/>
    </w:rPr>
  </w:style>
  <w:style w:type="character" w:customStyle="1" w:styleId="CommentTextChar">
    <w:name w:val="Comment Text Char"/>
    <w:basedOn w:val="DefaultParagraphFont"/>
    <w:link w:val="CommentText"/>
    <w:uiPriority w:val="99"/>
    <w:rsid w:val="00F84225"/>
    <w:rPr>
      <w:sz w:val="20"/>
      <w:szCs w:val="20"/>
      <w:lang w:val="ru-RU"/>
    </w:rPr>
  </w:style>
  <w:style w:type="paragraph" w:styleId="CommentSubject">
    <w:name w:val="annotation subject"/>
    <w:basedOn w:val="CommentText"/>
    <w:next w:val="CommentText"/>
    <w:link w:val="CommentSubjectChar"/>
    <w:uiPriority w:val="99"/>
    <w:semiHidden/>
    <w:unhideWhenUsed/>
    <w:rsid w:val="007D025A"/>
    <w:pPr>
      <w:jc w:val="left"/>
    </w:pPr>
    <w:rPr>
      <w:b/>
      <w:bCs/>
    </w:rPr>
  </w:style>
  <w:style w:type="character" w:customStyle="1" w:styleId="CommentSubjectChar">
    <w:name w:val="Comment Subject Char"/>
    <w:basedOn w:val="CommentTextChar"/>
    <w:link w:val="CommentSubject"/>
    <w:uiPriority w:val="99"/>
    <w:semiHidden/>
    <w:rsid w:val="007D025A"/>
    <w:rPr>
      <w:b/>
      <w:bCs/>
      <w:sz w:val="20"/>
      <w:szCs w:val="20"/>
      <w:lang w:val="ru-RU"/>
    </w:rPr>
  </w:style>
  <w:style w:type="paragraph" w:styleId="Revision">
    <w:name w:val="Revision"/>
    <w:hidden/>
    <w:uiPriority w:val="99"/>
    <w:semiHidden/>
    <w:rsid w:val="00CD38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66F69-B8E6-451B-B441-3D485E595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4527</Words>
  <Characters>25808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Zubkov Mikhail</dc:creator>
  <cp:keywords/>
  <dc:description/>
  <cp:lastModifiedBy>Zubkov Mikhail</cp:lastModifiedBy>
  <cp:revision>2</cp:revision>
  <dcterms:created xsi:type="dcterms:W3CDTF">2026-06-05T08:57:00Z</dcterms:created>
  <dcterms:modified xsi:type="dcterms:W3CDTF">2026-06-05T08:57:00Z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id="aMNHuOgD"/&gt;&lt;style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