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E1A929" w14:textId="104A9FB3" w:rsidR="00ED5A28" w:rsidRPr="00B735D1" w:rsidRDefault="0053743B" w:rsidP="00B735D1">
      <w:pPr>
        <w:ind w:left="397" w:firstLine="0"/>
        <w:rPr>
          <w:sz w:val="28"/>
          <w:szCs w:val="28"/>
        </w:rPr>
      </w:pPr>
      <w:r>
        <w:rPr>
          <w:sz w:val="28"/>
          <w:szCs w:val="28"/>
          <w:u w:val="single"/>
        </w:rPr>
        <w:t>À propos de</w:t>
      </w:r>
      <w:r w:rsidRPr="0053743B">
        <w:rPr>
          <w:sz w:val="28"/>
          <w:szCs w:val="28"/>
        </w:rPr>
        <w:t xml:space="preserve"> : </w:t>
      </w:r>
      <w:r w:rsidR="00B735D1" w:rsidRPr="00B735D1">
        <w:rPr>
          <w:sz w:val="28"/>
          <w:szCs w:val="28"/>
        </w:rPr>
        <w:t xml:space="preserve">Frédéric </w:t>
      </w:r>
      <w:r w:rsidR="00B735D1" w:rsidRPr="00B735D1">
        <w:rPr>
          <w:smallCaps/>
          <w:sz w:val="28"/>
          <w:szCs w:val="28"/>
        </w:rPr>
        <w:t>Lordon</w:t>
      </w:r>
      <w:r w:rsidR="00B735D1" w:rsidRPr="00B735D1">
        <w:rPr>
          <w:sz w:val="28"/>
          <w:szCs w:val="28"/>
        </w:rPr>
        <w:t xml:space="preserve"> &amp; Sandra </w:t>
      </w:r>
      <w:r w:rsidR="00B735D1" w:rsidRPr="00B735D1">
        <w:rPr>
          <w:smallCaps/>
          <w:sz w:val="28"/>
          <w:szCs w:val="28"/>
        </w:rPr>
        <w:t>Lucbert</w:t>
      </w:r>
      <w:r w:rsidR="00B735D1" w:rsidRPr="00B735D1">
        <w:rPr>
          <w:sz w:val="28"/>
          <w:szCs w:val="28"/>
        </w:rPr>
        <w:t xml:space="preserve">, </w:t>
      </w:r>
      <w:r w:rsidR="00B735D1" w:rsidRPr="00B735D1">
        <w:rPr>
          <w:i/>
          <w:iCs/>
          <w:sz w:val="28"/>
          <w:szCs w:val="28"/>
        </w:rPr>
        <w:t>Pulsion. Capitalisme, fascisme et</w:t>
      </w:r>
      <w:r w:rsidR="00821DFC">
        <w:rPr>
          <w:i/>
          <w:iCs/>
          <w:sz w:val="28"/>
          <w:szCs w:val="28"/>
        </w:rPr>
        <w:t xml:space="preserve"> </w:t>
      </w:r>
      <w:r w:rsidR="00B735D1" w:rsidRPr="00B735D1">
        <w:rPr>
          <w:i/>
          <w:iCs/>
          <w:sz w:val="28"/>
          <w:szCs w:val="28"/>
        </w:rPr>
        <w:t>pulsionnalité 1</w:t>
      </w:r>
      <w:r w:rsidR="00B735D1" w:rsidRPr="00B735D1">
        <w:rPr>
          <w:sz w:val="28"/>
          <w:szCs w:val="28"/>
        </w:rPr>
        <w:t>, Paris, La Découverte, 2025, 608 pages.</w:t>
      </w:r>
    </w:p>
    <w:p w14:paraId="49BECD71" w14:textId="77777777" w:rsidR="00B735D1" w:rsidRDefault="00B735D1" w:rsidP="00B735D1">
      <w:pPr>
        <w:ind w:left="397" w:firstLine="0"/>
      </w:pPr>
    </w:p>
    <w:p w14:paraId="17C47A68" w14:textId="4E740350" w:rsidR="00B735D1" w:rsidRDefault="00B735D1" w:rsidP="00821DFC">
      <w:pPr>
        <w:ind w:left="720" w:firstLine="720"/>
      </w:pPr>
      <w:r>
        <w:t xml:space="preserve">Arnaud </w:t>
      </w:r>
      <w:r w:rsidRPr="00B735D1">
        <w:rPr>
          <w:smallCaps/>
        </w:rPr>
        <w:t>Massin</w:t>
      </w:r>
      <w:r>
        <w:t xml:space="preserve"> (Doctorant à l’Université de Liège)</w:t>
      </w:r>
    </w:p>
    <w:p w14:paraId="24A73D56" w14:textId="77777777" w:rsidR="00B97DBC" w:rsidRDefault="00B97DBC" w:rsidP="00821DFC">
      <w:pPr>
        <w:ind w:left="720" w:firstLine="720"/>
      </w:pPr>
    </w:p>
    <w:p w14:paraId="5893B74A" w14:textId="77777777" w:rsidR="00B97DBC" w:rsidRDefault="00B97DBC" w:rsidP="00821DFC">
      <w:pPr>
        <w:ind w:left="720" w:firstLine="720"/>
      </w:pPr>
    </w:p>
    <w:p w14:paraId="73753393" w14:textId="77777777" w:rsidR="00B735D1" w:rsidRDefault="00B735D1" w:rsidP="00B735D1">
      <w:pPr>
        <w:ind w:left="1837" w:firstLine="323"/>
      </w:pPr>
    </w:p>
    <w:p w14:paraId="6157C74D" w14:textId="7152514D" w:rsidR="00B735D1" w:rsidRDefault="00B735D1" w:rsidP="00B735D1">
      <w:r>
        <w:t>Il paraît plutôt difficile de rendre compte en détail du dernier livre de Frédéric Lordon et Sandra Lucbert</w:t>
      </w:r>
      <w:r w:rsidR="009C17EE">
        <w:t xml:space="preserve">, </w:t>
      </w:r>
      <w:r w:rsidR="00CC47B9">
        <w:t xml:space="preserve">notamment </w:t>
      </w:r>
      <w:r w:rsidR="00384BCC">
        <w:t>à cause de</w:t>
      </w:r>
      <w:r w:rsidR="00CC47B9">
        <w:t xml:space="preserve"> sa taille, </w:t>
      </w:r>
      <w:r w:rsidR="00384BCC">
        <w:t xml:space="preserve">de </w:t>
      </w:r>
      <w:r w:rsidR="00CC47B9">
        <w:t>son ampleur</w:t>
      </w:r>
      <w:r w:rsidR="009C17EE">
        <w:t xml:space="preserve"> et</w:t>
      </w:r>
      <w:r w:rsidR="00CC47B9">
        <w:t xml:space="preserve"> </w:t>
      </w:r>
      <w:r w:rsidR="00384BCC">
        <w:t xml:space="preserve">de </w:t>
      </w:r>
      <w:r w:rsidR="00CC47B9">
        <w:t>ses ambitions</w:t>
      </w:r>
      <w:r>
        <w:t xml:space="preserve">. Je voudrais </w:t>
      </w:r>
      <w:r w:rsidR="00CC47B9">
        <w:t>dès lors</w:t>
      </w:r>
      <w:r>
        <w:t xml:space="preserve"> concentrer mon propos sur les principales propositions conceptuelles de l’ouvrage</w:t>
      </w:r>
      <w:r w:rsidR="00D934ED">
        <w:t xml:space="preserve"> (s</w:t>
      </w:r>
      <w:r>
        <w:t>a visée – sans doute un peu folle</w:t>
      </w:r>
      <w:r w:rsidR="00CC47B9">
        <w:t>, mais aussi déconcertante</w:t>
      </w:r>
      <w:r w:rsidR="00D934ED">
        <w:t xml:space="preserve"> – est en effet de</w:t>
      </w:r>
      <w:r>
        <w:t xml:space="preserve"> refonder théoriquement la psychanalyse)</w:t>
      </w:r>
      <w:r w:rsidR="00CC47B9">
        <w:t>, sur certaines de ses conséquences politiques</w:t>
      </w:r>
      <w:r>
        <w:t xml:space="preserve"> et sur son sujet central</w:t>
      </w:r>
      <w:r w:rsidR="00CC47B9">
        <w:t>,</w:t>
      </w:r>
      <w:r>
        <w:t xml:space="preserve"> le « néo-fascisme »</w:t>
      </w:r>
      <w:r w:rsidR="00CC47B9">
        <w:t>, même s’il faut dire déjà qu’un second tome est annoncé qui creusera plus nettement ce dernier sujet</w:t>
      </w:r>
      <w:r w:rsidR="00B97DBC">
        <w:t xml:space="preserve"> (le parallèle est évident avec le mouvement opéré par Gilles Deleuze et Félix Guattari entre </w:t>
      </w:r>
      <w:r w:rsidR="00B97DBC" w:rsidRPr="005B72D0">
        <w:rPr>
          <w:i/>
          <w:iCs/>
        </w:rPr>
        <w:t>L’Anti</w:t>
      </w:r>
      <w:r w:rsidR="00D92479">
        <w:rPr>
          <w:i/>
          <w:iCs/>
        </w:rPr>
        <w:noBreakHyphen/>
      </w:r>
      <w:r w:rsidR="00B97DBC" w:rsidRPr="005B72D0">
        <w:rPr>
          <w:i/>
          <w:iCs/>
        </w:rPr>
        <w:t>Œdipe</w:t>
      </w:r>
      <w:r w:rsidR="00B97DBC">
        <w:t xml:space="preserve"> et </w:t>
      </w:r>
      <w:r w:rsidR="00B97DBC" w:rsidRPr="005B72D0">
        <w:rPr>
          <w:i/>
          <w:iCs/>
        </w:rPr>
        <w:t>Mille Plateaux</w:t>
      </w:r>
      <w:r w:rsidR="00B97DBC">
        <w:t>)</w:t>
      </w:r>
      <w:r w:rsidR="00CC47B9">
        <w:t>. Il me semble en effet que privilégier l’un ou l’autre pôle, séparément </w:t>
      </w:r>
      <w:r w:rsidR="00CC47B9">
        <w:rPr>
          <w:rStyle w:val="Appelnotedebasdep"/>
        </w:rPr>
        <w:footnoteReference w:id="1"/>
      </w:r>
      <w:r w:rsidR="00CC47B9">
        <w:t>, ne permet pas de saisir leur articulation et oblitère</w:t>
      </w:r>
      <w:r w:rsidR="005655E5">
        <w:t xml:space="preserve"> l’</w:t>
      </w:r>
      <w:r w:rsidR="00CC47B9">
        <w:t>importance très actuelle</w:t>
      </w:r>
      <w:r w:rsidR="005655E5">
        <w:t xml:space="preserve"> du livre</w:t>
      </w:r>
      <w:r w:rsidR="00CC47B9">
        <w:t>.</w:t>
      </w:r>
    </w:p>
    <w:p w14:paraId="321A6417" w14:textId="75F9E854" w:rsidR="00CC47B9" w:rsidRDefault="00CC47B9" w:rsidP="00B735D1">
      <w:r>
        <w:t xml:space="preserve">Depuis 2018 au moins (et la publication de </w:t>
      </w:r>
      <w:r w:rsidRPr="00CC47B9">
        <w:rPr>
          <w:i/>
          <w:iCs/>
        </w:rPr>
        <w:t>La condition anarchique</w:t>
      </w:r>
      <w:r>
        <w:t xml:space="preserve"> de Frédéric Lordon)</w:t>
      </w:r>
      <w:r w:rsidR="00C83392">
        <w:t xml:space="preserve">, les mentions et influences </w:t>
      </w:r>
      <w:r w:rsidR="00FF248E">
        <w:t>réciproques</w:t>
      </w:r>
      <w:r w:rsidR="00C83392">
        <w:t xml:space="preserve"> de Lordon </w:t>
      </w:r>
      <w:r w:rsidR="00FF248E">
        <w:t>et</w:t>
      </w:r>
      <w:r w:rsidR="00C83392">
        <w:t xml:space="preserve"> Lucbert ont été assez nombreuses</w:t>
      </w:r>
      <w:r w:rsidR="00D62FC4">
        <w:t> </w:t>
      </w:r>
      <w:r w:rsidR="00922C3B">
        <w:rPr>
          <w:rStyle w:val="Appelnotedebasdep"/>
        </w:rPr>
        <w:footnoteReference w:id="2"/>
      </w:r>
      <w:r w:rsidR="00C83392">
        <w:t xml:space="preserve">. Celle d’un travail commun en cours sur la psychanalyse et sa fusion dans le spinozisme trouve ici sa concrétisation littéraire. </w:t>
      </w:r>
      <w:r w:rsidR="0053743B">
        <w:t>L</w:t>
      </w:r>
      <w:r w:rsidR="00C83392">
        <w:t>eur ouvrage trouve sa place</w:t>
      </w:r>
      <w:r w:rsidR="0053743B">
        <w:t xml:space="preserve">, selon </w:t>
      </w:r>
      <w:r w:rsidR="005F024D">
        <w:t>les auteurs</w:t>
      </w:r>
      <w:r w:rsidR="0053743B">
        <w:t>,</w:t>
      </w:r>
      <w:r w:rsidR="00C83392">
        <w:t xml:space="preserve"> dans un contexte qui voit la psychanalyse redevenir critique en se ressaisissant du « social-historique</w:t>
      </w:r>
      <w:r w:rsidR="00EE0176">
        <w:t> » </w:t>
      </w:r>
      <w:r w:rsidR="00FF248E">
        <w:t> </w:t>
      </w:r>
      <w:r w:rsidR="00FF248E">
        <w:rPr>
          <w:rStyle w:val="Appelnotedebasdep"/>
        </w:rPr>
        <w:footnoteReference w:id="3"/>
      </w:r>
      <w:r w:rsidR="00C83392">
        <w:t xml:space="preserve">. Leur position est donc assez claire et nettement opposée à la psychanalyse dogmatique, hermétique, patriarcale, </w:t>
      </w:r>
      <w:r w:rsidR="00C83392" w:rsidRPr="00C83392">
        <w:rPr>
          <w:i/>
          <w:iCs/>
        </w:rPr>
        <w:t>péniocentrée</w:t>
      </w:r>
      <w:r w:rsidR="00C83392">
        <w:t xml:space="preserve"> et finalement auxiliaire des forces de l’ordre symbolique (de Freud à Lacan, en passant par leurs épigones – ce qui sonne péjorativement dans leur bouche). Leur constat</w:t>
      </w:r>
      <w:r w:rsidR="009C17EE">
        <w:t xml:space="preserve"> et leur raisonnement</w:t>
      </w:r>
      <w:r w:rsidR="00C83392">
        <w:t xml:space="preserve"> est assez simple, qui résume leur </w:t>
      </w:r>
      <w:r w:rsidR="00C83392">
        <w:lastRenderedPageBreak/>
        <w:t>mouvement</w:t>
      </w:r>
      <w:r w:rsidR="00FF248E">
        <w:t xml:space="preserve"> : le Capitalisme nous tient par la </w:t>
      </w:r>
      <w:r w:rsidR="00FF248E" w:rsidRPr="004662F7">
        <w:t>Pulsion</w:t>
      </w:r>
      <w:r w:rsidR="004662F7">
        <w:rPr>
          <w:i/>
          <w:iCs/>
        </w:rPr>
        <w:t> </w:t>
      </w:r>
      <w:r w:rsidR="004662F7">
        <w:t xml:space="preserve">; or qui dit « pulsion » dit « psychanalyse » car elle seule nous permet de saisir les faits humains par le plus enseveli ; donc, pour comprendre cette capture et ces liens, </w:t>
      </w:r>
      <w:r w:rsidR="00EE0176">
        <w:t>il est nécessaire d’</w:t>
      </w:r>
      <w:r w:rsidR="004662F7">
        <w:t xml:space="preserve">en revenir à l’inconscient en l’additionnant aux conditions concrètes d’existence (le fameux </w:t>
      </w:r>
      <w:r w:rsidR="00384BCC">
        <w:t>« </w:t>
      </w:r>
      <w:r w:rsidR="004662F7">
        <w:t>social-historique</w:t>
      </w:r>
      <w:r w:rsidR="00384BCC">
        <w:t> »</w:t>
      </w:r>
      <w:r w:rsidR="004662F7">
        <w:t>).</w:t>
      </w:r>
      <w:r w:rsidR="00384BCC">
        <w:t xml:space="preserve"> En somme, c’est une « psychanalyse matérialiste » qu’ils annoncent. Disons-le tout de suite, c’est cette annonce qui est relativement déçue : le livre n’a pas créé les remous escomptés d’abord et avant tout, me semble-t-il, parce que le versant </w:t>
      </w:r>
      <w:r w:rsidR="00D62FC4">
        <w:t>« </w:t>
      </w:r>
      <w:r w:rsidR="00384BCC">
        <w:t>matérialiste</w:t>
      </w:r>
      <w:r w:rsidR="00D62FC4">
        <w:t> »</w:t>
      </w:r>
      <w:r w:rsidR="00156F98">
        <w:t xml:space="preserve"> (en réalité : marxiste)</w:t>
      </w:r>
      <w:r w:rsidR="00384BCC">
        <w:t xml:space="preserve"> est peu présent (c’est un peu trop « Lacan</w:t>
      </w:r>
      <w:r w:rsidR="00345A3E">
        <w:t> </w:t>
      </w:r>
      <w:r w:rsidR="00345A3E" w:rsidRPr="00345A3E">
        <w:rPr>
          <w:vertAlign w:val="superscript"/>
        </w:rPr>
        <w:footnoteReference w:id="4"/>
      </w:r>
      <w:r w:rsidR="00384BCC">
        <w:t xml:space="preserve"> et Spinoza »</w:t>
      </w:r>
      <w:r w:rsidR="00EE0176">
        <w:t>, pour reprendre le sous-titre d’un livre précédent de Lordon</w:t>
      </w:r>
      <w:r w:rsidR="00384BCC">
        <w:t>).</w:t>
      </w:r>
    </w:p>
    <w:p w14:paraId="0CCB4591" w14:textId="54A0F0FC" w:rsidR="00C10F6E" w:rsidRPr="00C10F6E" w:rsidRDefault="00B0628C" w:rsidP="00C10F6E">
      <w:pPr>
        <w:rPr>
          <w:iCs/>
        </w:rPr>
      </w:pPr>
      <w:r>
        <w:t xml:space="preserve">Leur perspective est cependant </w:t>
      </w:r>
      <w:r w:rsidRPr="00B0628C">
        <w:rPr>
          <w:i/>
          <w:iCs/>
        </w:rPr>
        <w:t>génétique</w:t>
      </w:r>
      <w:r>
        <w:t xml:space="preserve"> (plutôt que </w:t>
      </w:r>
      <w:r w:rsidRPr="00B0628C">
        <w:rPr>
          <w:i/>
          <w:iCs/>
        </w:rPr>
        <w:t>pentecôtiste</w:t>
      </w:r>
      <w:r w:rsidR="005655E5" w:rsidRPr="005655E5">
        <w:t xml:space="preserve">, </w:t>
      </w:r>
      <w:r w:rsidR="005655E5">
        <w:t>c’est-à-dire tombant du ciel</w:t>
      </w:r>
      <w:r>
        <w:t xml:space="preserve">) : les psychés sont construites dans et par les rapports sociaux, elles ont des configurations logiques en rapport avec le monde social et c’est cette logique qui </w:t>
      </w:r>
      <w:r w:rsidR="007B6DCC">
        <w:t xml:space="preserve">peut et </w:t>
      </w:r>
      <w:r>
        <w:t xml:space="preserve">doit être exposée. Ils postulent un mode humain </w:t>
      </w:r>
      <w:r w:rsidRPr="00EE0176">
        <w:rPr>
          <w:i/>
          <w:iCs/>
        </w:rPr>
        <w:t>tout nu</w:t>
      </w:r>
      <w:r>
        <w:t>, dépourvu d’instincts, « fini-pas fini » disent-ils, qui n’a pas d’autre choix que de s’articuler aux Autres (et</w:t>
      </w:r>
      <w:r w:rsidR="005F024D">
        <w:t>,</w:t>
      </w:r>
      <w:r>
        <w:t xml:space="preserve"> par eux</w:t>
      </w:r>
      <w:r w:rsidR="005F024D">
        <w:t>,</w:t>
      </w:r>
      <w:r>
        <w:t> voir déferler toute la société) pour exister et consister. Cette psychogenèse du mode humain en général</w:t>
      </w:r>
      <w:r w:rsidR="007B6DCC">
        <w:t xml:space="preserve"> sera l’objet d’un récit conceptue</w:t>
      </w:r>
      <w:r w:rsidR="00547108">
        <w:t xml:space="preserve">l, mettant un scène un personnage conceptuel (« Modus »). Le </w:t>
      </w:r>
      <w:r w:rsidR="00547108" w:rsidRPr="00547108">
        <w:rPr>
          <w:i/>
          <w:iCs/>
        </w:rPr>
        <w:t>pitch</w:t>
      </w:r>
      <w:r w:rsidR="00547108">
        <w:t xml:space="preserve"> de cette histoire banale : après une naissance catastrophique, de nombreuses rencontres, les réactions </w:t>
      </w:r>
      <w:r w:rsidR="00156F98">
        <w:t xml:space="preserve">affectives </w:t>
      </w:r>
      <w:r w:rsidR="00547108">
        <w:t xml:space="preserve">qui s’ensuivent et la constitution progressive d’un certain agencement biopsychique par </w:t>
      </w:r>
      <w:r w:rsidR="00547108" w:rsidRPr="005655E5">
        <w:rPr>
          <w:i/>
          <w:iCs/>
        </w:rPr>
        <w:t>plis</w:t>
      </w:r>
      <w:r w:rsidR="00547108">
        <w:t xml:space="preserve"> contractés de très bonne heure. </w:t>
      </w:r>
      <w:r w:rsidR="00C10F6E">
        <w:rPr>
          <w:iCs/>
        </w:rPr>
        <w:t>En effet,</w:t>
      </w:r>
      <w:r w:rsidR="00C10F6E" w:rsidRPr="005C7953">
        <w:rPr>
          <w:iCs/>
        </w:rPr>
        <w:t xml:space="preserve"> « [l]es premiers mouvements stratégiques vont laisser des traces. Qui vaudront pour la vie entière. La prime organisation pèsera considérablement sur toute l’organisation ultérieure » (</w:t>
      </w:r>
      <w:r w:rsidR="00C10F6E" w:rsidRPr="00C10F6E">
        <w:rPr>
          <w:i/>
        </w:rPr>
        <w:t>Pulsion</w:t>
      </w:r>
      <w:r w:rsidR="00C10F6E">
        <w:rPr>
          <w:iCs/>
        </w:rPr>
        <w:t xml:space="preserve">, p. </w:t>
      </w:r>
      <w:r w:rsidR="00C10F6E" w:rsidRPr="005C7953">
        <w:rPr>
          <w:iCs/>
        </w:rPr>
        <w:t xml:space="preserve">77). </w:t>
      </w:r>
      <w:r w:rsidR="00C10F6E">
        <w:rPr>
          <w:iCs/>
        </w:rPr>
        <w:t>Ce qui pose d’ailleurs la question</w:t>
      </w:r>
      <w:r w:rsidR="007B3DD2">
        <w:rPr>
          <w:iCs/>
        </w:rPr>
        <w:t xml:space="preserve"> (j’y reviendrai)</w:t>
      </w:r>
      <w:r w:rsidR="00C10F6E">
        <w:rPr>
          <w:iCs/>
        </w:rPr>
        <w:t xml:space="preserve"> de savoir si u</w:t>
      </w:r>
      <w:r w:rsidR="00C10F6E" w:rsidRPr="005C7953">
        <w:rPr>
          <w:iCs/>
        </w:rPr>
        <w:t>n large mouvement de désaffections est dès lors sérieusement envisageable</w:t>
      </w:r>
      <w:r w:rsidR="009C17EE">
        <w:rPr>
          <w:iCs/>
        </w:rPr>
        <w:t> : l</w:t>
      </w:r>
      <w:r w:rsidR="00C10F6E" w:rsidRPr="005C7953">
        <w:rPr>
          <w:iCs/>
        </w:rPr>
        <w:t>e capitalisme étant le plus énorme déploiement d’affect</w:t>
      </w:r>
      <w:r w:rsidR="00B20210">
        <w:rPr>
          <w:iCs/>
        </w:rPr>
        <w:t>(</w:t>
      </w:r>
      <w:r w:rsidR="00C10F6E" w:rsidRPr="005C7953">
        <w:rPr>
          <w:iCs/>
        </w:rPr>
        <w:t>ion</w:t>
      </w:r>
      <w:r w:rsidR="00B20210">
        <w:rPr>
          <w:iCs/>
        </w:rPr>
        <w:t>)</w:t>
      </w:r>
      <w:r w:rsidR="00C10F6E" w:rsidRPr="005C7953">
        <w:rPr>
          <w:iCs/>
        </w:rPr>
        <w:t xml:space="preserve">s de tous les temps, la puissance d’auto-consolidation de l’affect commun dominant n’est-elle pas totale (ou en passe </w:t>
      </w:r>
      <w:r w:rsidR="005655E5">
        <w:rPr>
          <w:iCs/>
        </w:rPr>
        <w:t>de le devenir</w:t>
      </w:r>
      <w:r w:rsidR="00C10F6E" w:rsidRPr="005C7953">
        <w:rPr>
          <w:iCs/>
        </w:rPr>
        <w:t>) ? L’imaginaire de la consommation, c’est-à-dire celui du « miroitement de la marchandise et la poussée du désir acquisitif </w:t>
      </w:r>
      <w:r w:rsidR="00D62FC4">
        <w:rPr>
          <w:iCs/>
        </w:rPr>
        <w:t> </w:t>
      </w:r>
      <w:r w:rsidR="009C17EE">
        <w:rPr>
          <w:rStyle w:val="Appelnotedebasdep"/>
          <w:iCs/>
        </w:rPr>
        <w:footnoteReference w:id="5"/>
      </w:r>
      <w:r w:rsidR="00C10F6E" w:rsidRPr="005C7953">
        <w:rPr>
          <w:iCs/>
        </w:rPr>
        <w:t xml:space="preserve"> », contribution historique à la légitimation et à la stabilisation politique du capitalisme depuis les années 60, est-il vraiment </w:t>
      </w:r>
      <w:r w:rsidR="00C10F6E" w:rsidRPr="005C7953">
        <w:rPr>
          <w:i/>
          <w:iCs/>
        </w:rPr>
        <w:t>battable</w:t>
      </w:r>
      <w:r w:rsidR="00C10F6E" w:rsidRPr="005C7953">
        <w:rPr>
          <w:iCs/>
        </w:rPr>
        <w:t> ?</w:t>
      </w:r>
      <w:r w:rsidR="007B3DD2">
        <w:rPr>
          <w:iCs/>
        </w:rPr>
        <w:t xml:space="preserve"> Et si oui, comment ?</w:t>
      </w:r>
    </w:p>
    <w:p w14:paraId="46EDC5C8" w14:textId="6D387B2E" w:rsidR="00B0628C" w:rsidRDefault="00B0628C" w:rsidP="00B735D1"/>
    <w:p w14:paraId="657C4F32" w14:textId="35575816" w:rsidR="00547108" w:rsidRDefault="007B3DD2" w:rsidP="00B735D1">
      <w:r>
        <w:lastRenderedPageBreak/>
        <w:t>En tout cas, et p</w:t>
      </w:r>
      <w:r w:rsidR="00547108">
        <w:t>uisque c’est leur ambition</w:t>
      </w:r>
      <w:r w:rsidR="00BA4BB5">
        <w:t xml:space="preserve"> affichée</w:t>
      </w:r>
      <w:r w:rsidR="00547108">
        <w:t xml:space="preserve"> (</w:t>
      </w:r>
      <w:r w:rsidR="00547108">
        <w:rPr>
          <w:i/>
          <w:iCs/>
        </w:rPr>
        <w:t>fixer</w:t>
      </w:r>
      <w:r w:rsidR="00547108" w:rsidRPr="00547108">
        <w:rPr>
          <w:i/>
          <w:iCs/>
        </w:rPr>
        <w:t xml:space="preserve"> des concepts</w:t>
      </w:r>
      <w:r w:rsidR="0026371B">
        <w:rPr>
          <w:i/>
          <w:iCs/>
        </w:rPr>
        <w:t> </w:t>
      </w:r>
      <w:r w:rsidR="0026371B" w:rsidRPr="0026371B">
        <w:rPr>
          <w:rStyle w:val="Appelnotedebasdep"/>
        </w:rPr>
        <w:footnoteReference w:id="6"/>
      </w:r>
      <w:r w:rsidR="00547108">
        <w:t>), il importe de présenter les autres personnages</w:t>
      </w:r>
      <w:r w:rsidR="00454341">
        <w:t xml:space="preserve"> principaux</w:t>
      </w:r>
      <w:r w:rsidR="00547108">
        <w:t xml:space="preserve"> de ce récit de l’incorporation psychique d’une société. Il y a le </w:t>
      </w:r>
      <w:r w:rsidR="00547108" w:rsidRPr="0026371B">
        <w:rPr>
          <w:i/>
          <w:iCs/>
        </w:rPr>
        <w:t>conatus</w:t>
      </w:r>
      <w:r w:rsidR="00547108">
        <w:t xml:space="preserve">, bien connu des spinozistes, </w:t>
      </w:r>
      <w:r w:rsidR="0026371B">
        <w:t xml:space="preserve">qui est le concept spéculatif d’un élan générique et sans objet a priori (un </w:t>
      </w:r>
      <w:r>
        <w:t xml:space="preserve">« pur » </w:t>
      </w:r>
      <w:r w:rsidR="0026371B">
        <w:t xml:space="preserve">flux, s’écoulant, devant s’écouler). Il y a le </w:t>
      </w:r>
      <w:r w:rsidR="0026371B" w:rsidRPr="0026371B">
        <w:rPr>
          <w:i/>
          <w:iCs/>
        </w:rPr>
        <w:t>Desiderium princeps</w:t>
      </w:r>
      <w:r w:rsidR="0026371B">
        <w:t>, c’est-à-dire la condition perdue par le mode fini humain à la naissance (qui est le passage horrifiant du plein et du continu à l’impuissance, à la détresse et à la dépendance), le regret de cette condition absente et la poursuite déterminée d’un objet indéterminé qui s’ensuit. Il y a l’</w:t>
      </w:r>
      <w:r w:rsidR="0026371B" w:rsidRPr="0026371B">
        <w:rPr>
          <w:i/>
          <w:iCs/>
        </w:rPr>
        <w:t>objet-0</w:t>
      </w:r>
      <w:r w:rsidR="0026371B">
        <w:t>, qui est cet objet</w:t>
      </w:r>
      <w:r w:rsidR="00CD507A">
        <w:t xml:space="preserve"> indéterminé (l</w:t>
      </w:r>
      <w:r w:rsidR="00EE0176">
        <w:t>’objet de la</w:t>
      </w:r>
      <w:r w:rsidR="00CD507A">
        <w:t xml:space="preserve"> « Quête »)</w:t>
      </w:r>
      <w:r w:rsidR="0026371B">
        <w:t xml:space="preserve">. Il y a la </w:t>
      </w:r>
      <w:r w:rsidR="0026371B" w:rsidRPr="00CD507A">
        <w:rPr>
          <w:i/>
          <w:iCs/>
        </w:rPr>
        <w:t>Pulsion</w:t>
      </w:r>
      <w:r w:rsidR="0026371B">
        <w:t>, qui est le nom de cette poursuite aveugle</w:t>
      </w:r>
      <w:r w:rsidR="00CE5D28">
        <w:t xml:space="preserve"> (mais qui n’est pas substantiellement sexuelle)</w:t>
      </w:r>
      <w:r w:rsidR="0026371B">
        <w:t xml:space="preserve">. Il y a les </w:t>
      </w:r>
      <w:r w:rsidR="0026371B" w:rsidRPr="0026371B">
        <w:rPr>
          <w:i/>
          <w:iCs/>
        </w:rPr>
        <w:t>désirs</w:t>
      </w:r>
      <w:r w:rsidR="0026371B">
        <w:t>, enfin, qui sont les</w:t>
      </w:r>
      <w:r w:rsidR="00EE0176">
        <w:t xml:space="preserve"> poursuites d’</w:t>
      </w:r>
      <w:r w:rsidR="0026371B">
        <w:t xml:space="preserve">objets déterminés tenant lieu de cette </w:t>
      </w:r>
      <w:r w:rsidR="0026371B" w:rsidRPr="007B3DD2">
        <w:rPr>
          <w:i/>
          <w:iCs/>
        </w:rPr>
        <w:t>Pulsion</w:t>
      </w:r>
      <w:r w:rsidR="0026371B">
        <w:t xml:space="preserve"> et de cet </w:t>
      </w:r>
      <w:r w:rsidR="0026371B" w:rsidRPr="007B3DD2">
        <w:rPr>
          <w:i/>
          <w:iCs/>
        </w:rPr>
        <w:t>objet-0</w:t>
      </w:r>
      <w:r w:rsidR="0026371B">
        <w:t>.</w:t>
      </w:r>
      <w:r w:rsidR="00CD507A">
        <w:t xml:space="preserve"> On le voit, du point de vue du narrateur omniscient, la condition humaine est bien misérable, qui consiste en des poursuites nécessairement vaines de compléments nécessairement « faux ». Cependant que le mode humain est persuadé de savoir ce qu’il veut, il est absolument aliéné : « Nul ne sait quoi désirer tant que du désirable ne lui a pas été indiqué de quelque manière » (</w:t>
      </w:r>
      <w:r w:rsidR="00CD507A" w:rsidRPr="00CD507A">
        <w:rPr>
          <w:i/>
          <w:iCs/>
        </w:rPr>
        <w:t>Pulsion</w:t>
      </w:r>
      <w:r w:rsidR="00CD507A">
        <w:t xml:space="preserve">, p. 39). De même, le désir est un résultat </w:t>
      </w:r>
      <w:r w:rsidR="00156F98">
        <w:t xml:space="preserve">plus ou moins </w:t>
      </w:r>
      <w:r w:rsidR="00CD507A">
        <w:t xml:space="preserve">hasardeux : rencontrant tel objet, le mode humain produit tel affect – à la fois </w:t>
      </w:r>
      <w:r w:rsidR="00CD507A" w:rsidRPr="00CD507A">
        <w:rPr>
          <w:i/>
          <w:iCs/>
        </w:rPr>
        <w:t>corporellement</w:t>
      </w:r>
      <w:r w:rsidR="00CD507A">
        <w:t xml:space="preserve"> et </w:t>
      </w:r>
      <w:r w:rsidR="00CD507A" w:rsidRPr="00CD507A">
        <w:rPr>
          <w:i/>
          <w:iCs/>
        </w:rPr>
        <w:t>spirituellement</w:t>
      </w:r>
      <w:r w:rsidR="00CD507A">
        <w:t xml:space="preserve"> – qui lui donnera envie ou pas d’y revenir</w:t>
      </w:r>
      <w:r w:rsidR="00E61A65">
        <w:t> ; il faut donc conjoindre la force propulsive générale et une affection particulière pour qu’il y ait « désir ».</w:t>
      </w:r>
    </w:p>
    <w:p w14:paraId="3D0373D6" w14:textId="6136B458" w:rsidR="003244F4" w:rsidRDefault="00E61A65" w:rsidP="007B3DD2">
      <w:r>
        <w:t xml:space="preserve">Le récit </w:t>
      </w:r>
      <w:r w:rsidR="00821DFC">
        <w:t xml:space="preserve">de la psychogenèse de Modus </w:t>
      </w:r>
      <w:r>
        <w:t xml:space="preserve">proposé par Lordon et Lucbert comprend cinq temps (les cinq temps de la </w:t>
      </w:r>
      <w:r w:rsidR="002A3207">
        <w:t>« </w:t>
      </w:r>
      <w:r>
        <w:t>rencontre disposante</w:t>
      </w:r>
      <w:r w:rsidR="002A3207">
        <w:t> »</w:t>
      </w:r>
      <w:r>
        <w:t>, qui s’étaleront sur plus de 200 pages). Ce n’est pas ici le lieu de les exposer</w:t>
      </w:r>
      <w:r w:rsidR="00821DFC">
        <w:t xml:space="preserve"> en détail, mais je voudrais tout de même en extraire quelques </w:t>
      </w:r>
      <w:r w:rsidR="007B3DD2">
        <w:t>moments</w:t>
      </w:r>
      <w:r w:rsidR="002A3207">
        <w:t xml:space="preserve"> </w:t>
      </w:r>
      <w:r w:rsidR="00821DFC">
        <w:t>intéressants</w:t>
      </w:r>
      <w:r w:rsidR="002A3207">
        <w:t xml:space="preserve">. Lordon et Lucbert insistent nettement sur l’importance absolument centrale de l’altérité dans la construction et </w:t>
      </w:r>
      <w:r w:rsidR="00EE0176">
        <w:t xml:space="preserve">la </w:t>
      </w:r>
      <w:r w:rsidR="002A3207">
        <w:t xml:space="preserve">prise de consistance de Modus. </w:t>
      </w:r>
      <w:r w:rsidR="000C3639">
        <w:t>D’abord par la constitution d’une poubelle conative (le « Dehors », qui est le « mal » et la « persécution nombreuse » de Modus). Ensuite</w:t>
      </w:r>
      <w:r w:rsidR="002A3207">
        <w:t xml:space="preserve"> par la présence de la </w:t>
      </w:r>
      <w:r w:rsidR="002A3207" w:rsidRPr="002A3207">
        <w:rPr>
          <w:i/>
          <w:iCs/>
        </w:rPr>
        <w:t>Chose-près-du-berceau</w:t>
      </w:r>
      <w:r w:rsidR="002A3207">
        <w:t>, qui entraîne une dépendance</w:t>
      </w:r>
      <w:r w:rsidR="000C3639">
        <w:t xml:space="preserve"> (et une soumission)</w:t>
      </w:r>
      <w:r w:rsidR="002A3207">
        <w:t xml:space="preserve"> totale et des relations ambiguës : la source de joie, quand elle vient à manquer, entraîne la frustration et la paranoïa mais crée également les conditions nécessaires aux fantasmes et à l’imagination de Modus (imaginer ce qui va plaire à cette </w:t>
      </w:r>
      <w:r w:rsidR="002A3207" w:rsidRPr="002A3207">
        <w:rPr>
          <w:i/>
          <w:iCs/>
        </w:rPr>
        <w:t>Grosse Chose</w:t>
      </w:r>
      <w:r w:rsidR="002A3207">
        <w:t xml:space="preserve">). Ce devoir-être en fonction de l’autre (qui est aussi un vouloir-plaire), Lordon et Lucbert l’appellent de manière </w:t>
      </w:r>
      <w:r w:rsidR="002A3207">
        <w:lastRenderedPageBreak/>
        <w:t>oxymorique le « servage souverain »</w:t>
      </w:r>
      <w:r w:rsidR="000C3639">
        <w:t>. Ce dernier est d’ailleurs voué à s’étendre, puisque c’est à la présence du corps social tout entier que Modus est en fait exposé : l’Autre hégémonique se réfractant dans et par tous les Autres, auquel on doit plaire, auquel on veut plaire</w:t>
      </w:r>
      <w:r w:rsidR="00717AAA">
        <w:t xml:space="preserve">. Enfin par l’émergence, l’identification et la constitution d’un réseau d’autres rivaux qui vont entraîner des mises à jour stratégiques : Modus trouvera d’autres substituts à ses premiers substituts (d’autres </w:t>
      </w:r>
      <w:r w:rsidR="00717AAA" w:rsidRPr="00717AAA">
        <w:rPr>
          <w:i/>
          <w:iCs/>
        </w:rPr>
        <w:t>désirs</w:t>
      </w:r>
      <w:r w:rsidR="00717AAA">
        <w:rPr>
          <w:i/>
          <w:iCs/>
        </w:rPr>
        <w:t xml:space="preserve"> </w:t>
      </w:r>
      <w:r w:rsidR="00717AAA" w:rsidRPr="00717AAA">
        <w:t xml:space="preserve">tiendront lieu de sa </w:t>
      </w:r>
      <w:r w:rsidR="00717AAA" w:rsidRPr="00717AAA">
        <w:rPr>
          <w:i/>
          <w:iCs/>
        </w:rPr>
        <w:t>Pulsion</w:t>
      </w:r>
      <w:r w:rsidR="00717AAA">
        <w:t>), qui l’éloigneront d’autant de son objet-0, cependant que les pliages précédents (divers et variés, mais aussi imprévisibles) orienteront désormais tous ses mouvements « conscients ».</w:t>
      </w:r>
      <w:r w:rsidR="00AD58DE">
        <w:t xml:space="preserve"> Un « individu » est ainsi fait de multiplicité organisée et est totalement exodéterminé (imitation, émulation, obéissance aux verdicts </w:t>
      </w:r>
      <w:r w:rsidR="00AD58DE" w:rsidRPr="00AD58DE">
        <w:rPr>
          <w:i/>
          <w:iCs/>
        </w:rPr>
        <w:t>sociaux</w:t>
      </w:r>
      <w:r w:rsidR="00AD58DE">
        <w:t xml:space="preserve"> de la désirabilité).</w:t>
      </w:r>
      <w:r w:rsidR="007B3DD2">
        <w:t xml:space="preserve"> </w:t>
      </w:r>
      <w:r w:rsidR="00717AAA">
        <w:t>Bien sûr, la force normalisatrice du monde social est très importante</w:t>
      </w:r>
      <w:r w:rsidR="003244F4">
        <w:t xml:space="preserve">, c’est ce que Lordon et Lucbert appellent les « ambiants », qui agissent et « orientent » par différents moyens : </w:t>
      </w:r>
    </w:p>
    <w:p w14:paraId="6039DE8E" w14:textId="4598B97B" w:rsidR="003244F4" w:rsidRDefault="003244F4" w:rsidP="00AD58DE">
      <w:pPr>
        <w:pStyle w:val="Citation"/>
      </w:pPr>
      <w:r>
        <w:t>Répétition sempiternelle d’énoncés, retour permanent d’images, apprentissage de gestes et de vêtures, exposition continuelle au regard des autres</w:t>
      </w:r>
      <w:r w:rsidR="00AD58DE">
        <w:t xml:space="preserve"> (individuels et institutionnels), à leurs critiques et à leurs satisfecit. Les ambiants ont un pouvoir démesuré de faire consister (</w:t>
      </w:r>
      <w:r w:rsidR="00AD58DE" w:rsidRPr="00AD58DE">
        <w:rPr>
          <w:i/>
          <w:iCs w:val="0"/>
        </w:rPr>
        <w:t>Pulsion</w:t>
      </w:r>
      <w:r w:rsidR="00AD58DE">
        <w:t>, p. 268).</w:t>
      </w:r>
    </w:p>
    <w:p w14:paraId="1DB9AABA" w14:textId="5BBBBEED" w:rsidR="00AD58DE" w:rsidRDefault="00AD58DE" w:rsidP="007B3DD2">
      <w:r>
        <w:t xml:space="preserve">Derrière cet « hétéromatisme affectif » se cache à mon avis le « fondement éthique » de leur échafaudage théorique, à savoir que la formation sociale actuelle exclut et dénie à un grand nombre de Modus </w:t>
      </w:r>
      <w:r w:rsidR="00933472">
        <w:t>toute</w:t>
      </w:r>
      <w:r>
        <w:t xml:space="preserve"> « singularité désirante », soit en lui donnant une orientation entièrement conforme à sa direction maîtresse (</w:t>
      </w:r>
      <w:r w:rsidR="008C233E">
        <w:t>la stratégie quantitative de l’entassement marchand</w:t>
      </w:r>
      <w:r>
        <w:t>)</w:t>
      </w:r>
      <w:r w:rsidR="00454341">
        <w:t>,</w:t>
      </w:r>
      <w:r>
        <w:t xml:space="preserve"> soit en lui</w:t>
      </w:r>
      <w:r w:rsidR="008C233E">
        <w:t xml:space="preserve"> refusant purement et simplement l’existence (aiguillon de la faim, travail forcé, crainte, peur, etc. – jusqu’à l’esclavage)</w:t>
      </w:r>
      <w:r w:rsidR="00EE25D7">
        <w:t xml:space="preserve">, soit </w:t>
      </w:r>
      <w:r w:rsidR="00454341">
        <w:t xml:space="preserve">encore </w:t>
      </w:r>
      <w:r w:rsidR="00EE25D7">
        <w:t>en écrasant majoritairement des positions dites « minoritaires » (de genre, notamment)</w:t>
      </w:r>
      <w:r w:rsidR="008C233E">
        <w:t>.</w:t>
      </w:r>
      <w:r w:rsidR="00EE25D7">
        <w:t xml:space="preserve"> D’où aussi certaines propositions politiques. Un but du livre non clairement exprimé comme tel – </w:t>
      </w:r>
      <w:r w:rsidR="00EE25D7" w:rsidRPr="00D5307D">
        <w:rPr>
          <w:i/>
          <w:iCs/>
        </w:rPr>
        <w:t>produire des effets dans les psychés</w:t>
      </w:r>
      <w:r w:rsidR="00EE25D7">
        <w:t xml:space="preserve"> – pourrait s’effectuer chemin faisant en repoussant un peu les limites de l’insu, et provoquer ainsi, éventuellement, un « remaniement »</w:t>
      </w:r>
      <w:r w:rsidR="005655E5">
        <w:t xml:space="preserve"> de la structure psychique</w:t>
      </w:r>
      <w:r w:rsidR="00EE25D7">
        <w:t xml:space="preserve">. </w:t>
      </w:r>
      <w:r w:rsidR="00FD7EDC">
        <w:t>C</w:t>
      </w:r>
      <w:r w:rsidR="00EE25D7">
        <w:t xml:space="preserve">elui-ci </w:t>
      </w:r>
      <w:r w:rsidR="00FD7EDC">
        <w:t>serait</w:t>
      </w:r>
      <w:r w:rsidR="00EE25D7">
        <w:t xml:space="preserve"> </w:t>
      </w:r>
      <w:r w:rsidR="007B3DD2" w:rsidRPr="007B3DD2">
        <w:t>possible également</w:t>
      </w:r>
      <w:r w:rsidR="00EE25D7">
        <w:t xml:space="preserve"> par ce fait que le dernier acte du positionnement fondamental de Modus peut voir apparaître une affection </w:t>
      </w:r>
      <w:r w:rsidR="00EE25D7" w:rsidRPr="006017D8">
        <w:rPr>
          <w:i/>
          <w:iCs/>
        </w:rPr>
        <w:t>réactivante</w:t>
      </w:r>
      <w:r w:rsidR="00EE25D7">
        <w:t>, « capable de réveiller une force qui avait été dominée dans la résultante initiale, le cas échéant jusqu’à inverser cette dernière » (</w:t>
      </w:r>
      <w:r w:rsidR="00042BA0" w:rsidRPr="00042BA0">
        <w:rPr>
          <w:i/>
          <w:iCs/>
        </w:rPr>
        <w:t>Pulsion</w:t>
      </w:r>
      <w:r w:rsidR="00042BA0">
        <w:t>, p.</w:t>
      </w:r>
      <w:r w:rsidR="005655E5">
        <w:t> </w:t>
      </w:r>
      <w:r w:rsidR="00EE25D7">
        <w:t xml:space="preserve">272). Ce </w:t>
      </w:r>
      <w:r w:rsidR="00FD7EDC">
        <w:t>qui consiste en la reprise nette de Spinoza :</w:t>
      </w:r>
      <w:r w:rsidR="00EE25D7">
        <w:t xml:space="preserve"> «</w:t>
      </w:r>
      <w:r w:rsidR="00FD7EDC">
        <w:t xml:space="preserve"> un</w:t>
      </w:r>
      <w:r w:rsidR="00EE25D7">
        <w:t> affect ne peut être ni réprimé ni supprimé si ce n’est par un affect contraire et plus fort que l’affect à réprimer » (</w:t>
      </w:r>
      <w:r w:rsidR="00EE25D7" w:rsidRPr="00C22719">
        <w:rPr>
          <w:i/>
          <w:iCs/>
        </w:rPr>
        <w:t>Éthique</w:t>
      </w:r>
      <w:r w:rsidR="00EE25D7">
        <w:t xml:space="preserve">, </w:t>
      </w:r>
      <w:r w:rsidR="00EE25D7" w:rsidRPr="003908A5">
        <w:rPr>
          <w:smallCaps/>
        </w:rPr>
        <w:t>iv</w:t>
      </w:r>
      <w:r w:rsidR="00EE25D7">
        <w:t>, 7).</w:t>
      </w:r>
      <w:r w:rsidR="00FD7EDC">
        <w:t xml:space="preserve"> </w:t>
      </w:r>
      <w:r w:rsidR="00FD7EDC" w:rsidRPr="00FD7EDC">
        <w:t xml:space="preserve">Si </w:t>
      </w:r>
      <w:r w:rsidR="00042BA0">
        <w:t xml:space="preserve">donc </w:t>
      </w:r>
      <w:r w:rsidR="00FD7EDC" w:rsidRPr="00FD7EDC">
        <w:t xml:space="preserve">un </w:t>
      </w:r>
      <w:r w:rsidR="00FD7EDC" w:rsidRPr="00107C5C">
        <w:rPr>
          <w:i/>
          <w:iCs/>
        </w:rPr>
        <w:t>maniérage</w:t>
      </w:r>
      <w:r w:rsidR="00FD7EDC" w:rsidRPr="00FD7EDC">
        <w:t xml:space="preserve"> selon les ambiants a été fait, il est possible, certes et </w:t>
      </w:r>
      <w:r w:rsidR="00042BA0">
        <w:t>je viens</w:t>
      </w:r>
      <w:r w:rsidR="00FD7EDC" w:rsidRPr="00FD7EDC">
        <w:t xml:space="preserve"> de le dire, de le défaire, mais cela signifie surtout que d’autres </w:t>
      </w:r>
      <w:r w:rsidR="00FD7EDC" w:rsidRPr="00107C5C">
        <w:rPr>
          <w:i/>
          <w:iCs/>
        </w:rPr>
        <w:t>maniérages</w:t>
      </w:r>
      <w:r w:rsidR="00FD7EDC" w:rsidRPr="00FD7EDC">
        <w:t xml:space="preserve"> (minoritaires ceux-là) </w:t>
      </w:r>
      <w:r w:rsidR="00FD7EDC" w:rsidRPr="00FD7EDC">
        <w:rPr>
          <w:i/>
          <w:iCs/>
        </w:rPr>
        <w:t>existent</w:t>
      </w:r>
      <w:r w:rsidR="00FD7EDC" w:rsidRPr="00FD7EDC">
        <w:t xml:space="preserve">, dont </w:t>
      </w:r>
      <w:r w:rsidR="00FD7EDC" w:rsidRPr="00FD7EDC">
        <w:lastRenderedPageBreak/>
        <w:t>l’intérêt est de s’unir dans un « syndicat stéréogénique dissident </w:t>
      </w:r>
      <w:r w:rsidR="00FD7EDC" w:rsidRPr="00FD7EDC">
        <w:rPr>
          <w:vertAlign w:val="superscript"/>
        </w:rPr>
        <w:footnoteReference w:id="7"/>
      </w:r>
      <w:r w:rsidR="00FD7EDC" w:rsidRPr="00FD7EDC">
        <w:t> » : « La seule issue, pour s’opposer : chercher d’autres autres, dont le regard s’articule à d’autres normes du bon et du mauvais, qui me soient mieux convenantes, ou moins disconvenantes » (</w:t>
      </w:r>
      <w:r w:rsidR="00042BA0" w:rsidRPr="00042BA0">
        <w:rPr>
          <w:i/>
          <w:iCs/>
        </w:rPr>
        <w:t>Pulsion</w:t>
      </w:r>
      <w:r w:rsidR="00042BA0">
        <w:t xml:space="preserve">, p. </w:t>
      </w:r>
      <w:r w:rsidR="00FD7EDC" w:rsidRPr="00FD7EDC">
        <w:t xml:space="preserve">269). </w:t>
      </w:r>
      <w:r w:rsidR="00042BA0">
        <w:t>C’est-à-dire</w:t>
      </w:r>
      <w:r w:rsidR="00FD7EDC" w:rsidRPr="00FD7EDC">
        <w:t xml:space="preserve"> tenter de former un rassemblement de puissance majoritaire sur et à partir de ces affects communs. Cette union peut sembler d’une belle et grande naïveté, mais Lordon</w:t>
      </w:r>
      <w:r w:rsidR="00042BA0">
        <w:t xml:space="preserve"> et </w:t>
      </w:r>
      <w:r w:rsidR="00FD7EDC" w:rsidRPr="00FD7EDC">
        <w:t xml:space="preserve">Lucbert en rappellent la relative rareté au temps de l’individualisme héroïque et de la quête perpétuelle de la marchandise, et ils soulignent </w:t>
      </w:r>
      <w:r w:rsidR="00042BA0">
        <w:t xml:space="preserve">très spinozistement </w:t>
      </w:r>
      <w:r w:rsidR="00FD7EDC" w:rsidRPr="00FD7EDC">
        <w:t xml:space="preserve">que sans </w:t>
      </w:r>
      <w:r w:rsidR="00FD7EDC" w:rsidRPr="00FD7EDC">
        <w:rPr>
          <w:i/>
          <w:iCs/>
        </w:rPr>
        <w:t>puissance</w:t>
      </w:r>
      <w:r w:rsidR="00FD7EDC" w:rsidRPr="00FD7EDC">
        <w:t>, c’est-à-dire sans alliés ni conditions matérielles un tout petit peu favorables, il est à peu près impossible de contredire ou de s’écarter des ambiants, qui sont eux-mêmes très gourmands et jamais empêchés de l’être tant qu’il y a absence de force organisée significative en face d’eux. « Être plusieurs, faire cause commune », c’est en tout cas la proposition sous-jacente des deux auteurs. Plus encore, à travers l’importance accordée au regard des autres, en tant qu’il est l’indice de la valeur, et en étendant cette expérience de puissance aux minoritaires contre</w:t>
      </w:r>
      <w:r w:rsidR="00107C5C">
        <w:noBreakHyphen/>
      </w:r>
      <w:r w:rsidR="00FD7EDC" w:rsidRPr="00FD7EDC">
        <w:t xml:space="preserve">ambiants, il s’agirait non seulement de s’unir, mais aussi de se faire </w:t>
      </w:r>
      <w:r w:rsidR="00FD7EDC" w:rsidRPr="00FD7EDC">
        <w:rPr>
          <w:i/>
          <w:iCs/>
        </w:rPr>
        <w:t>valoir</w:t>
      </w:r>
      <w:r w:rsidR="00FD7EDC" w:rsidRPr="00FD7EDC">
        <w:t xml:space="preserve">, de se donner ce plus de consistance (et </w:t>
      </w:r>
      <w:r w:rsidR="00FD7EDC" w:rsidRPr="00FD7EDC">
        <w:rPr>
          <w:i/>
          <w:iCs/>
        </w:rPr>
        <w:t>in fine</w:t>
      </w:r>
      <w:r w:rsidR="00FD7EDC" w:rsidRPr="00FD7EDC">
        <w:t xml:space="preserve"> de tonus moral) qui vient de ces Autres élus comme véridicteurs de sa valeur. Cette lutte contre l’isolement est donc aussi une lutte contre la dépression dans le chef des contre-ambiants puisque « ce n’est pas le “sens” qui fait défaut [au déprimé] : c’est un regard qui lui dit sa valeur et, par l’affect joyeux de se savoir dans l’approbation amoureuse de l’Autre, soutient la puissance affirmative de son conatus » (</w:t>
      </w:r>
      <w:r w:rsidR="00042BA0" w:rsidRPr="00042BA0">
        <w:rPr>
          <w:i/>
          <w:iCs/>
        </w:rPr>
        <w:t>Pulsion</w:t>
      </w:r>
      <w:r w:rsidR="00042BA0">
        <w:t xml:space="preserve">, p. </w:t>
      </w:r>
      <w:r w:rsidR="00FD7EDC" w:rsidRPr="00FD7EDC">
        <w:t>307).</w:t>
      </w:r>
    </w:p>
    <w:p w14:paraId="68B7D3FD" w14:textId="30A7E666" w:rsidR="00A620C2" w:rsidRDefault="008C233E" w:rsidP="00A620C2">
      <w:r>
        <w:t xml:space="preserve">Bien que ce premier tome ne consiste encore qu’en la prise par en-dessous du couple Capitalisme-Fascisme, il contient cependant, ou permet d’inférer, des implications critiques et des applications politiques possibles. Et à vrai dire, sans savoir ce que </w:t>
      </w:r>
      <w:r w:rsidR="00933472">
        <w:t>l</w:t>
      </w:r>
      <w:r>
        <w:t xml:space="preserve">e second tome réserve, il me semble que le sillon creusé par Lordon et Lucbert est en fait celui du Wilhelm Reich de </w:t>
      </w:r>
      <w:r w:rsidRPr="008C233E">
        <w:rPr>
          <w:i/>
          <w:iCs/>
        </w:rPr>
        <w:t>La Psychologie de masse du fascisme</w:t>
      </w:r>
      <w:r>
        <w:t xml:space="preserve"> (bien qu’il ne soit jamais </w:t>
      </w:r>
      <w:r w:rsidR="00955585">
        <w:t>évoqué </w:t>
      </w:r>
      <w:r w:rsidR="00933472">
        <w:rPr>
          <w:rStyle w:val="Appelnotedebasdep"/>
        </w:rPr>
        <w:footnoteReference w:id="8"/>
      </w:r>
      <w:r>
        <w:t>)</w:t>
      </w:r>
      <w:r w:rsidR="00EE25D7">
        <w:t xml:space="preserve"> et de son actualisation</w:t>
      </w:r>
      <w:r>
        <w:t>.</w:t>
      </w:r>
      <w:r w:rsidR="00965DDF">
        <w:t xml:space="preserve"> Le « désir fasciste » qui notoirement saisirait les masses, et qui viendrait des profondeurs de la psyché serait donc intelligible grâce aux outils conceptuels revivifiés et aiguisés de la psychanalyse. Il ne s’agissait donc pas seulement</w:t>
      </w:r>
      <w:r w:rsidR="00454341">
        <w:t xml:space="preserve"> pour Lordon et Lucbert</w:t>
      </w:r>
      <w:r w:rsidR="00965DDF">
        <w:t xml:space="preserve"> de fournir pour longtemps un « vocabulaire », mais de comprendre </w:t>
      </w:r>
      <w:r w:rsidR="00107C5C">
        <w:t>par-là</w:t>
      </w:r>
      <w:r w:rsidR="00965DDF">
        <w:t xml:space="preserve"> l’emparement psychique du </w:t>
      </w:r>
      <w:r w:rsidR="00965DDF">
        <w:lastRenderedPageBreak/>
        <w:t>fascisme et le régime de pulsionnalité du capitalisme (et vice-versa). Ils posent que certaines conditions historiques ou culturelles sont nécessaires à certaines réactivations psychiques. Deux de ces conditions sont évoquées : le besoin de se récupérer du point de vue identificatoire et la précarité matérielle, qui favorisent en effet la réactivation des positions schizo-paranoïdes des temps critiques de Modus</w:t>
      </w:r>
      <w:r w:rsidR="00B97DBC">
        <w:t> </w:t>
      </w:r>
      <w:r w:rsidR="00B97DBC">
        <w:rPr>
          <w:rStyle w:val="Appelnotedebasdep"/>
        </w:rPr>
        <w:footnoteReference w:id="9"/>
      </w:r>
      <w:r w:rsidR="00965DDF">
        <w:t>.</w:t>
      </w:r>
      <w:r w:rsidR="001955EC">
        <w:t xml:space="preserve"> Il paraît clair que le temps de </w:t>
      </w:r>
      <w:r w:rsidR="001955EC" w:rsidRPr="001955EC">
        <w:rPr>
          <w:i/>
          <w:iCs/>
        </w:rPr>
        <w:t>Modus-persécuté-par-le-Dehors</w:t>
      </w:r>
      <w:r w:rsidR="001955EC">
        <w:t xml:space="preserve"> est assez propice à être réactivé, étant donné qu’il est celui de l’élaboration d’un mécanisme projectif faisant porter tous les maux ressentis à « ce qui ne fait pas partie du dedans » (aujourd’hui : l’arabe, le chômeur, etc.)</w:t>
      </w:r>
      <w:r w:rsidR="00560FF7">
        <w:t>.</w:t>
      </w:r>
      <w:r w:rsidR="00FB5C95">
        <w:t xml:space="preserve"> </w:t>
      </w:r>
      <w:r w:rsidR="00A620C2" w:rsidRPr="00A620C2">
        <w:t xml:space="preserve">Mais un autre moment mérite lui aussi d’être souligné, celui de la relance paranoïaque (lorsque, </w:t>
      </w:r>
      <w:r w:rsidR="00A620C2">
        <w:t>je le rappelle</w:t>
      </w:r>
      <w:r w:rsidR="00A620C2" w:rsidRPr="00A620C2">
        <w:t xml:space="preserve">, </w:t>
      </w:r>
      <w:r w:rsidR="00A620C2" w:rsidRPr="00A620C2">
        <w:rPr>
          <w:i/>
          <w:iCs/>
        </w:rPr>
        <w:t>la source de joie vient à manquer</w:t>
      </w:r>
      <w:r w:rsidR="00A620C2" w:rsidRPr="00A620C2">
        <w:t xml:space="preserve">), qui correspondrait d’après </w:t>
      </w:r>
      <w:r w:rsidR="00A620C2">
        <w:t>moi</w:t>
      </w:r>
      <w:r w:rsidR="00A620C2" w:rsidRPr="00A620C2">
        <w:t xml:space="preserve"> assez bien au temps « néo-fasciste » de l’idéologie du Désir</w:t>
      </w:r>
      <w:r w:rsidR="00A620C2">
        <w:t> </w:t>
      </w:r>
      <w:r w:rsidR="00A620C2">
        <w:rPr>
          <w:rStyle w:val="Appelnotedebasdep"/>
        </w:rPr>
        <w:footnoteReference w:id="10"/>
      </w:r>
      <w:r w:rsidR="00A620C2" w:rsidRPr="00A620C2">
        <w:t xml:space="preserve">, c’est-à-dire lorsque le Capital retire l’échelle de la consommation hédoniste, ou en supprime au moins des échelons (ou même menace d’en supprimer) – un temps fort actuel de </w:t>
      </w:r>
      <w:r w:rsidR="00A620C2">
        <w:t>mon</w:t>
      </w:r>
      <w:r w:rsidR="00A620C2" w:rsidRPr="00A620C2">
        <w:t xml:space="preserve"> point de vue. Dans un article  paru peu avant </w:t>
      </w:r>
      <w:r w:rsidR="00A620C2" w:rsidRPr="00A620C2">
        <w:rPr>
          <w:i/>
          <w:iCs/>
        </w:rPr>
        <w:t>Pulsion</w:t>
      </w:r>
      <w:r w:rsidR="00A620C2" w:rsidRPr="00A620C2">
        <w:t xml:space="preserve"> (« Jouir d’être serf</w:t>
      </w:r>
      <w:r w:rsidR="002A4DB8">
        <w:t>  </w:t>
      </w:r>
      <w:r w:rsidR="000E6B1A">
        <w:rPr>
          <w:rStyle w:val="Appelnotedebasdep"/>
        </w:rPr>
        <w:footnoteReference w:id="11"/>
      </w:r>
      <w:r w:rsidR="002A4DB8">
        <w:t> »</w:t>
      </w:r>
      <w:r w:rsidR="00A620C2">
        <w:t>, ce qui fait écho au temps du servage souverain</w:t>
      </w:r>
      <w:r w:rsidR="00A620C2" w:rsidRPr="00A620C2">
        <w:t>), Lordon</w:t>
      </w:r>
      <w:r w:rsidR="000E6B1A">
        <w:t xml:space="preserve"> et </w:t>
      </w:r>
      <w:r w:rsidR="00A620C2" w:rsidRPr="00A620C2">
        <w:t xml:space="preserve">Lucbert mettaient en avant un autre mécanisme de temps de crise propice à la fascisation, qu’ils dépliaient en quatre temps : des constructions socialement validées qui se rompent ; la brusque ré-aperception de l’anarchie du réel (de son </w:t>
      </w:r>
      <w:r w:rsidR="00A620C2" w:rsidRPr="00A620C2">
        <w:rPr>
          <w:i/>
          <w:iCs/>
        </w:rPr>
        <w:t>in-signifiance</w:t>
      </w:r>
      <w:r w:rsidR="00A620C2" w:rsidRPr="00A620C2">
        <w:t xml:space="preserve"> radicale</w:t>
      </w:r>
      <w:r w:rsidR="00D41D7E">
        <w:t>, un topos lordonien</w:t>
      </w:r>
      <w:r w:rsidR="00A620C2" w:rsidRPr="00A620C2">
        <w:t xml:space="preserve">) ; le déchaînement d’angoisse atroce qui nous touche alors dans nos plis affectifs invétérés ; la réponse à l’urgence de la panique par le fait de se jeter dans les bras du tyran (prenant la place et le rôle de la nouvelle « Chose-près-du-berceau » en ceci qu’il répond simplement à l’angoisse persécutive venue du Dehors). </w:t>
      </w:r>
      <w:r w:rsidR="00271E59" w:rsidRPr="00271E59">
        <w:t xml:space="preserve">Toute ressemblance avec des faits et des personnages existants </w:t>
      </w:r>
      <w:r w:rsidR="00271E59">
        <w:t>n’est</w:t>
      </w:r>
      <w:r w:rsidR="00271E59" w:rsidRPr="00271E59">
        <w:t xml:space="preserve"> </w:t>
      </w:r>
      <w:r w:rsidR="00271E59">
        <w:t>évidemment pas</w:t>
      </w:r>
      <w:r w:rsidR="00B6310E">
        <w:t xml:space="preserve"> fortuite…</w:t>
      </w:r>
    </w:p>
    <w:p w14:paraId="558F4A63" w14:textId="6D7CBFC6" w:rsidR="00CE5D28" w:rsidRDefault="00BA4BB5" w:rsidP="002A4DB8">
      <w:pPr>
        <w:rPr>
          <w:iCs/>
        </w:rPr>
      </w:pPr>
      <w:r>
        <w:t xml:space="preserve">Leur livre, tout centré qu’il paraît sur la psychanalyse, est ainsi, on le voit, occupé également (surtout) à chercher sa </w:t>
      </w:r>
      <w:r w:rsidRPr="00BA4BB5">
        <w:rPr>
          <w:i/>
          <w:iCs/>
        </w:rPr>
        <w:t>pratique</w:t>
      </w:r>
      <w:r w:rsidR="00D73BD6">
        <w:rPr>
          <w:i/>
          <w:iCs/>
        </w:rPr>
        <w:t xml:space="preserve"> </w:t>
      </w:r>
      <w:r w:rsidR="00D73BD6" w:rsidRPr="002B63EA">
        <w:t>(</w:t>
      </w:r>
      <w:r w:rsidR="002B63EA">
        <w:t>une</w:t>
      </w:r>
      <w:r w:rsidR="00D73BD6" w:rsidRPr="002B63EA">
        <w:t xml:space="preserve"> </w:t>
      </w:r>
      <w:r w:rsidR="00D73BD6" w:rsidRPr="002B63EA">
        <w:rPr>
          <w:i/>
        </w:rPr>
        <w:t>praxis</w:t>
      </w:r>
      <w:r w:rsidR="00D73BD6" w:rsidRPr="002B63EA">
        <w:t>,</w:t>
      </w:r>
      <w:r w:rsidR="002B63EA">
        <w:t xml:space="preserve"> </w:t>
      </w:r>
      <w:r w:rsidR="002B63EA" w:rsidRPr="002B63EA">
        <w:t>des effets</w:t>
      </w:r>
      <w:r w:rsidR="002B63EA">
        <w:t xml:space="preserve"> concrets)</w:t>
      </w:r>
      <w:r w:rsidR="005655E5">
        <w:t>, et les quelques éléments que je voulais présenter pourront, je l’espère, et à tout le moins, entraîner à ce sujet les discussions qu’il n’a pas encore permis d</w:t>
      </w:r>
      <w:r w:rsidR="000B4FEE">
        <w:t>e réellement susciter.</w:t>
      </w:r>
    </w:p>
    <w:sectPr w:rsidR="00CE5D28" w:rsidSect="00821DFC">
      <w:headerReference w:type="even" r:id="rId6"/>
      <w:headerReference w:type="default" r:id="rId7"/>
      <w:footerReference w:type="even" r:id="rId8"/>
      <w:footerReference w:type="default" r:id="rId9"/>
      <w:headerReference w:type="first" r:id="rId10"/>
      <w:footerReference w:type="first" r:id="rId11"/>
      <w:pgSz w:w="11907" w:h="16840" w:code="9"/>
      <w:pgMar w:top="2835" w:right="2268" w:bottom="2835" w:left="2268" w:header="1985" w:footer="1985"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C1D022" w14:textId="77777777" w:rsidR="00C4018F" w:rsidRDefault="00C4018F">
      <w:r>
        <w:separator/>
      </w:r>
    </w:p>
  </w:endnote>
  <w:endnote w:type="continuationSeparator" w:id="0">
    <w:p w14:paraId="0018204D" w14:textId="77777777" w:rsidR="00C4018F" w:rsidRDefault="00C401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B8606F" w14:textId="77777777" w:rsidR="004C5B75" w:rsidRDefault="004C5B75">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42341" w14:textId="77777777" w:rsidR="004C5B75" w:rsidRDefault="004C5B75">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C4115" w14:textId="77777777" w:rsidR="004C5B75" w:rsidRDefault="004C5B75">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A76A40" w14:textId="77777777" w:rsidR="00C4018F" w:rsidRDefault="00C4018F">
      <w:r>
        <w:separator/>
      </w:r>
    </w:p>
  </w:footnote>
  <w:footnote w:type="continuationSeparator" w:id="0">
    <w:p w14:paraId="2657A0F4" w14:textId="77777777" w:rsidR="00C4018F" w:rsidRDefault="00C4018F">
      <w:r>
        <w:continuationSeparator/>
      </w:r>
    </w:p>
  </w:footnote>
  <w:footnote w:id="1">
    <w:p w14:paraId="5D2FE696" w14:textId="7137564E" w:rsidR="00CC47B9" w:rsidRDefault="00CC47B9">
      <w:pPr>
        <w:pStyle w:val="Notedebasdepage"/>
      </w:pPr>
      <w:r w:rsidRPr="00CC47B9">
        <w:rPr>
          <w:rStyle w:val="Appelnotedebasdep"/>
          <w:vertAlign w:val="baseline"/>
        </w:rPr>
        <w:footnoteRef/>
      </w:r>
      <w:r>
        <w:t xml:space="preserve">. Les quelques critiques que </w:t>
      </w:r>
      <w:r w:rsidR="0053743B">
        <w:t>j’ai</w:t>
      </w:r>
      <w:r>
        <w:t xml:space="preserve"> pu lire se concentrent en effet sur le volet « psychanalytique » du propos.</w:t>
      </w:r>
      <w:r w:rsidR="00EE0176">
        <w:t xml:space="preserve"> Il fallait s’y attendre.</w:t>
      </w:r>
    </w:p>
  </w:footnote>
  <w:footnote w:id="2">
    <w:p w14:paraId="604AE153" w14:textId="08A5C23F" w:rsidR="00922C3B" w:rsidRDefault="00922C3B">
      <w:pPr>
        <w:pStyle w:val="Notedebasdepage"/>
      </w:pPr>
      <w:r w:rsidRPr="00922C3B">
        <w:rPr>
          <w:rStyle w:val="Appelnotedebasdep"/>
          <w:vertAlign w:val="baseline"/>
        </w:rPr>
        <w:footnoteRef/>
      </w:r>
      <w:r>
        <w:t xml:space="preserve">.  Il apparaît qu’on invisibilise ci et là Sandra Lucbert, pour ne faire de </w:t>
      </w:r>
      <w:r w:rsidRPr="00922C3B">
        <w:rPr>
          <w:i/>
          <w:iCs/>
        </w:rPr>
        <w:t>Pulsion</w:t>
      </w:r>
      <w:r>
        <w:t xml:space="preserve"> que l’œuvre du seul Frédéric Lordon. Selon moi, et au contraire, l’influence de celle-ci sur celui-là n’a cessé d’être grandissante.</w:t>
      </w:r>
    </w:p>
  </w:footnote>
  <w:footnote w:id="3">
    <w:p w14:paraId="736531BF" w14:textId="0D750ABE" w:rsidR="00FF248E" w:rsidRDefault="00FF248E">
      <w:pPr>
        <w:pStyle w:val="Notedebasdepage"/>
      </w:pPr>
      <w:r w:rsidRPr="00FF248E">
        <w:rPr>
          <w:rStyle w:val="Appelnotedebasdep"/>
          <w:vertAlign w:val="baseline"/>
        </w:rPr>
        <w:footnoteRef/>
      </w:r>
      <w:r>
        <w:t xml:space="preserve">. Ils saluent à ce titre les récents travaux de Bernard Lahire, Hervé Mazurel, Patrice Maniglier et Silvia Lippi, Livio Boni et Sophie Mendelsohn, </w:t>
      </w:r>
      <w:r w:rsidR="004662F7">
        <w:t>Fabrice</w:t>
      </w:r>
      <w:r>
        <w:t xml:space="preserve"> Bourlez ou Florent Gabarron-Garcia.</w:t>
      </w:r>
    </w:p>
  </w:footnote>
  <w:footnote w:id="4">
    <w:p w14:paraId="2D8D5B11" w14:textId="77777777" w:rsidR="00345A3E" w:rsidRDefault="00345A3E" w:rsidP="00345A3E">
      <w:pPr>
        <w:pStyle w:val="Notedebasdepage"/>
      </w:pPr>
      <w:r w:rsidRPr="00BA4BB5">
        <w:rPr>
          <w:rStyle w:val="Appelnotedebasdep"/>
          <w:vertAlign w:val="baseline"/>
        </w:rPr>
        <w:footnoteRef/>
      </w:r>
      <w:r>
        <w:t>.  Salutaire cependant leur r</w:t>
      </w:r>
      <w:r w:rsidRPr="00BA4BB5">
        <w:t>elativisation</w:t>
      </w:r>
      <w:r>
        <w:t>-dénaturalisation</w:t>
      </w:r>
      <w:r w:rsidRPr="00BA4BB5">
        <w:t xml:space="preserve"> du « père » comme rival principal et du « phallus » </w:t>
      </w:r>
      <w:r>
        <w:t xml:space="preserve">comme </w:t>
      </w:r>
      <w:r w:rsidRPr="00BA4BB5">
        <w:t>talisman de la souveraineté et de la puissance, typiques des sociétés patriarcales-autoritaires.</w:t>
      </w:r>
    </w:p>
  </w:footnote>
  <w:footnote w:id="5">
    <w:p w14:paraId="25034828" w14:textId="1CE3C618" w:rsidR="009C17EE" w:rsidRDefault="009C17EE">
      <w:pPr>
        <w:pStyle w:val="Notedebasdepage"/>
      </w:pPr>
      <w:r w:rsidRPr="009C17EE">
        <w:rPr>
          <w:rStyle w:val="Appelnotedebasdep"/>
          <w:vertAlign w:val="baseline"/>
        </w:rPr>
        <w:footnoteRef/>
      </w:r>
      <w:r>
        <w:t xml:space="preserve">. </w:t>
      </w:r>
      <w:r w:rsidR="00D92479">
        <w:t xml:space="preserve"> F</w:t>
      </w:r>
      <w:r w:rsidRPr="009C17EE">
        <w:t xml:space="preserve">rédéric </w:t>
      </w:r>
      <w:r w:rsidRPr="009C17EE">
        <w:rPr>
          <w:smallCaps/>
        </w:rPr>
        <w:t>Lordon</w:t>
      </w:r>
      <w:r w:rsidRPr="009C17EE">
        <w:t xml:space="preserve">, </w:t>
      </w:r>
      <w:r w:rsidRPr="009C17EE">
        <w:rPr>
          <w:i/>
          <w:iCs/>
        </w:rPr>
        <w:t>La société des affects. Pour un structuralisme des passions</w:t>
      </w:r>
      <w:r w:rsidRPr="009C17EE">
        <w:t>, Paris, Éditions du Seuil, « Points Essais », 2015 [2013]</w:t>
      </w:r>
      <w:r>
        <w:t>, p. 90.</w:t>
      </w:r>
    </w:p>
  </w:footnote>
  <w:footnote w:id="6">
    <w:p w14:paraId="3CD6A947" w14:textId="1800A3AC" w:rsidR="0026371B" w:rsidRDefault="0026371B">
      <w:pPr>
        <w:pStyle w:val="Notedebasdepage"/>
      </w:pPr>
      <w:r w:rsidRPr="0026371B">
        <w:rPr>
          <w:rStyle w:val="Appelnotedebasdep"/>
          <w:vertAlign w:val="baseline"/>
        </w:rPr>
        <w:footnoteRef/>
      </w:r>
      <w:r>
        <w:t>.  C’est ainsi qu’ils proposent un glossaire à la fin du livre, qui permet cette fixation et refuse en actes le « flou artistique conceptuel » qu’ils reprochaient à la théorie psychanalytique (notamment lacanienne).</w:t>
      </w:r>
    </w:p>
  </w:footnote>
  <w:footnote w:id="7">
    <w:p w14:paraId="270E97A7" w14:textId="71136871" w:rsidR="00FD7EDC" w:rsidRDefault="00FD7EDC" w:rsidP="00FD7EDC">
      <w:pPr>
        <w:pStyle w:val="Notedebasdepage"/>
      </w:pPr>
      <w:r w:rsidRPr="00310B35">
        <w:rPr>
          <w:rStyle w:val="Appelnotedebasdep"/>
          <w:vertAlign w:val="baseline"/>
        </w:rPr>
        <w:footnoteRef/>
      </w:r>
      <w:r>
        <w:t>. </w:t>
      </w:r>
      <w:r w:rsidR="00042BA0">
        <w:t xml:space="preserve">  </w:t>
      </w:r>
      <w:r>
        <w:t xml:space="preserve">Dans </w:t>
      </w:r>
      <w:r w:rsidRPr="00B23E98">
        <w:rPr>
          <w:i/>
          <w:iCs/>
        </w:rPr>
        <w:t>C</w:t>
      </w:r>
      <w:r>
        <w:rPr>
          <w:i/>
          <w:iCs/>
        </w:rPr>
        <w:t>apitalisme, désir et servitude</w:t>
      </w:r>
      <w:r w:rsidR="00042BA0">
        <w:rPr>
          <w:i/>
          <w:iCs/>
        </w:rPr>
        <w:t xml:space="preserve"> </w:t>
      </w:r>
      <w:r w:rsidR="00042BA0" w:rsidRPr="00042BA0">
        <w:t>de Frédéric Lordon</w:t>
      </w:r>
      <w:r>
        <w:rPr>
          <w:i/>
          <w:iCs/>
        </w:rPr>
        <w:t xml:space="preserve">, </w:t>
      </w:r>
      <w:r>
        <w:t>c’étaient des « communautés de valorisation dissidentes. »</w:t>
      </w:r>
    </w:p>
  </w:footnote>
  <w:footnote w:id="8">
    <w:p w14:paraId="3568066F" w14:textId="12238715" w:rsidR="00933472" w:rsidRDefault="00933472">
      <w:pPr>
        <w:pStyle w:val="Notedebasdepage"/>
      </w:pPr>
      <w:r w:rsidRPr="00933472">
        <w:rPr>
          <w:rStyle w:val="Appelnotedebasdep"/>
          <w:vertAlign w:val="baseline"/>
        </w:rPr>
        <w:footnoteRef/>
      </w:r>
      <w:r>
        <w:t>.   Je m’attendais, comme d’autres sans doute, à retrouver dans leur livre tous ceux que l’on identifie peu ou prou sous l’étiquette du « freudo-marxisme ».</w:t>
      </w:r>
    </w:p>
  </w:footnote>
  <w:footnote w:id="9">
    <w:p w14:paraId="05C11828" w14:textId="1DAE8AC2" w:rsidR="00B97DBC" w:rsidRDefault="00B97DBC">
      <w:pPr>
        <w:pStyle w:val="Notedebasdepage"/>
      </w:pPr>
      <w:r w:rsidRPr="001955EC">
        <w:rPr>
          <w:rStyle w:val="Appelnotedebasdep"/>
          <w:vertAlign w:val="baseline"/>
        </w:rPr>
        <w:footnoteRef/>
      </w:r>
      <w:r w:rsidR="001955EC">
        <w:t xml:space="preserve">. </w:t>
      </w:r>
      <w:r>
        <w:t xml:space="preserve"> « En période de crise organique, c’est-à-dire de passivation collective et de perte de repères complètement affolante, la proposition qui fait mouche, c’est celle qui ravive le plus de traces de puissance dans les plus brefs délais » (</w:t>
      </w:r>
      <w:r w:rsidRPr="00B97DBC">
        <w:rPr>
          <w:i/>
          <w:iCs/>
        </w:rPr>
        <w:t>Pulsion</w:t>
      </w:r>
      <w:r>
        <w:t>, p. 106).</w:t>
      </w:r>
    </w:p>
  </w:footnote>
  <w:footnote w:id="10">
    <w:p w14:paraId="27B44F3A" w14:textId="702C1742" w:rsidR="00A620C2" w:rsidRDefault="00A620C2">
      <w:pPr>
        <w:pStyle w:val="Notedebasdepage"/>
      </w:pPr>
      <w:r w:rsidRPr="00A620C2">
        <w:rPr>
          <w:rStyle w:val="Appelnotedebasdep"/>
          <w:vertAlign w:val="baseline"/>
        </w:rPr>
        <w:footnoteRef/>
      </w:r>
      <w:r>
        <w:t>.</w:t>
      </w:r>
      <w:r w:rsidR="007B3DD2">
        <w:t xml:space="preserve"> </w:t>
      </w:r>
      <w:r>
        <w:t>Cette catégorie de « néo-fascisme » mériterait à elle seule un long développement. Elle n’est pas entendue de la même manière par Deleuze-Guattari ou par Michel Clouscard, par exemple.</w:t>
      </w:r>
    </w:p>
  </w:footnote>
  <w:footnote w:id="11">
    <w:p w14:paraId="7735E2BF" w14:textId="389F13F0" w:rsidR="000E6B1A" w:rsidRDefault="000E6B1A">
      <w:pPr>
        <w:pStyle w:val="Notedebasdepage"/>
      </w:pPr>
      <w:r w:rsidRPr="000E6B1A">
        <w:rPr>
          <w:rStyle w:val="Appelnotedebasdep"/>
          <w:vertAlign w:val="baseline"/>
        </w:rPr>
        <w:footnoteRef/>
      </w:r>
      <w:r>
        <w:t xml:space="preserve">. Frédéric </w:t>
      </w:r>
      <w:r w:rsidRPr="000E6B1A">
        <w:rPr>
          <w:smallCaps/>
        </w:rPr>
        <w:t>Lordon</w:t>
      </w:r>
      <w:r>
        <w:t xml:space="preserve"> </w:t>
      </w:r>
      <w:r w:rsidRPr="000E6B1A">
        <w:t xml:space="preserve">et Sandra </w:t>
      </w:r>
      <w:r w:rsidRPr="000E6B1A">
        <w:rPr>
          <w:smallCaps/>
        </w:rPr>
        <w:t>Lucbert</w:t>
      </w:r>
      <w:r>
        <w:t xml:space="preserve">, </w:t>
      </w:r>
      <w:r w:rsidRPr="000E6B1A">
        <w:t>« Jouir d’être serf »</w:t>
      </w:r>
      <w:r>
        <w:t>, dans Jacques-Louis Lantoine et Camille Chevalier (éds),</w:t>
      </w:r>
      <w:r w:rsidRPr="000E6B1A">
        <w:t xml:space="preserve"> </w:t>
      </w:r>
      <w:r w:rsidRPr="000E6B1A">
        <w:rPr>
          <w:i/>
          <w:iCs/>
        </w:rPr>
        <w:t>La servitude volontaire</w:t>
      </w:r>
      <w:r w:rsidRPr="000E6B1A">
        <w:t>,</w:t>
      </w:r>
      <w:r>
        <w:t xml:space="preserve"> Paris</w:t>
      </w:r>
      <w:r w:rsidRPr="000E6B1A">
        <w:t>, ENS Éditions, 2024</w:t>
      </w:r>
      <w:r>
        <w:t>, p. 93–105.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141E1" w14:textId="62DBE5A5" w:rsidR="004C5B75" w:rsidRPr="004C5B75" w:rsidRDefault="004C5B75" w:rsidP="004C5B75">
    <w:pPr>
      <w:pStyle w:val="En-tte"/>
      <w:jc w:val="center"/>
      <w:rPr>
        <w:smallCaps/>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4BA65" w14:textId="12FD1F41" w:rsidR="00A523F5" w:rsidRPr="004C5B75" w:rsidRDefault="00A523F5" w:rsidP="004C5B75">
    <w:pPr>
      <w:pStyle w:val="En-tte"/>
      <w:jc w:val="center"/>
      <w:rPr>
        <w:smallCap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48CF8" w14:textId="77777777" w:rsidR="004C5B75" w:rsidRDefault="004C5B75" w:rsidP="004C5B75">
    <w:pPr>
      <w:pStyle w:val="En-tte"/>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oNotHyphenateCaps/>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623A"/>
    <w:rsid w:val="00003782"/>
    <w:rsid w:val="0001240A"/>
    <w:rsid w:val="00016F37"/>
    <w:rsid w:val="00033EA2"/>
    <w:rsid w:val="000409A8"/>
    <w:rsid w:val="00042BA0"/>
    <w:rsid w:val="00042FAE"/>
    <w:rsid w:val="000431F9"/>
    <w:rsid w:val="0007494F"/>
    <w:rsid w:val="00097A86"/>
    <w:rsid w:val="000A17B5"/>
    <w:rsid w:val="000B0615"/>
    <w:rsid w:val="000B4FEE"/>
    <w:rsid w:val="000B6DAA"/>
    <w:rsid w:val="000B6E47"/>
    <w:rsid w:val="000C3639"/>
    <w:rsid w:val="000D0AAB"/>
    <w:rsid w:val="000D114F"/>
    <w:rsid w:val="000D1F04"/>
    <w:rsid w:val="000D24A0"/>
    <w:rsid w:val="000D6B02"/>
    <w:rsid w:val="000E6B1A"/>
    <w:rsid w:val="00103148"/>
    <w:rsid w:val="00107C5C"/>
    <w:rsid w:val="001215C1"/>
    <w:rsid w:val="00141A8E"/>
    <w:rsid w:val="00142C6B"/>
    <w:rsid w:val="00153BCB"/>
    <w:rsid w:val="00156F98"/>
    <w:rsid w:val="00180826"/>
    <w:rsid w:val="0019126C"/>
    <w:rsid w:val="0019406E"/>
    <w:rsid w:val="001955EC"/>
    <w:rsid w:val="001A100E"/>
    <w:rsid w:val="001B339F"/>
    <w:rsid w:val="001C739C"/>
    <w:rsid w:val="001D0CBA"/>
    <w:rsid w:val="001F2C45"/>
    <w:rsid w:val="00202C39"/>
    <w:rsid w:val="0021464D"/>
    <w:rsid w:val="00222DC5"/>
    <w:rsid w:val="002257CA"/>
    <w:rsid w:val="00231E61"/>
    <w:rsid w:val="002347AC"/>
    <w:rsid w:val="00235BF0"/>
    <w:rsid w:val="00240130"/>
    <w:rsid w:val="00242C90"/>
    <w:rsid w:val="002437B3"/>
    <w:rsid w:val="00245E9E"/>
    <w:rsid w:val="00246A4B"/>
    <w:rsid w:val="0026371B"/>
    <w:rsid w:val="00271E59"/>
    <w:rsid w:val="00280FEE"/>
    <w:rsid w:val="00290EB1"/>
    <w:rsid w:val="00291058"/>
    <w:rsid w:val="002A3207"/>
    <w:rsid w:val="002A3DAC"/>
    <w:rsid w:val="002A4DB8"/>
    <w:rsid w:val="002B63EA"/>
    <w:rsid w:val="002C04B4"/>
    <w:rsid w:val="002F2B8F"/>
    <w:rsid w:val="002F2E58"/>
    <w:rsid w:val="00311AE5"/>
    <w:rsid w:val="00313FC4"/>
    <w:rsid w:val="00322BA9"/>
    <w:rsid w:val="003244F4"/>
    <w:rsid w:val="0032577A"/>
    <w:rsid w:val="003319B3"/>
    <w:rsid w:val="0033339C"/>
    <w:rsid w:val="00334A36"/>
    <w:rsid w:val="003351B1"/>
    <w:rsid w:val="00345A3E"/>
    <w:rsid w:val="0037341A"/>
    <w:rsid w:val="00384BCC"/>
    <w:rsid w:val="003B3A0A"/>
    <w:rsid w:val="003B4994"/>
    <w:rsid w:val="003B5EC9"/>
    <w:rsid w:val="003B7E51"/>
    <w:rsid w:val="003D651C"/>
    <w:rsid w:val="00401B0C"/>
    <w:rsid w:val="0042205A"/>
    <w:rsid w:val="00425D52"/>
    <w:rsid w:val="00432930"/>
    <w:rsid w:val="004532E2"/>
    <w:rsid w:val="00454341"/>
    <w:rsid w:val="004662F7"/>
    <w:rsid w:val="00474E09"/>
    <w:rsid w:val="00475649"/>
    <w:rsid w:val="004812A0"/>
    <w:rsid w:val="004930EB"/>
    <w:rsid w:val="00493C88"/>
    <w:rsid w:val="00495D66"/>
    <w:rsid w:val="00497F89"/>
    <w:rsid w:val="004A3683"/>
    <w:rsid w:val="004B321D"/>
    <w:rsid w:val="004B43FA"/>
    <w:rsid w:val="004C1B8C"/>
    <w:rsid w:val="004C5B75"/>
    <w:rsid w:val="004C6E94"/>
    <w:rsid w:val="004D337C"/>
    <w:rsid w:val="004E34B5"/>
    <w:rsid w:val="00506EDE"/>
    <w:rsid w:val="005271D9"/>
    <w:rsid w:val="005277A0"/>
    <w:rsid w:val="005306AB"/>
    <w:rsid w:val="0053743B"/>
    <w:rsid w:val="0054052F"/>
    <w:rsid w:val="00541AA5"/>
    <w:rsid w:val="00547108"/>
    <w:rsid w:val="00551899"/>
    <w:rsid w:val="0055364A"/>
    <w:rsid w:val="00560FF7"/>
    <w:rsid w:val="005655E5"/>
    <w:rsid w:val="00577239"/>
    <w:rsid w:val="005B0229"/>
    <w:rsid w:val="005B72D0"/>
    <w:rsid w:val="005C0851"/>
    <w:rsid w:val="005C7953"/>
    <w:rsid w:val="005D07F8"/>
    <w:rsid w:val="005D0A0F"/>
    <w:rsid w:val="005E0297"/>
    <w:rsid w:val="005E28FE"/>
    <w:rsid w:val="005E3E0D"/>
    <w:rsid w:val="005F024D"/>
    <w:rsid w:val="00600E91"/>
    <w:rsid w:val="00614551"/>
    <w:rsid w:val="00617077"/>
    <w:rsid w:val="00632374"/>
    <w:rsid w:val="0064623A"/>
    <w:rsid w:val="00650FB7"/>
    <w:rsid w:val="0068299F"/>
    <w:rsid w:val="00687790"/>
    <w:rsid w:val="00690AB9"/>
    <w:rsid w:val="006E7D03"/>
    <w:rsid w:val="00703540"/>
    <w:rsid w:val="007059F5"/>
    <w:rsid w:val="00707BAC"/>
    <w:rsid w:val="00717AAA"/>
    <w:rsid w:val="007553EF"/>
    <w:rsid w:val="007A4529"/>
    <w:rsid w:val="007B051C"/>
    <w:rsid w:val="007B3DD2"/>
    <w:rsid w:val="007B674A"/>
    <w:rsid w:val="007B6DCC"/>
    <w:rsid w:val="007C484C"/>
    <w:rsid w:val="007D361B"/>
    <w:rsid w:val="007F107E"/>
    <w:rsid w:val="007F3227"/>
    <w:rsid w:val="007F6E29"/>
    <w:rsid w:val="00800D30"/>
    <w:rsid w:val="00812E9A"/>
    <w:rsid w:val="00821DFC"/>
    <w:rsid w:val="00826CA7"/>
    <w:rsid w:val="0082746A"/>
    <w:rsid w:val="008318BD"/>
    <w:rsid w:val="008329FA"/>
    <w:rsid w:val="008338D1"/>
    <w:rsid w:val="0085315D"/>
    <w:rsid w:val="00856F18"/>
    <w:rsid w:val="008843AB"/>
    <w:rsid w:val="008C1527"/>
    <w:rsid w:val="008C233E"/>
    <w:rsid w:val="008C604A"/>
    <w:rsid w:val="008D72F8"/>
    <w:rsid w:val="008F380E"/>
    <w:rsid w:val="008F3A59"/>
    <w:rsid w:val="0090194E"/>
    <w:rsid w:val="00902F2F"/>
    <w:rsid w:val="00922C3B"/>
    <w:rsid w:val="00933472"/>
    <w:rsid w:val="00940513"/>
    <w:rsid w:val="00955585"/>
    <w:rsid w:val="00965DDF"/>
    <w:rsid w:val="00977F5C"/>
    <w:rsid w:val="009935C8"/>
    <w:rsid w:val="009A4D81"/>
    <w:rsid w:val="009B1368"/>
    <w:rsid w:val="009C17EE"/>
    <w:rsid w:val="009D0551"/>
    <w:rsid w:val="009D1544"/>
    <w:rsid w:val="009F6786"/>
    <w:rsid w:val="009F78C6"/>
    <w:rsid w:val="00A13DA4"/>
    <w:rsid w:val="00A30BF5"/>
    <w:rsid w:val="00A36EB9"/>
    <w:rsid w:val="00A52143"/>
    <w:rsid w:val="00A523F5"/>
    <w:rsid w:val="00A52F86"/>
    <w:rsid w:val="00A620C2"/>
    <w:rsid w:val="00A70DB8"/>
    <w:rsid w:val="00A71CD8"/>
    <w:rsid w:val="00A75A36"/>
    <w:rsid w:val="00A82EC9"/>
    <w:rsid w:val="00AB0475"/>
    <w:rsid w:val="00AB0BF2"/>
    <w:rsid w:val="00AB45FB"/>
    <w:rsid w:val="00AB6181"/>
    <w:rsid w:val="00AB63CB"/>
    <w:rsid w:val="00AC0A20"/>
    <w:rsid w:val="00AC0BB3"/>
    <w:rsid w:val="00AD58DE"/>
    <w:rsid w:val="00AD73EC"/>
    <w:rsid w:val="00AF2855"/>
    <w:rsid w:val="00B04C28"/>
    <w:rsid w:val="00B0628C"/>
    <w:rsid w:val="00B15C5D"/>
    <w:rsid w:val="00B17354"/>
    <w:rsid w:val="00B20210"/>
    <w:rsid w:val="00B30E2A"/>
    <w:rsid w:val="00B357A9"/>
    <w:rsid w:val="00B44092"/>
    <w:rsid w:val="00B53BDF"/>
    <w:rsid w:val="00B5510E"/>
    <w:rsid w:val="00B555A3"/>
    <w:rsid w:val="00B6310E"/>
    <w:rsid w:val="00B735D1"/>
    <w:rsid w:val="00B87BF2"/>
    <w:rsid w:val="00B93DEE"/>
    <w:rsid w:val="00B97DBC"/>
    <w:rsid w:val="00BA3D89"/>
    <w:rsid w:val="00BA4BB5"/>
    <w:rsid w:val="00BA746B"/>
    <w:rsid w:val="00BE04CB"/>
    <w:rsid w:val="00BE227E"/>
    <w:rsid w:val="00BE4E02"/>
    <w:rsid w:val="00BF5A4F"/>
    <w:rsid w:val="00C10F6E"/>
    <w:rsid w:val="00C1493B"/>
    <w:rsid w:val="00C25C25"/>
    <w:rsid w:val="00C34834"/>
    <w:rsid w:val="00C4018F"/>
    <w:rsid w:val="00C41AEC"/>
    <w:rsid w:val="00C64800"/>
    <w:rsid w:val="00C83392"/>
    <w:rsid w:val="00C936FA"/>
    <w:rsid w:val="00C954B2"/>
    <w:rsid w:val="00C96156"/>
    <w:rsid w:val="00CB72E4"/>
    <w:rsid w:val="00CB7E6A"/>
    <w:rsid w:val="00CC321C"/>
    <w:rsid w:val="00CC47B9"/>
    <w:rsid w:val="00CD507A"/>
    <w:rsid w:val="00CD5ACB"/>
    <w:rsid w:val="00CE3A03"/>
    <w:rsid w:val="00CE5D28"/>
    <w:rsid w:val="00D204D7"/>
    <w:rsid w:val="00D31E65"/>
    <w:rsid w:val="00D37CCC"/>
    <w:rsid w:val="00D4183A"/>
    <w:rsid w:val="00D41D7E"/>
    <w:rsid w:val="00D45450"/>
    <w:rsid w:val="00D524A5"/>
    <w:rsid w:val="00D62FC4"/>
    <w:rsid w:val="00D731C6"/>
    <w:rsid w:val="00D73BD6"/>
    <w:rsid w:val="00D92479"/>
    <w:rsid w:val="00D934ED"/>
    <w:rsid w:val="00D960FD"/>
    <w:rsid w:val="00DB1269"/>
    <w:rsid w:val="00DB68A8"/>
    <w:rsid w:val="00DC4CAA"/>
    <w:rsid w:val="00DE67E5"/>
    <w:rsid w:val="00E01D27"/>
    <w:rsid w:val="00E158B8"/>
    <w:rsid w:val="00E20B9A"/>
    <w:rsid w:val="00E22D85"/>
    <w:rsid w:val="00E27799"/>
    <w:rsid w:val="00E42A2E"/>
    <w:rsid w:val="00E5087B"/>
    <w:rsid w:val="00E61A65"/>
    <w:rsid w:val="00E714AC"/>
    <w:rsid w:val="00E73EF3"/>
    <w:rsid w:val="00E7507F"/>
    <w:rsid w:val="00E8368E"/>
    <w:rsid w:val="00EB0DC4"/>
    <w:rsid w:val="00EB7EBA"/>
    <w:rsid w:val="00EC7161"/>
    <w:rsid w:val="00ED112D"/>
    <w:rsid w:val="00ED5A28"/>
    <w:rsid w:val="00ED6626"/>
    <w:rsid w:val="00EE0176"/>
    <w:rsid w:val="00EE1992"/>
    <w:rsid w:val="00EE25D7"/>
    <w:rsid w:val="00EF183D"/>
    <w:rsid w:val="00EF3506"/>
    <w:rsid w:val="00F0498E"/>
    <w:rsid w:val="00F12517"/>
    <w:rsid w:val="00F2168E"/>
    <w:rsid w:val="00F260F4"/>
    <w:rsid w:val="00F35C00"/>
    <w:rsid w:val="00F52D48"/>
    <w:rsid w:val="00F5351B"/>
    <w:rsid w:val="00F6316F"/>
    <w:rsid w:val="00F6489F"/>
    <w:rsid w:val="00F7008E"/>
    <w:rsid w:val="00F754A8"/>
    <w:rsid w:val="00F84BA6"/>
    <w:rsid w:val="00F855B4"/>
    <w:rsid w:val="00F868D0"/>
    <w:rsid w:val="00FA40AD"/>
    <w:rsid w:val="00FB5C95"/>
    <w:rsid w:val="00FB6237"/>
    <w:rsid w:val="00FC0BB6"/>
    <w:rsid w:val="00FC567E"/>
    <w:rsid w:val="00FC6871"/>
    <w:rsid w:val="00FD5872"/>
    <w:rsid w:val="00FD78F2"/>
    <w:rsid w:val="00FD7EDC"/>
    <w:rsid w:val="00FF248E"/>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778AF0"/>
  <w15:chartTrackingRefBased/>
  <w15:docId w15:val="{DB0AE33A-F646-43A7-ACC3-B3547ABEAE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BE" w:eastAsia="fr-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2374"/>
    <w:pPr>
      <w:ind w:firstLine="397"/>
      <w:contextualSpacing/>
      <w:jc w:val="both"/>
    </w:pPr>
    <w:rPr>
      <w:rFonts w:eastAsiaTheme="minorHAnsi" w:cstheme="minorBidi"/>
      <w:sz w:val="24"/>
      <w:szCs w:val="22"/>
      <w:lang w:eastAsia="en-US"/>
    </w:rPr>
  </w:style>
  <w:style w:type="paragraph" w:styleId="Titre1">
    <w:name w:val="heading 1"/>
    <w:basedOn w:val="Normal"/>
    <w:next w:val="Normal"/>
    <w:link w:val="Titre1Car"/>
    <w:uiPriority w:val="9"/>
    <w:qFormat/>
    <w:rsid w:val="00AC0A20"/>
    <w:pPr>
      <w:keepNext/>
      <w:keepLines/>
      <w:spacing w:before="960" w:after="120"/>
      <w:jc w:val="center"/>
      <w:outlineLvl w:val="0"/>
    </w:pPr>
    <w:rPr>
      <w:rFonts w:eastAsiaTheme="majorEastAsia" w:cstheme="majorBidi"/>
      <w:sz w:val="36"/>
      <w:szCs w:val="32"/>
    </w:rPr>
  </w:style>
  <w:style w:type="paragraph" w:styleId="Titre2">
    <w:name w:val="heading 2"/>
    <w:basedOn w:val="Normal"/>
    <w:next w:val="Normal"/>
    <w:link w:val="Titre2Car"/>
    <w:uiPriority w:val="9"/>
    <w:unhideWhenUsed/>
    <w:qFormat/>
    <w:rsid w:val="00632374"/>
    <w:pPr>
      <w:keepNext/>
      <w:keepLines/>
      <w:spacing w:before="360" w:after="120"/>
      <w:ind w:firstLine="0"/>
      <w:jc w:val="left"/>
      <w:outlineLvl w:val="1"/>
    </w:pPr>
    <w:rPr>
      <w:rFonts w:eastAsia="Times New Roman" w:cs="Times New Roman"/>
      <w:b/>
      <w:szCs w:val="26"/>
    </w:rPr>
  </w:style>
  <w:style w:type="paragraph" w:styleId="Titre3">
    <w:name w:val="heading 3"/>
    <w:basedOn w:val="Normal"/>
    <w:next w:val="Normal"/>
    <w:link w:val="Titre3Car"/>
    <w:uiPriority w:val="9"/>
    <w:unhideWhenUsed/>
    <w:qFormat/>
    <w:rsid w:val="007C484C"/>
    <w:pPr>
      <w:keepNext/>
      <w:keepLines/>
      <w:spacing w:before="240" w:after="120"/>
      <w:ind w:firstLine="0"/>
      <w:jc w:val="left"/>
      <w:outlineLvl w:val="2"/>
    </w:pPr>
    <w:rPr>
      <w:rFonts w:eastAsiaTheme="majorEastAsia" w:cstheme="majorBidi"/>
      <w:b/>
      <w:i/>
      <w:szCs w:val="24"/>
    </w:rPr>
  </w:style>
  <w:style w:type="paragraph" w:styleId="Titre4">
    <w:name w:val="heading 4"/>
    <w:basedOn w:val="Normal"/>
    <w:next w:val="Normal"/>
    <w:qFormat/>
    <w:rsid w:val="007C484C"/>
    <w:pPr>
      <w:keepNext/>
      <w:spacing w:before="240" w:after="60"/>
      <w:ind w:firstLine="0"/>
      <w:outlineLvl w:val="3"/>
    </w:pPr>
    <w:rPr>
      <w:i/>
    </w:rPr>
  </w:style>
  <w:style w:type="paragraph" w:styleId="Titre5">
    <w:name w:val="heading 5"/>
    <w:basedOn w:val="Normal"/>
    <w:next w:val="Normal"/>
    <w:qFormat/>
    <w:pPr>
      <w:spacing w:before="240" w:after="60"/>
      <w:ind w:firstLine="0"/>
      <w:outlineLvl w:val="4"/>
    </w:pPr>
    <w:rPr>
      <w:rFonts w:ascii="Arial" w:hAnsi="Arial"/>
      <w:sz w:val="22"/>
    </w:rPr>
  </w:style>
  <w:style w:type="paragraph" w:styleId="Titre6">
    <w:name w:val="heading 6"/>
    <w:basedOn w:val="Normal"/>
    <w:next w:val="Normal"/>
    <w:qFormat/>
    <w:pPr>
      <w:spacing w:before="240" w:after="60"/>
      <w:ind w:firstLine="0"/>
      <w:outlineLvl w:val="5"/>
    </w:pPr>
    <w:rPr>
      <w:rFonts w:ascii="Arial" w:hAnsi="Arial"/>
      <w:i/>
      <w:sz w:val="22"/>
    </w:rPr>
  </w:style>
  <w:style w:type="paragraph" w:styleId="Titre7">
    <w:name w:val="heading 7"/>
    <w:basedOn w:val="Normal"/>
    <w:next w:val="Normal"/>
    <w:qFormat/>
    <w:pPr>
      <w:spacing w:before="240" w:after="60"/>
      <w:ind w:firstLine="0"/>
      <w:outlineLvl w:val="6"/>
    </w:pPr>
    <w:rPr>
      <w:rFonts w:ascii="Arial" w:hAnsi="Arial"/>
      <w:sz w:val="20"/>
    </w:rPr>
  </w:style>
  <w:style w:type="paragraph" w:styleId="Titre8">
    <w:name w:val="heading 8"/>
    <w:basedOn w:val="Normal"/>
    <w:next w:val="Normal"/>
    <w:qFormat/>
    <w:pPr>
      <w:spacing w:before="240" w:after="60"/>
      <w:ind w:firstLine="0"/>
      <w:outlineLvl w:val="7"/>
    </w:pPr>
    <w:rPr>
      <w:rFonts w:ascii="Arial" w:hAnsi="Arial"/>
      <w:i/>
      <w:sz w:val="20"/>
    </w:rPr>
  </w:style>
  <w:style w:type="paragraph" w:styleId="Titre9">
    <w:name w:val="heading 9"/>
    <w:basedOn w:val="Normal"/>
    <w:next w:val="Normal"/>
    <w:qFormat/>
    <w:pPr>
      <w:spacing w:before="240" w:after="60"/>
      <w:ind w:firstLine="0"/>
      <w:outlineLvl w:val="8"/>
    </w:pPr>
    <w:rPr>
      <w:rFonts w:ascii="Arial" w:hAnsi="Arial"/>
      <w:i/>
      <w:sz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Normal1">
    <w:name w:val="Normal1"/>
    <w:basedOn w:val="Normal"/>
  </w:style>
  <w:style w:type="character" w:styleId="Appelnotedebasdep">
    <w:name w:val="footnote reference"/>
    <w:basedOn w:val="Policepardfaut"/>
    <w:uiPriority w:val="99"/>
    <w:unhideWhenUsed/>
    <w:rsid w:val="00AC0A20"/>
    <w:rPr>
      <w:rFonts w:ascii="Times New Roman" w:hAnsi="Times New Roman"/>
      <w:sz w:val="20"/>
      <w:vertAlign w:val="superscript"/>
    </w:rPr>
  </w:style>
  <w:style w:type="paragraph" w:styleId="TM1">
    <w:name w:val="toc 1"/>
    <w:basedOn w:val="Normal"/>
    <w:next w:val="Normal"/>
    <w:semiHidden/>
    <w:pPr>
      <w:tabs>
        <w:tab w:val="right" w:pos="9072"/>
      </w:tabs>
      <w:spacing w:before="360" w:after="360"/>
      <w:ind w:firstLine="0"/>
      <w:jc w:val="left"/>
    </w:pPr>
    <w:rPr>
      <w:b/>
      <w:caps/>
      <w:sz w:val="22"/>
      <w:u w:val="single"/>
    </w:rPr>
  </w:style>
  <w:style w:type="paragraph" w:styleId="TM2">
    <w:name w:val="toc 2"/>
    <w:basedOn w:val="Normal"/>
    <w:next w:val="Normal"/>
    <w:semiHidden/>
    <w:pPr>
      <w:tabs>
        <w:tab w:val="right" w:pos="9072"/>
      </w:tabs>
      <w:ind w:left="240" w:firstLine="0"/>
      <w:jc w:val="left"/>
    </w:pPr>
    <w:rPr>
      <w:b/>
      <w:smallCaps/>
      <w:sz w:val="22"/>
    </w:rPr>
  </w:style>
  <w:style w:type="paragraph" w:styleId="TM3">
    <w:name w:val="toc 3"/>
    <w:basedOn w:val="Normal"/>
    <w:next w:val="Normal"/>
    <w:semiHidden/>
    <w:pPr>
      <w:tabs>
        <w:tab w:val="right" w:pos="9072"/>
      </w:tabs>
      <w:ind w:left="480" w:firstLine="0"/>
      <w:jc w:val="left"/>
    </w:pPr>
    <w:rPr>
      <w:smallCaps/>
      <w:sz w:val="22"/>
    </w:rPr>
  </w:style>
  <w:style w:type="paragraph" w:styleId="Retraitnormal">
    <w:name w:val="Normal Indent"/>
    <w:basedOn w:val="Normal"/>
    <w:semiHidden/>
    <w:pPr>
      <w:ind w:left="708" w:firstLine="0"/>
      <w:jc w:val="left"/>
    </w:pPr>
  </w:style>
  <w:style w:type="paragraph" w:styleId="Notedebasdepage">
    <w:name w:val="footnote text"/>
    <w:basedOn w:val="Normal"/>
    <w:link w:val="NotedebasdepageCar"/>
    <w:autoRedefine/>
    <w:uiPriority w:val="99"/>
    <w:unhideWhenUsed/>
    <w:rsid w:val="00F754A8"/>
    <w:pPr>
      <w:keepNext/>
      <w:spacing w:after="40"/>
      <w:ind w:left="284" w:hanging="284"/>
      <w:contextualSpacing w:val="0"/>
    </w:pPr>
    <w:rPr>
      <w:rFonts w:eastAsia="Times New Roman"/>
      <w:sz w:val="20"/>
      <w:szCs w:val="20"/>
    </w:rPr>
  </w:style>
  <w:style w:type="paragraph" w:styleId="En-tte">
    <w:name w:val="header"/>
    <w:basedOn w:val="Normal"/>
    <w:link w:val="En-tteCar"/>
    <w:uiPriority w:val="99"/>
    <w:pPr>
      <w:tabs>
        <w:tab w:val="center" w:pos="4819"/>
        <w:tab w:val="right" w:pos="9071"/>
      </w:tabs>
      <w:ind w:firstLine="0"/>
      <w:jc w:val="left"/>
    </w:pPr>
  </w:style>
  <w:style w:type="paragraph" w:styleId="Citationintense">
    <w:name w:val="Intense Quote"/>
    <w:aliases w:val="Épigraphe"/>
    <w:basedOn w:val="Normal"/>
    <w:next w:val="Normal"/>
    <w:link w:val="CitationintenseCar"/>
    <w:autoRedefine/>
    <w:uiPriority w:val="30"/>
    <w:qFormat/>
    <w:rsid w:val="00AC0A20"/>
    <w:pPr>
      <w:keepNext/>
      <w:spacing w:before="360" w:after="360" w:line="276" w:lineRule="auto"/>
      <w:ind w:left="2268"/>
    </w:pPr>
    <w:rPr>
      <w:iCs/>
      <w:sz w:val="22"/>
      <w:szCs w:val="18"/>
      <w:lang w:eastAsia="fr-BE"/>
    </w:rPr>
  </w:style>
  <w:style w:type="character" w:customStyle="1" w:styleId="CitationintenseCar">
    <w:name w:val="Citation intense Car"/>
    <w:aliases w:val="Épigraphe Car"/>
    <w:basedOn w:val="Policepardfaut"/>
    <w:link w:val="Citationintense"/>
    <w:uiPriority w:val="30"/>
    <w:rsid w:val="00AC0A20"/>
    <w:rPr>
      <w:rFonts w:eastAsiaTheme="minorHAnsi" w:cstheme="minorBidi"/>
      <w:iCs/>
      <w:sz w:val="22"/>
      <w:szCs w:val="18"/>
    </w:rPr>
  </w:style>
  <w:style w:type="paragraph" w:styleId="Citation">
    <w:name w:val="Quote"/>
    <w:basedOn w:val="Normal"/>
    <w:next w:val="Normal"/>
    <w:link w:val="CitationCar"/>
    <w:autoRedefine/>
    <w:uiPriority w:val="29"/>
    <w:qFormat/>
    <w:rsid w:val="00AC0A20"/>
    <w:pPr>
      <w:spacing w:before="120" w:after="120" w:line="300" w:lineRule="auto"/>
      <w:ind w:left="397" w:right="397"/>
    </w:pPr>
    <w:rPr>
      <w:iCs/>
      <w:sz w:val="22"/>
    </w:rPr>
  </w:style>
  <w:style w:type="character" w:customStyle="1" w:styleId="CitationCar">
    <w:name w:val="Citation Car"/>
    <w:basedOn w:val="Policepardfaut"/>
    <w:link w:val="Citation"/>
    <w:uiPriority w:val="29"/>
    <w:rsid w:val="00AC0A20"/>
    <w:rPr>
      <w:rFonts w:eastAsiaTheme="minorHAnsi" w:cstheme="minorBidi"/>
      <w:iCs/>
      <w:sz w:val="22"/>
      <w:szCs w:val="22"/>
      <w:lang w:eastAsia="en-US"/>
    </w:rPr>
  </w:style>
  <w:style w:type="character" w:customStyle="1" w:styleId="NotedebasdepageCar">
    <w:name w:val="Note de bas de page Car"/>
    <w:basedOn w:val="Policepardfaut"/>
    <w:link w:val="Notedebasdepage"/>
    <w:uiPriority w:val="99"/>
    <w:rsid w:val="00F754A8"/>
    <w:rPr>
      <w:rFonts w:cstheme="minorBidi"/>
      <w:lang w:eastAsia="en-US"/>
    </w:rPr>
  </w:style>
  <w:style w:type="character" w:customStyle="1" w:styleId="Titre1Car">
    <w:name w:val="Titre 1 Car"/>
    <w:basedOn w:val="Policepardfaut"/>
    <w:link w:val="Titre1"/>
    <w:uiPriority w:val="9"/>
    <w:rsid w:val="00AC0A20"/>
    <w:rPr>
      <w:rFonts w:eastAsiaTheme="majorEastAsia" w:cstheme="majorBidi"/>
      <w:sz w:val="36"/>
      <w:szCs w:val="32"/>
      <w:lang w:eastAsia="en-US"/>
    </w:rPr>
  </w:style>
  <w:style w:type="character" w:customStyle="1" w:styleId="Titre2Car">
    <w:name w:val="Titre 2 Car"/>
    <w:link w:val="Titre2"/>
    <w:uiPriority w:val="9"/>
    <w:rsid w:val="00632374"/>
    <w:rPr>
      <w:b/>
      <w:sz w:val="24"/>
      <w:szCs w:val="26"/>
      <w:lang w:eastAsia="en-US"/>
    </w:rPr>
  </w:style>
  <w:style w:type="character" w:customStyle="1" w:styleId="Titre3Car">
    <w:name w:val="Titre 3 Car"/>
    <w:basedOn w:val="Policepardfaut"/>
    <w:link w:val="Titre3"/>
    <w:uiPriority w:val="9"/>
    <w:rsid w:val="007C484C"/>
    <w:rPr>
      <w:rFonts w:eastAsiaTheme="majorEastAsia" w:cstheme="majorBidi"/>
      <w:b/>
      <w:i/>
      <w:sz w:val="24"/>
      <w:szCs w:val="24"/>
      <w:lang w:eastAsia="en-US"/>
    </w:rPr>
  </w:style>
  <w:style w:type="paragraph" w:customStyle="1" w:styleId="Nomdauteur">
    <w:name w:val="Nom d'auteur"/>
    <w:basedOn w:val="Normal"/>
    <w:qFormat/>
    <w:rsid w:val="00AC0A20"/>
    <w:pPr>
      <w:tabs>
        <w:tab w:val="left" w:pos="280"/>
      </w:tabs>
      <w:spacing w:before="300" w:after="480"/>
      <w:jc w:val="center"/>
    </w:pPr>
    <w:rPr>
      <w:rFonts w:eastAsia="Times New Roman"/>
      <w:sz w:val="28"/>
      <w:szCs w:val="24"/>
      <w:lang w:val="en-GB"/>
    </w:rPr>
  </w:style>
  <w:style w:type="paragraph" w:styleId="Pieddepage">
    <w:name w:val="footer"/>
    <w:basedOn w:val="Normal"/>
    <w:link w:val="PieddepageCar"/>
    <w:uiPriority w:val="99"/>
    <w:unhideWhenUsed/>
    <w:rsid w:val="004C5B75"/>
    <w:pPr>
      <w:tabs>
        <w:tab w:val="center" w:pos="4536"/>
        <w:tab w:val="right" w:pos="9072"/>
      </w:tabs>
    </w:pPr>
  </w:style>
  <w:style w:type="character" w:customStyle="1" w:styleId="PieddepageCar">
    <w:name w:val="Pied de page Car"/>
    <w:basedOn w:val="Policepardfaut"/>
    <w:link w:val="Pieddepage"/>
    <w:uiPriority w:val="99"/>
    <w:rsid w:val="004C5B75"/>
    <w:rPr>
      <w:rFonts w:eastAsiaTheme="minorHAnsi" w:cstheme="minorBidi"/>
      <w:sz w:val="24"/>
      <w:szCs w:val="22"/>
      <w:lang w:eastAsia="en-US"/>
    </w:rPr>
  </w:style>
  <w:style w:type="character" w:customStyle="1" w:styleId="En-tteCar">
    <w:name w:val="En-tête Car"/>
    <w:basedOn w:val="Policepardfaut"/>
    <w:link w:val="En-tte"/>
    <w:uiPriority w:val="99"/>
    <w:rsid w:val="004C5B75"/>
    <w:rPr>
      <w:rFonts w:eastAsiaTheme="minorHAnsi" w:cstheme="minorBidi"/>
      <w:sz w:val="24"/>
      <w:szCs w:val="22"/>
      <w:lang w:eastAsia="en-US"/>
    </w:rPr>
  </w:style>
  <w:style w:type="character" w:styleId="Accentuation">
    <w:name w:val="Emphasis"/>
    <w:basedOn w:val="Policepardfaut"/>
    <w:uiPriority w:val="20"/>
    <w:qFormat/>
    <w:rsid w:val="00A13DA4"/>
    <w:rPr>
      <w:i/>
      <w:iCs/>
    </w:rPr>
  </w:style>
  <w:style w:type="paragraph" w:styleId="Titre">
    <w:name w:val="Title"/>
    <w:basedOn w:val="Normal"/>
    <w:next w:val="Normal"/>
    <w:link w:val="TitreCar"/>
    <w:uiPriority w:val="10"/>
    <w:qFormat/>
    <w:rsid w:val="0082746A"/>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82746A"/>
    <w:rPr>
      <w:rFonts w:asciiTheme="majorHAnsi" w:eastAsiaTheme="majorEastAsia" w:hAnsiTheme="majorHAnsi" w:cstheme="majorBidi"/>
      <w:spacing w:val="-10"/>
      <w:kern w:val="28"/>
      <w:sz w:val="56"/>
      <w:szCs w:val="56"/>
      <w:lang w:eastAsia="en-US"/>
    </w:rPr>
  </w:style>
  <w:style w:type="paragraph" w:styleId="Retraitcorpsdetexte">
    <w:name w:val="Body Text Indent"/>
    <w:basedOn w:val="Normal"/>
    <w:link w:val="RetraitcorpsdetexteCar"/>
    <w:uiPriority w:val="99"/>
    <w:unhideWhenUsed/>
    <w:rsid w:val="0082746A"/>
    <w:pPr>
      <w:spacing w:after="120"/>
      <w:ind w:left="283"/>
    </w:pPr>
  </w:style>
  <w:style w:type="character" w:customStyle="1" w:styleId="RetraitcorpsdetexteCar">
    <w:name w:val="Retrait corps de texte Car"/>
    <w:basedOn w:val="Policepardfaut"/>
    <w:link w:val="Retraitcorpsdetexte"/>
    <w:uiPriority w:val="99"/>
    <w:rsid w:val="0082746A"/>
    <w:rPr>
      <w:rFonts w:eastAsiaTheme="minorHAnsi" w:cstheme="minorBidi"/>
      <w:sz w:val="24"/>
      <w:szCs w:val="22"/>
      <w:lang w:eastAsia="en-US"/>
    </w:rPr>
  </w:style>
  <w:style w:type="paragraph" w:styleId="Corpsdetexte">
    <w:name w:val="Body Text"/>
    <w:basedOn w:val="Normal"/>
    <w:link w:val="CorpsdetexteCar"/>
    <w:uiPriority w:val="99"/>
    <w:semiHidden/>
    <w:unhideWhenUsed/>
    <w:rsid w:val="0082746A"/>
    <w:pPr>
      <w:spacing w:after="120"/>
    </w:pPr>
  </w:style>
  <w:style w:type="character" w:customStyle="1" w:styleId="CorpsdetexteCar">
    <w:name w:val="Corps de texte Car"/>
    <w:basedOn w:val="Policepardfaut"/>
    <w:link w:val="Corpsdetexte"/>
    <w:uiPriority w:val="99"/>
    <w:semiHidden/>
    <w:rsid w:val="0082746A"/>
    <w:rPr>
      <w:rFonts w:eastAsiaTheme="minorHAnsi" w:cstheme="minorBidi"/>
      <w:sz w:val="24"/>
      <w:szCs w:val="22"/>
      <w:lang w:eastAsia="en-US"/>
    </w:rPr>
  </w:style>
  <w:style w:type="paragraph" w:styleId="Retrait1religne">
    <w:name w:val="Body Text First Indent"/>
    <w:basedOn w:val="Corpsdetexte"/>
    <w:link w:val="Retrait1religneCar"/>
    <w:uiPriority w:val="99"/>
    <w:unhideWhenUsed/>
    <w:rsid w:val="0082746A"/>
    <w:pPr>
      <w:spacing w:after="0"/>
      <w:ind w:firstLine="360"/>
    </w:pPr>
  </w:style>
  <w:style w:type="character" w:customStyle="1" w:styleId="Retrait1religneCar">
    <w:name w:val="Retrait 1re ligne Car"/>
    <w:basedOn w:val="CorpsdetexteCar"/>
    <w:link w:val="Retrait1religne"/>
    <w:uiPriority w:val="99"/>
    <w:rsid w:val="0082746A"/>
    <w:rPr>
      <w:rFonts w:eastAsiaTheme="minorHAnsi" w:cstheme="minorBidi"/>
      <w:sz w:val="24"/>
      <w:szCs w:val="22"/>
      <w:lang w:eastAsia="en-US"/>
    </w:rPr>
  </w:style>
  <w:style w:type="character" w:styleId="Marquedecommentaire">
    <w:name w:val="annotation reference"/>
    <w:basedOn w:val="Policepardfaut"/>
    <w:uiPriority w:val="99"/>
    <w:semiHidden/>
    <w:unhideWhenUsed/>
    <w:rsid w:val="005F024D"/>
    <w:rPr>
      <w:sz w:val="16"/>
      <w:szCs w:val="16"/>
    </w:rPr>
  </w:style>
  <w:style w:type="paragraph" w:styleId="Commentaire">
    <w:name w:val="annotation text"/>
    <w:basedOn w:val="Normal"/>
    <w:link w:val="CommentaireCar"/>
    <w:uiPriority w:val="99"/>
    <w:unhideWhenUsed/>
    <w:rsid w:val="005F024D"/>
    <w:rPr>
      <w:sz w:val="20"/>
      <w:szCs w:val="20"/>
    </w:rPr>
  </w:style>
  <w:style w:type="character" w:customStyle="1" w:styleId="CommentaireCar">
    <w:name w:val="Commentaire Car"/>
    <w:basedOn w:val="Policepardfaut"/>
    <w:link w:val="Commentaire"/>
    <w:uiPriority w:val="99"/>
    <w:rsid w:val="005F024D"/>
    <w:rPr>
      <w:rFonts w:eastAsiaTheme="minorHAnsi" w:cstheme="minorBidi"/>
      <w:lang w:eastAsia="en-US"/>
    </w:rPr>
  </w:style>
  <w:style w:type="paragraph" w:styleId="Objetducommentaire">
    <w:name w:val="annotation subject"/>
    <w:basedOn w:val="Commentaire"/>
    <w:next w:val="Commentaire"/>
    <w:link w:val="ObjetducommentaireCar"/>
    <w:uiPriority w:val="99"/>
    <w:semiHidden/>
    <w:unhideWhenUsed/>
    <w:rsid w:val="005F024D"/>
    <w:rPr>
      <w:b/>
      <w:bCs/>
    </w:rPr>
  </w:style>
  <w:style w:type="character" w:customStyle="1" w:styleId="ObjetducommentaireCar">
    <w:name w:val="Objet du commentaire Car"/>
    <w:basedOn w:val="CommentaireCar"/>
    <w:link w:val="Objetducommentaire"/>
    <w:uiPriority w:val="99"/>
    <w:semiHidden/>
    <w:rsid w:val="005F024D"/>
    <w:rPr>
      <w:rFonts w:eastAsiaTheme="minorHAnsi" w:cstheme="minorBidi"/>
      <w:b/>
      <w:bCs/>
      <w:lang w:eastAsia="en-US"/>
    </w:rPr>
  </w:style>
  <w:style w:type="paragraph" w:styleId="Rvision">
    <w:name w:val="Revision"/>
    <w:hidden/>
    <w:uiPriority w:val="99"/>
    <w:semiHidden/>
    <w:rsid w:val="005F024D"/>
    <w:rPr>
      <w:rFonts w:eastAsiaTheme="minorHAnsi" w:cstheme="minorBidi"/>
      <w:sz w:val="24"/>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2309</Words>
  <Characters>12701</Characters>
  <Application>Microsoft Office Word</Application>
  <DocSecurity>0</DocSecurity>
  <Lines>105</Lines>
  <Paragraphs>29</Paragraphs>
  <ScaleCrop>false</ScaleCrop>
  <HeadingPairs>
    <vt:vector size="2" baseType="variant">
      <vt:variant>
        <vt:lpstr>Titre</vt:lpstr>
      </vt:variant>
      <vt:variant>
        <vt:i4>1</vt:i4>
      </vt:variant>
    </vt:vector>
  </HeadingPairs>
  <TitlesOfParts>
    <vt:vector size="1" baseType="lpstr">
      <vt:lpstr>INTRODUCTION	1</vt:lpstr>
    </vt:vector>
  </TitlesOfParts>
  <Company> </Company>
  <LinksUpToDate>false</LinksUpToDate>
  <CharactersWithSpaces>14981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INTRODUCTION	1</dc:title>
  <dc:subject/>
  <dc:creator>Arnaud Massin</dc:creator>
  <cp:keywords/>
  <dc:description/>
  <cp:lastModifiedBy>Massin Arnaud</cp:lastModifiedBy>
  <cp:revision>2</cp:revision>
  <cp:lastPrinted>1998-11-10T15:31:00Z</cp:lastPrinted>
  <dcterms:created xsi:type="dcterms:W3CDTF">2026-06-26T12:48:00Z</dcterms:created>
  <dcterms:modified xsi:type="dcterms:W3CDTF">2026-06-26T12:48:00Z</dcterms:modified>
</cp:coreProperties>
</file>