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1A1A2E" w:val="clear"/>
            <w:tcMar>
              <w:top w:type="dxa" w:w="280"/>
              <w:left w:type="dxa" w:w="400"/>
              <w:bottom w:type="dxa" w:w="280"/>
              <w:right w:type="dxa" w:w="400"/>
            </w:tcMar>
          </w:tcPr>
          <w:p>
            <w:r>
              <w:rPr>
                <w:rFonts w:ascii="Arial" w:cs="Arial" w:eastAsia="Arial" w:hAnsi="Arial"/>
                <w:b/>
                <w:bCs/>
                <w:color w:val="AAAACC"/>
                <w:spacing w:val="120"/>
                <w:sz w:val="18"/>
                <w:szCs w:val="18"/>
              </w:rPr>
              <w:t xml:space="preserve">WORKING PAPER</w:t>
            </w:r>
          </w:p>
          <w:p>
            <w:pPr>
              <w:spacing w:after="0" w:before="60"/>
            </w:pPr>
            <w:r>
              <w:rPr>
                <w:rFonts w:ascii="Arial" w:cs="Arial" w:eastAsia="Arial" w:hAnsi="Arial"/>
                <w:color w:val="8888AA"/>
                <w:sz w:val="18"/>
                <w:szCs w:val="18"/>
              </w:rPr>
              <w:t xml:space="preserve">Sustainable Building Design Lab | Université de Liège</w:t>
            </w:r>
          </w:p>
        </w:tc>
      </w:tr>
    </w:tbl>
    <w:p>
      <w:pPr>
        <w:spacing w:after="0" w:before="800"/>
      </w:pPr>
    </w:p>
    <w:p>
      <w:pPr>
        <w:spacing w:after="60" w:before="0"/>
      </w:pPr>
      <w:r>
        <w:rPr>
          <w:rFonts w:ascii="Georgia" w:cs="Georgia" w:eastAsia="Georgia" w:hAnsi="Georgia"/>
          <w:b/>
          <w:bCs/>
          <w:color w:val="1A1A2E"/>
          <w:sz w:val="64"/>
          <w:szCs w:val="64"/>
        </w:rPr>
        <w:t xml:space="preserve">Prestige Diffusion Theory</w:t>
      </w:r>
    </w:p>
    <w:p>
      <w:pPr>
        <w:spacing w:after="240" w:before="0"/>
      </w:pPr>
      <w:r>
        <w:rPr>
          <w:rFonts w:ascii="Georgia" w:cs="Georgia" w:eastAsia="Georgia" w:hAnsi="Georgia"/>
          <w:i/>
          <w:iCs/>
          <w:color w:val="2E4057"/>
          <w:sz w:val="36"/>
          <w:szCs w:val="36"/>
        </w:rPr>
        <w:br/>
        <w:t xml:space="preserve">China's Uneven Transition from Concentrated Academic
Power to Distributed Engineering Excellence</w:t>
      </w:r>
    </w:p>
    <w:p>
      <w:pPr>
        <w:pBdr>
          <w:bottom w:val="single" w:color="2E4057" w:sz="4" w:space="1"/>
        </w:pBdr>
        <w:spacing w:after="160" w:before="160"/>
      </w:pPr>
    </w:p>
    <w:p>
      <w:pPr>
        <w:spacing w:after="0" w:before="160"/>
      </w:pPr>
    </w:p>
    <w:p>
      <w:pPr>
        <w:spacing w:after="60" w:before="0"/>
      </w:pPr>
      <w:r>
        <w:rPr>
          <w:rFonts w:ascii="Arial" w:cs="Arial" w:eastAsia="Arial" w:hAnsi="Arial"/>
          <w:b/>
          <w:bCs/>
          <w:color w:val="1A1A2E"/>
          <w:sz w:val="28"/>
          <w:szCs w:val="28"/>
        </w:rPr>
        <w:t xml:space="preserve">Shady Attia</w:t>
      </w:r>
    </w:p>
    <w:p>
      <w:pPr>
        <w:spacing w:after="40" w:before="0"/>
      </w:pPr>
      <w:r>
        <w:rPr>
          <w:rFonts w:ascii="Arial" w:cs="Arial" w:eastAsia="Arial" w:hAnsi="Arial"/>
          <w:color w:val="444444"/>
          <w:sz w:val="22"/>
          <w:szCs w:val="22"/>
        </w:rPr>
        <w:t xml:space="preserve">Sustainable Building Design Lab</w:t>
      </w:r>
    </w:p>
    <w:p>
      <w:pPr>
        <w:spacing w:after="40" w:before="0"/>
      </w:pPr>
      <w:r>
        <w:rPr>
          <w:rFonts w:ascii="Arial" w:cs="Arial" w:eastAsia="Arial" w:hAnsi="Arial"/>
          <w:color w:val="444444"/>
          <w:sz w:val="22"/>
          <w:szCs w:val="22"/>
        </w:rPr>
        <w:t xml:space="preserve">Department of Urban and Environmental Engineering</w:t>
      </w:r>
    </w:p>
    <w:p>
      <w:pPr>
        <w:spacing w:after="40" w:before="0"/>
      </w:pPr>
      <w:r>
        <w:rPr>
          <w:rFonts w:ascii="Arial" w:cs="Arial" w:eastAsia="Arial" w:hAnsi="Arial"/>
          <w:color w:val="444444"/>
          <w:sz w:val="22"/>
          <w:szCs w:val="22"/>
        </w:rPr>
        <w:t xml:space="preserve">Faculty of Applied Sciences, Université de Liège, Belgium</w:t>
      </w:r>
    </w:p>
    <w:p>
      <w:pPr>
        <w:spacing w:after="40" w:before="0"/>
      </w:pPr>
      <w:r>
        <w:rPr>
          <w:rFonts w:ascii="Arial" w:cs="Arial" w:eastAsia="Arial" w:hAnsi="Arial"/>
          <w:color w:val="2E4057"/>
          <w:sz w:val="22"/>
          <w:szCs w:val="22"/>
        </w:rPr>
        <w:t xml:space="preserve">shady.attia@uliege.be</w:t>
      </w:r>
    </w:p>
    <w:p>
      <w:pPr>
        <w:spacing w:after="0" w:before="4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400"/>
        <w:gridCol w:w="4626"/>
      </w:tblGrid>
      <w:tr>
        <w:tc>
          <w:tcPr>
            <w:tcW w:type="dxa" w:w="4400"/>
            <w:tcBorders>
              <w:top w:val="single" w:color="2E4057" w:sz="4"/>
              <w:left w:val="none" w:color="FFFFFF" w:sz="0"/>
              <w:bottom w:val="none" w:color="FFFFFF" w:sz="0"/>
              <w:right w:val="none" w:color="FFFFFF" w:sz="0"/>
            </w:tcBorders>
            <w:tcMar>
              <w:top w:type="dxa" w:w="160"/>
              <w:left w:type="dxa" w:w="0"/>
              <w:bottom w:type="dxa" w:w="0"/>
              <w:right w:type="dxa" w:w="200"/>
            </w:tcMar>
          </w:tcPr>
          <w:p>
            <w:r>
              <w:rPr>
                <w:rFonts w:ascii="Arial" w:cs="Arial" w:eastAsia="Arial" w:hAnsi="Arial"/>
                <w:b/>
                <w:bCs/>
                <w:color w:val="2E4057"/>
                <w:sz w:val="18"/>
                <w:szCs w:val="18"/>
              </w:rPr>
              <w:t xml:space="preserve">Suggested Citation</w:t>
            </w:r>
          </w:p>
          <w:p>
            <w:pPr>
              <w:spacing w:after="0" w:before="60"/>
              <w:jc w:val="both"/>
            </w:pPr>
            <w:r>
              <w:rPr>
                <w:rFonts w:ascii="Georgia" w:cs="Georgia" w:eastAsia="Georgia" w:hAnsi="Georgia"/>
                <w:color w:val="333333"/>
                <w:sz w:val="18"/>
                <w:szCs w:val="18"/>
              </w:rPr>
              <w:t xml:space="preserve">Attia, S. (2026). Prestige diffusion theory: China's uneven transition from concentrated academic power to distributed engineering excellence. Working paper. Sustainable Building Design Lab, University of Liège. ISBN: 978-2-930909-31-8.</w:t>
            </w:r>
          </w:p>
        </w:tc>
        <w:tc>
          <w:tcPr>
            <w:tcW w:type="dxa" w:w="4626"/>
            <w:tcBorders>
              <w:top w:val="single" w:color="2E4057" w:sz="4"/>
              <w:left w:val="none" w:color="FFFFFF" w:sz="0"/>
              <w:bottom w:val="none" w:color="FFFFFF" w:sz="0"/>
              <w:right w:val="none" w:color="FFFFFF" w:sz="0"/>
            </w:tcBorders>
            <w:tcMar>
              <w:top w:type="dxa" w:w="160"/>
              <w:left w:type="dxa" w:w="200"/>
              <w:bottom w:type="dxa" w:w="0"/>
              <w:right w:type="dxa" w:w="0"/>
            </w:tcMar>
          </w:tcPr>
          <w:p>
            <w:r>
              <w:rPr>
                <w:rFonts w:ascii="Arial" w:cs="Arial" w:eastAsia="Arial" w:hAnsi="Arial"/>
                <w:b/>
                <w:bCs/>
                <w:color w:val="2E4057"/>
                <w:sz w:val="18"/>
                <w:szCs w:val="18"/>
              </w:rPr>
              <w:t xml:space="preserve">Keywords</w:t>
            </w:r>
          </w:p>
          <w:p>
            <w:pPr>
              <w:spacing w:after="0" w:before="60"/>
            </w:pPr>
            <w:r>
              <w:rPr>
                <w:rFonts w:ascii="Georgia" w:cs="Georgia" w:eastAsia="Georgia" w:hAnsi="Georgia"/>
                <w:i/>
                <w:iCs/>
                <w:color w:val="555555"/>
                <w:sz w:val="18"/>
                <w:szCs w:val="18"/>
              </w:rPr>
              <w:t xml:space="preserve">Prestige diffusion | China | Engineering education | Academic hierarchies | Nature Index | NSFC | AI and academia | Demographic risk</w:t>
            </w:r>
          </w:p>
        </w:tc>
      </w:tr>
    </w:tbl>
    <w:p>
      <w:r>
        <w:br w:type="page"/>
      </w:r>
    </w:p>
    <w:p>
      <w:pPr>
        <w:spacing w:after="40" w:before="0"/>
      </w:pPr>
      <w:r>
        <w:rPr>
          <w:rFonts w:ascii="Georgia" w:cs="Georgia" w:eastAsia="Georgia" w:hAnsi="Georgia"/>
          <w:b/>
          <w:bCs/>
          <w:color w:val="1A1A2E"/>
          <w:sz w:val="36"/>
          <w:szCs w:val="36"/>
        </w:rPr>
        <w:t xml:space="preserve">Prestige Diffusion Theory</w:t>
      </w:r>
    </w:p>
    <w:p>
      <w:pPr>
        <w:spacing w:after="40" w:before="0"/>
      </w:pPr>
      <w:r>
        <w:rPr>
          <w:rFonts w:ascii="Georgia" w:cs="Georgia" w:eastAsia="Georgia" w:hAnsi="Georgia"/>
          <w:i/>
          <w:iCs/>
          <w:color w:val="2E4057"/>
          <w:sz w:val="24"/>
          <w:szCs w:val="24"/>
        </w:rPr>
        <w:t xml:space="preserve">China's Uneven Transition from Concentrated Academic Power to Distributed Engineering Excellence</w:t>
      </w:r>
    </w:p>
    <w:p>
      <w:pPr>
        <w:spacing w:after="20" w:before="0"/>
      </w:pPr>
      <w:r>
        <w:rPr>
          <w:rFonts w:ascii="Arial" w:cs="Arial" w:eastAsia="Arial" w:hAnsi="Arial"/>
          <w:color w:val="555555"/>
          <w:sz w:val="19"/>
          <w:szCs w:val="19"/>
        </w:rPr>
        <w:t xml:space="preserve">Shady Attia  |  Sustainable Building Design Lab, Department UEE, Faculty of Applied Sciences, Université de Liège, Belgium</w:t>
      </w:r>
    </w:p>
    <w:p>
      <w:pPr>
        <w:pBdr>
          <w:bottom w:val="single" w:color="1A1A2E" w:sz="4" w:space="1"/>
        </w:pBdr>
        <w:spacing w:after="160" w:before="1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0F0F5" w:val="clear"/>
            <w:tcMar>
              <w:top w:type="dxa" w:w="200"/>
              <w:left w:type="dxa" w:w="280"/>
              <w:bottom w:type="dxa" w:w="200"/>
              <w:right w:type="dxa" w:w="280"/>
            </w:tcMar>
          </w:tcPr>
          <w:p>
            <w:pPr>
              <w:spacing w:after="80" w:before="0"/>
            </w:pPr>
            <w:r>
              <w:rPr>
                <w:rFonts w:ascii="Arial" w:cs="Arial" w:eastAsia="Arial" w:hAnsi="Arial"/>
                <w:b/>
                <w:bCs/>
                <w:color w:val="1A1A2E"/>
                <w:sz w:val="22"/>
                <w:szCs w:val="22"/>
              </w:rPr>
              <w:t xml:space="preserve">Abstract</w:t>
            </w:r>
          </w:p>
          <w:p>
            <w:pPr>
              <w:spacing w:after="0" w:before="0"/>
              <w:jc w:val="both"/>
            </w:pPr>
            <w:r>
              <w:rPr>
                <w:rFonts w:ascii="Georgia" w:cs="Georgia" w:eastAsia="Georgia" w:hAnsi="Georgia"/>
                <w:sz w:val="22"/>
                <w:szCs w:val="22"/>
              </w:rPr>
              <w:t xml:space="preserve">The rise of China in engineering, architecture, urbanism, and construction is one of the most significant academic and technological transformations of the twenty-first century. This article proposes </w:t>
            </w:r>
            <w:r>
              <w:rPr>
                <w:rFonts w:ascii="Georgia" w:cs="Georgia" w:eastAsia="Georgia" w:hAnsi="Georgia"/>
                <w:b/>
                <w:bCs/>
                <w:sz w:val="22"/>
                <w:szCs w:val="22"/>
              </w:rPr>
              <w:t xml:space="preserve">Prestige Diffusion Theory</w:t>
            </w:r>
            <w:r>
              <w:rPr>
                <w:rFonts w:ascii="Georgia" w:cs="Georgia" w:eastAsia="Georgia" w:hAnsi="Georgia"/>
                <w:sz w:val="22"/>
                <w:szCs w:val="22"/>
              </w:rPr>
              <w:t xml:space="preserve"> to explain how China modernized its higher education and research system across five phases: foreign knowledge acquisition, concentration of prestige in elite institutions, diffusion of expertise through the national system, redistribution of talent through competitive mobility, and the emergence of distributed excellence. The most recent evidence from 2024 through 2026, including Nature Index data, Ministry of Education outbound mobility figures, NSFC funding records, and documented AI-enabled academic fraud, both supports and significantly complicates this theory. Diffusion is happening, but so is strategic re-concentration at the apex. Talent mobility is occurring, but is driven as much by oversupply and precarity as by healthy career design. Generative AI is equalizing genuine research capability while simultaneously industrializing fraud. Demographic decline is compressing the same regional institutions that diffusion was supposed to strengthen. The article presents the theory, revises it against current evidence, and extracts lessons for other countries attempting comparable academic transformations.</w:t>
            </w:r>
          </w:p>
        </w:tc>
      </w:tr>
    </w:tbl>
    <w:p>
      <w:pPr>
        <w:spacing w:after="0" w:before="120"/>
      </w:pPr>
    </w:p>
    <w:p>
      <w:pPr>
        <w:spacing w:after="60" w:before="0"/>
      </w:pPr>
      <w:r>
        <w:rPr>
          <w:rFonts w:ascii="Arial" w:cs="Arial" w:eastAsia="Arial" w:hAnsi="Arial"/>
          <w:b/>
          <w:bCs/>
          <w:color w:val="1A1A2E"/>
          <w:sz w:val="20"/>
          <w:szCs w:val="20"/>
        </w:rPr>
        <w:t xml:space="preserve">Keywords</w:t>
      </w:r>
    </w:p>
    <w:p>
      <w:pPr>
        <w:spacing w:after="40" w:before="40"/>
      </w:pPr>
      <w:r>
        <w:rPr>
          <w:rFonts w:ascii="Georgia" w:cs="Georgia" w:eastAsia="Georgia" w:hAnsi="Georgia"/>
          <w:i/>
          <w:iCs/>
          <w:color w:val="555555"/>
          <w:sz w:val="22"/>
          <w:szCs w:val="22"/>
        </w:rPr>
        <w:t xml:space="preserve">Prestige diffusion   |   China   |   Engineering higher education   |   Academic hierarchies   |   Nature Index 2026   |   NSFC   |   Artificial intelligence and academia   |   Demographic risk   |   Academician system   |   Technology readiness</w:t>
      </w:r>
    </w:p>
    <w:p>
      <w:pPr>
        <w:pBdr>
          <w:bottom w:val="single" w:color="CCCCCC" w:sz="4" w:space="1"/>
        </w:pBdr>
        <w:spacing w:after="160" w:before="160"/>
      </w:pPr>
    </w:p>
    <w:p>
      <w:pPr>
        <w:spacing w:after="100" w:before="280"/>
      </w:pPr>
      <w:r>
        <w:rPr>
          <w:rFonts w:ascii="Arial" w:cs="Arial" w:eastAsia="Arial" w:hAnsi="Arial"/>
          <w:b/>
          <w:bCs/>
          <w:color w:val="1A1A2E"/>
          <w:sz w:val="24"/>
          <w:szCs w:val="24"/>
        </w:rPr>
        <w:t xml:space="preserve">1. Introduction</w:t>
      </w:r>
    </w:p>
    <w:p>
      <w:pPr>
        <w:spacing w:after="80" w:before="80"/>
        <w:jc w:val="both"/>
      </w:pPr>
      <w:r>
        <w:rPr>
          <w:rFonts w:ascii="Georgia" w:cs="Georgia" w:eastAsia="Georgia" w:hAnsi="Georgia"/>
          <w:sz w:val="22"/>
          <w:szCs w:val="22"/>
        </w:rPr>
        <w:t xml:space="preserve">The rise of China in engineering, architecture, urbanism, and construction is one of the most significant academic and technological transformations of the twenty-first century. Within four decades, China moved from a country largely dependent on imported expertise into one of the world's largest producers of scientific output and infrastructure capability. Conventional explanations point to industrial policy, economic growth, urbanization, manufacturing capacity, and state investment. These are necessary but not sufficient. They describe inputs and outcomes without explaining the internal mechanics of how the academic system itself was restructured to produce that output.</w:t>
      </w:r>
    </w:p>
    <w:p>
      <w:pPr>
        <w:spacing w:after="80" w:before="80"/>
        <w:jc w:val="both"/>
      </w:pPr>
      <w:r>
        <w:rPr>
          <w:rFonts w:ascii="Georgia" w:cs="Georgia" w:eastAsia="Georgia" w:hAnsi="Georgia"/>
          <w:sz w:val="22"/>
          <w:szCs w:val="22"/>
        </w:rPr>
        <w:t xml:space="preserve">This article proposes a conceptual framework, Prestige Diffusion Theory, to explain how China modernized its higher education and research system in engineering and construction disciplines. The original version of this theory described a clean five-stage progression: foreign knowledge acquisition, concentration of prestige in elite institutions, diffusion of expertise through the national system, redistribution of talent through competitive mobility, and the emergence of distributed excellence.</w:t>
      </w:r>
    </w:p>
    <w:p>
      <w:pPr>
        <w:spacing w:after="80" w:before="80"/>
        <w:jc w:val="both"/>
      </w:pPr>
      <w:r>
        <w:rPr>
          <w:rFonts w:ascii="Georgia" w:cs="Georgia" w:eastAsia="Georgia" w:hAnsi="Georgia"/>
          <w:sz w:val="22"/>
          <w:szCs w:val="22"/>
        </w:rPr>
        <w:t xml:space="preserve">That progression captures something real, and the evidence below largely supports it. But the most recent data from 2024 and 2025 complicates the story considerably. Diffusion is happening, but so is re-concentration at the very top. Mobility is happening, but it is driven as much by oversupply and precarity as by healthy career design. Generative AI tools are accelerating equalization and academic fraud simultaneously, at a scale now treated as a judicial matter by China's own Supreme People's Court. A realistic account of China's academic transformation must hold all of this at once.</w:t>
      </w:r>
    </w:p>
    <w:p>
      <w:pPr>
        <w:spacing w:after="100" w:before="280"/>
      </w:pPr>
      <w:r>
        <w:rPr>
          <w:rFonts w:ascii="Arial" w:cs="Arial" w:eastAsia="Arial" w:hAnsi="Arial"/>
          <w:b/>
          <w:bCs/>
          <w:color w:val="1A1A2E"/>
          <w:sz w:val="24"/>
          <w:szCs w:val="24"/>
        </w:rPr>
        <w:t xml:space="preserve">2. Phase I (1978 to 1995): Imported Knowledge and Strategic Concentration</w:t>
      </w:r>
    </w:p>
    <w:p>
      <w:pPr>
        <w:spacing w:after="80" w:before="80"/>
        <w:jc w:val="both"/>
      </w:pPr>
      <w:r>
        <w:rPr>
          <w:rFonts w:ascii="Georgia" w:cs="Georgia" w:eastAsia="Georgia" w:hAnsi="Georgia"/>
          <w:sz w:val="22"/>
          <w:szCs w:val="22"/>
        </w:rPr>
        <w:t xml:space="preserve">Following the reforms initiated by Deng Xiaoping, China recognized that technological modernization required rapid scientific upgrading. The state sent students abroad in civil engineering, architecture, materials science, mechanical engineering, environmental systems, and urban planning, while concentrating domestic resources in a small number of universities, among them Tsinghua, Tongji, Southeast University, and Harbin Institute of Technology. This concentration was later formalized through Project 211, Project 985, and the Double First-Class initiative. Building a few globally competitive institutions first was treated as more efficient than spreading limited resources evenly. This was prestige concentration in its purest form, and it worked on its own terms.</w:t>
      </w:r>
    </w:p>
    <w:p>
      <w:pPr>
        <w:spacing w:after="80" w:before="200"/>
      </w:pPr>
      <w:r>
        <w:rPr>
          <w:rFonts w:ascii="Arial" w:cs="Arial" w:eastAsia="Arial" w:hAnsi="Arial"/>
          <w:b/>
          <w:bCs/>
          <w:i/>
          <w:iCs/>
          <w:color w:val="1A1A2E"/>
          <w:sz w:val="22"/>
          <w:szCs w:val="22"/>
        </w:rPr>
        <w:t xml:space="preserve">The Academician System: Vertical Scientific Authority</w:t>
      </w:r>
    </w:p>
    <w:p>
      <w:pPr>
        <w:spacing w:after="80" w:before="80"/>
        <w:jc w:val="both"/>
      </w:pPr>
      <w:r>
        <w:rPr>
          <w:rFonts w:ascii="Georgia" w:cs="Georgia" w:eastAsia="Georgia" w:hAnsi="Georgia"/>
          <w:sz w:val="22"/>
          <w:szCs w:val="22"/>
        </w:rPr>
        <w:t xml:space="preserve">A central pillar of this concentration model is the academician system under the Chinese Academy of Sciences and the Chinese Academy of Engineering. Academicians are elected for life, typically after age 65, and the honor carries a modest formal stipend alongside considerable influence over doctoral ecosystems, laboratory networks, funding priorities, and national standards. The system remains active and continues expanding into new disciplinary territory. In 2025 the Chinese Academy of Engineering recognized nursing as an independent academician-track discipline for the first time, a reminder that the academician system is not a relic. It continues to define which fields and which individuals sit at the apex of national scientific authority. This top-down structure was highly effective at coordinating the catch-up phase of modernization. It also produced steep hierarchies, concentration of opportunity, and institutional asymmetry that persist today.</w:t>
      </w:r>
    </w:p>
    <w:p>
      <w:pPr>
        <w:spacing w:after="80" w:before="200"/>
      </w:pPr>
      <w:r>
        <w:rPr>
          <w:rFonts w:ascii="Arial" w:cs="Arial" w:eastAsia="Arial" w:hAnsi="Arial"/>
          <w:b/>
          <w:bCs/>
          <w:i/>
          <w:iCs/>
          <w:color w:val="1A1A2E"/>
          <w:sz w:val="22"/>
          <w:szCs w:val="22"/>
        </w:rPr>
        <w:t xml:space="preserve">The State Key Laboratory Era, and Its 2021 to 2023 Reorganization</w:t>
      </w:r>
    </w:p>
    <w:p>
      <w:pPr>
        <w:spacing w:after="80" w:before="80"/>
        <w:jc w:val="both"/>
      </w:pPr>
      <w:r>
        <w:rPr>
          <w:rFonts w:ascii="Georgia" w:cs="Georgia" w:eastAsia="Georgia" w:hAnsi="Georgia"/>
          <w:sz w:val="22"/>
          <w:szCs w:val="22"/>
        </w:rPr>
        <w:t xml:space="preserve">State Key Laboratories became China's national symbols of research excellence, concentrated mainly in Beijing, Shanghai, Nanjing, Harbin, and Xi'an, and focused on green buildings, structural systems, transportation infrastructure, smart construction, urban climate, and advanced materials. This system has been deliberately reorganized since the 14th Five-Year Plan period. Beijing restructured the laboratory hierarchy into a tiered system topped by a small group of roughly twenty National Laboratories, with State Key Laboratories repositioned beneath them as a second tier. This was explicitly framed around the goal of self-reliance and self-strengthening in science and technology, a direct policy response to technology embargoes from the United States and its allies.</w:t>
      </w:r>
    </w:p>
    <w:p>
      <w:pPr>
        <w:spacing w:after="80" w:before="80"/>
        <w:jc w:val="both"/>
      </w:pPr>
      <w:r>
        <w:rPr>
          <w:rFonts w:ascii="Georgia" w:cs="Georgia" w:eastAsia="Georgia" w:hAnsi="Georgia"/>
          <w:sz w:val="22"/>
          <w:szCs w:val="22"/>
        </w:rPr>
        <w:t xml:space="preserve">The lesson is important for Prestige Diffusion Theory: at the exact moment diffusion was accelerating across the wider university system, Beijing was simultaneously re-concentrating its most strategic research capacity into an even smaller apex. </w:t>
      </w:r>
      <w:r>
        <w:rPr>
          <w:rFonts w:ascii="Georgia" w:cs="Georgia" w:eastAsia="Georgia" w:hAnsi="Georgia"/>
          <w:b/>
          <w:bCs/>
          <w:sz w:val="22"/>
          <w:szCs w:val="22"/>
        </w:rPr>
        <w:t xml:space="preserve">Concentration and diffusion are not sequential phases that simply hand off to one another. They are running in parallel, in different parts of the same system, for different strategic reasons.</w:t>
      </w:r>
    </w:p>
    <w:p>
      <w:pPr>
        <w:spacing w:after="80" w:before="80"/>
        <w:jc w:val="both"/>
      </w:pPr>
      <w:r>
        <w:rPr>
          <w:rFonts w:ascii="Georgia" w:cs="Georgia" w:eastAsia="Georgia" w:hAnsi="Georgia"/>
          <w:sz w:val="22"/>
          <w:szCs w:val="22"/>
        </w:rPr>
        <w:t xml:space="preserve">China's total R&amp;D expenditure reached 3.61 trillion yuan (approximately 496 billion USD) in 2024, an 8.3 percent increase over 2023, with R&amp;D intensity at 2.68 to 2.69 percent of GDP, placing China second in the world in absolute R&amp;D spending. Basic research spending grew 10.5 percent year on year to approximately 250 billion yuan. Six provinces, led by Guangdong and Jiangsu, now each invest more than 200 billion yuan annually, while Beijing's R&amp;D intensity exceeds 6.5 percent of its own regional GDP, well beyond any OECD economy (National Bureau of Statistics of China, 2025).</w:t>
      </w:r>
    </w:p>
    <w:p>
      <w:pPr>
        <w:spacing w:after="100" w:before="280"/>
      </w:pPr>
      <w:r>
        <w:rPr>
          <w:rFonts w:ascii="Arial" w:cs="Arial" w:eastAsia="Arial" w:hAnsi="Arial"/>
          <w:b/>
          <w:bCs/>
          <w:color w:val="1A1A2E"/>
          <w:sz w:val="24"/>
          <w:szCs w:val="24"/>
        </w:rPr>
        <w:t xml:space="preserve">3. Phase II (1995 to 2015): Mega-University Expansion and Prestige Accumulation</w:t>
      </w:r>
    </w:p>
    <w:p>
      <w:pPr>
        <w:spacing w:after="80" w:before="80"/>
        <w:jc w:val="both"/>
      </w:pPr>
      <w:r>
        <w:rPr>
          <w:rFonts w:ascii="Georgia" w:cs="Georgia" w:eastAsia="Georgia" w:hAnsi="Georgia"/>
          <w:sz w:val="22"/>
          <w:szCs w:val="22"/>
        </w:rPr>
        <w:t xml:space="preserve">China's unprecedented urbanization turned cities into living laboratories. Engineering schools integrated directly into high-speed rail construction, airport expansion, smart city pilots, prefabrication, district energy systems, supertall building projects, and Olympic infrastructure, working alongside state-owned enterprises, municipal governments, and large design institutes. Elite universities accumulated global rankings visibility, returnee scholars, and advanced laboratories at a pace ordinary universities could not match. This was the peak of prestige accumulation, and the gap between elite and ordinary institutions widened accordingly.</w:t>
      </w:r>
    </w:p>
    <w:p>
      <w:pPr>
        <w:spacing w:after="100" w:before="280"/>
      </w:pPr>
      <w:r>
        <w:rPr>
          <w:rFonts w:ascii="Arial" w:cs="Arial" w:eastAsia="Arial" w:hAnsi="Arial"/>
          <w:b/>
          <w:bCs/>
          <w:color w:val="1A1A2E"/>
          <w:sz w:val="24"/>
          <w:szCs w:val="24"/>
        </w:rPr>
        <w:t xml:space="preserve">4. Phase III (2015 to 2025): Diffusion Is Real, and It Shows Up in the Data</w:t>
      </w:r>
    </w:p>
    <w:p>
      <w:pPr>
        <w:spacing w:after="80" w:before="80"/>
        <w:jc w:val="both"/>
      </w:pPr>
      <w:r>
        <w:rPr>
          <w:rFonts w:ascii="Georgia" w:cs="Georgia" w:eastAsia="Georgia" w:hAnsi="Georgia"/>
          <w:sz w:val="22"/>
          <w:szCs w:val="22"/>
        </w:rPr>
        <w:t xml:space="preserve">The most important shift began when expertise concentrated in elite universities started spreading outward. The Nature Index, which tracks publications in roughly 145 high-quality natural and health science journals, now ranks China ahead of the United States as the leading country by research output share. The Chinese Academy of Sciences has held the top institutional spot for thirteen consecutive years. But the more telling evidence for diffusion sits below the famous names.</w:t>
      </w:r>
    </w:p>
    <w:p>
      <w:pPr>
        <w:spacing w:after="80" w:before="80"/>
        <w:jc w:val="both"/>
      </w:pPr>
      <w:r>
        <w:rPr>
          <w:rFonts w:ascii="Georgia" w:cs="Georgia" w:eastAsia="Georgia" w:hAnsi="Georgia"/>
          <w:sz w:val="22"/>
          <w:szCs w:val="22"/>
        </w:rPr>
        <w:t xml:space="preserve">In the 2025 Research Leaders tables, institutions outside the original prestige core posted the sharpest gains: Westlake University, founded only in 2018, increased its adjusted share by roughly 294 percent year on year; Beijing Institute of Technology rose approximately 270 percent; Jilin University climbed from 42nd to 19th globally between 2023 and 2024. Soochow University, Yanshan University, and City University of Hong Kong all posted large increases (Nature Index, 2025). These are not Tsinghua, Peking, or Fudan. They are second-tier and provincial institutions gaining ground rapidly. </w:t>
      </w:r>
      <w:r>
        <w:rPr>
          <w:rFonts w:ascii="Georgia" w:cs="Georgia" w:eastAsia="Georgia" w:hAnsi="Georgia"/>
          <w:b/>
          <w:bCs/>
          <w:sz w:val="22"/>
          <w:szCs w:val="22"/>
        </w:rPr>
        <w:t xml:space="preserve">That is diffusion happening in real time.</w:t>
      </w:r>
    </w:p>
    <w:p>
      <w:pPr>
        <w:spacing w:after="80" w:before="80"/>
        <w:jc w:val="both"/>
      </w:pPr>
      <w:r>
        <w:rPr>
          <w:rFonts w:ascii="Georgia" w:cs="Georgia" w:eastAsia="Georgia" w:hAnsi="Georgia"/>
          <w:sz w:val="22"/>
          <w:szCs w:val="22"/>
        </w:rPr>
        <w:t xml:space="preserve">This trend reached a symbolic threshold in June 2026. The Nature Index 2026 Research Leaders tables, based on full-year 2025 data, showed </w:t>
      </w:r>
      <w:r>
        <w:rPr>
          <w:rFonts w:ascii="Georgia" w:cs="Georgia" w:eastAsia="Georgia" w:hAnsi="Georgia"/>
          <w:b/>
          <w:bCs/>
          <w:sz w:val="22"/>
          <w:szCs w:val="22"/>
        </w:rPr>
        <w:t xml:space="preserve">Zhejiang University overtaking Harvard as the world's top-ranked academic institution, the first time since the index's 2015 baseline that Harvard has not held that position</w:t>
      </w:r>
      <w:r>
        <w:rPr>
          <w:rFonts w:ascii="Georgia" w:cs="Georgia" w:eastAsia="Georgia" w:hAnsi="Georgia"/>
          <w:sz w:val="22"/>
          <w:szCs w:val="22"/>
        </w:rPr>
        <w:t xml:space="preserve">. Nine of the world's top ten institutions in the 2026 tables are now Chinese, up from eight the year before (Nature Index, 2026).</w:t>
      </w:r>
    </w:p>
    <w:p>
      <w:pPr>
        <w:spacing w:after="80" w:before="80"/>
        <w:jc w:val="both"/>
      </w:pPr>
      <w:r>
        <w:rPr>
          <w:rFonts w:ascii="Georgia" w:cs="Georgia" w:eastAsia="Georgia" w:hAnsi="Georgia"/>
          <w:sz w:val="22"/>
          <w:szCs w:val="22"/>
        </w:rPr>
        <w:t xml:space="preserve">Two caveats temper the symbolism without erasing it. First, the 2026 release was also the first to expand the Nature Index beyond natural and health science journals to include applied-science and social-science titles, a significant methodological change that affects year-on-year comparability. Second, the Share metric counts fractional authorship across an institution's entire output, which rewards scale and headcount as much as depth. Harvard's loss of the top spot is real and worth taking seriously as evidence that the locus of indexed scientific volume has shifted. Whether the locus of deep scientific originality has shifted in the same proportion remains contested, including among Chinese researchers themselves.</w:t>
      </w:r>
    </w:p>
    <w:p>
      <w:pPr>
        <w:spacing w:after="80" w:before="200"/>
      </w:pPr>
      <w:r>
        <w:rPr>
          <w:rFonts w:ascii="Arial" w:cs="Arial" w:eastAsia="Arial" w:hAnsi="Arial"/>
          <w:b/>
          <w:bCs/>
          <w:i/>
          <w:iCs/>
          <w:color w:val="1A1A2E"/>
          <w:sz w:val="22"/>
          <w:szCs w:val="22"/>
        </w:rPr>
        <w:t xml:space="preserve">Outbound Student Mobility as a Revealed Preference</w:t>
      </w:r>
    </w:p>
    <w:p>
      <w:pPr>
        <w:spacing w:after="80" w:before="80"/>
        <w:jc w:val="both"/>
      </w:pPr>
      <w:r>
        <w:rPr>
          <w:rFonts w:ascii="Georgia" w:cs="Georgia" w:eastAsia="Georgia" w:hAnsi="Georgia"/>
          <w:sz w:val="22"/>
          <w:szCs w:val="22"/>
        </w:rPr>
        <w:t xml:space="preserve">A second signal is arguably more telling, because it shows families voting with their feet. China's Ministry of Education released its first official figures on outbound student mobility since 2020, showing roughly 570,000 Chinese students studying abroad in 2025, down from a 2019 peak of approximately 703,500, a decline of nearly twenty percent. The drop is sharper in several flagship destinations: Chinese applications for Australian higher education visas fell 26 percent in the second half of 2025; Chinese enrollment in UK universities fell to its lowest level since 2019 to 2020 (PIE News, 2026; Times Higher Education, 2026).</w:t>
      </w:r>
    </w:p>
    <w:p>
      <w:pPr>
        <w:spacing w:after="80" w:before="80"/>
        <w:jc w:val="both"/>
      </w:pPr>
      <w:r>
        <w:rPr>
          <w:rFonts w:ascii="Georgia" w:cs="Georgia" w:eastAsia="Georgia" w:hAnsi="Georgia"/>
          <w:sz w:val="22"/>
          <w:szCs w:val="22"/>
        </w:rPr>
        <w:t xml:space="preserve">Analysts tracking the shift point to something closer to the core of Prestige Diffusion Theory than to cost or visa tightening alone. Nous Group's Matt Durnin identified </w:t>
      </w:r>
      <w:r>
        <w:rPr>
          <w:rFonts w:ascii="Georgia" w:cs="Georgia" w:eastAsia="Georgia" w:hAnsi="Georgia"/>
          <w:i/>
          <w:iCs/>
          <w:sz w:val="22"/>
          <w:szCs w:val="22"/>
        </w:rPr>
        <w:t xml:space="preserve">'the tremendous improvement in the perceived quality of local universities' as the single biggest driver of declining demand for study abroad</w:t>
      </w:r>
      <w:r>
        <w:rPr>
          <w:rFonts w:ascii="Georgia" w:cs="Georgia" w:eastAsia="Georgia" w:hAnsi="Georgia"/>
          <w:sz w:val="22"/>
          <w:szCs w:val="22"/>
        </w:rPr>
        <w:t xml:space="preserve">, ahead of household income and demographics. Families who once treated a foreign degree as the only credible route to an elite credential increasingly do not (PIE News, 2026). This closes a loop the theory opened in Phase I: China's modernization began by sending students abroad because no credible domestic alternative existed. Four decades later, a measurable share of that outbound flow has simply stopped.</w:t>
      </w:r>
    </w:p>
    <w:p>
      <w:pPr>
        <w:spacing w:after="100" w:before="280"/>
      </w:pPr>
      <w:r>
        <w:rPr>
          <w:rFonts w:ascii="Arial" w:cs="Arial" w:eastAsia="Arial" w:hAnsi="Arial"/>
          <w:b/>
          <w:bCs/>
          <w:color w:val="1A1A2E"/>
          <w:sz w:val="24"/>
          <w:szCs w:val="24"/>
        </w:rPr>
        <w:t xml:space="preserve">5. The NSFC Redistribution Mechanism</w:t>
      </w:r>
    </w:p>
    <w:p>
      <w:pPr>
        <w:spacing w:after="80" w:before="80"/>
        <w:jc w:val="both"/>
      </w:pPr>
      <w:r>
        <w:rPr>
          <w:rFonts w:ascii="Georgia" w:cs="Georgia" w:eastAsia="Georgia" w:hAnsi="Georgia"/>
          <w:sz w:val="22"/>
          <w:szCs w:val="22"/>
        </w:rPr>
        <w:t xml:space="preserve">The National Natural Science Foundation of China is the clearest formal mechanism for redistribution. Its Young Scientists Fund supports researchers under 35 (men) or 40 (women) to pursue self-chosen basic research topics. Its Excellent Young Scientists Fund, for those under 38 (men) or 40 (women), typically awards around 2 million yuan over three years to scholars who have already shown strong results. Crucially, this funding is attached to the individual, not the institution, which makes it portable when a scholar moves to a different university.</w:t>
      </w:r>
    </w:p>
    <w:p>
      <w:pPr>
        <w:spacing w:after="80" w:before="80"/>
        <w:jc w:val="both"/>
      </w:pPr>
      <w:r>
        <w:rPr>
          <w:rFonts w:ascii="Georgia" w:cs="Georgia" w:eastAsia="Georgia" w:hAnsi="Georgia"/>
          <w:sz w:val="22"/>
          <w:szCs w:val="22"/>
        </w:rPr>
        <w:t xml:space="preserve">It is worth being precise about how competitive this actually is. Funding rates for the Excellent Young Scientists Fund have historically run around 10 to 12 percent of applicants (NSFC, 2025). The redistribution mechanism diffuses opportunity to a relatively small number of highly selected individuals rather than broadly across the profession. </w:t>
      </w:r>
      <w:r>
        <w:rPr>
          <w:rFonts w:ascii="Georgia" w:cs="Georgia" w:eastAsia="Georgia" w:hAnsi="Georgia"/>
          <w:b/>
          <w:bCs/>
          <w:sz w:val="22"/>
          <w:szCs w:val="22"/>
        </w:rPr>
        <w:t xml:space="preserve">The gate is narrow, and most applicants do not pass through it.</w:t>
      </w:r>
    </w:p>
    <w:p>
      <w:pPr>
        <w:spacing w:after="100" w:before="280"/>
      </w:pPr>
      <w:r>
        <w:rPr>
          <w:rFonts w:ascii="Arial" w:cs="Arial" w:eastAsia="Arial" w:hAnsi="Arial"/>
          <w:b/>
          <w:bCs/>
          <w:color w:val="1A1A2E"/>
          <w:sz w:val="24"/>
          <w:szCs w:val="24"/>
        </w:rPr>
        <w:t xml:space="preserve">6. The Tenure Reality: Pressure, Precarity, and Involution</w:t>
      </w:r>
    </w:p>
    <w:p>
      <w:pPr>
        <w:spacing w:after="80" w:before="80"/>
        <w:jc w:val="both"/>
      </w:pPr>
      <w:r>
        <w:rPr>
          <w:rFonts w:ascii="Georgia" w:cs="Georgia" w:eastAsia="Georgia" w:hAnsi="Georgia"/>
          <w:sz w:val="22"/>
          <w:szCs w:val="22"/>
        </w:rPr>
        <w:t xml:space="preserve">The tenure evaluation cycle across Chinese institutions ranges from three to as long as nine years, with no national standard. Meeting the formal publication, grant, and citation criteria is often insufficient: candidates increasingly describe it as a tournament in which clearing the stated bar is only the entry fee, not the win condition (Sixth Tone, 2024; Wang and Wang, 2023).</w:t>
      </w:r>
    </w:p>
    <w:p>
      <w:pPr>
        <w:spacing w:after="80" w:before="80"/>
        <w:jc w:val="both"/>
      </w:pPr>
      <w:r>
        <w:rPr>
          <w:rFonts w:ascii="Georgia" w:cs="Georgia" w:eastAsia="Georgia" w:hAnsi="Georgia"/>
          <w:sz w:val="22"/>
          <w:szCs w:val="22"/>
        </w:rPr>
        <w:t xml:space="preserve">The human cost of this system has been documented, sometimes starkly. A widely discussed case at Fudan University in 2021, in which a mathematics faculty member facing non-renewal killed the head of his school, became a flashpoint in national debate, even though such an extreme outcome is rare. More routinely, researchers describe postponed marriage and childbearing, chronic overwork, and what Chinese commentary now widely calls neijuan (involution): effort and competition that intensify without producing proportional gains. The same term used to describe overcapacity in China's solar panel and electric vehicle industries is used by young academics to describe their own career competition (Institute of Higher Education, Boston College, 2024).</w:t>
      </w:r>
    </w:p>
    <w:p>
      <w:pPr>
        <w:spacing w:after="80" w:before="80"/>
        <w:jc w:val="both"/>
      </w:pPr>
      <w:r>
        <w:rPr>
          <w:rFonts w:ascii="Georgia" w:cs="Georgia" w:eastAsia="Georgia" w:hAnsi="Georgia"/>
          <w:sz w:val="22"/>
          <w:szCs w:val="22"/>
        </w:rPr>
        <w:t xml:space="preserve">This matters for the theory because the original narrative implied that scholars migrate from elite to regional universities as a rational, largely voluntary upgrade: more independence, faster promotion, less internal competition. That happens. But it happens inside a system producing far more PhDs than there are stable positions to absorb them. China graduated a record </w:t>
      </w:r>
      <w:r>
        <w:rPr>
          <w:rFonts w:ascii="Georgia" w:cs="Georgia" w:eastAsia="Georgia" w:hAnsi="Georgia"/>
          <w:b/>
          <w:bCs/>
          <w:sz w:val="22"/>
          <w:szCs w:val="22"/>
        </w:rPr>
        <w:t xml:space="preserve">12.2 million students in 2025</w:t>
      </w:r>
      <w:r>
        <w:rPr>
          <w:rFonts w:ascii="Georgia" w:cs="Georgia" w:eastAsia="Georgia" w:hAnsi="Georgia"/>
          <w:sz w:val="22"/>
          <w:szCs w:val="22"/>
        </w:rPr>
        <w:t xml:space="preserve">, and youth unemployment for workers aged 16 to 24 hit a record 16.9 percent in February 2025 before easing only slightly (Asia Society Policy Institute, 2025). Migration to a second-tier university is often less a strategic career move and more the best available outcome after failing to clear an up-or-out bar at an elite one. The redistribution is real, but its primary driver is oversupply and precarity, not improved incentive design.</w:t>
      </w:r>
    </w:p>
    <w:p>
      <w:pPr>
        <w:spacing w:after="100" w:before="280"/>
      </w:pPr>
      <w:r>
        <w:rPr>
          <w:rFonts w:ascii="Arial" w:cs="Arial" w:eastAsia="Arial" w:hAnsi="Arial"/>
          <w:b/>
          <w:bCs/>
          <w:color w:val="1A1A2E"/>
          <w:sz w:val="24"/>
          <w:szCs w:val="24"/>
        </w:rPr>
        <w:t xml:space="preserve">7. The AI Equalization Effect, and Its Shadow</w:t>
      </w:r>
    </w:p>
    <w:p>
      <w:pPr>
        <w:spacing w:after="80" w:before="80"/>
        <w:jc w:val="both"/>
      </w:pPr>
      <w:r>
        <w:rPr>
          <w:rFonts w:ascii="Georgia" w:cs="Georgia" w:eastAsia="Georgia" w:hAnsi="Georgia"/>
          <w:sz w:val="22"/>
          <w:szCs w:val="22"/>
        </w:rPr>
        <w:t xml:space="preserve">Artificial intelligence is reducing some of the old asymmetries between elite and non-elite institutions. Researchers anywhere can now generate code, improve scientific English, and accelerate literature synthesis at a level that previously required access to elite mentorship and infrastructure. This is genuinely transformative for fields like building performance simulation, BIM, generative design, and computational architecture, where coding fluency and English-language writing were long-standing bottlenecks for non-elite researchers.</w:t>
      </w:r>
    </w:p>
    <w:p>
      <w:pPr>
        <w:spacing w:after="80" w:before="80"/>
        <w:jc w:val="both"/>
      </w:pPr>
      <w:r>
        <w:rPr>
          <w:rFonts w:ascii="Georgia" w:cs="Georgia" w:eastAsia="Georgia" w:hAnsi="Georgia"/>
          <w:sz w:val="22"/>
          <w:szCs w:val="22"/>
        </w:rPr>
        <w:t xml:space="preserve">The same tools have also industrialized academic fraud at a scale that is now a documented national problem. An investigation by China's state broadcaster CCTV found paper mill operations using generative AI to help workers complete more than thirty fabricated articles per worker per week, with some operations processing over 40,000 paid orders annually. A cross-country analysis of retracted AI-related publications found </w:t>
      </w:r>
      <w:r>
        <w:rPr>
          <w:rFonts w:ascii="Georgia" w:cs="Georgia" w:eastAsia="Georgia" w:hAnsi="Georgia"/>
          <w:b/>
          <w:bCs/>
          <w:sz w:val="22"/>
          <w:szCs w:val="22"/>
        </w:rPr>
        <w:t xml:space="preserve">China responsible for 551 of 764 retractions</w:t>
      </w:r>
      <w:r>
        <w:rPr>
          <w:rFonts w:ascii="Georgia" w:cs="Georgia" w:eastAsia="Georgia" w:hAnsi="Georgia"/>
          <w:sz w:val="22"/>
          <w:szCs w:val="22"/>
        </w:rPr>
        <w:t xml:space="preserve"> in the dataset. China's Ministry of Education ordered a national audit of retracted papers, and the Supreme People's Court has called for severe punishment of paper mill operators. A joint study by the Chinese Academy of Sciences and Taylor and Francis found that many students turn to paper mills partly because of limited access to research ethics training, not pure dishonesty (South China Morning Post, 2025; Kocyigit et al., 2025).</w:t>
      </w:r>
    </w:p>
    <w:p>
      <w:pPr>
        <w:spacing w:after="80" w:before="80"/>
        <w:jc w:val="both"/>
      </w:pPr>
      <w:r>
        <w:rPr>
          <w:rFonts w:ascii="Georgia" w:cs="Georgia" w:eastAsia="Georgia" w:hAnsi="Georgia"/>
          <w:sz w:val="22"/>
          <w:szCs w:val="22"/>
        </w:rPr>
        <w:t xml:space="preserve">This is the part of the AI story that a purely optimistic diffusion narrative misses. Generative AI does not just equalize genuine capability. It also equalizes the capacity to fabricate convincing-looking output, at exactly the moment when publication counts remain the dominant currency of prestige and tenure evaluation.</w:t>
      </w:r>
    </w:p>
    <w:p>
      <w:pPr>
        <w:spacing w:after="100" w:before="280"/>
      </w:pPr>
      <w:r>
        <w:rPr>
          <w:rFonts w:ascii="Arial" w:cs="Arial" w:eastAsia="Arial" w:hAnsi="Arial"/>
          <w:b/>
          <w:bCs/>
          <w:color w:val="1A1A2E"/>
          <w:sz w:val="24"/>
          <w:szCs w:val="24"/>
        </w:rPr>
        <w:t xml:space="preserve">8. Is the Hierarchy Disappearing?</w:t>
      </w:r>
    </w:p>
    <w:p>
      <w:pPr>
        <w:spacing w:after="80" w:before="80"/>
        <w:jc w:val="both"/>
      </w:pPr>
      <w:r>
        <w:rPr>
          <w:rFonts w:ascii="Georgia" w:cs="Georgia" w:eastAsia="Georgia" w:hAnsi="Georgia"/>
          <w:sz w:val="22"/>
          <w:szCs w:val="22"/>
        </w:rPr>
        <w:t xml:space="preserve">No, and the National Laboratory reorganization is direct evidence against any simple flattening story. The reorganized National Laboratory tier concentrates China's most strategic research capacity into roughly twenty institutions, a tighter circle than the State Key Laboratory system it replaced. Elite universities remain dominant in high-level state programmes.</w:t>
      </w:r>
    </w:p>
    <w:p>
      <w:pPr>
        <w:spacing w:after="80" w:before="80"/>
        <w:jc w:val="both"/>
      </w:pPr>
      <w:r>
        <w:rPr>
          <w:rFonts w:ascii="Georgia" w:cs="Georgia" w:eastAsia="Georgia" w:hAnsi="Georgia"/>
          <w:sz w:val="22"/>
          <w:szCs w:val="22"/>
        </w:rPr>
        <w:t xml:space="preserve">What is changing is </w:t>
      </w:r>
      <w:r>
        <w:rPr>
          <w:rFonts w:ascii="Georgia" w:cs="Georgia" w:eastAsia="Georgia" w:hAnsi="Georgia"/>
          <w:b/>
          <w:bCs/>
          <w:sz w:val="22"/>
          <w:szCs w:val="22"/>
        </w:rPr>
        <w:t xml:space="preserve">the exclusivity of mid-tier and applied research prestige, not the exclusivity of the very top</w:t>
      </w:r>
      <w:r>
        <w:rPr>
          <w:rFonts w:ascii="Georgia" w:cs="Georgia" w:eastAsia="Georgia" w:hAnsi="Georgia"/>
          <w:sz w:val="22"/>
          <w:szCs w:val="22"/>
        </w:rPr>
        <w:t xml:space="preserve">. China is not moving from a static pyramid to a flat plain. It is moving toward a structure with a narrower, more tightly controlled strategic apex and a wider, more genuinely competitive middle and base, where second-tier universities, new private research universities, and individual scholars carrying portable NSFC funding can now compete meaningfully in ways they could not a decade ago.</w:t>
      </w:r>
    </w:p>
    <w:p>
      <w:pPr>
        <w:spacing w:after="100" w:before="280"/>
      </w:pPr>
      <w:r>
        <w:rPr>
          <w:rFonts w:ascii="Arial" w:cs="Arial" w:eastAsia="Arial" w:hAnsi="Arial"/>
          <w:b/>
          <w:bCs/>
          <w:color w:val="1A1A2E"/>
          <w:sz w:val="24"/>
          <w:szCs w:val="24"/>
        </w:rPr>
        <w:t xml:space="preserve">9. Phase IV (2025 to 2045): Distributed Excellence, With a Working Prototype</w:t>
      </w:r>
    </w:p>
    <w:p>
      <w:pPr>
        <w:spacing w:after="80" w:before="80"/>
        <w:jc w:val="both"/>
      </w:pPr>
      <w:r>
        <w:rPr>
          <w:rFonts w:ascii="Georgia" w:cs="Georgia" w:eastAsia="Georgia" w:hAnsi="Georgia"/>
          <w:sz w:val="22"/>
          <w:szCs w:val="22"/>
        </w:rPr>
        <w:t xml:space="preserve">The clearest existing prototype of this phase is Westlake University: a private, non-profit, research-only institution founded in 2018 by returnee scientists and funded by philanthropy, local government, and competitive grants, with no historical prestige to draw on, that nonetheless posted one of the largest single-year Nature Index gains of any institution in the world in 2025. If distributed excellence has a face, it currently looks more like Westlake than like a transformed Tsinghua.</w:t>
      </w:r>
    </w:p>
    <w:p>
      <w:pPr>
        <w:spacing w:after="80" w:before="80"/>
        <w:jc w:val="both"/>
      </w:pPr>
      <w:r>
        <w:rPr>
          <w:rFonts w:ascii="Georgia" w:cs="Georgia" w:eastAsia="Georgia" w:hAnsi="Georgia"/>
          <w:sz w:val="22"/>
          <w:szCs w:val="22"/>
        </w:rPr>
        <w:t xml:space="preserve">Regional specialization is also visible: Shenzhen for AI and smart construction, Chengdu for mobility infrastructure, Jilin for materials chemistry, and a wider set of provincial universities whose Nature Index shares have grown faster than the historic top tier's. Whether this distributed model survives the demographic and economic pressures below is the open question for the next two decades.</w:t>
      </w:r>
    </w:p>
    <w:p>
      <w:pPr>
        <w:spacing w:after="100" w:before="280"/>
      </w:pPr>
      <w:r>
        <w:rPr>
          <w:rFonts w:ascii="Arial" w:cs="Arial" w:eastAsia="Arial" w:hAnsi="Arial"/>
          <w:b/>
          <w:bCs/>
          <w:color w:val="1A1A2E"/>
          <w:sz w:val="24"/>
          <w:szCs w:val="24"/>
        </w:rPr>
        <w:t xml:space="preserve">10. Four Risks That Must Be Stated Plainly</w:t>
      </w:r>
    </w:p>
    <w:p>
      <w:pPr>
        <w:spacing w:after="80" w:before="80"/>
        <w:jc w:val="both"/>
      </w:pPr>
      <w:r>
        <w:rPr>
          <w:rFonts w:ascii="Georgia" w:cs="Georgia" w:eastAsia="Georgia" w:hAnsi="Georgia"/>
          <w:b/>
          <w:bCs/>
          <w:sz w:val="22"/>
          <w:szCs w:val="22"/>
        </w:rPr>
        <w:t xml:space="preserve">First, </w:t>
      </w:r>
      <w:r>
        <w:rPr>
          <w:rFonts w:ascii="Georgia" w:cs="Georgia" w:eastAsia="Georgia" w:hAnsi="Georgia"/>
          <w:sz w:val="22"/>
          <w:szCs w:val="22"/>
        </w:rPr>
        <w:t xml:space="preserve">AI-enabled fraud is not a hypothetical risk but an active and documented one, with China accounting for the largest single share of AI-related retractions worldwide and its own state institutions publicly treating paper mills as a judicial matter.</w:t>
      </w:r>
    </w:p>
    <w:p>
      <w:pPr>
        <w:spacing w:after="80" w:before="80"/>
        <w:jc w:val="both"/>
      </w:pPr>
      <w:r>
        <w:rPr>
          <w:rFonts w:ascii="Georgia" w:cs="Georgia" w:eastAsia="Georgia" w:hAnsi="Georgia"/>
          <w:b/>
          <w:bCs/>
          <w:sz w:val="22"/>
          <w:szCs w:val="22"/>
        </w:rPr>
        <w:t xml:space="preserve">Second, </w:t>
      </w:r>
      <w:r>
        <w:rPr>
          <w:rFonts w:ascii="Georgia" w:cs="Georgia" w:eastAsia="Georgia" w:hAnsi="Georgia"/>
          <w:sz w:val="22"/>
          <w:szCs w:val="22"/>
        </w:rPr>
        <w:t xml:space="preserve">institutional inequality persists at the strategic apex even as it narrows in the applied middle. The National Laboratory reorganization shows that Beijing is actively choosing to re-concentrate, not simply allowing old hierarchies to fade.</w:t>
      </w:r>
    </w:p>
    <w:p>
      <w:pPr>
        <w:spacing w:after="80" w:before="80"/>
        <w:jc w:val="both"/>
      </w:pPr>
      <w:r>
        <w:rPr>
          <w:rFonts w:ascii="Georgia" w:cs="Georgia" w:eastAsia="Georgia" w:hAnsi="Georgia"/>
          <w:b/>
          <w:bCs/>
          <w:sz w:val="22"/>
          <w:szCs w:val="22"/>
        </w:rPr>
        <w:t xml:space="preserve">Third, </w:t>
      </w:r>
      <w:r>
        <w:rPr>
          <w:rFonts w:ascii="Georgia" w:cs="Georgia" w:eastAsia="Georgia" w:hAnsi="Georgia"/>
          <w:sz w:val="22"/>
          <w:szCs w:val="22"/>
        </w:rPr>
        <w:t xml:space="preserve">demographic decline is no longer a distant risk. China's population has declined for four consecutive years; kindergarten enrollment has dropped by more than 12 million children since 2020; approximately 21,000 kindergartens closed in 2024 alone. Analysts at Times Higher Education describe a collapse in Chinese student numbers as highly likely by 2040 (Times Higher Education, 2025). The universities most exposed will be precisely the regional, mid-tier institutions that Prestige Diffusion Theory expects to absorb redistributed talent. The theory's own engine for diffusion may be running out of road at the same time it gains speed.</w:t>
      </w:r>
    </w:p>
    <w:p>
      <w:pPr>
        <w:spacing w:after="80" w:before="80"/>
        <w:jc w:val="both"/>
      </w:pPr>
      <w:r>
        <w:rPr>
          <w:rFonts w:ascii="Georgia" w:cs="Georgia" w:eastAsia="Georgia" w:hAnsi="Georgia"/>
          <w:b/>
          <w:bCs/>
          <w:sz w:val="22"/>
          <w:szCs w:val="22"/>
        </w:rPr>
        <w:t xml:space="preserve">Fourth, </w:t>
      </w:r>
      <w:r>
        <w:rPr>
          <w:rFonts w:ascii="Georgia" w:cs="Georgia" w:eastAsia="Georgia" w:hAnsi="Georgia"/>
          <w:sz w:val="22"/>
          <w:szCs w:val="22"/>
        </w:rPr>
        <w:t xml:space="preserve">the tenure system is producing real harm, not just productive intensity, documented in postponed family formation, overwork, and what Chinese commentary calls involution. Describing this system as healthy redistribution understates what scholars within it are actually experiencing.</w:t>
      </w:r>
    </w:p>
    <w:p>
      <w:pPr>
        <w:spacing w:after="80" w:before="80"/>
        <w:jc w:val="both"/>
      </w:pPr>
      <w:r>
        <w:rPr>
          <w:rFonts w:ascii="Georgia" w:cs="Georgia" w:eastAsia="Georgia" w:hAnsi="Georgia"/>
          <w:b/>
          <w:bCs/>
          <w:sz w:val="22"/>
          <w:szCs w:val="22"/>
        </w:rPr>
        <w:t xml:space="preserve">Fifth, </w:t>
      </w:r>
      <w:r>
        <w:rPr>
          <w:rFonts w:ascii="Georgia" w:cs="Georgia" w:eastAsia="Georgia" w:hAnsi="Georgia"/>
          <w:sz w:val="22"/>
          <w:szCs w:val="22"/>
        </w:rPr>
        <w:t xml:space="preserve">headline rankings like the Nature Index measure what they are built to measure: countable, indexed output weighted by institutional scale. Harvard's loss of the top spot to Zhejiang University is evidence that the locus of indexed scientific volume has shifted, not proof that the locus of scientific originality has shifted in the same proportion. Strategic investment, institutional scale, and talent concentration are real achievements, and China has executed all three with discipline. Whether that scale has converted into a proportional gain in originality, as opposed to volume, remains an open and contested question, including among Chinese researchers themselves.</w:t>
      </w:r>
    </w:p>
    <w:p>
      <w:pPr>
        <w:spacing w:after="100" w:before="280"/>
      </w:pPr>
      <w:r>
        <w:rPr>
          <w:rFonts w:ascii="Arial" w:cs="Arial" w:eastAsia="Arial" w:hAnsi="Arial"/>
          <w:b/>
          <w:bCs/>
          <w:color w:val="1A1A2E"/>
          <w:sz w:val="24"/>
          <w:szCs w:val="24"/>
        </w:rPr>
        <w:t xml:space="preserve">11. Applications and Lessons for Other Countries</w:t>
      </w:r>
    </w:p>
    <w:p>
      <w:pPr>
        <w:spacing w:after="80" w:before="80"/>
        <w:jc w:val="both"/>
      </w:pPr>
      <w:r>
        <w:rPr>
          <w:rFonts w:ascii="Georgia" w:cs="Georgia" w:eastAsia="Georgia" w:hAnsi="Georgia"/>
          <w:sz w:val="22"/>
          <w:szCs w:val="22"/>
        </w:rPr>
        <w:t xml:space="preserve">Prestige Diffusion Theory remains useful for thinking about Saudi Arabia, Singapore, South Korea, and India as they modernize engineering education and reduce dependence on foreign expertise. But the China case now offers a more specific and more cautionary lesson than the original version suggested: diffusion and AI-driven equalization can coexist with strategic re-concentration at the top, severe oversupply-driven competition in the middle, and demographic headwinds that may eventually undercut the very institutions diffusion was supposed to strengthen. Any country borrowing this model should plan for all three forces simultaneously, not just the encouraging one.</w:t>
      </w:r>
    </w:p>
    <w:p>
      <w:pPr>
        <w:spacing w:after="100" w:before="280"/>
      </w:pPr>
      <w:r>
        <w:rPr>
          <w:rFonts w:ascii="Arial" w:cs="Arial" w:eastAsia="Arial" w:hAnsi="Arial"/>
          <w:b/>
          <w:bCs/>
          <w:color w:val="1A1A2E"/>
          <w:sz w:val="24"/>
          <w:szCs w:val="24"/>
        </w:rPr>
        <w:t xml:space="preserve">12. Conclusion</w:t>
      </w:r>
    </w:p>
    <w:p>
      <w:pPr>
        <w:spacing w:after="80" w:before="80"/>
        <w:jc w:val="both"/>
      </w:pPr>
      <w:r>
        <w:rPr>
          <w:rFonts w:ascii="Georgia" w:cs="Georgia" w:eastAsia="Georgia" w:hAnsi="Georgia"/>
          <w:sz w:val="22"/>
          <w:szCs w:val="22"/>
        </w:rPr>
        <w:t xml:space="preserve">China's academic transformation in engineering, architecture, and construction is real, and recent Nature Index data make the diffusion case better than the original article did. Zhejiang University's overtaking of Harvard in the 2026 Research Leaders tables is the single clearest data point this theory has yet produced: a flagship of Western academic prestige losing the position it had held since the index began, to an institution that would not have featured in the same conversation two decades ago.</w:t>
      </w:r>
    </w:p>
    <w:p>
      <w:pPr>
        <w:spacing w:after="80" w:before="80"/>
        <w:jc w:val="both"/>
      </w:pPr>
      <w:r>
        <w:rPr>
          <w:rFonts w:ascii="Georgia" w:cs="Georgia" w:eastAsia="Georgia" w:hAnsi="Georgia"/>
          <w:sz w:val="22"/>
          <w:szCs w:val="22"/>
        </w:rPr>
        <w:t xml:space="preserve">But the most current evidence from 2024 through 2026 also shows a system pulling in two directions simultaneously: re-concentrating its most strategic laboratories even as it diffuses applied research capacity outward; generating real redistribution of talent driven as much by an oversupply crisis as by good incentive design; adopting AI tools that equalize genuine capability while industrializing fraud at a scale its own government now treats as a judicial matter; and posting ranking gains that are as much a story of scale and methodology as of originality. The more accurate question is no longer which university is elite, nor even which ecosystem can keep redistributing innovation. It is whether a system experiencing </w:t>
      </w:r>
      <w:r>
        <w:rPr>
          <w:rFonts w:ascii="Georgia" w:cs="Georgia" w:eastAsia="Georgia" w:hAnsi="Georgia"/>
          <w:b/>
          <w:bCs/>
          <w:sz w:val="22"/>
          <w:szCs w:val="22"/>
        </w:rPr>
        <w:t xml:space="preserve">strategic re-concentration at the top, demographic contraction at the base, and AI-driven noise in its own prestige signals can keep redistributing innovation fast enough to outrun those three pressures at once.</w:t>
      </w:r>
    </w:p>
    <w:p>
      <w:pPr>
        <w:pBdr>
          <w:bottom w:val="single" w:color="CCCCCC" w:sz="4" w:space="1"/>
        </w:pBdr>
        <w:spacing w:after="160" w:before="160"/>
      </w:pPr>
    </w:p>
    <w:p>
      <w:pPr>
        <w:spacing w:after="120" w:before="200"/>
      </w:pPr>
      <w:r>
        <w:rPr>
          <w:rFonts w:ascii="Arial" w:cs="Arial" w:eastAsia="Arial" w:hAnsi="Arial"/>
          <w:b/>
          <w:bCs/>
          <w:color w:val="1A1A2E"/>
          <w:sz w:val="24"/>
          <w:szCs w:val="24"/>
        </w:rPr>
        <w:t xml:space="preserve">References</w:t>
      </w:r>
    </w:p>
    <w:p>
      <w:pPr>
        <w:spacing w:after="60" w:before="60"/>
        <w:ind w:left="720" w:hanging="720"/>
      </w:pPr>
      <w:r>
        <w:rPr>
          <w:rFonts w:ascii="Georgia" w:cs="Georgia" w:eastAsia="Georgia" w:hAnsi="Georgia"/>
          <w:color w:val="333333"/>
          <w:sz w:val="19"/>
          <w:szCs w:val="19"/>
        </w:rPr>
        <w:t xml:space="preserve">Asia Society Policy Institute. (2025). The 19 percent revisited: How youth unemployment has changed Chinese society. Asia Society.</w:t>
      </w:r>
    </w:p>
    <w:p>
      <w:pPr>
        <w:spacing w:after="60" w:before="60"/>
        <w:ind w:left="720" w:hanging="720"/>
      </w:pPr>
      <w:r>
        <w:rPr>
          <w:rFonts w:ascii="Georgia" w:cs="Georgia" w:eastAsia="Georgia" w:hAnsi="Georgia"/>
          <w:color w:val="333333"/>
          <w:sz w:val="19"/>
          <w:szCs w:val="19"/>
        </w:rPr>
        <w:t xml:space="preserve">Chinese Academy of Sciences. (2025). CAS maintains leading position in Nature Index for 13th year. english.cas.cn.</w:t>
      </w:r>
    </w:p>
    <w:p>
      <w:pPr>
        <w:spacing w:after="60" w:before="60"/>
        <w:ind w:left="720" w:hanging="720"/>
      </w:pPr>
      <w:r>
        <w:rPr>
          <w:rFonts w:ascii="Georgia" w:cs="Georgia" w:eastAsia="Georgia" w:hAnsi="Georgia"/>
          <w:color w:val="333333"/>
          <w:sz w:val="19"/>
          <w:szCs w:val="19"/>
        </w:rPr>
        <w:t xml:space="preserve">Institute of Higher Education, Boston College. (2024). Academic personnel system reforms in China: Trajectory and tensions. International Higher Education, 118.</w:t>
      </w:r>
    </w:p>
    <w:p>
      <w:pPr>
        <w:spacing w:after="60" w:before="60"/>
        <w:ind w:left="720" w:hanging="720"/>
      </w:pPr>
      <w:r>
        <w:rPr>
          <w:rFonts w:ascii="Georgia" w:cs="Georgia" w:eastAsia="Georgia" w:hAnsi="Georgia"/>
          <w:color w:val="333333"/>
          <w:sz w:val="19"/>
          <w:szCs w:val="19"/>
        </w:rPr>
        <w:t xml:space="preserve">Kocyigit, et al. (2025). Analysis of retracted publications on artificial intelligence. PMC.</w:t>
      </w:r>
    </w:p>
    <w:p>
      <w:pPr>
        <w:spacing w:after="60" w:before="60"/>
        <w:ind w:left="720" w:hanging="720"/>
      </w:pPr>
      <w:r>
        <w:rPr>
          <w:rFonts w:ascii="Georgia" w:cs="Georgia" w:eastAsia="Georgia" w:hAnsi="Georgia"/>
          <w:color w:val="333333"/>
          <w:sz w:val="19"/>
          <w:szCs w:val="19"/>
        </w:rPr>
        <w:t xml:space="preserve">National Bureau of Statistics of China. (2025). Communique on national expenditures on science and technology in 2024. stats.gov.cn.</w:t>
      </w:r>
    </w:p>
    <w:p>
      <w:pPr>
        <w:spacing w:after="60" w:before="60"/>
        <w:ind w:left="720" w:hanging="720"/>
      </w:pPr>
      <w:r>
        <w:rPr>
          <w:rFonts w:ascii="Georgia" w:cs="Georgia" w:eastAsia="Georgia" w:hAnsi="Georgia"/>
          <w:color w:val="333333"/>
          <w:sz w:val="19"/>
          <w:szCs w:val="19"/>
        </w:rPr>
        <w:t xml:space="preserve">National Natural Science Foundation of China. (2025). National natural science fund guide to programs 2025. NSFC.</w:t>
      </w:r>
    </w:p>
    <w:p>
      <w:pPr>
        <w:spacing w:after="60" w:before="60"/>
        <w:ind w:left="720" w:hanging="720"/>
      </w:pPr>
      <w:r>
        <w:rPr>
          <w:rFonts w:ascii="Georgia" w:cs="Georgia" w:eastAsia="Georgia" w:hAnsi="Georgia"/>
          <w:color w:val="333333"/>
          <w:sz w:val="19"/>
          <w:szCs w:val="19"/>
        </w:rPr>
        <w:t xml:space="preserve">Nature Index. (2025). 2025 Research Leaders. nature.com/nature-index.</w:t>
      </w:r>
    </w:p>
    <w:p>
      <w:pPr>
        <w:spacing w:after="60" w:before="60"/>
        <w:ind w:left="720" w:hanging="720"/>
      </w:pPr>
      <w:r>
        <w:rPr>
          <w:rFonts w:ascii="Georgia" w:cs="Georgia" w:eastAsia="Georgia" w:hAnsi="Georgia"/>
          <w:color w:val="333333"/>
          <w:sz w:val="19"/>
          <w:szCs w:val="19"/>
        </w:rPr>
        <w:t xml:space="preserve">Nature Index. (2026). Harvard loses first place in Nature Index. nature.com/nature-index/news, June 2026.</w:t>
      </w:r>
    </w:p>
    <w:p>
      <w:pPr>
        <w:spacing w:after="60" w:before="60"/>
        <w:ind w:left="720" w:hanging="720"/>
      </w:pPr>
      <w:r>
        <w:rPr>
          <w:rFonts w:ascii="Georgia" w:cs="Georgia" w:eastAsia="Georgia" w:hAnsi="Georgia"/>
          <w:color w:val="333333"/>
          <w:sz w:val="19"/>
          <w:szCs w:val="19"/>
        </w:rPr>
        <w:t xml:space="preserve">OECD. (2025). R&amp;D spending growth slows in OECD, surges in China. oecd.org, March 2025.</w:t>
      </w:r>
    </w:p>
    <w:p>
      <w:pPr>
        <w:spacing w:after="60" w:before="60"/>
        <w:ind w:left="720" w:hanging="720"/>
      </w:pPr>
      <w:r>
        <w:rPr>
          <w:rFonts w:ascii="Georgia" w:cs="Georgia" w:eastAsia="Georgia" w:hAnsi="Georgia"/>
          <w:color w:val="333333"/>
          <w:sz w:val="19"/>
          <w:szCs w:val="19"/>
        </w:rPr>
        <w:t xml:space="preserve">PIE News. (2026). China's outbound student drop signals 'maturing' market. April 2026.</w:t>
      </w:r>
    </w:p>
    <w:p>
      <w:pPr>
        <w:spacing w:after="60" w:before="60"/>
        <w:ind w:left="720" w:hanging="720"/>
      </w:pPr>
      <w:r>
        <w:rPr>
          <w:rFonts w:ascii="Georgia" w:cs="Georgia" w:eastAsia="Georgia" w:hAnsi="Georgia"/>
          <w:color w:val="333333"/>
          <w:sz w:val="19"/>
          <w:szCs w:val="19"/>
        </w:rPr>
        <w:t xml:space="preserve">Sixth Tone. (2024). Up or out: The ruthless tenure race for young Chinese scholars. July 2024.</w:t>
      </w:r>
    </w:p>
    <w:p>
      <w:pPr>
        <w:spacing w:after="60" w:before="60"/>
        <w:ind w:left="720" w:hanging="720"/>
      </w:pPr>
      <w:r>
        <w:rPr>
          <w:rFonts w:ascii="Georgia" w:cs="Georgia" w:eastAsia="Georgia" w:hAnsi="Georgia"/>
          <w:color w:val="333333"/>
          <w:sz w:val="19"/>
          <w:szCs w:val="19"/>
        </w:rPr>
        <w:t xml:space="preserve">South China Morning Post. (2025). AI-powered fraud: Chinese paper mills are mass-producing fake academic research. October 2025.</w:t>
      </w:r>
    </w:p>
    <w:p>
      <w:pPr>
        <w:spacing w:after="60" w:before="60"/>
        <w:ind w:left="720" w:hanging="720"/>
      </w:pPr>
      <w:r>
        <w:rPr>
          <w:rFonts w:ascii="Georgia" w:cs="Georgia" w:eastAsia="Georgia" w:hAnsi="Georgia"/>
          <w:color w:val="333333"/>
          <w:sz w:val="19"/>
          <w:szCs w:val="19"/>
        </w:rPr>
        <w:t xml:space="preserve">Springer Nature Group. (2026). Nature Index expands to applied and social sciences with release of 2026 Research Leaders tables. Press release, June 2026.</w:t>
      </w:r>
    </w:p>
    <w:p>
      <w:pPr>
        <w:spacing w:after="60" w:before="60"/>
        <w:ind w:left="720" w:hanging="720"/>
      </w:pPr>
      <w:r>
        <w:rPr>
          <w:rFonts w:ascii="Georgia" w:cs="Georgia" w:eastAsia="Georgia" w:hAnsi="Georgia"/>
          <w:color w:val="333333"/>
          <w:sz w:val="19"/>
          <w:szCs w:val="19"/>
        </w:rPr>
        <w:t xml:space="preserve">Times Higher Education. (2025). Collapse in Chinese student numbers highly likely by 2040. September 2025.</w:t>
      </w:r>
    </w:p>
    <w:p>
      <w:pPr>
        <w:spacing w:after="60" w:before="60"/>
        <w:ind w:left="720" w:hanging="720"/>
      </w:pPr>
      <w:r>
        <w:rPr>
          <w:rFonts w:ascii="Georgia" w:cs="Georgia" w:eastAsia="Georgia" w:hAnsi="Georgia"/>
          <w:color w:val="333333"/>
          <w:sz w:val="19"/>
          <w:szCs w:val="19"/>
        </w:rPr>
        <w:t xml:space="preserve">Times Higher Education. (2026). Demand from Chinese students declines Down Under. February 2026.</w:t>
      </w:r>
    </w:p>
    <w:p>
      <w:pPr>
        <w:spacing w:after="60" w:before="60"/>
        <w:ind w:left="720" w:hanging="720"/>
      </w:pPr>
      <w:r>
        <w:rPr>
          <w:rFonts w:ascii="Georgia" w:cs="Georgia" w:eastAsia="Georgia" w:hAnsi="Georgia"/>
          <w:color w:val="333333"/>
          <w:sz w:val="19"/>
          <w:szCs w:val="19"/>
        </w:rPr>
        <w:t xml:space="preserve">Wang, X., and Wang, Y. (2023). The tenure track employment system in colleges and universities in China: A scoping review. Frontiers in Psychology.</w:t>
      </w:r>
    </w:p>
    <w:p>
      <w:pPr>
        <w:spacing w:after="0" w:before="120"/>
      </w:pPr>
    </w:p>
    <w:p>
      <w:pPr>
        <w:pBdr>
          <w:bottom w:val="single" w:color="2E4057" w:sz="4" w:space="1"/>
        </w:pBdr>
        <w:spacing w:after="160" w:before="160"/>
      </w:pPr>
    </w:p>
    <w:p>
      <w:pPr>
        <w:spacing w:after="0" w:before="80"/>
        <w:jc w:val="center"/>
      </w:pPr>
      <w:r>
        <w:rPr>
          <w:rFonts w:ascii="Arial" w:cs="Arial" w:eastAsia="Arial" w:hAnsi="Arial"/>
          <w:i/>
          <w:iCs/>
          <w:color w:val="666666"/>
          <w:sz w:val="17"/>
          <w:szCs w:val="17"/>
        </w:rPr>
        <w:t xml:space="preserve">Attia, S. (2026). Prestige diffusion theory: China's uneven transition from concentrated academic power to distributed engineering excellence. Working paper. Sustainable Building Design Lab, University of Liège. ISBN: 978-2-930909-31-8.</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99999"/>
        <w:sz w:val="16"/>
        <w:szCs w:val="16"/>
      </w:rPr>
      <w:t xml:space="preserve">Attia, S. (2026). Prestige Diffusion Theory. Working paper. SBD Lab, Université de Liège. ISBN: 978-2-930909-31-8.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2" w:space="1"/>
      </w:pBdr>
    </w:pPr>
    <w:r>
      <w:rPr>
        <w:rFonts w:ascii="Arial" w:cs="Arial" w:eastAsia="Arial" w:hAnsi="Arial"/>
        <w:i/>
        <w:iCs/>
        <w:color w:val="888888"/>
        <w:sz w:val="18"/>
        <w:szCs w:val="18"/>
      </w:rPr>
      <w:t xml:space="preserve">Prestige Diffusion Theory</w:t>
    </w:r>
    <w:r>
      <w:rPr>
        <w:rFonts w:ascii="Arial" w:cs="Arial" w:eastAsia="Arial" w:hAnsi="Arial"/>
        <w:color w:val="AAAAAA"/>
        <w:sz w:val="18"/>
        <w:szCs w:val="18"/>
      </w:rPr>
      <w:t xml:space="preserve">   |   Attia, S.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outlineLvl w:val="0"/>
    </w:pPr>
    <w:rPr>
      <w:rFonts w:ascii="Arial" w:cs="Arial" w:eastAsia="Arial" w:hAnsi="Arial"/>
      <w:b/>
      <w:bCs/>
      <w:color w:val="1A1A2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2026-06-25T08:12:08.016Z</dcterms:created>
  <dcterms:modified xsi:type="dcterms:W3CDTF">2026-06-25T08:12:08.037Z</dcterms:modified>
</cp:coreProperties>
</file>

<file path=docProps/custom.xml><?xml version="1.0" encoding="utf-8"?>
<Properties xmlns="http://schemas.openxmlformats.org/officeDocument/2006/custom-properties" xmlns:vt="http://schemas.openxmlformats.org/officeDocument/2006/docPropsVTypes"/>
</file>