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B35E" w14:textId="77777777" w:rsidR="003771E5" w:rsidRPr="007E251E" w:rsidRDefault="007E251E">
      <w:pPr>
        <w:pStyle w:val="Heading1"/>
        <w:jc w:val="center"/>
        <w:rPr>
          <w:sz w:val="24"/>
          <w:szCs w:val="24"/>
          <w:lang w:val="en-GB" w:eastAsia="en-BE"/>
        </w:rPr>
      </w:pPr>
      <w:r w:rsidRPr="007E251E">
        <w:rPr>
          <w:rFonts w:asciiTheme="minorHAnsi" w:hAnsiTheme="minorHAnsi" w:cstheme="minorBidi"/>
        </w:rPr>
        <w:t>Syndemics, Health Policy, and the Role of the World Health Organization: Lessons from COVID-19</w:t>
      </w:r>
    </w:p>
    <w:p w14:paraId="3D28CACA" w14:textId="5FCA68D6" w:rsidR="003771E5" w:rsidRPr="00E57DB8" w:rsidRDefault="00000000">
      <w:pPr>
        <w:jc w:val="right"/>
        <w:rPr>
          <w:lang w:val="en-GB" w:eastAsia="en-BE"/>
        </w:rPr>
      </w:pPr>
      <w:r w:rsidRPr="00FE1436">
        <w:t xml:space="preserve">Denis Porignon, </w:t>
      </w:r>
      <w:r w:rsidR="00FE1436" w:rsidRPr="00FE1436">
        <w:t>University of Li</w:t>
      </w:r>
      <w:r w:rsidR="00827D92">
        <w:t>e</w:t>
      </w:r>
      <w:r w:rsidR="00FE1436" w:rsidRPr="00FE1436">
        <w:t>ge</w:t>
      </w:r>
    </w:p>
    <w:p w14:paraId="3F2614FD" w14:textId="77777777" w:rsidR="003771E5" w:rsidRPr="00E57DB8" w:rsidRDefault="00E57DB8">
      <w:pPr>
        <w:jc w:val="right"/>
        <w:rPr>
          <w:lang w:val="en-GB" w:eastAsia="en-BE"/>
        </w:rPr>
      </w:pPr>
      <w:r w:rsidRPr="00E57DB8">
        <w:t>Brussels, 16 June 2026</w:t>
      </w:r>
    </w:p>
    <w:p w14:paraId="66EE2E6A" w14:textId="77777777" w:rsidR="003771E5" w:rsidRPr="006B77B5" w:rsidRDefault="00EF0DF2">
      <w:pPr>
        <w:pStyle w:val="Heading2"/>
        <w:rPr>
          <w:sz w:val="24"/>
          <w:szCs w:val="24"/>
          <w:lang w:val="en-GB" w:eastAsia="en-BE"/>
        </w:rPr>
      </w:pPr>
      <w:r w:rsidRPr="006B77B5">
        <w:rPr>
          <w:rFonts w:asciiTheme="minorHAnsi" w:hAnsiTheme="minorHAnsi" w:cstheme="minorBidi"/>
          <w:lang w:val="en-GB"/>
        </w:rPr>
        <w:t>Abstract</w:t>
      </w:r>
    </w:p>
    <w:p w14:paraId="1EF35172" w14:textId="77777777" w:rsidR="003771E5" w:rsidRPr="00D43EC4" w:rsidRDefault="00D43EC4" w:rsidP="009814A7">
      <w:pPr>
        <w:rPr>
          <w:lang w:val="en-GB" w:eastAsia="en-BE"/>
        </w:rPr>
      </w:pPr>
      <w:r w:rsidRPr="00D43EC4">
        <w:t>The COVID-19 crisis was not merely a large-scale infectious disease event; it was a syndemic phenomenon that exposed the interdependence of biological vulnerability, chronic disease, social inequality, institutional capacity, and political decision-making. This article examines the COVID-19 syndemic through the lens of health policy and global health governance, with particular attention to the role of the World Health Organization (WHO). It argues that pandemic preparedness cannot be reduced to emergency response, technological innovation, or hospital-centred capacity. Rather, resilient health systems require strengthened primary health care, transparent international cooperation, coherent governance, sustained investment in medico-sanitary capacities, and meaningful participation by communities and stakeholders. The analysis highlights the structural limits of WHO action, while also emphasizing its normative, coordinating, and supportive functions. Finally, the article calls for a more holistic, equitable, and accountable model of health governance capable of addressing complexity, uncertainty, and the long-term determinants of health.</w:t>
      </w:r>
    </w:p>
    <w:p w14:paraId="42116ADC" w14:textId="77777777" w:rsidR="003771E5" w:rsidRPr="006A079E" w:rsidRDefault="006A079E" w:rsidP="00D74332">
      <w:pPr>
        <w:rPr>
          <w:lang w:val="en-GB" w:eastAsia="en-BE"/>
        </w:rPr>
      </w:pPr>
      <w:r w:rsidRPr="006A079E">
        <w:rPr>
          <w:b/>
          <w:bCs/>
        </w:rPr>
        <w:t>Keywords:</w:t>
      </w:r>
      <w:r w:rsidRPr="006A079E">
        <w:t xml:space="preserve"> syndemic; COVID-19; health policy; World Health Organization; primary health care; global health governance; health systems resilience; One Health.</w:t>
      </w:r>
    </w:p>
    <w:p w14:paraId="22C6A0F3" w14:textId="77777777" w:rsidR="003771E5" w:rsidRPr="006B77B5" w:rsidRDefault="00B17C0E">
      <w:pPr>
        <w:pStyle w:val="Heading2"/>
        <w:rPr>
          <w:sz w:val="24"/>
          <w:szCs w:val="24"/>
          <w:lang w:val="en-GB" w:eastAsia="en-BE"/>
        </w:rPr>
      </w:pPr>
      <w:r w:rsidRPr="006B77B5">
        <w:rPr>
          <w:rFonts w:asciiTheme="minorHAnsi" w:hAnsiTheme="minorHAnsi" w:cstheme="minorBidi"/>
          <w:lang w:val="en-GB"/>
        </w:rPr>
        <w:t>Introduction</w:t>
      </w:r>
    </w:p>
    <w:p w14:paraId="29BB8B07" w14:textId="6FFC68E3" w:rsidR="00415612" w:rsidRDefault="00000000" w:rsidP="005228B2">
      <w:r w:rsidRPr="003C651A">
        <w:t xml:space="preserve">The COVID-19 syndemic, like the Ebola crisis before it, should be understood not only as a major infectious episode but also as a powerful revealer of social and institutional vulnerabilities. </w:t>
      </w:r>
      <w:r w:rsidR="00DB6C12" w:rsidRPr="00DB6C12">
        <w:t>The syndemic concept draws attention to the interaction between biological processes, pre-existing disease burdens, and social conditions that shape exposure, vulnerability, prognosis, and policy response (Singer et al., 2017; Horton, 2020; Mendenhall, 2020</w:t>
      </w:r>
      <w:r w:rsidR="00A60EE1">
        <w:t>;</w:t>
      </w:r>
      <w:r w:rsidR="00A35DFF">
        <w:t xml:space="preserve"> Servais et al, 2025</w:t>
      </w:r>
      <w:r w:rsidR="00DB6C12" w:rsidRPr="00DB6C12">
        <w:t>). In this perspective, COVID-19</w:t>
      </w:r>
      <w:r w:rsidRPr="003C651A">
        <w:t xml:space="preserve"> exposed the fragility of health systems, the limits of governance arrangements, and the extent of global interdependence. To speak of a syndemic is </w:t>
      </w:r>
      <w:r w:rsidR="00DB6C12" w:rsidRPr="00DB6C12">
        <w:t xml:space="preserve">therefore </w:t>
      </w:r>
      <w:r w:rsidRPr="003C651A">
        <w:t xml:space="preserve">to recognize that COVID-19 developed in interaction with social inequalities, chronic diseases, institutional constraints, and political choices. </w:t>
      </w:r>
      <w:r w:rsidR="00DB6C12" w:rsidRPr="00DB6C12">
        <w:t>The</w:t>
      </w:r>
      <w:r w:rsidRPr="003C651A">
        <w:t xml:space="preserve"> crisis forces policy-makers and researchers to consider together dimensions that are often treated separately: health, well-being, social protection, the economy, public decision-making, knowledge circulation, and the management of uncertainty.</w:t>
      </w:r>
    </w:p>
    <w:p w14:paraId="01EB7E30" w14:textId="21F541B0" w:rsidR="003C651A" w:rsidRDefault="003C651A">
      <w:pPr>
        <w:rPr>
          <w:lang w:eastAsia="en-BE"/>
        </w:rPr>
      </w:pPr>
      <w:r>
        <w:lastRenderedPageBreak/>
        <w:t>This perspective also requires a nuanced assessment of the World Health Organization. The WHO belongs to its Member States and acts at the global level by developing guidance, supporting governments, coordinating efforts, proposing normative frameworks, and alerting the international community. Yet its capacity for action is constrained by its institutional nature. Unlike operational agencies or non-governmental organizations, the WHO rarely acts as a direct service provider. It cannot govern in place of States, impose context-specific responses, or overcome national sovereignty by decree. Its central challenge is therefore to create the conditions for fluid circulation of guidance, field data, results, lessons learned, progress, and obstacles, so that global and national levels can inform one another more effectively</w:t>
      </w:r>
      <w:r w:rsidR="00E01765">
        <w:t xml:space="preserve"> in a more multidisciplinary perspective</w:t>
      </w:r>
      <w:r>
        <w:t>.</w:t>
      </w:r>
    </w:p>
    <w:p w14:paraId="082BBA48" w14:textId="77777777" w:rsidR="003771E5" w:rsidRPr="00C63892" w:rsidRDefault="00C63892">
      <w:pPr>
        <w:pStyle w:val="Heading2"/>
        <w:rPr>
          <w:sz w:val="24"/>
          <w:szCs w:val="24"/>
          <w:lang w:val="en-GB" w:eastAsia="en-BE"/>
        </w:rPr>
      </w:pPr>
      <w:r w:rsidRPr="00C63892">
        <w:rPr>
          <w:rFonts w:asciiTheme="minorHAnsi" w:hAnsiTheme="minorHAnsi" w:cstheme="minorBidi"/>
        </w:rPr>
        <w:t>International Cooperation, Transparency, and the Limits of Sovereignty</w:t>
      </w:r>
    </w:p>
    <w:p w14:paraId="46CCE90E" w14:textId="77777777" w:rsidR="003771E5" w:rsidRPr="00D15C3B" w:rsidRDefault="00D15C3B" w:rsidP="004B21A5">
      <w:pPr>
        <w:rPr>
          <w:lang w:val="en-GB" w:eastAsia="en-BE"/>
        </w:rPr>
      </w:pPr>
      <w:r w:rsidRPr="00D15C3B">
        <w:t>One of the first lessons of the COVID-19 crisis concerns the difficulty of organizing international cooperation that is both effective and transparent. The pandemic showed that information circulation is essential, but also that it can be delayed, fragmented, unequal, and obscured by divergent interests or contradictory national priorities. It also demonstrated that proposed solutions to global health crises can generate disagreement, opposition, and inequality both within countries and between them.</w:t>
      </w:r>
    </w:p>
    <w:p w14:paraId="1433399B" w14:textId="77777777" w:rsidR="003771E5" w:rsidRPr="00A8025B" w:rsidRDefault="00A8025B" w:rsidP="00621EA8">
      <w:pPr>
        <w:rPr>
          <w:lang w:val="en-GB" w:eastAsia="en-BE"/>
        </w:rPr>
      </w:pPr>
      <w:r w:rsidRPr="00A8025B">
        <w:t>In a global health crisis, no strictly national response is sufficient. Nevertheless, many coordination mechanisms remain more declarative than operational. States call for solidarity but may hesitate to share data, resources, or decision-making space. Conversely, international institutions such as the WHO are burdened with considerable expectations despite limited resources and an obligation to work within the sovereignty of Member States. This structural tension shaped the entire COVID-19 sequence and remains a defining feature of global health governance.</w:t>
      </w:r>
    </w:p>
    <w:p w14:paraId="681847EF" w14:textId="77777777" w:rsidR="003771E5" w:rsidRPr="00E06DEF" w:rsidRDefault="00E06DEF">
      <w:pPr>
        <w:pStyle w:val="Heading2"/>
        <w:rPr>
          <w:sz w:val="24"/>
          <w:szCs w:val="24"/>
          <w:lang w:val="en-GB" w:eastAsia="en-BE"/>
        </w:rPr>
      </w:pPr>
      <w:r w:rsidRPr="00E06DEF">
        <w:rPr>
          <w:rFonts w:asciiTheme="minorHAnsi" w:hAnsiTheme="minorHAnsi" w:cstheme="minorBidi"/>
        </w:rPr>
        <w:t>Strengthening Medico-Sanitary Capacities as a Global Responsibility</w:t>
      </w:r>
    </w:p>
    <w:p w14:paraId="260710DF" w14:textId="77777777" w:rsidR="00415612" w:rsidRDefault="00000000" w:rsidP="0003785D">
      <w:r w:rsidRPr="00330B65">
        <w:t xml:space="preserve">A second decisive lesson concerns the strengthening of medico-sanitary capacities as a global responsibility. A pandemic reminds us that health security is indivisible: the failure of one health system can rapidly become a risk for all. Capacity strengthening is not limited to equipment, stockpiles, or emergency procurement. It requires sustained investment in professional training, care networks, epidemiological surveillance, laboratory quality, local response capacity, and coordination across levels of decision-making. The COVID-19 crisis showed that resources dedicated to emergency care were often constrained, insufficient, and mobilized reactively rather than built over time. This dynamic reflects the recurring cycle of “panic and neglect” that has long characterized </w:t>
      </w:r>
      <w:r w:rsidRPr="00330B65">
        <w:lastRenderedPageBreak/>
        <w:t>preparedness for health emergencies</w:t>
      </w:r>
      <w:r w:rsidR="00E74226" w:rsidRPr="00E74226">
        <w:t xml:space="preserve"> and was explicitly addressed in WHO guidance on resilience after COVID-19 (World Health Organization, 2021).</w:t>
      </w:r>
    </w:p>
    <w:p w14:paraId="3CE052A6" w14:textId="77777777" w:rsidR="003771E5" w:rsidRPr="00E3650E" w:rsidRDefault="00E3650E" w:rsidP="0042100A">
      <w:pPr>
        <w:rPr>
          <w:lang w:val="en-GB" w:eastAsia="en-BE"/>
        </w:rPr>
      </w:pPr>
      <w:r w:rsidRPr="00E3650E">
        <w:t>The pandemic also revealed the risks of an exclusive fascination with technological solutions. Technology is indispensable, but it cannot substitute for robust institutions, trained health workers, trusted relationships, or reliable channels between decision-makers, providers, and populations. Similarly, the multiplication of global health initiatives has sometimes produced a fragmented landscape of programmes, partnerships, funds, coalitions, and emergency mechanisms. Although often well intentioned, such initiatives do not automatically generate coherence. The risks are twofold: fragmentation of priorities and exhaustion of front-line actors asked to respond to multiple, sometimes competing, demands.</w:t>
      </w:r>
    </w:p>
    <w:p w14:paraId="5D9D3DE5" w14:textId="77777777" w:rsidR="003771E5" w:rsidRPr="00493681" w:rsidRDefault="00F220E4">
      <w:pPr>
        <w:pStyle w:val="Heading2"/>
        <w:rPr>
          <w:sz w:val="24"/>
          <w:szCs w:val="24"/>
          <w:lang w:val="en-GB" w:eastAsia="en-BE"/>
        </w:rPr>
      </w:pPr>
      <w:r w:rsidRPr="00F220E4">
        <w:rPr>
          <w:rFonts w:asciiTheme="minorHAnsi" w:hAnsiTheme="minorHAnsi" w:cstheme="minorBidi"/>
        </w:rPr>
        <w:t>Global and National Health Governance</w:t>
      </w:r>
    </w:p>
    <w:p w14:paraId="758FEACB" w14:textId="22AF4A8C" w:rsidR="00415612" w:rsidRDefault="00000000" w:rsidP="000048F1">
      <w:r w:rsidRPr="00493681">
        <w:t xml:space="preserve">Effective governance does not consist of adding more mechanisms. It requires prioritization, coordination, evaluation, and accountability. This requirement is particularly important because health crises occur in contexts already shaped by inequality, fiscal pressure, political tension, and environmental challenges. WHO guidance on health systems resilience </w:t>
      </w:r>
      <w:r w:rsidR="00FD1A7D" w:rsidRPr="004B13FB">
        <w:t>(World Health Organization, 2021)</w:t>
      </w:r>
      <w:r w:rsidR="00FD1A7D">
        <w:t xml:space="preserve"> </w:t>
      </w:r>
      <w:r w:rsidRPr="00493681">
        <w:t>emphasizes that resilience must be intentionally programmed, contextualized, and supported by practical action rather than assumed to emerge automatically from investment alone</w:t>
      </w:r>
      <w:r w:rsidR="00FD1A7D">
        <w:t xml:space="preserve"> (Truppa et al,. 2026)</w:t>
      </w:r>
      <w:r w:rsidR="004B13FB" w:rsidRPr="004B13FB">
        <w:t>.</w:t>
      </w:r>
      <w:r w:rsidRPr="00493681">
        <w:t xml:space="preserve"> In the context of COVID-19, the WHO contributed not only to emergency response but also to less visible work related to the protection of vulnerable populations, preparedness capacities, health security, </w:t>
      </w:r>
      <w:r w:rsidR="00A678D0">
        <w:t xml:space="preserve">health sector </w:t>
      </w:r>
      <w:r w:rsidRPr="00493681">
        <w:t>governance strengthening, continuity of essential services, and the integration of crisis lessons into long-term health system reform</w:t>
      </w:r>
      <w:r w:rsidR="00A678D0">
        <w:t xml:space="preserve"> (</w:t>
      </w:r>
      <w:r w:rsidR="00FD1A7D">
        <w:t xml:space="preserve">Arsenault et al., 2022; </w:t>
      </w:r>
      <w:r w:rsidR="00A678D0">
        <w:t xml:space="preserve">Cheong Cho Mi </w:t>
      </w:r>
      <w:r w:rsidR="00A60EE1">
        <w:t>et al., 2023; World Health Organization, 2023)</w:t>
      </w:r>
      <w:r w:rsidRPr="00493681">
        <w:t>.</w:t>
      </w:r>
    </w:p>
    <w:p w14:paraId="7AD349D8" w14:textId="77777777" w:rsidR="003771E5" w:rsidRPr="00800325" w:rsidRDefault="00800325">
      <w:pPr>
        <w:pStyle w:val="Heading2"/>
        <w:rPr>
          <w:sz w:val="24"/>
          <w:szCs w:val="24"/>
          <w:lang w:val="en-GB" w:eastAsia="en-BE"/>
        </w:rPr>
      </w:pPr>
      <w:r w:rsidRPr="00800325">
        <w:rPr>
          <w:rFonts w:asciiTheme="minorHAnsi" w:hAnsiTheme="minorHAnsi" w:cstheme="minorBidi"/>
        </w:rPr>
        <w:t>What Health Systems Are Needed for Future Crises?</w:t>
      </w:r>
    </w:p>
    <w:p w14:paraId="1996F05B" w14:textId="77777777" w:rsidR="00415612" w:rsidRDefault="00000000" w:rsidP="00852968">
      <w:r w:rsidRPr="00F208D5">
        <w:t>The syndemic also raises a fundamental question: what type of health system have we built, and what type of system do we want for the future? In many countries, COVID-19 revealed the limits of systems too strongly oriented toward hospitals and insufficiently anchored in primary health care. When all pressure converges on hospitals, it often indicates that upstream functions have been neglected: prevention, proximity-based follow-up, territorial coordination, community support, early listening, triage, referral, and continuity of care. The “ecology of medical care” described by White</w:t>
      </w:r>
      <w:r w:rsidR="00671342" w:rsidRPr="00671342">
        <w:t>, Williams,</w:t>
      </w:r>
      <w:r w:rsidRPr="00F208D5">
        <w:t xml:space="preserve"> and </w:t>
      </w:r>
      <w:r w:rsidR="00671342" w:rsidRPr="00671342">
        <w:t>Greenberg</w:t>
      </w:r>
      <w:r w:rsidRPr="00F208D5">
        <w:t xml:space="preserve"> remains relevant: most health needs are addressed outside hospitals, close to people’s everyday lives</w:t>
      </w:r>
      <w:r w:rsidR="00671342" w:rsidRPr="00671342">
        <w:t xml:space="preserve"> (White et al., 1961).</w:t>
      </w:r>
    </w:p>
    <w:p w14:paraId="5DA38180" w14:textId="74BF9B74" w:rsidR="00415612" w:rsidRDefault="00000000" w:rsidP="00453C9F">
      <w:r w:rsidRPr="005042BA">
        <w:t>Primary health care, as defined by WHO</w:t>
      </w:r>
      <w:r w:rsidR="00804CF2" w:rsidRPr="00804CF2">
        <w:t xml:space="preserve"> and UNICEF</w:t>
      </w:r>
      <w:r w:rsidRPr="005042BA">
        <w:t xml:space="preserve">, is not merely a level of care but an approach to health that </w:t>
      </w:r>
      <w:r w:rsidR="00804CF2" w:rsidRPr="00804CF2">
        <w:t>combines integrated</w:t>
      </w:r>
      <w:r w:rsidRPr="005042BA">
        <w:t xml:space="preserve"> services</w:t>
      </w:r>
      <w:r w:rsidR="00804CF2" w:rsidRPr="00804CF2">
        <w:t xml:space="preserve">, multisectoral policy and action, and empowered people and communities (World Health Organization and UNICEF, </w:t>
      </w:r>
      <w:r w:rsidR="00804CF2" w:rsidRPr="00804CF2">
        <w:lastRenderedPageBreak/>
        <w:t>2020).</w:t>
      </w:r>
      <w:r w:rsidRPr="005042BA">
        <w:t xml:space="preserve"> Strengthening the first line of care does not weaken hospitals; rather, it gives the entire system a more equitable and robust architecture. Recent evidence </w:t>
      </w:r>
      <w:r w:rsidR="00804CF2" w:rsidRPr="00804CF2">
        <w:t xml:space="preserve">and policy guidance </w:t>
      </w:r>
      <w:r w:rsidRPr="005042BA">
        <w:t xml:space="preserve">also </w:t>
      </w:r>
      <w:r w:rsidR="00804CF2" w:rsidRPr="00804CF2">
        <w:t>show</w:t>
      </w:r>
      <w:r w:rsidRPr="005042BA">
        <w:t xml:space="preserve"> that primary health care is central to pandemic prevention, preparedness, response, and recovery because it supports surveillance, continuity of essential services, risk communication, community trust, and catch-up care after disruption</w:t>
      </w:r>
      <w:r w:rsidR="00F150F3">
        <w:t xml:space="preserve"> (Kruk et al., 2015</w:t>
      </w:r>
      <w:r w:rsidR="00D10A45">
        <w:t xml:space="preserve">; </w:t>
      </w:r>
      <w:r w:rsidR="00207664">
        <w:t>Larrondo et al., 2026</w:t>
      </w:r>
      <w:r w:rsidR="00F150F3">
        <w:t>)</w:t>
      </w:r>
      <w:r w:rsidRPr="005042BA">
        <w:t>.</w:t>
      </w:r>
    </w:p>
    <w:p w14:paraId="17A128C5" w14:textId="77777777" w:rsidR="00415612" w:rsidRDefault="00000000" w:rsidP="002F7AA0">
      <w:r>
        <w:t xml:space="preserve">This implies a holistic approach to health, extending to a One Health perspective attentive to the relationships among human health, animal health, environmental health, and living conditions. </w:t>
      </w:r>
      <w:r w:rsidR="001565A4" w:rsidRPr="001565A4">
        <w:t xml:space="preserve">The One Health High-Level Expert Panel defines One Health as an integrated, unifying approach that seeks to balance and optimize the health of people, animals, and ecosystems (OHHLEP et al., 2022). </w:t>
      </w:r>
      <w:r>
        <w:t>Such an orientation requires moving beyond exclusively biomedical or managerial readings of crises. It also demands meaningful participation by relevant stakeholders: policy-makers, health professionals, researchers, technical experts, representatives of the population, associations, civil society, and beneficiaries themselves. Public health does not gain legitimacy by speaking from above; it becomes more relevant when developed with those whom it concerns. Participation is therefore not a decorative democratic supplement but a condition of effectiveness, appropriation, and trust.</w:t>
      </w:r>
    </w:p>
    <w:p w14:paraId="48478339" w14:textId="77777777" w:rsidR="003771E5" w:rsidRPr="00E82B0E" w:rsidRDefault="00D05A9E">
      <w:pPr>
        <w:pStyle w:val="Heading2"/>
        <w:rPr>
          <w:sz w:val="24"/>
          <w:szCs w:val="24"/>
          <w:lang w:val="en-GB" w:eastAsia="en-BE"/>
        </w:rPr>
      </w:pPr>
      <w:r w:rsidRPr="00D05A9E">
        <w:rPr>
          <w:rFonts w:asciiTheme="minorHAnsi" w:hAnsiTheme="minorHAnsi" w:cstheme="minorBidi"/>
        </w:rPr>
        <w:t>Addressing Complexity and Uncertainty</w:t>
      </w:r>
    </w:p>
    <w:p w14:paraId="6B3BE166" w14:textId="35D778EF" w:rsidR="00415612" w:rsidRDefault="00000000" w:rsidP="004D1E3C">
      <w:r w:rsidRPr="00E82B0E">
        <w:t xml:space="preserve">The analysis of a syndemic must account for the situation itself, the determinants of the context in which it occurs, and the opacity of the processes that transform it. In other words, it requires acceptance of complexity. </w:t>
      </w:r>
      <w:r w:rsidR="00C429DD" w:rsidRPr="00C429DD">
        <w:t>As</w:t>
      </w:r>
      <w:r w:rsidRPr="00E82B0E">
        <w:t xml:space="preserve"> Morin has argued, order, clarity, and determinism are insufficient for understanding reality</w:t>
      </w:r>
      <w:r w:rsidR="00C429DD" w:rsidRPr="00C429DD">
        <w:t xml:space="preserve"> (Morin, 2008).</w:t>
      </w:r>
      <w:r w:rsidRPr="00E82B0E">
        <w:t xml:space="preserve"> During a health crisis, data evolve, knowledge is revised, trade-offs are made under constraint, and decisions are often taken before certainty is available. This uncertainty is not incidental; it is part of the very condition of action.</w:t>
      </w:r>
    </w:p>
    <w:p w14:paraId="24F91DFC" w14:textId="77777777" w:rsidR="003771E5" w:rsidRPr="00685A97" w:rsidRDefault="00685A97" w:rsidP="00E07FB1">
      <w:pPr>
        <w:rPr>
          <w:lang w:val="en-GB" w:eastAsia="en-BE"/>
        </w:rPr>
      </w:pPr>
      <w:r w:rsidRPr="00685A97">
        <w:t>For this reason, the precautionary principle cannot be treated as a magical formula. It may be essential when the objective is to prevent serious and irreversible harm, but it must be articulated with proportionality, the temporality of emergencies, the indirect consequences of interventions, and the pluralism of values at stake. At their respective levels, the WHO, the State, and the practitioner face analogous challenges: each must act with incomplete knowledge, situated judgement, possible biases, significant responsibilities, and immense expectations from those they serve. Each is confronted with vulnerability, anxiety, demands for protection, and the necessity of deciding despite doubt.</w:t>
      </w:r>
    </w:p>
    <w:p w14:paraId="43BD54E3" w14:textId="77777777" w:rsidR="00FD1A7D" w:rsidRDefault="00FD1A7D">
      <w:pPr>
        <w:rPr>
          <w:rFonts w:eastAsiaTheme="majorEastAsia"/>
          <w:color w:val="0F4761" w:themeColor="accent1" w:themeShade="BF"/>
          <w:sz w:val="32"/>
          <w:szCs w:val="32"/>
        </w:rPr>
      </w:pPr>
      <w:r>
        <w:br w:type="page"/>
      </w:r>
    </w:p>
    <w:p w14:paraId="47277B22" w14:textId="5FB1D175" w:rsidR="003771E5" w:rsidRPr="00415612" w:rsidRDefault="00415612">
      <w:pPr>
        <w:pStyle w:val="Heading2"/>
        <w:rPr>
          <w:sz w:val="24"/>
          <w:szCs w:val="24"/>
          <w:lang w:val="en-GB" w:eastAsia="en-BE"/>
        </w:rPr>
      </w:pPr>
      <w:r w:rsidRPr="00415612">
        <w:rPr>
          <w:rFonts w:asciiTheme="minorHAnsi" w:hAnsiTheme="minorHAnsi" w:cstheme="minorBidi"/>
        </w:rPr>
        <w:lastRenderedPageBreak/>
        <w:t>Conclusion</w:t>
      </w:r>
    </w:p>
    <w:p w14:paraId="19795722" w14:textId="46794653" w:rsidR="00415612" w:rsidRDefault="00415612">
      <w:pPr>
        <w:rPr>
          <w:lang w:eastAsia="en-BE"/>
        </w:rPr>
      </w:pPr>
      <w:r>
        <w:t xml:space="preserve">The major political lesson of COVID-19 is not only that societies must be better technically prepared. It is that health governance must be rethought around equity, reasoned responsiveness, social protection, efficient use of resources, accountability, and participation. Revisiting the COVID-19 syndemic is therefore not a matter of reopening a closed file; it is a way of questioning collective capacity to learn, transform institutions, and inhabit uncertainty over the long term, including at the international level. Belgium, like other countries embedded in multilateral health governance, can contribute to this agenda by supporting coherent international cooperation, robust primary health care, and health systems that are more </w:t>
      </w:r>
      <w:r w:rsidR="00FA7F3E">
        <w:t>robust</w:t>
      </w:r>
      <w:r>
        <w:t>, just, and attentive to the social conditions of health.</w:t>
      </w:r>
    </w:p>
    <w:p w14:paraId="04747062" w14:textId="77777777" w:rsidR="00CD40F8" w:rsidRDefault="00CD40F8">
      <w:pPr>
        <w:pStyle w:val="Heading2"/>
        <w:rPr>
          <w:rFonts w:cstheme="minorBidi"/>
        </w:rPr>
      </w:pPr>
    </w:p>
    <w:p w14:paraId="140E6CE1" w14:textId="77777777" w:rsidR="00FD1A7D" w:rsidRDefault="00FD1A7D" w:rsidP="00FD1A7D"/>
    <w:p w14:paraId="6969FB2E" w14:textId="77777777" w:rsidR="00D10A45" w:rsidRDefault="00D10A45" w:rsidP="00FD1A7D"/>
    <w:p w14:paraId="5A4CBED9" w14:textId="77777777" w:rsidR="00FD1A7D" w:rsidRPr="00FD1A7D" w:rsidRDefault="00FD1A7D" w:rsidP="00FD1A7D"/>
    <w:p w14:paraId="73AED128" w14:textId="51E2CA37" w:rsidR="00C429DD" w:rsidRDefault="00C429DD">
      <w:pPr>
        <w:pStyle w:val="Heading2"/>
        <w:rPr>
          <w:rFonts w:cstheme="minorBidi"/>
          <w:lang w:eastAsia="en-BE"/>
        </w:rPr>
      </w:pPr>
      <w:r>
        <w:rPr>
          <w:rFonts w:cstheme="minorBidi"/>
        </w:rPr>
        <w:t>References</w:t>
      </w:r>
    </w:p>
    <w:p w14:paraId="34245120" w14:textId="45959E19" w:rsidR="00CD40F8" w:rsidRPr="00CD40F8" w:rsidRDefault="00CD40F8">
      <w:pPr>
        <w:rPr>
          <w:lang w:val="en-GB"/>
        </w:rPr>
      </w:pPr>
      <w:r w:rsidRPr="00CD40F8">
        <w:rPr>
          <w:lang w:val="en-GB"/>
        </w:rPr>
        <w:t>Arsenault, C., Gage, A., Kim, MK., et al</w:t>
      </w:r>
      <w:r w:rsidR="00807920">
        <w:rPr>
          <w:lang w:val="en-GB"/>
        </w:rPr>
        <w:t>.</w:t>
      </w:r>
      <w:r w:rsidRPr="00CD40F8">
        <w:rPr>
          <w:lang w:val="en-GB"/>
        </w:rPr>
        <w:t xml:space="preserve"> (2022)</w:t>
      </w:r>
      <w:r w:rsidR="00807920">
        <w:rPr>
          <w:lang w:val="en-GB"/>
        </w:rPr>
        <w:t>.</w:t>
      </w:r>
      <w:r w:rsidRPr="00CD40F8">
        <w:rPr>
          <w:lang w:val="en-GB"/>
        </w:rPr>
        <w:t xml:space="preserve"> </w:t>
      </w:r>
      <w:hyperlink r:id="rId7" w:history="1">
        <w:r w:rsidRPr="00CD40F8">
          <w:rPr>
            <w:lang w:val="en-GB"/>
          </w:rPr>
          <w:t>COVID-19 and resilience of healthcare systems in ten countries</w:t>
        </w:r>
      </w:hyperlink>
      <w:r w:rsidRPr="00CD40F8">
        <w:rPr>
          <w:lang w:val="en-GB"/>
        </w:rPr>
        <w:t>.</w:t>
      </w:r>
      <w:r>
        <w:rPr>
          <w:lang w:val="en-GB"/>
        </w:rPr>
        <w:t xml:space="preserve"> </w:t>
      </w:r>
      <w:r>
        <w:rPr>
          <w:i/>
          <w:iCs/>
          <w:lang w:val="en-GB"/>
        </w:rPr>
        <w:t xml:space="preserve">Nature Medicine </w:t>
      </w:r>
      <w:r>
        <w:rPr>
          <w:lang w:val="en-GB"/>
        </w:rPr>
        <w:t>28(6) 1314-1324.</w:t>
      </w:r>
    </w:p>
    <w:p w14:paraId="3CB07819" w14:textId="07776543" w:rsidR="00A678D0" w:rsidRPr="00A678D0" w:rsidRDefault="00A35DFF">
      <w:pPr>
        <w:rPr>
          <w:lang w:val="en-GB"/>
        </w:rPr>
      </w:pPr>
      <w:r w:rsidRPr="00A35DFF">
        <w:rPr>
          <w:lang w:val="en-GB"/>
        </w:rPr>
        <w:t xml:space="preserve">Cheong Chi Mo, J., Shah, A., Downey, </w:t>
      </w:r>
      <w:r w:rsidR="00807920">
        <w:rPr>
          <w:lang w:val="en-GB"/>
        </w:rPr>
        <w:t>C</w:t>
      </w:r>
      <w:r w:rsidRPr="00A35DFF">
        <w:rPr>
          <w:lang w:val="en-GB"/>
        </w:rPr>
        <w:t>.,</w:t>
      </w:r>
      <w:r>
        <w:rPr>
          <w:lang w:val="en-GB"/>
        </w:rPr>
        <w:t xml:space="preserve"> Genay-Diliautas, S., Saikat, S., Mustafa, S., Meru, N., </w:t>
      </w:r>
      <w:r w:rsidR="00A678D0">
        <w:rPr>
          <w:lang w:val="en-GB"/>
        </w:rPr>
        <w:t>Dalil, S., Schmets, G., and Porignon,  D. (2023)</w:t>
      </w:r>
      <w:r w:rsidR="00807920">
        <w:rPr>
          <w:lang w:val="en-GB"/>
        </w:rPr>
        <w:t>.</w:t>
      </w:r>
      <w:r w:rsidR="00A678D0">
        <w:rPr>
          <w:lang w:val="en-GB"/>
        </w:rPr>
        <w:t xml:space="preserve"> Developing technical support and strategic dialogue at the country </w:t>
      </w:r>
      <w:r w:rsidR="00A678D0" w:rsidRPr="00A678D0">
        <w:rPr>
          <w:lang w:val="en-GB"/>
        </w:rPr>
        <w:t xml:space="preserve">level </w:t>
      </w:r>
      <w:r w:rsidR="00A678D0" w:rsidRPr="00A678D0">
        <w:t xml:space="preserve">to achieve </w:t>
      </w:r>
      <w:r w:rsidR="00A678D0">
        <w:t>P</w:t>
      </w:r>
      <w:r w:rsidR="00A678D0" w:rsidRPr="00A678D0">
        <w:t xml:space="preserve">rimary </w:t>
      </w:r>
      <w:r w:rsidR="00A678D0">
        <w:t>H</w:t>
      </w:r>
      <w:r w:rsidR="00A678D0" w:rsidRPr="00A678D0">
        <w:t xml:space="preserve">ealth </w:t>
      </w:r>
      <w:r w:rsidR="00A678D0">
        <w:t>C</w:t>
      </w:r>
      <w:r w:rsidR="00A678D0" w:rsidRPr="00A678D0">
        <w:t>are-based health systems beyond the COVID</w:t>
      </w:r>
      <w:r w:rsidR="00A678D0">
        <w:t xml:space="preserve">-19 era. </w:t>
      </w:r>
      <w:r w:rsidR="00A678D0" w:rsidRPr="00CD40F8">
        <w:rPr>
          <w:i/>
          <w:iCs/>
        </w:rPr>
        <w:t>Front. Public Health</w:t>
      </w:r>
      <w:r w:rsidR="00A678D0">
        <w:t xml:space="preserve">. </w:t>
      </w:r>
      <w:hyperlink r:id="rId8" w:history="1">
        <w:r w:rsidR="00A678D0" w:rsidRPr="00A678D0">
          <w:rPr>
            <w:rStyle w:val="Hyperlink"/>
          </w:rPr>
          <w:t>https://doi.org/10.3389/fpubh.2023.1102325</w:t>
        </w:r>
      </w:hyperlink>
      <w:r w:rsidR="00BA5921">
        <w:t>.</w:t>
      </w:r>
    </w:p>
    <w:p w14:paraId="680F1426" w14:textId="21F38250" w:rsidR="00C429DD" w:rsidRDefault="00C429DD">
      <w:pPr>
        <w:rPr>
          <w:lang w:eastAsia="en-BE"/>
        </w:rPr>
      </w:pPr>
      <w:r w:rsidRPr="00A35DFF">
        <w:rPr>
          <w:lang w:val="en-GB"/>
        </w:rPr>
        <w:t xml:space="preserve">Horton, R. (2020). </w:t>
      </w:r>
      <w:r>
        <w:t xml:space="preserve">Offline: COVID-19 is not a pandemic. </w:t>
      </w:r>
      <w:r>
        <w:rPr>
          <w:i/>
          <w:iCs/>
        </w:rPr>
        <w:t>The Lancet</w:t>
      </w:r>
      <w:r>
        <w:t>, 396(10255), 874.</w:t>
      </w:r>
    </w:p>
    <w:p w14:paraId="27109ED4" w14:textId="172DA407" w:rsidR="00D10A45" w:rsidRPr="00D10A45" w:rsidRDefault="00807920" w:rsidP="00D10A45">
      <w:pPr>
        <w:rPr>
          <w:lang w:val="fr-CH"/>
        </w:rPr>
      </w:pPr>
      <w:r w:rsidRPr="00807920">
        <w:t xml:space="preserve">Kruk, </w:t>
      </w:r>
      <w:r>
        <w:t xml:space="preserve">ME., Myers, M., Varpilah, ST., and Dahn, BT. (2015). </w:t>
      </w:r>
      <w:hyperlink r:id="rId9" w:history="1">
        <w:r w:rsidRPr="00807920">
          <w:t xml:space="preserve">What is a resilient health system? </w:t>
        </w:r>
        <w:r w:rsidRPr="00D10A45">
          <w:rPr>
            <w:lang w:val="fr-CH"/>
          </w:rPr>
          <w:t>Lessons from Ebola</w:t>
        </w:r>
      </w:hyperlink>
      <w:r w:rsidRPr="00D10A45">
        <w:rPr>
          <w:lang w:val="fr-CH"/>
        </w:rPr>
        <w:t xml:space="preserve">. </w:t>
      </w:r>
      <w:r w:rsidRPr="00D10A45">
        <w:rPr>
          <w:i/>
          <w:iCs/>
          <w:lang w:val="fr-CH"/>
        </w:rPr>
        <w:t>The Lancet</w:t>
      </w:r>
      <w:r w:rsidRPr="00D10A45">
        <w:rPr>
          <w:lang w:val="fr-CH"/>
        </w:rPr>
        <w:t xml:space="preserve">, </w:t>
      </w:r>
      <w:r w:rsidR="00BA5921" w:rsidRPr="00BA5921">
        <w:t>385(9980), 1910-1912</w:t>
      </w:r>
      <w:r w:rsidR="00BA5921">
        <w:t>.</w:t>
      </w:r>
    </w:p>
    <w:p w14:paraId="3CA7DD01" w14:textId="35B5B6AC" w:rsidR="00D10A45" w:rsidRPr="00D10A45" w:rsidRDefault="00D10A45" w:rsidP="00D10A45">
      <w:r w:rsidRPr="00D10A45">
        <w:rPr>
          <w:lang w:val="fr-CH"/>
        </w:rPr>
        <w:t>Larrondo</w:t>
      </w:r>
      <w:r w:rsidRPr="00D10A45">
        <w:rPr>
          <w:lang w:val="fr-CH"/>
        </w:rPr>
        <w:t xml:space="preserve">, I.,  </w:t>
      </w:r>
      <w:r w:rsidRPr="00D10A45">
        <w:rPr>
          <w:lang w:val="fr-CH"/>
        </w:rPr>
        <w:t>Ares-Blanco</w:t>
      </w:r>
      <w:r w:rsidRPr="00D10A45">
        <w:rPr>
          <w:lang w:val="fr-CH"/>
        </w:rPr>
        <w:t xml:space="preserve">, S.,  </w:t>
      </w:r>
      <w:r w:rsidRPr="00D10A45">
        <w:rPr>
          <w:lang w:val="fr-CH"/>
        </w:rPr>
        <w:t>Guisado-Clavero</w:t>
      </w:r>
      <w:r w:rsidRPr="00D10A45">
        <w:rPr>
          <w:lang w:val="fr-CH"/>
        </w:rPr>
        <w:t xml:space="preserve">, M., et al. </w:t>
      </w:r>
      <w:r w:rsidRPr="00D10A45">
        <w:rPr>
          <w:lang w:val="en-GB"/>
        </w:rPr>
        <w:t>(2</w:t>
      </w:r>
      <w:r>
        <w:rPr>
          <w:lang w:val="en-GB"/>
        </w:rPr>
        <w:t xml:space="preserve">026). </w:t>
      </w:r>
      <w:r w:rsidRPr="00D10A45">
        <w:rPr>
          <w:lang w:val="en-GB"/>
        </w:rPr>
        <w:t xml:space="preserve"> </w:t>
      </w:r>
      <w:r w:rsidRPr="00D10A45">
        <w:t>Strengthening Primary Health Care in Europe: A Delphi study towards accessibility, equity and continuity of care</w:t>
      </w:r>
      <w:r>
        <w:t xml:space="preserve">. </w:t>
      </w:r>
      <w:r>
        <w:rPr>
          <w:i/>
          <w:iCs/>
        </w:rPr>
        <w:t>European Journal of General Practice</w:t>
      </w:r>
      <w:r>
        <w:t xml:space="preserve">. </w:t>
      </w:r>
      <w:hyperlink r:id="rId10" w:history="1">
        <w:r w:rsidRPr="00D10A45">
          <w:rPr>
            <w:rStyle w:val="Hyperlink"/>
          </w:rPr>
          <w:t>https://doi.org/10.1080/13814788.2026.2619226</w:t>
        </w:r>
      </w:hyperlink>
      <w:r w:rsidR="00BA5921">
        <w:t>.</w:t>
      </w:r>
    </w:p>
    <w:p w14:paraId="6A4D9DF4" w14:textId="26743029" w:rsidR="00C429DD" w:rsidRDefault="00C429DD">
      <w:pPr>
        <w:rPr>
          <w:lang w:eastAsia="en-BE"/>
        </w:rPr>
      </w:pPr>
      <w:r w:rsidRPr="00D10A45">
        <w:rPr>
          <w:lang w:val="it-IT"/>
        </w:rPr>
        <w:t xml:space="preserve">Mendenhall, E. (2020). </w:t>
      </w:r>
      <w:r>
        <w:t xml:space="preserve">The COVID-19 syndemic is not global: context matters. </w:t>
      </w:r>
      <w:r>
        <w:rPr>
          <w:i/>
          <w:iCs/>
        </w:rPr>
        <w:t>The Lancet</w:t>
      </w:r>
      <w:r>
        <w:t>, 396(10264), 1731.</w:t>
      </w:r>
    </w:p>
    <w:p w14:paraId="37EA7DB4" w14:textId="77777777" w:rsidR="00C429DD" w:rsidRDefault="00C429DD">
      <w:pPr>
        <w:rPr>
          <w:lang w:eastAsia="en-BE"/>
        </w:rPr>
      </w:pPr>
      <w:r>
        <w:t xml:space="preserve">Morin, E. (2008). </w:t>
      </w:r>
      <w:r>
        <w:rPr>
          <w:i/>
          <w:iCs/>
        </w:rPr>
        <w:t>On Complexity</w:t>
      </w:r>
      <w:r>
        <w:t>. Cresskill, NJ: Hampton Press.</w:t>
      </w:r>
    </w:p>
    <w:p w14:paraId="0FCFA3A8" w14:textId="77777777" w:rsidR="00C429DD" w:rsidRPr="006B77B5" w:rsidRDefault="00C429DD">
      <w:pPr>
        <w:rPr>
          <w:lang w:val="fr-CH" w:eastAsia="en-BE"/>
        </w:rPr>
      </w:pPr>
      <w:r>
        <w:lastRenderedPageBreak/>
        <w:t xml:space="preserve">One Health High-Level Expert Panel, Adisasmito, W. B., Almuhairi, S., Behravesh, C. B., Bilivogui, P., Bukachi, S. A., et al. (2022). One Health: A new definition for a sustainable and healthy future. </w:t>
      </w:r>
      <w:r w:rsidRPr="006B77B5">
        <w:rPr>
          <w:i/>
          <w:iCs/>
          <w:lang w:val="fr-CH"/>
        </w:rPr>
        <w:t>PLOS Pathogens</w:t>
      </w:r>
      <w:r w:rsidRPr="006B77B5">
        <w:rPr>
          <w:lang w:val="fr-CH"/>
        </w:rPr>
        <w:t>, 18(6), e1010537.</w:t>
      </w:r>
    </w:p>
    <w:p w14:paraId="5A7238C2" w14:textId="15FFCE02" w:rsidR="00A35DFF" w:rsidRPr="006B77B5" w:rsidRDefault="00A35DFF">
      <w:pPr>
        <w:rPr>
          <w:lang w:val="en-GB"/>
        </w:rPr>
      </w:pPr>
      <w:r w:rsidRPr="00A35DFF">
        <w:rPr>
          <w:lang w:val="fr-CH"/>
        </w:rPr>
        <w:t xml:space="preserve">Servais, O., Bonneels. P., Flandre, D., Paul, E., and Rentier, B. </w:t>
      </w:r>
      <w:r w:rsidR="00A678D0">
        <w:rPr>
          <w:lang w:val="fr-CH"/>
        </w:rPr>
        <w:t>(</w:t>
      </w:r>
      <w:r w:rsidRPr="00A35DFF">
        <w:rPr>
          <w:lang w:val="fr-CH"/>
        </w:rPr>
        <w:t>2025)</w:t>
      </w:r>
      <w:r w:rsidR="00807920">
        <w:rPr>
          <w:lang w:val="fr-CH"/>
        </w:rPr>
        <w:t>.</w:t>
      </w:r>
      <w:r w:rsidRPr="00A35DFF">
        <w:rPr>
          <w:lang w:val="fr-CH"/>
        </w:rPr>
        <w:t xml:space="preserve"> Synd</w:t>
      </w:r>
      <w:r>
        <w:rPr>
          <w:lang w:val="fr-CH"/>
        </w:rPr>
        <w:t xml:space="preserve">émie – Un regards transdisciplinaire sur la crise de la Covid-19. </w:t>
      </w:r>
      <w:r w:rsidRPr="006B77B5">
        <w:rPr>
          <w:lang w:val="en-GB"/>
        </w:rPr>
        <w:t>Kharthala Belgique</w:t>
      </w:r>
    </w:p>
    <w:p w14:paraId="468570A1" w14:textId="29270EDF" w:rsidR="00C429DD" w:rsidRDefault="00C429DD">
      <w:pPr>
        <w:rPr>
          <w:lang w:eastAsia="en-BE"/>
        </w:rPr>
      </w:pPr>
      <w:r>
        <w:t xml:space="preserve">Singer, M., Bulled, N., Ostrach, B., and Mendenhall, E. (2017). Syndemics and the biosocial conception of health. </w:t>
      </w:r>
      <w:r>
        <w:rPr>
          <w:i/>
          <w:iCs/>
        </w:rPr>
        <w:t>The Lancet</w:t>
      </w:r>
      <w:r>
        <w:t>, 389(10072), 941–950.</w:t>
      </w:r>
    </w:p>
    <w:p w14:paraId="3A4B2238" w14:textId="39D8EC02" w:rsidR="006B77B5" w:rsidRPr="006B77B5" w:rsidRDefault="006B77B5">
      <w:pPr>
        <w:rPr>
          <w:lang w:val="en-GB"/>
        </w:rPr>
      </w:pPr>
      <w:r w:rsidRPr="006B77B5">
        <w:rPr>
          <w:lang w:val="en-GB"/>
        </w:rPr>
        <w:t>Truppa, C., Saulnier, D., Bertone, MP., Yamonn, N., Hafez, S., Witter</w:t>
      </w:r>
      <w:r>
        <w:rPr>
          <w:lang w:val="en-GB"/>
        </w:rPr>
        <w:t xml:space="preserve">, S., and Marchal, B. </w:t>
      </w:r>
      <w:r w:rsidR="00CD40F8">
        <w:rPr>
          <w:lang w:val="en-GB"/>
        </w:rPr>
        <w:t xml:space="preserve">(2026) </w:t>
      </w:r>
      <w:r w:rsidRPr="006B77B5">
        <w:t>Getting unstuck: reframing health systems strengthening and resilience in fragile and conflict- affected settings</w:t>
      </w:r>
      <w:r>
        <w:t xml:space="preserve">. </w:t>
      </w:r>
      <w:r w:rsidRPr="00CD40F8">
        <w:rPr>
          <w:i/>
          <w:iCs/>
        </w:rPr>
        <w:t>BMJ Glob Health</w:t>
      </w:r>
      <w:r w:rsidR="00CD40F8">
        <w:t xml:space="preserve">, </w:t>
      </w:r>
      <w:r w:rsidRPr="006B77B5">
        <w:t>11:e020061. doi:10.1136/ bmjgh-2025-020061</w:t>
      </w:r>
    </w:p>
    <w:p w14:paraId="65B0F29B" w14:textId="0FDD5D26" w:rsidR="00C429DD" w:rsidRDefault="00C429DD">
      <w:pPr>
        <w:rPr>
          <w:lang w:eastAsia="en-BE"/>
        </w:rPr>
      </w:pPr>
      <w:r>
        <w:t xml:space="preserve">White, K. L., Williams, T. F., and Greenberg, B. G. (1961). The ecology of medical care. </w:t>
      </w:r>
      <w:r>
        <w:rPr>
          <w:i/>
          <w:iCs/>
        </w:rPr>
        <w:t>The New England Journal of Medicine</w:t>
      </w:r>
      <w:r>
        <w:t>, 265, 885–892.</w:t>
      </w:r>
    </w:p>
    <w:p w14:paraId="342D3E99" w14:textId="77777777" w:rsidR="00A678D0" w:rsidRDefault="00A678D0" w:rsidP="00A678D0">
      <w:r>
        <w:t xml:space="preserve">World Health Organization and UNICEF. (2020). </w:t>
      </w:r>
      <w:r>
        <w:rPr>
          <w:i/>
          <w:iCs/>
        </w:rPr>
        <w:t xml:space="preserve">Operational framework for </w:t>
      </w:r>
      <w:r w:rsidRPr="00A678D0">
        <w:rPr>
          <w:i/>
          <w:iCs/>
        </w:rPr>
        <w:t>primary</w:t>
      </w:r>
      <w:r w:rsidRPr="00A678D0">
        <w:t xml:space="preserve"> </w:t>
      </w:r>
      <w:r>
        <w:rPr>
          <w:i/>
          <w:iCs/>
        </w:rPr>
        <w:t>health care: transforming vision into action</w:t>
      </w:r>
      <w:r>
        <w:t>. Geneva: World Health Organization.</w:t>
      </w:r>
    </w:p>
    <w:p w14:paraId="0BB9F1F7" w14:textId="77777777" w:rsidR="00C429DD" w:rsidRDefault="00C429DD">
      <w:r>
        <w:t xml:space="preserve">World Health Organization. (2021). </w:t>
      </w:r>
      <w:r>
        <w:rPr>
          <w:i/>
          <w:iCs/>
        </w:rPr>
        <w:t>Building health systems resilience for universal health coverage and health security during the COVID-19 pandemic and beyond: WHO position paper</w:t>
      </w:r>
      <w:r>
        <w:t>. Geneva: World Health Organization.</w:t>
      </w:r>
    </w:p>
    <w:p w14:paraId="3A22CA85" w14:textId="06AE3ECA" w:rsidR="00C429DD" w:rsidRDefault="00A678D0">
      <w:pPr>
        <w:rPr>
          <w:lang w:eastAsia="en-BE"/>
        </w:rPr>
      </w:pPr>
      <w:r w:rsidRPr="00A678D0">
        <w:rPr>
          <w:lang w:eastAsia="en-BE"/>
        </w:rPr>
        <w:t>World Health Organization (2023). </w:t>
      </w:r>
      <w:r w:rsidRPr="00A678D0">
        <w:rPr>
          <w:i/>
          <w:iCs/>
          <w:lang w:eastAsia="en-BE"/>
        </w:rPr>
        <w:t>Universal health coverage partnership annual report 2021: health systems strengthening and health emergencies beyond COVID-19.</w:t>
      </w:r>
      <w:r w:rsidRPr="00A678D0">
        <w:rPr>
          <w:lang w:eastAsia="en-BE"/>
        </w:rPr>
        <w:t> World Health Organization. </w:t>
      </w:r>
      <w:hyperlink r:id="rId11" w:history="1">
        <w:r w:rsidRPr="00A678D0">
          <w:rPr>
            <w:rStyle w:val="Hyperlink"/>
            <w:lang w:eastAsia="en-BE"/>
          </w:rPr>
          <w:t>https://iris.who.int/handle/10665/366738</w:t>
        </w:r>
      </w:hyperlink>
      <w:r w:rsidRPr="00A678D0">
        <w:rPr>
          <w:lang w:eastAsia="en-BE"/>
        </w:rPr>
        <w:t>. License: CC BY-NC-SA 3.0 IG</w:t>
      </w:r>
    </w:p>
    <w:sectPr w:rsidR="00C429D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7928" w14:textId="77777777" w:rsidR="00B01A02" w:rsidRDefault="00B01A02" w:rsidP="00354A5D">
      <w:pPr>
        <w:spacing w:after="0" w:line="240" w:lineRule="auto"/>
      </w:pPr>
      <w:r>
        <w:separator/>
      </w:r>
    </w:p>
  </w:endnote>
  <w:endnote w:type="continuationSeparator" w:id="0">
    <w:p w14:paraId="41E3577B" w14:textId="77777777" w:rsidR="00B01A02" w:rsidRDefault="00B01A02" w:rsidP="0035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7EAB" w14:textId="77777777" w:rsidR="00354A5D" w:rsidRDefault="00354A5D">
    <w:pPr>
      <w:tabs>
        <w:tab w:val="center" w:pos="4550"/>
        <w:tab w:val="left" w:pos="5818"/>
      </w:tabs>
      <w:ind w:right="260"/>
      <w:jc w:val="right"/>
      <w:rPr>
        <w:color w:val="071320" w:themeColor="text2" w:themeShade="80"/>
      </w:rPr>
    </w:pPr>
    <w:r>
      <w:rPr>
        <w:color w:val="2C7FCE" w:themeColor="text2" w:themeTint="99"/>
        <w:spacing w:val="60"/>
        <w:lang w:val="en-GB"/>
      </w:rPr>
      <w:t>Page</w:t>
    </w:r>
    <w:r>
      <w:rPr>
        <w:color w:val="2C7FCE" w:themeColor="text2" w:themeTint="99"/>
        <w:lang w:val="en-GB"/>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lang w:val="en-GB"/>
      </w:rPr>
      <w:t>1</w:t>
    </w:r>
    <w:r>
      <w:rPr>
        <w:color w:val="0A1D30" w:themeColor="text2" w:themeShade="BF"/>
      </w:rPr>
      <w:fldChar w:fldCharType="end"/>
    </w:r>
    <w:r>
      <w:rPr>
        <w:color w:val="0A1D30" w:themeColor="text2" w:themeShade="BF"/>
        <w:lang w:val="en-GB"/>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lang w:val="en-GB"/>
      </w:rPr>
      <w:t>1</w:t>
    </w:r>
    <w:r>
      <w:rPr>
        <w:color w:val="0A1D30" w:themeColor="text2" w:themeShade="BF"/>
      </w:rPr>
      <w:fldChar w:fldCharType="end"/>
    </w:r>
  </w:p>
  <w:p w14:paraId="43CD457E" w14:textId="77777777" w:rsidR="00354A5D" w:rsidRDefault="0035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97C0" w14:textId="77777777" w:rsidR="00B01A02" w:rsidRDefault="00B01A02" w:rsidP="00354A5D">
      <w:pPr>
        <w:spacing w:after="0" w:line="240" w:lineRule="auto"/>
      </w:pPr>
      <w:r>
        <w:separator/>
      </w:r>
    </w:p>
  </w:footnote>
  <w:footnote w:type="continuationSeparator" w:id="0">
    <w:p w14:paraId="639625D6" w14:textId="77777777" w:rsidR="00B01A02" w:rsidRDefault="00B01A02" w:rsidP="00354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24557"/>
    <w:multiLevelType w:val="multilevel"/>
    <w:tmpl w:val="DA50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7E"/>
    <w:rsid w:val="000C2194"/>
    <w:rsid w:val="001565A4"/>
    <w:rsid w:val="00207664"/>
    <w:rsid w:val="00247CCA"/>
    <w:rsid w:val="00320D09"/>
    <w:rsid w:val="00330B65"/>
    <w:rsid w:val="00354A5D"/>
    <w:rsid w:val="003771E5"/>
    <w:rsid w:val="00381AE6"/>
    <w:rsid w:val="003C651A"/>
    <w:rsid w:val="00415612"/>
    <w:rsid w:val="00477C5E"/>
    <w:rsid w:val="00493681"/>
    <w:rsid w:val="004B13FB"/>
    <w:rsid w:val="005042BA"/>
    <w:rsid w:val="005E4C44"/>
    <w:rsid w:val="005F530D"/>
    <w:rsid w:val="00671342"/>
    <w:rsid w:val="00685A97"/>
    <w:rsid w:val="006A079E"/>
    <w:rsid w:val="006B77B5"/>
    <w:rsid w:val="007D1C20"/>
    <w:rsid w:val="007E251E"/>
    <w:rsid w:val="00800325"/>
    <w:rsid w:val="00804CF2"/>
    <w:rsid w:val="00807920"/>
    <w:rsid w:val="00827D92"/>
    <w:rsid w:val="0095457B"/>
    <w:rsid w:val="00A35DFF"/>
    <w:rsid w:val="00A60EE1"/>
    <w:rsid w:val="00A678D0"/>
    <w:rsid w:val="00A8025B"/>
    <w:rsid w:val="00AB5B84"/>
    <w:rsid w:val="00B01A02"/>
    <w:rsid w:val="00B17C0E"/>
    <w:rsid w:val="00BA5054"/>
    <w:rsid w:val="00BA5921"/>
    <w:rsid w:val="00BB006F"/>
    <w:rsid w:val="00C32460"/>
    <w:rsid w:val="00C429DD"/>
    <w:rsid w:val="00C63892"/>
    <w:rsid w:val="00C9397E"/>
    <w:rsid w:val="00CD40F8"/>
    <w:rsid w:val="00D05A9E"/>
    <w:rsid w:val="00D10A45"/>
    <w:rsid w:val="00D15C3B"/>
    <w:rsid w:val="00D43EC4"/>
    <w:rsid w:val="00DB6C12"/>
    <w:rsid w:val="00E01765"/>
    <w:rsid w:val="00E06DEF"/>
    <w:rsid w:val="00E3650E"/>
    <w:rsid w:val="00E57DB8"/>
    <w:rsid w:val="00E74226"/>
    <w:rsid w:val="00E82B0E"/>
    <w:rsid w:val="00EF0DF2"/>
    <w:rsid w:val="00F150F3"/>
    <w:rsid w:val="00F208D5"/>
    <w:rsid w:val="00F220E4"/>
    <w:rsid w:val="00F429D2"/>
    <w:rsid w:val="00FA7F3E"/>
    <w:rsid w:val="00FD1A7D"/>
    <w:rsid w:val="00FE143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4FC1"/>
  <w15:chartTrackingRefBased/>
  <w15:docId w15:val="{4C114C31-925C-47C2-BAB6-B8CDB717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97E"/>
  </w:style>
  <w:style w:type="paragraph" w:styleId="Heading1">
    <w:name w:val="heading 1"/>
    <w:basedOn w:val="Normal"/>
    <w:next w:val="Normal"/>
    <w:link w:val="Heading1Char"/>
    <w:uiPriority w:val="9"/>
    <w:qFormat/>
    <w:rsid w:val="00C93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97E"/>
    <w:rPr>
      <w:rFonts w:eastAsiaTheme="majorEastAsia" w:cstheme="majorBidi"/>
      <w:color w:val="272727" w:themeColor="text1" w:themeTint="D8"/>
    </w:rPr>
  </w:style>
  <w:style w:type="paragraph" w:styleId="Title">
    <w:name w:val="Title"/>
    <w:basedOn w:val="Normal"/>
    <w:next w:val="Normal"/>
    <w:link w:val="TitleChar"/>
    <w:uiPriority w:val="10"/>
    <w:qFormat/>
    <w:rsid w:val="00C93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97E"/>
    <w:pPr>
      <w:spacing w:before="160"/>
      <w:jc w:val="center"/>
    </w:pPr>
    <w:rPr>
      <w:i/>
      <w:iCs/>
      <w:color w:val="404040" w:themeColor="text1" w:themeTint="BF"/>
    </w:rPr>
  </w:style>
  <w:style w:type="character" w:customStyle="1" w:styleId="QuoteChar">
    <w:name w:val="Quote Char"/>
    <w:basedOn w:val="DefaultParagraphFont"/>
    <w:link w:val="Quote"/>
    <w:uiPriority w:val="29"/>
    <w:rsid w:val="00C9397E"/>
    <w:rPr>
      <w:i/>
      <w:iCs/>
      <w:color w:val="404040" w:themeColor="text1" w:themeTint="BF"/>
    </w:rPr>
  </w:style>
  <w:style w:type="paragraph" w:styleId="ListParagraph">
    <w:name w:val="List Paragraph"/>
    <w:basedOn w:val="Normal"/>
    <w:uiPriority w:val="34"/>
    <w:qFormat/>
    <w:rsid w:val="00C9397E"/>
    <w:pPr>
      <w:ind w:left="720"/>
      <w:contextualSpacing/>
    </w:pPr>
  </w:style>
  <w:style w:type="character" w:styleId="IntenseEmphasis">
    <w:name w:val="Intense Emphasis"/>
    <w:basedOn w:val="DefaultParagraphFont"/>
    <w:uiPriority w:val="21"/>
    <w:qFormat/>
    <w:rsid w:val="00C9397E"/>
    <w:rPr>
      <w:i/>
      <w:iCs/>
      <w:color w:val="0F4761" w:themeColor="accent1" w:themeShade="BF"/>
    </w:rPr>
  </w:style>
  <w:style w:type="paragraph" w:styleId="IntenseQuote">
    <w:name w:val="Intense Quote"/>
    <w:basedOn w:val="Normal"/>
    <w:next w:val="Normal"/>
    <w:link w:val="IntenseQuoteChar"/>
    <w:uiPriority w:val="30"/>
    <w:qFormat/>
    <w:rsid w:val="00C93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97E"/>
    <w:rPr>
      <w:i/>
      <w:iCs/>
      <w:color w:val="0F4761" w:themeColor="accent1" w:themeShade="BF"/>
    </w:rPr>
  </w:style>
  <w:style w:type="character" w:styleId="IntenseReference">
    <w:name w:val="Intense Reference"/>
    <w:basedOn w:val="DefaultParagraphFont"/>
    <w:uiPriority w:val="32"/>
    <w:qFormat/>
    <w:rsid w:val="00C9397E"/>
    <w:rPr>
      <w:b/>
      <w:bCs/>
      <w:smallCaps/>
      <w:color w:val="0F4761" w:themeColor="accent1" w:themeShade="BF"/>
      <w:spacing w:val="5"/>
    </w:rPr>
  </w:style>
  <w:style w:type="paragraph" w:styleId="Header">
    <w:name w:val="header"/>
    <w:basedOn w:val="Normal"/>
    <w:link w:val="HeaderChar"/>
    <w:uiPriority w:val="99"/>
    <w:unhideWhenUsed/>
    <w:rsid w:val="00354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A5D"/>
  </w:style>
  <w:style w:type="paragraph" w:styleId="Footer">
    <w:name w:val="footer"/>
    <w:basedOn w:val="Normal"/>
    <w:link w:val="FooterChar"/>
    <w:uiPriority w:val="99"/>
    <w:unhideWhenUsed/>
    <w:rsid w:val="00354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A5D"/>
  </w:style>
  <w:style w:type="character" w:styleId="Hyperlink">
    <w:name w:val="Hyperlink"/>
    <w:basedOn w:val="DefaultParagraphFont"/>
    <w:uiPriority w:val="99"/>
    <w:unhideWhenUsed/>
    <w:rsid w:val="00A678D0"/>
    <w:rPr>
      <w:color w:val="467886" w:themeColor="hyperlink"/>
      <w:u w:val="single"/>
    </w:rPr>
  </w:style>
  <w:style w:type="character" w:styleId="UnresolvedMention">
    <w:name w:val="Unresolved Mention"/>
    <w:basedOn w:val="DefaultParagraphFont"/>
    <w:uiPriority w:val="99"/>
    <w:semiHidden/>
    <w:unhideWhenUsed/>
    <w:rsid w:val="00A67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3.11023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ure.com/articles/s41591-022-0175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is.who.int/handle/10665/366738" TargetMode="External"/><Relationship Id="rId5" Type="http://schemas.openxmlformats.org/officeDocument/2006/relationships/footnotes" Target="footnotes.xml"/><Relationship Id="rId10" Type="http://schemas.openxmlformats.org/officeDocument/2006/relationships/hyperlink" Target="https://doi.org/10.1080/13814788.2026.2619226" TargetMode="External"/><Relationship Id="rId4" Type="http://schemas.openxmlformats.org/officeDocument/2006/relationships/webSettings" Target="webSettings.xml"/><Relationship Id="rId9" Type="http://schemas.openxmlformats.org/officeDocument/2006/relationships/hyperlink" Target="https://scholar.google.com/scholar?oi=bibs&amp;cluster=7009490619827899640&amp;btnI=1&amp;h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13029</Characters>
  <Application>Microsoft Office Word</Application>
  <DocSecurity>0</DocSecurity>
  <Lines>200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Porignon</dc:creator>
  <cp:keywords/>
  <dc:description/>
  <cp:lastModifiedBy>Denis Porignon</cp:lastModifiedBy>
  <cp:revision>5</cp:revision>
  <dcterms:created xsi:type="dcterms:W3CDTF">2026-06-19T08:31:00Z</dcterms:created>
  <dcterms:modified xsi:type="dcterms:W3CDTF">2026-06-19T08:47:00Z</dcterms:modified>
</cp:coreProperties>
</file>