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4B7D7A" w14:textId="77777777" w:rsidR="00D95593" w:rsidRPr="00D95593" w:rsidRDefault="00D95593" w:rsidP="00D95593">
      <w:pPr>
        <w:spacing w:line="360" w:lineRule="auto"/>
        <w:jc w:val="both"/>
        <w:rPr>
          <w:rFonts w:ascii="Times New Roman" w:hAnsi="Times New Roman"/>
          <w:b/>
          <w:bCs/>
          <w:sz w:val="28"/>
          <w:szCs w:val="28"/>
          <w:lang w:val="en-US"/>
        </w:rPr>
      </w:pPr>
      <w:r w:rsidRPr="00D95593">
        <w:rPr>
          <w:rFonts w:ascii="Times New Roman" w:hAnsi="Times New Roman"/>
          <w:b/>
          <w:bCs/>
          <w:sz w:val="28"/>
          <w:szCs w:val="28"/>
          <w:lang w:val="en-US"/>
        </w:rPr>
        <w:t>Characterization and timing of weathering processes of the polymetallic Cu-Fe-Zn-As Tassrirt deposit (Kerdous inlier, Anti-Atlas, Morocco)</w:t>
      </w:r>
    </w:p>
    <w:p w14:paraId="44196FE3" w14:textId="524830D3" w:rsidR="00D95593" w:rsidRPr="00D95593" w:rsidRDefault="00D95593" w:rsidP="00D95593">
      <w:pPr>
        <w:adjustRightInd w:val="0"/>
        <w:snapToGrid w:val="0"/>
        <w:spacing w:after="360" w:line="260" w:lineRule="atLeast"/>
        <w:rPr>
          <w:rFonts w:ascii="Times New Roman" w:eastAsia="Times New Roman" w:hAnsi="Times New Roman" w:cs="Times New Roman"/>
          <w:b/>
          <w:color w:val="000000"/>
          <w:kern w:val="0"/>
          <w:sz w:val="20"/>
          <w:lang w:val="en-US" w:eastAsia="de-DE" w:bidi="en-US"/>
          <w14:ligatures w14:val="none"/>
        </w:rPr>
      </w:pPr>
      <w:r w:rsidRPr="00D95593">
        <w:rPr>
          <w:rFonts w:ascii="Times New Roman" w:eastAsia="Times New Roman" w:hAnsi="Times New Roman" w:cs="Times New Roman"/>
          <w:b/>
          <w:color w:val="000000"/>
          <w:kern w:val="0"/>
          <w:sz w:val="20"/>
          <w:lang w:val="en-US" w:eastAsia="de-DE" w:bidi="en-US"/>
          <w14:ligatures w14:val="none"/>
        </w:rPr>
        <w:t xml:space="preserve">Julien Poot </w:t>
      </w:r>
      <w:r w:rsidRPr="00D95593">
        <w:rPr>
          <w:rFonts w:ascii="Times New Roman" w:eastAsia="Times New Roman" w:hAnsi="Times New Roman" w:cs="Times New Roman"/>
          <w:b/>
          <w:color w:val="000000"/>
          <w:kern w:val="0"/>
          <w:sz w:val="20"/>
          <w:vertAlign w:val="superscript"/>
          <w:lang w:val="en-US" w:eastAsia="de-DE" w:bidi="en-US"/>
          <w14:ligatures w14:val="none"/>
        </w:rPr>
        <w:t>1,*</w:t>
      </w:r>
      <w:r w:rsidRPr="00D95593">
        <w:rPr>
          <w:rFonts w:ascii="Times New Roman" w:eastAsia="Times New Roman" w:hAnsi="Times New Roman" w:cs="Times New Roman"/>
          <w:b/>
          <w:color w:val="000000"/>
          <w:kern w:val="0"/>
          <w:sz w:val="20"/>
          <w:lang w:val="en-US" w:eastAsia="de-DE" w:bidi="en-US"/>
          <w14:ligatures w14:val="none"/>
        </w:rPr>
        <w:t xml:space="preserve">, Michèle Verhaert </w:t>
      </w:r>
      <w:r w:rsidRPr="00D95593">
        <w:rPr>
          <w:rFonts w:ascii="Times New Roman" w:eastAsia="Times New Roman" w:hAnsi="Times New Roman" w:cs="Times New Roman"/>
          <w:b/>
          <w:color w:val="000000"/>
          <w:kern w:val="0"/>
          <w:sz w:val="20"/>
          <w:vertAlign w:val="superscript"/>
          <w:lang w:val="en-US" w:eastAsia="de-DE" w:bidi="en-US"/>
          <w14:ligatures w14:val="none"/>
        </w:rPr>
        <w:t>2</w:t>
      </w:r>
      <w:r w:rsidRPr="00D95593">
        <w:rPr>
          <w:rFonts w:ascii="Times New Roman" w:eastAsia="Times New Roman" w:hAnsi="Times New Roman" w:cs="Times New Roman"/>
          <w:b/>
          <w:color w:val="000000"/>
          <w:kern w:val="0"/>
          <w:sz w:val="20"/>
          <w:lang w:val="en-US" w:eastAsia="de-DE" w:bidi="en-US"/>
          <w14:ligatures w14:val="none"/>
        </w:rPr>
        <w:t xml:space="preserve">, Basile Caterina </w:t>
      </w:r>
      <w:r w:rsidRPr="00D95593">
        <w:rPr>
          <w:rFonts w:ascii="Times New Roman" w:eastAsia="Times New Roman" w:hAnsi="Times New Roman" w:cs="Times New Roman"/>
          <w:b/>
          <w:color w:val="000000"/>
          <w:kern w:val="0"/>
          <w:sz w:val="20"/>
          <w:vertAlign w:val="superscript"/>
          <w:lang w:val="en-US" w:eastAsia="de-DE" w:bidi="en-US"/>
          <w14:ligatures w14:val="none"/>
        </w:rPr>
        <w:t>3</w:t>
      </w:r>
      <w:r w:rsidRPr="00D95593">
        <w:rPr>
          <w:rFonts w:ascii="Times New Roman" w:eastAsia="Times New Roman" w:hAnsi="Times New Roman" w:cs="Times New Roman"/>
          <w:b/>
          <w:color w:val="000000"/>
          <w:kern w:val="0"/>
          <w:sz w:val="20"/>
          <w:lang w:val="en-US" w:eastAsia="de-DE" w:bidi="en-US"/>
          <w14:ligatures w14:val="none"/>
        </w:rPr>
        <w:t xml:space="preserve">, Augustin Dekoninck </w:t>
      </w:r>
      <w:r w:rsidRPr="00D95593">
        <w:rPr>
          <w:rFonts w:ascii="Times New Roman" w:eastAsia="Times New Roman" w:hAnsi="Times New Roman" w:cs="Times New Roman"/>
          <w:b/>
          <w:color w:val="000000"/>
          <w:kern w:val="0"/>
          <w:sz w:val="20"/>
          <w:vertAlign w:val="superscript"/>
          <w:lang w:val="en-US" w:eastAsia="de-DE" w:bidi="en-US"/>
          <w14:ligatures w14:val="none"/>
        </w:rPr>
        <w:t>1,4</w:t>
      </w:r>
      <w:r w:rsidRPr="00D95593">
        <w:rPr>
          <w:rFonts w:ascii="Times New Roman" w:eastAsia="Times New Roman" w:hAnsi="Times New Roman" w:cs="Times New Roman"/>
          <w:b/>
          <w:color w:val="000000"/>
          <w:kern w:val="0"/>
          <w:sz w:val="20"/>
          <w:lang w:val="en-US" w:eastAsia="de-DE" w:bidi="en-US"/>
          <w14:ligatures w14:val="none"/>
        </w:rPr>
        <w:t xml:space="preserve">, Théo Bouvart </w:t>
      </w:r>
      <w:r w:rsidRPr="00D95593">
        <w:rPr>
          <w:rFonts w:ascii="Times New Roman" w:eastAsia="Times New Roman" w:hAnsi="Times New Roman" w:cs="Times New Roman"/>
          <w:b/>
          <w:color w:val="000000"/>
          <w:kern w:val="0"/>
          <w:sz w:val="20"/>
          <w:vertAlign w:val="superscript"/>
          <w:lang w:val="en-US" w:eastAsia="de-DE" w:bidi="en-US"/>
          <w14:ligatures w14:val="none"/>
        </w:rPr>
        <w:t>1</w:t>
      </w:r>
      <w:r w:rsidRPr="00D95593">
        <w:rPr>
          <w:rFonts w:ascii="Times New Roman" w:eastAsia="Times New Roman" w:hAnsi="Times New Roman" w:cs="Times New Roman"/>
          <w:b/>
          <w:color w:val="000000"/>
          <w:kern w:val="0"/>
          <w:sz w:val="20"/>
          <w:lang w:val="en-US" w:eastAsia="de-DE" w:bidi="en-US"/>
          <w14:ligatures w14:val="none"/>
        </w:rPr>
        <w:t xml:space="preserve">, Mohammed Bouabdellah </w:t>
      </w:r>
      <w:r w:rsidRPr="00D95593">
        <w:rPr>
          <w:rFonts w:ascii="Times New Roman" w:eastAsia="Times New Roman" w:hAnsi="Times New Roman" w:cs="Times New Roman"/>
          <w:b/>
          <w:color w:val="000000"/>
          <w:kern w:val="0"/>
          <w:sz w:val="20"/>
          <w:vertAlign w:val="superscript"/>
          <w:lang w:val="en-US" w:eastAsia="de-DE" w:bidi="en-US"/>
          <w14:ligatures w14:val="none"/>
        </w:rPr>
        <w:t>5</w:t>
      </w:r>
      <w:r w:rsidR="00BF2BC6">
        <w:rPr>
          <w:rFonts w:ascii="Times New Roman" w:eastAsia="Times New Roman" w:hAnsi="Times New Roman" w:cs="Times New Roman"/>
          <w:b/>
          <w:color w:val="000000"/>
          <w:kern w:val="0"/>
          <w:sz w:val="20"/>
          <w:vertAlign w:val="superscript"/>
          <w:lang w:val="en-US" w:eastAsia="de-DE" w:bidi="en-US"/>
          <w14:ligatures w14:val="none"/>
        </w:rPr>
        <w:t>,6</w:t>
      </w:r>
      <w:r w:rsidRPr="00D95593">
        <w:rPr>
          <w:rFonts w:ascii="Times New Roman" w:eastAsia="Times New Roman" w:hAnsi="Times New Roman" w:cs="Times New Roman"/>
          <w:b/>
          <w:color w:val="000000"/>
          <w:kern w:val="0"/>
          <w:sz w:val="20"/>
          <w:lang w:val="en-US" w:eastAsia="de-DE" w:bidi="en-US"/>
          <w14:ligatures w14:val="none"/>
        </w:rPr>
        <w:t xml:space="preserve">, Lhou Maacha </w:t>
      </w:r>
      <w:r w:rsidR="00BF2BC6">
        <w:rPr>
          <w:rFonts w:ascii="Times New Roman" w:eastAsia="Times New Roman" w:hAnsi="Times New Roman" w:cs="Times New Roman"/>
          <w:b/>
          <w:color w:val="000000"/>
          <w:kern w:val="0"/>
          <w:sz w:val="20"/>
          <w:vertAlign w:val="superscript"/>
          <w:lang w:val="en-US" w:eastAsia="de-DE" w:bidi="en-US"/>
          <w14:ligatures w14:val="none"/>
        </w:rPr>
        <w:t>7</w:t>
      </w:r>
      <w:r w:rsidRPr="00D95593">
        <w:rPr>
          <w:rFonts w:ascii="Times New Roman" w:eastAsia="Times New Roman" w:hAnsi="Times New Roman" w:cs="Times New Roman"/>
          <w:b/>
          <w:color w:val="000000"/>
          <w:kern w:val="0"/>
          <w:sz w:val="20"/>
          <w:lang w:val="en-US" w:eastAsia="de-DE" w:bidi="en-US"/>
          <w14:ligatures w14:val="none"/>
        </w:rPr>
        <w:t>, Gaëtan Rochez</w:t>
      </w:r>
      <w:r w:rsidRPr="00D95593">
        <w:rPr>
          <w:rFonts w:ascii="Times New Roman" w:eastAsia="Times New Roman" w:hAnsi="Times New Roman" w:cs="Times New Roman"/>
          <w:b/>
          <w:color w:val="000000"/>
          <w:kern w:val="0"/>
          <w:sz w:val="20"/>
          <w:vertAlign w:val="superscript"/>
          <w:lang w:val="en-US" w:eastAsia="de-DE" w:bidi="en-US"/>
          <w14:ligatures w14:val="none"/>
        </w:rPr>
        <w:t>1</w:t>
      </w:r>
      <w:r w:rsidRPr="00D95593">
        <w:rPr>
          <w:rFonts w:ascii="Times New Roman" w:eastAsia="Times New Roman" w:hAnsi="Times New Roman" w:cs="Times New Roman"/>
          <w:b/>
          <w:color w:val="000000"/>
          <w:kern w:val="0"/>
          <w:sz w:val="20"/>
          <w:lang w:val="en-US" w:eastAsia="de-DE" w:bidi="en-US"/>
          <w14:ligatures w14:val="none"/>
        </w:rPr>
        <w:t>, Nathalie Fagel</w:t>
      </w:r>
      <w:r w:rsidR="00BF2BC6">
        <w:rPr>
          <w:rFonts w:ascii="Times New Roman" w:eastAsia="Times New Roman" w:hAnsi="Times New Roman" w:cs="Times New Roman"/>
          <w:b/>
          <w:color w:val="000000"/>
          <w:kern w:val="0"/>
          <w:sz w:val="20"/>
          <w:vertAlign w:val="superscript"/>
          <w:lang w:val="en-US" w:eastAsia="de-DE" w:bidi="en-US"/>
          <w14:ligatures w14:val="none"/>
        </w:rPr>
        <w:t>8</w:t>
      </w:r>
      <w:r w:rsidRPr="00D95593">
        <w:rPr>
          <w:rFonts w:ascii="Times New Roman" w:eastAsia="Times New Roman" w:hAnsi="Times New Roman" w:cs="Times New Roman"/>
          <w:b/>
          <w:color w:val="000000"/>
          <w:kern w:val="0"/>
          <w:sz w:val="20"/>
          <w:lang w:val="en-US" w:eastAsia="de-DE" w:bidi="en-US"/>
          <w14:ligatures w14:val="none"/>
        </w:rPr>
        <w:t xml:space="preserve"> and Johan Yans </w:t>
      </w:r>
      <w:r w:rsidRPr="00D95593">
        <w:rPr>
          <w:rFonts w:ascii="Times New Roman" w:eastAsia="Times New Roman" w:hAnsi="Times New Roman" w:cs="Times New Roman"/>
          <w:b/>
          <w:color w:val="000000"/>
          <w:kern w:val="0"/>
          <w:sz w:val="20"/>
          <w:vertAlign w:val="superscript"/>
          <w:lang w:val="en-US" w:eastAsia="de-DE" w:bidi="en-US"/>
          <w14:ligatures w14:val="none"/>
        </w:rPr>
        <w:t>1</w:t>
      </w:r>
    </w:p>
    <w:p w14:paraId="1EE624A5" w14:textId="77777777" w:rsidR="00D95593" w:rsidRPr="00D95593" w:rsidRDefault="00D95593" w:rsidP="00D95593">
      <w:pPr>
        <w:spacing w:line="360" w:lineRule="auto"/>
        <w:jc w:val="both"/>
        <w:rPr>
          <w:rFonts w:ascii="Times New Roman" w:hAnsi="Times New Roman"/>
          <w:sz w:val="18"/>
          <w:szCs w:val="18"/>
          <w:lang w:val="en-US"/>
        </w:rPr>
      </w:pPr>
      <w:r w:rsidRPr="00D95593">
        <w:rPr>
          <w:rFonts w:ascii="Times New Roman" w:hAnsi="Times New Roman"/>
          <w:sz w:val="18"/>
          <w:szCs w:val="18"/>
          <w:vertAlign w:val="superscript"/>
          <w:lang w:val="en-US"/>
        </w:rPr>
        <w:t>1</w:t>
      </w:r>
      <w:r w:rsidRPr="00D95593">
        <w:rPr>
          <w:rFonts w:ascii="Times New Roman" w:hAnsi="Times New Roman"/>
          <w:sz w:val="18"/>
          <w:szCs w:val="18"/>
          <w:lang w:val="en-US"/>
        </w:rPr>
        <w:t>Department of Geology, Institute of Life-Earth-Environment (ILEE), University of Namur, Rue de Bruxelles 61, 5000 Namur, Belgium.</w:t>
      </w:r>
    </w:p>
    <w:p w14:paraId="7E1884DC" w14:textId="77777777" w:rsidR="00D95593" w:rsidRPr="00D95593" w:rsidRDefault="00D95593" w:rsidP="00D95593">
      <w:pPr>
        <w:spacing w:line="360" w:lineRule="auto"/>
        <w:jc w:val="both"/>
        <w:rPr>
          <w:rFonts w:ascii="Times New Roman" w:hAnsi="Times New Roman"/>
          <w:sz w:val="18"/>
          <w:szCs w:val="18"/>
          <w:lang w:val="fr-BE"/>
        </w:rPr>
      </w:pPr>
      <w:r w:rsidRPr="00D95593">
        <w:rPr>
          <w:rFonts w:ascii="Times New Roman" w:hAnsi="Times New Roman"/>
          <w:sz w:val="18"/>
          <w:szCs w:val="18"/>
          <w:vertAlign w:val="superscript"/>
          <w:lang w:val="fr-BE"/>
        </w:rPr>
        <w:t>2</w:t>
      </w:r>
      <w:r w:rsidRPr="00D95593">
        <w:rPr>
          <w:rFonts w:ascii="Times New Roman" w:hAnsi="Times New Roman"/>
          <w:sz w:val="18"/>
          <w:szCs w:val="18"/>
          <w:lang w:val="fr-BE"/>
        </w:rPr>
        <w:t>Groupe Jean Nonet, Rue de la Vieille Sambre 162, 5190 Jemeppe sur Sambre, Belgique.</w:t>
      </w:r>
    </w:p>
    <w:p w14:paraId="0DADF199" w14:textId="77777777" w:rsidR="00D95593" w:rsidRPr="00D95593" w:rsidRDefault="00D95593" w:rsidP="00D95593">
      <w:pPr>
        <w:spacing w:line="360" w:lineRule="auto"/>
        <w:jc w:val="both"/>
        <w:rPr>
          <w:rFonts w:ascii="Times New Roman" w:hAnsi="Times New Roman"/>
          <w:sz w:val="18"/>
          <w:szCs w:val="18"/>
          <w:lang w:val="en-US"/>
        </w:rPr>
      </w:pPr>
      <w:r w:rsidRPr="00D95593">
        <w:rPr>
          <w:rFonts w:ascii="Times New Roman" w:hAnsi="Times New Roman"/>
          <w:sz w:val="18"/>
          <w:szCs w:val="18"/>
          <w:vertAlign w:val="superscript"/>
          <w:lang w:val="en-US"/>
        </w:rPr>
        <w:t xml:space="preserve">3  </w:t>
      </w:r>
      <w:r w:rsidRPr="00D95593">
        <w:rPr>
          <w:rFonts w:ascii="Times New Roman" w:hAnsi="Times New Roman"/>
          <w:sz w:val="18"/>
          <w:szCs w:val="18"/>
          <w:lang w:val="en-US"/>
        </w:rPr>
        <w:t>SPHERES, Department of Geography, University of Liège, 4000 Liège, Belgium.</w:t>
      </w:r>
    </w:p>
    <w:p w14:paraId="651A2FDB" w14:textId="77777777" w:rsidR="00D95593" w:rsidRPr="00D95593" w:rsidRDefault="00D95593" w:rsidP="00D95593">
      <w:pPr>
        <w:spacing w:line="360" w:lineRule="auto"/>
        <w:jc w:val="both"/>
        <w:rPr>
          <w:rFonts w:ascii="Times New Roman" w:hAnsi="Times New Roman"/>
          <w:sz w:val="18"/>
          <w:szCs w:val="18"/>
          <w:vertAlign w:val="superscript"/>
          <w:lang w:val="fr-BE"/>
        </w:rPr>
      </w:pPr>
      <w:r w:rsidRPr="00D95593">
        <w:rPr>
          <w:rFonts w:ascii="Times New Roman" w:hAnsi="Times New Roman"/>
          <w:sz w:val="18"/>
          <w:szCs w:val="18"/>
          <w:vertAlign w:val="superscript"/>
          <w:lang w:val="fr-BE"/>
        </w:rPr>
        <w:t>4</w:t>
      </w:r>
      <w:r w:rsidRPr="00D95593">
        <w:rPr>
          <w:rFonts w:ascii="Times New Roman" w:hAnsi="Times New Roman"/>
          <w:sz w:val="18"/>
          <w:szCs w:val="18"/>
          <w:lang w:val="fr-BE"/>
        </w:rPr>
        <w:t xml:space="preserve"> Service de Génie Minier, Département Mines-Géologie, Faculté Polytechnique de Mons (FPMs), Université de Mons. Rue du Joncquois 53, 7000 Mons, Belgique.</w:t>
      </w:r>
    </w:p>
    <w:p w14:paraId="38AAC405" w14:textId="77777777" w:rsidR="00D95593" w:rsidRDefault="00D95593" w:rsidP="00D95593">
      <w:pPr>
        <w:spacing w:line="360" w:lineRule="auto"/>
        <w:jc w:val="both"/>
        <w:rPr>
          <w:rFonts w:ascii="Times New Roman" w:hAnsi="Times New Roman"/>
          <w:sz w:val="18"/>
          <w:szCs w:val="18"/>
          <w:lang w:val="en-US"/>
        </w:rPr>
      </w:pPr>
      <w:r w:rsidRPr="00621DFC">
        <w:rPr>
          <w:rFonts w:ascii="Times New Roman" w:hAnsi="Times New Roman"/>
          <w:sz w:val="18"/>
          <w:szCs w:val="18"/>
          <w:vertAlign w:val="superscript"/>
          <w:lang w:val="en-US"/>
        </w:rPr>
        <w:t>5</w:t>
      </w:r>
      <w:r w:rsidRPr="00621DFC">
        <w:rPr>
          <w:rFonts w:ascii="Times New Roman" w:hAnsi="Times New Roman"/>
          <w:sz w:val="18"/>
          <w:szCs w:val="16"/>
          <w:lang w:val="en-US"/>
        </w:rPr>
        <w:t xml:space="preserve"> </w:t>
      </w:r>
      <w:r w:rsidRPr="00621DFC">
        <w:rPr>
          <w:rFonts w:ascii="Times New Roman" w:hAnsi="Times New Roman"/>
          <w:sz w:val="18"/>
          <w:szCs w:val="18"/>
          <w:lang w:val="en-US"/>
        </w:rPr>
        <w:t>Geology and Sustainable Mining Institute, Mohammed VI Polytechnic University, Benguerir 43150, Morocco.</w:t>
      </w:r>
    </w:p>
    <w:p w14:paraId="01B392D0" w14:textId="29E0793D" w:rsidR="00621DFC" w:rsidRPr="00621DFC" w:rsidRDefault="00621DFC" w:rsidP="00D95593">
      <w:pPr>
        <w:spacing w:line="360" w:lineRule="auto"/>
        <w:jc w:val="both"/>
        <w:rPr>
          <w:rFonts w:ascii="Times New Roman" w:hAnsi="Times New Roman"/>
          <w:sz w:val="18"/>
          <w:szCs w:val="18"/>
          <w:lang w:val="fr-BE"/>
        </w:rPr>
      </w:pPr>
      <w:r w:rsidRPr="00621DFC">
        <w:rPr>
          <w:rFonts w:ascii="Times New Roman" w:hAnsi="Times New Roman"/>
          <w:sz w:val="18"/>
          <w:szCs w:val="18"/>
          <w:vertAlign w:val="superscript"/>
          <w:lang w:val="fr-BE"/>
        </w:rPr>
        <w:t>6</w:t>
      </w:r>
      <w:r w:rsidRPr="00621DFC">
        <w:rPr>
          <w:rFonts w:ascii="Times New Roman" w:hAnsi="Times New Roman"/>
          <w:sz w:val="18"/>
          <w:szCs w:val="18"/>
          <w:lang w:val="fr-BE"/>
        </w:rPr>
        <w:t xml:space="preserve"> Laboratoire des Gîtes Minéraux, Hydrogéologie &amp; Environnement, Faculté des Sciences, Université Mohammed Premier, Oujda 60000, Morocco</w:t>
      </w:r>
    </w:p>
    <w:p w14:paraId="0A2EB708" w14:textId="1A6E63A6" w:rsidR="00D95593" w:rsidRPr="00D95593" w:rsidRDefault="00621DFC" w:rsidP="00D95593">
      <w:pPr>
        <w:spacing w:line="360" w:lineRule="auto"/>
        <w:jc w:val="both"/>
        <w:rPr>
          <w:rFonts w:ascii="Times New Roman" w:hAnsi="Times New Roman"/>
          <w:sz w:val="18"/>
          <w:szCs w:val="16"/>
          <w:vertAlign w:val="superscript"/>
          <w:lang w:val="fr-BE"/>
        </w:rPr>
      </w:pPr>
      <w:r>
        <w:rPr>
          <w:rFonts w:ascii="Times New Roman" w:hAnsi="Times New Roman"/>
          <w:sz w:val="18"/>
          <w:szCs w:val="16"/>
          <w:vertAlign w:val="superscript"/>
          <w:lang w:val="fr-BE"/>
        </w:rPr>
        <w:t>7</w:t>
      </w:r>
      <w:r w:rsidR="00D95593" w:rsidRPr="00D95593">
        <w:rPr>
          <w:rFonts w:ascii="Times New Roman" w:hAnsi="Times New Roman"/>
          <w:sz w:val="18"/>
          <w:szCs w:val="16"/>
          <w:lang w:val="fr-BE"/>
        </w:rPr>
        <w:t xml:space="preserve"> Managem Group, BP 5199, Casablanca 20100, Morocco.</w:t>
      </w:r>
    </w:p>
    <w:p w14:paraId="3D305EC3" w14:textId="1FC4A1BC" w:rsidR="00D95593" w:rsidRPr="00D95593" w:rsidRDefault="00621DFC" w:rsidP="00D95593">
      <w:pPr>
        <w:spacing w:line="360" w:lineRule="auto"/>
        <w:jc w:val="both"/>
        <w:rPr>
          <w:rFonts w:ascii="Times New Roman" w:hAnsi="Times New Roman"/>
          <w:sz w:val="18"/>
          <w:szCs w:val="18"/>
          <w:vertAlign w:val="superscript"/>
          <w:lang w:val="fr-BE"/>
        </w:rPr>
      </w:pPr>
      <w:r>
        <w:rPr>
          <w:rFonts w:ascii="Times New Roman" w:hAnsi="Times New Roman"/>
          <w:sz w:val="18"/>
          <w:szCs w:val="16"/>
          <w:vertAlign w:val="superscript"/>
          <w:lang w:val="fr-BE"/>
        </w:rPr>
        <w:t>8</w:t>
      </w:r>
      <w:r w:rsidR="00D95593" w:rsidRPr="00D95593">
        <w:rPr>
          <w:rFonts w:ascii="Times New Roman" w:hAnsi="Times New Roman"/>
          <w:sz w:val="18"/>
          <w:szCs w:val="16"/>
          <w:vertAlign w:val="superscript"/>
          <w:lang w:val="fr-BE"/>
        </w:rPr>
        <w:t xml:space="preserve">  </w:t>
      </w:r>
      <w:r w:rsidR="00D95593" w:rsidRPr="00D95593">
        <w:rPr>
          <w:rFonts w:ascii="Times New Roman" w:hAnsi="Times New Roman"/>
          <w:sz w:val="18"/>
          <w:szCs w:val="18"/>
          <w:lang w:val="fr-BE"/>
        </w:rPr>
        <w:t>Department of Geology, Argiles, Géochimie et Environnements sédimentaires (AGEs), Université de Liège, Allée du six Août 14, 4000 Liege, Belgium.</w:t>
      </w:r>
    </w:p>
    <w:p w14:paraId="03B022CE" w14:textId="77777777" w:rsidR="00D95593" w:rsidRPr="00D95593" w:rsidRDefault="00D95593" w:rsidP="00D95593">
      <w:pPr>
        <w:spacing w:line="360" w:lineRule="auto"/>
        <w:jc w:val="both"/>
        <w:rPr>
          <w:rFonts w:ascii="Times New Roman" w:hAnsi="Times New Roman"/>
          <w:sz w:val="18"/>
          <w:szCs w:val="18"/>
          <w:lang w:val="en-US"/>
        </w:rPr>
      </w:pPr>
      <w:r w:rsidRPr="00D95593">
        <w:rPr>
          <w:rFonts w:ascii="Times New Roman" w:hAnsi="Times New Roman"/>
          <w:b/>
          <w:sz w:val="18"/>
          <w:szCs w:val="18"/>
          <w:lang w:val="en-US"/>
        </w:rPr>
        <w:t>*</w:t>
      </w:r>
      <w:r w:rsidRPr="00D95593">
        <w:rPr>
          <w:rFonts w:ascii="Times New Roman" w:hAnsi="Times New Roman"/>
          <w:sz w:val="18"/>
          <w:szCs w:val="18"/>
          <w:lang w:val="en-US"/>
        </w:rPr>
        <w:t xml:space="preserve">Corresponding author: julien.poot@unamur.be </w:t>
      </w:r>
    </w:p>
    <w:p w14:paraId="1733E2A6" w14:textId="77777777" w:rsidR="00D95593" w:rsidRPr="00D95593" w:rsidRDefault="00D95593" w:rsidP="00D95593">
      <w:pPr>
        <w:spacing w:line="360" w:lineRule="auto"/>
        <w:jc w:val="both"/>
        <w:rPr>
          <w:rFonts w:ascii="Times New Roman" w:hAnsi="Times New Roman"/>
          <w:b/>
          <w:bCs/>
          <w:sz w:val="24"/>
          <w:szCs w:val="24"/>
          <w:lang w:val="en-US"/>
        </w:rPr>
      </w:pPr>
      <w:r w:rsidRPr="00D95593">
        <w:rPr>
          <w:rFonts w:ascii="Times New Roman" w:hAnsi="Times New Roman"/>
          <w:b/>
          <w:bCs/>
          <w:sz w:val="24"/>
          <w:szCs w:val="24"/>
          <w:lang w:val="en-US"/>
        </w:rPr>
        <w:t>Abstract</w:t>
      </w:r>
    </w:p>
    <w:p w14:paraId="3C8ABB6B" w14:textId="1CAA5200"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The Tassrirt deposit (Kerdous inlier, Western Anti‑Atlas, Morocco) hosts polymetallic Cu-Fe-Zn-As mineralization affected by intense weathering. This study provides mineralogical, petrographic and geochemical analyses for host rocks, primary sulfides and secondary minerals using XRD, SEM-EDS and whole-rock geochemistry. K-Ar dating on alunite is also performed to constrain the timing of weathering to refine/confirm main weathering period in the Anti-Atlas. The mineralogical and geochemical data reflect strong oxidation of sulfide‑rich protore, heterogeneous neutralization (carbonates and silicates), and significant Si‑mobility related to weathering of feldspar‑bearing host rocks. These processes generated various secondary minerals including malachite, hemimorphite, fraipontite, smithsonite, alunite, iron (oxyhydr)oxides, and locally beudantite–beaverite group minerals with various trace metals. Zn‑silicates dominate over carbonates, reflecting acidic, oxidizing conditions with limited carbonate buffering. Arsenic is mainly retained by Fe-(oxyhydr)oxides, while REE signatures remain close to the Upper Continental Crust values, with minor variations related to adsorption and accessory phosphates. K–Ar dating of alunite reveals a major supergene episode at ~18–17 Ma, </w:t>
      </w:r>
      <w:r w:rsidR="008A45B8">
        <w:rPr>
          <w:rFonts w:ascii="Times New Roman" w:hAnsi="Times New Roman"/>
          <w:lang w:val="en-US"/>
        </w:rPr>
        <w:t>which is</w:t>
      </w:r>
      <w:r w:rsidR="008A45B8" w:rsidRPr="00C37875">
        <w:rPr>
          <w:rFonts w:ascii="Times New Roman" w:hAnsi="Times New Roman"/>
          <w:lang w:val="en-US"/>
        </w:rPr>
        <w:t xml:space="preserve"> consistent with tropical North Africa</w:t>
      </w:r>
      <w:r w:rsidR="000C706D">
        <w:rPr>
          <w:rFonts w:ascii="Times New Roman" w:hAnsi="Times New Roman"/>
          <w:lang w:val="en-US"/>
        </w:rPr>
        <w:t xml:space="preserve"> </w:t>
      </w:r>
      <w:r w:rsidR="00302FF8">
        <w:rPr>
          <w:rFonts w:ascii="Times New Roman" w:hAnsi="Times New Roman"/>
          <w:lang w:val="en-US"/>
        </w:rPr>
        <w:t>climate</w:t>
      </w:r>
      <w:r w:rsidR="008A45B8" w:rsidRPr="00C37875">
        <w:rPr>
          <w:rFonts w:ascii="Times New Roman" w:hAnsi="Times New Roman"/>
          <w:lang w:val="en-US"/>
        </w:rPr>
        <w:t xml:space="preserve"> during the Early/Middle Miocene and the long-lasting topographic stability until onset of the modern topography since c. 14-10 Ma</w:t>
      </w:r>
      <w:r w:rsidRPr="00D95593">
        <w:rPr>
          <w:rFonts w:ascii="Times New Roman" w:hAnsi="Times New Roman"/>
          <w:lang w:val="en-US"/>
        </w:rPr>
        <w:t xml:space="preserve">. Together, </w:t>
      </w:r>
      <w:r w:rsidRPr="00D95593">
        <w:rPr>
          <w:rFonts w:ascii="Times New Roman" w:hAnsi="Times New Roman"/>
          <w:lang w:val="en-US"/>
        </w:rPr>
        <w:lastRenderedPageBreak/>
        <w:t>these results refine the paragenetic sequence and metal redistribution in Tassrirt deposit for potential exploitation and confirm the main Early Miocene weathering period in this region.</w:t>
      </w:r>
    </w:p>
    <w:p w14:paraId="3144CBCB" w14:textId="77777777" w:rsidR="00D95593" w:rsidRPr="00D95593" w:rsidRDefault="00D95593" w:rsidP="00D95593">
      <w:pPr>
        <w:spacing w:line="360" w:lineRule="auto"/>
        <w:jc w:val="both"/>
        <w:rPr>
          <w:rFonts w:ascii="Times New Roman" w:hAnsi="Times New Roman"/>
          <w:sz w:val="24"/>
          <w:szCs w:val="24"/>
          <w:lang w:val="en-US"/>
        </w:rPr>
      </w:pPr>
      <w:r w:rsidRPr="00D95593">
        <w:rPr>
          <w:rFonts w:ascii="Times New Roman" w:hAnsi="Times New Roman"/>
          <w:b/>
          <w:bCs/>
          <w:lang w:val="en-US"/>
        </w:rPr>
        <w:t>Keywords</w:t>
      </w:r>
      <w:r w:rsidRPr="00D95593">
        <w:rPr>
          <w:rFonts w:ascii="Times New Roman" w:hAnsi="Times New Roman"/>
          <w:lang w:val="en-US"/>
        </w:rPr>
        <w:t xml:space="preserve"> :</w:t>
      </w:r>
      <w:r w:rsidRPr="00D95593">
        <w:rPr>
          <w:rFonts w:ascii="Times New Roman" w:hAnsi="Times New Roman"/>
          <w:sz w:val="24"/>
          <w:szCs w:val="24"/>
          <w:lang w:val="en-US"/>
        </w:rPr>
        <w:t xml:space="preserve"> weathering; polymetallic deposit; Anti-Atlas; K-Ar dating; supergene timing</w:t>
      </w:r>
    </w:p>
    <w:p w14:paraId="374AEF02" w14:textId="77777777" w:rsidR="00D95593" w:rsidRPr="00D95593" w:rsidRDefault="00D95593" w:rsidP="00D95593">
      <w:pPr>
        <w:spacing w:line="360" w:lineRule="auto"/>
        <w:jc w:val="both"/>
        <w:rPr>
          <w:rFonts w:ascii="Times New Roman" w:hAnsi="Times New Roman"/>
          <w:b/>
          <w:bCs/>
          <w:sz w:val="24"/>
          <w:szCs w:val="24"/>
          <w:lang w:val="en-US"/>
        </w:rPr>
      </w:pPr>
      <w:r w:rsidRPr="00D95593">
        <w:rPr>
          <w:rFonts w:ascii="Times New Roman" w:hAnsi="Times New Roman"/>
          <w:b/>
          <w:bCs/>
          <w:sz w:val="24"/>
          <w:szCs w:val="24"/>
          <w:lang w:val="en-US"/>
        </w:rPr>
        <w:t xml:space="preserve">1. Introduction </w:t>
      </w:r>
    </w:p>
    <w:p w14:paraId="50BFE569"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The Anti</w:t>
      </w:r>
      <w:r w:rsidRPr="00D95593">
        <w:rPr>
          <w:rFonts w:ascii="Times New Roman" w:hAnsi="Times New Roman"/>
          <w:lang w:val="en-US"/>
        </w:rPr>
        <w:noBreakHyphen/>
        <w:t>Atlas hosts one of the most diverse and metal</w:t>
      </w:r>
      <w:r w:rsidRPr="00D95593">
        <w:rPr>
          <w:rFonts w:ascii="Times New Roman" w:hAnsi="Times New Roman"/>
          <w:lang w:val="en-US"/>
        </w:rPr>
        <w:noBreakHyphen/>
        <w:t>rich geological provinces of North Africa. Its Precambrian inliers, aligned along the so</w:t>
      </w:r>
      <w:r w:rsidRPr="00D95593">
        <w:rPr>
          <w:rFonts w:ascii="Times New Roman" w:hAnsi="Times New Roman"/>
          <w:lang w:val="en-US"/>
        </w:rPr>
        <w:noBreakHyphen/>
        <w:t>called Anti</w:t>
      </w:r>
      <w:r w:rsidRPr="00D95593">
        <w:rPr>
          <w:rFonts w:ascii="Times New Roman" w:hAnsi="Times New Roman"/>
          <w:lang w:val="en-US"/>
        </w:rPr>
        <w:noBreakHyphen/>
        <w:t xml:space="preserve">Atlas Copperbelt (e.g., Bourque et al. 2016; Gouiza et al., 2017; Jabbour et al., 2025; Oummouch et al., 2017; </w:t>
      </w:r>
      <w:r w:rsidRPr="00D95593">
        <w:rPr>
          <w:rFonts w:ascii="Times New Roman" w:hAnsi="Times New Roman"/>
          <w:lang w:val="fr-BE"/>
        </w:rPr>
        <w:fldChar w:fldCharType="begin"/>
      </w:r>
      <w:r w:rsidRPr="00D95593">
        <w:rPr>
          <w:rFonts w:ascii="Times New Roman" w:hAnsi="Times New Roman"/>
          <w:lang w:val="en-US"/>
        </w:rPr>
        <w:instrText>ADDIN CSL_CITATION {"citationItems":[{"id":"ITEM-1","itemData":{"DOI":"10.3390/min10070620","ISSN":"2075163X","abstract":"The giant Tizert copper deposit is considered as the largest copper resource in the western Anti-Atlas (Morocco). The site is characterized by Cu mineralization carried by malachite, chalcocite, covellite, bornite and chalcopyrite; azurite is not observed. The host rocks are mainly limestones (Formation of Tamjout Dolomite) and sandstones/siltstones (Basal Series) of the Ediacaran/Cambrian transition. The supergene enrichment is most likely related to episodes of uplift/doming (last event since 30 Ma), which triggered the exhumation of primary/hypogene mineralization (chalcopyrite, pyrite, galena, chalcocite I and bornite I), generating their oxidation and the precipitation of secondary/supergene sulfides, carbonates and Fe-oxyhydroxides. The Tizert supergene deposit mainly consists of (i) a residual patchwork of laterite rich in Fe-oxyhydroxides; (ii) a saprolite rich in malachite, or “green oxide zone” where primary structures such as stratification are preserved; (iii) a cementation zone containing secondary sulfides (covellite, chalcocite II and bornite II). The abundance of Cu carbonates results from the rapid neutralization of acidic meteoric fluids, due to oxidation of primary sulfides, by carbonate host rocks. Chlorite is also involved in the neutralization processes in the sandstones/siltstones of the Basal Series, in which supergene clays, such as kaolinite and smectites, subsequently precipitated. At Tizert, as can be highlighted in other supergene Cu-deposits around the world, azurite is absent due to low pCO2 and relatively high pH conditions. In addition to copper, Ag enrichment is also observed in weathered rocks; Fe-oxyhydroxides contain high Zn, As, and Pb contents. However, these secondary enrichments are quite low compared to Cu in the whole Tizert site, which is therefore, considered as relatively homogeneous.","author":[{"dropping-particle":"","family":"Poot","given":"Julien","non-dropping-particle":"","parse-names":false,"suffix":""},{"dropping-particle":"","family":"Verhaert","given":"Michèle","non-dropping-particle":"","parse-names":false,"suffix":""},{"dropping-particle":"","family":"Dekoninck","given":"Augustin","non-dropping-particle":"","parse-names":false,"suffix":""},{"dropping-particle":"","family":"Oummouch","given":"Abdellah","non-dropping-particle":"","parse-names":false,"suffix":""},{"dropping-particle":"El","family":"Basbas","given":"Abdelaziz","non-dropping-particle":"","parse-names":false,"suffix":""},{"dropping-particle":"","family":"Maacha","given":"Lhou","non-dropping-particle":"","parse-names":false,"suffix":""},{"dropping</w:instrText>
      </w:r>
      <w:r w:rsidRPr="00D95593">
        <w:rPr>
          <w:rFonts w:ascii="Times New Roman" w:hAnsi="Times New Roman"/>
          <w:lang w:val="fr-BE"/>
        </w:rPr>
        <w:instrText>-particle":"","family":"Yans","given":"Johan","non-dropping-particle":"","parse-names":false,"suffix":""}],"container-title":"Minerals","id":"ITEM-1","issue":"7","issued":{"date-parts":[["2020"]]},"page":"620","title":"Characterization of weathering processes of the giant copper deposit of tizert (Igherm inlier, anti-atlas, Morocco)","type":"article-journal","volume":"10"},"uris":["http://www.mendeley.com/documents/?uuid=26abcb5f-c889-34db-bd6f-fb1f085b6831"]},{"id":"ITEM-2","itemData":{"DOI":"10.5382/ECONGEO.4779","ISSN":"15540774","abstract":"In the Moroccan Anti-Atlas, sulfide deposits hosted by Neoproterozoic to Cambrian formations underwent significant weathering, leading to the formation of supergene profiles. In the Tazalaght Cu-As deposit, three mineralogical steps are distinguished: (1) the replacement of hypogene sulfides (chalcopyrite, pyrite, tennantite) by supergene sulfides (bornite, chalcocite) in the large cementation zone; (2) the formation of oxidized minerals (malachite, azurite, olivenite, and chenevixite, mainly) in a more oxidizing and neutral environment; and (3) the precipitation of goethite, hematite, and quartz in the gossan. In the Cu-As-Pb-V deposit of Agoujgal, the mineralogical units are spatially less confined than at Tazalaght. The narrow cementation zone hosts chalcocite, resulting from the weathering of hypogene chalcopyrite, pyrite, tennantite and galena, while the much more extended and diversified oxidized zone is rich in Cu and Pb carbonates, arsenates, sulfates, phosphates, vanadates, and oxides. Goethite, hematite, mottramite, and late calcite occur in the gossan. Both deposits are characterized by As-rich secondary ores that were formed through similar processes, despite some mineralogical and chemical variations highlighting the influence of the host rocks on weathering. The restricted oxidized mineralization at Tazalaght and the Agoujgal cementation zone most likely arise from the contrasting omnipresence of quartzite at Tazalaght that could not enable a fast and effective neutralization of the fluid’s acidity, and the large amounts of dolomitic host rocks that could be dissolved at Agoujgal. At both sites, the weathering of tennantite through a boxwork texture records the transition from the cementation zone (chalcocite), the oxidized zone (arsenates), and the gossan, and reflects the fluids evolution with time.","author":[{"dropping-particle":"","family":"Verhaert","given":"Michèle","non-dropping-particle":"","parse-names":false,"suffix":""},{"dropping-particle":"","family":"Madi","given":"Atman","non-dropping-particle":"","parse-names":false,"suffix":""},{"dropping-particle":"","family":"Basbas","given":"Abdelaziz","non-dropping-particle":"El","parse-names":false,"suffix":""},{"dropping-particle":"","family":"Elharkaty","given":"Mohamed","non-dropping-particle":"","parse-names":false,"suffix":""},{"dropping-particle":"","family":"Oummouch","given":"Abdellah","non-dropping-particle":"","parse-names":false,"suffix":""},{"dropping-particle":"","family":"Oumohou","given":"Lahcen","non-dropping-particle":"","parse-names":false,"suffix":""},{"dropping-particle":"","family":"Malfliet","given":"Annelies","non-dropping-particle":"","parse-names":false,"suffix":""},{"dropping-particle":"","family":"Maacha","given":"Lhou","non-dropping-particle":"","parse-names":false,"suffix":""},{"dropping-particle":"","family":"Yans","given":"Johan","non-dropping-particle":"","parse-names":false,"suffix":""}],"container-title":"Economic Geology","id":"ITEM-2","issue":"8","issued":{"date-parts":[["2020"]]},"page":"1725-1748","title":"Genesis of as-pb–Rich supergene mineralization: The Tazalaght and Agoujgal Cu deposits (Moroccan anti-atlas copperbelt)","type":"article-journal","volume":"115"},"uris":["http://www.mendeley.com/documents/?uuid=fe2b5b48-a2d5-49b3-9da5-e1ff1607e638"]},{"id":"ITEM-3","itemData":{"DOI":"https://doi.org/10.1016/j.jafrearsci.2025.105981","ISSN":"1464-343X","abstract":"The Cu(-Pb-Zn-Ag) Bou Skour deposit shows the distinctive feature of having its primary mineralization (hydrothermal events) associated with veins of chlorite, dolomite and quartz in Cryogenian and Ediacaran magmatic rocks. The deposit underwent weathering, leading to the oxidation of primary sulfides, formation/neutralization of acidic fluids, and the neoformation of secondary minerals, including carbonates, silicates, and arsenates. Bou Skour deposit shows a quite unusual neutralization process of acidic fluids occurring mainly within/around the chlorite and/or dolomite veins containing primary mineralization. Chlorite, rarely considered as a dominant neutralizing agent, plays a significant role in the formation of secondary minerals in Bou Skour. The dual neutralization (chlorite and dolomite), combined with the diversity of primary assemblages and the vein-associated fractures, strongly influence secondary mineralization patterns and sequences, leading to restricted oxidized zones where different parts of weathering profile merge and overlap. Understanding these mechanisms is essential for unraveling the mineralogical evolution of the deposit and estimates its economic potential.","author":[{"dropping-particle":"","family":"Poot","given":"Julien","non-dropping-particle":"","parse-names":false,"suffix":""},{"dropping-particle":"","family":"Stanus","given":"Remi","non-dropping-particle":"","parse-names":false,"suffix":""},{"dropping-particle":"","family":"Azmi","given":"Mohammed","non-dropping-particle":"EL","parse-names":fals</w:instrText>
      </w:r>
      <w:r w:rsidRPr="00D95593">
        <w:rPr>
          <w:rFonts w:ascii="Times New Roman" w:hAnsi="Times New Roman"/>
          <w:lang w:val="en-US"/>
        </w:rPr>
        <w:instrText>e,"suffix":""},{"dropping-particle":"","family":"Dekoninck","given":"Augustin","non-dropping-particle":"","parse-names":false,"suffix":""},{"dropping-particle":"","family":"Maacha","given":"Lhou","non-dropping-particle":"","parse-names":false,"suffix":""},{"dropping-particle":"","family":"Rochez","given":"Gaëtan","non-dropping-particle":"","parse-names":false,"suffix":""},{"dropping-particle":"","family":"Bouabdellah","given":"Mohammed","non-dropping-particle":"","parse-names":false,"suffix":""},{"dropping-particle":"","family":"Yans","given":"Johan","non-dropping-particle":"","parse-names":false,"suffix":""}],"container-title":"Journal of African Earth Sciences","id":"ITEM-3","issued":{"date-parts":[["2026"]]},"page":"105981","title":"Weathering processes and the role of combined chlorite-dolomite as main neutralizing agents of acidic fluids in the Cu(-Pb-Zn-Ag) Bou Skour supergene deposit (Eastern Anti-Atlas, Morocco)","type":"article-journal","volume":"235"},"uris":["http://www.mendeley.com/documents/?uuid=cbcfdc89-ef7f-4f92-bef8-4808d6214e1b"]}],"mendeley":{"formattedCitation":"(Poot et al., 2026, 2020; Verhaert et al., 2020)","manualFormatting":"Poot et al., 2026, 2020; Verhaert et al., 2020)","plainTextFormattedCitation":"(Poot et al., 2026, 2020; Verhaert et al., 2020)","previouslyFormattedCitation":"(Poot et al., 2026, 2020; Verhaert et al., 2020)"},"properties":{"noteIndex":0},"schema":"https://github.com/citation-style-language/schema/raw/master/csl-citation.json"}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Poot et al., 2026, 2020; Verhaert et al., 2020)</w:t>
      </w:r>
      <w:r w:rsidRPr="00D95593">
        <w:rPr>
          <w:rFonts w:ascii="Times New Roman" w:hAnsi="Times New Roman"/>
          <w:lang w:val="fr-BE"/>
        </w:rPr>
        <w:fldChar w:fldCharType="end"/>
      </w:r>
      <w:r w:rsidRPr="00D95593">
        <w:rPr>
          <w:rFonts w:ascii="Times New Roman" w:hAnsi="Times New Roman"/>
          <w:lang w:val="en-US"/>
        </w:rPr>
        <w:t xml:space="preserve">, expose many polymetallic mineralization, from Neoproterozoic hydrothermal systems (e.g., Bouabdellah et al., 2016; El Azmi et al., 2014) to more recent development weathering profiles. Across this belt, numerous deposits (e.g., Tizert, Tazalaght, Agoujgal, Bou Skour;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{"citationItems":[{"id":"ITEM-1","itemData":{"DOI":"10.3390/min10070620","ISSN":"2075163X","abstract":"The giant Tizert copper deposit is considered as the largest copper resource in the western Anti-Atlas (Morocco). The site is characterized by Cu mineralization carried by malachite, chalcocite, covellite, bornite and chalcopyrite; azurite is not observed. The host rocks are mainly limestones (Formation of Tamjout Dolomite) and sandstones/siltstones (Basal Series) of the Ediacaran/Cambrian transition. The supergene enrichment is most likely related to episodes of uplift/doming (last event since 30 Ma), which triggered the exhumation of primary/hypogene mineralization (chalcopyrite, pyrite, galena, chalcocite I and bornite I), generating their oxidation and the precipitation of secondary/supergene sulfides, carbonates and Fe-oxyhydroxides. The Tizert supergene deposit mainly consists of (i) a residual patchwork of laterite rich in Fe-oxyhydroxides; (ii) a saprolite rich in malachite, or “green oxide zone” where primary structures such as stratification are preserved; (iii) a cementation zone containing secondary sulfides (covellite, chalcocite II and bornite II). The abundance of Cu carbonates results from the rapid neutralization of acidic meteoric fluids, due to oxidation of primary sulfides, by carbonate host rocks. Chlorite is also involved in the neutralization processe</w:instrText>
      </w:r>
      <w:r w:rsidRPr="00D95593">
        <w:rPr>
          <w:rFonts w:ascii="Times New Roman" w:hAnsi="Times New Roman"/>
          <w:lang w:val="fr-BE"/>
        </w:rPr>
        <w:instrText>s in the sandstones/siltstones of the Basal Series, in which supergene clays, such as kaolinite and smectites, subsequently precipitated. At Tizert, as can be highlighted in other supergene Cu-deposits around the world, azurite is absent due to low pCO2 and relatively high pH conditions. In addition to copper, Ag enrichment is also observed in weathered rocks; Fe-oxyhydroxides contain high Zn, As, and Pb contents. However, these secondary enrichments are quite low compared to Cu in the whole Tizert site, which is therefore, considered as relatively homogeneous.","author":[{"dropping-particle":"","family":"Poot","given":"Julien","non-dropping-particle":"","parse-names":false,"suffix":""},{"dropping-particle":"","family":"Verhaert","given":"Michèle","non-dropping-particle":"","parse-names":false,"suffix":""},{"dropping-particle":"","family":"Dekoninck","given":"Augustin","non-dropping-particle":"","parse-names":false,"suffix":""},{"dropping-particle":"","family":"Oummouch","given":"Abdellah","non-dropping-particle":"","parse-names":false,"suffix":""},{"dropping-particle":"El","family":"Basbas","given":"Abdelaziz","non-dropping-particle":"","parse-names":false,"suffix":""},{"dropping-particle":"","family":"Maacha","given":"Lhou","non-dropping-particle":"","parse-names":false,"suffix":""},{"dropping-particle":"","family":"Yans","given":"Johan","non-dropping-particle":"","parse-names":false,"suffix":""}],"container-title":"Minerals","id":"ITEM-1","issue":"7","issued":{"date-parts":[["2020"]]},"page":"620","title":"Characterization of weathering processes of the giant copper deposit of tizert (Igherm inlier, anti-atlas, Morocco)","type":"article-journal","volume":"10"},"uris":["http://www.mendeley.com/documents/?uuid=26abcb5f-c889-34db-bd6f-fb1f085b6831"]},{"id":"ITEM-2","itemData":{"DOI":"10.5382/ECONGEO.4779","ISSN":"15540774","abstract":"In the Moroccan Anti-Atlas, sulfide deposits hosted by Neoproterozoic to Cambrian formations underwent significant weathering, leading to the formation of supergene profiles. In the Tazalaght Cu-As deposit, three mineralogical steps are distinguished: (1) the replacement of hypogene sulfides (chalcopyrite, pyrite, tennantite) by supergene sulfides (bornite, chalcocite) in the large cementation zone; (2) the formation of oxidized minerals (malachite, azurite, olivenite, and chenevixite, mainly) in a more oxidizing and neutral environment; and (3) the precipitation of goethite, hematite, and quartz in the gossan. In the Cu-As-Pb-V deposit of Agoujgal, the mineralogical units are spatially less confined than at Tazalaght. The narrow cementation zone hosts chalcocite, resulting from the weathering of hypogene chalcopyrite, pyrite, tennantite and galena, while the much more extended and diversified oxidized zone is rich in Cu and Pb carbonates, arsenates, sulfates, phosphates, vanadates, and oxides. Goethite, hematite, mottramite, and late calcite occur in the gossan. Both deposits are characterized by As-rich secondary ores that were formed through similar processes, despite some mineralogical and chemical variations highlighting the influence of the host rocks on weathering. The restricted oxidized mineralization at Tazalaght and the Agoujgal cementation zone most likely arise from the contrasting omnipresence of quartzite at Tazalaght that could not enable a fast and effective neutralization of the fluid’s acidity, and the large amounts of dolomitic host rocks that could be dissolved at Agoujgal. At both sites, the weathering of tennantite through a boxwork texture records the transition from the cementation zone (chalcocite), the oxidized zone (arsenates), and the gossan, and reflects the fluids evolution with time.","author":[{"dropping-particle":"","family":"Verhaert","given":"Michèle","non-dropping-particle":"","parse-names":false,"suffix":""},{"dropping-particle":"","family":"Madi","given":"Atman","non-dropping-particle":"","parse-names":false,"suffix":""},{"dropping-particle":"","family":"Basbas","given":"Abdelaziz","non-dropping-particle":"El","parse-names":false,"suffix":""},{"dropping-particle":"","family":"Elharkaty","given":"Mohamed","non-dropping-particle":"","parse-names":false,"suffix":""},{"dropping-particle":"","family":"Oummouch","given":"Abdellah","non-dropping-particle":"","parse-names":false,"suffix":""},{"dropping-particle":"","family":"Oumohou","given":"Lahcen","non-dropping-particle":"","parse-names":false,"suffix":""},{"dropping-particle":"","family":"Malfliet","given":"Annelies","non-dropping-particle":"","parse-names":false,"suffix":""},{"dropping-particle":"","family":"Maacha","given":"Lhou","non-dropping-particle":"","parse-names":false,"suffix":""},{"dropping-particle":"","family":"Yans","given":"Johan","non-dropping-particle":"","parse-names":false,"suffix":""}],"container-title":"Economic Geology","id":"ITEM-2","issue":"8","issued":{"date-parts":[["2020"]]},"page":"1725-1748","title":"Genesis of as-pb–Rich supergene mineralization: The Tazalaght and Agoujgal Cu deposits (Moroccan anti-atlas copperbelt)","type":"article-journal","volume":"115"},"uris":["http://www.mendeley.com/documents/?uuid=fe2b5b48-a2d5-49b3-9da5-e1ff1607e638"]},{"id":"ITEM-3","itemData":{"DOI":"https://doi.org/10.1016/j.jafrearsci.2025.105981","ISSN":"1464-343X","abstract":"The Cu(-Pb-Zn-Ag) Bou Skour deposit shows the distinctive feature of having its primary mineralization (hydrothermal events) associated with veins of chlorite, dolomite and quartz in Cryogenian and Ediacaran magmatic rocks. The deposit underwent weathering, leading to the oxidation of primary sulfides, formation/neutralization of acidic fluids, and the neoformation of secondary minerals, including carbonates, silicates, and arsenates. Bou Skour deposit shows a quite unusual neutralization process of acidic fluids occurring mainly within/around the chlorite and/or dolomite veins containing primary mineralization. Chlorite, rarely considered as a dominant neutralizing agent, plays a significant role in the formation of secondary minerals in Bou Skour. The dual neutralization (chlorite and dolomite), combined with the diversity of primary assemblages and the vein-associated fractures, strongly influence secondary mineralization patterns and sequences, leading to restricted oxidized zones where different parts of weathering profile merge and overlap. Understanding these mechanisms is essential for unraveling the mineralogical evolution of the deposit and estimates its economic potential.","author":[{"dropping-particle":"","family":"Poot","given":"Julien","non-dropping-particle":"","parse-names":false,"suffix":""},{"dropping-particle":"","family":"Stanus","given":"Remi","non-dropping-particle":"","parse-names":false,"suffix":""},{"dropping-particle":"","family":"Azmi","given":"Mohammed","non-dropping-particle":"EL","parse-names":fals</w:instrText>
      </w:r>
      <w:r w:rsidRPr="00D95593">
        <w:rPr>
          <w:rFonts w:ascii="Times New Roman" w:hAnsi="Times New Roman"/>
          <w:lang w:val="en-US"/>
        </w:rPr>
        <w:instrText>e,"suffix":""},{"dropping-particle":"","family":"Dekoninck","given":"Augustin","non-dropping-particle":"","parse-names":false,"suffix":""},{"dropping-particle":"","family":"Maacha","given":"Lhou","non-dropping-particle":"","parse-names":false,"suffix":""},{"dropping-particle":"","family":"Rochez","given":"Gaëtan","non-dropping-particle":"","parse-names":false,"suffix":""},{"dropping-particle":"","family":"Bouabdellah","given":"Mohammed","non-dropping-particle":"","parse-names":false,"suffix":""},{"dropping-particle":"","family":"Yans","given":"Johan","non-dropping-particle":"","parse-names":false,"suffix":""}],"container-title":"Journal of African Earth Sciences","id":"ITEM-3","issued":{"date-parts":[["2026"]]},"page":"105981","title":"Weathering processes and the role of combined chlorite-dolomite as main neutralizing agents of acidic fluids in the Cu(-Pb-Zn-Ag) Bou Skour supergene deposit (Eastern Anti-Atlas, Morocco)","type":"article-journal","volume":"235"},"uris":["http://www.mendeley.com/documents/?uuid=cbcfdc89-ef7f-4f92-bef8-4808d6214e1b"]}],"mendeley":{"formattedCitation":"(Poot et al., 2026, 2020; Verhaert et al., 2020)","manualFormatting":"Poot et al., 2026, 2020; Verhaert et al., 2020)","plainTextFormattedCitation":"(Poot et al., 2026, 2020; Verhaert et al., 2020)","previouslyFormattedCitation":"(Poot et al., 2026, 2020; Verhaert et al., 2020)"},"properties":{"noteIndex":0},"schema":"https://github.com/citation-style-language/schema/raw/master/csl-citation.json"}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Poot et al., 2026, 2020; Verhaert et al., 2020)</w:t>
      </w:r>
      <w:r w:rsidRPr="00D95593">
        <w:rPr>
          <w:rFonts w:ascii="Times New Roman" w:hAnsi="Times New Roman"/>
          <w:lang w:val="fr-BE"/>
        </w:rPr>
        <w:fldChar w:fldCharType="end"/>
      </w:r>
      <w:r w:rsidRPr="00D95593">
        <w:rPr>
          <w:rFonts w:ascii="Times New Roman" w:hAnsi="Times New Roman"/>
          <w:lang w:val="en-US"/>
        </w:rPr>
        <w:t xml:space="preserve"> illustrate how the different phases of uplift, erosion and meteoric fluids circulation have remobilized and recrystallized metals near the surface.</w:t>
      </w:r>
    </w:p>
    <w:p w14:paraId="6CD0C422"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The Tassrirt deposit in the Kerdous inlier (Figure 1A) is a Cu–Zn–Fe–As mineralization affected by weathering, which has not been described compare to other mineralization systems of the region (e.g., structural evolution, see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{"citationItems":[{"id":"ITEM-1","itemData":{"DOI":"10.1016/J.JAFREARSCI.2004.07.043","ISSN":"1464-343X","abstract":"New geological investigations and geochronological data from the Kerdous inlier of the Moroccan Anti-Atlas suggest that an extensional event is recorded by stratigraphic and tectonic features within the Late Proterozoic-Early Cambrian cover. The Tasrirt massif is interpreted as a Late Proterozoic diapiric gneiss dome based on the pattern of metamorphic isograds, the presence of normal ductile shear bands and kinematic criteria indicative of non-coaxial deformation. The ascent of this gneiss dome was controlled by two late Pan-African shear zones with a dominant dextral wrench component. Sedimentary basins developed simultaneously with basement uplift in a NE-SW transtensional system, followed by NE-SW to E-W pure extension. 40K-40Ar mica ages of 1900-1350 Ma obtained from the Palaeoproterozoic protoliths are related to a thermal rejuvenation during the late Pan-African syn-metamorphic doming events. The Tasrirt dome is thought to be the most representative of numerous domes within the Anti-Atlas and High Atlas, and is similar to related structures described along the rim of the West African craton during Late Precambrian-Lower Cambrian crustal extension. © 2004 Elsevier Ltd. All rights reserved.","author":[{"dropping-particle":"","family":"Soulaimani","given":"A.","non-dropping-particle":"","parse-names":false,"suffix":""},{"dropping-particle":"","family":"Piqué","given":"A.","non-dropping-particle":"","parse-names":false,"suffix":""}],"container-title":"Journal of African Earth Sciences","id":"ITEM-1","issue":"3-5","issued":{"date-parts":[["2004","6","1"]]},"page":"247-255","publisher":"Pergamon","title":"The Tasrirt structure (Kerdous inlier, Western Anti-Atlas, Morocco): a late Pan-African transtensive dome","type":"article-journal","volume":"39"},"uris":["http://www.mendeley.com/documents/?uuid=cdbba739-abd2-3053-8362-e788867e5d58"]}],"mendeley":{"formattedCitation":"(Soulaimani and Piqué, 2004)","manualFormatting":"Soulaimani and Piqué, 2004)","plainTextFormattedCitation":"(Soulaimani and Piqué, 2004)","previouslyFormattedCitation":"(Soulaimani and Piqué, 2004)"},"properties":{"noteIndex":0},"schema":"https://github.com/citation-style-language/schema/raw/master/csl-citation.json"}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Soulaimani and Piqué, 2004)</w:t>
      </w:r>
      <w:r w:rsidRPr="00D95593">
        <w:rPr>
          <w:rFonts w:ascii="Times New Roman" w:hAnsi="Times New Roman"/>
          <w:lang w:val="fr-BE"/>
        </w:rPr>
        <w:fldChar w:fldCharType="end"/>
      </w:r>
      <w:r w:rsidRPr="00D95593">
        <w:rPr>
          <w:rFonts w:ascii="Times New Roman" w:hAnsi="Times New Roman"/>
          <w:lang w:val="en-US"/>
        </w:rPr>
        <w:t>. The Tassrirt mineralization displays many of the key features that characterize the Anti</w:t>
      </w:r>
      <w:r w:rsidRPr="00D95593">
        <w:rPr>
          <w:rFonts w:ascii="Times New Roman" w:hAnsi="Times New Roman"/>
          <w:lang w:val="en-US"/>
        </w:rPr>
        <w:noBreakHyphen/>
        <w:t>Atlas weathering environment (e.g., Bouabdellah et al., 2021; Clementucci et al., 2022, 2023; Lanari et al., 2022; Leprêtre et al., 2015, 2018;</w:t>
      </w:r>
      <w:r w:rsidRPr="00D95593">
        <w:rPr>
          <w:rFonts w:ascii="Times New Roman" w:hAnsi="Times New Roman"/>
          <w:noProof/>
          <w:lang w:val="en-US"/>
        </w:rPr>
        <w:t xml:space="preserve"> Oukassou et al., 2013</w:t>
      </w:r>
      <w:r w:rsidRPr="00D95593">
        <w:rPr>
          <w:rFonts w:ascii="Times New Roman" w:hAnsi="Times New Roman"/>
          <w:lang w:val="en-US"/>
        </w:rPr>
        <w:t xml:space="preserve">), especially oxidation of primary sulfides and heterogeneous neutralization patterns. These transformations generated complex assemblages of carbonates, sulfates, silicates and (oxyhydr)oxides, which record variations in pH, redox state and cations/metals activity (e.g., Bowell and Butt, 2025; Sangameshwar and Barnes, 1983; Velasco et al., 2013). In many supergene deposits, such minerals constitute effective sinks of strategic and critical elements, highlighting the role of supergene processes to concentrate or redistribute these metals </w:t>
      </w:r>
    </w:p>
    <w:p w14:paraId="20014823"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Here we provide the first description of Tassrirt Cu–Zn–Fe–As supergene mineralization and compare the system with other occurrences in the Anti-Atlas Copperbelt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{"citationItems":[{"id":"ITEM-1","itemData":{"DOI":"10.3390/min10070620","ISSN":"2075163X","abstract":"The giant Tizert copper deposit is considered as the largest copper resource in the western Anti-Atlas (Morocco). The site is characterized by Cu mineralization carried by malachite, chalcocite, covellite, bornite and chalcopyrite; azurite is not observed. The host rocks are mainly limestones (Formation of Tamjout Dolomite) and sandstones/siltstones (Basal Series) of the Ediacaran/Cambrian transition. The supergene enrichment is most likely related to episodes of uplift/doming (last event since 30 Ma), which triggered the exhumation of primary/hypogene mineralization (chalcopyrite, pyrite, galena, chalcocite I and bornite I), generating their oxidation and the precipitation of secondary/supergene sulfides, carbonates and Fe-oxyhydroxides. The Tizert supergene deposit mainly consists of (i) a residual patchwork of laterite rich in Fe-oxyhydroxides; (ii) a saprolite rich in malachite, or “green oxide zone” where primary structures such as stratification are preserved; (iii) a cementation zone containing secondary sulfides (covellite, chalcocite II and bornite II). The abundance of Cu carbonates results from the rapid neutralization of acidic meteoric fluids, due to oxidation of primary sulfides, by carbonate host rocks. Chlorite is also involved in the neutralization processes in the sandstones/siltstones of the Basal Series, in which supergene clays, such as kaolinite and smectites, subsequently precipitated. At Tizert, as can be highlighted in other supergene Cu-deposits around the world, azurite is absent due to low pCO2 and relatively high pH conditions. In addition to copper, Ag enrichment is also observed in weathered rocks; Fe-oxyhydroxides contain high Zn, As, and Pb contents. However, these secondary enrichments are quite low compared to Cu in the whole Tizert site, which is therefore, considered as relatively homogeneous.","author":[{"dropping-particle":"","family":"Poot","given":"Julien","non-dropping-particle":"","parse-names":false,"suffix":""},{"dropping-particle":"","family":"Verhaert","given":"Michèle","non-dropping-particle":"","parse-names":false,"suffix":""},{"dropping-particle":"","family":"Dekoninck","given":"Augustin","non-dropping-particle":"","parse-names":false,"suffix":""},{"dropping-particle":"","family":"Oummouch","given":"Abdellah","non-dropping-particle":"","parse-names":false,"suffix":""},{"dropping-particle":"El","family":"Basbas","given":"Abdelaziz","non-dropping-particle":"","parse-names":false,"suffix":""},{"dropping-particle":"","family":"Maacha","given":"Lhou","non-dropping-particle":"","parse-names":false,"suffix":""},{"dropping-particle":"","family":"Yans","given":"Johan","non-dropping-particle":"","parse-names":false,"suffix":""}</w:instrText>
      </w:r>
      <w:r w:rsidRPr="00D95593">
        <w:rPr>
          <w:rFonts w:ascii="Times New Roman" w:hAnsi="Times New Roman"/>
          <w:lang w:val="fr-BE"/>
        </w:rPr>
        <w:instrText>],"container-title":"Minerals","id":"ITEM-1","issue":"7","issued":{"date-parts":[["2020"]]},"page":"620","title":"Characterization of weathering processes of the giant copper deposit of tizert (Igherm inlier, anti-atlas, Morocco)","type":"article-journal","volume":"10"},"uris":["http://www.mendeley.com/documents/?uuid=26abcb5f-c889-34db-bd6f-fb1f085b6831"]},{"id":"ITEM-2","itemData":{"DOI":"https://doi.org/10.1016/j.jafrearsci.2025.105981","ISSN":"1464-343X","abstract":"The Cu(-Pb-Zn-Ag) Bou Skour deposit shows the distinctive feature of having its primary mineralization (hydrothermal events) associated with veins of chlorite, dolomite and quartz in Cryogenian and Ediacaran magmatic rocks. The deposit underwent weathering, leading to the oxidation of primary sulfides, formation/neutralization of acidic fluids, and the neoformation of secondary minerals, including carbonates, silicates, and arsenates. Bou Skour deposit shows a quite unusual neutralization process of acidic fluids occurring mainly within/around the chlorite and/or dolomite veins containing primary mineralization. Chlorite, rarely considered as a dominant neutralizing agent, plays a significant role in the formation of secondary minerals in Bou Skour. The dual neutralization (chlorite and dolomite), combined with the diversity of primary assemblages and the vein-associated fractures, strongly influence secondary mineralization patterns and sequences, leading to restricted oxidized zones where different parts of weathering profile merge and overlap. Understanding these mechanisms is essential for unraveling the mineralogical evolution of the deposit and estimates its economic potential.","author":[{"dropping-particle":"","family":"Poot","given":"Julien","non-dropping-particle":"","parse-names":false,"suffix":""},{"dropping-particle":"","family":"Stanus","given":"Remi","non-dropping-particle":"","parse-names":false,"suffix":""},{"dropping-particle":"","family":"Azmi","given":"Mohammed","non-dropping-particle":"EL","parse-names":false,"suffix":""},{"dropping-particle":"","family":"Dekoninck","given":"Augustin","non-dropping-particle":"","parse-names":false,"suffix":""},{"dropping-particle":"","family":"Maacha","given":"Lhou","non-dropping-particle":"","parse-names":false,"suffix":""},{"dropping-particle":"","family":"Rochez","given":"Gaëtan","non-dropping-particle":"","parse-names":false,"suffix":""},{"dropping-particle":"","family":"Bouabdellah","given":"Mohammed","non-dropping-particle":"","parse-names":false,"suffix":""},{"dropping-particle":"","family":"Yans","given":"Johan","non-dropping-particle":"","parse-names":false,"suffix":""}],"container-title":"Journal of African Earth Sciences","id":"ITEM-2","issued":{"date-parts":[["2026"]]},"page":"105981","title":"Weathering processes and the role of combined chlorite-dolomite as main neutralizing agents of acidic fluids in the Cu(-Pb-Zn-Ag) Bou Skour supergene deposit (Eastern Anti-Atlas, Morocco)","type":"article-journal","volume":"235"},"uris":["http://www.mendeley.com/documents/?uuid=cbcfdc89-ef7f-4f92-bef8-4808d6214e1b"]},{"id":"ITEM-3","itemData":{"DOI":"10.1155/2017/7508484","ISSN":"14688123","abstract":"The Tizert Cu-Ag deposit is the largest ofa series ofsediment-hosted copper deposits ofthe Anti-Atlas copper province inMorocco. Mineralized rocks in the deposit contain disseminated sulphides within a Late Ediacaran, dominantly siliciclastic sedimentary formation named the Basal Series. Isopach map of the Basal Series thickness shows that during the Late Ediacaran the area was composed of large subsiding zones separated by paleohighs. The ore-grade zones are well developed along basin margins adjacent to the basement paleohighs. These mineralized zones display a lateral sulphide zoningwith central bornite-chalcocite zones grading outward to intermediate chalcopyrite and external pyrite zones. There is also a vertical sulphide zoning with evolution frombornite and chalcocite dominant mineralized rocks at the bottom to chalcopyrite and pyrite dominant mineralized rocks at the top of the lithostratigraphic succession. A second style ofmineralization is represented by sulphide filled fractures and veins present in the Basal Series, as well as in the basement and the overlying dolomites. The similarity of the paragenetic sequences between the disseminated and the vein-hosted mineralization suggests that theymay be related to the same mineralizing event, the disseminated style of mineralization being rapidly followed by the onset of the vein-style mineralization.","author":[{"dropping-particle":"","family":"Oummouch","given":"Abdellah","non-dropping-particle":"","parse-names":false,"suffix":""},{"dropping-particle":"","family":"Essaifi","given":"Abderrahim","non-dropping-particle":"","parse-names":false,"suffix":""},{"dropping-particle":"","family":"Zayane","given":"Rachid","non-dropping-particle":"","parse-names":false,"suffix":""},{"dropping-particle":"","family":"Maddi","given":"Othmane","non-dropping-particle":"","parse-names":false,"suffix":""},{"dropping-particle":"","family":"Zouhair","given":"Mohamed","non-dropping-particle":"","parse-names":false,"suffix":""},{"dropping-particle":"","family":"Maacha","given":"Lhou","non-dropping-particle":"","parse-names":false,"suffix":""}],"container-title":"Geofluids","id":"ITEM-3","issued":{"date-parts":[["2017"]]},"page":"1-19","title":"Geology and Metallogenesis of the Sediment-Hosted Cu-Ag Deposit of Tizert ( Igherm Inlier ,Anti-Atlas Copperbelt, Morocco)","type":"article-journal","volume":"2017"},"uris":["http://www.mendeley.com/documents/?uuid=238cb6d5-a867-4efb-8303-057addc5746d"]},{"id":"ITEM-4","itemData":{"DOI":"10.5382/ECONGEO.4779","ISSN":"15540774","abstract":"In the Moroccan Anti-Atlas, sulfide deposits hosted by Neoproterozoic to Cambrian formations underwent significant weathering, leading to the formation of supergene profiles. In the Tazalaght Cu-As deposit, three mineralogical steps are distinguished: (1) the replacement of hypogene sulfides (chalcopyrite, pyrite, tennantite) by supergene sulfides (bornite, chalcocite) in the large cementation zone; (2) the formation of oxidized minerals (malachite, azurite, olivenite, and chenevixite, mainly) in a more oxidizing and neutral environment; and (3) the precipitation of goethite, hematite, and quartz in the gossan. In the Cu-As-Pb-V deposit of Agoujgal, the mineralogical units are spatially less confined than at Tazalaght. The narrow cementation zone hosts chalcocite, resulting from the weathering of hypogene chalcopyrite, pyrite, tennantite and galena, while the much more extended and diversified oxidized zone is rich in Cu and Pb carbonates, arsenates, sulfates, phosphates, vanadates, and oxides. Goethite, hematite, mottramite, and late calcite occur in the gossan. Both deposits are characterized by As-rich secondary ores that were formed through similar processes, despite some mineralogical and chemical variations highlighting the influence of the host rocks on weathering. The restricted oxidized mineralization at Tazalaght and the Agoujgal cementation zone most likely arise from the contrasting omnipresence of quartzite at Tazalaght that could not enable a fast and effective neutralization of the fluid’s acidity, and the large amounts of dolomitic host rocks that could be dissolved at Agoujgal. At both sites, the weathering of tennantite through a boxwork texture records the transition from the cementation zone (chalcocite), the oxidized zone (arsenates), and the gossan, and reflects the fluids evolution with time.","author":[{"dropping-particle":"","family":"Verhaert","given":"Michèle","non-dropping-particle":"","parse-names":false,"suffix":""},{"dropping-particle":"","family":"Madi","given":"Atman","non-dropping-particle":"","parse-names":false,"suffix":""},{"dropping-particle":"","family":"Basbas","given":"Abdelaziz","non-dropping-particle":"El","parse-names":false,"suffix":""},{"dropping-particle":"","famil</w:instrText>
      </w:r>
      <w:r w:rsidRPr="00D95593">
        <w:rPr>
          <w:rFonts w:ascii="Times New Roman" w:hAnsi="Times New Roman"/>
          <w:lang w:val="en-US"/>
        </w:rPr>
        <w:instrText>y":"Elharkaty","given":"Mohamed","non-dropping-particle":"","parse-names":false,"suffix":""},{"dropping-particle":"","family":"Oummouch","given":"Abdellah","non-dropping-particle":"","parse-names":false,"suffix":""},{"dropping-particle":"","family":"Oumohou","given":"Lahcen","non-dropping-particle":"","parse-names":false,"suffix":""},{"dropping-particle":"","family":"Malfliet","given":"Annelies","non-dropping-particle":"","parse-names":false,"suffix":""},{"dropping-particle":"","family":"Maacha","given":"Lhou","non-dropping-particle":"","parse-names":false,"suffix":""},{"dropping-particle":"","family":"Yans","given":"Johan","non-dropping-particle":"","parse-names":false,"suffix":""}],"container-title":"Economic Geology","id":"ITEM-4","issue":"8","issued":{"date-parts":[["2020"]]},"page":"1725-1748","title":"Genesis of as-pb–Rich supergene mineralization: The Tazalaght and Agoujgal Cu deposits (Moroccan anti-atlas copperbelt)","type":"article-journal","volume":"115"},"uris":["http://www.mendeley.com/documents/?uuid=fe2b5b48-a2d5-49b3-9da5-e1ff1607e638"]}],"mendeley":{"formattedCitation":"(Oummouch et al., 2017; Poot et al., 2026, 2020; Verhaert et al., 2020)","manualFormatting":"(e.g.; Oummouch et al., 2017; Poot et al., 2026, 2020; Verhaert et al., 2020)","plainTextFormattedCitation":"(Oummouch et al., 2017; Poot et al., 2026, 2020; Verhaert et al., 2020)"},"properties":{"noteIndex":0},"schema":"https://github.com/citation-style-language/schema/raw/master/csl-citation.json"}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(e.g., Poot et al., 2026, 2020; Verhaert et al., 2020)</w:t>
      </w:r>
      <w:r w:rsidRPr="00D95593">
        <w:rPr>
          <w:rFonts w:ascii="Times New Roman" w:hAnsi="Times New Roman"/>
          <w:lang w:val="fr-BE"/>
        </w:rPr>
        <w:fldChar w:fldCharType="end"/>
      </w:r>
      <w:r w:rsidRPr="00D95593">
        <w:rPr>
          <w:rFonts w:ascii="Times New Roman" w:hAnsi="Times New Roman"/>
          <w:lang w:val="en-US"/>
        </w:rPr>
        <w:t xml:space="preserve">. This study primarily focuses on the mineralogical, petrographic and geochemical characterization of the primary (hypogene) and secondary mineral (supergene) assemblages in Tassrirt which document the weathering of the primary Cu–Zn–Fe–As sulfides and the role of the host rocks (carbonates vs silicates), fluid pathways, neutralization processes and the resulting supergene mineralogy. Emphasis is also placed on the temporal constraints of weathering through K-Ar dating of supergene alunite providing the first timing of supergene mineralization in Kerdous inlier. </w:t>
      </w:r>
    </w:p>
    <w:p w14:paraId="6C391CE3"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By coupling mineralogical, petrographic and geochemical characterization with K-Ar timing, we propose an evolution of the Tassrirt weathering system within the broader Miocene tectono-climatic evolution of the Kerdous inlier. Ultimately, this integrated study highlights the main processes </w:t>
      </w:r>
      <w:r w:rsidRPr="00D95593">
        <w:rPr>
          <w:rFonts w:ascii="Times New Roman" w:hAnsi="Times New Roman"/>
          <w:lang w:val="en-US"/>
        </w:rPr>
        <w:lastRenderedPageBreak/>
        <w:t>controlling metal mobility during weathering. This contribution forms part of a broader research program dedicated to understanding weathering processes and their metallogenic implications across the whole Anti-Atlas Copperbelt (see Poot et al., 2020, 2026; Verhaert et al., 2020).</w:t>
      </w:r>
    </w:p>
    <w:p w14:paraId="661616D1" w14:textId="77777777" w:rsidR="00D95593" w:rsidRPr="00D95593" w:rsidRDefault="00D95593" w:rsidP="00D95593">
      <w:pPr>
        <w:spacing w:line="360" w:lineRule="auto"/>
        <w:jc w:val="both"/>
        <w:rPr>
          <w:rFonts w:ascii="Times New Roman" w:hAnsi="Times New Roman"/>
          <w:b/>
          <w:bCs/>
          <w:sz w:val="24"/>
          <w:szCs w:val="24"/>
          <w:lang w:val="en-US"/>
        </w:rPr>
      </w:pPr>
      <w:r w:rsidRPr="00D95593">
        <w:rPr>
          <w:rFonts w:ascii="Times New Roman" w:hAnsi="Times New Roman"/>
          <w:b/>
          <w:bCs/>
          <w:sz w:val="24"/>
          <w:szCs w:val="24"/>
          <w:lang w:val="en-US"/>
        </w:rPr>
        <w:t>2. Geological context</w:t>
      </w:r>
    </w:p>
    <w:p w14:paraId="78762E8F"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The Anti-Atlas belt, situated along the northern edge of the West African Craton (WAC), extends ENE-WSW from the Atlantic margin into the African plate over 800 km long and 200 km wide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10.1007/978-3-540-77076-3_2/COVER/","ISBN":"9783540770756","ISSN":"09300317","author":[{"dropping-particle":"","family":"Gasquet","given":"Dominique","non-dropping-particle":"","parse-names":false,"suffix":""},{"dropping-particle":"","family":"Ennih","given":"Nasser","non-dropping-particle":"","parse-names":false,"suffix":""},{"dropping-particle":"","family":"Liégeois","given":"Jean Pul","non-dropping-particle":"","parse-names":false,"suffix":""},{"dropping-particle":"","family":"Soulaimani","given":"A.","non-dropping-particle":"","parse-names":false,"suffix":""},{"dropping-particle":"","family":"Michard","given":"Andre","non-dropping-particle":"","parse-names":false,"suffix":""}],"container-title":"Continental Evolution: The Geology of Morocco","editor":[{"dropping-particle":"","family":"Lecture Notes in Earth Sciences","given":"","non-dropping-particle":"","parse-names":false,"suffix":""}],"id":"ITEM-1","issued":{"date-parts":[["2008"]]},"page":"33-64","publisher":"Springer Verlag","title":"The pan-African belt","type":"chapter","volume":"116"},"uris":["http://www.mendeley.com/documents/?uuid=7ec3f732-cf63-3451-9c5d-2e412b6e32f3"]},{"id":"ITEM-2","itemData":{"author":[{"dropping-particle":"","family":"Michard","given":"A.","non-dropping-particle":"","parse-names":false,"suffix":""},{"dropping-particle":"","family":"Saddiqi","given":"O.","non-dropping-particle":"","parse-names":false,"suffix":""},{"dropping-particle":"","family":"Missenard","given":"Y.","non-dropping-particle":"","parse-names":false,"suffix":""},{"dropping-particle":"","family":"Oukassou","given":"M.","non-dropping-particle":"","parse-names":false,"suffix":""},{"dropping-particle":"","family":"Barbarand","given":"J.","non-dropping-particle":"","parse-names":false,"suffix":""}],"container-title":"Géologues","id":"ITEM-2","issue":"October","issued":{"date-parts":[["2017"]]},"page":"4-12","title":"Les grandes régions géologiques du Maroc ; diversité et soulèvement d’ensemble","type":"article-journal","volume":"197"},"uris":["http://www.mendeley.com/documents/?uuid=89d6f2b3-8f11-4385-bf64-078a9dc296b3"]}],"mendeley":{"formattedCitation":"(Gasquet et al., 2008; Michard et al., 2017)","plainTextFormattedCitation":"(Gasquet et al., 2008; Michard et al., 2017)","previouslyFormattedCitation":"(Gasquet et al., 2008; Michard et al., 2017)"},"properties":{"noteIndex":0},"schema":"https://github.com/citation-style-language/schema/raw/master/csl-citation.json"}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(Gasquet et al., 2008; Michard et al., 2017)</w:t>
      </w:r>
      <w:r w:rsidRPr="00D95593">
        <w:rPr>
          <w:rFonts w:ascii="Times New Roman" w:hAnsi="Times New Roman"/>
          <w:lang w:val="fr-BE"/>
        </w:rPr>
        <w:fldChar w:fldCharType="end"/>
      </w:r>
      <w:r w:rsidRPr="00D95593">
        <w:rPr>
          <w:rFonts w:ascii="Times New Roman" w:hAnsi="Times New Roman"/>
          <w:lang w:val="en-US"/>
        </w:rPr>
        <w:t xml:space="preserve">. The most elevated part of this belt is marked by the alignment of inliers where the Precambrian basement is exposed beneath the folded Paleozoic sedimentary formations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author":[{"dropping-particle":"","family":"Michard","given":"A.","non-dropping-particle":"","parse-names":false,"suffix":""},{"dropping-particle":"","family":"Saddiqi","given":"O.","non-dropping-particle":"","parse-names":false,"suffix":""},{"dropping-particle":"","family":"Missenard","given":"Y.","non-dropping-particle":"","parse-names":false,"suffix":""},{"dropping-particle":"","family":"Oukassou","given":"M.","non-dropping-particle":"","parse-names":false,"suffix":""},{"dropping-particle":"","family":"Barbarand","given":"J.","non-dropping-particle":"","parse-names":false,"suffix":""}],"container-title":"Géologues","id":"ITEM-1","issue":"October","issued":{"date-parts":[["2017"]]},"page":"4-12","title":"Les grandes régions géologiques du Maroc ; diversité et soulèvement d’ensemble","type":"article-journal","volume":"197"},"uris":["http://www.mendeley.com/documents/?uuid=89d6f2b3-8f11-4385-bf64-078a9dc296b3"]}],"mendeley":{"formattedCitation":"(Michard et al., 2017)","plainTextFormattedCitation":"(Michard et al., 2017)","previouslyFormattedCitation":"(Michard et al., 2017)"},"properties":{"noteIndex":0},"schema":"https://github.com/citation-style-language/schema/raw/master/csl-citation.json"}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(Michard et al., 2017)</w:t>
      </w:r>
      <w:r w:rsidRPr="00D95593">
        <w:rPr>
          <w:rFonts w:ascii="Times New Roman" w:hAnsi="Times New Roman"/>
          <w:lang w:val="fr-BE"/>
        </w:rPr>
        <w:fldChar w:fldCharType="end"/>
      </w:r>
      <w:r w:rsidRPr="00D95593">
        <w:rPr>
          <w:rFonts w:ascii="Times New Roman" w:hAnsi="Times New Roman"/>
          <w:lang w:val="en-US"/>
        </w:rPr>
        <w:t>. The Tassrirt massif/dome is in the Kerdous inlier (Western Anti-Atlas,</w:t>
      </w:r>
      <w:r w:rsidRPr="00D95593">
        <w:rPr>
          <w:rFonts w:ascii="Times New Roman" w:hAnsi="Times New Roman"/>
          <w:color w:val="FF0000"/>
          <w:lang w:val="en-US"/>
        </w:rPr>
        <w:t xml:space="preserve"> </w:t>
      </w:r>
      <w:r w:rsidRPr="00D95593">
        <w:rPr>
          <w:rFonts w:ascii="Times New Roman" w:hAnsi="Times New Roman"/>
          <w:lang w:val="en-US"/>
        </w:rPr>
        <w:t xml:space="preserve">Figure 1A), which is one of the widest inliers, and is interpreted as a Late Proterozoic diapiric gneiss dome rather than reactivation of an old Eburnean basement (Soulaimani and Piqué, 2004).  </w:t>
      </w:r>
    </w:p>
    <w:p w14:paraId="68E50D99" w14:textId="0F893633"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In Tassrirt dome, the oldest rocks observed date from the Paleoproterozoic (2.2-2.0 Ga) and mainly consist of granitoids (Tahala, Tassrirt and Anammr granitoid date at 2058 </w:t>
      </w:r>
      <w:r w:rsidRPr="00D95593">
        <w:rPr>
          <w:rFonts w:ascii="Times New Roman" w:hAnsi="Times New Roman" w:cs="Times New Roman"/>
          <w:lang w:val="en-US"/>
        </w:rPr>
        <w:t>±</w:t>
      </w:r>
      <w:r w:rsidRPr="00D95593">
        <w:rPr>
          <w:rFonts w:ascii="Times New Roman" w:hAnsi="Times New Roman"/>
          <w:lang w:val="en-US"/>
        </w:rPr>
        <w:t xml:space="preserve"> 11 Ma; Loughlin et al. 2002) that are globally </w:t>
      </w:r>
      <w:r w:rsidR="008D0E90" w:rsidRPr="00D95593">
        <w:rPr>
          <w:rFonts w:ascii="Times New Roman" w:hAnsi="Times New Roman"/>
          <w:lang w:val="en-US"/>
        </w:rPr>
        <w:t>metamorph</w:t>
      </w:r>
      <w:r w:rsidR="008D0E90">
        <w:rPr>
          <w:rFonts w:ascii="Times New Roman" w:hAnsi="Times New Roman"/>
          <w:lang w:val="en-US"/>
        </w:rPr>
        <w:t xml:space="preserve">osed </w:t>
      </w:r>
      <w:r w:rsidRPr="00D95593">
        <w:rPr>
          <w:rFonts w:ascii="Times New Roman" w:hAnsi="Times New Roman"/>
          <w:lang w:val="en-US"/>
        </w:rPr>
        <w:t xml:space="preserve">(gneiss/orthogneiss) and are responsible for the formation of “domes”, including the Tassrirt one (Figure 1B)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{"citationItems":[{"id":"ITEM-1","itemData":{"DOI":"10.1007/978-3-319-10708-0_5","ISBN":"978-3-319-10708-0","abstract":"The Kerdous massif (Anti-Atlas of Morocco) consists of outstanding geological features and landscapes, such as many fascinating erosion landforms. Moreover, the outcropping rocks in the area comprise a unique record of multiple processes in the Earth geological evolution. The first list, resulting of the preliminary inventory of the most relevant and representative geosites in the region includes four large zones of exceptional value. These are the granite landforms of Tafraoute (south of Tafraoute village), the Ameln valley (north of Tafraoute), the Aït-Mansour gorges (southeast of Tafraoute) and the Izerbi plain (south of the Kerdous inlier). Their features make the Kerdous area worthy of conservation as a natural-cultural site deserving a Global Geopark status. The protection of these geosites is compatible with their use as a cultural resource. Geoheritage-based tourism activities could be promoted under an appropriate management plan based on geoeducation and geoconservation.","author":[{"dropping-particle":"","family":"Druguet","given":"E","non-dropping-particle":"","parse-names":false,"suffix":""},{"dropping-particle":"","family":"Rahimi","given":"A","non-dropping-particle":"","parse-names":false,"suffix":""},{"dropping-particle":"","family":"Carreras","given":"J","non-dropping-particle":"","parse-names":false,"suffix":""},{"dropping-particle":"","family":"Castaño","given":"L M","non-dropping-particle":"","parse-names":false,"suffix":""},{"dropping-particle":"","family":"Sánchez-Sorribes","given":"I","non-dropping-particle":"","parse-names":false,"suffix":""}],"editor":[{"dropping-particle":"","family":"Errami","given":"Ezzoura","non-dropping-particle":"","parse-names":false,"suffix":""},{"dropping-particle":"","family":"Brocx","given":"Margaret","non-dropping-particle":"","parse-names":false,"suffix":""},{"dropping-particle":"","family":"Semeniuk","given":"Vic","non-dropping-particle":"","parse-names":false,"suffix":""}],"id":"ITEM-1","issued":{"date-parts":[["2015"]]},"page":"81-90","publisher":"Springer International Publishing","publisher-place":"Cham","title":"The Geoheritage of Kerdous Inlier (Western Anti-Atlas, Morocco): Pages of Earth History in an Outstanding Landscape BT  - From Geoheritage to Geoparks: Case Studies from Africa and Beyond","type":"chapter"},"uris":["http://www.mendeley.com/documents/?uuid=35e05b25-c2ad-40d8-b06f-27a45bff2a7f"]},{"id":"ITEM-2","itemData":{"DOI":"10.1016/J.JAFREARSCI.2004.07.043","ISSN":"1464-343X","abstract":"New geolog</w:instrText>
      </w:r>
      <w:r w:rsidRPr="004605C5">
        <w:rPr>
          <w:rFonts w:ascii="Times New Roman" w:hAnsi="Times New Roman"/>
          <w:lang w:val="en-US"/>
        </w:rPr>
        <w:instrText>i</w:instrText>
      </w:r>
      <w:r w:rsidRPr="008D0E90">
        <w:rPr>
          <w:rFonts w:ascii="Times New Roman" w:hAnsi="Times New Roman"/>
          <w:lang w:val="en-US"/>
        </w:rPr>
        <w:instrText>c</w:instrText>
      </w:r>
      <w:r w:rsidRPr="00D95593">
        <w:rPr>
          <w:rFonts w:ascii="Times New Roman" w:hAnsi="Times New Roman"/>
          <w:lang w:val="fr-BE"/>
        </w:rPr>
        <w:instrText>al investigations and geochronological data from the Kerdous inlier of the Moroccan Anti-Atlas suggest that an extensional event is recorded by stratigraphic and tectonic features within the Late Proterozoic-Early Cambrian cover. The Tasrirt massif is interpreted as a Late Proterozoic diapiric gneiss dome based on the pattern of metamorphic isograds, the presence of normal ductile shear bands and kinematic criteria indicative of non-coaxial deformation. The ascent of this gneiss dome was controlled by two late Pan-African shear zones with a dominant dextral wrench component. Sedimentary basins developed simultaneously with basement uplift in a NE-SW transtensional system, followed by NE-SW to E-W pure extension. 40K-40Ar</w:instrText>
      </w:r>
      <w:r w:rsidRPr="00D95593">
        <w:rPr>
          <w:rFonts w:ascii="Times New Roman" w:hAnsi="Times New Roman"/>
          <w:lang w:val="en-US"/>
        </w:rPr>
        <w:instrText xml:space="preserve"> mica ages of 1900-1350 Ma obtained from the Palaeoproterozoic protoliths are related to a thermal rejuvenation during the late Pan-African syn-metamorphic doming events. The Tasrirt dome is thought to be the most representative of numerous domes within the Anti-Atlas and High Atlas, and is similar to related structures described along the rim of the West African craton during Late Precambrian-Lower Cambrian crustal extension. © 2004 Elsevier Ltd. All rights reserved.","author":[{"dropping-particle":"","family":"Soulaimani","given":"A.","non-dropping-particle":"","parse-names":false,"suffix":""},{"dropping-particle":"","family":"Piqué","given":"A.","non-dropping-particle":"","parse-names":false,"suffix":""}],"container-title":"Journal of African Earth Sciences","id":"ITEM-2","issue":"3-5","issued":{"date-parts":[["2004","6","1"]]},"page":"247-255","publisher":"Pergamon","title":"The Tasrirt structure (Kerdous inlier, Western Anti-Atlas, Morocco): a late Pan-African transtensive dome","type":"article-journal","volume":"39"},"uris":["http://www.mendeley.com/documents/?uuid=cdbba739-abd2-3053-8362-e788867e5d58"]}],"mendeley":{"formattedCitation":"(Druguet et al., 2015; Soulaimani and Piqué, 2004)","plainTextFormattedCitation":"(Druguet et al., 2015; Soulaimani and Piqué, 2004)","previouslyFormattedCitation":"(Druguet et al., 2015; Soulaimani and Piqué, 2004)"},"properties":{"noteIndex":0},"schema":"https://github.com/citation-style-language/schema/raw/master/csl-citation.json"}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(Druguet et al., 2015; Soulaimani and Piqué, 2004)</w:t>
      </w:r>
      <w:r w:rsidRPr="00D95593">
        <w:rPr>
          <w:rFonts w:ascii="Times New Roman" w:hAnsi="Times New Roman"/>
          <w:lang w:val="fr-BE"/>
        </w:rPr>
        <w:fldChar w:fldCharType="end"/>
      </w:r>
      <w:r w:rsidRPr="00D95593">
        <w:rPr>
          <w:rFonts w:ascii="Times New Roman" w:hAnsi="Times New Roman"/>
          <w:lang w:val="en-US"/>
        </w:rPr>
        <w:t xml:space="preserve">. The Paleoproterozoic rocks are then subjected to retrograde metamorphism during the Pan-African orogeny and are cut by numerous faults and shear zones. The Tassrirt dome is therefore the result of these successive events (Eburnean and Pan-African orogeny) and is interpreted as a Late Proterozoic diapiric gneiss dome (Soulaimani and Piqué, 2004). Eburnean and Pan-African structures are both cut by granite intrusions (Tarçouate and Tafraoute) from Late Neoproterozoic (583–548 Ma) magmatic events (Aït Malek et al., 1998; Soulaimani and Piqué, 2004). Late Neoproterozoic conglomerates of the Ouarzazate Supergroup lie unconformably above these granites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10.1007/978-3-540-77076-3_2/COVER/","ISBN":"9783540770756","ISSN":"09300317","author":[{"dropping-particle":"","family":"Gasquet","given":"Dominique","non-dropping-particle":"","parse-names":false,"suffix":""},{"dropping-particle":"","family":"Ennih","given":"Nasser","non-dropping-particle":"","parse-names":false,"suffix":""},{"dropping-particle":"","family":"Liégeois","given":"Jean Pul","non-dropping-particle":"","parse-names":false,"suffix":""},{"dropping-particle":"","family":"Soulaimani","given":"A.","non-dropping-particle":"","parse-names":false,"suffix":""},{"dropping-particle":"","family":"Michard","given":"Andre","non-dropping-particle":"","parse-names":false,"suffix":""}],"container-title":"Continental Evolution: The Geology of Morocco","editor":[{"dropping-particle":"","family":"Lecture Notes in Earth Sciences","given":"","non-dropping-particle":"","parse-names":false,"suffix":""}],"id":"ITEM-1","issued":{"date-parts":[["2008"]]},"page":"33-64","publisher":"Springer Verlag","title":"The pan-African belt","type":"chapter","volume":"116"},"uris":["http://www.mendeley.com/documents/?uuid=7ec3f732-cf63-3451-9c5d-2e412b6e32f3"]}],"mendeley":{"formattedCitation":"(Gasquet et al., 2008)","plainTextFormattedCitation":"(Gasquet et al., 2008)","previouslyFormattedCitation":"(Gasquet et al., 2008)"},"properties":{"noteIndex":0},"schema":"https://github.com/citation-style-language/schema/raw/master/csl-citation.json"}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(Gasquet et al., 2008)</w:t>
      </w:r>
      <w:r w:rsidRPr="00D95593">
        <w:rPr>
          <w:rFonts w:ascii="Times New Roman" w:hAnsi="Times New Roman"/>
          <w:lang w:val="fr-BE"/>
        </w:rPr>
        <w:fldChar w:fldCharType="end"/>
      </w:r>
      <w:r w:rsidRPr="00D95593">
        <w:rPr>
          <w:rFonts w:ascii="Times New Roman" w:hAnsi="Times New Roman"/>
          <w:lang w:val="en-US"/>
        </w:rPr>
        <w:t xml:space="preserve"> and could also host polymetallic mineralization (mostly Cu–Zn-Fe-As) </w:t>
      </w:r>
      <w:r w:rsidR="00537B4A" w:rsidRPr="00537B4A">
        <w:rPr>
          <w:rFonts w:ascii="Times New Roman" w:hAnsi="Times New Roman"/>
          <w:lang w:val="en-US"/>
        </w:rPr>
        <w:t>although it was not</w:t>
      </w:r>
      <w:r w:rsidRPr="00D95593">
        <w:rPr>
          <w:rFonts w:ascii="Times New Roman" w:hAnsi="Times New Roman"/>
          <w:lang w:val="en-US"/>
        </w:rPr>
        <w:t xml:space="preserve"> observed in our study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10.1007/978-3-540-77076-3_2/COVER/","ISBN":"9783540770756","ISSN":"09300317","author":[{"dropping-particle":"","family":"Gasquet","given":"Dominique","non-dropping-particle":"","parse-names":false,"suffix":""},{"dropping-particle":"","family":"Ennih","given":"Nasser","non-dropping-particle":"","parse-names":false,"suffix":""},{"dropping-particle":"","family":"Liégeois","given":"Jean Pul","non-dropping-particle":"","parse-names":false,"suffix":""},{"dropping-particle":"","family":"Soulaimani","given":"A.","non-dropping-particle":"","parse-names":false,"suffix":""},{"dropping-particle":"","family":"Michard","given":"Andre","non-dropping-particle":"","parse-names":false,"suffix":""}],"container-title":"Continental Evolution: The Geology of Morocco","editor":[{"dropping-particle":"","family":"Lecture Notes in Earth Sciences","given":"","non-dropping-particle":"","parse-names":false,"suffix":""}],"id":"ITEM-1","issued":{"date-parts":[["2008"]]},"page":"33-64","publisher":"Springer Verlag","title":"The pan-African belt","type":"chapter","volume":"116"},"uris":["http://www.mendeley.com/documents/?uuid=7ec3f732-cf63-3451-9c5d-2e412b6e32f3"]},{"id":"ITEM-2","itemData":{"DOI":"10.1144/SP297.20","ISBN":"9781862392519","abstract":"Broadly synchronous circum-Atlantic Variscan–Alleghanian oroge</w:instrText>
      </w:r>
      <w:r w:rsidRPr="006A3B22">
        <w:rPr>
          <w:rFonts w:ascii="Times New Roman" w:hAnsi="Times New Roman"/>
          <w:lang w:val="en-US"/>
        </w:rPr>
        <w:instrText>nic bel</w:instrText>
      </w:r>
      <w:r w:rsidRPr="00D95593">
        <w:rPr>
          <w:rFonts w:ascii="Times New Roman" w:hAnsi="Times New Roman"/>
          <w:lang w:val="fr-BE"/>
        </w:rPr>
        <w:instrText>ts developed during the Late Palaeozoic Gondwana–Laurentia collision. In the northern part of the West African craton (WAC), the Variscan orogeny produced basement-controlled structures in the Anti-Atlas, which represents the pericratonic foreland, now located south of the Variscan domains of Morocco and north of the Mauritanides belt. New structural field observations document the strong involvement of the basement and the inversion and folding of the Palaeozoic sedimentary basins at the edge the WAC. Two contrasting domains differently responding to regional NW–SE shortening are recognized: (1) a narrow belt along the Atlantic coast characterized by thin-skinned folding and ESE-vergent thrusting (para-autochthonous Anti-Atlas); (2) a large area between the WAC sensu stricto and the South Atlas front showing huge basement uplifts amidst a folded Palaeozoic cover with upright polyharmonic folds (autochthonous Anti-Atlas). The structural trend of the basement inliers is inherited at least in some case from previous Proterozoic fractures. Compressional reactivations led to basement uplift and concomitant folding of the Palaeozoic cover. Cover series are horizontally shortened by mostly upright symmetrical buckle folds of various wavelengths in response to thickness variations between abundant incompetent silt and shale horizons and rare competent carbonate and quartzite beds. Deformation is greatest near the borders of and betw</w:instrText>
      </w:r>
      <w:r w:rsidRPr="00D95593">
        <w:rPr>
          <w:rFonts w:ascii="Times New Roman" w:hAnsi="Times New Roman"/>
          <w:lang w:val="en-US"/>
        </w:rPr>
        <w:instrText>een closely spaced basement uplifts. Regionally, deformation intensity decreases, either abruptly or progressively, towards the SE and it vanishes within the undeformed Tindouf basin.","author":[{"dropping-particle":"","family":"Soulaimani","given":"Abderrahmane","non-dropping-particle":"","parse-names":false,"suffix":""},{"dropping-particle":"","family":"Burkhard","given":"Martin","non-dropping-particle":"","parse-names":false,"suffix":""}],"container-title":"The Boundaries of the West African Craton","editor":[{"dropping-particle":"","family":"Ennih","given":"Nasser","non-dropping-particle":"","parse-names":false,"suffix":""},{"dropping-particle":"","family":"Liégeois","given":"Jean-Paul","non-dropping-particle":"","parse-names":false,"suffix":""}],"id":"ITEM-2","issued":{"date-parts":[["2008","1","1"]]},"page":"0","publisher":"Geological Society of London","title":"The Anti-Atlas chain (Morocco): the southern margin of the Variscan belt along the edge of the West African craton","type":"chapter","volume":"297"},"uris":["http://www.mendeley.com/documents/?uuid=99d4194b-7ede-4b85-838e-c8f9349c0b37"]}],"mendeley":{"formattedCitation":"(Gasquet et al., 2008; Soulaimani and Burkhard, 2008)","plainTextFormattedCitation":"(Gasquet et al., 2008; Soulaimani and Burkhard, 2008)","previouslyFormattedCitation":"(Gasquet et al., 2008; Soulaimani and Burkhard, 2008)"},"properties":{"noteIndex":0},"schema":"https://github.com/citation-style-language/schema/raw/master/csl-citation.json"}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(Gasquet et al., 2008; Soulaimani and Burkhard, 2008)</w:t>
      </w:r>
      <w:r w:rsidRPr="00D95593">
        <w:rPr>
          <w:rFonts w:ascii="Times New Roman" w:hAnsi="Times New Roman"/>
          <w:lang w:val="fr-BE"/>
        </w:rPr>
        <w:fldChar w:fldCharType="end"/>
      </w:r>
      <w:r w:rsidRPr="00D95593">
        <w:rPr>
          <w:rFonts w:ascii="Times New Roman" w:hAnsi="Times New Roman"/>
          <w:lang w:val="en-US"/>
        </w:rPr>
        <w:t xml:space="preserve">. </w:t>
      </w:r>
    </w:p>
    <w:p w14:paraId="364784EB" w14:textId="2D31A4F2"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The Cambrian rocks are exposed at the </w:t>
      </w:r>
      <w:r w:rsidR="00C8622D">
        <w:rPr>
          <w:rFonts w:ascii="Times New Roman" w:hAnsi="Times New Roman"/>
          <w:lang w:val="en-US"/>
        </w:rPr>
        <w:t xml:space="preserve">western </w:t>
      </w:r>
      <w:r w:rsidRPr="00D95593">
        <w:rPr>
          <w:rFonts w:ascii="Times New Roman" w:hAnsi="Times New Roman"/>
          <w:lang w:val="en-US"/>
        </w:rPr>
        <w:t>edge of the inlier, close to the Tassrirt deposit</w:t>
      </w:r>
      <w:r w:rsidR="00F3301E">
        <w:rPr>
          <w:rFonts w:ascii="Times New Roman" w:hAnsi="Times New Roman"/>
          <w:lang w:val="en-US"/>
        </w:rPr>
        <w:t>.</w:t>
      </w:r>
      <w:r w:rsidRPr="00D95593">
        <w:rPr>
          <w:rFonts w:ascii="Times New Roman" w:hAnsi="Times New Roman"/>
          <w:lang w:val="en-US"/>
        </w:rPr>
        <w:t xml:space="preserve"> </w:t>
      </w:r>
      <w:r w:rsidR="00F3301E">
        <w:rPr>
          <w:rFonts w:ascii="Times New Roman" w:hAnsi="Times New Roman"/>
          <w:lang w:val="en-US"/>
        </w:rPr>
        <w:t>They</w:t>
      </w:r>
      <w:r w:rsidR="00F3301E" w:rsidRPr="00D95593">
        <w:rPr>
          <w:rFonts w:ascii="Times New Roman" w:hAnsi="Times New Roman"/>
          <w:lang w:val="en-US"/>
        </w:rPr>
        <w:t xml:space="preserve"> </w:t>
      </w:r>
      <w:r w:rsidRPr="00D95593">
        <w:rPr>
          <w:rFonts w:ascii="Times New Roman" w:hAnsi="Times New Roman"/>
          <w:lang w:val="en-US"/>
        </w:rPr>
        <w:t xml:space="preserve">are affected by different tectonic events, including the Variscan compression, which is responsible for the uplift of the region (Druguet et al., 2015; Gasquet et al., 2008; Soulaimani and Piqué, 2004). The Adoudou Formation (561-524 Ma) </w:t>
      </w:r>
      <w:r w:rsidR="009C2DFA">
        <w:rPr>
          <w:rFonts w:ascii="Times New Roman" w:hAnsi="Times New Roman"/>
          <w:lang w:val="en-US"/>
        </w:rPr>
        <w:t xml:space="preserve">which </w:t>
      </w:r>
      <w:r w:rsidRPr="00D95593">
        <w:rPr>
          <w:rFonts w:ascii="Times New Roman" w:hAnsi="Times New Roman"/>
          <w:lang w:val="en-US"/>
        </w:rPr>
        <w:t>overlies the Ouarzazate Supergroup and the main host formation of the Tassrirt deposit. The</w:t>
      </w:r>
      <w:r w:rsidR="00FA7DD2">
        <w:rPr>
          <w:rFonts w:ascii="Times New Roman" w:hAnsi="Times New Roman"/>
          <w:lang w:val="en-US"/>
        </w:rPr>
        <w:t xml:space="preserve"> stratigraphic</w:t>
      </w:r>
      <w:r w:rsidRPr="00D95593">
        <w:rPr>
          <w:rFonts w:ascii="Times New Roman" w:hAnsi="Times New Roman"/>
          <w:lang w:val="en-US"/>
        </w:rPr>
        <w:t xml:space="preserve"> succession</w:t>
      </w:r>
      <w:r w:rsidR="00FA7DD2">
        <w:rPr>
          <w:rFonts w:ascii="Times New Roman" w:hAnsi="Times New Roman"/>
          <w:lang w:val="en-US"/>
        </w:rPr>
        <w:t xml:space="preserve"> of Adoudou F</w:t>
      </w:r>
      <w:r w:rsidR="0083160C">
        <w:rPr>
          <w:rFonts w:ascii="Times New Roman" w:hAnsi="Times New Roman"/>
          <w:lang w:val="en-US"/>
        </w:rPr>
        <w:t>ormation</w:t>
      </w:r>
      <w:r w:rsidRPr="00D95593">
        <w:rPr>
          <w:rFonts w:ascii="Times New Roman" w:hAnsi="Times New Roman"/>
          <w:lang w:val="en-US"/>
        </w:rPr>
        <w:t xml:space="preserve"> is subdivided into the Tabia and the Tifnout members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{"citationItems":[{"id":"ITEM-1","itemData":{"DOI":"10.1139/e05-062","ISBN":"0008-4077","ISSN":"0008-4077","PMID":"22391","abstract":"We present a delta C-13 record from the Anti-Atlas mountains of Morocco and place it in the context of a detailed regional tectonostratigraphy. We place the litho- and chemostratigraphic record in a temporal framework using precision U-Pb zircon geochronology of ashes interbedded with the same carbonate units that provide delta C-13 data. The variations in delta C-13 of carbonate occur on a wide range of time scales, Suggesting that different mechanisms are involved, including non-steady state release of isotopically depleted carbon reservoirs oil short (&lt;100 000 years) time scales and changes in nutrient recycling and organic carbon burial oil longer (&gt;1 Ma) time scales. Through a correlation with more fossiliferous, albeit condensed, section in Siberia, we examine the pattern of Cyclic delta C-13 variation in the context of the reappearance and diversification of skeletonized metazoa during the Early Cambrian.","author":[{"dropping-particle":"","family":"Maloof","given":"Adam C","non-dropping-particle":"","parse-names":false,"suffix":""},{"dropping-particle":"","family":"Schrag","given":"Daniel P","non-dropping-particle":"","parse-names":false,"suffix":""},{"dropping-particle":"","family":"Crowley","given":"James L","non-dropping-particle":"","parse-names":false,"suffix":""},{"dropping-particle":"","family":"Bowring","given":"Samuel A","non-dropping-particle":"","parse-names":false,"suffix":""}],"container-title":"Canadian Journal of Earth Sciences","id":"ITEM-1","issue":"12","issued":{"date-parts":[["2005"]]},"page":"2195-2216","title":"An expanded record of Early Cambrian carbon cycling from the Anti-Atlas Margin, Morocco","type":"article-journal","volume":"42"},"uris":["http://www.mendeley.com/documents/?uuid=03297050-1448-4068-8a09-77e0dda9f2c7"]}],"mendeley":{"formattedCitation":"(Maloof et al., 2005)","plainTextFormattedCitation":"(Maloof et al., 2005)","previouslyFormattedCitation":"(Maloof et al., 2005)"},"properties":{"noteIndex":0},"schema":"https://github.com/citation-style-language/schema/raw/master/csl-citation.json"}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(Maloof et al., 2005)</w:t>
      </w:r>
      <w:r w:rsidRPr="00D95593">
        <w:rPr>
          <w:rFonts w:ascii="Times New Roman" w:hAnsi="Times New Roman"/>
          <w:lang w:val="fr-BE"/>
        </w:rPr>
        <w:fldChar w:fldCharType="end"/>
      </w:r>
      <w:r w:rsidRPr="00D95593">
        <w:rPr>
          <w:rFonts w:ascii="Times New Roman" w:hAnsi="Times New Roman"/>
          <w:lang w:val="en-US"/>
        </w:rPr>
        <w:t xml:space="preserve"> formerly called Basal Series and Lower Limestone, respectively. The Tabia member (up to 250m thick) is composed of siliceous carbonates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{"citationItems":[{"id":"ITEM-1","itemData":{"DOI":"10.1139/e05-062","ISBN":"0008-4077","ISSN":"0008-4077","PMID":"22391","abstract":"We present a delta C-13 record from the Anti-Atlas mountains of Morocco and place it in the context of a detailed regional tectonostratigraphy. We place the litho- and chemostratigraphic record in a temporal framework using precision U-Pb zircon geochronology of ashes interbedded with the same carbonate units that provide delta C-13 data. The variations in delta C-13 of carbonate occur on a wide range of time scales, Suggesting that different mechanisms are involved, including non-steady state release of isotopically depleted carbon reservoirs oil short (&lt;100 000 years) time scales and changes in nutrient recycling and organic carbon burial oil longer (&gt;1 Ma) time scales. Through a correlation with more fossiliferous, albeit condensed, section in Siberia, we examine the pattern of Cyclic delta C-13 variation in the context of the reappearance and diversification of skeletonized metazoa during the Early Cambrian.","author":[{"dropping-particle":"","family":"Maloof","given":"Adam C","non-dropping-particle":"","parse-names":false,"suffix":""},{"dropping-particle":"","family":"Schrag","given":"Daniel P","non-dropping-particle":"","parse-names":false,"suffix":""},{"dropping-particle":"","family":"Crowley","given":"James L","non-dropping-particle":"","parse-names":false,"suffix":""},{"dropping-particle":"","family":"Bowring","given":"Samuel A","non-dropping-particle":"","parse-names":false,"suffix":""}],"container-title":"Canadian Journal of Earth Sciences","id":"ITEM-1","issue":"12","issued":{"date-parts":[["2005"]]},"page":"2195-2216","title":"An expanded record of Early Cambrian carbon cycling from the Anti-Atlas Margin, Morocco","type":"article-journal","volume":"42"},"uris":["http://www.mendeley.com/documents/?uuid=03297050-1448-4068-8a09-77e0dda9f2c7"]}],"mendeley":{"formattedCitation":"(Maloof et al., 2005)","plainTextFormattedCitation":"(Maloof et al., 2005)","previouslyFormattedCitation":"(Maloof et al., 2005)"},"properties":{"noteIndex":0},"schema":"https://github.com/citation-style-language/schema/raw/master/csl-citation.json"}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(Maloof et al., 2005)</w:t>
      </w:r>
      <w:r w:rsidRPr="00D95593">
        <w:rPr>
          <w:rFonts w:ascii="Times New Roman" w:hAnsi="Times New Roman"/>
          <w:lang w:val="fr-BE"/>
        </w:rPr>
        <w:fldChar w:fldCharType="end"/>
      </w:r>
      <w:r w:rsidRPr="00D95593">
        <w:rPr>
          <w:rFonts w:ascii="Times New Roman" w:hAnsi="Times New Roman"/>
          <w:lang w:val="en-US"/>
        </w:rPr>
        <w:t xml:space="preserve">, siltstones and fluviatile sandstones formed during transgression episodes in a syn-rift to post-rift system. The Tifnout member consists of limestones and dolostones with deeper facies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{"citationItems":[{"id":"ITEM-1","itemData":{"DOI":"https://doi.org/10.1016/j.jafrearsci.2010.08.004","ISSN":"1464-343X","abstract":"Two dissolution surfaces, capped by phosphatic crusts that contain up to 40 wt.% of P2O5, are well exposed in the latest Ediacaran Tabia Member (Adoudou Formation) of the Ouneïn region, High Atlas. Both the Tabia dolostones and capping phosphorites are crosscut by several generations of synsedimentary faults, fissures, and hydrothermal dikes hosting Cu ore bodies, in a scenario of down-faulted blocks. Stratigraphic and facies relationships suggest the preservation of a major pulse of intra-cratonic rifting, responsible for the development of an unstable carbonate platform subjected to sharp uplift and tilting perturbations and dissolution processes, associated with hydrothermal dike-swarm injection. The whole framework is sealed with the Tamjout Bed (Tifnout Member), which marks the end of abundant regional tilting (syn-rift phase) and the beginning of a thermal subsidence-dominated regime (post-rift phase) in the Moroccan margin of West Gondwana.","author":[{"dropping-particle":"","family":"Álvaro","given":"J Javier","non-dropping-particle":"","parse-names":false,"suffix":""},{"dropping-particle":"","family":"Subías","given":"Ignacio","non-dropping-particle":"","parse-names":false,"suffix":""}],"container-title":"Journal of African Earth Sciences","id":"ITEM-1","issue":"1","issued":{"date-parts":[["2011"]]},"page":"51-60","title":"Interplay of phosphogenesis and hydrothermalism in the latest Ediacaran rift of the High Atlas, Morocco","type":"article-journal","volume":"59"},"uris":["http://www.mendeley.com/documents/?uuid=505d79b0-02cc-43ea-b504-e741f0b2c94b"]}],"mendeley":{"formattedCitation":"(Álvaro and Subías, 2011)","plainTextFormattedCitation":"(Álvaro and Subías, 2011)","previouslyFormattedCitation":"(Álvaro and Subías, 2011)"},"properties":{"noteIndex":0},"schema":"https://github.com/citation-style-language/schema/raw/master/csl-citation.json"}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(Álvaro and Subías, 2011)</w:t>
      </w:r>
      <w:r w:rsidRPr="00D95593">
        <w:rPr>
          <w:rFonts w:ascii="Times New Roman" w:hAnsi="Times New Roman"/>
          <w:lang w:val="fr-BE"/>
        </w:rPr>
        <w:fldChar w:fldCharType="end"/>
      </w:r>
      <w:r w:rsidRPr="00D95593">
        <w:rPr>
          <w:rFonts w:ascii="Times New Roman" w:hAnsi="Times New Roman"/>
          <w:lang w:val="en-US"/>
        </w:rPr>
        <w:t xml:space="preserve">. Above the Adoudou Formation lies the “Lie-de-Vin” series made of purplish siltstones related to a tilting in the Anti-Atlas margin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{"citationItems":[{"id":"ITEM-1","itemData":{"DOI":"10.1139/e05-062","ISBN":"0008-4077","ISSN":"0008-4077","PMID":"22391","abstract":"We present a delta C-13 record from the Anti-Atlas mountains of Morocco and place it in the context of a detailed regional tectonostratigraphy. We place the litho- and chemostratigraphic record in a temporal framework using precision U-Pb zircon geochronology of ashes interbedded with the same carbonate units that provide delta C-13 data. The variations in delta C-13 of carbonate occur on a wide range of time scales, Suggesting that different mechanisms are involved, including non-steady state release of isotopically depleted carbon reservoirs oil short (&lt;100 000 years) time scales and changes in nutrient recycling and organic carbon burial oil longer (&gt;1 Ma) time scales. Through a correlation with more fossiliferous, albeit condensed, section in Siberia, we examine the pattern of Cyclic delta C-13 variation in the context of the reappearance and diversification of skeletonized metazoa during the Early Cambrian.","author":[{"dropping-particle":"","family":"Maloof","given":"Adam C","non-dropping-particle":"","parse-names":false,"suffix":""},{"dropping-particle":"","family":"Schrag","given":"Daniel P","non-dropping-particle":"","parse-names":false,"suffix":""},{"dropping-particle":"","family":"Crowley","given":"James L","non-dropping-particle":"","parse-names":false,"suffix":""},{"dropping-particle":"","family":"Bowring","given":"Samuel A","non-dropping-particle":"","parse-names":false,"suffix":""}],"container-title":"Canadian Journal of Earth Sciences","id":"ITEM-1","issue":"12","issued":{"date-parts":[["2005"]]},"page":"2195-2216","title":"An expanded record of Early Cambrian carbon cycling from the Anti-Atlas Margin, Morocco","type":"article-journal","volume":"42"},"uris":["http://www.mendeley.com/documents/?uuid=03297050-1448-4068-8a09-77e0dda9f2c7"]}],"mendeley":{"formattedCitation":"(Maloof et al., 2005)","plainTextFormattedCitation":"(Maloof et al., 2005)","previouslyFormattedCitation":"(Maloof et al., 2005)"},"properties":{"noteIndex":0},"schema":"https://github.com/citation-style-language/schema/raw/master/csl-citation.json"}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(Maloof et al., 2005)</w:t>
      </w:r>
      <w:r w:rsidRPr="00D95593">
        <w:rPr>
          <w:rFonts w:ascii="Times New Roman" w:hAnsi="Times New Roman"/>
          <w:lang w:val="fr-BE"/>
        </w:rPr>
        <w:fldChar w:fldCharType="end"/>
      </w:r>
      <w:r w:rsidRPr="00D95593">
        <w:rPr>
          <w:rFonts w:ascii="Times New Roman" w:hAnsi="Times New Roman"/>
          <w:lang w:val="en-US"/>
        </w:rPr>
        <w:t xml:space="preserve"> but this succession does not </w:t>
      </w:r>
      <w:r w:rsidRPr="00D95593">
        <w:rPr>
          <w:rFonts w:ascii="Times New Roman" w:hAnsi="Times New Roman"/>
          <w:lang w:val="en-US"/>
        </w:rPr>
        <w:lastRenderedPageBreak/>
        <w:t>outcrop in Tassrirt deposit. The primary mineralization at Tassrirt is difficult to observe at the outcrop scale, but it appears to occur as plurimillimiters</w:t>
      </w:r>
      <w:r w:rsidR="00411837">
        <w:rPr>
          <w:rFonts w:ascii="Times New Roman" w:hAnsi="Times New Roman"/>
          <w:lang w:val="en-US"/>
        </w:rPr>
        <w:t xml:space="preserve"> or </w:t>
      </w:r>
      <w:r w:rsidRPr="00D95593">
        <w:rPr>
          <w:rFonts w:ascii="Times New Roman" w:hAnsi="Times New Roman"/>
          <w:lang w:val="en-US"/>
        </w:rPr>
        <w:t>centimeter veins and veinlets and could be related to hydrothermal fluid, as observed in many polymetallic deposits in the Anti-Atlas in the same host rocks (e.g., Ouansimi, Tizert, Agoujgal and Tazalaght deposit; El Basbas et al., 2020, Oummouch et al., 2017; Poot et al., 2020,2026; Verhaert et al., 2020).</w:t>
      </w:r>
    </w:p>
    <w:p w14:paraId="70C2F925" w14:textId="77777777" w:rsidR="00D95593" w:rsidRPr="00D95593" w:rsidRDefault="00D95593" w:rsidP="00D95593">
      <w:pPr>
        <w:spacing w:line="360" w:lineRule="auto"/>
        <w:jc w:val="both"/>
        <w:rPr>
          <w:rFonts w:ascii="Times New Roman" w:hAnsi="Times New Roman"/>
          <w:b/>
          <w:bCs/>
          <w:sz w:val="24"/>
          <w:szCs w:val="24"/>
          <w:lang w:val="en-US"/>
        </w:rPr>
      </w:pPr>
      <w:r w:rsidRPr="00D95593">
        <w:rPr>
          <w:rFonts w:ascii="Times New Roman" w:hAnsi="Times New Roman"/>
          <w:b/>
          <w:bCs/>
          <w:sz w:val="24"/>
          <w:szCs w:val="24"/>
          <w:lang w:val="en-US"/>
        </w:rPr>
        <w:t>3. Material and methods</w:t>
      </w:r>
    </w:p>
    <w:p w14:paraId="02DCEF1D"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Samples were collected in the Tassrirt area (Figure 1B) and selected from surface outcrops, backfills, old galleries and some recent excavations (Figure 2), to get an overall view of host rocks, primary (hypogene) and secondary (supergene) mineralized samples.</w:t>
      </w:r>
    </w:p>
    <w:p w14:paraId="70CDE9F3"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Samples were crushed using stainless steel mortar with Retsch PM 100 planetary ball mills then sieved to 500 µm grain size. X-ray diffraction was carried out on powdered whole rock samples using a PANalytical X’Pert Pro diffractometer and a Phillips PW3710 (CuK</w:t>
      </w:r>
      <w:r w:rsidRPr="00D95593">
        <w:rPr>
          <w:rFonts w:ascii="Times New Roman" w:hAnsi="Times New Roman"/>
          <w:lang w:val="fr-BE"/>
        </w:rPr>
        <w:t>α</w:t>
      </w:r>
      <w:r w:rsidRPr="00D95593">
        <w:rPr>
          <w:rFonts w:ascii="Times New Roman" w:hAnsi="Times New Roman"/>
          <w:lang w:val="en-US"/>
        </w:rPr>
        <w:t xml:space="preserve"> radiation, 40 kV and 30 mA) at the PC2 platform (University of Namur). Resulting data were analyzed using the International Centre for Diffraction Data (ICDD) software and the 2019 PDF-2 (Powder Diffraction Files) database. Geochemical analyses were carried out on twenty-three representative samples sieved at 125 </w:t>
      </w:r>
      <w:r w:rsidRPr="00D95593">
        <w:rPr>
          <w:rFonts w:ascii="Times New Roman" w:hAnsi="Times New Roman"/>
          <w:lang w:val="fr-BE"/>
        </w:rPr>
        <w:t>μ</w:t>
      </w:r>
      <w:r w:rsidRPr="00D95593">
        <w:rPr>
          <w:rFonts w:ascii="Times New Roman" w:hAnsi="Times New Roman"/>
          <w:lang w:val="en-US"/>
        </w:rPr>
        <w:t>m grain size by Activation Laboratories Ltd. (Actlabs, Ancaster, ON, Canada). Rare earth elements were measured using fusion mass spectrometry (FUS-MS), while major elements were quantified by  Inductively Coupled Plasma - Optical Emission Spectrometry (ICP-OES). Reduced iron (FeO) concentrations were determined by titration. Trace elements were mainly analyzed by FUS-MS; except for Cu, Zn, As, Sb, and Pb that are quantified in wt.% than in ppm by fusion inductively coupled plasma with sodium peroxide oxidation (FUS-Na</w:t>
      </w:r>
      <w:r w:rsidRPr="00D95593">
        <w:rPr>
          <w:rFonts w:ascii="Times New Roman" w:hAnsi="Times New Roman"/>
          <w:vertAlign w:val="subscript"/>
          <w:lang w:val="en-US"/>
        </w:rPr>
        <w:t>2</w:t>
      </w:r>
      <w:r w:rsidRPr="00D95593">
        <w:rPr>
          <w:rFonts w:ascii="Times New Roman" w:hAnsi="Times New Roman"/>
          <w:lang w:val="en-US"/>
        </w:rPr>
        <w:t>O</w:t>
      </w:r>
      <w:r w:rsidRPr="00D95593">
        <w:rPr>
          <w:rFonts w:ascii="Times New Roman" w:hAnsi="Times New Roman"/>
          <w:vertAlign w:val="subscript"/>
          <w:lang w:val="en-US"/>
        </w:rPr>
        <w:t>2</w:t>
      </w:r>
      <w:r w:rsidRPr="00D95593">
        <w:rPr>
          <w:rFonts w:ascii="Times New Roman" w:hAnsi="Times New Roman"/>
          <w:lang w:val="en-US"/>
        </w:rPr>
        <w:t xml:space="preserve">) and Ag by ICP-OES for concentrations above 200 ppm. All major and trace elements data were normalized to upper continental crust (UCC) composition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{"citationItems":[{"id":"ITEM-1","itemData":{"DOI":"10.1029/95RG00262","ISSN":"8755-1209","abstract":"A survey is given of the dimensions and composition of the present continental crust. The abundances of immobile elements in sedimentary rocks are used to establish upper crustal composition. The present upper crustal composition is attributed largely to intracrustal differentiation resulting in the production of granites senso lato. Underplating of the crust by ponded basaltic magmas is probably a major source of heat for intracrustal differentiation. The contrast between the present upper crustal composition and that of the Archean upper crust is emphasized. The nature of the lower crust is examined in the light of evidence from granulites and xenoliths of lower crustal origin. It appears that the protoliths of most granulite facies exposures are more representative of upper or middle crust and that the lower crust has a much more basic composition than the exposed upper crust. There is growing consensus that the crust grows episodically, and it is concluded that at least 60% of the crust was emplaced by the late Archean (ca. 2.7 eons, or 2.7 Ga). There appears to be a relationship between episodes of continental growth and differentiation and supercontinental cycles, probably dating back at least to the late Archean. However, such cycles do not explain the contrast in crustal compositions between Archean and post‐Archean. Mechanisms for deriving the crust from the mantle are considered, including the role of present‐day plate tectonics and subduction zones. It is concluded that a somewhat different tectonic regime operated in the Archean and was responsible for the growth of much of the contin</w:instrText>
      </w:r>
      <w:r w:rsidRPr="00D95593">
        <w:rPr>
          <w:rFonts w:ascii="Times New Roman" w:hAnsi="Times New Roman"/>
          <w:lang w:val="fr-BE"/>
        </w:rPr>
        <w:instrText>ental crust. Archean tonalites and trond‐hjemites may have resulted from slab melting and/or from melting of the Archean mantle wedge but at low pressures and high temperatures analogous to modern boninites. In contrast, most andesites and subduction‐relate</w:instrText>
      </w:r>
      <w:r w:rsidRPr="00D95593">
        <w:rPr>
          <w:rFonts w:ascii="Times New Roman" w:hAnsi="Times New Roman"/>
          <w:lang w:val="en-US"/>
        </w:rPr>
        <w:instrText>d rocks, now the main contributors to crustal growth, are derived ultimately from the mantle wedge above subduction zones. The cause of the contrast between the processes responsible for Archean and post‐Archean crustal growth is attributed to faster subduction of younger, hotter oceanic crust in the Archean (ultimately due to higher heat flow) compared with subduction of older, cooler oceanic crust in more recent times. A brief survey of the causes of continental breakup reveals that neither plume nor lithospheric stretching is a totally satisfactory explanation. Speculations are presented about crustal devel…","author":[{"dropping-particle":"","family":"Taylor","given":"Stuart Ross","non-dropping-particle":"","parse-names":false,"suffix":""},{"dropping-particle":"","family":"McLennan","given":"Scott M.","non-dropping-particle":"","parse-names":false,"suffix":""}],"container-title":"Reviews of Geophysics","id":"ITEM-1","issue":"2","issued":{"date-parts":[["1995","5","14"]]},"page":"241-265","title":"The geochemical evolution of the continental crust","type":"article-journal","volume":"33"},"uris":["http://www.mendeley.com/documents/?uuid=cd0e83db-030c-3b18-9974-fd6f697115d3"]}],"mendeley":{"formattedCitation":"(Taylor and McLennan, 1995)","plainTextFormattedCitation":"(Taylor and McLennan, 1995)","previouslyFormattedCitation":"(Taylor and McLennan, 1995)"},"properties":{"noteIndex":0},"schema":"https://github.com/citation-style-language/schema/raw/master/csl-citation.json"}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(Taylor and McLennan, 1995)</w:t>
      </w:r>
      <w:r w:rsidRPr="00D95593">
        <w:rPr>
          <w:rFonts w:ascii="Times New Roman" w:hAnsi="Times New Roman"/>
          <w:lang w:val="fr-BE"/>
        </w:rPr>
        <w:fldChar w:fldCharType="end"/>
      </w:r>
      <w:r w:rsidRPr="00D95593">
        <w:rPr>
          <w:rFonts w:ascii="Times New Roman" w:hAnsi="Times New Roman"/>
          <w:lang w:val="en-US"/>
        </w:rPr>
        <w:t>.</w:t>
      </w:r>
    </w:p>
    <w:p w14:paraId="2694F4E2"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Samples 17TAS09, 18TAS15A and 18TAS15B (alunite) were selected for K-Ar dating after bulk XRD and geochemical analyses. Polished sections were examined using a JEOL JSM-7500F scanning electron microscope (SEM) equipped with an energy dispersive electron spectrometer (EDS) to confirm the absence of K-contaminant phases, particularly muscovite inherited from host rocks. Material was extracted from central portions of some irregular veinlets to minimize contamination by other K-bearing minerals. </w:t>
      </w:r>
    </w:p>
    <w:p w14:paraId="3B835858"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After this preliminary analysis, samples were crushed to obtain fragments before K-Ar analysis by Actlabs. Aliquots were weighed into aluminum container, loaded into extraction system, and degassed at ~100°C for two days. Argon is then extracted in a double vacuum furnace at 1700°C. Radiogenic argon contents were determined twice using a MI-1201 IG mass spectrometer by isotope-dilution, employing a </w:t>
      </w:r>
      <w:r w:rsidRPr="00D95593">
        <w:rPr>
          <w:rFonts w:ascii="Times New Roman" w:hAnsi="Times New Roman"/>
          <w:vertAlign w:val="superscript"/>
          <w:lang w:val="en-US"/>
        </w:rPr>
        <w:t>38</w:t>
      </w:r>
      <w:r w:rsidRPr="00D95593">
        <w:rPr>
          <w:rFonts w:ascii="Times New Roman" w:hAnsi="Times New Roman"/>
          <w:lang w:val="en-US"/>
        </w:rPr>
        <w:t>Ar spike introduced prior to each extraction. Extracted gases were purified into a two-</w:t>
      </w:r>
      <w:r w:rsidRPr="00D95593">
        <w:rPr>
          <w:rFonts w:ascii="Times New Roman" w:hAnsi="Times New Roman"/>
          <w:lang w:val="en-US"/>
        </w:rPr>
        <w:lastRenderedPageBreak/>
        <w:t xml:space="preserve">step cleanup system before being introduced into the custom-built magnetic sector mass spectrometer (Reynolds type). Duplicate measurements were performed to ensure analytical reproducibility. Calibration of the </w:t>
      </w:r>
      <w:r w:rsidRPr="00D95593">
        <w:rPr>
          <w:rFonts w:ascii="Times New Roman" w:hAnsi="Times New Roman"/>
          <w:vertAlign w:val="superscript"/>
          <w:lang w:val="en-US"/>
        </w:rPr>
        <w:t>38</w:t>
      </w:r>
      <w:r w:rsidRPr="00D95593">
        <w:rPr>
          <w:rFonts w:ascii="Times New Roman" w:hAnsi="Times New Roman"/>
          <w:lang w:val="en-US"/>
        </w:rPr>
        <w:t xml:space="preserve">Ar spike used two internationally recognized standards : Bern 4M Muscovite (18.6 ± 0.4 Ma; alternatively, P-207 Muscovite) and 1/65 "Asia" rhyolite matrix (262.7 ± 1.0 Ma) (Verhaert, 2020). For potassium analysis, samples aliquots were weighted into graphite crucible fused with a lithium metaborate/tetraborate flux using a LECO induction furnace, and the resulting fusion bead was dissolved in acid. Standards, blanks and samples were analyzed using an ICP Spectrometer. For age calculations, internationally accepted decay constants were used as follows: </w:t>
      </w:r>
      <w:r w:rsidRPr="00D95593">
        <w:rPr>
          <w:rFonts w:ascii="Times New Roman" w:hAnsi="Times New Roman"/>
          <w:vertAlign w:val="superscript"/>
          <w:lang w:val="en-US"/>
        </w:rPr>
        <w:t>40</w:t>
      </w:r>
      <w:r w:rsidRPr="00D95593">
        <w:rPr>
          <w:rFonts w:ascii="Times New Roman" w:hAnsi="Times New Roman"/>
          <w:lang w:val="en-US"/>
        </w:rPr>
        <w:t>K</w:t>
      </w:r>
      <w:r w:rsidRPr="00D95593">
        <w:rPr>
          <w:rFonts w:ascii="Times New Roman" w:hAnsi="Times New Roman"/>
          <w:lang w:val="fr-BE"/>
        </w:rPr>
        <w:t>λ</w:t>
      </w:r>
      <w:r w:rsidRPr="00D95593">
        <w:rPr>
          <w:rFonts w:ascii="Times New Roman" w:hAnsi="Times New Roman"/>
          <w:vertAlign w:val="subscript"/>
          <w:lang w:val="en-US"/>
        </w:rPr>
        <w:t xml:space="preserve">K </w:t>
      </w:r>
      <w:r w:rsidRPr="00D95593">
        <w:rPr>
          <w:rFonts w:ascii="Times New Roman" w:hAnsi="Times New Roman"/>
          <w:lang w:val="en-US"/>
        </w:rPr>
        <w:t>= 0.581 x 10</w:t>
      </w:r>
      <w:r w:rsidRPr="00D95593">
        <w:rPr>
          <w:rFonts w:ascii="Times New Roman" w:hAnsi="Times New Roman"/>
          <w:vertAlign w:val="superscript"/>
          <w:lang w:val="en-US"/>
        </w:rPr>
        <w:t>-10</w:t>
      </w:r>
      <w:r w:rsidRPr="00D95593">
        <w:rPr>
          <w:rFonts w:ascii="Times New Roman" w:hAnsi="Times New Roman"/>
          <w:lang w:val="en-US"/>
        </w:rPr>
        <w:t>y</w:t>
      </w:r>
      <w:r w:rsidRPr="00D95593">
        <w:rPr>
          <w:rFonts w:ascii="Times New Roman" w:hAnsi="Times New Roman"/>
          <w:vertAlign w:val="superscript"/>
          <w:lang w:val="en-US"/>
        </w:rPr>
        <w:t>-1</w:t>
      </w:r>
      <w:r w:rsidRPr="00D95593">
        <w:rPr>
          <w:rFonts w:ascii="Times New Roman" w:hAnsi="Times New Roman"/>
          <w:lang w:val="en-US"/>
        </w:rPr>
        <w:t xml:space="preserve">, </w:t>
      </w:r>
      <w:r w:rsidRPr="00D95593">
        <w:rPr>
          <w:rFonts w:ascii="Times New Roman" w:hAnsi="Times New Roman"/>
          <w:vertAlign w:val="superscript"/>
          <w:lang w:val="en-US"/>
        </w:rPr>
        <w:t>40</w:t>
      </w:r>
      <w:r w:rsidRPr="00D95593">
        <w:rPr>
          <w:rFonts w:ascii="Times New Roman" w:hAnsi="Times New Roman"/>
          <w:lang w:val="en-US"/>
        </w:rPr>
        <w:t xml:space="preserve">K </w:t>
      </w:r>
      <w:r w:rsidRPr="00D95593">
        <w:rPr>
          <w:rFonts w:ascii="Times New Roman" w:hAnsi="Times New Roman"/>
          <w:lang w:val="fr-BE"/>
        </w:rPr>
        <w:t>λ</w:t>
      </w:r>
      <w:r w:rsidRPr="00D95593">
        <w:rPr>
          <w:rFonts w:ascii="Times New Roman" w:hAnsi="Times New Roman"/>
          <w:vertAlign w:val="subscript"/>
          <w:lang w:val="fr-BE"/>
        </w:rPr>
        <w:t>β</w:t>
      </w:r>
      <w:r w:rsidRPr="00D95593">
        <w:rPr>
          <w:rFonts w:ascii="Times New Roman" w:hAnsi="Times New Roman"/>
          <w:lang w:val="en-US"/>
        </w:rPr>
        <w:t>=4.962 x 10</w:t>
      </w:r>
      <w:r w:rsidRPr="00D95593">
        <w:rPr>
          <w:rFonts w:ascii="Times New Roman" w:hAnsi="Times New Roman"/>
          <w:vertAlign w:val="superscript"/>
          <w:lang w:val="en-US"/>
        </w:rPr>
        <w:t xml:space="preserve">-10 </w:t>
      </w:r>
      <w:r w:rsidRPr="00D95593">
        <w:rPr>
          <w:rFonts w:ascii="Times New Roman" w:hAnsi="Times New Roman"/>
          <w:lang w:val="en-US"/>
        </w:rPr>
        <w:t>y</w:t>
      </w:r>
      <w:r w:rsidRPr="00D95593">
        <w:rPr>
          <w:rFonts w:ascii="Times New Roman" w:hAnsi="Times New Roman"/>
          <w:vertAlign w:val="superscript"/>
          <w:lang w:val="en-US"/>
        </w:rPr>
        <w:t>-1</w:t>
      </w:r>
      <w:r w:rsidRPr="00D95593">
        <w:rPr>
          <w:rFonts w:ascii="Times New Roman" w:hAnsi="Times New Roman"/>
          <w:lang w:val="en-US"/>
        </w:rPr>
        <w:t xml:space="preserve">, and the isotopic abundance of </w:t>
      </w:r>
      <w:r w:rsidRPr="00D95593">
        <w:rPr>
          <w:rFonts w:ascii="Times New Roman" w:hAnsi="Times New Roman"/>
          <w:vertAlign w:val="superscript"/>
          <w:lang w:val="en-US"/>
        </w:rPr>
        <w:t>40</w:t>
      </w:r>
      <w:r w:rsidRPr="00D95593">
        <w:rPr>
          <w:rFonts w:ascii="Times New Roman" w:hAnsi="Times New Roman"/>
          <w:lang w:val="en-US"/>
        </w:rPr>
        <w:t xml:space="preserve">K=0.01167 </w:t>
      </w:r>
      <w:r w:rsidRPr="00D95593">
        <w:rPr>
          <w:rFonts w:ascii="Times New Roman" w:hAnsi="Times New Roman"/>
          <w:lang w:val="fr-BE"/>
        </w:rPr>
        <w:t>а</w:t>
      </w:r>
      <w:r w:rsidRPr="00D95593">
        <w:rPr>
          <w:rFonts w:ascii="Times New Roman" w:hAnsi="Times New Roman"/>
          <w:lang w:val="en-US"/>
        </w:rPr>
        <w:t xml:space="preserve">t.%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{"citationItems":[{"id":"ITEM-1","itemData":{"author":[{"dropping-particle":"","family":"Allègre","given":"J.C.","non-dropping-particle":"","parse-names":false,"suffix":""}],"id":"ITEM-1","issued":{"date-parts":[["2008"]]},"number-of-pages":"534","publisher":"Cambridge University Press","title":"Isotope Geology","type":"book"},"uris":["http://www.mendeley.com/documents/?uuid=60c3aaba-8fa8-4961-9fdc-e90efb13dfb1"]}],"mendeley":{"formattedCitation":"(Allègre, 2008)","plainTextFormattedCitation":"(Allègre, 2008)","previouslyFormattedCitation":"(Allègre, 2008)"},"properties":{"noteIndex":0},"schema":"https://github.com/citation-style-language/schema/raw/master/csl-citation.json"}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(Allègre, 2008)</w:t>
      </w:r>
      <w:r w:rsidRPr="00D95593">
        <w:rPr>
          <w:rFonts w:ascii="Times New Roman" w:hAnsi="Times New Roman"/>
          <w:lang w:val="fr-BE"/>
        </w:rPr>
        <w:fldChar w:fldCharType="end"/>
      </w:r>
      <w:r w:rsidRPr="00D95593">
        <w:rPr>
          <w:rFonts w:ascii="Times New Roman" w:hAnsi="Times New Roman"/>
          <w:lang w:val="en-US"/>
        </w:rPr>
        <w:t xml:space="preserve">. These K/Ar datation provide the first geochronological information to estimate the timing of weathering processes at the Tassrirt deposit. New further investigation, such as (U-Th)/He dating of goethite (Yans et al., 2021) or </w:t>
      </w:r>
      <w:r w:rsidRPr="00D95593">
        <w:rPr>
          <w:rFonts w:ascii="Times New Roman" w:hAnsi="Times New Roman"/>
          <w:vertAlign w:val="superscript"/>
          <w:lang w:val="en-US"/>
        </w:rPr>
        <w:t>40</w:t>
      </w:r>
      <w:r w:rsidRPr="00D95593">
        <w:rPr>
          <w:rFonts w:ascii="Times New Roman" w:hAnsi="Times New Roman"/>
          <w:lang w:val="en-US"/>
        </w:rPr>
        <w:t>Ar/</w:t>
      </w:r>
      <w:r w:rsidRPr="00D95593">
        <w:rPr>
          <w:rFonts w:ascii="Times New Roman" w:hAnsi="Times New Roman"/>
          <w:vertAlign w:val="superscript"/>
          <w:lang w:val="en-US"/>
        </w:rPr>
        <w:t>39</w:t>
      </w:r>
      <w:r w:rsidRPr="00D95593">
        <w:rPr>
          <w:rFonts w:ascii="Times New Roman" w:hAnsi="Times New Roman"/>
          <w:lang w:val="en-US"/>
        </w:rPr>
        <w:t>Ar dating of alunite, may be carried out in the future.</w:t>
      </w:r>
    </w:p>
    <w:p w14:paraId="38E1046E" w14:textId="77777777" w:rsidR="00D95593" w:rsidRPr="00D95593" w:rsidRDefault="00D95593" w:rsidP="00D95593">
      <w:pPr>
        <w:spacing w:line="360" w:lineRule="auto"/>
        <w:jc w:val="both"/>
        <w:rPr>
          <w:rFonts w:ascii="Times New Roman" w:hAnsi="Times New Roman"/>
          <w:b/>
          <w:bCs/>
          <w:sz w:val="24"/>
          <w:szCs w:val="24"/>
          <w:lang w:val="en-US"/>
        </w:rPr>
      </w:pPr>
      <w:r w:rsidRPr="00D95593">
        <w:rPr>
          <w:rFonts w:ascii="Times New Roman" w:hAnsi="Times New Roman"/>
          <w:b/>
          <w:bCs/>
          <w:sz w:val="24"/>
          <w:szCs w:val="24"/>
          <w:lang w:val="en-US"/>
        </w:rPr>
        <w:t>4. Results</w:t>
      </w:r>
    </w:p>
    <w:p w14:paraId="2B73CF59" w14:textId="77777777" w:rsidR="00D95593" w:rsidRPr="00D95593" w:rsidRDefault="00D95593" w:rsidP="00D95593">
      <w:pPr>
        <w:spacing w:line="360" w:lineRule="auto"/>
        <w:jc w:val="both"/>
        <w:rPr>
          <w:rFonts w:ascii="Times New Roman" w:hAnsi="Times New Roman"/>
          <w:i/>
          <w:iCs/>
          <w:sz w:val="24"/>
          <w:szCs w:val="24"/>
          <w:lang w:val="en-US"/>
        </w:rPr>
      </w:pPr>
      <w:r w:rsidRPr="00D95593">
        <w:rPr>
          <w:rFonts w:ascii="Times New Roman" w:hAnsi="Times New Roman"/>
          <w:i/>
          <w:iCs/>
          <w:sz w:val="24"/>
          <w:szCs w:val="24"/>
          <w:lang w:val="en-US"/>
        </w:rPr>
        <w:t>4.1 Host rocks</w:t>
      </w:r>
    </w:p>
    <w:p w14:paraId="14E64594"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Host rocks of the Adoudou Formation have been sampled i) in the western part of the deposit and ii) outside the deposit to obtain both proximal and distal samples from the mineralization site. Most of these rocks come from the Basal Serie or the Tamjout Dolomite, which include siltstones, sandstones (Figure 3A), dolomite (Figure 3B) and Kerdous granite (Figure 3C). X-ray diffraction and petrographic results show that the whitish siltstone (18TAS34) is mostly made of quartz, muscovite and feldspars, and low proportion of kaolinite. The greyish siltstone (18TAS56) shows rather similar mineralogy with the presence of quartz, feldspars, muscovite and chlorite (Figure 3D). This sample contains 71.4 wt.% of SiO</w:t>
      </w:r>
      <w:r w:rsidRPr="00D95593">
        <w:rPr>
          <w:rFonts w:ascii="Times New Roman" w:hAnsi="Times New Roman"/>
          <w:vertAlign w:val="subscript"/>
          <w:lang w:val="en-US"/>
        </w:rPr>
        <w:t>2</w:t>
      </w:r>
      <w:r w:rsidRPr="00D95593">
        <w:rPr>
          <w:rFonts w:ascii="Times New Roman" w:hAnsi="Times New Roman"/>
          <w:lang w:val="en-US"/>
        </w:rPr>
        <w:t>, 15.6 wt.% of Al</w:t>
      </w:r>
      <w:r w:rsidRPr="00D95593">
        <w:rPr>
          <w:rFonts w:ascii="Times New Roman" w:hAnsi="Times New Roman"/>
          <w:vertAlign w:val="subscript"/>
          <w:lang w:val="en-US"/>
        </w:rPr>
        <w:t>2</w:t>
      </w:r>
      <w:r w:rsidRPr="00D95593">
        <w:rPr>
          <w:rFonts w:ascii="Times New Roman" w:hAnsi="Times New Roman"/>
          <w:lang w:val="en-US"/>
        </w:rPr>
        <w:t>O</w:t>
      </w:r>
      <w:r w:rsidRPr="00D95593">
        <w:rPr>
          <w:rFonts w:ascii="Times New Roman" w:hAnsi="Times New Roman"/>
          <w:vertAlign w:val="subscript"/>
          <w:lang w:val="en-US"/>
        </w:rPr>
        <w:t>3</w:t>
      </w:r>
      <w:r w:rsidRPr="00D95593">
        <w:rPr>
          <w:rFonts w:ascii="Times New Roman" w:hAnsi="Times New Roman"/>
          <w:lang w:val="en-US"/>
        </w:rPr>
        <w:t xml:space="preserve"> and 4.83 wt.% K</w:t>
      </w:r>
      <w:r w:rsidRPr="00D95593">
        <w:rPr>
          <w:rFonts w:ascii="Times New Roman" w:hAnsi="Times New Roman"/>
          <w:vertAlign w:val="subscript"/>
          <w:lang w:val="en-US"/>
        </w:rPr>
        <w:t>2</w:t>
      </w:r>
      <w:r w:rsidRPr="00D95593">
        <w:rPr>
          <w:rFonts w:ascii="Times New Roman" w:hAnsi="Times New Roman"/>
          <w:lang w:val="en-US"/>
        </w:rPr>
        <w:t>O (ESM1). A low proportion of iron oxides are also observed (Fe</w:t>
      </w:r>
      <w:r w:rsidRPr="00D95593">
        <w:rPr>
          <w:rFonts w:ascii="Times New Roman" w:hAnsi="Times New Roman"/>
          <w:vertAlign w:val="subscript"/>
          <w:lang w:val="en-US"/>
        </w:rPr>
        <w:t>2</w:t>
      </w:r>
      <w:r w:rsidRPr="00D95593">
        <w:rPr>
          <w:rFonts w:ascii="Times New Roman" w:hAnsi="Times New Roman"/>
          <w:lang w:val="en-US"/>
        </w:rPr>
        <w:t>O</w:t>
      </w:r>
      <w:r w:rsidRPr="00D95593">
        <w:rPr>
          <w:rFonts w:ascii="Times New Roman" w:hAnsi="Times New Roman"/>
          <w:vertAlign w:val="subscript"/>
          <w:lang w:val="en-US"/>
        </w:rPr>
        <w:t>3</w:t>
      </w:r>
      <w:r w:rsidRPr="00D95593">
        <w:rPr>
          <w:rFonts w:ascii="Times New Roman" w:hAnsi="Times New Roman"/>
          <w:lang w:val="en-US"/>
        </w:rPr>
        <w:t xml:space="preserve"> 1.16 wt.%). Reddish sandstone (18TAS57) contains quartz, muscovite, chlorite, calcite and hematite (Figure 3E). In the other sandstone/siltstone samples, calcite is not observed. This last observation is confirmed by geochemical analyses with 4.5 wt.% MgO and 9.9 wt.% CaO for the reddish siltstone. The dolomite sample shows some quartz in addition to dolomite. The Kerdous granite contains quartz, muscovite, chlorite, feldspars (mostly Na-plagioclases) and biotite (Figure 3F). Chlorite is partially observed as replacement of biotite.</w:t>
      </w:r>
    </w:p>
    <w:p w14:paraId="6107F3BD"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Host rocks are all enriched in As, Sb and Ag compared to the Upper Continental Crust (UCC)(Figure 4A). The dolomite sample shows depletion for almost all elements while other host rocks have concentration like UCC. Rare Earth Elements (REE) patterns are flat (Figure 4B) and close to UCC values; except for the dolomite that shows a slight depletion in LREE.</w:t>
      </w:r>
    </w:p>
    <w:p w14:paraId="091E839D" w14:textId="77777777" w:rsidR="00D95593" w:rsidRPr="00D95593" w:rsidRDefault="00D95593" w:rsidP="00D95593">
      <w:pPr>
        <w:spacing w:line="360" w:lineRule="auto"/>
        <w:jc w:val="both"/>
        <w:rPr>
          <w:rFonts w:ascii="Times New Roman" w:hAnsi="Times New Roman"/>
          <w:i/>
          <w:iCs/>
          <w:sz w:val="24"/>
          <w:szCs w:val="24"/>
          <w:lang w:val="en-US"/>
        </w:rPr>
      </w:pPr>
      <w:r w:rsidRPr="00D95593">
        <w:rPr>
          <w:rFonts w:ascii="Times New Roman" w:hAnsi="Times New Roman"/>
          <w:i/>
          <w:iCs/>
          <w:sz w:val="24"/>
          <w:szCs w:val="24"/>
          <w:lang w:val="en-US"/>
        </w:rPr>
        <w:t>4.2 Primary mineralization</w:t>
      </w:r>
    </w:p>
    <w:p w14:paraId="72ABCB5D"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lastRenderedPageBreak/>
        <w:t>Primary mineralization alone is difficult to observe from our subsurface sampling and is frequently associated with secondary mineralization but seems to appear as veins and veinlets within host rocks, especially in Tamjout Dolomite and the upper part of the Basal Serie (Figure 1C). Primary mineralization mainly consists of chalcopyrite (CuFeS</w:t>
      </w:r>
      <w:r w:rsidRPr="00D95593">
        <w:rPr>
          <w:rFonts w:ascii="Times New Roman" w:hAnsi="Times New Roman"/>
          <w:vertAlign w:val="subscript"/>
          <w:lang w:val="en-US"/>
        </w:rPr>
        <w:t>2</w:t>
      </w:r>
      <w:r w:rsidRPr="00D95593">
        <w:rPr>
          <w:rFonts w:ascii="Times New Roman" w:hAnsi="Times New Roman"/>
          <w:lang w:val="en-US"/>
        </w:rPr>
        <w:t>) (Figures 5A,B), sphalerite (Zn,Fe)S (Figure 5A), tennantite [Cu,Zn,Fe)</w:t>
      </w:r>
      <w:r w:rsidRPr="00D95593">
        <w:rPr>
          <w:rFonts w:ascii="Times New Roman" w:hAnsi="Times New Roman"/>
          <w:vertAlign w:val="subscript"/>
          <w:lang w:val="en-US"/>
        </w:rPr>
        <w:t>12</w:t>
      </w:r>
      <w:r w:rsidRPr="00D95593">
        <w:rPr>
          <w:rFonts w:ascii="Times New Roman" w:hAnsi="Times New Roman"/>
          <w:lang w:val="en-US"/>
        </w:rPr>
        <w:t>As</w:t>
      </w:r>
      <w:r w:rsidRPr="00D95593">
        <w:rPr>
          <w:rFonts w:ascii="Times New Roman" w:hAnsi="Times New Roman"/>
          <w:vertAlign w:val="subscript"/>
          <w:lang w:val="en-US"/>
        </w:rPr>
        <w:t>4</w:t>
      </w:r>
      <w:r w:rsidRPr="00D95593">
        <w:rPr>
          <w:rFonts w:ascii="Times New Roman" w:hAnsi="Times New Roman"/>
          <w:lang w:val="en-US"/>
        </w:rPr>
        <w:t>S</w:t>
      </w:r>
      <w:r w:rsidRPr="00D95593">
        <w:rPr>
          <w:rFonts w:ascii="Times New Roman" w:hAnsi="Times New Roman"/>
          <w:vertAlign w:val="subscript"/>
          <w:lang w:val="en-US"/>
        </w:rPr>
        <w:t>13</w:t>
      </w:r>
      <w:r w:rsidRPr="00D95593">
        <w:rPr>
          <w:rFonts w:ascii="Times New Roman" w:hAnsi="Times New Roman"/>
          <w:lang w:val="en-US"/>
        </w:rPr>
        <w:t>] (Figure 5B) and octahedral pyrite (FeS</w:t>
      </w:r>
      <w:r w:rsidRPr="00D95593">
        <w:rPr>
          <w:rFonts w:ascii="Times New Roman" w:hAnsi="Times New Roman"/>
          <w:vertAlign w:val="subscript"/>
          <w:lang w:val="en-US"/>
        </w:rPr>
        <w:t>2</w:t>
      </w:r>
      <w:r w:rsidRPr="00D95593">
        <w:rPr>
          <w:rFonts w:ascii="Times New Roman" w:hAnsi="Times New Roman"/>
          <w:lang w:val="en-US"/>
        </w:rPr>
        <w:t>) (Figure 5C); the latter is abundant in the Tamjout Dolomite and sometimes partially oxidized. Chalcopyrite is also observed within pyrite (Figure 5C), while tennantite and sphalerite are generally intersecting chalcopyrite (Figure 5A,B). Zn-content can reach up to 4 wt.% in tennantite (EDX data). Rare stromeyerite (AgCuS) is also observed (Figure 5D).</w:t>
      </w:r>
    </w:p>
    <w:p w14:paraId="43A5AADE"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Whole rock samples containing primary mineralization are enriched in Cu (160 wt.ppm - 2.06 wt.%), Zn (40 to 1170 ppm), Co (up to 594 ppm) and As (37-193 ppm) compared to UCC (Figure 4A, ESM1). Sample 18TAS91 (dolomite) also shows a slight enrichment in Pb (97ppm). REE patterns are depleted compared to UCC, some samples show an enrichment in middle REE (Figure 4B). Note that primary mineralization is already slightly oxidized and there are therefore some minor secondary minerals in these whole rock samples (Figure 5).</w:t>
      </w:r>
    </w:p>
    <w:p w14:paraId="4598D8B2" w14:textId="77777777" w:rsidR="00D95593" w:rsidRPr="00D95593" w:rsidRDefault="00D95593" w:rsidP="00D95593">
      <w:pPr>
        <w:spacing w:line="360" w:lineRule="auto"/>
        <w:jc w:val="both"/>
        <w:rPr>
          <w:rFonts w:ascii="Times New Roman" w:hAnsi="Times New Roman"/>
          <w:i/>
          <w:iCs/>
          <w:sz w:val="24"/>
          <w:szCs w:val="24"/>
          <w:lang w:val="en-US"/>
        </w:rPr>
      </w:pPr>
      <w:r w:rsidRPr="00D95593">
        <w:rPr>
          <w:rFonts w:ascii="Times New Roman" w:hAnsi="Times New Roman"/>
          <w:i/>
          <w:iCs/>
          <w:sz w:val="24"/>
          <w:szCs w:val="24"/>
          <w:lang w:val="en-US"/>
        </w:rPr>
        <w:t>4.3 Secondary mineralization</w:t>
      </w:r>
    </w:p>
    <w:p w14:paraId="13BDFA89"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4.3.1 Cu-Zn mineralization</w:t>
      </w:r>
    </w:p>
    <w:p w14:paraId="7A411363"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Tassrirt secondary mineralization is mostly represented by many Cu and Zn minerals (carbonates, silicates, sulfides, sulfates, phosphates, arsenates, oxides) in Tamjout Dolomite and the upper part of the Basal Serie (Figure 1C). The main minerals are shown in Figure 6 and geochemical data in Figure 7.</w:t>
      </w:r>
    </w:p>
    <w:p w14:paraId="2D91B0F5"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Malachite [Cu</w:t>
      </w:r>
      <w:r w:rsidRPr="00D95593">
        <w:rPr>
          <w:rFonts w:ascii="Times New Roman" w:hAnsi="Times New Roman"/>
          <w:vertAlign w:val="subscript"/>
          <w:lang w:val="en-US"/>
        </w:rPr>
        <w:t>2</w:t>
      </w:r>
      <w:r w:rsidRPr="00D95593">
        <w:rPr>
          <w:rFonts w:ascii="Times New Roman" w:hAnsi="Times New Roman"/>
          <w:lang w:val="en-US"/>
        </w:rPr>
        <w:t>(CO</w:t>
      </w:r>
      <w:r w:rsidRPr="00D95593">
        <w:rPr>
          <w:rFonts w:ascii="Times New Roman" w:hAnsi="Times New Roman"/>
          <w:vertAlign w:val="subscript"/>
          <w:lang w:val="en-US"/>
        </w:rPr>
        <w:t>3</w:t>
      </w:r>
      <w:r w:rsidRPr="00D95593">
        <w:rPr>
          <w:rFonts w:ascii="Times New Roman" w:hAnsi="Times New Roman"/>
          <w:lang w:val="en-US"/>
        </w:rPr>
        <w:t>)(OH)</w:t>
      </w:r>
      <w:r w:rsidRPr="00D95593">
        <w:rPr>
          <w:rFonts w:ascii="Times New Roman" w:hAnsi="Times New Roman"/>
          <w:vertAlign w:val="subscript"/>
          <w:lang w:val="en-US"/>
        </w:rPr>
        <w:t>2</w:t>
      </w:r>
      <w:r w:rsidRPr="00D95593">
        <w:rPr>
          <w:rFonts w:ascii="Times New Roman" w:hAnsi="Times New Roman"/>
          <w:lang w:val="en-US"/>
        </w:rPr>
        <w:t>] is the most common Cu-bearing mineral in the Tassrirt deposit and is often observed as thin crusts or/and as veins/veinlets (Figures 6A, B, C and D). Chalcocite (Cu</w:t>
      </w:r>
      <w:r w:rsidRPr="00D95593">
        <w:rPr>
          <w:rFonts w:ascii="Times New Roman" w:hAnsi="Times New Roman"/>
          <w:vertAlign w:val="subscript"/>
          <w:lang w:val="en-US"/>
        </w:rPr>
        <w:t>2</w:t>
      </w:r>
      <w:r w:rsidRPr="00D95593">
        <w:rPr>
          <w:rFonts w:ascii="Times New Roman" w:hAnsi="Times New Roman"/>
          <w:lang w:val="en-US"/>
        </w:rPr>
        <w:t>S) and goethite are observed with malachite (Figure 6B). Geochemical data for this whole rock sample reveals 3.8 wt.% of Cu (18TAS46B, ESM1) and Ag (9 ppm) compared to the UCC (Figure 7A). The REE pattern is quite similar to UCC values for this latter sample (Figure 7B). Samples 18TAS46B (Figures 6B,C) and 18TAS91 (Figure 4B) display secondary sulfides, most of the time associated with malachite. Thin crusts of malachite are also observed in weathered siltstone; this malachite contains up to 2 wt.% in Fe while the associated goethite can contain up to 3 wt.% of Cu and 1 wt.% in Zn. In sample 17TAS01B (mostly malachite, Figure 6D), some residual monazite [(Ce,La,Nd)PO</w:t>
      </w:r>
      <w:r w:rsidRPr="00D95593">
        <w:rPr>
          <w:rFonts w:ascii="Times New Roman" w:hAnsi="Times New Roman"/>
          <w:vertAlign w:val="subscript"/>
          <w:lang w:val="en-US"/>
        </w:rPr>
        <w:t>4</w:t>
      </w:r>
      <w:r w:rsidRPr="00D95593">
        <w:rPr>
          <w:rFonts w:ascii="Times New Roman" w:hAnsi="Times New Roman"/>
          <w:lang w:val="en-US"/>
        </w:rPr>
        <w:t>], xenotime [YPO</w:t>
      </w:r>
      <w:r w:rsidRPr="00D95593">
        <w:rPr>
          <w:rFonts w:ascii="Times New Roman" w:hAnsi="Times New Roman"/>
          <w:vertAlign w:val="subscript"/>
          <w:lang w:val="en-US"/>
        </w:rPr>
        <w:t>4</w:t>
      </w:r>
      <w:r w:rsidRPr="00D95593">
        <w:rPr>
          <w:rFonts w:ascii="Times New Roman" w:hAnsi="Times New Roman"/>
          <w:lang w:val="en-US"/>
        </w:rPr>
        <w:t>] and anatase [TiO</w:t>
      </w:r>
      <w:r w:rsidRPr="00D95593">
        <w:rPr>
          <w:rFonts w:ascii="Times New Roman" w:hAnsi="Times New Roman"/>
          <w:vertAlign w:val="subscript"/>
          <w:lang w:val="en-US"/>
        </w:rPr>
        <w:t>2</w:t>
      </w:r>
      <w:r w:rsidRPr="00D95593">
        <w:rPr>
          <w:rFonts w:ascii="Times New Roman" w:hAnsi="Times New Roman"/>
          <w:lang w:val="en-US"/>
        </w:rPr>
        <w:t>] are observed in the Zn-goethite matrix. Fibrous malachite (17TAS01F; Figure 6E) is associated with fraipontite [(Zn,Al)</w:t>
      </w:r>
      <w:r w:rsidRPr="00D95593">
        <w:rPr>
          <w:rFonts w:ascii="Times New Roman" w:hAnsi="Times New Roman"/>
          <w:vertAlign w:val="subscript"/>
          <w:lang w:val="en-US"/>
        </w:rPr>
        <w:t>3</w:t>
      </w:r>
      <w:r w:rsidRPr="00D95593">
        <w:rPr>
          <w:rFonts w:ascii="Times New Roman" w:hAnsi="Times New Roman"/>
          <w:lang w:val="en-US"/>
        </w:rPr>
        <w:t>((Si,Al)</w:t>
      </w:r>
      <w:r w:rsidRPr="00D95593">
        <w:rPr>
          <w:rFonts w:ascii="Times New Roman" w:hAnsi="Times New Roman"/>
          <w:vertAlign w:val="subscript"/>
          <w:lang w:val="en-US"/>
        </w:rPr>
        <w:t>2</w:t>
      </w:r>
      <w:r w:rsidRPr="00D95593">
        <w:rPr>
          <w:rFonts w:ascii="Times New Roman" w:hAnsi="Times New Roman"/>
          <w:lang w:val="en-US"/>
        </w:rPr>
        <w:t>O</w:t>
      </w:r>
      <w:r w:rsidRPr="00D95593">
        <w:rPr>
          <w:rFonts w:ascii="Times New Roman" w:hAnsi="Times New Roman"/>
          <w:vertAlign w:val="subscript"/>
          <w:lang w:val="en-US"/>
        </w:rPr>
        <w:t>5</w:t>
      </w:r>
      <w:r w:rsidRPr="00D95593">
        <w:rPr>
          <w:rFonts w:ascii="Times New Roman" w:hAnsi="Times New Roman"/>
          <w:lang w:val="en-US"/>
        </w:rPr>
        <w:t>)(OH)</w:t>
      </w:r>
      <w:r w:rsidRPr="00D95593">
        <w:rPr>
          <w:rFonts w:ascii="Times New Roman" w:hAnsi="Times New Roman"/>
          <w:vertAlign w:val="subscript"/>
          <w:lang w:val="en-US"/>
        </w:rPr>
        <w:t>4</w:t>
      </w:r>
      <w:r w:rsidRPr="00D95593">
        <w:rPr>
          <w:rFonts w:ascii="Times New Roman" w:hAnsi="Times New Roman"/>
          <w:lang w:val="en-US"/>
        </w:rPr>
        <w:t xml:space="preserve">] and Cu-Zn or Al-Si-bearing goethite as veins in weathered sandstone. Chlorite is also observed with malachite and/or goethite and can contain Zn and Cu (up to 1 wt.%). Geochemical data on pure botryoidal malachite (17TAS01M, Figure 6A) show 47.1 wt.% in Cu </w:t>
      </w:r>
      <w:r w:rsidRPr="00D95593">
        <w:rPr>
          <w:rFonts w:ascii="Times New Roman" w:hAnsi="Times New Roman"/>
          <w:lang w:val="en-US"/>
        </w:rPr>
        <w:lastRenderedPageBreak/>
        <w:t>and 6.1 wt.% in Zn (ESM1) suggesting the presence of Zn-bearing malachite or/and a mix of malachite and rosasite [(Cu,Zn)</w:t>
      </w:r>
      <w:r w:rsidRPr="00D95593">
        <w:rPr>
          <w:rFonts w:ascii="Times New Roman" w:hAnsi="Times New Roman"/>
          <w:vertAlign w:val="subscript"/>
          <w:lang w:val="en-US"/>
        </w:rPr>
        <w:t>2</w:t>
      </w:r>
      <w:r w:rsidRPr="00D95593">
        <w:rPr>
          <w:rFonts w:ascii="Times New Roman" w:hAnsi="Times New Roman"/>
          <w:lang w:val="en-US"/>
        </w:rPr>
        <w:t>(CO</w:t>
      </w:r>
      <w:r w:rsidRPr="00D95593">
        <w:rPr>
          <w:rFonts w:ascii="Times New Roman" w:hAnsi="Times New Roman"/>
          <w:vertAlign w:val="subscript"/>
          <w:lang w:val="en-US"/>
        </w:rPr>
        <w:t>3</w:t>
      </w:r>
      <w:r w:rsidRPr="00D95593">
        <w:rPr>
          <w:rFonts w:ascii="Times New Roman" w:hAnsi="Times New Roman"/>
          <w:lang w:val="en-US"/>
        </w:rPr>
        <w:t>)(OH)</w:t>
      </w:r>
      <w:r w:rsidRPr="00D95593">
        <w:rPr>
          <w:rFonts w:ascii="Times New Roman" w:hAnsi="Times New Roman"/>
          <w:vertAlign w:val="subscript"/>
          <w:lang w:val="en-US"/>
        </w:rPr>
        <w:t>2</w:t>
      </w:r>
      <w:r w:rsidRPr="00D95593">
        <w:rPr>
          <w:rFonts w:ascii="Times New Roman" w:hAnsi="Times New Roman"/>
          <w:lang w:val="en-US"/>
        </w:rPr>
        <w:t>]. Smithsonite (ZnCO</w:t>
      </w:r>
      <w:r w:rsidRPr="00D95593">
        <w:rPr>
          <w:rFonts w:ascii="Times New Roman" w:hAnsi="Times New Roman"/>
          <w:vertAlign w:val="subscript"/>
          <w:lang w:val="en-US"/>
        </w:rPr>
        <w:t>3</w:t>
      </w:r>
      <w:r w:rsidRPr="00D95593">
        <w:rPr>
          <w:rFonts w:ascii="Times New Roman" w:hAnsi="Times New Roman"/>
          <w:lang w:val="en-US"/>
        </w:rPr>
        <w:t>) is not observed in this sample. Similar observations can be made for malachite forming thin crusts in the host siltstone showing 47.2 wt.% in Cu, 3.8 wt.% in Zn, 285 ppm in As and 3.2 ppm in Ag (ESM1 and Figure 7A). However, these two samples have different REE patterns: 17TAS01 shows a major depletion in LREE while sample 18TAS84 shows values slightly depleted to UCC (Figure 7B).</w:t>
      </w:r>
    </w:p>
    <w:p w14:paraId="493E615F"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Azurite [Cu</w:t>
      </w:r>
      <w:r w:rsidRPr="00D95593">
        <w:rPr>
          <w:rFonts w:ascii="Times New Roman" w:hAnsi="Times New Roman"/>
          <w:vertAlign w:val="subscript"/>
          <w:lang w:val="en-US"/>
        </w:rPr>
        <w:t>3</w:t>
      </w:r>
      <w:r w:rsidRPr="00D95593">
        <w:rPr>
          <w:rFonts w:ascii="Times New Roman" w:hAnsi="Times New Roman"/>
          <w:lang w:val="en-US"/>
        </w:rPr>
        <w:t>(CO</w:t>
      </w:r>
      <w:r w:rsidRPr="00D95593">
        <w:rPr>
          <w:rFonts w:ascii="Times New Roman" w:hAnsi="Times New Roman"/>
          <w:vertAlign w:val="subscript"/>
          <w:lang w:val="en-US"/>
        </w:rPr>
        <w:t>3</w:t>
      </w:r>
      <w:r w:rsidRPr="00D95593">
        <w:rPr>
          <w:rFonts w:ascii="Times New Roman" w:hAnsi="Times New Roman"/>
          <w:lang w:val="en-US"/>
        </w:rPr>
        <w:t>)</w:t>
      </w:r>
      <w:r w:rsidRPr="00D95593">
        <w:rPr>
          <w:rFonts w:ascii="Times New Roman" w:hAnsi="Times New Roman"/>
          <w:vertAlign w:val="subscript"/>
          <w:lang w:val="en-US"/>
        </w:rPr>
        <w:t>2</w:t>
      </w:r>
      <w:r w:rsidRPr="00D95593">
        <w:rPr>
          <w:rFonts w:ascii="Times New Roman" w:hAnsi="Times New Roman"/>
          <w:lang w:val="en-US"/>
        </w:rPr>
        <w:t>(OH)</w:t>
      </w:r>
      <w:r w:rsidRPr="00D95593">
        <w:rPr>
          <w:rFonts w:ascii="Times New Roman" w:hAnsi="Times New Roman"/>
          <w:vertAlign w:val="subscript"/>
          <w:lang w:val="en-US"/>
        </w:rPr>
        <w:t>2</w:t>
      </w:r>
      <w:r w:rsidRPr="00D95593">
        <w:rPr>
          <w:rFonts w:ascii="Times New Roman" w:hAnsi="Times New Roman"/>
          <w:lang w:val="en-US"/>
        </w:rPr>
        <w:t>] is sometimes observed as superficial thin crust but globally less abundant than malachite. Smithsonite is only observed in the weathered siltstone 17TAS02B (Figure 6F) as veins or in the matrix associated with hemimorphite [Zn</w:t>
      </w:r>
      <w:r w:rsidRPr="00D95593">
        <w:rPr>
          <w:rFonts w:ascii="Times New Roman" w:hAnsi="Times New Roman"/>
          <w:vertAlign w:val="subscript"/>
          <w:lang w:val="en-US"/>
        </w:rPr>
        <w:t>4</w:t>
      </w:r>
      <w:r w:rsidRPr="00D95593">
        <w:rPr>
          <w:rFonts w:ascii="Times New Roman" w:hAnsi="Times New Roman"/>
          <w:lang w:val="en-US"/>
        </w:rPr>
        <w:t>Si</w:t>
      </w:r>
      <w:r w:rsidRPr="00D95593">
        <w:rPr>
          <w:rFonts w:ascii="Times New Roman" w:hAnsi="Times New Roman"/>
          <w:vertAlign w:val="subscript"/>
          <w:lang w:val="en-US"/>
        </w:rPr>
        <w:t>2</w:t>
      </w:r>
      <w:r w:rsidRPr="00D95593">
        <w:rPr>
          <w:rFonts w:ascii="Times New Roman" w:hAnsi="Times New Roman"/>
          <w:lang w:val="en-US"/>
        </w:rPr>
        <w:t>O</w:t>
      </w:r>
      <w:r w:rsidRPr="00D95593">
        <w:rPr>
          <w:rFonts w:ascii="Times New Roman" w:hAnsi="Times New Roman"/>
          <w:vertAlign w:val="subscript"/>
          <w:lang w:val="en-US"/>
        </w:rPr>
        <w:t>7</w:t>
      </w:r>
      <w:r w:rsidRPr="00D95593">
        <w:rPr>
          <w:rFonts w:ascii="Times New Roman" w:hAnsi="Times New Roman"/>
          <w:lang w:val="en-US"/>
        </w:rPr>
        <w:t>(OH)</w:t>
      </w:r>
      <w:r w:rsidRPr="00D95593">
        <w:rPr>
          <w:rFonts w:ascii="Times New Roman" w:hAnsi="Times New Roman"/>
          <w:vertAlign w:val="subscript"/>
          <w:lang w:val="en-US"/>
        </w:rPr>
        <w:t>2</w:t>
      </w:r>
      <w:r w:rsidRPr="00D95593">
        <w:rPr>
          <w:rFonts w:ascii="Times New Roman" w:hAnsi="Times New Roman"/>
          <w:lang w:val="en-US"/>
        </w:rPr>
        <w:t>·(H</w:t>
      </w:r>
      <w:r w:rsidRPr="00D95593">
        <w:rPr>
          <w:rFonts w:ascii="Times New Roman" w:hAnsi="Times New Roman"/>
          <w:vertAlign w:val="subscript"/>
          <w:lang w:val="en-US"/>
        </w:rPr>
        <w:t>2</w:t>
      </w:r>
      <w:r w:rsidRPr="00D95593">
        <w:rPr>
          <w:rFonts w:ascii="Times New Roman" w:hAnsi="Times New Roman"/>
          <w:lang w:val="en-US"/>
        </w:rPr>
        <w:t xml:space="preserve">O)], Zn-bearing goethite, fluorapatite, quartz, illite, calcite and dolomite; Cu-bearing minerals are not directly associated with Zn-minerals. Veins are filled with smithsonite in the center, then hemimorphite and iron oxides (mostly goethite) on the edge. Hemimorphite and calcite are also identified in veinlets in the main smithsonite vein (Figure 6F). Calcite and dolomite can contain up to 2 wt.% Zn, and sometimes 2 wt.% Cd in calcite (EDS analyses). Some manganese oxides (coronadite-hollandite) are locally observed </w:t>
      </w:r>
      <w:r w:rsidRPr="00D95593">
        <w:rPr>
          <w:rFonts w:ascii="Times New Roman" w:hAnsi="Times New Roman"/>
          <w:b/>
          <w:lang w:val="en-US"/>
        </w:rPr>
        <w:t>(</w:t>
      </w:r>
      <w:r w:rsidRPr="00D95593">
        <w:rPr>
          <w:rFonts w:ascii="Times New Roman" w:hAnsi="Times New Roman"/>
          <w:lang w:val="en-US"/>
        </w:rPr>
        <w:t>Figure 6F</w:t>
      </w:r>
      <w:r w:rsidRPr="00D95593">
        <w:rPr>
          <w:rFonts w:ascii="Times New Roman" w:hAnsi="Times New Roman"/>
          <w:b/>
          <w:lang w:val="en-US"/>
        </w:rPr>
        <w:t xml:space="preserve">) </w:t>
      </w:r>
      <w:r w:rsidRPr="00D95593">
        <w:rPr>
          <w:rFonts w:ascii="Times New Roman" w:hAnsi="Times New Roman"/>
          <w:lang w:val="en-US"/>
        </w:rPr>
        <w:t xml:space="preserve">on the edge of quartz grains associated with illite. Geochemistry of whole-rock sample reveals a content of 12.2 wt.% in Zn with some Cu (392 wt.ppm) and As (182 wt.ppm) (ESM1, Figure 7A). The REE pattern is slightly bell-shaped and slightly depleted compared to UCC (Figure 7B). </w:t>
      </w:r>
    </w:p>
    <w:p w14:paraId="792A6674"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Hemimorphite is the most common Zn-silicate observed in Tassrirt in addition to fraipontite; willemite is not observed in studied samples. Fraipontite is observed as veins (17TAS01F; Figure 6E) mostly associated with goethite and malachite. In sample 17TAS09, fraipontite is observed with alunite, illite and quartz. Geochemical data on whole rock sample (mostly alunite) shows a content of 3.7 wt.% in Zn, 0.9 wt.% in Cu, 0.3 wt.% in As and 0.1 wt.% in Pb (ESM1). This latter metal content is most likely due to the presence of beaverite-osarizawaite [Pb(Fe</w:t>
      </w:r>
      <w:r w:rsidRPr="00D95593">
        <w:rPr>
          <w:rFonts w:ascii="Times New Roman" w:hAnsi="Times New Roman"/>
          <w:vertAlign w:val="superscript"/>
          <w:lang w:val="en-US"/>
        </w:rPr>
        <w:t>3+</w:t>
      </w:r>
      <w:r w:rsidRPr="00D95593">
        <w:rPr>
          <w:rFonts w:ascii="Times New Roman" w:hAnsi="Times New Roman"/>
          <w:lang w:val="en-US"/>
        </w:rPr>
        <w:t>,Al)</w:t>
      </w:r>
      <w:r w:rsidRPr="00D95593">
        <w:rPr>
          <w:rFonts w:ascii="Times New Roman" w:hAnsi="Times New Roman"/>
          <w:vertAlign w:val="subscript"/>
          <w:lang w:val="en-US"/>
        </w:rPr>
        <w:t>2</w:t>
      </w:r>
      <w:r w:rsidRPr="00D95593">
        <w:rPr>
          <w:rFonts w:ascii="Times New Roman" w:hAnsi="Times New Roman"/>
          <w:lang w:val="en-US"/>
        </w:rPr>
        <w:t>Cu(SO</w:t>
      </w:r>
      <w:r w:rsidRPr="00D95593">
        <w:rPr>
          <w:rFonts w:ascii="Times New Roman" w:hAnsi="Times New Roman"/>
          <w:vertAlign w:val="subscript"/>
          <w:lang w:val="en-US"/>
        </w:rPr>
        <w:t>4</w:t>
      </w:r>
      <w:r w:rsidRPr="00D95593">
        <w:rPr>
          <w:rFonts w:ascii="Times New Roman" w:hAnsi="Times New Roman"/>
          <w:lang w:val="en-US"/>
        </w:rPr>
        <w:t>)</w:t>
      </w:r>
      <w:r w:rsidRPr="00D95593">
        <w:rPr>
          <w:rFonts w:ascii="Times New Roman" w:hAnsi="Times New Roman"/>
          <w:vertAlign w:val="subscript"/>
          <w:lang w:val="en-US"/>
        </w:rPr>
        <w:t>2</w:t>
      </w:r>
      <w:r w:rsidRPr="00D95593">
        <w:rPr>
          <w:rFonts w:ascii="Times New Roman" w:hAnsi="Times New Roman"/>
          <w:lang w:val="en-US"/>
        </w:rPr>
        <w:t>(OH)</w:t>
      </w:r>
      <w:r w:rsidRPr="00D95593">
        <w:rPr>
          <w:rFonts w:ascii="Times New Roman" w:hAnsi="Times New Roman"/>
          <w:vertAlign w:val="subscript"/>
          <w:lang w:val="en-US"/>
        </w:rPr>
        <w:t>6</w:t>
      </w:r>
      <w:r w:rsidRPr="00D95593">
        <w:rPr>
          <w:rFonts w:ascii="Times New Roman" w:hAnsi="Times New Roman"/>
          <w:lang w:val="en-US"/>
        </w:rPr>
        <w:t>] identified by SEM-EDS. A slight enrichment in Ag (5.2 wt.ppm), Bi (11.2 wt.ppm) and Mo (18 wt.ppm) compared to UCC can be highlighted (Figure 7A). The REE patterns (17TAS09, 01) show an enrichment in MREE and depletion in HREE compared to UCC (Figure 7B). In sample 18TAS93, fraipontite can contain up to 4 wt.% of Cu and is observed as clusters (Figure 6G) in a matrix mostly made of goethite, kaolinite and alunite/jarosite. Some monazite and anatase are also identified (Figure 6G). This sample shows high content in Fe</w:t>
      </w:r>
      <w:r w:rsidRPr="00D95593">
        <w:rPr>
          <w:rFonts w:ascii="Times New Roman" w:hAnsi="Times New Roman"/>
          <w:vertAlign w:val="subscript"/>
          <w:lang w:val="en-US"/>
        </w:rPr>
        <w:t>3</w:t>
      </w:r>
      <w:r w:rsidRPr="00D95593">
        <w:rPr>
          <w:rFonts w:ascii="Times New Roman" w:hAnsi="Times New Roman"/>
          <w:lang w:val="en-US"/>
        </w:rPr>
        <w:t>O</w:t>
      </w:r>
      <w:r w:rsidRPr="00D95593">
        <w:rPr>
          <w:rFonts w:ascii="Times New Roman" w:hAnsi="Times New Roman"/>
          <w:vertAlign w:val="subscript"/>
          <w:lang w:val="en-US"/>
        </w:rPr>
        <w:t>3</w:t>
      </w:r>
      <w:r w:rsidRPr="00D95593">
        <w:rPr>
          <w:rFonts w:ascii="Times New Roman" w:hAnsi="Times New Roman"/>
          <w:lang w:val="en-US"/>
        </w:rPr>
        <w:t xml:space="preserve"> (21.1 wt.%), Zn (2.1 wt.%), Cu (1.4 wt.%) and As (0.6 wt.%) (ESM1). No arsenates are observed in this sample. The As content is mostly hosted by the goethite. There is an enrichment in Ag (12.2 wt.ppm), Bi (5.2 wt.ppm), Pb (607 wt.ppm), U (34.4 wt.ppm) and Ni (210 wt.ppm) compared to UCC (Figure 7A). The REE pattern (18TAS93) is flat and depleted compared to UCC (Figure 7B).</w:t>
      </w:r>
    </w:p>
    <w:p w14:paraId="6AA97463"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Some olivenite [(Cu,Zn)</w:t>
      </w:r>
      <w:r w:rsidRPr="00D95593">
        <w:rPr>
          <w:rFonts w:ascii="Times New Roman" w:hAnsi="Times New Roman"/>
          <w:vertAlign w:val="subscript"/>
          <w:lang w:val="en-US"/>
        </w:rPr>
        <w:t>2</w:t>
      </w:r>
      <w:r w:rsidRPr="00D95593">
        <w:rPr>
          <w:rFonts w:ascii="Times New Roman" w:hAnsi="Times New Roman"/>
          <w:lang w:val="en-US"/>
        </w:rPr>
        <w:t>(AsO</w:t>
      </w:r>
      <w:r w:rsidRPr="00D95593">
        <w:rPr>
          <w:rFonts w:ascii="Times New Roman" w:hAnsi="Times New Roman"/>
          <w:vertAlign w:val="subscript"/>
          <w:lang w:val="en-US"/>
        </w:rPr>
        <w:t>4</w:t>
      </w:r>
      <w:r w:rsidRPr="00D95593">
        <w:rPr>
          <w:rFonts w:ascii="Times New Roman" w:hAnsi="Times New Roman"/>
          <w:lang w:val="en-US"/>
        </w:rPr>
        <w:t>)(OH)] is observed on the edge of tennantite (Figure 5B). In sample 18TAS79, minerals of the alunite supergroup were identified by XRD and confirmed in SEM analysis in quartz matrix: beudantite [PbFe</w:t>
      </w:r>
      <w:r w:rsidRPr="00D95593">
        <w:rPr>
          <w:rFonts w:ascii="Times New Roman" w:hAnsi="Times New Roman"/>
          <w:vertAlign w:val="subscript"/>
          <w:lang w:val="en-US"/>
        </w:rPr>
        <w:t>3</w:t>
      </w:r>
      <w:r w:rsidRPr="00D95593">
        <w:rPr>
          <w:rFonts w:ascii="Times New Roman" w:hAnsi="Times New Roman"/>
          <w:lang w:val="en-US"/>
        </w:rPr>
        <w:t>(AsO</w:t>
      </w:r>
      <w:r w:rsidRPr="00D95593">
        <w:rPr>
          <w:rFonts w:ascii="Times New Roman" w:hAnsi="Times New Roman"/>
          <w:vertAlign w:val="subscript"/>
          <w:lang w:val="en-US"/>
        </w:rPr>
        <w:t>4</w:t>
      </w:r>
      <w:r w:rsidRPr="00D95593">
        <w:rPr>
          <w:rFonts w:ascii="Times New Roman" w:hAnsi="Times New Roman"/>
          <w:lang w:val="en-US"/>
        </w:rPr>
        <w:t>)(SO</w:t>
      </w:r>
      <w:r w:rsidRPr="00D95593">
        <w:rPr>
          <w:rFonts w:ascii="Times New Roman" w:hAnsi="Times New Roman"/>
          <w:vertAlign w:val="subscript"/>
          <w:lang w:val="en-US"/>
        </w:rPr>
        <w:t>4</w:t>
      </w:r>
      <w:r w:rsidRPr="00D95593">
        <w:rPr>
          <w:rFonts w:ascii="Times New Roman" w:hAnsi="Times New Roman"/>
          <w:lang w:val="en-US"/>
        </w:rPr>
        <w:t>)(OH)</w:t>
      </w:r>
      <w:r w:rsidRPr="00D95593">
        <w:rPr>
          <w:rFonts w:ascii="Times New Roman" w:hAnsi="Times New Roman"/>
          <w:vertAlign w:val="subscript"/>
          <w:lang w:val="en-US"/>
        </w:rPr>
        <w:t>6</w:t>
      </w:r>
      <w:r w:rsidRPr="00D95593">
        <w:rPr>
          <w:rFonts w:ascii="Times New Roman" w:hAnsi="Times New Roman"/>
          <w:lang w:val="en-US"/>
        </w:rPr>
        <w:t xml:space="preserve">] and beaverite-osarizawaite. These minerals are </w:t>
      </w:r>
      <w:r w:rsidRPr="00D95593">
        <w:rPr>
          <w:rFonts w:ascii="Times New Roman" w:hAnsi="Times New Roman"/>
          <w:lang w:val="en-US"/>
        </w:rPr>
        <w:lastRenderedPageBreak/>
        <w:t>observed as a powdery thin crust with malachite on a totally silicified sample (Figure 6H). Geochemical data show a high content in SiO</w:t>
      </w:r>
      <w:r w:rsidRPr="00D95593">
        <w:rPr>
          <w:rFonts w:ascii="Times New Roman" w:hAnsi="Times New Roman"/>
          <w:vertAlign w:val="subscript"/>
          <w:lang w:val="en-US"/>
        </w:rPr>
        <w:t>2</w:t>
      </w:r>
      <w:r w:rsidRPr="00D95593">
        <w:rPr>
          <w:rFonts w:ascii="Times New Roman" w:hAnsi="Times New Roman"/>
          <w:lang w:val="en-US"/>
        </w:rPr>
        <w:t xml:space="preserve"> (71,2 wt.%), Fe</w:t>
      </w:r>
      <w:r w:rsidRPr="00D95593">
        <w:rPr>
          <w:rFonts w:ascii="Times New Roman" w:hAnsi="Times New Roman"/>
          <w:vertAlign w:val="subscript"/>
          <w:lang w:val="en-US"/>
        </w:rPr>
        <w:t>2</w:t>
      </w:r>
      <w:r w:rsidRPr="00D95593">
        <w:rPr>
          <w:rFonts w:ascii="Times New Roman" w:hAnsi="Times New Roman"/>
          <w:lang w:val="en-US"/>
        </w:rPr>
        <w:t>O</w:t>
      </w:r>
      <w:r w:rsidRPr="00D95593">
        <w:rPr>
          <w:rFonts w:ascii="Times New Roman" w:hAnsi="Times New Roman"/>
          <w:vertAlign w:val="subscript"/>
          <w:lang w:val="en-US"/>
        </w:rPr>
        <w:t>3</w:t>
      </w:r>
      <w:r w:rsidRPr="00D95593">
        <w:rPr>
          <w:rFonts w:ascii="Times New Roman" w:hAnsi="Times New Roman"/>
          <w:lang w:val="en-US"/>
        </w:rPr>
        <w:t xml:space="preserve"> (9.6 wt.%), Pb (7.5 wt.%), S (2.1 wt.%), As (1.1 wt.%) and Cu (0.9 wt.%) (ESM1). There is an enrichment in Sb (800 ppm), Ag (37.7 ppm), Ge (183 ppm), Ga (109 ppm) Bi (10.2 ppm) and Mo (26.ppm) compared to UCC (Figure 7A). REE are depleted compared to UCC (Figure 7B), especially for MREE. Olivenite and beudantite are the only arsenate observed in the samples despite the almost constant enrichment in As in weathered samples. Arsenic content is generally higher in samples rich in iron oxides (mostly goethite). </w:t>
      </w:r>
    </w:p>
    <w:p w14:paraId="01E2EABC"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4.3.2 Other secondary minerals</w:t>
      </w:r>
    </w:p>
    <w:p w14:paraId="7953EFEE"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Iron oxides are observed with Cu-Zn secondary minerals as mentioned above (e.g. 18TAS93, 17TAS01B) but can also be observed alone or with clay minerals. Sample 18TAS01B is mostly made of goethite (78.1 wt.% Fe) with some hematite, quartz and illite. These iron (oxyhydr)oxides contain 1.2 wt.% of Cu and 1.3 wt.% of Zn (ESM1). A few enrichments compared to UCC can also be highlighted like As (131 ppm), Ag (0.9 ppm), Mo (14 ppm), Bi (1.3 ppm), Pb (137 ppm) and Co (87 ppm); while other minor/trace elements and REE are close to UCC values (ESM1). Sample 18TAS07 displays small proportion of calcite instead of illite. Zn content (1.5 wt.%) is lower than Cu (0.5 wt.%); As (0.5 wt.%) and Pb (287 ppm) higher (ESM1). Other elements show similar content as sample 18TAS01B (ESM1). </w:t>
      </w:r>
    </w:p>
    <w:p w14:paraId="2428822A" w14:textId="0B1C5ED9" w:rsidR="00D95593" w:rsidRPr="00D95593" w:rsidRDefault="007A0CC6" w:rsidP="00D95593">
      <w:pPr>
        <w:spacing w:line="360" w:lineRule="auto"/>
        <w:jc w:val="both"/>
        <w:rPr>
          <w:rFonts w:ascii="Times New Roman" w:hAnsi="Times New Roman"/>
          <w:lang w:val="en-US"/>
        </w:rPr>
      </w:pPr>
      <w:r w:rsidRPr="00D95593">
        <w:rPr>
          <w:rFonts w:ascii="Times New Roman" w:hAnsi="Times New Roman"/>
          <w:lang w:val="en-US"/>
        </w:rPr>
        <w:t>Alunite is a relatively common mineral at Tassrirt deposit and is observed in different studied samples (e.g., 17TAS08,</w:t>
      </w:r>
      <w:r>
        <w:rPr>
          <w:rFonts w:ascii="Times New Roman" w:hAnsi="Times New Roman"/>
          <w:lang w:val="en-US"/>
        </w:rPr>
        <w:t xml:space="preserve"> 17TAS09, </w:t>
      </w:r>
      <w:r w:rsidRPr="00D95593">
        <w:rPr>
          <w:rFonts w:ascii="Times New Roman" w:hAnsi="Times New Roman"/>
          <w:lang w:val="en-US"/>
        </w:rPr>
        <w:t>18TAS15</w:t>
      </w:r>
      <w:r>
        <w:rPr>
          <w:rFonts w:ascii="Times New Roman" w:hAnsi="Times New Roman"/>
          <w:lang w:val="en-US"/>
        </w:rPr>
        <w:t xml:space="preserve">; </w:t>
      </w:r>
      <w:r w:rsidRPr="00D95593">
        <w:rPr>
          <w:rFonts w:ascii="Times New Roman" w:hAnsi="Times New Roman"/>
          <w:lang w:val="en-US"/>
        </w:rPr>
        <w:t>Figure</w:t>
      </w:r>
      <w:r>
        <w:rPr>
          <w:rFonts w:ascii="Times New Roman" w:hAnsi="Times New Roman"/>
          <w:lang w:val="en-US"/>
        </w:rPr>
        <w:t>s</w:t>
      </w:r>
      <w:r w:rsidRPr="00D95593">
        <w:rPr>
          <w:rFonts w:ascii="Times New Roman" w:hAnsi="Times New Roman"/>
          <w:lang w:val="en-US"/>
        </w:rPr>
        <w:t xml:space="preserve"> 8</w:t>
      </w:r>
      <w:r w:rsidR="00E737EA">
        <w:rPr>
          <w:rFonts w:ascii="Times New Roman" w:hAnsi="Times New Roman"/>
          <w:lang w:val="en-US"/>
        </w:rPr>
        <w:t>A</w:t>
      </w:r>
      <w:r>
        <w:rPr>
          <w:rFonts w:ascii="Times New Roman" w:hAnsi="Times New Roman"/>
          <w:lang w:val="en-US"/>
        </w:rPr>
        <w:t>,</w:t>
      </w:r>
      <w:r w:rsidR="00E737EA">
        <w:rPr>
          <w:rFonts w:ascii="Times New Roman" w:hAnsi="Times New Roman"/>
          <w:lang w:val="en-US"/>
        </w:rPr>
        <w:t>B</w:t>
      </w:r>
      <w:r>
        <w:rPr>
          <w:rFonts w:ascii="Times New Roman" w:hAnsi="Times New Roman"/>
          <w:lang w:val="en-US"/>
        </w:rPr>
        <w:t>,</w:t>
      </w:r>
      <w:r w:rsidR="00E737EA">
        <w:rPr>
          <w:rFonts w:ascii="Times New Roman" w:hAnsi="Times New Roman"/>
          <w:lang w:val="en-US"/>
        </w:rPr>
        <w:t>C</w:t>
      </w:r>
      <w:r w:rsidRPr="00D95593">
        <w:rPr>
          <w:rFonts w:ascii="Times New Roman" w:hAnsi="Times New Roman"/>
          <w:lang w:val="en-US"/>
        </w:rPr>
        <w:t>). Sample 17TAS08 mostly consists of alunite and illite with small proportions (Figure 8C) of malachite/smithsonite, beaverite-osarizawaite and monazite. This mineralogical diversity is reflected in the geochemical data (ESM1) with 38.0 wt.% SO</w:t>
      </w:r>
      <w:r w:rsidRPr="00D95593">
        <w:rPr>
          <w:rFonts w:ascii="Times New Roman" w:hAnsi="Times New Roman"/>
          <w:vertAlign w:val="subscript"/>
          <w:lang w:val="en-US"/>
        </w:rPr>
        <w:t>4</w:t>
      </w:r>
      <w:r w:rsidRPr="00D95593">
        <w:rPr>
          <w:rFonts w:ascii="Times New Roman" w:hAnsi="Times New Roman"/>
          <w:lang w:val="en-US"/>
        </w:rPr>
        <w:t>, 32.9 wt.% Al</w:t>
      </w:r>
      <w:r w:rsidRPr="00D95593">
        <w:rPr>
          <w:rFonts w:ascii="Times New Roman" w:hAnsi="Times New Roman"/>
          <w:vertAlign w:val="subscript"/>
          <w:lang w:val="en-US"/>
        </w:rPr>
        <w:t>2</w:t>
      </w:r>
      <w:r w:rsidRPr="00D95593">
        <w:rPr>
          <w:rFonts w:ascii="Times New Roman" w:hAnsi="Times New Roman"/>
          <w:lang w:val="en-US"/>
        </w:rPr>
        <w:t>O</w:t>
      </w:r>
      <w:r w:rsidRPr="00D95593">
        <w:rPr>
          <w:rFonts w:ascii="Times New Roman" w:hAnsi="Times New Roman"/>
          <w:vertAlign w:val="subscript"/>
          <w:lang w:val="en-US"/>
        </w:rPr>
        <w:t>3</w:t>
      </w:r>
      <w:r w:rsidRPr="00D95593">
        <w:rPr>
          <w:rFonts w:ascii="Times New Roman" w:hAnsi="Times New Roman"/>
          <w:lang w:val="en-US"/>
        </w:rPr>
        <w:t>, 0.9 wt.% As, 0.6 wt.% Cu, 0.1 wt.% Zn and 576 ppm Pb (ESM1).</w:t>
      </w:r>
      <w:r>
        <w:rPr>
          <w:rFonts w:ascii="Times New Roman" w:hAnsi="Times New Roman"/>
          <w:lang w:val="en-US"/>
        </w:rPr>
        <w:t xml:space="preserve"> </w:t>
      </w:r>
      <w:r w:rsidR="00D95593" w:rsidRPr="00D95593">
        <w:rPr>
          <w:rFonts w:ascii="Times New Roman" w:hAnsi="Times New Roman"/>
          <w:lang w:val="en-US"/>
        </w:rPr>
        <w:t>Some late recrystallizations of light blue/green calcite-aragonite (18TAS09, Figure 8H) are observed in the deposit. These carbonates contain some Cu (0.2 wt.%), Zn (0.1 wt.%) and Pb (331 ppm) (ESM1); while other minor/trace elements and REE are depleted compared to UCC (ESM1). Same observations can be made with calcite-dolomite sample (18TAS06), except that the content in Cu (420 ppm), Zn (210 ppm) and Pb (83 ppm) is significantly lower than in calcite-aragonite samples (ESM1).</w:t>
      </w:r>
    </w:p>
    <w:p w14:paraId="411643AC" w14:textId="06389EF0" w:rsidR="00D95593" w:rsidRPr="00D95593" w:rsidRDefault="00D95593" w:rsidP="00D95593">
      <w:pPr>
        <w:spacing w:line="360" w:lineRule="auto"/>
        <w:jc w:val="both"/>
        <w:rPr>
          <w:rFonts w:ascii="Times New Roman" w:hAnsi="Times New Roman"/>
          <w:i/>
          <w:iCs/>
          <w:sz w:val="24"/>
          <w:szCs w:val="24"/>
          <w:lang w:val="en-US"/>
        </w:rPr>
      </w:pPr>
      <w:r w:rsidRPr="00D95593">
        <w:rPr>
          <w:rFonts w:ascii="Times New Roman" w:hAnsi="Times New Roman"/>
          <w:i/>
          <w:iCs/>
          <w:sz w:val="24"/>
          <w:szCs w:val="24"/>
          <w:lang w:val="en-US"/>
        </w:rPr>
        <w:t xml:space="preserve">4.4 </w:t>
      </w:r>
      <w:r w:rsidR="00CA2B9F">
        <w:rPr>
          <w:rFonts w:ascii="Times New Roman" w:hAnsi="Times New Roman"/>
          <w:i/>
          <w:iCs/>
          <w:sz w:val="24"/>
          <w:szCs w:val="24"/>
          <w:lang w:val="en-US"/>
        </w:rPr>
        <w:t>K-Ar dating on alunite</w:t>
      </w:r>
    </w:p>
    <w:p w14:paraId="1FEF1D43" w14:textId="0BBA965F" w:rsidR="00B42E7C" w:rsidRDefault="00D95593" w:rsidP="00D95593">
      <w:pPr>
        <w:spacing w:line="360" w:lineRule="auto"/>
        <w:jc w:val="both"/>
        <w:rPr>
          <w:rFonts w:ascii="Times New Roman" w:hAnsi="Times New Roman"/>
          <w:lang w:val="en-US"/>
        </w:rPr>
      </w:pPr>
      <w:r w:rsidRPr="00D95593">
        <w:rPr>
          <w:rFonts w:ascii="Times New Roman" w:hAnsi="Times New Roman"/>
          <w:lang w:val="en-US"/>
        </w:rPr>
        <w:t>Sample</w:t>
      </w:r>
      <w:r w:rsidR="00F00C8A">
        <w:rPr>
          <w:rFonts w:ascii="Times New Roman" w:hAnsi="Times New Roman"/>
          <w:lang w:val="en-US"/>
        </w:rPr>
        <w:t>s</w:t>
      </w:r>
      <w:r w:rsidRPr="00D95593">
        <w:rPr>
          <w:rFonts w:ascii="Times New Roman" w:hAnsi="Times New Roman"/>
          <w:lang w:val="en-US"/>
        </w:rPr>
        <w:t xml:space="preserve"> </w:t>
      </w:r>
      <w:r w:rsidR="00E737EA">
        <w:rPr>
          <w:rFonts w:ascii="Times New Roman" w:hAnsi="Times New Roman"/>
          <w:lang w:val="en-US"/>
        </w:rPr>
        <w:t xml:space="preserve">17TAS09 and </w:t>
      </w:r>
      <w:r w:rsidRPr="00D95593">
        <w:rPr>
          <w:rFonts w:ascii="Times New Roman" w:hAnsi="Times New Roman"/>
          <w:lang w:val="en-US"/>
        </w:rPr>
        <w:t xml:space="preserve">18TAS15 </w:t>
      </w:r>
      <w:r w:rsidR="00E737EA">
        <w:rPr>
          <w:rFonts w:ascii="Times New Roman" w:hAnsi="Times New Roman"/>
          <w:lang w:val="en-US"/>
        </w:rPr>
        <w:t>are both</w:t>
      </w:r>
      <w:r w:rsidR="00E737EA" w:rsidRPr="00D95593">
        <w:rPr>
          <w:rFonts w:ascii="Times New Roman" w:hAnsi="Times New Roman"/>
          <w:lang w:val="en-US"/>
        </w:rPr>
        <w:t xml:space="preserve"> </w:t>
      </w:r>
      <w:r w:rsidRPr="00D95593">
        <w:rPr>
          <w:rFonts w:ascii="Times New Roman" w:hAnsi="Times New Roman"/>
          <w:lang w:val="en-US"/>
        </w:rPr>
        <w:t>used for K-Ar dating</w:t>
      </w:r>
      <w:r w:rsidR="00E737EA">
        <w:rPr>
          <w:rFonts w:ascii="Times New Roman" w:hAnsi="Times New Roman"/>
          <w:lang w:val="en-US"/>
        </w:rPr>
        <w:t>.</w:t>
      </w:r>
      <w:r w:rsidRPr="00D95593">
        <w:rPr>
          <w:rFonts w:ascii="Times New Roman" w:hAnsi="Times New Roman"/>
          <w:lang w:val="en-US"/>
        </w:rPr>
        <w:t xml:space="preserve"> </w:t>
      </w:r>
      <w:r w:rsidR="00B42E7C" w:rsidRPr="00B42E7C">
        <w:rPr>
          <w:rFonts w:ascii="Times New Roman" w:hAnsi="Times New Roman"/>
          <w:lang w:val="en-US"/>
        </w:rPr>
        <w:t>Sample 17TAS09 (Figure 8A) is mostly made of alunite and (Cu-)fraipontite with some muscovite/illite (in bulk sample) and quartz and show a mirror REE pattern compared to arsenates/sulfates (18TAS79, Figure 7B).</w:t>
      </w:r>
      <w:r w:rsidR="0015128F" w:rsidRPr="0015128F">
        <w:t xml:space="preserve"> </w:t>
      </w:r>
      <w:r w:rsidR="0015128F" w:rsidRPr="0015128F">
        <w:rPr>
          <w:rFonts w:ascii="Times New Roman" w:hAnsi="Times New Roman"/>
          <w:lang w:val="en-US"/>
        </w:rPr>
        <w:t xml:space="preserve">Only the white, powdery portion of the sample, consisting of nearly pure alunite, was used for dating (Figure 8G). However, SEM-BSE images show that minor muscovite and quartz observed, and that alunite appeared to have different chemical composition reflected by the slight difference in grey scale (Figure 8G) but that does </w:t>
      </w:r>
      <w:r w:rsidR="0015128F" w:rsidRPr="0015128F">
        <w:rPr>
          <w:rFonts w:ascii="Times New Roman" w:hAnsi="Times New Roman"/>
          <w:lang w:val="en-US"/>
        </w:rPr>
        <w:lastRenderedPageBreak/>
        <w:t>not appear in the EDX results (no Na or other elements detected). This white alunite yield ages of 25.1 ± 0.5 and 24.9 ± 0.4 Ma (Table 1).</w:t>
      </w:r>
    </w:p>
    <w:p w14:paraId="3C964885" w14:textId="25774DC6"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Samples 18TAS15A and 18TAS15B (Figures 8B,D,E,F) are massive “porcelaneous” alunite with slight </w:t>
      </w:r>
      <w:r w:rsidR="00E17954">
        <w:rPr>
          <w:rFonts w:ascii="Times New Roman" w:hAnsi="Times New Roman"/>
          <w:lang w:val="en-US"/>
        </w:rPr>
        <w:t xml:space="preserve">light </w:t>
      </w:r>
      <w:r w:rsidRPr="00D95593">
        <w:rPr>
          <w:rFonts w:ascii="Times New Roman" w:hAnsi="Times New Roman"/>
          <w:lang w:val="en-US"/>
        </w:rPr>
        <w:t>green</w:t>
      </w:r>
      <w:r w:rsidR="00E17954">
        <w:rPr>
          <w:rFonts w:ascii="Times New Roman" w:hAnsi="Times New Roman"/>
          <w:lang w:val="en-US"/>
        </w:rPr>
        <w:t>/blue</w:t>
      </w:r>
      <w:r w:rsidRPr="00D95593">
        <w:rPr>
          <w:rFonts w:ascii="Times New Roman" w:hAnsi="Times New Roman"/>
          <w:lang w:val="en-US"/>
        </w:rPr>
        <w:t xml:space="preserve"> coloration</w:t>
      </w:r>
      <w:r w:rsidR="00E17954" w:rsidRPr="00E17954">
        <w:t xml:space="preserve"> </w:t>
      </w:r>
      <w:r w:rsidR="00E17954" w:rsidRPr="00E17954">
        <w:rPr>
          <w:rFonts w:ascii="Times New Roman" w:hAnsi="Times New Roman"/>
          <w:lang w:val="en-US"/>
        </w:rPr>
        <w:t>with 0.4 wt.% Cu, 492 ppm As and 400 ppm Zn</w:t>
      </w:r>
      <w:r w:rsidR="00E17954">
        <w:rPr>
          <w:rFonts w:ascii="Times New Roman" w:hAnsi="Times New Roman"/>
          <w:lang w:val="en-US"/>
        </w:rPr>
        <w:t>. It contains</w:t>
      </w:r>
      <w:r w:rsidR="00E17954" w:rsidRPr="00E17954">
        <w:rPr>
          <w:rFonts w:ascii="Times New Roman" w:hAnsi="Times New Roman"/>
          <w:lang w:val="en-US"/>
        </w:rPr>
        <w:t xml:space="preserve"> minor quartz, kaolinite and small grains of goethite (Figures 8D,E,F); without muscovite/illite or Mn-oxides</w:t>
      </w:r>
      <w:r w:rsidRPr="00D95593">
        <w:rPr>
          <w:rFonts w:ascii="Times New Roman" w:hAnsi="Times New Roman"/>
          <w:lang w:val="en-US"/>
        </w:rPr>
        <w:t>. The most compositionally pure zones were carefully selected for dating (Figure 8D). Geochemical analysis is provided in ESM1 and, in addition to SEM analyses, confirm the absence of Mn-oxides such as hollandite or cryptomelane (420 ppm for Ba and 50</w:t>
      </w:r>
      <w:r w:rsidR="00C53DBF">
        <w:rPr>
          <w:rFonts w:ascii="Times New Roman" w:hAnsi="Times New Roman"/>
          <w:lang w:val="en-US"/>
        </w:rPr>
        <w:t xml:space="preserve"> </w:t>
      </w:r>
      <w:r w:rsidRPr="00D95593">
        <w:rPr>
          <w:rFonts w:ascii="Times New Roman" w:hAnsi="Times New Roman"/>
          <w:lang w:val="en-US"/>
        </w:rPr>
        <w:t>ppm for MnO). Moreover, natroalunite is not observed in SEM analyses and chemical analyses only reveal 0.6 wt.% of Na</w:t>
      </w:r>
      <w:r w:rsidRPr="00D95593">
        <w:rPr>
          <w:rFonts w:ascii="Times New Roman" w:hAnsi="Times New Roman"/>
          <w:vertAlign w:val="subscript"/>
          <w:lang w:val="en-US"/>
        </w:rPr>
        <w:t>2</w:t>
      </w:r>
      <w:r w:rsidRPr="00D95593">
        <w:rPr>
          <w:rFonts w:ascii="Times New Roman" w:hAnsi="Times New Roman"/>
          <w:lang w:val="en-US"/>
        </w:rPr>
        <w:t>O. SEM analyses also highlight the presence of kaolinite and minor goethite in sample 18TAS15 (Figures 8E,F). All samples show high reproducibility between the two aliquots. This green porcelaneous alunite samples yield ages of 18.2 ± 0.4, 18.6 ± 0.3, 16.7 ± 0.4 and 17.1 ± 0.3 Ma (Table 1).</w:t>
      </w:r>
    </w:p>
    <w:p w14:paraId="1187180F" w14:textId="77777777" w:rsidR="00D95593" w:rsidRPr="00D95593" w:rsidRDefault="00D95593" w:rsidP="00D95593">
      <w:pPr>
        <w:spacing w:line="360" w:lineRule="auto"/>
        <w:jc w:val="both"/>
        <w:rPr>
          <w:rFonts w:ascii="Times New Roman" w:hAnsi="Times New Roman"/>
          <w:b/>
          <w:bCs/>
          <w:sz w:val="24"/>
          <w:szCs w:val="24"/>
          <w:lang w:val="en-US"/>
        </w:rPr>
      </w:pPr>
      <w:r w:rsidRPr="00D95593">
        <w:rPr>
          <w:rFonts w:ascii="Times New Roman" w:hAnsi="Times New Roman"/>
          <w:b/>
          <w:bCs/>
          <w:sz w:val="24"/>
          <w:szCs w:val="24"/>
          <w:lang w:val="en-US"/>
        </w:rPr>
        <w:t>5. Discussion</w:t>
      </w:r>
    </w:p>
    <w:p w14:paraId="06B2B378" w14:textId="77777777" w:rsidR="00D95593" w:rsidRPr="00D95593" w:rsidRDefault="00D95593" w:rsidP="00D95593">
      <w:pPr>
        <w:spacing w:line="360" w:lineRule="auto"/>
        <w:jc w:val="both"/>
        <w:rPr>
          <w:rFonts w:ascii="Times New Roman" w:hAnsi="Times New Roman"/>
          <w:i/>
          <w:iCs/>
          <w:sz w:val="24"/>
          <w:szCs w:val="24"/>
          <w:lang w:val="en-US"/>
        </w:rPr>
      </w:pPr>
      <w:r w:rsidRPr="00D95593">
        <w:rPr>
          <w:rFonts w:ascii="Times New Roman" w:hAnsi="Times New Roman"/>
          <w:i/>
          <w:iCs/>
          <w:sz w:val="24"/>
          <w:szCs w:val="24"/>
          <w:lang w:val="en-US"/>
        </w:rPr>
        <w:t>5.1 Weathering processes and paragenetic sequence</w:t>
      </w:r>
    </w:p>
    <w:p w14:paraId="109BC908"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The oxidation of primary sulfides (mostly pyrite, chalcopyrite, sphalerite, tennantite) and neutralization processes are the dominant drivers of secondary mineral formation at Tassrirt. Clear delimitation of the weathering zones/profile within the Tassrirt deposit is difficult on the field, as the various supergene zones tend to merge and overlap, as observed in other polymetallic deposits in the Anti-Atlas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{"citationItems":[{"id":"ITEM-1","itemData":{"DOI":"https://doi.org/10.1016/j.jafrearsci.2025.105981","ISSN":"1464-343X","abstract":"The Cu(-Pb-Zn-Ag) Bou Skour deposit shows the distinctive feature of having its primary mineralization (hydrothermal events) associated with veins of chlorite, dolomite and quartz in Cryogenian and Ediacaran magmatic rocks. The deposit underwent weathering, leading to the oxidation of primary sulfides, formation/neutralization of acidic fluids, and the neoformation of secondary minerals, including carbonates, silicates, and arsenates. Bou Skour deposit shows a quite unusual neutralization process of acidic fluids occurring mainly within/around the chlorite and/or dolomite veins containing primary mineralization. Chlorite, rarely considered as a dominant neutralizing agent, plays a significant role in the formation of secondary minerals in Bou Skour. The dual neutralization (chlorite and dolomite), combined with the diversity of primary assemblages and the vein-associated fractures, strongly influence secondary mineralization patterns and sequences, leading to restricted oxidized zones where different parts of weathering profile merge and overlap. Understanding these mechanisms is essential for unraveling the mineralogical evolution of the deposit and estimates its economic potential.","author":[{"dropping-particle":"","family":"Poot","given":"Julien","non-dropping-particle":"","parse-names":false,"suffix":""},{"dropping-particle":"","family":"Stanus","given":"Remi","non-dropping-particle":"","parse-names":false,"suffix":""},{"dropping-particle":"","family":"Azmi","given":"Mohammed","non-dropping-particle":"EL","parse-names":false,"suffix":""},{"dropping-particle":"","family":"Dekoninck","given":"Augustin","non-dropping-particle":"","parse-names":false,"suffix":""},{"dropping-particle":"","family":"Maacha","given":"Lhou","non-dropping-particle":"","parse-names":false,"suffix":""},{"dropping-particle":"","family":"Rochez","given":"Gaëtan","non-dropping-particle":"","parse-names":false,"suffix":""},{"dropping-particle":"","family":"Bouabdellah","given":"Mohammed","non-dropping-particle":"","parse-names":false,"suffix":""},{"dropping-particle":"","family":"Yans","given":"Johan","non-dropping-particle":"","parse-names":false,"suffix":""}],"container-title":"Journal of African Earth Sciences","id":"ITEM-1","issued":{"date-parts":[["2026"]]},"page":"105981","title":"Weathering processes and the role of combined chlorite-dolomite as main neutralizing agents of acidic fluids in the Cu(-Pb-Zn-Ag) Bou Skour supergene deposit (Eastern Anti-Atlas, Morocco)","type":"article-journal","volume":"235"},"uris":["http://www.mendeley.com/documents/?uuid=cbcfdc89-ef7f-4f92-bef8-4808d6214e1b"]}],"mendeley":{"formattedCitation":"(Poot et al., 2026)","plainTextFormattedCitation":"(Poot et al., 2026)","previouslyFormattedCitation":"(Poot et al., 2026)"},"properties":{"noteIndex":0},"schema":"https://github.com/citation-style-language/schema/raw/master/csl-citation.json"}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(Poot et al., 2026)</w:t>
      </w:r>
      <w:r w:rsidRPr="00D95593">
        <w:rPr>
          <w:rFonts w:ascii="Times New Roman" w:hAnsi="Times New Roman"/>
          <w:lang w:val="fr-BE"/>
        </w:rPr>
        <w:fldChar w:fldCharType="end"/>
      </w:r>
      <w:r w:rsidRPr="00D95593">
        <w:rPr>
          <w:rFonts w:ascii="Times New Roman" w:hAnsi="Times New Roman"/>
          <w:lang w:val="en-US"/>
        </w:rPr>
        <w:t>. Moreover, the available weathered samples come primarily from excavations and trenches rather than outcrops.</w:t>
      </w:r>
      <w:r w:rsidRPr="00D95593">
        <w:rPr>
          <w:rFonts w:ascii="Segoe UI" w:hAnsi="Segoe UI" w:cs="Segoe UI"/>
          <w:sz w:val="21"/>
          <w:szCs w:val="21"/>
          <w:lang w:val="en-US"/>
        </w:rPr>
        <w:t xml:space="preserve"> </w:t>
      </w:r>
      <w:r w:rsidRPr="00D95593">
        <w:rPr>
          <w:rFonts w:ascii="Times New Roman" w:hAnsi="Times New Roman"/>
          <w:lang w:val="en-US"/>
        </w:rPr>
        <w:t xml:space="preserve">Consequently, the observed paragenetic sequence is rarely complete. Neutralization of acidic fluids is not homogeneous throughout the deposit, as the primary sulfides occur predominantly within the sandstones and siltstones of the Basal Series, which itself contains only a few carbonate levels but minor chlorite. The Tamjout Dolomite Formation, which can act as neutralizer, is only weakly mineralized and hosting mainly (oxidized) pyrite. Similar neutralization pathway is observed in the Tizert deposit within the same host rocks (Igherm inlier, Morocco)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{"citationItems":[{"id":"ITEM-1","itemData":{"DOI":"10.3390/min10070620","ISSN":"2075163X","abstract":"The giant Tizert copper deposit is considered as the largest copper resource in the western Anti-Atlas (Morocco). The site is characterized by Cu mineralization carried by malachite, chalcocite, covellite, bornite and chalcopyrite; azurite is not observed. The host rocks are mainly limestones (Formation of Tamjout Dolomite) and sandstones/siltstones (Basal Series) of the Ediacaran/Cambrian transition. The supergene enrichment is most likely related to episodes of uplift/doming (last event since 30 Ma), which triggered the exhumation of primary/hypogene mineralization (chalcopyrite, pyrite, galena, chalcocite I and bornite I), generating their oxidation and the precipitation of secondary/supergene sulfides, carbonates and Fe-oxyhydroxides. The Tizert supergene deposit mainly consists of (i) a residual patchwork of laterite rich in Fe-oxyhydroxides; (ii) a saprolite rich in malachite, or “green oxide zone” where primary structures such as stratification are preserved; (iii) a cementation zone containing secondary sulfides (covellite, chalcocite II and bornite II). The abundance of Cu carbonates results from the rapid neutralization of acidic meteoric fluids, due to oxidation of primary sulfides, by carbonate host rocks. Chlorite is also invol</w:instrText>
      </w:r>
      <w:r w:rsidRPr="00D95593">
        <w:rPr>
          <w:rFonts w:ascii="Times New Roman" w:hAnsi="Times New Roman"/>
          <w:lang w:val="fr-BE"/>
        </w:rPr>
        <w:instrText>ved in the neutralization processes in the sandstones/siltstones of the Basal Series, in which supergene clays, such as kaolinite and smectites, subsequently precipitated. At Tizert, as can be highlighted in other supergene Cu-deposits around the world, azurite is absent due to low pCO2 and relatively high pH conditions. In addition to copper, Ag enrichment is also observed in weathered rocks; Fe-oxyhydroxides contain high Zn, As, and Pb contents. However, these secondary enrichments are quite low compared to Cu in the whole Tizert site, which is therefore, considered as relatively homog</w:instrText>
      </w:r>
      <w:r w:rsidRPr="00D95593">
        <w:rPr>
          <w:rFonts w:ascii="Times New Roman" w:hAnsi="Times New Roman"/>
          <w:lang w:val="en-US"/>
        </w:rPr>
        <w:instrText>eneous.","author":[{"dropping-particle":"","family":"Poot","given":"Julien","non-dropping-particle":"","parse-names":false,"suffix":""},{"dropping-particle":"","family":"Verhaert","given":"Michèle","non-dropping-particle":"","parse-names":false,"suffix":""},{"dropping-particle":"","family":"Dekoninck","given":"Augustin","non-dropping-particle":"","parse-names":false,"suffix":""},{"dropping-particle":"","family":"Oummouch","given":"Abdellah","non-dropping-particle":"","parse-names":false,"suffix":""},{"dropping-particle":"El","family":"Basbas","given":"Abdelaziz","non-dropping-particle":"","parse-names":false,"suffix":""},{"dropping-particle":"","family":"Maacha","given":"Lhou","non-dropping-particle":"","parse-names":false,"suffix":""},{"dropping-particle":"","family":"Yans","given":"Johan","non-dropping-particle":"","parse-names":false,"suffix":""}],"container-title":"Minerals","id":"ITEM-1","issue":"7","issued":{"date-parts":[["2020"]]},"page":"620","title":"Characterization of weathering processes of the giant copper deposit of tizert (Igherm inlier, anti-atlas, Morocco)","type":"article-journal","volume":"10"},"uris":["http://www.mendeley.com/documents/?uuid=26abcb5f-c889-34db-bd6f-fb1f085b6831"]}],"mendeley":{"formattedCitation":"(Poot et al., 2020)","plainTextFormattedCitation":"(Poot et al., 2020)","previouslyFormattedCitation":"(Poot et al., 2020)"},"properties":{"noteIndex":0},"schema":"https://github.com/citation-style-language/schema/raw/master/csl-citation.json"}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(Poot et al., 2020)</w:t>
      </w:r>
      <w:r w:rsidRPr="00D95593">
        <w:rPr>
          <w:rFonts w:ascii="Times New Roman" w:hAnsi="Times New Roman"/>
          <w:lang w:val="fr-BE"/>
        </w:rPr>
        <w:fldChar w:fldCharType="end"/>
      </w:r>
      <w:r w:rsidRPr="00D95593">
        <w:rPr>
          <w:rFonts w:ascii="Times New Roman" w:hAnsi="Times New Roman"/>
          <w:lang w:val="en-US"/>
        </w:rPr>
        <w:t xml:space="preserve">, while the dual (carbonates-silicates) neutralization is also observed many other supergene deposits such as Bou Skour deposit (Saghro massif, Morocco), Cap Garonne mine (France) and Luishwishi deposit (Democratic Republic of Congo)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{"citationItems":[{"id":"ITEM-1","itemData":{"DOI":"10.1007/S00126-024-01258-3","ISSN":"14321866","abstract":"The supergene zone of the Cap Garonne mineral deposit (Provence, France) hosts one of the most remarkable mineralogy in the world with no less than 150 minerals, 16 of which are type locality. Such mineral diversity offers a detailed view of mineral and geochemical changes during weathering processes. The stratabound epigenetic primary mineralization occurs within a few meters-thick fluvial conglomerates resting above the Permian–Triassic transition and is probably related to Late Triassic–Early Jurassic hydrothermal events. The Cu–As mineralization in the lower part of the conglomerates is locally overlapped by a thin Pb–Zn-rich layer in the northern mine. The results show that the weathered part is significantly enriched in Cu, Pb, As, Zn, Ag, Ba, Sb, and Bi. The evolution of the supergene fluid is traced in an Eh–pH diagram by the succession of sulfides I (tennantite, galena), sulfides II (covellite), arsenates (olivenite), sulfates and sulfo-arsenates (brochantite, anglesite), and carbonates (malachite, azurite, cerussite). The primary sulfide oxidation acidified the host conglomerate and enable</w:instrText>
      </w:r>
      <w:r w:rsidRPr="00D95593">
        <w:rPr>
          <w:rFonts w:ascii="Times New Roman" w:hAnsi="Times New Roman"/>
          <w:lang w:val="fr-BE"/>
        </w:rPr>
        <w:instrText>d the crystallization of secondary sulfides and arsenates. Efficient and rapid neutralization by the calcite cement of the host conglomerate and chlorite in the matrix caused successive precipitation of arsenates, sulfates, and carbonates. The supergene processes could be related to major periods of weathering in Western Europe (Early Cretaceous–Late Oligocene/Early Miocene). Erosion-prone periods may have contributed to the stripping of the Pb–Zn-rich layer in the southern mine.","author":[{"dropping-particle":"","family":"Poot","given":"Julien","non-dropping-particle":"","parse-names":false,"suffix":""},{"dropping-particle":"","family":"Buelens","given":"Pierre","non-dropping-particle":"","parse-names":false,"suffix":""},{"dropping-particle":"","family":"Dekoninck","given":"Augustin","non-dropping-particle":"","parse-names":false,"suffix":""},{"dropping-particle":"","family":"Rochez","given":"Gaëtan","non-dropping-particle":"","parse-names":false,"suffix":""},{"dropping-particle":"","family":"Yans","given":"Johan","non-dropping-particle":"","parse-names":false,"suffix":""}],"container-title":"Mineralium Deposita","id":"ITEM-1","issue":"6","issued":{"date-parts":[["2024","8","1"]]},"page":"1249-1271","publisher":"Springer","title":"Tracing the Eh–pH evolution of Cu–Pb–As–Zn supergene mineralization using detailed petrography in the Cap Garonne mineral deposit (Provence, France)","type":"article-journal","volume":"59"},"uris":["http://www.mendeley.com/documents/?uuid=bc5776c3-8395-3193-9b75-3a7681703ee4"]},{"id":"ITEM-2","itemData":{"DOI":"10.1016/j.jafrearsci.2019.103674","ISSN":"18791956","abstract":"The Luiswishi Cu–Co ore deposit (Haut-Katanga, D.R. Congo) belongs to the Katanga Copperbelt (KCB), a world-class Cu–Co district. The primary orebodies in the KCB consist of sulphide ore hosted in Neoproterozoic fine-grained siliciclastic and carbonate sedimentary rocks. The secondary weathered ores are still poorly documented, though most of them are strongly enriched in both copper and cobalt with regard to the primary sulphide ores. Combined mineralogical (transmitted and reflected light microscopy, XRD, SEM-EDX) and geochemical investigations (FUS-MS and FUS-ICP) on both host rocks and ore minerals allow identifying and characterizing three distinct zones in the studied profile, at Luiswishi, from base to top: the protore, which contains sulphides and massive dolomite; the cementation zone where oxides and sulphides coexist, and the saprolite, comprised of oxidized ores only. The mixed oxidized-sulphide zone occurs down to about 100 m in depth. At Luiswishi, the formation of the oxidized ores proceeded as follows: (1) oxidation of the primary sulphides (mainly chalcopyrite, carrollite and pyrite); (2) rapid neutralization of the released acidity by carbonate minerals (mainly dolomite) and Mg-chlorite in the host rock; and (3) concomitant precipitation of a wide range of oxidized mineral phases: goethite, malachite, heterogenite, pseudomalachite, amorphous copper silicate compound. Complex geometries and recurring mineralogical successions within heterogenite – malachite, or malachite – copper silicate – malachite aggregates are highlighted in the weathering profile. Mineralogical transformations in the weathered profile result in an overall selective leaching of the LREE and a concomitant residual enrichment in HREE. The leached LREE accumulate in the cementation zone, where both secondary chalcocite-type sulphides and residual and replacement goethite form, by oxidation within the rims and cracks in chalcopyrite. Deriving from a specific protore, the oxidized S.D.1b (formerly “Black Ore Mineralized Zone” or B.O.M.Z.) shows a specific geochemical response to weathering, with enrichment in both LREE and HREE and positive Ce-anomaly in the saprolite.","author":[{"dropping-particle":"","family":"Fontaine","given":"Laurent","non-dropping-particle":"","parse-names":false,"suffix":""},{"dropping-particle":"","family":"Putter","given":"Thierry","non-dropping-particle":"De","parse-names":false,"suffix":""},{"dropping-particle":"","family":"Bernard","given":"Alain","non-dropping-particle":"","parse-names":false,"suffix":""},{"dropping-particle":"","family":"Decrée","given":"Sophie","non-dropping-particle":"","parse-names":false,"suffix":""},{"dropping-particle":"","family":"Cailteux","given":"Jacques","non-dropping-particle":"","parse-names":false,"suffix":""},{"dropping-particle":"","family":"Wouters","given":"Johan","non-dropping-particle":"","parse-names":false,"suffix":""},{"dropping-particle":"","family":"Yans","given":"Johan","non-dropping-particle":"","parse-names":false,"suffix":""}],"container-title":"Journal of African Earth Sciences","id":"ITEM-2","issued":{"date-parts":[["2020"]]},"title":"Complex mineralogical-geochemical sequences and weathering events in the supergene ore of the Cu–Co Luiswishi deposit (Katanga, D.R. Congo)","type":"article-journal","volume":"161"},"uris":["http://www.mendeley.com/documents/?uuid=fbed0512-ad3a-3d1b-9390-b7520e84b3eb"]},{"id":"ITEM-3","itemData":{"DOI":"https://doi.org/10.1016/j.jafrearsci.2025.105981","ISSN":"1464-343X","abstract":"The Cu(-Pb-Zn-Ag) Bou Skour deposit shows the distinctive feature of having its primary mineralization (hydrothermal events) associated with veins of chlorite, dolomite and quartz in Cryogenian and Ediacaran magmatic rocks. The deposit underwent weathering, leading to the oxidation of primary sulfides, formation/neutralization of acidic fluids, and the neoformation of secondary minerals, including carbonates, silicates, and arsenates. Bou Skour deposit shows a quite unusual neutralization process of acidic fluids occurring mainly within/around the chlorite and/or dolomite veins containing primary mineralization. Chlorite, rarely considered as a dominant neutralizing agent, plays a significant role in the formation of secondary minerals in Bou Skour. The dual neutralization (chlorite and dolomite), combined with the diversity of primary assemblages and the vein-associated fractures, strongly influence secondary mineralization patterns and sequences, leading to restricted oxidized zones where different parts of weathering profile merge and overlap. Understanding these mechanisms is essential for unraveling the mineralogical evolution of the deposit and estimates its economic potential.","author":[{"dropping-particle":"","family":"Poot","given":"Julien","non-dropping-particle":"","parse-names":false,"suffix":""},{"dropping-particle":"","family":"Stanus","given":"Remi","non-dropping-particle":"","parse-names":false,"suffix":""},{"dropping-particle":"","family":"Azm</w:instrText>
      </w:r>
      <w:r w:rsidRPr="00D95593">
        <w:rPr>
          <w:rFonts w:ascii="Times New Roman" w:hAnsi="Times New Roman"/>
          <w:lang w:val="en-US"/>
        </w:rPr>
        <w:instrText>i","given":"Mohammed","non-dropping-particle":"EL","parse-names":false,"suffix":""},{"dropping-particle":"","family":"Dekoninck","given":"Augustin","non-dropping-particle":"","parse-names":false,"suffix":""},{"dropping-particle":"","family":"Maacha","given":"Lhou","non-dropping-particle":"","parse-names":false,"suffix":""},{"dropping-particle":"","family":"Rochez","given":"Gaëtan","non-dropping-particle":"","parse-names":false,"suffix":""},{"dropping-particle":"","family":"Bouabdellah","given":"Mohammed","non-dropping-particle":"","parse-names":false,"suffix":""},{"dropping-particle":"","family":"Yans","given":"Johan","non-dropping-particle":"","parse-names":false,"suffix":""}],"container-title":"Journal of African Earth Sciences","id":"ITEM-3","issued":{"date-parts":[["2026"]]},"page":"105981","title":"Weathering processes and the role of combined chlorite-dolomite as main neutralizing agents of acidic fluids in the Cu(-Pb-Zn-Ag) Bou Skour supergene deposit (Eastern Anti-Atlas, Morocco)","type":"article-journal","volume":"235"},"uris":["http://www.mendeley.com/documents/?uuid=cbcfdc89-ef7f-4f92-bef8-4808d6214e1b"]}],"mendeley":{"formattedCitation":"(Fontaine et al., 2020; Poot et al., 2026, 2024)","plainTextFormattedCitation":"(Fontaine et al., 2020; Poot et al., 2026, 2024)","previouslyFormattedCitation":"(Fontaine et al., 2020; Poot et al., 2026, 2024)"},"properties":{"noteIndex":0},"schema":"https://github.com/citation-style-language/schema/raw/master/csl-citation.json"}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(Fontaine et al., 2020; Poot et al., 2026, 2024)</w:t>
      </w:r>
      <w:r w:rsidRPr="00D95593">
        <w:rPr>
          <w:rFonts w:ascii="Times New Roman" w:hAnsi="Times New Roman"/>
          <w:lang w:val="fr-BE"/>
        </w:rPr>
        <w:fldChar w:fldCharType="end"/>
      </w:r>
      <w:r w:rsidRPr="00D95593">
        <w:rPr>
          <w:rFonts w:ascii="Times New Roman" w:hAnsi="Times New Roman"/>
          <w:lang w:val="en-US"/>
        </w:rPr>
        <w:t>.</w:t>
      </w:r>
    </w:p>
    <w:p w14:paraId="437BE17E"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Regarding secondary mineralization, residual chalcocite is rare and typically observed within malachite veinlets (e.g., 18TAS46B, Figures 6B,C), while most copper occurs as malachite (with minor azurite), accompanied by abundant goethite/hematite (Figures 5,6). This scarcity of secondary sulfides implies a continuous oxidizing supergene regime, with limited development of reducing (micro)environments required for extensive secondary sulfides formation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{"citationItems":[{"id":"ITEM-1","itemData":{"DOI":"10.5382/SEGNEWS.2021-126.FEA-01/605900/WEATHERING-OF-COPPER-DEPOSITS-AND-COPPER-MOBILITY","ISSN":"26940663","abstract":"Weathering of pyrite and copper sulfide-bearing rocks produces a consistent series of iron and copper-bearing minerals that reflect vertical and lateral geochemical changes as supergene solutions react with rock and experience loss of oxidizing capacity. Reactive host rocks, comprising feldspars, mafic minerals, chlorite, and carbonates, buffer pH values that limit copper mineral destruction, thus restricting the supergene transport of copper. Generally, rocks that have undergone well-developed hypogene or supergene hydrolysis of aluminosilicates promote copper mobility because they do not react substantially with low-pH supergene solutions generated by oxidation of pyrite and associated copper sulfides. Development of geochemical stratigraphy is characterized by physical and geochemical parameters that determine the maturity of a supergene profile, with cyclical leaching and enrichment periods critical for the production of economically significant copper accumulation. Evidence for multicycle enrichment is recorded by hematite after chalcocite, hanging zones of copper oxides that replace chalcocite, and hematitic capping overlying immature goethitic-pyritic capping. Because pyrite is the most refractory sulfide with respect to chalcocite replacement, geochemically strong supergene enrichment is independent of total copper added to protore and instead is indicated qualitatively by the degree to which chalcocite replaces pyrite. Covellite replacement of chalcopyrite indicates weak copper addition to protore and generally represents the base and lateral extent of supergene enrichment; covellite replacement of chalcocite indicates incipient copper removal by copper-impoverished supergene solutions. Exploration for, and delineation of, mature supergene enrichment profiles benefits from the recognition of paleoweathering cycles and consequent development of mature geochemical stratigraphy","author":[{"dropping-particle":"","family":"Chávez","given":"William X.","non-dropping-particle":"","parse-names":false,"suffix":""}],"container-title":"SEG Discovery","id":"ITEM-1","issue":"126","issued":{"date-parts":[["2021","7","1"]]},"page":"16-27","publisher":"Geoscienceworld","title":"Weathering of Copper Deposits and Copper Mobility: Mineralogy, Geochemical Stratigraphy, and Exploration Implications","type":"article-journal"},"uris":["http://www.mendeley.com/documents/?uuid=693d7650-211e-3d0c-94a7-58789b660cbe"]}],"mendeley":{"formattedCitation":"(Chávez, 2021)","plainTextFormattedCitation":"(Chávez, 2021)","previouslyFormattedCitation":"(Chávez, 2021)"},"properties":{"noteIndex":0},"schema":"https://github.com/citation-style-language/schema/raw/master/csl-citation.json"}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(Chávez, 2021)</w:t>
      </w:r>
      <w:r w:rsidRPr="00D95593">
        <w:rPr>
          <w:rFonts w:ascii="Times New Roman" w:hAnsi="Times New Roman"/>
          <w:lang w:val="fr-BE"/>
        </w:rPr>
        <w:fldChar w:fldCharType="end"/>
      </w:r>
      <w:r w:rsidRPr="00D95593">
        <w:rPr>
          <w:rFonts w:ascii="Times New Roman" w:hAnsi="Times New Roman"/>
          <w:lang w:val="en-US"/>
        </w:rPr>
        <w:t xml:space="preserve">, and/or an oxidation of these </w:t>
      </w:r>
      <w:r w:rsidRPr="00D95593">
        <w:rPr>
          <w:rFonts w:ascii="Times New Roman" w:hAnsi="Times New Roman"/>
          <w:lang w:val="en-US"/>
        </w:rPr>
        <w:lastRenderedPageBreak/>
        <w:t xml:space="preserve">secondary sulfides as source of metals for the further formation of (Cu-)Zn-silicates and carbonates involving variations in weathering conditions </w:t>
      </w:r>
      <w:r w:rsidRPr="00D95593">
        <w:rPr>
          <w:rFonts w:ascii="Times New Roman" w:hAnsi="Times New Roman"/>
          <w:lang w:val="fr-BE"/>
        </w:rPr>
        <w:fldChar w:fldCharType="begin" w:fldLock="1"/>
      </w:r>
      <w:r w:rsidRPr="00D95593">
        <w:rPr>
          <w:rFonts w:ascii="Times New Roman" w:hAnsi="Times New Roman"/>
          <w:lang w:val="en-US"/>
        </w:rPr>
        <w:instrText xml:space="preserve">ADDIN CSL_CITATION {"citationItems":[{"id":"ITEM-1","itemData":{"DOI":"10.5382/segnews.2000-41.fea","ISSN":"2694-0655","abstract":"Copper oxides represent an attractive exploration target because even low-grade prospects have the potential to produce low-cost copper in an environmentally friendly fashion. Derived from liypogene and/or supergene sulfides, copper oxides comprise a series of distinct assemblages that characterize a variable pH. oxidizing geochemical environment known as “the oxide zone.” Development of oxide copper minerals is a function of source-rock and host-rock mineralogy, pyrite and other (copper) sulfide abundance and distribution, fracture density and distribution, phreatic and/or vadose zone occurrence and stability, and maturity of the weathering profileThe paragenesis </w:instrText>
      </w:r>
      <w:r w:rsidRPr="00D95593">
        <w:rPr>
          <w:rFonts w:ascii="Times New Roman" w:hAnsi="Times New Roman"/>
          <w:lang w:val="fr-BE"/>
        </w:rPr>
        <w:instrText>о</w:instrText>
      </w:r>
      <w:r w:rsidRPr="00D95593">
        <w:rPr>
          <w:rFonts w:ascii="Times New Roman" w:hAnsi="Times New Roman"/>
          <w:lang w:val="en-US"/>
        </w:rPr>
        <w:instrText>f copper oxide mineral formation reflects local, dynamic changes in supergene solution composition attributable to reaction between host-rock mineral components and dissolved species Especially important are the concentrations of because mineral assemblages, even those that are metastable. represent the geochemical environment in which they formed, identification and mapping of copper oxides is useful in interpreting the geochemical history of an oxide zone. Furthermore, practical application of oxide zone geochemistry is significant in the recognition and solution of problems associated with weathering-engendered metals oxidation and transport from mine wastes.","author":[{"dropping-particle":"","family":"Chàvez","given":"W.X.","non-dropping-particle":"","parse-names":false,"suffix":""}],"container-title":"SEG Discovery","id":"ITEM-1","issue":"41","issued":{"date-parts":[["2000","4","1"]]},"page":"1-21","publisher":"GeoScienceWorld","title":"Supergene Oxidation of Copper Deposits: Zoning and Distribution of Copper Oxide Minerals","type":"article-journal"},"uris":["http://www.mendeley.com/documents/?uuid=6c88690e-cd99-323f-a0e8-11e09d502ec9"]}],"mendeley":{"formattedCitation":"(Chàvez, 2000)","plainTextFormattedCitation":"(Chàvez, 2000)","previouslyFormattedCitation":"(Chàvez, 2000)"},"properties":{"noteIndex":0},"schema":"https://github.com/citation-style-language/schema/raw/master/csl-citation.json"}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(Chàvez, 2000)</w:t>
      </w:r>
      <w:r w:rsidRPr="00D95593">
        <w:rPr>
          <w:rFonts w:ascii="Times New Roman" w:hAnsi="Times New Roman"/>
          <w:lang w:val="fr-BE"/>
        </w:rPr>
        <w:fldChar w:fldCharType="end"/>
      </w:r>
      <w:r w:rsidRPr="00D95593">
        <w:rPr>
          <w:rFonts w:ascii="Times New Roman" w:hAnsi="Times New Roman"/>
          <w:lang w:val="en-US"/>
        </w:rPr>
        <w:t>.</w:t>
      </w:r>
    </w:p>
    <w:p w14:paraId="02867159"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Secondary mineralization are quite common throughout the world and are already well described (e.g.,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{"citationItems":[{"id":"ITEM-1","itemData":{"DOI":"10.2113/98.4.715","ISSN":"0361-0128","abstract":"A number of occurrences and deposits of nonsulfide zinc ores in Europe were the historical basis for the de- velopment of the zinc mining and smelting industry. The principal occurrences in Silesia (Poland), Sardinia (Italy), and northern Spain are described. These deposits are products of the supergene oxidation of primary carbonate-hosted sulfide minerals during the complex interplay of tectonic uplift, karst development, changes in the level of the water table, and weathering. The nonsulfide zinc mineral deposits in the Irish Midlands may represent an example of surface oxidation of primary sulfide mineral deposits, redeposition, and preservation under glacial till. The willemite-dominated mineralization at La Calamine, Belgium, may be related to pale- oweathering or be of possible hydrothermal origin, similar to other willemite deposits in the world.","author":[{"dropping-particle":"","family":"Boni","given":"M.","non-dropping-particle":"","parse-names":false,"suffix":""},{"dropping-particle":"","family":"Large","given":"D.","non-dropping-particle":"","parse-names":false,"suffix":""}],"container-title":"Economic Geology","id":"ITEM-1","issue":"4","issued":{"date-parts":[["2003"]]},"page":"715-729","title":"Nonsulfide Zinc Mineralization in Europe: An Overview","type":"article-journal","volume":"98"},"uris":["http://www.mendeley.com/documents/?uuid=39be2ff8-1386-40cb-83fa-58740f87cfa9"]},{"id":"ITEM-2","itemData":{"DOI":"10.1016/j.oregeorev.2014.10.025","ISBN":"0812535006","ISSN":"01691368","abstract":"\"Nonsulfides\" is a term, which comprises a series of oxidized Zn(Pb)-ore minerals. It has also been used to define a special deposit type, mainly considered as derived from the weathering of Zn(Pb) sulfide concentrations. However, nonsulfide zinc deposits have been distinguished between supergene and hypogene, according to their mineralogy, geological characteristics and genetic setting. The supergene deposits formed by weathering and oxidation at ambient temperatures, whereas the hypogene ones are considered hydrothermal, or associated with metamorphic processes on primary sulfide ores. In this review paper, a comparison between a number of several nonsulfide deposits has been carried out: typical \"Calamines\", peculiar \"Calamines\" and \"Others\". The whole group comprises deposits of typical supergene origin, mixed supergene-hypogene mineralizations, and oxidized concentrations characterized by different metals only locally associated with zinc. The Zn-Pb nonsulfide concentrations hosted in carbonate rocks, which are mainly attributed to \"wall-rock replacement\" and \"direct-replacement\" supergene processes, are the typical \"Calamines\" (Liège district, Belgium; Iglesias district, Italy; Silesia-Cracow district, Polan</w:instrText>
      </w:r>
      <w:r w:rsidRPr="00D95593">
        <w:rPr>
          <w:rFonts w:ascii="Times New Roman" w:hAnsi="Times New Roman"/>
          <w:lang w:val="fr-BE"/>
        </w:rPr>
        <w:instrText>d). Peculiar \"Calamine\" deposits are those mineralizations that have been generally considered as supergene, but which are instead genetically related, at least partly, to hypogene processes (e.g. Angouran, Iran; Jabali, Yemen), though mineralogically and texturally similar to supergene nonsulfide deposits. The \"Others\" are prevailingly supergene nonsulfide zinc deposits not hosted in carbonate rocks (Skorpion, Namibia; Yanque, Peru), or characterized by other metals as main commodities, like lead (Magellan, Australia), silver (Sierra Mojada, Mexico; Wonawinta, Australia) or vanadium (Otavi Mountainland, Namibia). Minerals of current economic importance in most \"Calamine\" deposits are smithsonite, hydrozincite, and cerussite. This mineralogical association is generally simple but, when the \"Calamines\" are dolomite-hosted, one of the consequences of the \"wall-rock replacement\" process is the generation of a series of economically useless Zn- and Mg-bearing mixed carbonate phases. Secondary deposits hosted in silicatic (sedimentary or volcanic) rocks mainly contain hemimorphite and/or sauconite. Lead-, Ag- and V-rich nonsulfide ores are characterized by a more complex mineralogical association: mixed Pb-carbonates, Pb-sulfates, Pb-phosphates, Pb-…","author":[{"dropping-particle":"","family":"Boni","given":"Maria","non-dropping-particle":"","parse-names":false,"suffix":""},{"dropping-particle":"","family":"Mondillo","given":"Nicola","non-dropping-particle":"","parse-names":false,"suffix":""}],"container-title":"Ore Geology Reviews","id":"ITEM-2","issued":{"date-parts":[["2015"]]},"page":"208-233","publisher":"Elsevier B.V.","title":"The \"Calamines\" and the \"Others\": The great family of supergene nonsulfide zinc ores","type":"article-journal","volume":"67"},"uris":["http://www.mendeley.com/documents/?uuid=60707bbb-8b3e-4cee-859a-17a2eb7d72c6"]},{"id":"ITEM-3","itemData":{"DOI":"10.1007/s00126-015-0618-8","ISSN":"00264598","abstract":"The nature and the origin of zinc clays are poorly understood. With the example of the Bou Arhous Zn-Pb ore deposit in the Moroccan High Atlas, this study presents new data for the mineralogical and chemical characterization of barren and zinc clays associated with non-sulfide zinc ores. In the field, white to ocher granular clays are associated with willemite (Zn2SiO4), while red clays fill karst-related cavities cutting across the non-sulfide ore bodies. Red clays (kaolinite, chlorite, illite, and smectite) present evidence of stratification that reflects internal sedimentation processes during the karst evolution. White clays contain 7-Å clay mineral/smectite irregular interstratified minerals with less than 20 % of smectite layers. Willemite is partially dissolved and is surrounded by authigenic zinc clay minerals. Together with XRD results, WDS analyses on newly formed clay aggregates suggest that this interstratified mineral is composed of fraipontite and sauconite. CEC measurements support that zinc is only located within the octahedral sheets. These new results support the following process: (i) dissolution of willemite, leading to release of Si and Zn, (ii) interaction between Zn-Si-rich solutions and residual-detrital clays, and (iii) dissolution of kaolinite and formation of interstratified zinc clay minerals that grew over detrital micas.","author":[{"dropping-particle":"","family":"Choulet","given":"F.","non-dropping-particle":"","parse-names":false,"suffix":""},{"dropping-particle":"","family":"Buatier","given":"M.","non-dropping-particle":"","parse-names":false,"suffix":""},{"dropping-particle":"","family":"Barbanson","given":"L.","non-dropping-particle":"","parse-names":false,"suffix":""},{"dropping-particle":"","family":"Guégan","given":"R.","non-dropping-particle":"","parse-names":false,"suffix":""},{"dropping-particle":"","family":"Ennaciri","given":"A.","non-dropping-particle":"","parse-names":false,"suffix":""}],"container-title":"Mineralium Deposita","id":"ITEM-3","issued":{"date-parts":[["2016","4","1"]]},"page":"467-490","publisher":"Springer Verlag","title":"Zinc-rich clays in supergene non-sulfide zinc deposits","type":"article-journal","volume":"51"},"uris":["http://www.mendeley.com/documents/?uuid=9022446b-d7c7-3aee-ba40-6822198d5ab0"]},{"id":"ITEM-4","itemData":{"DOI":"10.2113/gsecongeo.105.3.593","ISSN":"0361-0128","abstract":"Sediment-hosted Pb-Zn deposits can be divided into two major subtypes. The first subtype is clastic-dominated lead-zinc (CD Pb-Zn) ores, which are hosted in shale, sandstone, siltstone, or mixed clastic rocks, or occur as carbonate replacement, within a CD sedimentary rock sequence. This subtype includes deposits that have been traditionally referred to as sedimentary exhalative (SEDEX) deposits. The CD Pb-Zn deposits occur in passive margins, back-arcs and continental rifts, and sag basins, which are tectonic settings that, in some cases, are transitional into one another. The second subtype of sediment-hosted Pb-Zn deposits is the Mississippi Valley-type (MVT Pb-Zn) that occurs in platform carbonate sequences, typically in passive-margin tectonic settings.Considering that the redox state of sulfur is one of the major controls on the extraction, transport, and deposition of Pb and Zn at shallow crustal sites, sediment-hosted Pb-Zn ores can be considered a special rock type that recorded the oxygenation of Earth’s hydrosphere. The emergence of CD and MVT deposits in the rock record between 2.02 Ga, the age of the earliest known deposit of these ores, and 1.85 to 1.58 Ga, a major period of CD Pb-Zn mineralization in Australia and India, corresponds to a time after the Great Oxygenation Event that occurred at ca 2.4 to 1.8 Ga. Contributing to the abundance of CD deposits at ca 1.85 to 1.58 Ga was the following: (1) enhanced oxidation of sulfides in the crust that provided sulfate to the hydrosphere and Pb and Zn to sediments; (2) development of major redox and compositional gradients in the oceans; (3) first formation of significant sulfate-bearing evaporites; (4) formation of red beds and oxidized aquifers, possibly containing easily extractable Pb and Zn; (5) evolution of sulfate-reducing bacteria; and (6) formation of large and long-lived basins on stable cratons.Although MVT and CD deposits appeared for the first time in Earth history at 2.02 Ga, only CD deposits were important repositories for Pb and Zn in sediments between the Great Oxygenation Event, until after the second oxidation of the atmosphere in the late Neoproterozic. Increased oxygenation of the oceans following the second oxidation event led to an abundance of evaporites, resulting oxidized brines, and a dramatic increase in the volume of coarse-grained and permeable carbonates of the Paleozoic carbonate platforms, which host many of the great MVT deposits. The MVT deposits reached their…","author":[{"dropping-particle":"","family":"Leach","given":"David. L","non-dropping-particle":"","parse-names":false,"suffix":""},{"dropping-particle":</w:instrText>
      </w:r>
      <w:r w:rsidRPr="00D95593">
        <w:rPr>
          <w:rFonts w:ascii="Times New Roman" w:hAnsi="Times New Roman"/>
          <w:lang w:val="en-US"/>
        </w:rPr>
        <w:instrText>"","family":"Bradley","given":"Dwight C","non-dropping-particle":"","parse-names":false,"suffix":""},{"dropping-particle":"","family":"Huston","given":"David","non-dropping-particle":"","parse-names":false,"suffix":""},{"dropping-particle":"","family":"Pisarevsky","given":"Sergei A","non-dropping-particle":"","parse-names":false,"suffix":""},{"dropping-particle":"","family":"Taylor","given":"Ryan D","non-dropping-particle":"","parse-names":false,"suffix":""},{"dropping-particle":"","family":"Gardoll","given":"Steven J","non-dropping-particle":"","parse-names":false,"suffix":""}],"container-title":"Economic Geology","id":"ITEM-4","issue":"3","issued":{"date-parts":[["2010","5","1"]]},"page":"593-625","title":"Sediment-Hosted Lead-Zinc Deposits in Earth History","type":"article-journal","volume":"105"},"uris":["http://www.mendeley.com/documents/?uuid=f50261c8-0d8c-4004-8b76-79b10630bdca"]}],"mendeley":{"formattedCitation":"(Boni and Large, 2003; Boni and Mondillo, 2015; Choulet et al., 2016; Leach et al., 2010)","manualFormatting":"Boni and Large, 2003; Boni and Mondillo, 2015; Choulet et al., 2016; Leach et al., 2010)","plainTextFormattedCitation":"(Boni and Large, 2003; Boni and Mondillo, 2015; Choulet et al., 2016; Leach et al., 2010)","previouslyFormattedCitation":"(Boni and Large, 2003; Boni and Mondillo, 2015; Choulet et al., 2016; Leach et al., 2010)"},"properties":{"noteIndex":0},"schema":"https://github.com/citation-style-language/schema/raw/master/csl-citation.json"}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Boni and Large, 2003; Boni and Mondillo, 2015; Choulet et al., 2016; Leach et al., 2010)</w:t>
      </w:r>
      <w:r w:rsidRPr="00D95593">
        <w:rPr>
          <w:rFonts w:ascii="Times New Roman" w:hAnsi="Times New Roman"/>
          <w:lang w:val="fr-BE"/>
        </w:rPr>
        <w:fldChar w:fldCharType="end"/>
      </w:r>
      <w:r w:rsidRPr="00D95593">
        <w:rPr>
          <w:rFonts w:ascii="Times New Roman" w:hAnsi="Times New Roman"/>
          <w:lang w:val="en-US"/>
        </w:rPr>
        <w:t xml:space="preserve">. An important feature of secondary minerals assemblage at Tassrirt is the predominance of Zn-silicates (hemimorphite, fraipontite) over Zn-carbonates (smithsonite), willemite being absent (Figures 6E-G). Smithsonite occurs only locally as veins (17TAS02B) and is texturally associated to hemimorphite in vein margins, where Si-rich fluids precipitated silicates alongside goethite, calcite and dolomite (Figure 6F). These results show that rich-silica fluids coming from feldspars weathering in the host rocks (siltstones, sandstones and granite) and the pervasive presence of kaolinite/illite in weathered samples (Figures 6C,F,G) combined with acidic, oxidizing conditions and limited neutralization, shifted Zn from carbonate to silicate stability field. In contrast, smithsonite replaces carbonates (Figure 6F), yet at Tassrirt their role appears limited, or related to late-stage precipitation forming secondary Cu-Zn-rich calcite and aragonite (18TAS09, Figure 8D). The absence of willemite among Zn-silicates can have several implications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{"citationItems":[{"id":"ITEM-1","itemData":{"DOI":"10.2113/GSECONGEO.98.4.819","ISSN":"0361-0128","abstract":"Willemite (zinc silicate) is the main zinc mineral in some carbonate-hosted ore deposits (e.g., Franklin, New Jersey; Vazante, Brazil; Beltana, South Australia; Kabwe, Zambia). Recent interest in these unconventional zinc deposits has increased because of high zinc grades that exceed 40 wt percent, relatively low environmental impact of ore processing owing to the lack of acid-generating sulfides in the waste, and advances in ore processing technologies. In the past, most metallogenic studies proposed formation of willemite deposits by supergene or hypogene alteration of preexisting sulfide deposits. However, recent data on the Vazante, Beltana, and Kabwe deposits indicate willemite crystallization at temperatures in excess of 150°C, raising the possibility of primary precipitation from hydrothermal fluids. We use numerical geochemical modeling to examine the formation of willemite under hydrothermal conditions. Activity-activity diagrams reveal that, in the presence of dissolved sulfur and quartz, willemite instead of sphalerite will precipitate under oxidizing (e.g., hematite-stable, sulfate-predominant) and alkaline (pH higher than K feldspar-muscovite-quartz) conditions. Willemite also becomes more stable, relative to sphalerite, at high temperature, and willemite call c</w:instrText>
      </w:r>
      <w:r w:rsidRPr="00D95593">
        <w:rPr>
          <w:rFonts w:ascii="Times New Roman" w:hAnsi="Times New Roman"/>
          <w:lang w:val="fr-BE"/>
        </w:rPr>
        <w:instrText>oexist with magnetite at 300°C. The stabilities and solubilities of sphalerite, willemite, smithsonite, hydrozincite, and zincite were calculated for wide ranges of temperature (25°-300°C), chloride concentration, dissolved sulfur and carbon concentrations, pH, quartz saturation, and oxidation potential. Plots of the solubility of the different minerals as a function of two variables (e.g., temperature and redox state; pH and redox state) allow us to predict the effects of changing chemical conditions, which in turn permits an estimate of the efficiency of particular precipitation processes. Cooling is an effective process for precipitating sphalerite but not willemite, whereas pH increase (e.g., by acidic fluids reacting with carbonates) is effective for precipitating willemite but not sphalerite. Dynamic geochemical models that simulate physicochemical processes are used to understand the formation of the Beltana willemite deposit in the Adelaide geosyncline of South Australia. This small, high grade deposit (850,000 t at 36% Zn) is hosted in dolomite of the Cambrian Ajax Limestone, next to a tectonic contact with the diapiric, halite-bearing clastic sediments of the Callanna Group…","author":[{"dropping-particle":"","family":"Brugger","given":"Joël","non-dropping-particle":"","parse-names":false,"suffix":""},{"dropping-particle":"","family":"McPhail","given":"D. C.","non-dropping-particle":"","parse-names":false,"suffix":""},{"dropping-particle":"","family":"Wallace","given":"Malcolm","non-dropping-particle":"","parse-names":false,"suffix":""},{"dropping-particle":"","family":"Waters","given":"John","non-dropping-particle":"","parse-names":false,"suffix":""}],"container-title":"Economic Geology","id":"ITEM-1","issue":"4","issued":{"date-parts":[["2003","6","1"]]},"page":"819-835","publisher":"GeoScienceWorld","title":"Formation of Willemite in Hydrothermal Environments","type":"article-journal","volume":"98"},"uris":["http://www.mendeley.com/documents/?uuid=4c9c525a-08fe-3237-88a8-e9d29f498cf9"]},{"id":"ITEM-2","itemData":{"DOI":"10.1007/S00126-016-0675-7/FIGURES/12","ISSN":"00264598","abstract":"Willemite (Zn2SiO4) usually reported in hypogene non-sulfide deposits is described as the main ore mineral in the carbonate-hosted Bou Arhous zinc deposit. This deposit is located in the High Atlas intracontinental range that formed during the Tertiary. Based on a set of microscopic observations, it was possible to establish that willemite replaces primary sphalerite. On the basis of cathodoluminescence imaging, three successive generations of willemite are distinguished, with evidence of dissolution–reprecipitation processes. Willemite is also variably enriched in Ge (up to 1000 ppm), while Ge contents lower than 100 ppm are reported in the primary sulfide minerals. Depending on the willemite generation, this substitution was positively or negatively correlated to the Zn-Pb substitution. According to the nature of zoning (sector versus oscillatory), the incorporation of Ge was either controlled by crystallographic factors or by the nature of the mineralizing fluids. Willemite is associated with other oxidation-related mineral species, like cerussite (PbCO3) but is not in isotopic equilibrium and therefore not considered to be cogenetic. Oxygen isotope compositions support the formation of willemite at temperatures below 130 °C, from mixed meteoric and deeper, hydrothermal fluids. The formation of the High Atlas Belt during the Tertiary has contributed to the exhumation of the sulfide minerals and the development of vertical conduits for percolation of meteoric water and ascending hydrothermal fluids. In addition to a local contribution of silicate minerals of the host limestone, hydrothermal fluids probably transported Si and Ge that are incorporated in willemite.","author":[{"dropping-particle":"","family":"Choulet","given":"F.","non-dropping-particle":"","parse-names":false,"suffix</w:instrText>
      </w:r>
      <w:r w:rsidRPr="00D95593">
        <w:rPr>
          <w:rFonts w:ascii="Times New Roman" w:hAnsi="Times New Roman"/>
          <w:lang w:val="en-US"/>
        </w:rPr>
        <w:instrText>":""},{"dropping-particle":"","family":"Barbanson","given":"Luc","non-dropping-particle":"","parse-names":false,"suffix":""},{"dropping-particle":"","family":"Buatier","given":"Martine","non-dropping-particle":"","parse-names":false,"suffix":""},{"dropping-particle":"","family":"Richard","given":"James","non-dropping-particle":"","parse-names":false,"suffix":""},{"dropping-particle":"","family":"Vennemann","given":"Torsten","non-dropping-particle":"","parse-names":false,"suffix":""},{"dropping-particle":"","family":"Ennaciri","given":"Aomar","non-dropping-particle":"","parse-names":false,"suffix":""},{"dropping-particle":"","family":"Zouhair","given":"Mohamed","non-dropping-particle":"","parse-names":false,"suffix":""}],"container-title":"Mineralium Deposita","id":"ITEM-2","issued":{"date-parts":[["2017","10","1"]]},"page":"1085-1102","publisher":"Springer Verlag","title":"Characterization and origin of low-T willemite (Zn2SiO4) mineralization: the case of the Bou Arhous deposit (High Atlas, Morocco)","type":"article-journal","volume":"52"},"uris":["http://www.mendeley.com/documents/?uuid=bc98849a-96c9-3f9e-9c81-adb303a1788f"]}],"mendeley":{"formattedCitation":"(Brugger et al., 2003; Choulet et al., 2017)","plainTextFormattedCitation":"(Brugger et al., 2003; Choulet et al., 2017)","previouslyFormattedCitation":"(Brugger et al., 2003; Choulet et al., 2017)"},"properties":{"noteIndex":0},"schema":"https://github.com/citation-style-language/schema/raw/master/csl-citation.json"}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(Brugger et al., 2003; Choulet et al., 2017)</w:t>
      </w:r>
      <w:r w:rsidRPr="00D95593">
        <w:rPr>
          <w:rFonts w:ascii="Times New Roman" w:hAnsi="Times New Roman"/>
          <w:lang w:val="fr-BE"/>
        </w:rPr>
        <w:fldChar w:fldCharType="end"/>
      </w:r>
      <w:r w:rsidRPr="00D95593">
        <w:rPr>
          <w:rFonts w:ascii="Times New Roman" w:hAnsi="Times New Roman"/>
          <w:lang w:val="en-US"/>
        </w:rPr>
        <w:t>: (i) hydrothermal willemite is stable under temperature &gt;100°C, neutral to basic pH, oxidized conditions and/or in the absence of dissolved sulfides which may suggest the absence of hydrothermal event after the formation of primary sulfides, and/or more acidic pH that are correlated with the low abundance of (Cu-)Zn-carbonates; (ii) supergene willemite (~25°C) forms under high pH, high silica activity, and low pCO</w:t>
      </w:r>
      <w:r w:rsidRPr="00D95593">
        <w:rPr>
          <w:rFonts w:ascii="Times New Roman" w:hAnsi="Times New Roman"/>
          <w:vertAlign w:val="subscript"/>
          <w:lang w:val="en-US"/>
        </w:rPr>
        <w:t>2</w:t>
      </w:r>
      <w:r w:rsidRPr="00D95593">
        <w:rPr>
          <w:rFonts w:ascii="Times New Roman" w:hAnsi="Times New Roman"/>
          <w:lang w:val="en-US"/>
        </w:rPr>
        <w:t>. Meteoric fluids are more than likely enriched in silica, as indicated by the abundance of other (Zn-)silicates, and the low pCO</w:t>
      </w:r>
      <w:r w:rsidRPr="00D95593">
        <w:rPr>
          <w:rFonts w:ascii="Times New Roman" w:hAnsi="Times New Roman"/>
          <w:vertAlign w:val="subscript"/>
          <w:lang w:val="en-US"/>
        </w:rPr>
        <w:t xml:space="preserve">2 </w:t>
      </w:r>
      <w:r w:rsidRPr="00D95593">
        <w:rPr>
          <w:rFonts w:ascii="Times New Roman" w:hAnsi="Times New Roman"/>
          <w:lang w:val="en-US"/>
        </w:rPr>
        <w:t>is supported by the near-absence of azurite which also forms at higher pCO</w:t>
      </w:r>
      <w:r w:rsidRPr="00D95593">
        <w:rPr>
          <w:rFonts w:ascii="Times New Roman" w:hAnsi="Times New Roman"/>
          <w:vertAlign w:val="subscript"/>
          <w:lang w:val="en-US"/>
        </w:rPr>
        <w:t xml:space="preserve">2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{"citationItems":[{"id":"ITEM-1","itemData":{"DOI":"10.3390/min10070620","ISSN":"2075163X","abstract":"The giant Tizert copper deposit is considered as the largest copper resource in the western Anti-Atlas (Morocco). The site is characterized by Cu mineralization carried by malachite, chalcocite, covellite, bornite and chalcopyrite; azurite is not observed. The host rocks are mainly limestones (Formation of Tamjout Dolomite) and sandstones/siltstones (Basal Series) of the Ediacaran/Cambrian transition. The supergene enrichment is most likely related to episodes of uplift/doming (last event since 30 Ma), which triggered the exhumation of primary/hypogene mineralization (chalcopyrite, pyrite, galena, chalcocite I and bornite I), generating their oxidation and the precipitation of secondary/supergene sulfides, carbonates and Fe-oxyhydroxides. The Tizert supergene deposit mainly consists of (i) a residual patchwork of laterite rich in Fe-oxyhydroxides; (ii) a saprolite rich in malachite, or “green oxide zone” where primary structures such as stratification are preserved; (iii) a cementation zone containing secondary sulfides (covellite, chalcocite II and bornite II). The abundance of Cu carbonates results from the rapid neutralization of acidic meteoric fluid</w:instrText>
      </w:r>
      <w:r w:rsidRPr="00D95593">
        <w:rPr>
          <w:rFonts w:ascii="Times New Roman" w:hAnsi="Times New Roman"/>
          <w:lang w:val="fr-BE"/>
        </w:rPr>
        <w:instrText>s, due to oxidation of primary sulfides, by carbonate host rocks. Chlorite is also involved in the neutralization processes in the sandstones/siltstones of the Basal Series, in which supergene clays, such as kaolinite and smectites, subsequently precipitated. At Tizert, as can be highlighted in other supergene Cu-deposits around the world, azurite is absent due to low pCO2 and relatively high pH conditions. In addition to copper, Ag enrichment is also observed in weathered rocks; Fe-oxyhydroxides contain high Zn, As, and Pb contents. However, these secondary enrichments are quite low compared to Cu in the whole Tizert site, which is therefore, considered as relatively homogeneous.","author":[{"dropping-particle":"","family":"Poot","given":"Julien","non-dropping-particle":"","parse-names":false,"suffix":""},{"dropping-particle":"","family":"Verhaert","given":"Michèle","non-dropping-particle":"","parse-names":false,"suffix":""},{"dropping-particle":"","family":"Dekoninck","given":"Augustin","non-dropping-particle":"","parse-names":false,"suffix":""},{"dropping-particle":"","family":"Oummouch","given":"Abdellah","non-dropping-particle":"","parse-names":false,"suffix":""},{"dropping</w:instrText>
      </w:r>
      <w:r w:rsidRPr="00D95593">
        <w:rPr>
          <w:rFonts w:ascii="Times New Roman" w:hAnsi="Times New Roman"/>
          <w:lang w:val="en-US"/>
        </w:rPr>
        <w:instrText>-particle":"El","family":"Basbas","given":"Abdelaziz","non-dropping-particle":"","parse-names":false,"suffix":""},{"dropping-particle":"","family":"Maacha","given":"Lhou","non-dropping-particle":"","parse-names":false,"suffix":""},{"dropping-particle":"","family":"Yans","given":"Johan","non-dropping-particle":"","parse-names":false,"suffix":""}],"container-title":"Minerals","id":"ITEM-1","issue":"7","issued":{"date-parts":[["2020"]]},"page":"620","title":"Characterization of weathering processes of the giant copper deposit of tizert (Igherm inlier, anti-atlas, Morocco)","type":"article-journal","volume":"10"},"uris":["http://www.mendeley.com/documents/?uuid=26abcb5f-c889-34db-bd6f-fb1f085b6831"]},{"id":"ITEM-2","itemData":{"ISSN":"15387445","PMID":"2912553","author":[{"dropping-particle":"","family":"Vink","given":"B.W.","non-dropping-particle":"","parse-names":false,"suffix":""}],"container-title":"Mineralogical Magazine","id":"ITEM-2","issued":{"date-parts":[["1986"]]},"page":"41-47","title":"Stability relations of malachite and azurite","type":"article-journal","volume":"50"},"uris":["http://www.mendeley.com/documents/?uuid=9455dde9-1a4e-485c-950f-a329cb75353b"]}],"mendeley":{"formattedCitation":"(Poot et al., 2020; Vink, 1986)","plainTextFormattedCitation":"(Poot et al., 2020; Vink, 1986)","previouslyFormattedCitation":"(Poot et al., 2020; Vink, 1986)"},"properties":{"noteIndex":0},"schema":"https://github.com/citation-style-language/schema/raw/master/csl-citation.json"}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(Poot et al., 2020; Vink, 1986)</w:t>
      </w:r>
      <w:r w:rsidRPr="00D95593">
        <w:rPr>
          <w:rFonts w:ascii="Times New Roman" w:hAnsi="Times New Roman"/>
          <w:lang w:val="fr-BE"/>
        </w:rPr>
        <w:fldChar w:fldCharType="end"/>
      </w:r>
      <w:r w:rsidRPr="00D95593">
        <w:rPr>
          <w:rFonts w:ascii="Times New Roman" w:hAnsi="Times New Roman"/>
          <w:lang w:val="en-US"/>
        </w:rPr>
        <w:t xml:space="preserve"> in comparison with malachite. These features suggest that high pH is not reached at Tassrirt, or locally.</w:t>
      </w:r>
    </w:p>
    <w:p w14:paraId="7AB71D40"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Despite high As content in weathered samples, arsenates are limited to beudantite and some olivenite occurrences generally associated to beaverite-osarizawaite (Figures 5B, 6H). While Fe-(oxyhydr)oxides surfaces seems to retain the bulk of As via adsorption (Figures 7A; ESM1), as already described in other supergene environments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{"citationItems":[{"id":"ITEM-1","itemData":{"DOI":"10.1007/s00126-017-0753-5","ISSN":"0026-4598","abstract":"In the Moroccan High Atlas, two sulfide deposits hosted by Jurassic dolostones underwent significant weathering. In the Cu deposit of Jbel Klakh, several stages of supergene mineralization are distinguished: (1) the replacement of hypogene sulfides in the protolith (chalcopyrite) by secondary sulfides in the cementation zone (bornite, digenite, chalcocite, covellite), (2) the formation of oxidized minerals in the saprolite (malachite, azurite, brochantite) where the environment becomes more oxidizing and neutral, and (3) the precipitation of late carbonates (calcite) and iron (hydr-)oxides in the laterite. The precipitation of carbonates is related to the dissolution of dolomitic host rocks, which buffers the fluid acidity due to the oxidation of sulfides. In the Jbel Haouanit Pb-Zn deposit, the mineral assemblage is dominated by typical calamine minerals, Cu minerals (chalcocite, covellite, malachite), and a Cu-Pb-Zn vanadate (mottramite). Galena is successively weathered in anglesite and cerussite. Sphalerite is weathered in smithsonite, which is rapidly replaced by hydrozincite. Late iron (hydr-)oxides are mainly found at the top of both deposits (laterite). Both deposits are thus characterized by specific mineral zoning, from laterite to protolith, related to variations in the mineralogy and ore grades and probably caused by varying Eh-pH conditions. Copyright 2017 Springer-Verlag GmbH Germany","author":[{"dropping-particle":"","family":"Verhaert","given":"Michèle","non-dropping-particle":"","parse-names":false,"suffix":""},{"dropping-particle":"","family":"Bernard","given":"Alain","non-dropping-particle":"","parse-names":false,"suffix":""},{"dropping-particle":"","family":"Dekoninck","given":"Augustin","non-dropping-particle":"","parse-names":false,"suffix":""},{"dropping-particle":"","family":"Lafforgue","given":"Ludovic","non-dropping-particle":"","parse-names":false,"suffix":""},{"dropping-particle":"","family":"Saddiqi","given":"Omar","non-dropping-particle":"","parse-names":false,"suffix":""},{"dropping-particle":"","family":"Yans","given":"Johan","non-dropping-particle":"","parse-names":false,"suffix":""}],"container-title":"Mineralium Deposita","id":"ITEM-1","issue":"7","issued":{"date-parts":[["2017","10","26"]]},"note":"Accession Number: 2018-008890; Language: English; Coordinates: N323400N323800W0014100W0022700; Coden: MIDEBE; Collation: 20; Collation: 1049-1068; Publication Types: Serial; Abstract Only; Updated Code: 201802; Illustration(s): illus. incl. 1 table, geol. sketch ma</w:instrText>
      </w:r>
      <w:r w:rsidRPr="00D95593">
        <w:rPr>
          <w:rFonts w:ascii="Times New Roman" w:hAnsi="Times New Roman"/>
          <w:lang w:val="fr-BE"/>
        </w:rPr>
        <w:instrText>p; Number of References: 94; Monograph Title: Supergene ore deposits; Monograph Author(s): Orberger, Beate; Cathelineau, Michel ; Reviewed Item: Analytic","page":"1049-1068","publisher":"Springer-Verlag : Berlin, Germany","publisher-place":"Universite de Namur, Departement de Geologie, Namur, Belgium","title":"Mineralogical and geochemical characterization of supergene Cu–Pb–Zn–V ores in the Oriental High Atlas, Morocco","type":"article-journal","volume":"52"},"uris":["http://www.mendeley.com/documents/?uuid=8845e232-59e4-450b-ae5e-85ab2190ffde"]},{"id":"ITEM-2","itemData":{"DOI":"10.3390/min8020039","ISSN":"2075163X","abstract":"© 2018 by the authors. Licensee MDPI, Basel, Switzerland. The Jbel Rhals deposit, located in the Oriental High Atlas of Morocco, hosts a polymetallic Fe-Mn-Cu ore. Large metric veins of goethite and pyrolusite cut through Paleozoic schists that are overlaid by Permian-Triassic basalts and Triassic conglomerates. The genesis of this deposit is clearly polyphased, resulting from supergene processes superimposed over hydrothermal phases. The flow of Permian-Triassic basalts probably generated the circulation of hydrothermal fluids through the sedimentary series, the alteration of basalts and schists, and the formation of hydrothermal primary ore composed of carbonates (siderite) and Cu-Fe sulfides. Several episodes of uplift triggered the exhumation of ores and host rocks, generating their weathering and the precipitation of a supergene ore assemblage (goethite, pyrolusite, malachite and calcite). In the Paleozoic basement, Fe-Mn oxihydroxides are mostly observed as rhombohedral crystals that correspond to the pseudomorphose of a primary mineral thought to be siderite; goethite precipitated first, rapidly followed by pyrolusite and other Mn oxides. Malachite formed later, with calcite, in fine millimetric veins cutting through host-rock schists, conglomerates and Fe-Mn ores.","author":[{"dropping-particle":"","family":"Verhaert","given":"Michèle","non-dropping-particle":"","parse-names":false,"suffix":""},{"dropping-particle":"","family":"Bernard","given":"Alain","non-dropping-particle":"","parse-names":false,"suffix":""},{"dropping-particle":"","family":"Saddiqi","given":"Omar","non-dropping-particle":"","parse-names":false,"suffix":""},{"dropping-particle":"","family":"Dekoninck","given":"Augustin","non-dropping-particle":"","parse-names":false,"suffix":""},{"dropping-particle":"","family":"Essalhi","given":"Mourad","non-dropping-particle":"","parse-names":false,"suffix":""},{"dropping-particle":"","family":"Yans","given":"Johan","non-dropping-particle":"","parse-names":false,"suffix":""}],"container-title":"Minerals","id":"ITEM-2","issue":"2","issued":{"date-parts":[["2018","1","25"]]},"page":"39","publisher":"Multidisciplinary Digital Publishing Institute","title":"Mineralogy and genesis of the polymetallic and polyphased low grade Fe-Mn-Cu ore of Jbel Rhals deposit (Eastern High Atlas, Morocco)","type":"article-journal","volume":"8"},"uris":["http://www.mendeley.com/documents/?uuid=81d07b00-d956-3426-8f7d-2548eab3db47"]},{"id":"ITEM-3","itemData":{"DOI":"10.1007/S00126-010-0305-8/FIGURES/3","ISSN":"00264598","abstract":"The Katanga province, Democratic Republic of Congo, hosts world-class cobalt deposits accounting for ~50% of the world reserves. They originated from sediment-hosted stratiform copper and cobalt sulfide deposits within Neoproterozoic metasedimentary rocks. Heterogenite, the main oxidized cobalt mineral, is concentrated as \"cobalt caps\" along the top of silicified dolomite inselbergs. The supergene cobalt enrichment process is part of a regional process of residual ore formation that also forms world-class \"manganese cap\" deposits in western Katanga, i. e., the \"black earths\" that are exploited by both industrial and artisanal mining. Here, we provide constraints on the genesis and the timing of these deposits. Ar-Ar analyses of oxidized Mn ore and in situ U-Pb SIMS measurements of heterogenite yield Mio-Pliocene ages. The Ar-Ar ages suggest a multi-phase process, starting in the Late Miocene (10-5 Ma), when the metal-rich substratum was exposed to the action of meteoric fluids, due to major regional uplift. Further oxidation took place in the Pliocene (3. 7-2. 3 Ma) and formed most of the observed deposits under humid conditions: Co- and Mn-caps on metal-rich substrata, and coeval Fe laterites on barren areas. These deposits formed prior to the regional shift toward more arid conditions in Central Africa. Arid conditions still prevailed during the Quaternary and resulted in erosion and valley incision, which dismantled the metal-bearing caps and led to ore accumulation in valleys and along foot slopes. © 2010 Springer-Verlag.","author":[{"dropping-particle":"","family":"Decrée","given":"Sophie","non-dropping-particle":"","parse-names":false,"suffix":""},{"dropping-particle":"","family":"Deloule","given":"Étienne","non-dropping-particle":"","parse-names":false,"suffix":""},{"dropping-particle":"","family":"Ruffet","given":"Gilles","non-dropping-particle":"","parse-names":false,"suffix":""},{"dropping-particle":"","family":"Dewaele","given":"Stijn","non-dropping-particle":"","parse-names":false,"suffix":""},{"dropping-particle":"","family":"Mees","given":"Florias","non-dropping-particle":"","parse-names":false,"suffix":""},{"dropping-particle":"","family":"Marignac","given":"Christian","non-dropping-particle":"","parse-names":false,"suffix":""},{"dropping-particle":"","family":"Yans","given":"Johan","non-dropping-particle":"","parse-names":false,"suffix":""},{"dropping-particle":"","family":"Putter","given":"Thierry","non-dropping-particle":"de","parse-names":false,"suffix":""}],"container-title":"Mineralium Deposita","id":"ITEM-3","issue":"7","issued":{"date-parts":[["2010","7","22"]]},"page":"621-629","publisher":"Springer","title":"Geodynamic and climate controls in the formation of Mio-Pliocene world-class oxidized cobalt and manganese ores in the Katanga province, DR Congo","type":"article-journal","volume":"45"},"uris":["http://www.mendeley.com/documents/?uuid=992a206d-582e-3fd3-bb02-2dd29b11d23c"]},{"id":"ITEM-4","itemData":{"DOI":"10.1016/0016-7037(86)90259-0","ISSN":"0016-7037","abstract":"Concentrations of arsenic in surface or near-surface sediment in 12 of 13 cores from the three major basins of Loch Lomond are substantially enhanced, up to 675 mg/kg compared with background values of 15-50 mg/kg. Sedimentary As profiles are attributed to post-depositional enrichment processes since there are no recent significant sources of environmental As contamination, anthropogenic or natural, in the Loch Lomond area. The enrichments can be int</w:instrText>
      </w:r>
      <w:r w:rsidRPr="00D95593">
        <w:rPr>
          <w:rFonts w:ascii="Times New Roman" w:hAnsi="Times New Roman"/>
          <w:lang w:val="en-US"/>
        </w:rPr>
        <w:instrText xml:space="preserve">erpreted in terms of post-depositional diagenetic remobilization processes in sediment reducing zones, followed by upward migration of As through interstitial waters and oxidation/adsorption/precipitation reactions in near-surface oxidizing layers. Confirmation of the diagenetic/adsorption hypothesis is provided directly by the analysis of As species (1.5-81 </w:instrText>
      </w:r>
      <w:r w:rsidRPr="00D95593">
        <w:rPr>
          <w:rFonts w:ascii="Times New Roman" w:hAnsi="Times New Roman"/>
          <w:lang w:val="fr-BE"/>
        </w:rPr>
        <w:instrText>μ</w:instrText>
      </w:r>
      <w:r w:rsidRPr="00D95593">
        <w:rPr>
          <w:rFonts w:ascii="Times New Roman" w:hAnsi="Times New Roman"/>
          <w:lang w:val="en-US"/>
        </w:rPr>
        <w:instrText>g/l) in pore water and indirectly via comparison with sedimentary phosphorus. © 1986.","author":[{"dropping-particle":"","family":"Farmer","given":"J. G.","non-dropping-particle":"","parse-names":false,"suffix":""},{"dropping-particle":"","family":"Lovell","given":"M. A.","non-dropping-particle":"","parse-names":false,"suffix":""}],"container-title":"Geochimica et Cosmochimica Acta","id":"ITEM-4","issue":"9","issued":{"date-parts":[["1986","9","1"]]},"page":"2059-2067","publisher":"Pergamon","title":"Natural enrichment of arsenic in Loch Lomond sediments","type":"article-journal","volume":"50"},"uris":["http://www.mendeley.com/documents/?uuid=e0594a7c-539e-3624-b8c8-f9d85849657e"]}],"mendeley":{"formattedCitation":"(Decrée et al., 2010; Farmer and Lovell, 1986; Verhaert et al., 2018, 2017)","plainTextFormattedCitation":"(Decrée et al., 2010; Farmer and Lovell, 1986; Verhaert et al., 2018, 2017)","previouslyFormattedCitation":"(Decrée et al., 2010; Farmer and Lovell, 1986; Verhaert et al., 2018, 2017)"},"properties":{"noteIndex":0},"schema":"https://github.com/citation-style-language/schema/raw/master/csl-citation.json"}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(Decrée et al., 2010; Farmer and Lovell, 1986; Verhaert et al., 2018, 2017)</w:t>
      </w:r>
      <w:r w:rsidRPr="00D95593">
        <w:rPr>
          <w:rFonts w:ascii="Times New Roman" w:hAnsi="Times New Roman"/>
          <w:lang w:val="fr-BE"/>
        </w:rPr>
        <w:fldChar w:fldCharType="end"/>
      </w:r>
      <w:r w:rsidRPr="00D95593">
        <w:rPr>
          <w:rFonts w:ascii="Times New Roman" w:hAnsi="Times New Roman"/>
          <w:lang w:val="en-US"/>
        </w:rPr>
        <w:t>. The beudantite assemblages, which is part of the alunite supergroup, also show notable Ga–Ge–Ag–Bi enrichments (e.g., Ge 183 ppm; Ga 109 ppm; Ag 37.7 ppm in 18TAS79), consistent with the gallobeudantite [PbGa</w:t>
      </w:r>
      <w:r w:rsidRPr="00D95593">
        <w:rPr>
          <w:rFonts w:ascii="Times New Roman" w:hAnsi="Times New Roman"/>
          <w:vertAlign w:val="subscript"/>
          <w:lang w:val="en-US"/>
        </w:rPr>
        <w:t>3</w:t>
      </w:r>
      <w:r w:rsidRPr="00D95593">
        <w:rPr>
          <w:rFonts w:ascii="Times New Roman" w:hAnsi="Times New Roman"/>
          <w:lang w:val="en-US"/>
        </w:rPr>
        <w:t>((AsO</w:t>
      </w:r>
      <w:r w:rsidRPr="00D95593">
        <w:rPr>
          <w:rFonts w:ascii="Times New Roman" w:hAnsi="Times New Roman"/>
          <w:vertAlign w:val="subscript"/>
          <w:lang w:val="en-US"/>
        </w:rPr>
        <w:t>4</w:t>
      </w:r>
      <w:r w:rsidRPr="00D95593">
        <w:rPr>
          <w:rFonts w:ascii="Times New Roman" w:hAnsi="Times New Roman"/>
          <w:lang w:val="en-US"/>
        </w:rPr>
        <w:t>),(SO</w:t>
      </w:r>
      <w:r w:rsidRPr="00D95593">
        <w:rPr>
          <w:rFonts w:ascii="Times New Roman" w:hAnsi="Times New Roman"/>
          <w:vertAlign w:val="subscript"/>
          <w:lang w:val="en-US"/>
        </w:rPr>
        <w:t>4</w:t>
      </w:r>
      <w:r w:rsidRPr="00D95593">
        <w:rPr>
          <w:rFonts w:ascii="Times New Roman" w:hAnsi="Times New Roman"/>
          <w:lang w:val="en-US"/>
        </w:rPr>
        <w:t>))</w:t>
      </w:r>
      <w:r w:rsidRPr="00D95593">
        <w:rPr>
          <w:rFonts w:ascii="Times New Roman" w:hAnsi="Times New Roman"/>
          <w:vertAlign w:val="subscript"/>
          <w:lang w:val="en-US"/>
        </w:rPr>
        <w:t>2</w:t>
      </w:r>
      <w:r w:rsidRPr="00D95593">
        <w:rPr>
          <w:rFonts w:ascii="Times New Roman" w:hAnsi="Times New Roman"/>
          <w:lang w:val="en-US"/>
        </w:rPr>
        <w:t>(OH)</w:t>
      </w:r>
      <w:r w:rsidRPr="00D95593">
        <w:rPr>
          <w:rFonts w:ascii="Times New Roman" w:hAnsi="Times New Roman"/>
          <w:vertAlign w:val="subscript"/>
          <w:lang w:val="en-US"/>
        </w:rPr>
        <w:t>6</w:t>
      </w:r>
      <w:r w:rsidRPr="00D95593">
        <w:rPr>
          <w:rFonts w:ascii="Times New Roman" w:hAnsi="Times New Roman"/>
          <w:lang w:val="en-US"/>
        </w:rPr>
        <w:t>] tendency (Tsumeb, Namibia) and highlighting this mineral group as trace</w:t>
      </w:r>
      <w:r w:rsidRPr="00D95593">
        <w:rPr>
          <w:rFonts w:ascii="Times New Roman" w:hAnsi="Times New Roman"/>
          <w:lang w:val="en-US"/>
        </w:rPr>
        <w:noBreakHyphen/>
        <w:t xml:space="preserve">metal host during weathering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{"citationItems":[{"id":"ITEM-1","itemData":{"DOI":"10.1016/j.oregeorev.2013.01.008","ISSN":"01691368","abstract":"Twelve massive sulphide deposits from the Iberian Pyrite Belt (IPB) show well-preserved iron caps, some of which were mined during the last century to recover precious metals (e.g., Tharsis, Rio Tinto, San Miguel). Field observations and correlation assays between the distinct mineral sequences at different deposits suggest that all the gossans were developed under similar conditions and have undergone the same geological events. All the gossans have a mushroom-like morphology in sharp contact with the underlying massive sulphide orebodies. In most cases these are located over an apparent supergene enrichment zone rich in secondary sulphides. Some gossans extend into tongues of alluvial heterolithic breccias consisting of eroded transported gossans displaced as far as several hundred meters away from their sources. The distribution of major minerals throughout the gossan profiles (goethite, hematite, quartz and jarosite) and the statistical analysis of the geochemical data distinguish three separate zones, with gradua</w:instrText>
      </w:r>
      <w:r w:rsidRPr="00D95593">
        <w:rPr>
          <w:rFonts w:ascii="Times New Roman" w:hAnsi="Times New Roman"/>
          <w:lang w:val="fr-BE"/>
        </w:rPr>
        <w:instrText>l contacts roughly parallel to the current topography: (1) the lower zone dominated by goethite and subordinate jarosite, with significant enrichment in S, As, P, Pb, Sn, Sb, Ag and Au; (2) the middle or principal zone dominated by goethite and lacking jarosite, which is depleted in S, and As, as well as heavy and precious metals; and (3) the upper zone near the surface, mainly composed of hematite and quartz with only weak anomalies in P, Pb and Sn. The origin and variations occurred in the profiles are explained by a three-stage process. This involves an initial acidic stage of gossan development centred on the oxidation of sulphides that lead to the formation of the first Fe-rich oxyhydroxides and sulphates (mainly goethite and jarosite, respectively). Over time, a progressive stage of maturity is reached progressively downwards through the gossan profile due to the intensification of the oxidation and leaching processes. The ongoing gossan formation produced alteration and reprecipitation of pre-existing oxyhydroxides, the loss of the majority of the previously sorbed heavy metals, and a major dilution of trace elements especially in the zones near the surface. The main results of this stage of formation are the production of heavy metal-depleted oxyhydroxides, most commonly goethite and hematite, and the disappearance of jarosite. Subsequently, local uplift of the gossanous rocks by neotectonic movements facilitated the rejuvenation of…","author":[{"dropping-particle":"","family":"Velasco","given":"F.","non-dropping-particle":"","parse-names":false,"suffix":""},{"dropping-particle":"","family":"Herrero","given":"J. M.","non-dropping-particle":"","parse-names":false,"suffix":""},{"dropping-particle":"","family":"Suárez","given":"S.","non-dropping-particle":"","parse-names":false,"suffix":""},{"dropping-particle":"","family":"Yusta","given":"I.","non-dropping-particle":"","parse-names":false,"suffix":""},{"dropping-particle":"","family":"Alvaro","given":"A.","non-dropping-particle":"","parse-names":false,"suffix":""},{"dropping-particle":"","family":"Tornos","given":"F.","non-dropping-particle":"","parse-names":false,"suffix":""}],"container-title":"Ore Geology Reviews","id":"ITEM-1","issued":{"date-parts":[["2013","9","1"]]},"page":"181-203","publisher":"Elsevier","title":"Supergene features and evolution of gossans capping massive sulphide deposits in the Iberian Pyrite Belt","type":"article-journal","volume":"53"},"uris":["http://www.mendeley.com/documents/?uuid=196732e7-42f0-3a8a-a29d-917fe4166408"]},{"id":"ITEM-2","itemData":{"DOI":"10.1016/j.gexplo.2023.107336","abstract":"A R T I C L E I N F O Keywords: Waste rock Trace metal(loid)s Mineralogy Mobility A B S T R A C T Mining waste residues from the abandoned Pefka polymetallic epithermal deposit (northeastern Greece) were studied to document the products of sulfide oxidation and to evaluate the mobility of the wide range of trace metals and metalloids in these environments. Acidic to circumneutral waste rock and sediment samples (pH 3.3 to 6.7) are characterized by elevated As (up to 640 mg/kg), Cu (up to 1900 mg/kg), In (up to 11 mg/kg), Pb (up to 2300 mg/kg), Sb (up to 480 mg/kg) and Zn (up to 1500 mg/kg). The primary sulfide and sulfosalt minerals are almost completely transformed to gypsum as well as into different (hydr)oxide and (hydroxy)sulfate phases. Mineralogical investigation (powder X-ray diffraction, electron microprobe, Raman spectrometry) and sequential extraction revealed that As and Sb are principally stored in Fe(III) (hydr)oxides (especially goethite) and Pb hydroxysulfates (especially beudantite and hidalgoite). Fe (hydr)oxides also appear to be the main reservoirs of Cu and In. Lead is primarily bound to minerals of the beudantite group (especially beudantite, hidalgoite, and hinsdalite); while Zn is preferentially associated with Mn (hydr)oxides and minerals of the woodwardite group. The leaching test indicates that the Fe(III) (hydr)oxides and Fe(III)/Al(III) hydroxysulfate minerals retain the trace metal(loid)s efficiently but not completely (especially Cu and Zn). However, the mobility of most elements (especially As, In, Pb, and Sb) is very low because of the low solubility of hydroxysulfate minerals and the effective sorption of anionic metalloids under acidic to near-neutral conditions of the waste rocks and sediment.","author":[{"dropping-particle":"","family":"Drahota","given":"Petr","non-dropping-particle":"","parse-names":false,"suffix":""},{"dropping-particle":"","family":"Chatziantoniou","given":"Agni","non-dropping-particle":"","parse-names":false,"suffix":""},{"dropping-particle":"","family":"Mihaljevič","given":"Martin","non-dropping-particle":"","parse-names":false,"suffix":""},{"dropping-particle":"","family":"Culka","given":"Adam","non-dropping-particle":"","parse-names":false,"suffix":""},{"dropping-particle":"","family":"Melfou","given":"Margarita","non-dropping-particle":"","parse-names":false,"suffix":""},{"dropping-particle":"","family":"Melfos","given":"Vasilios","non-dropping-particle":"","parse-names":false,"suffix":""},{"dropping-particle":"","family":"Voudouris","given":"Panagiotis","non-dropping-particle":"","parse-names":false,"suffix":""}],"container-title":"Journal of Geochemical Exploration","id":"ITEM-2","issued":{"date-parts":[["2024"]]},"page":"107336","title":"A mineralogical and geochemical assessment of the As-, Cu-, In-, Pb-, Sb-, and Zn-rich mine wastes at the Pefka epithermal deposit, Greece","type":"article-journal","volume":"256"},"uris":["http://www.mendeley.com/documents/?uuid=04621023-f214-3914-b116-617752233f36"]},{"id":"ITEM-3","itemData":{"ISSN":"0008-4476","abstract":"Gallobeudantite, ideally PbGa 3 [(AsO 4 ),(SO 4 )] 2 (OH) 6 , is the newly defined Ga analogue of beudantite. It occurs as zoned rhombohedra, up to 200 mu m along an edge, in vugs in a single specimen of massive Cu-bearing sulfides from Tsumeb, Namibia. Gallobeudantite is variably pale yellow, greenish, or cream-colored, with a white to pale yellow streak, vitreous luster, even to conchoidal fracture, hardness of 4, and D(calc.) 4.61 g/cm 3 for Z = 3. The mineral is nonpleochroic, uniaxial negative, omega 1.763(5), epsilon 1.750(5). A single-crystal X-ray refinement of the structure (R = 0.078) showed the mineral to be rhombohedral, space group R3m, a 7.225(4), c 17.03(2) Aa, and isostructural with corkite. The strongest lines of the X-ray powder-diffraction pattern [d in Aa (l)(hkl)] are: 5.85(90)(101), 3.59(40)(110), 3.038(100)(113) and 2.271(40)(107). Within the crystals, in addition to gallobeudantite, are zones containing Ga-rich beudantite and hidalgoite, and the unnamed Ga analogues of segnitite, corkite, kintoreite, and arsenocrandallite. The last contains up to 12.7 wt.% GeO 2 , which is about 75% of the Ge substitution possible if the formula is assumed to be Ca(Ga,Al,Fe) 2 Ge (super 4+) (A</w:instrText>
      </w:r>
      <w:r w:rsidRPr="00D95593">
        <w:rPr>
          <w:rFonts w:ascii="Times New Roman" w:hAnsi="Times New Roman"/>
          <w:lang w:val="en-US"/>
        </w:rPr>
        <w:instrText>sO 4 ) 2 (OH) 6 . The new name gallobeudantite alludes to the predominance of Ga in the position occupied by Fe (super 3+) in beudantite-type minerals.","author":[{"dropping-particle":"","family":"Jambor","given":"John L","non-dropping-particle":"","parse-names":false,"suffix":""},{"dropping-particle":"","family":"Owens","given":"DeAlton R","non-dropping-particle":"","parse-names":false,"suffix":""},{"dropping-particle":"","family":"Grice","given":"Joel D","non-dropping-particle":"","parse-names":false,"suffix":""},{"dropping-particle":"","family":"Feinglos","given":"Mark N","non-dropping-particle":"","parse-names":false,"suffix":""}],"container-title":"The Canadian Mineralogist","id":"ITEM-3","issue":"6","issued":{"date-parts":[["1996","12","1"]]},"page":"1305-1315","title":"Gallobeudantite, PbGa 3 [(AsO 4 ),(SO 4 )] 2 (OH) 6 , a new mineral species from Tsumeb, Namibia, and associated new gallium analogues of the alunite-jarosite family","type":"article-journal","volume":"34"},"uris":["http://www.mendeley.com/documents/?uuid=c800229d-d24e-439b-8ce1-adb7ce533246"]}],"mendeley":{"formattedCitation":"(Drahota et al., 2024; Jambor et al., 1996; Velasco et al., 2013)","plainTextFormattedCitation":"(Drahota et al., 2024; Jambor et al., 1996; Velasco et al., 2013)","previouslyFormattedCitation":"(Drahota et al., 2024; Jambor et al., 1996; Velasco et al., 2013)"},"properties":{"noteIndex":0},"schema":"https://github.com/citation-style-language/schema/raw/master/csl-citation.json"}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(Drahota et al., 2024; Jambor et al., 1996; Velasco et al., 2013)</w:t>
      </w:r>
      <w:r w:rsidRPr="00D95593">
        <w:rPr>
          <w:rFonts w:ascii="Times New Roman" w:hAnsi="Times New Roman"/>
          <w:lang w:val="fr-BE"/>
        </w:rPr>
        <w:fldChar w:fldCharType="end"/>
      </w:r>
      <w:r w:rsidRPr="00D95593">
        <w:rPr>
          <w:rFonts w:ascii="Times New Roman" w:hAnsi="Times New Roman"/>
          <w:lang w:val="en-US"/>
        </w:rPr>
        <w:t>. These observations reveal metal</w:t>
      </w:r>
      <w:r w:rsidRPr="00D95593">
        <w:rPr>
          <w:rFonts w:ascii="Times New Roman" w:hAnsi="Times New Roman"/>
          <w:lang w:val="en-US"/>
        </w:rPr>
        <w:noBreakHyphen/>
        <w:t>specific micro</w:t>
      </w:r>
      <w:r w:rsidRPr="00D95593">
        <w:rPr>
          <w:rFonts w:ascii="Times New Roman" w:hAnsi="Times New Roman"/>
          <w:lang w:val="en-US"/>
        </w:rPr>
        <w:noBreakHyphen/>
        <w:t xml:space="preserve">domain chemistry (Pb–As–SO₄ rich) superimposed on the broader oxidizing regime and underscore potential environmental sinks for As and trace metals whose stability may hinge on future redox/pH fluctuations. The near absence of Zn in sulfates and arsenates suggests that Zn is less stable in solid form under acidic conditions than Cu, which is strongly present in these secondary mineral phases, together with Pb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{"citationItems":[{"id":"ITEM-1","itemData":{"DOI":"10.1007/BF00009564","ISSN":"0032079X","abstract":"Understanding the chemical speciation of metals in solution is necessary for evaluating their toxicity and mobility in soils. Soil samples from the Powder River Basin, Wyoming were extracted with distilled deionised H2O. Soil water extracts were subjected to chemical speciation to determine the relative distribution and chemical forms of copper (Cu), zinc (Zn) and lead (Pb) in acidic environments. As pyrite oxidised, the pH decreased from 6.6 to 2.4, concentration of dissolved sulfate (ST) increased from 259 to 4,388 mg L-1 and concentration of dissolved organic carbon (DOC) decreased from 56.9 to 14.4 mg L-1. Dissolved Cu concentrations ranged from 0.06 to 0.42 mg L-1 and dissolved Zn concentrations ranged from 0.084 to 4.60 mg L-1. Dissolved concentrations of Pb were found to be 0.003 to 0.046 mg L-1. Chemical speciation indicated that at near neutral pH, dissolved metal concentration in soil water extracts was dominated by DOC- metal complexes. At low pH, dissolved metal concentration in soil water extracts was dominated by free ionic forms (e.g. Cu2+, Zn2+, Pb2+) followed by ion pairs (e.g. CuSO40, ZnSOinf4sup0, PbSOin4sup0). Results obtained in this study suggest that as soil pH decreased, the availability and mobility of metal ions increased due to the chemical form in which these metal ions are present in soil solutions. © 1995 Kluwer Academic Publishers.","author":[{"dropping-particle":"","family":"Reddy","given":"K. J.","non-dropping-particle":"","parse-names":false,"suffix":""},{"dropping-particle":"","family":"Wang","given":"L.","non-dropping-particle":"","parse-names":false,"suffix":""},{"dropping-particle":"","family":"Gloss","given":"S. P.","non-dropping-particle":"","parse-names":false,"suffix":""}],"container-title":"Plant and Soil","id":"ITEM-1","issue":"1","issued":{"date-parts":[["1995","4"]]},"page":"53-58","publisher":"Kluwer Academic Publishers","title":"Solubility and mobility of copper, zinc and lead in acidic environments","type":"article-journal","volume":"171"},"uris":["http://www.mendeley.com/documents/?uuid=c5ee380b-04c4-3a79-9571-407cf8ecdcc6"]}],"mendeley":{"formattedCitation":"(Reddy et al., 1995)","plainTextFormattedCitation":"(Reddy et al., 1995)","previouslyFormattedCitation":"(Reddy et al., 1995)"},"properties":{"noteIndex":0},"schema":"https://github.com/citation-style-language/schema/raw/master/csl-citation.json"}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(Reddy et al., 1995)</w:t>
      </w:r>
      <w:r w:rsidRPr="00D95593">
        <w:rPr>
          <w:rFonts w:ascii="Times New Roman" w:hAnsi="Times New Roman"/>
          <w:lang w:val="fr-BE"/>
        </w:rPr>
        <w:fldChar w:fldCharType="end"/>
      </w:r>
      <w:r w:rsidRPr="00D95593">
        <w:rPr>
          <w:rFonts w:ascii="Times New Roman" w:hAnsi="Times New Roman"/>
          <w:lang w:val="en-US"/>
        </w:rPr>
        <w:t xml:space="preserve">. </w:t>
      </w:r>
    </w:p>
    <w:p w14:paraId="5DEA09C0"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lastRenderedPageBreak/>
        <w:t>REE patterns of both host rocks and secondary mineral assemblages are generally flat and close to the UCC composition. Minor deviations from this trend include MREE enrichments or LREE depletions observed in some alunite</w:t>
      </w:r>
      <w:r w:rsidRPr="00D95593">
        <w:rPr>
          <w:rFonts w:ascii="Times New Roman" w:hAnsi="Times New Roman"/>
          <w:lang w:val="en-US"/>
        </w:rPr>
        <w:noBreakHyphen/>
        <w:t>and (oxyhydr)oxide</w:t>
      </w:r>
      <w:r w:rsidRPr="00D95593">
        <w:rPr>
          <w:rFonts w:ascii="Times New Roman" w:hAnsi="Times New Roman"/>
          <w:lang w:val="en-US"/>
        </w:rPr>
        <w:noBreakHyphen/>
        <w:t xml:space="preserve">rich samples (Figures 4,7). The REE behaviour is governed primarily by pH, ligand availability, fluid-rock interactions and the presence of REE scavenging secondary minerals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{"citationItems":[{"id":"ITEM-1","itemData":{"DOI":"10.1016/S0377-0273(98)00117-6","ISSN":"0377-0273","abstract":"This work reports a study on the rare-earth element (REE) behaviour in the high-sulfidation-type superficial alteration and in the phyllic and propylitic alteration in the subsurface of the island of Vulcano. The results of this study demonstrate notable differences in the REE behaviour in the different alteration facies. In silicic alteration, all REE are equally strongly depleted; in advanced argillic alteration, LREE are quite immobile whereas HREE are strongly depleted; in intermediate argillic, phyllic and propylitic alteration, REE patterns are almost unchanged compared with their fresh rock equivalents. These features indicate that the behaviour of REE in hydrothermal alteration facies at La Fossa is mainly controlled by pH, availability of complexing ions in the fluid (mainly SO42- and, in the silicic facies, F-) and the presence of secondary minerals able to host REE in their structures. The origin of the acid fluids is related to the hypogenic introduction of prevalently magmatic acid gases produced by the degassing of the shallow magmatic system of La Fossa volcano. In the active high-temperature fumarolic field of La Fossa, REE behaviour illustrates the transition from a dry vapor system, corresponding to the high-temperature fumaroles, to a wet condensing system in the surrounding area. The results of this research, carried out on an active high-sulfidation system, provide a useful tool for the study of high-sulfidation epithermal ore deposits and particularly help to understand the alteration processes during the main stage of hypogene wall rock alteration.","author":[{"dropping-particle":"","family":"Fulignati","given":"Paolo","non-dropping-particle":"","parse-names":false,"suffix":""},{"dropping-particle":"","family":"Gioncada","given":"Anna","non-dropping-particle":"","parse-names":false,"suffix":""},{"dropping-particle":"","family":"Sbrana","given":"Alessandro","non-dropping-particle":"","parse-names":false,"suffix":""}],"container-title":"Journal of Volcanology and Geothermal Research","id":"ITEM-1","issue":"4","issued":{"date-parts":[["1999","3","1"]]},"page":"325-342","publisher":"Elsevier","title":"Rare-earth element (REE) behaviour in the alteration facies of the active magmatic–hydrothermal system of Vulcano (Aeolian Islands, Italy)","type":"article-journal","volume":"88"},"uris":["http://www.mendeley.com/documents/?uuid=499714f2-9176-36a9-be03-2ec892026756"]}],"mendeley":{"formattedCitation":"(Fulignati et al., 1999)","plainTextFormattedCitation":"(Fulignati et al., 1999)","previouslyFormattedCitation":"(Fulignati et al., 1999)"},"properties":{"noteIndex":0},"schema":"https://github.com/citation-style-language/schema/raw/master/csl-citation.json"}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(Fulignati et al., 1999)</w:t>
      </w:r>
      <w:r w:rsidRPr="00D95593">
        <w:rPr>
          <w:rFonts w:ascii="Times New Roman" w:hAnsi="Times New Roman"/>
          <w:lang w:val="fr-BE"/>
        </w:rPr>
        <w:fldChar w:fldCharType="end"/>
      </w:r>
      <w:r w:rsidRPr="00D95593">
        <w:rPr>
          <w:rFonts w:ascii="Times New Roman" w:hAnsi="Times New Roman"/>
          <w:lang w:val="en-US"/>
        </w:rPr>
        <w:t xml:space="preserve">. Fractionation trends are consistent with surface adsorption processes on (oxyhydr)oxides and clay minerals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{"citationItems":[{"id":"ITEM-1","itemData":{"DOI":"10.1007/s00126-017-0753-5","ISSN":"0026-4598","abstract":"In the Moroccan High Atlas, two sulfide deposits hosted by Jurassic dolostones underwent significant weathering. In the Cu deposit of Jbel Klakh, several stages of supergene mineralization are distinguished: (1) the replacement of hypogene sulfides in the protolith (chalcopyrite) by secondary sulfides in the cementation zone (bornite, digenite, chalcocite, covellite), (2) the formation of oxidized minerals in the saprolite (malachite, azurite, brochantite) where the environment becomes more oxidizing and neutral, and (3) the precipitation of late carbonates (calcite) and iron (hydr-)oxides in the laterite. The precipitation of carbonates is related to the dissolution of dolomitic host rocks, which buffers the fluid acidity due to the oxidation of sulfides. In the Jbel Haouanit Pb-Zn deposit, the mineral assemblage is dominated by typical calamine minerals, Cu minerals (chalcocite, covellite, malachite), and a Cu-Pb-Zn vanadate (mottramite). Galena is successively weathered in anglesite and cerussite. Sphalerite is weathered in smithsonite, which is rapidly replaced by hydrozincite. Late iron (hydr-)oxides are mainly found at the top of both deposits (laterite). Both deposits are thus characterized by specific mineral zoning, from laterite to p</w:instrText>
      </w:r>
      <w:r w:rsidRPr="00D95593">
        <w:rPr>
          <w:rFonts w:ascii="Times New Roman" w:hAnsi="Times New Roman"/>
          <w:lang w:val="fr-BE"/>
        </w:rPr>
        <w:instrText>rotolith, related to variations in the mineralogy and ore grades and probably caused by varying Eh-pH conditions. Copyright 2017 Springer-Verlag GmbH Germany","author":[{"dropping-particle":"","family":"Verhaert","given":"Michèle","non-dropping-particle":"","parse-names":false,"suffix":""},{"dropping-particle":"","family":"Bernard","given":"Alain","non-dropping-particle":"","parse-names":false,"suffix":""},{"dropping-particle":"","family":"Dekoninck","given":"Augustin","non-dropping-particle":"","parse-names":false,"suffix":""},{"dropping-particle":"","family":"Lafforgue","given":"Ludovic","non-dropping-particle":</w:instrText>
      </w:r>
      <w:r w:rsidRPr="00D95593">
        <w:rPr>
          <w:rFonts w:ascii="Times New Roman" w:hAnsi="Times New Roman"/>
          <w:lang w:val="en-US"/>
        </w:rPr>
        <w:instrText>"","parse-names":false,"suffix":""},{"dropping-particle":"","family":"Saddiqi","given":"Omar","non-dropping-particle":"","parse-names":false,"suffix":""},{"dropping-particle":"","family":"Yans","given":"Johan","non-dropping-particle":"","parse-names":false,"suffix":""}],"container-title":"Mineralium Deposita","id":"ITEM-1","issue":"7","issued":{"date-parts":[["2017","10","26"]]},"note":"Accession Number: 2018-008890; Language: English; Coordinates: N323400N323800W0014100W0022700; Coden: MIDEBE; Collation: 20; Collation: 1049-1068; Publication Types: Serial; Abstract Only; Updated Code: 201802; Illustration(s): illus. incl. 1 table, geol. sketch map; Number of References: 94; Monograph Title: Supergene ore deposits; Monograph Author(s): Orberger, Beate; Cathelineau, Michel ; Reviewed Item: Analytic","page":"1049-1068","publisher":"Springer-Verlag : Berlin, Germany","publisher-place":"Universite de Namur, Departement de Geologie, Namur, Belgium","title":"Mineralogical and geochemical characterization of supergene Cu–Pb–Zn–V ores in the Oriental High Atlas, Morocco","type":"article-journal","volume":"52"},"uris":["http://www.mendeley.com/documents/?uuid=8845e232-59e4-450b-ae5e-85ab2190ffde"]}],"mendeley":{"formattedCitation":"(Verhaert et al., 2017)","plainTextFormattedCitation":"(Verhaert et al., 2017)","previouslyFormattedCitation":"(Verhaert et al., 2017)"},"properties":{"noteIndex":0},"schema":"https://github.com/citation-style-language/schema/raw/master/csl-citation.json"}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(Verhaert et al., 2017)</w:t>
      </w:r>
      <w:r w:rsidRPr="00D95593">
        <w:rPr>
          <w:rFonts w:ascii="Times New Roman" w:hAnsi="Times New Roman"/>
          <w:lang w:val="fr-BE"/>
        </w:rPr>
        <w:fldChar w:fldCharType="end"/>
      </w:r>
      <w:r w:rsidRPr="00D95593">
        <w:rPr>
          <w:rFonts w:ascii="Times New Roman" w:hAnsi="Times New Roman"/>
          <w:lang w:val="en-US"/>
        </w:rPr>
        <w:t>, as well as with the minor proportion of accessory phosphate minerals such as monazite and xenotime that may partly influence the fractionation of REE. Although present in low abundance, such phases can have significant proportions of REE and exerting a measurable influence on whole</w:t>
      </w:r>
      <w:r w:rsidRPr="00D95593">
        <w:rPr>
          <w:rFonts w:ascii="Times New Roman" w:hAnsi="Times New Roman"/>
          <w:lang w:val="en-US"/>
        </w:rPr>
        <w:noBreakHyphen/>
        <w:t xml:space="preserve">rock REE patterns (e.g. sample 17TAS01B; Figure 6D). </w:t>
      </w:r>
    </w:p>
    <w:p w14:paraId="7684F213"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Fluid–rock interactions together with repeated dissolution–precipitation cycles and local disequilibrium, could provide an additional explanation about </w:t>
      </w:r>
      <w:r w:rsidRPr="00D95593">
        <w:rPr>
          <w:rFonts w:ascii="Times New Roman" w:hAnsi="Times New Roman"/>
          <w:lang w:val="en-GB"/>
        </w:rPr>
        <w:t>observed the REE patterns</w:t>
      </w:r>
      <w:r w:rsidRPr="00D95593">
        <w:rPr>
          <w:rFonts w:ascii="Times New Roman" w:hAnsi="Times New Roman"/>
          <w:lang w:val="en-US"/>
        </w:rPr>
        <w:t xml:space="preserve">. Neutral waters commonly display MREE enrichments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{"citationItems":[{"id":"ITEM-1","itemData":{"DOI":"10.1016/S0009-2541(96)00072-1","ISBN":"00092541/96","ISSN":"00092541","abstract":"Rare-earth element (REE) speciation was modelled in acid (2.9 ≤ pH ≤ 3.5), hypersaline groundwaters from Australia and from the Palo Duro Basin in Texas, USA, using a combined specific ion interaction (Pitzer model) and ion pairing model. The free metal ion species (i.e. Ln3+) is the dominant form of dissolved REEs in these systems, accounting for 40-70% of the dissolved metal in groundwater from Lake Tyrrell (Victoria, Australia), 50-90% of the REEs in groundwater from Lake Gilmore (Western Australia), and always &gt; 90% of each REE in the Texas groundwaters. (Lakes Tyrrell and Gilmore are actually dry lakes that act as groundwater discharge zones.) The abundance of the free metal ion species increases in these waters with increasing ionic strength and with decreasing pH. The free metal ion species is followed in abundance by REE-sulfate and REE-chloride complexes that account for: 20-50% and 10-15%, respectively, of the dissolved REEs in the groundwaters from Lake Tyrrell; 15-30% and 5-20%, respectively, in the groundwaters from Lake Gilmore; and &lt; 3% and &lt; 7%, respectively, in the Palo Duro Basin groundwaters. The groundwaters of the Lake Tyrrell system and the Palo Duro Basin are enriched in the middle REEs (MREEs) compared to both the light REEs (LREEs) and the heavy REEs (HREEs). (Only Nd, Sm, and Dy were determined in the Lake Gilmore groundwaters and, consequently, it is unclear whether these acid groundwaters are also enriched in the MREEs.) Previous investigators suggested that Fe-rich organic flocs, REE-phosphate complexation, and solid-liquid exchange reactions between terrestrial waters and MREE-enriched surface Fe-Mn coatings, suspended particulates, or secondary mineral phases within aquifer materials, may promote the development of MREE enrichments in natural waters. We propose that organic colloids and REE-phosphate complexes are insignificant in acidic natural waters in regards to MREE enrichments. Instead, solid-liquid exchange reactions or dissolution of surface coatings, suspended particulates, and/or secondary phases as well as sulfate complexation, more likely controls the development of MREE enrichments in acidic natural terrestrial waters.","author":[{"dropping-particle":"","family":"Johannesson","given":"Kevin H.","non-dropping-particle":"","parse-names":false,"suffix":""},{"dropping-particle":"","family":"Lyons","given":"W Berry","non-dropping-particle":"","parse-names":false,"suffix":""},{"dropping-particle":"","family":"Yelken","given":"Mary A","non-dropping-particle":"","parse-names":false,"suffix":""},{"dropping-particle":"","family":"Gaudette","given":"Henri E","non-dropping-particle":"","parse-names":false,"suffix":""},{"dropping-particle":"","family":"Stetzenbach","given":"Klaus J","non-dropping-particle":"","parse-names":false,"suffix":""}],"container-title":"Chemical Geology","id":"ITEM-1","issue":"1-4","issued":{"date-parts":[["1996"]]},"page":"125-144","title":"Geochemistry of the rare-earth elements in hypersaline and dilute acidic natural terrestrial waters: Complexation behavior and middle rare-earth element enrichments","type":"article-journal","volume":"133"},"uris":["http://www.mendeley.com/documents/?uuid=6fa0c9e1-8c83-31c9-9756-418cb3b17438"]}],"mendeley":{"formattedCitation":"(Johannesson et al., 1996)","plainTextFormattedCitation":"(Johannesson et al., 1996)","previouslyFormattedCitation":"(Johannesson et al., 1996)"},"properties":{"noteIndex":0},"schema":"https://github.com/citation-style-language/schema/raw/master/csl-citation.json"}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(Johannesson et al., 1996)</w:t>
      </w:r>
      <w:r w:rsidRPr="00D95593">
        <w:rPr>
          <w:rFonts w:ascii="Times New Roman" w:hAnsi="Times New Roman"/>
          <w:lang w:val="fr-BE"/>
        </w:rPr>
        <w:fldChar w:fldCharType="end"/>
      </w:r>
      <w:r w:rsidRPr="00D95593">
        <w:rPr>
          <w:rFonts w:ascii="Times New Roman" w:hAnsi="Times New Roman"/>
          <w:lang w:val="en-US"/>
        </w:rPr>
        <w:t>, while alkaline waters display strong HREE enrichment and associated LREE depletion due to CO</w:t>
      </w:r>
      <w:r w:rsidRPr="00D95593">
        <w:rPr>
          <w:rFonts w:ascii="Times New Roman" w:hAnsi="Times New Roman"/>
          <w:vertAlign w:val="subscript"/>
          <w:lang w:val="en-US"/>
        </w:rPr>
        <w:t>3</w:t>
      </w:r>
      <w:r w:rsidRPr="00D95593">
        <w:rPr>
          <w:rFonts w:ascii="Times New Roman" w:hAnsi="Times New Roman"/>
          <w:vertAlign w:val="superscript"/>
          <w:lang w:val="en-US"/>
        </w:rPr>
        <w:t xml:space="preserve">2- </w:t>
      </w:r>
      <w:r w:rsidRPr="00D95593">
        <w:rPr>
          <w:rFonts w:ascii="Times New Roman" w:hAnsi="Times New Roman"/>
          <w:lang w:val="en-US"/>
        </w:rPr>
        <w:t xml:space="preserve">complexation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{"citationItems":[{"id":"ITEM-1","itemData":{"DOI":"10.4319/LO.1994.39.5.1141","ISSN":"1939-5590","abstract":"This article is in Free Access Publication and may be downloaded using the “Download Full Text PDF” link at right. © 1994, by the Association for the Sciences of Limnology and Oceanography, Inc.","author":[{"dropping-particle":"","family":"Johannesson","given":"Kevin H.","non-dropping-particle":"","parse-names":false,"suffix":""},{"dropping-particle":"","family":"Lyons","given":"W. Berry","non-dropping-particle":"","parse-names":false,"suffix":""}],"container-title":"Limnology and Oceanography","id":"ITEM-1","issue":"5","issued":{"date-parts":[["1994","7","1"]]},"page":"1141-1154","publisher":"John Wiley &amp; Sons, Ltd","title":"The rare earth element geochemistry of Mono Lake water and the importance of carbonate complexing","type":"article-journal","volume":"39"},"uris":["http://www.mendeley.com/documents/?uuid=5a595b03-05ae-3b15-87cc-e34777a0224a"]}],"mendeley":{"formattedCitation":"(Johannesson and Lyons, 1994)","plainTextFormattedCitation":"(Johannesson and Lyons, 1994)","previouslyFormattedCitation":"(Johannesson and Lyons, 1994)"},"properties":{"noteIndex":0},"schema":"https://github.com/citation-style-language/schema/raw/master/csl-citation.json"}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(Johannesson and Lyons, 1994)</w:t>
      </w:r>
      <w:r w:rsidRPr="00D95593">
        <w:rPr>
          <w:rFonts w:ascii="Times New Roman" w:hAnsi="Times New Roman"/>
          <w:lang w:val="fr-BE"/>
        </w:rPr>
        <w:fldChar w:fldCharType="end"/>
      </w:r>
      <w:r w:rsidRPr="00D95593">
        <w:rPr>
          <w:rFonts w:ascii="Times New Roman" w:hAnsi="Times New Roman"/>
          <w:lang w:val="en-US"/>
        </w:rPr>
        <w:t xml:space="preserve">. Also, some authors reported preferential enrichment MREE in acidic waters owing to acid leaching of </w:t>
      </w:r>
      <w:r w:rsidRPr="00D95593">
        <w:rPr>
          <w:rFonts w:ascii="Times New Roman" w:hAnsi="Times New Roman"/>
          <w:lang w:val="en-GB"/>
        </w:rPr>
        <w:t xml:space="preserve">Fe-Mn-(oxyhydr)oxides </w:t>
      </w:r>
      <w:r w:rsidRPr="00D95593">
        <w:rPr>
          <w:rFonts w:ascii="Times New Roman" w:hAnsi="Times New Roman"/>
          <w:lang w:val="en-US"/>
        </w:rPr>
        <w:t xml:space="preserve">that are MREE-enriched </w:t>
      </w:r>
      <w:r w:rsidRPr="00D95593">
        <w:rPr>
          <w:rFonts w:ascii="Times New Roman" w:hAnsi="Times New Roman"/>
          <w:lang w:val="fr-BE"/>
        </w:rPr>
        <w:fldChar w:fldCharType="begin" w:fldLock="1"/>
      </w:r>
      <w:r w:rsidRPr="00D95593">
        <w:rPr>
          <w:rFonts w:ascii="Times New Roman" w:hAnsi="Times New Roman"/>
          <w:lang w:val="en-US"/>
        </w:rPr>
        <w:instrText xml:space="preserve">ADDIN CSL_CITATION {"citationItems":[{"id":"ITEM-1","itemData":{"DOI":"10.1016/0009-2541(94)00099-T","ISSN":"0009-2541","abstract":"A lake column profile was collected in 24 m of water from Colour Lake, Axel Heiberg Island, Northwest Territories, Canada, in early June of 1991 beneath 1.8 m of lake-ice. The rare-earth element (REE) concentrations of the acidic, fresh waters of Colour Lake were analyzed, along with the major solute chemistry, in order to investigate REE distribution and speciation in the low-pH waters. Previous studies indicate the lake is dominated by Ca2+, Mg2+ and SO42-, and has no measurable carbonate alkalinity. Shale-normalized REE patterns for the lake waters are all enriched in the middle REE's (MREE's) as compared to the light REE's (LREE's) and heavy REE's (HREE's). Dissolved REE concentrations in Colour Lake (e.g., 2.3-22 nmol kg-1 for Nd, mean value of 20 nmol kg-1) are typically less than values obtained for the acid, saline waters of the Lake Tyrrell playa system in Australia as well as the slightly acidic groundwaters of the Carnmenellis region of England but greater than REE concentrations measured in the alkaline, saline waters of Mono Lake, California, U.S.A. The speciation of the REE's in Colour Lake was modelled based on the major solute chemistry, using a combined specific ion interaction and ion </w:instrText>
      </w:r>
      <w:r w:rsidRPr="00D95593">
        <w:rPr>
          <w:rFonts w:ascii="Times New Roman" w:hAnsi="Times New Roman"/>
          <w:lang w:val="fr-BE"/>
        </w:rPr>
        <w:instrText>pairing model. These calculations suggest that in the relatively high-sulfate, low-pH waters of Colour Lake, the REE's exist as either free metal, SO42-, or F- complexes. Our calculations indicate that SO42- complexes dominate over the free metal and fluoride species for the majority of the REE's in the lake water and that, in general, for acidic, high-sulfate waters, sulfate complexes with the REE's may increase the dissolved concentrations of the REE's over natural waters where relatively low sulfate concentrations prevail. © 1995.","author":[{"dropping-particle":"","family":"Johannesson","given":"Kevin H.","non-dropping-particle":"","parse-names":false,"suffix":""},{"dropping-particle":"","family":"Lyons","given":"W. Berry","non-dropping-particle":"","parse-names":false,"suffix":""}],"container-title":"Chemical Geology","id":"ITEM-1","issue":"1-4","issued":{"date-parts":[["1995","1","5"]]},"page":"209-223","publisher":"Elsevier","title":"Rare-earth element geochemistry of Colour Lake, an acidic freshwater lake on Axel Heiberg Island, Northwest Territories, Canada","type":"article-journal","volume":"119"},"uris":["http://www.mendeley.com/documents/?uuid=30913a1a-a7a6-3b78-9272-47dd4ec704db"]},{"id":"ITEM-2","itemData":{"DOI":"10.1016/S0016-7037(98)00291-9","ISSN":"00167037","abstract":"Middle rare earth element (MREE) enriched rock-normalized rare earth element (REE) patterns of a dilute acidic lake (Colour Lake) in the Canadian High Arctic, were investigated by quantifying whole-rock REE concentrations of rock samples collected from the catchment basin, as well as determining the acid leachable REE fraction of these rocks. An aliquot of each rock sample was leached with 1 N HNO3 to examine the readily leachable REE fraction of each rock, and an additional aliquot was leached with a 0.04 M NH2OH · HCl in 25% (v/v) CH3COOH solution, designed specifically to reduce Fe-Mn oxides/oxyhydroxides. Rare earth elements associated with the leaches that reacted with clastic sedimentary rock samples containing petrographically identifiable Fe-Mn oxide/oxyhydroxide cements and/or minerals/amorphous phases, exhibited whole-rock-normalized REE patterns similar to the lake waters, whereas whole-rock-normalized leachates from mafic igneous rocks and other clastic sedimentary rocks from the catchment basin differed substantially from the lake waters. The whole-rock, leachates, and lake water REE data support acid leaching or dissolution of MREE enriched Fe-Mn oxides/oxyhydroxides contained and identified within some of the catchment basin sedimentary ro</w:instrText>
      </w:r>
      <w:r w:rsidRPr="00D95593">
        <w:rPr>
          <w:rFonts w:ascii="Times New Roman" w:hAnsi="Times New Roman"/>
          <w:lang w:val="en-US"/>
        </w:rPr>
        <w:instrText>cks as the likely source of the unique lake water REE patterns. Solution complexation modelling of the REEs in the inflow streams and lake waters indicate that free metal ions (e.g., Ln3+, where Ln = any REE) and sulfate complexes (LnSO4+) are the dominant forms of dissolved REEs. Consequently, solution complexation reactions involving the REEs during weathering, transport to the lake, or within the lake, cannot be invoked to explain the MREE enrichments observed in the lake waters.","author":[{"dropping-particle":"","family":"Johannesson","given":"Kevin H","non-dropping-particle":"","parse-names":false,"suffix":""},{"dropping-particle":"","family":"Zhou","given":"Xiaoping","non-dropping-particle":"","parse-names":false,"suffix":""}],"container-title":"Geochimica et Cosmochimica Acta","id":"ITEM-2","issue":"1","issued":{"date-parts":[["1999"]]},"page":"153-165","title":"Origin of middle rare earth element enrichments in acid waters of a Canadian High Arctic lake","type":"article-journal","volume":"63"},"uris":["http://www.mendeley.com/documents/?uuid=0e582e53-eafa-3eda-8360-82f8ee48a4ab"]}],"mendeley":{"formattedCitation":"(Johannesson and Lyons, 1995; Johannesson and Zhou, 1999)","plainTextFormattedCitation":"(Johannesson and Lyons, 1995; Johannesson and Zhou, 1999)","previouslyFormattedCitation":"(Johannesson and Lyons, 1995; Johannesson and Zhou, 1999)"},"properties":{"noteIndex":0},"schema":"https://github.com/citation-style-language/schema/raw/master/csl-citation.json"}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(Johannesson and Lyons, 1995; Johannesson and Zhou, 1999)</w:t>
      </w:r>
      <w:r w:rsidRPr="00D95593">
        <w:rPr>
          <w:rFonts w:ascii="Times New Roman" w:hAnsi="Times New Roman"/>
          <w:lang w:val="fr-BE"/>
        </w:rPr>
        <w:fldChar w:fldCharType="end"/>
      </w:r>
      <w:r w:rsidRPr="00D95593">
        <w:rPr>
          <w:rFonts w:ascii="Times New Roman" w:hAnsi="Times New Roman"/>
          <w:lang w:val="en-US"/>
        </w:rPr>
        <w:t xml:space="preserve">. Besides, hydrothermal alunite generally shows LREE/HREE fractionation (e.g., </w:t>
      </w:r>
      <w:r w:rsidRPr="00D95593">
        <w:rPr>
          <w:rFonts w:ascii="Times New Roman" w:hAnsi="Times New Roman"/>
          <w:lang w:val="fr-BE"/>
        </w:rPr>
        <w:fldChar w:fldCharType="begin" w:fldLock="1"/>
      </w:r>
      <w:r w:rsidRPr="00D95593">
        <w:rPr>
          <w:rFonts w:ascii="Times New Roman" w:hAnsi="Times New Roman"/>
          <w:lang w:val="en-US"/>
        </w:rPr>
        <w:instrText xml:space="preserve">ADDIN CSL_CITATION {"citationItems":[{"id":"ITEM-1","itemData":{"DOI":"10.1016/S0377-0273(98)00117-6","ISSN":"0377-0273","abstract":"This work reports a study on the rare-earth element (REE) behaviour in the high-sulfidation-type superficial alteration and in the phyllic and propylitic alteration in the subsurface of the island of Vulcano. The results of this study demonstrate notable differences in the REE behaviour in the different alteration facies. In silicic alteration, all REE are equally strongly depleted; in advanced argillic alteration, LREE are quite immobile whereas HREE are strongly depleted; in intermediate argillic, phyllic and propylitic alteration, REE patterns are almost unchanged compared with their fresh rock equivalents. These features indicate that the behaviour of REE in hydrothermal alteration facies at La Fossa is mainly controlled by pH, availability of complexing ions in the fluid (mainly SO42- and, in the silicic facies, F-) and the presence of secondary minerals able to host REE in their structures. The origin of the acid fluids is related to the hypogenic introduction of prevalently magmatic acid gases produced by the degassing of the shallow magmatic system of La Fossa volcano. In the active high-temperature fumarolic field of La Fossa, REE behaviour illustrates the transition from a dry vapor system, corresponding to the high-temperature fumaroles, to a wet condensing </w:instrText>
      </w:r>
      <w:r w:rsidRPr="00D95593">
        <w:rPr>
          <w:rFonts w:ascii="Times New Roman" w:hAnsi="Times New Roman"/>
          <w:lang w:val="fr-BE"/>
        </w:rPr>
        <w:instrText>system in the surrounding area. The results of this research, carried out on an active high-sulfidation system, provide a useful tool for the study of high-sulfidation epithermal ore deposits and particularly help to understand the alteration processes during the main stage of hypogene wall rock alteration.","author":[{"dropping-particle":"","family":"Fulignati","given":"Paolo","non-dropping-particle":"","parse-names":false,"suffix":""},{"dropping-particle":"","family":"Gioncada","given":"Anna","non-dropping-particle":"","parse-names":false,"suffix":""},{"dropping-particle":"","family":"Sbrana","given":"Alessandro","non-dropping-particle":"","parse-names":false,"suffix":""}],"container-title":"Journal of Volcanology and Geothermal Research","id":"ITEM-1","issue":"4","issued":{"date-parts":[["1999","3","1"]]},"page":"325-342","publisher":"Elsevier","title":"Rare-earth element (REE) behaviour in the alteration facies of the active magmatic–hydrothermal system of Vulcano (Aeolian Islands, Italy)","type":"article-journal","volume":"88"},"uris":["http://www.mendeley.com/documents/?uuid=499714f2-9176-36a9-be03-2ec892026756"]},{"id":"ITEM-2","itemData":{"DOI":"10.1016/S0012-8252(00)00035-0","ISSN":"0012-8252","abstract":"Aluminium phosphates and sulphates of the alunite supergroup (APS minerals) occur in a wide range of environments of formation covering the metamorphic, igneous and sedimentary realms. Supergene processes, including mineral dressing and dumping when sulphide ores are mined, as well as hypogene alteration are also responsible for the precipitation of APS minerals. In these environments, complex solid solution series (s.s.s.) can form. The general formula of these alunite minerals is AB3 (XO4)2(OH)6, where A is a large cation (Na, U, K, Ag, NH4, Pb, Ca, Ba, Sr, REE). B sites are occupied by cations of the elements Al, Fe, Cu and Zn. In nature, the anion (XO4)x- is dominated by P and S. Mineral dressing and identification of APS minerals often needs a combination of highly sophisticated measures including Atterberg settling methods, XRD, DTA, TGA, TEM-EDX, SEM, EMPA and XRF. In sedimentary rocks APS minerals occur in various rocks and environments of deposition: Calcareous, phosphorite-bearing, argillaceous-carbonaceous, arenaceous, coal-bearing environments, in soils and paleosols, in saprolite (bauxites, laterites) and in calcareous-argillaceous sequences hosting Carlin-type SHDG deposits. In igneous rocks, APS minerals may be encountered mainly in acidic through intermediate pyroclastic, volcanic and subvolcanic rocks. They occur in barren volcanic rocks and porphyry-type intrusions that have sparked epithermal Au-Ag-base metal deposits, Au-Sb mineralization, APS-bearing argillite and alunite deposits in their immediate surroundings. Granitic and pegmatitic rocks are rarely host of supergene APS mineralization. During low-grade stage regional metamorphism, peraluminous parent rocks originating from a sedimentary of igneous protolith may also give rise to APS mineralization. Peraluminous parent rocks enriched in S and/or P are a prerequisite for the formation of APS minerals that are stable up to a temperature of 400°C at moderately high fluid pressure of up to 1 kbar. The various APS mineralizations in nature occur in three zones; a fourth zone may be singled out when the enrichment of APS compounds in waste dumps, in acid mine drainage and during alum production is considered as part of the story. Zone I encompasses APS mineralization observed in metamorphic rocks of lowermost greenschist facies and igneous rocks that have undergone advanced argillic alteration with of without hydrothermal ore and non-metal mineralizations. Zone II following vertically…","author":[{"dropping-particle":"","family":"Dill","given":"Harald G.","non-dropping-particle":"","parse-names":false,"suffix":""}],"container-title":"Earth-Science Reviews","id":"ITEM-2","issue":"1-2","issued":{"date-parts":[["2001","3","1"]]},"page":"35-93","publisher":"Elsevier","title":"The geology of aluminium phosphates and sulphates of the alunite group minerals: a review","type":"article-journal","volume":"53"},"uris":["http://www.mendeley.com/documents/?uuid=7074fc82-9abd-3f86-a043-58f39b1a0327"]},{"id":"ITEM-3","itemData":{"DOI":"10.1016/J.JSEAES.2008.04.005","ISSN":"1367-9120","abstract":"The rhyolitic dome in the Rangan area has been subjected to hydrothermal alterations by two different systems, (1) A fossil magmatic-hydrothermal system with a powerful thermal engine of a deep monzodioritic magma, (2) An active hydrothermal system dominated by meteoric water. Based on mineralogical and geochemical studies, three different alteration facies have been identified (phyllic, advanced argillic and silicic) with notable differences in REE and other trace elements behaviour. In the phyllic alteration zone with assemblage minerals such as sericite, pyrite, quartz, kaolinite, LREE are relatively depleted whereas HREE are enriched. The advanced argillic zone is identified by the presence of alunite-jarosite and pyrophyllite as well as immobility of LREE and depletion in HREE. In the silicic zone, most of LREE are depleted but HREE patterns are unchanged compared to their fresh rock equivalents. All the REE fractionation ratios (La/Yb)cn, (La/Sm)cn, (Tb/Yb)cn, (Ce/Ce*)cn and (Eu/Eu*)cn are low in the phyllic altered facies. (Eu/Eu*)cn in both advanced and silicic facies is low too. In all alteration zones, high field strength elements (HFSE) (e.g. Ti, Zr, Nb) are depleted whereas transition elements (e.g. V, Cr, Co, Ni, Fe) are enriched. Geochemically speaking, trace and rare earth elements behave highly selective in different facies. © 2008.","author":[{"dropping-particle":"","family":"Parsapoor","given":"A.","non-dropping-particle":"","parse-names":false,"suffix":""},{"dropping-particle":"","family":"Khalili","given":"M.","non-dropping-particle":"","parse-names":false,"suffix":""},{"dropping-particle":"","family":"Mackizadeh","given":"M. A.","non-dropping-particle":"","parse-names":false,"suffix":""}],"container-title":"Journal of Asian Earth Sciences","id":"ITEM-3","issue":"2","issued":{"date-parts":[["2009","2","1"]]},"page":"123-134","publisher":"Pergamon","title":"The behaviour of trace and rare earth elements (REE) during hydrothermal alteration in the Rangan area (Central Iran)","type":"article-journal","volume":"34"},"uris":["http://www.mendeley.com/documents/?uuid=66485576-11e5-3ef1-8490-c82041b25b50"]},{"id":"ITEM-4","itemData":{"DOI":"https://doi.org/10.1016/j.chemer.2024.126204","ISSN":"0009-2819","abstract":"Hydrothermal alteration is a common process in volcanic and geothermally active areas. Interactions between host rock and hot, often acidic, fluids induce significant changes in texture, mineralogy, and geochemistry of the protolith, potentially impacting volcanoes stability. Southern Italy's volcanic regions are geothermally active, exhibiting conspicuous hydrothermal activity. Here, we focus on active hydrothermal acid-sulfate alteration in calc-alkaline (Panarea) and alkaline (Ischia - Solfatara) volcanic products in order to (1) spatially identify alteration assemblages using XRD, (2) determine the mobility of major and trace elements during hydrothermal alteration processes using FUS and ICP-MS, (3) estimate and compare the degree of alteration using alteration indices and elemental ratios. Our data reveal sulfur and sulfates sublimate next to the fumarole fields. Nearby fumaroles, alunite and kaolinite are the most abundant mineral phases in the alteration assemblages, often associated with amorphous silica, iron(hydr)oxides, smectites and gypsum. Kaolinite is rarely observed in La Solfatara assemblage. Comparison between the protolith and the alteration products geochemistry indicates that alteration retains the calco-alkaline or alkaline heritage, which confirms the usefulness of some chemical indices (PIA vs AI; (La + Ce)/Y vs (Zr + Hf)/(Ta + Nb) for alteration products. Despite comparable mineralogies, various degrees of alteration are observed in La Solfatara, Panarea and Ischia, constraining the alunite or kaolinite formation and highlighting local vs. global geochemical behaviors. We conclude that the (im)mobility of chemicals elements within the hydrothermal alteration - such as HFSE, REE or alkali - is mainly controlled by the protolith composition, the alteration intensity and mineralogy, pH, ionic strength and possibly crystallinity of alteration minerals.","author":[{"dropping-particle":"","family":"Bouvart","given":"Théo","non-dropping-particle":"","parse-names":false,"suffix":""},{"dropping-particle":"","family":"Poot","given":"Julien","non-dropping-particle":"","parse-names":false,"suffix":""},{"dropping-particle":"","family":"Dekoninck","given":"Augustin","non-dropping-particle":"","parse-names":false,"suffix":""},{"dropping-particle":"","family":"Schmit","given":"Flore","non-dropping-particle":"","parse-names":false,"suffix":""},{"dropping-particle":"","family":"Keutgen De Greef","given":"Maxime","non-dropping-particle":"","parse-names":false,"suffix":""},{"dropping-particle":"","family":"Auwera","given":"Jacqueline","non-dropping-particle":"Vander","parse-names":false,"suffix":""},{"dropping-particle":"","family":"Bernard","given":"Alain","non-dropping-particle":"","parse-names":false,"suffix":""},{"dropping-particle":"","family":"Yans","given":"Johan","non-dropping-particle":"","parse-names":false,"suffix":""}],"container-title":"Geochemistry","id":"ITEM-4","issue":"4","issued":{"date-parts":[["2024"]]},"page":"126204","title":"Alunite and kaolinite as geochemical markers in active acid sulfate alterations of southern Italy (Panarea, La Solfatara and Ischia)","type":"article-journal","volume":"84"},"uris":["http://www.mendeley.com/documents/?uuid=3a79b602-df06-42ba-b981-dfb38fbdd3b5"]}],"mendeley":{"formattedCitation":"(Bouvart et al., 2024; Dill, 2001; Fulignati et al., 1999; Parsapoor et al., 2009)","manualFormatting":"Bouvart et al., 2024; Dill, 2001; Fulignati et al., 1999; Parsapoor et al., 2009)","plainTextFormattedCitation":"(Bouvart et al., 2024; Dill, 2001; Fulignati et al., 1999; Parsapoor et al., 2009)","previouslyFormattedCitation":"(Bouvart et al., 2024; Dill, 2001; Fulignati et al., 1999; Parsapoor et al., 2009)"},"properties":{"noteIndex":0},"schema":"https://github.com/citation-style-language/schema/raw/master/csl-citation.json"}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fr-BE"/>
        </w:rPr>
        <w:t>Bouvart et al., 2024; Dill, 2001; Fulignati et al., 1999; Parsapoor et al., 2009)</w:t>
      </w:r>
      <w:r w:rsidRPr="00D95593">
        <w:rPr>
          <w:rFonts w:ascii="Times New Roman" w:hAnsi="Times New Roman"/>
          <w:lang w:val="fr-BE"/>
        </w:rPr>
        <w:fldChar w:fldCharType="end"/>
      </w:r>
      <w:r w:rsidRPr="00D95593">
        <w:rPr>
          <w:rFonts w:ascii="Times New Roman" w:hAnsi="Times New Roman"/>
          <w:lang w:val="fr-BE"/>
        </w:rPr>
        <w:t xml:space="preserve">. </w:t>
      </w:r>
      <w:r w:rsidRPr="00D95593">
        <w:rPr>
          <w:rFonts w:ascii="Times New Roman" w:hAnsi="Times New Roman"/>
          <w:lang w:val="en-US"/>
        </w:rPr>
        <w:t xml:space="preserve">Therefore, </w:t>
      </w:r>
      <w:r w:rsidRPr="00D95593">
        <w:rPr>
          <w:rFonts w:ascii="Times New Roman" w:hAnsi="Times New Roman"/>
          <w:lang w:val="en-GB"/>
        </w:rPr>
        <w:t xml:space="preserve">these processes </w:t>
      </w:r>
      <w:r w:rsidRPr="00D95593">
        <w:rPr>
          <w:rFonts w:ascii="Times New Roman" w:hAnsi="Times New Roman"/>
          <w:lang w:val="en-US"/>
        </w:rPr>
        <w:t>suggest no hydrothermal input, but rather formed alunite in supergene environment or low temperature conditions</w:t>
      </w:r>
    </w:p>
    <w:p w14:paraId="6547AF3F"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The flat UCC-normalized REE patterns indicate limited bulk fractionation during weathering, whereas slight variations from this trend reflect micromineral sinks (Figures 4, 7; ESM1).</w:t>
      </w:r>
    </w:p>
    <w:p w14:paraId="0A1AF6E8"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Considering that the paragenetic sequence is uncomplete due to local conditions (pH, eH, available metals), and successive/distinct episodes of weathering, the proposed paragenetic sequence for the Tassrirt deposit is as follows (Figure 8): primary sulfides (chalcopyrite, sphalerite, pyrite, tennantite) </w:t>
      </w:r>
      <w:r w:rsidRPr="00D95593">
        <w:rPr>
          <w:rFonts w:ascii="Wingdings" w:eastAsia="Wingdings" w:hAnsi="Wingdings" w:cs="Wingdings"/>
          <w:lang w:val="en-US"/>
        </w:rPr>
        <w:t>à</w:t>
      </w:r>
      <w:r w:rsidRPr="00D95593">
        <w:rPr>
          <w:rFonts w:ascii="Times New Roman" w:hAnsi="Times New Roman"/>
          <w:lang w:val="en-US"/>
        </w:rPr>
        <w:t xml:space="preserve"> secondary sulfides (residual chalcocite) </w:t>
      </w:r>
      <w:r w:rsidRPr="00D95593">
        <w:rPr>
          <w:rFonts w:ascii="Wingdings" w:eastAsia="Wingdings" w:hAnsi="Wingdings" w:cs="Wingdings"/>
          <w:lang w:val="en-US"/>
        </w:rPr>
        <w:t>à</w:t>
      </w:r>
      <w:r w:rsidRPr="00D95593">
        <w:rPr>
          <w:rFonts w:ascii="Times New Roman" w:hAnsi="Times New Roman"/>
          <w:lang w:val="en-US"/>
        </w:rPr>
        <w:t xml:space="preserve"> sulfates, arsenates </w:t>
      </w:r>
      <w:r w:rsidRPr="00D95593">
        <w:rPr>
          <w:rFonts w:ascii="Wingdings" w:eastAsia="Wingdings" w:hAnsi="Wingdings" w:cs="Wingdings"/>
          <w:lang w:val="en-US"/>
        </w:rPr>
        <w:t>à</w:t>
      </w:r>
      <w:r w:rsidRPr="00D95593">
        <w:rPr>
          <w:rFonts w:ascii="Times New Roman" w:hAnsi="Times New Roman"/>
          <w:lang w:val="en-US"/>
        </w:rPr>
        <w:t xml:space="preserve"> silicates (fraipontite, hemimorphite, clays) </w:t>
      </w:r>
      <w:r w:rsidRPr="00D95593">
        <w:rPr>
          <w:rFonts w:ascii="Wingdings" w:eastAsia="Wingdings" w:hAnsi="Wingdings" w:cs="Wingdings"/>
          <w:lang w:val="en-US"/>
        </w:rPr>
        <w:t>à</w:t>
      </w:r>
      <w:r w:rsidRPr="00D95593">
        <w:rPr>
          <w:rFonts w:ascii="Times New Roman" w:hAnsi="Times New Roman"/>
          <w:lang w:val="en-US"/>
        </w:rPr>
        <w:t xml:space="preserve"> carbonates (malachite, azurite, smithsonite, rosasite) </w:t>
      </w:r>
      <w:r w:rsidRPr="00D95593">
        <w:rPr>
          <w:rFonts w:ascii="Wingdings" w:eastAsia="Wingdings" w:hAnsi="Wingdings" w:cs="Wingdings"/>
          <w:lang w:val="en-US"/>
        </w:rPr>
        <w:t>à</w:t>
      </w:r>
      <w:r w:rsidRPr="00D95593">
        <w:rPr>
          <w:rFonts w:ascii="Times New Roman" w:hAnsi="Times New Roman"/>
          <w:lang w:val="en-US"/>
        </w:rPr>
        <w:t xml:space="preserve"> (oxyhydr)oxides (goethite, hematite, Mn-oxides) </w:t>
      </w:r>
      <w:r w:rsidRPr="00D95593">
        <w:rPr>
          <w:rFonts w:ascii="Wingdings" w:eastAsia="Wingdings" w:hAnsi="Wingdings" w:cs="Wingdings"/>
          <w:lang w:val="en-US"/>
        </w:rPr>
        <w:t>à</w:t>
      </w:r>
      <w:r w:rsidRPr="00D95593">
        <w:rPr>
          <w:rFonts w:ascii="Times New Roman" w:hAnsi="Times New Roman"/>
          <w:lang w:val="en-US"/>
        </w:rPr>
        <w:t xml:space="preserve"> late carbonates (calcite, aragonite, malachite)</w:t>
      </w:r>
    </w:p>
    <w:p w14:paraId="477ECECA" w14:textId="77777777" w:rsidR="00D95593" w:rsidRPr="00D95593" w:rsidRDefault="00D95593" w:rsidP="00D95593">
      <w:pPr>
        <w:spacing w:line="360" w:lineRule="auto"/>
        <w:jc w:val="both"/>
        <w:rPr>
          <w:rFonts w:ascii="Times New Roman" w:hAnsi="Times New Roman"/>
          <w:i/>
          <w:iCs/>
          <w:sz w:val="24"/>
          <w:szCs w:val="24"/>
          <w:lang w:val="en-US"/>
        </w:rPr>
      </w:pPr>
      <w:r w:rsidRPr="00D95593">
        <w:rPr>
          <w:rFonts w:ascii="Times New Roman" w:hAnsi="Times New Roman"/>
          <w:i/>
          <w:iCs/>
          <w:sz w:val="24"/>
          <w:szCs w:val="24"/>
          <w:lang w:val="en-US"/>
        </w:rPr>
        <w:t>5.2 Origin and timing of alunite</w:t>
      </w:r>
    </w:p>
    <w:p w14:paraId="66CFF12C" w14:textId="77777777" w:rsid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Alunite typically forms under acidic conditions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{"citationItems":[{"id":"ITEM-1","itemData":{"author":[{"dropping-particle":"","family":"Hemley","given":"J. J.","non-dropping-particle":"","parse-names":false,"suffix":""},{"dropping-particle":"","family":"Hostetler","given":"P. B.","non-dropping-particle":"","parse-names":false,"suffix":""},{"dropping-particle":"","family":"Gude","given":"A. J.","non-dropping-particle":"","parse-names":false,"suffix":""},{"dropping-particle":"","family":"Mountjoy","given":"W. T.","non-dropping-particle":"","parse-names":false,"suffix":""}],"container-title":"Economic Geology","id":"ITEM-1","issue":"6","issued":{"date-parts":[["1969"]]},"page":"599-612","title":"Some Stability Relations of Alunite","type":"article-journal","volume":"64"},"uris":["http://www.mendeley.com/documents/?uuid=16649c87-f684-4a12-b612-f06242dc68ed"]}],"mendeley":{"formattedCitation":"(Hemley et al., 1969)","plainTextFormattedCitation":"(Hemley et al., 1969)","previouslyFormattedCitation":"(Hemley et al., 1969)"},"properties":{"noteIndex":0},"schema":"https://github.com/citation-style-language/schema/raw/master/csl-citation.json"}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(Hemley et al., 1969)</w:t>
      </w:r>
      <w:r w:rsidRPr="00D95593">
        <w:rPr>
          <w:rFonts w:ascii="Times New Roman" w:hAnsi="Times New Roman"/>
          <w:lang w:val="fr-BE"/>
        </w:rPr>
        <w:fldChar w:fldCharType="end"/>
      </w:r>
      <w:r w:rsidRPr="00D95593">
        <w:rPr>
          <w:rFonts w:ascii="Times New Roman" w:hAnsi="Times New Roman"/>
          <w:lang w:val="en-US"/>
        </w:rPr>
        <w:t xml:space="preserve"> and is therefore commonly associated with environments affected by intense pyrite oxidation, particularly in or close gossans characterized by abundant Fe-(oxyhydr)oxides or even jarosite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{"citationItems":[{"id":"ITEM-1","itemData":{"DOI":"10.1016/0016-7037(82)90168-5","ISSN":"00167037","abstract":"While gibbsite and kaolinite solubilities usually regulate aluminum concentrations in natural waters, the presence of sulfate can dramatically alter these solubilities under acidic conditions, where other, less soluble minerals can control the aqueous geochemistry of aluminum. The likely candidates include alunogen, Al2(SO4)3 · 17H2O, alunite, KAl3(SO4)2(OH)6, jurbanite, Al(SO4)(OH) · 5H2O, and basaluminite, Al4(SO4)(OH)10 · 5H2O. An examination of literature values shows that the log Ksp = -85.4 for alunite and log Ksp = -117.7 for basaluminite. In this report the log Ksp = -7.0 is estimated for alunogen and log Ksp = -17.8 is estimated for jurbanite. The solubility and stability relations among these four minerals and gibbsite are plotted as a function of pH and sulfate activity at 298 K. Alunogen is stable only at pH values too low for any natural waters (&lt;0) and probably only forms as efflorescences from capillary films. Jurbanite is stable from pH &lt; 0 up to the range of 3-5 depending on sulfate activity. Alunite is stable at higher pH values than jurbanite, up to 4-7 depending on sulfate activity. Above these pH limits gibbsite is the most stable phase. Basaluminite, although kinetically favored to precipitate, is metastable for all values of pH and sulfate activity. These equilibrium calculations predict that both sulfate and aluminum can be immobilized in acid waters by the precipitation of aluminum hydroxysulfate minerals. Considerable evidence suppor</w:instrText>
      </w:r>
      <w:r w:rsidRPr="00D95593">
        <w:rPr>
          <w:rFonts w:ascii="Times New Roman" w:hAnsi="Times New Roman"/>
          <w:lang w:val="fr-BE"/>
        </w:rPr>
        <w:instrText xml:space="preserve">ts the conclusion that the formation of insoluble aluminum hydroxy-sulfate minerals may be the cause of sulfate retention in soils and sediments, as suggested by Adams and Rawajfih (1977), instead of adsorption. © 1982.","author":[{"dropping-particle":"","family":"Nordstrom","given":"D.K.","non-dropping-particle":"","parse-names":false,"suffix":""}],"container-title":"Geochimica et Cosmochimica Acta","id":"ITEM-1","issue":"4","issued":{"date-parts":[["1982"]]},"page":"681-692","title":"The effect of sulfate on aluminum concentrations in natural waters: some stability relations in the system Al2O3-SO3-H2O at 298 K","type":"article-journal","volume":"46"},"uris":["http://www.mendeley.com/documents/?uuid=7957f3e9-af9c-43f0-b1c6-ffff36024011"]},{"id":"ITEM-2","itemData":{"DOI":"10.2113/gsecongeo.77.1.176","ISSN":"0361-0128","abstract":"Quantities of goethite and jarosite produced by weathering correlate with abundance and composition of sulfide minerals originally in rocks. To characterize processes forming these minerals, chemical weathering of sulfide-bearing rocks was simulated using differential equations which describe mass transfer between aqueous solutions and minerals (Helgeson, 1968).Goethite begins precipitating during reaction between meteoric water (f (sub O 2 ) = 10 (super -06) atm) and sulfides after dissolution of 6.7 X 10 (super -9) g pyrite or 6.0 X 10 (super -9) g chalcopyrite per 1,000 g H 2 O. Reaction of the oxygen dissolved in 1,000 g water that is initially saturated with the atmospheric abundance of oxygen consumes 0.0085 g pyrite or 0.013 g chalcopyrite. Goethite is the only reaction product. The calculations predict that weathering produces jarosite or alunite after goethite when &amp;gt;0.04 moles of oxygen have been consumed per 1,000 g H 2 O and where rates of oxygen replenishment approximately equal or exceed consumption. Simultaneous reactions between K-feldspar, an aqueous solution, and pyrite or chalcopyrite produce alunite and goethite if the irreversible molar flux of Fe/Al is less than 0.5. Reactions with fluxes of Fe/Al between 0.5 and 1.0 produce alunite, goethite, and jarosite; those with </w:instrText>
      </w:r>
      <w:r w:rsidRPr="00D95593">
        <w:rPr>
          <w:rFonts w:ascii="Times New Roman" w:hAnsi="Times New Roman"/>
          <w:lang w:val="en-US"/>
        </w:rPr>
        <w:instrText>Fe/Al fluxes greater than 1.0 generate only jarosite after goethite.Following saturation of the solution with jarosite, the mass ratio, goethite/(goethite + jarosite) decreases smoothly from 1.0 to 0.0 accompanying continuous dissolution of pyrite and chalcopyrite. The interval of reaction progress over which goethite and jarosite coexist increases, relative to pyrite and K-feldspar reactions, when weathering involves muscovite or chalcopyrite. In simulations whose sulfides have been totally oxidized, this ratio varies antithetically with the volume percent sulfide and/or ratio of pyrite/(pyrite + chalcopyrite) initially present, a prediction consistent with geologic observations.","author":[{"dropping-particle":"","family":"Bladh","given":"Kenneth W","non-dropping-particle":"","parse-names":false,"suffix":""}],"container-title":"Economic Geology","id":"ITEM-2","issue":"1","issued":{"date-parts":[["1982","2","1"]]},"page":"176-184","title":"The formation of goethite, jarosite, and alunite during the weathering of sulfide-bearing felsic rocks","type":"article-journal","volume":"77"},"uris":["http://www.mendeley.com/documents/?uuid=f5b3d198-b078-4908-959f-e19724b334ff"]}],"mendeley":{"formattedCitation":"(Bladh, 1982; Nordstrom, 1982)","plainTextFormattedCitation":"(Bladh, 1982; Nordstrom, 1982)","previouslyFormattedCitation":"(Bladh, 1982; Nordstrom, 1982)"},"properties":{"noteIndex":0},"schema":"https://github.com/citation-style-language/schema/raw/master/csl-citation.json"}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(Bladh, 1982; Nordstrom, 1982)</w:t>
      </w:r>
      <w:r w:rsidRPr="00D95593">
        <w:rPr>
          <w:rFonts w:ascii="Times New Roman" w:hAnsi="Times New Roman"/>
          <w:lang w:val="fr-BE"/>
        </w:rPr>
        <w:fldChar w:fldCharType="end"/>
      </w:r>
      <w:r w:rsidRPr="00D95593">
        <w:rPr>
          <w:rFonts w:ascii="Times New Roman" w:hAnsi="Times New Roman"/>
          <w:lang w:val="en-US"/>
        </w:rPr>
        <w:t xml:space="preserve">. At Tassrirt, the former presence of pyrite is evidenced by abundant pyrite pseudomorphs and large amount of Fe-(oxyhydr)oxides within the gossan. This mineralogical assemblage strongly suggests that alunite </w:t>
      </w:r>
      <w:r w:rsidRPr="00D95593">
        <w:rPr>
          <w:rFonts w:ascii="Times New Roman" w:hAnsi="Times New Roman"/>
          <w:lang w:val="en-US"/>
        </w:rPr>
        <w:lastRenderedPageBreak/>
        <w:t xml:space="preserve">formed through supergene oxidation of pyrite. Its association with other supergene minerals such as  goethite, hematite, and fraipontite, further supports an origin within the oxidized or leached zone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{"citationItems":[{"id":"ITEM-1","itemData":{"author":[{"dropping-particle":"","family":"Verhaert","given":"Michèle","non-dropping-particle":"","parse-names":false,"suffix":""}],"id":"ITEM-1","issued":{"date-parts":[["2020"]]},"number-of-pages":"334","publisher":"Université de Namur, Belgique","title":"Characterization and (U-Th-Sm)/He dating of Moroccan supergene ore deposits: New insights to unravel the periods and potential causes of weathering processes.","type":"thesis"},"uris":["http://www.mendeley.com/documents/?uuid=49e7ccfc-d0c1-4848-b6a3-2742a36caf82"]}],"mendeley":{"formattedCitation":"(Verhaert, 2020)","plainTextFormattedCitation":"(Verhaert, 2020)","previouslyFormattedCitation":"(Verhaert, 2020)"},"properties":{"noteIndex":0},"schema":"https://github.com/citation-style-language/schema/raw/master/csl-citation.json"}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(Verhaert, 2020)</w:t>
      </w:r>
      <w:r w:rsidRPr="00D95593">
        <w:rPr>
          <w:rFonts w:ascii="Times New Roman" w:hAnsi="Times New Roman"/>
          <w:lang w:val="fr-BE"/>
        </w:rPr>
        <w:fldChar w:fldCharType="end"/>
      </w:r>
      <w:r w:rsidRPr="00D95593">
        <w:rPr>
          <w:rFonts w:ascii="Times New Roman" w:hAnsi="Times New Roman"/>
          <w:lang w:val="en-US"/>
        </w:rPr>
        <w:t xml:space="preserve">, rather than inheritance from hypogene sulfide assemblages, as proposed for other regions (e.g.,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{"citationItems":[{"id":"ITEM-1","itemData":{"DOI":"10.1130/0016-7606(1988)100&lt;1640:MMCCIT&gt;2.3.CO;2","ISSN":"19432674","abstract":"Geochronology and paleotopographic reconstruction of the porphyry-copper deposit at La Escondida, Chile, are used to calculate long-term erosion rates and to deduce the timing of Tertiary climatic change for a portion o</w:instrText>
      </w:r>
      <w:r w:rsidRPr="00D95593">
        <w:rPr>
          <w:rFonts w:ascii="Times New Roman" w:hAnsi="Times New Roman"/>
          <w:lang w:val="fr-BE"/>
        </w:rPr>
        <w:instrText xml:space="preserve">f the Atacama Desert region. Hypogene hydrothermal alteration and protore mineralization at La Escondida took place between 33.7 ± 1.4 and 31.0 ± 1.4 Ma based on K-Ar dating of hydrothermal biotite and sericite. Supergene weathering and copper-sulfide en-richment processes were active from 18.0 ± 0.7 to 14.7 ± 0.6 Ma based on K-Ar dating of supergene alunite, distinguished from hypogene alunite by grain size, color, and sulfur isotopic composition. Reworked lenses of volcanic ash in the vicinity of La Escondida provide useful time-stratigraphic markers at 8.7 ± 0.4, 6.5 ± 0.2, and 4.2 ± 0.2 Ma within present soil profiles. Long-term average rates of erosion are determined by these age dates and quantitative calculation of eroded leached capping thickness at La Escondida using mass-balance analysis of geochemical profiles coupled with an estimate of unmineralized lithocap thickness based on alteration petrology and fluid-inclusion geobarometry at similar deposits. The observed trend of decreasing long-term average erosion rates with time is consistent with arid to semiarid conditions in the early Miocene changing to hyperarid conditions during the middle Miocene. This climatic desiccation caused termination of significant supergene copper-suffide enrichment at La Escondida and elsewhere in the Atacama region and preservation of surficial features, including the ash horizons and the leached capping. Middle Miocene climatic desiccation in northern Chile and southern Peru was probably related to a pronounced decrease in temperature of coastal waters supplied by an </w:instrText>
      </w:r>
      <w:r w:rsidRPr="00D95593">
        <w:rPr>
          <w:rFonts w:ascii="Times New Roman" w:hAnsi="Times New Roman"/>
          <w:lang w:val="en-US"/>
        </w:rPr>
        <w:instrText>ancestral Humboldt Current and an increase in upwelling intensity as the Antarctic ice cap became established at approximately 15 to 13 Ma. The Central Andes Cordillera, which now provides a rain shadow protecting the Atacama region from precipitation from the east, must have attained at least half its present elevation prior to about 15 Ma to have played a similar role in the middle Miocene. © 1988 Geological Society of America.","author":[{"dropping-particle":"","family":"Alpers","given":"Charles N.","non-dropping-particle":"","parse-names":false,"suffix":""},{"dropping-particle":"","family":"Brimhall","given":"George H.","non-dropping-particle":"","parse-names":false,"suffix":""}],"container-title":"Bulletin of the Geological Society of America","id":"ITEM-1","issue":"10","issued":{"date-parts":[["1988"]]},"page":"1640-1656","publisher":"Geological Society of America","title":"Middle Miocene climatic change in the Atacama Desert, northern Chile: Evidence from supergene mineralization at La Escondida","type":"article-journal","volume":"100"},"uris":["http://www.mendeley.com/documents/?uuid=e5b36bc6-cf0d-4136-8ebf-8ffd474b47bf"]}],"mendeley":{"formattedCitation":"(Alpers and Brimhall, 1988)","manualFormatting":"Alpers and Brimhall, 1988)","plainTextFormattedCitation":"(Alpers and Brimhall, 1988)","previouslyFormattedCitation":"(Alpers and Brimhall, 1988)"},"properties":{"noteIndex":0},"schema":"https://github.com/citation-style-language/schema/raw/master/csl-citation.json"}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Alpers and Brimhall, 1988)</w:t>
      </w:r>
      <w:r w:rsidRPr="00D95593">
        <w:rPr>
          <w:rFonts w:ascii="Times New Roman" w:hAnsi="Times New Roman"/>
          <w:lang w:val="fr-BE"/>
        </w:rPr>
        <w:fldChar w:fldCharType="end"/>
      </w:r>
      <w:r w:rsidRPr="00D95593">
        <w:rPr>
          <w:rFonts w:ascii="Times New Roman" w:hAnsi="Times New Roman"/>
          <w:lang w:val="en-US"/>
        </w:rPr>
        <w:t xml:space="preserve">. After its formation, alunite is relatively stable under typical weathering conditions, although it may become unstable in the presence of saline fluids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{"citationItems":[{"id":"ITEM-1","itemData":{"author":[{"dropping-particle":"","family":"Vasconcelos","given":"P M","non-dropping-particle":"","parse-names":false,"suffix":""}],"container-title":"Annual Review of Earth and Planetary Sciences","id":"ITEM-1","issued":{"date-parts":[["1999"]]},"page":"183-229","title":"K-Ar and 40Ar/39Ar geochronology of weathering processes","type":"article-journal","volume":"27"},"uris":["http://www.mendeley.com/documents/?uuid=af5091be-136f-461c-99d0-3fb357c3668a"]}],"mendeley":{"formattedCitation":"(Vasconcelos, 1999)","plainTextFormattedCitation":"(Vasconcelos, 1999)","previouslyFormattedCitation":"(Vasconcelos, 1999)"},"properties":{"noteIndex":0},"schema":"https://github.com/citation-style-language/schema/raw/master/csl-citation.json"}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(Vasconcelos, 1999)</w:t>
      </w:r>
      <w:r w:rsidRPr="00D95593">
        <w:rPr>
          <w:rFonts w:ascii="Times New Roman" w:hAnsi="Times New Roman"/>
          <w:lang w:val="fr-BE"/>
        </w:rPr>
        <w:fldChar w:fldCharType="end"/>
      </w:r>
      <w:r w:rsidRPr="00D95593">
        <w:rPr>
          <w:rFonts w:ascii="Times New Roman" w:hAnsi="Times New Roman"/>
          <w:lang w:val="en-US"/>
        </w:rPr>
        <w:t xml:space="preserve">. Consequently, the occurrence of alunite in weathering profiles is often interpreted as marking a shift toward more arid climatic conditions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{"citationItems":[{"id":"ITEM-1","itemData":{"DOI":"10.1016/0168-9622(90)90022-5","ISSN":"01689622","abstract":"The potential for dating weathering and diagenetic events in Australia by the K Ar dating of alunite-group minerals is assessed. Twenty-five samples, collected from a wide range of surficial environments, yielded K Ar ages ranging from &lt;1 to 62 Ma. K Ar dating of an alunite sample from a central Western Australian laterite profile has provided the first numerical evidence of early- or pre-Tertiary deep-weathering in Western Australia. Dates from alunite in the South Australian opal fields indicate precious opal formation during several episodes during the Miocene epoch. Interpretation of the data is complicated by the presence of small (&lt;1%) quantities of detrital K-bearing mica in some alunite samples. A correction for the presence of the mica is made to the apparent age of the alunite, based on the age of the bedrock mica source. This correction, coupled with independent evidence that alunite is a late-stage product of weathering, means that a K Ar age obtained from alunite should be considered a minimum age for the development of the regolith profile in which it is found. It is concluded that K Ar dating of alunite provides a useful quantitative estimation of age of weathering where, in the majority of cas</w:instrText>
      </w:r>
      <w:r w:rsidRPr="00D95593">
        <w:rPr>
          <w:rFonts w:ascii="Times New Roman" w:hAnsi="Times New Roman"/>
          <w:lang w:val="fr-BE"/>
        </w:rPr>
        <w:instrText>es, independent indicators of age are lacking. © 1990.","author":[{"dropping-particle":"","family":"Bird","given":"Michael I.","non-dropping-particle":"","parse-names":false,"suffix":""},{"dropping-particle":"","family":"Chivas","given":"Allan R.","non-dropping-particle":"","parse-names":false,"suffix":""},{"dropping-particle":"","family":"Mcdougall","given":"Ian","non-dropping-particle":"","parse-names":false,"suffix":""}],"container-title":"Chemical Geology: Isotope Geoscience Section","id":"ITEM-1","issue":"2","issued":{"date-parts":[["1990","4"]]},"page":"133-145","title":"An isotopic study of surficial alunite in Australia 2. Potassium-argon geochronology","type":"article-journal","volume":"80"},"uris":["http://www.mendeley.com/documents/?uuid=9ab8f0d4-bbf8-4aad-992a-0e7433ccc105"]},{"id":"ITEM-2","itemData":{"DOI":"10.1130/0016-7606(1988)100&lt;1640:MMCCIT&gt;2.3.CO;2","ISSN":"19432674","abstract":"Geochronology and paleotopographic reconstruction of the porphyry-copper deposit at La Escondida, Chile, are used to calculate long-term erosion rates and to deduce the timing of Tertiary climatic change for a portion of the Atacama Desert region. Hypogene hydrothermal alteration and protore mineralization at La Escondida took place between 33.7 ± 1.4 and 31.0 ± 1.4 Ma based on K-Ar dating of hydrothermal biotite and sericite. Supergene weathering and copper-sulfide en-richment processes were active from 18.0 ± 0.7 to 14.7 ± 0.6 Ma based on K-Ar dating of supergene alunite, distinguished from hypogene alunite by grain size, color, and sulfur isotopic composition. Reworked lenses of volcanic ash in the vicinity of La Escondida provide useful time-stratigraphic markers at 8.7 ± 0.4, 6.5 ± 0.2, and 4.2 ± 0.2 Ma within present soil profiles. Long-term average rates of erosion are determined by these age dates and quantitative calculation of eroded leached capping thickness at La Escondida using mass-balance analysis of geochemical profiles coupled with an estimate of unmineralized lithocap thickness based on alteration petrology and fluid-inclusion geobarometry at similar deposits. The observed trend of decreasing long-term average erosion rates with time is consistent with arid to semiarid conditions in the early Miocene changing to hyperarid conditions during the middle Miocene. This climatic desiccation caused termination of significant supergene copper-suffide enrichment at La Escondida and elsewhere in the Atacama region and preservation of surficial features, including the ash horizons and the leached capping. Middle Miocene climatic desiccation in northern Chile and southern Peru was probably related to a pronounced decrease in temperature of coastal waters supplied by an ancestral Humboldt Current and an increase in upwelling intensity as the Antarctic ice cap became established at approximately 15 to 13 Ma. The Central Andes Cordillera, which now provides a rain shadow protecting the Atacama region from precipitation from the east, must have attained at least half its present elevation prior to about 15 Ma to have played a similar role in the middle Miocene. © 1988 Geological Society of America.","author":[{"dropping-particle":"","family":"Alpers","given":"Charles N.","non-dropping-particle":"","parse-names":fals</w:instrText>
      </w:r>
      <w:r w:rsidRPr="00D95593">
        <w:rPr>
          <w:rFonts w:ascii="Times New Roman" w:hAnsi="Times New Roman"/>
          <w:lang w:val="en-US"/>
        </w:rPr>
        <w:instrText>e,"suffix":""},{"dropping-particle":"","family":"Brimhall","given":"George H.","non-dropping-particle":"","parse-names":false,"suffix":""}],"container-title":"Bulletin of the Geological Society of America","id":"ITEM-2","issue":"10","issued":{"date-parts":[["1988"]]},"page":"1640-1656","publisher":"Geological Society of America","title":"Middle Miocene climatic change in the Atacama Desert, northern Chile: Evidence from supergene mineralization at La Escondida","type":"article-journal","volume":"100"},"uris":["http://www.mendeley.com/documents/?uuid=e5b36bc6-cf0d-4136-8ebf-8ffd474b47bf"]},{"id":"ITEM-3","itemData":{"author":[{"dropping-particle":"","family":"Vasconcelos","given":"P M","non-dropping-particle":"","parse-names":false,"suffix":""}],"container-title":"Annual Review of Earth and Planetary Sciences","id":"ITEM-3","issued":{"date-parts":[["1999"]]},"page":"183-229","title":"K-Ar and 40Ar/39Ar geochronology of weathering processes","type":"article-journal","volume":"27"},"uris":["http://www.mendeley.com/documents/?uuid=af5091be-136f-461c-99d0-3fb357c3668a"]}],"mendeley":{"formattedCitation":"(Alpers and Brimhall, 1988; Bird et al., 1990; Vasconcelos, 1999)","plainTextFormattedCitation":"(Alpers and Brimhall, 1988; Bird et al., 1990; Vasconcelos, 1999)","previouslyFormattedCitation":"(Alpers and Brimhall, 1988; Bird et al., 1990; Vasconcelos, 1999)"},"properties":{"noteIndex":0},"schema":"https://github.com/citation-style-language/schema/raw/master/csl-citation.json"}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(Alpers and Brimhall, 1988; Bird et al., 1990; Vasconcelos, 1999)</w:t>
      </w:r>
      <w:r w:rsidRPr="00D95593">
        <w:rPr>
          <w:rFonts w:ascii="Times New Roman" w:hAnsi="Times New Roman"/>
          <w:lang w:val="fr-BE"/>
        </w:rPr>
        <w:fldChar w:fldCharType="end"/>
      </w:r>
      <w:r w:rsidRPr="00D95593">
        <w:rPr>
          <w:rFonts w:ascii="Times New Roman" w:hAnsi="Times New Roman"/>
          <w:lang w:val="en-US"/>
        </w:rPr>
        <w:t>.</w:t>
      </w:r>
    </w:p>
    <w:p w14:paraId="23D21FBF" w14:textId="328CDFC2" w:rsidR="00864168" w:rsidRPr="00D95593" w:rsidRDefault="00864168" w:rsidP="00D95593">
      <w:pPr>
        <w:spacing w:line="360" w:lineRule="auto"/>
        <w:jc w:val="both"/>
        <w:rPr>
          <w:rFonts w:ascii="Times New Roman" w:hAnsi="Times New Roman"/>
          <w:lang w:val="en-US"/>
        </w:rPr>
      </w:pPr>
      <w:r w:rsidRPr="00D95593">
        <w:rPr>
          <w:rFonts w:ascii="Times New Roman" w:hAnsi="Times New Roman"/>
          <w:lang w:val="en-US"/>
        </w:rPr>
        <w:t>Textural observations provide indications about paleoclimatic regime that operated during the weathering event(s) . In samples where alunite hosts Cu–Zn veinlets (17TAS08), sulfates appear coeval with metal mobilization. In alunite–clays–Fe</w:t>
      </w:r>
      <w:r w:rsidRPr="00D95593">
        <w:rPr>
          <w:rFonts w:ascii="Times New Roman" w:hAnsi="Times New Roman"/>
          <w:lang w:val="en-US"/>
        </w:rPr>
        <w:noBreakHyphen/>
        <w:t>(oxyhydr)oxides assemblages, the sulfates occur more as a matrix phase, detached from base</w:t>
      </w:r>
      <w:r w:rsidRPr="00D95593">
        <w:rPr>
          <w:rFonts w:ascii="Times New Roman" w:hAnsi="Times New Roman"/>
          <w:lang w:val="en-US"/>
        </w:rPr>
        <w:noBreakHyphen/>
        <w:t>metal enrichment (Figure 8C; ESM1). Another hypothesis is that pyrite oxidation and alunite precipitation under low</w:t>
      </w:r>
      <w:r w:rsidRPr="00D95593">
        <w:rPr>
          <w:rFonts w:ascii="Times New Roman" w:hAnsi="Times New Roman"/>
          <w:lang w:val="en-US"/>
        </w:rPr>
        <w:noBreakHyphen/>
        <w:t>pH conditions were quickly followed by Fe-(oxyhydr)oxides formation, likely because of efficient pH neutralization driven by host</w:t>
      </w:r>
      <w:r w:rsidRPr="00D95593">
        <w:rPr>
          <w:rFonts w:ascii="Times New Roman" w:hAnsi="Times New Roman"/>
          <w:lang w:val="en-US"/>
        </w:rPr>
        <w:noBreakHyphen/>
        <w:t xml:space="preserve">rock dissolution. This interpretation is further supported by the close spatial association between alunite and Fe-(oxyhydr)oxides at Tassrirt, as well as by the absence of other sulfate minerals, especially in the absence of Cu-Zn veinlets, typically produced during pyrite oxidation. These observations imply that dissolved sulfur was rapidly and preferentially incorporated into alunite. Consequently, the supergene alunite radiometric ages are interpreted as directly dating episodes of pyrite oxidation, in agreement with previous interpretations (e.g.,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{"citationItems":[{"id":"ITEM-1","itemData":{"DOI":"10.1007/s00126-018-0814-4","ISSN":"00264598","abstract":"© 2018, Springer-Verlag GmbH Germany, part of Springer Nature. Radiometric ages for supergene alunite and jarosite effectively date the oxidation of former concentrations of pyrite and any associated sulfide minerals. These K-bearing sulfate minerals, formed under low-pH conditions, are uncommon supergene products in low-sulfidation epithermal deposits because of the general paucity of pyrite for acid generation. For this reason, the age of supergene oxidation—locally to depths of 200 m or more—in the epithermal Au-Ag deposits of the Deseado massif, located in the extra-Andean foreland of Patagonia, southern Argentina, has remained unknown. Although, theoretically, the oxidation could have taken place anytime between the Late Jurassic, when the Au-Ag mineralization formed, and Pleistocene, K-Ar ages for alunite and jarosite from two widely separated and unusually pyritic, Ag-bearing hydrothermal breccias (Lejano and Libanesa) show it to have been mid-Miocene, 13.8 ± 1.8 Ma. This is the time when the Deseado massif underwent appreciable regional-scale tectonic uplift and valley incision, following ~ 140 myr during which the region was topographically subdued and the site of either fluvio-lacustrine or shallow-marine sedimentation. The uplift, combined with increasing aridity due to the orographic rain shadow caused by growth of the Patagonian Andes to the west and enhanced by global cooling, would have depressed regional groundwater tables, thereby promoting the supergene sulfide oxidation. The mid-Miocene uplift appears to have been triggered by development of a slab tear and slab window beneath the Deseado massif during early stages of subduction of the Chile oceanic-ridge spreading center at the Pacific margin. Supergene sulfide oxidation in both the Deseado massif and Atacama Deser</w:instrText>
      </w:r>
      <w:r w:rsidRPr="00D95593">
        <w:rPr>
          <w:rFonts w:ascii="Times New Roman" w:hAnsi="Times New Roman"/>
          <w:lang w:val="fr-BE"/>
        </w:rPr>
        <w:instrText>t of northern Chile was the result of Cenozoic uplift during progressive aridification, although the causes of these phenomena were radically different. However, when the supergene oxidation was taking place in the Deseado massif, up to 30 myr of supergene activity in the Atacama Desert were c</w:instrText>
      </w:r>
      <w:r w:rsidRPr="00D95593">
        <w:rPr>
          <w:rFonts w:ascii="Times New Roman" w:hAnsi="Times New Roman"/>
          <w:lang w:val="en-US"/>
        </w:rPr>
        <w:instrText>oming to an end because of the onset of hyperaridity.","author":[{"dropping-particle":"","family":"Sillitoe","given":"Richard H.","non-dropping-particle":"","parse-names":false,"suffix":""}],"container-title":"Mineralium Deposita","id":"ITEM-1","issue":"3","issued":{"date-parts":[["2019"]]},"page":"381-394","publisher":"Mineralium Deposita","title":"Supergene oxidation of epithermal gold-silver mineralization in the Deseado massif, Patagonia, Argentina: response to subduction of the Chile Ridge","type":"article-journal","volume":"54"},"uris":["http://www.mendeley.com/documents/?uuid=5dd344b0-d716-4bb1-9643-237ab2db0b10"]},{"id":"ITEM-2","itemData":{"author":[{"dropping-particle":"","family":"Vasconcelos","given":"P M","non-dropping-particle":"","parse-names":false,"suffix":""}],"container-title":"Annual Review of Earth and Planetary Sciences","id":"ITEM-2","issued":{"date-parts":[["1999"]]},"page":"183-229","title":"K-Ar and 40Ar/39Ar geochronology of weathering processes","type":"article-journal","volume":"27"},"uris":["http://www.mendeley.com/documents/?uuid=af5091be-136f-461c-99d0-3fb357c3668a"]}],"mendeley":{"formattedCitation":"(Sillitoe, 2019; Vasconcelos, 1999)","manualFormatting":"Sillitoe, 2019; Vasconcelos, 1999)","plainTextFormattedCitation":"(Sillitoe, 2019; Vasconcelos, 1999)","previouslyFormattedCitation":"(Sillitoe, 2019; Vasconcelos, 1999)"},"properties":{"noteIndex":0},"schema":"https://github.com/citation-style-language/schema/raw/master/csl-citation.json"}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Sillitoe, 2019; Vasconcelos, 1999)</w:t>
      </w:r>
      <w:r w:rsidRPr="00D95593">
        <w:rPr>
          <w:rFonts w:ascii="Times New Roman" w:hAnsi="Times New Roman"/>
          <w:lang w:val="fr-BE"/>
        </w:rPr>
        <w:fldChar w:fldCharType="end"/>
      </w:r>
      <w:r w:rsidRPr="00D95593">
        <w:rPr>
          <w:rFonts w:ascii="Times New Roman" w:hAnsi="Times New Roman"/>
          <w:lang w:val="en-US"/>
        </w:rPr>
        <w:t xml:space="preserve">; especially during Late Oligocene/Early Miocene where North Africa was characterized by a warm climate with seasonal rainfall and increased humidity favorable to intense weathering </w:t>
      </w:r>
      <w:r w:rsidRPr="00D95593">
        <w:rPr>
          <w:rFonts w:ascii="Times New Roman" w:hAnsi="Times New Roman"/>
          <w:lang w:val="fr-BE"/>
        </w:rPr>
        <w:fldChar w:fldCharType="begin" w:fldLock="1"/>
      </w:r>
      <w:r w:rsidRPr="00D95593">
        <w:rPr>
          <w:rFonts w:ascii="Times New Roman" w:hAnsi="Times New Roman"/>
          <w:lang w:val="en-US"/>
        </w:rPr>
        <w:instrText>ADDIN CSL_CITATION {"citationItems":[{"id":"ITEM-1","itemData":{"DOI":"10.1002/GGGE.20093","ISSN":"1525-2027","abstract":"Quantifying long-term erosion of tropical shields is crucial to constraining the role of lateritic regolith covers as prominent sinks and sources of CO&lt;inf&gt;2&lt;/inf&gt; and sediments in the context of long-term Cenozoic climate change. It is also a key to understanding long-term landform evolution processes operating over most of the continental surface and their control onto the sediment routing system. We study the surface evolution of West Africa over three erosion periods (~ 45-24, ~ 24-11 and ~ 11-0 Ma) recorded by relicts of three subcontinental-scale lateritic paleolandsurfaces whose age is bracketed by &lt;sup&gt;39&lt;/sup&gt;Ar/&lt;sup&gt;40&lt;/sup&gt;Ar dating of lateritic K-Mn oxides. Denudation depths and rates compiled from 380 field stations show that despite heterogeneities confined to early-inherited reliefs, the subregion underwent low and homogeneous denudation (~ 2-20 m Ma&lt;sup&gt;-1&lt;/sup&gt;) over most of its surface whatever the considered time interval. This homogeneity is further documented by a worldwide compilation of cratonic denudation rates, over long-term, intermediate and modern Cenozoic time scales (10&lt;sup&gt;0&lt;/sup&gt;-10&lt;sup&gt;7&lt;/sup&gt; yr). These resul</w:instrText>
      </w:r>
      <w:r w:rsidRPr="00D95593">
        <w:rPr>
          <w:rFonts w:ascii="Times New Roman" w:hAnsi="Times New Roman"/>
          <w:lang w:val="fr-BE"/>
        </w:rPr>
        <w:instrText>ts allow defining a steady state cratonic denudation regime that is weathering-limited, i.e., controlled by the thickness of the (lateritic) regolith available for stripping. Steady state cratonic denudation regimes are enabled by maintained compartmentalization of the base levels between river knick points controlled by relief inheritance. Under such regimes, lowering of base levels and their fossilization are primarily imposed by long-term eustatic sea level fall and climate rather than by epeirogeny. The expression of steady state cratonic denudation regimes in clastic sedimentary fluxes remains to be investigated. © 2013. American Geophysical Union. All Rights Reserved.","author":[{"dropping-particle":"","family":"Beauvais","given":"Anicet","non-dropping-particle":"","parse-names":false,"suffix":""},{"dropping-particle":"","family":"Chardon","given":"Dominique","non-dropping-particle":"","parse-names":false,"suffix":""}],"container-title":"Geochemistry, Geophysics, Geosystems","id":"ITEM-1","issue":"5","issued":{"date-parts":[["2013","5","1"]]},"page":"1590-1608","publisher":"John Wiley &amp; Sons, Ltd","title":"Modes, tempo, and spatial variability of Cenozoic cratonic denudation: The West African example","type":"article-journal","volume":"14"},"uris":["http://www.mendeley.com/documents/?uuid=3bb0b628-f33e-3a14-a45b-56e1b6de7347"]},{"id":"ITEM-2","itemData":{"DOI":"10.1111/BRV.12644","ISSN":"1469-185X","abstract":"Tropical Africa is home to an astonishing biodiversity occurring in a variety of ecosystems. Past climatic change and geological events have impacted the evolution and diversification of this biodiversity. During the last two decades, around 90 dated molecular phylogenies of different clades across animals and plants have been published leading to an increased understanding of the diversification and speciation processes generating tropical African biodiversity. In parallel, extended geological and palaeoclimatic records together with detailed numerical simulations have refined our understanding of past geological and climatic changes in Africa. To date, these important advances have not been reviewed within a common framework. Here, we critically review and synthesize African climate, tectonics and terrestrial biodiversity evolution throughout the Cenozoic to the mid-Pleistocene, drawing on recent advances in Earth and life sciences. We first review six major geo-climatic periods defining tropical African biodiversity diversification by synthesizing 89 dated molecular phylogeny studies. Two major geo-climatic factors impacting the diversification of the sub-Saharan biota are highlighted. First, Africa underwent numerous climatic fluctuations at ancient and more recent timescales, with tectonic, greenhouse gas, and orbital forcing stimulating diversification. Second, increased aridification since the Late Eocene led to important extinction events, but also provided unique diversification opportunities shaping the current tropical African biodiversity landscape. We then review diversification studies of tropical terrestrial animal and plant clades and discuss three major models of speciation: (i) geographic speciation via vicariance (allopatry); (ii) ecological speciation impacted by climate and geological changes, and (iii) genomic speciation via genome duplication. Geographic speciation has been the most widely documented to date and is a common speciation model across tropical Africa. We conclude with four important challenges faced by tropical African biodiversity research: (i) to increase knowledge by gathering basic and fundamental biodiversity information; (ii) to improve modelling of African geophysical evolution throughout the Cenozoic via better constraints and downscaling approaches; (iii) to increase the precision of phylogenetic reconstruction and molecular dating of tropical African clades by using next generation sequencing approaches toge…","author":[{"dropping-particle":"","family":"Couvreur","given":"Thomas L.P.","non-dropping-particle":"","parse-names":false,"suffix":""},{"dropping-particle":"","family":"Dauby","given":"Gilles","non-dropping-particle":"","parse-names":false,"suffix":""},{"dropping-particle":"","family":"Blach-Overgaard","given":"Anne","non-dropping-particle":"","parse-names":false,"suffix":""},{"dropping-particle":"","family":"Deblauwe","given":"Vincent","non-dropping-particle":"","parse-names":false,"suffix":""},{"dropping-particle":"","family":"Dessein","given":"Steven","non-dropping-particle":"","parse-names":false,"suffix":""},{"dropping-particle":"","family":"Droissart","given":"Vincent","non-dropping-particle":"","parse-names":false,"suffix":""},{"dropping-particle":"","family":"Hardy","given":"Oliver J.","non-dropping-particle":"","parse-names":false,"suffix":""},{"dropping-particle":"","family":"Harris","given":"David J.","non-dropping-particle":"","parse-names":false,"suffix":""},{"dropping-particle":"","family":"Janssens","given":"Steven B.","non-dropping-particle":"","parse-names":false,"suffix":""},{"dropping-particle":"","family":"Ley","given":"Alexandra C.","non-dropping-particle":"","parse-names":false,"suffix":""},{"dropping-particle":"","family":"Mackinder","given":"Barbara A.","non-dropping-particle":"","parse-names":false,"suffix":""},{"dropping-particle":"","family":"Sonké","given":"Bonaventure","non-dropping-particle":"","parse-names":false,"suffix":""},{"dropping-particle":"","family":"Sosef","given":"Marc S.M.","non-dropping-particle":"","parse-names":false,"suffix":""},{"dropping-particle":"","family":"Stévart","given":"Tariq","non-dropping-particle":"","parse-names":false,"suffix":""},{"dropping-particle":"","family":"Svenning","given":"Jens Christian","non-dropping-particle":"","parse-names":false,"suffix":""},{"dropping-particle":"","family":"Wieringa","given":"Jan J.","non-dropping-particle":"","parse-names":false,"suffix":""},{"dropping-particle":"","family":"Faye","given":"Adama","non-dropping-particle":"","parse-names":false,"suffix":""},{"dropping-particle":"","family":"Missoup","given":"Alain D.","non-dropping-particle":"","parse-names":false,"suffix":""},{"dropping-particle":"","family":"Tolley","given":"Krystal A.","non-dropping-particle":"","parse-names":false,"suffix":""},{"dropping-particle":"","family":"Nicolas","given":"Violaine","non-dropping-particle":"","parse-names":false,"suffix":</w:instrText>
      </w:r>
      <w:r w:rsidRPr="00D95593">
        <w:rPr>
          <w:rFonts w:ascii="Times New Roman" w:hAnsi="Times New Roman"/>
          <w:lang w:val="en-US"/>
        </w:rPr>
        <w:instrText>""},{"dropping-particle":"","family":"Ntie","given":"Stéphan","non-dropping-particle":"","parse-names":false,"suffix":""},{"dropping-particle":"","family":"Fluteau","given":"Frédiéric","non-dropping-particle":"","parse-names":false,"suffix":""},{"dropping-particle":"","family":"Robin","given":"Cécile","non-dropping-particle":"","parse-names":false,"suffix":""},{"dropping-particle":"","family":"Guillocheau","given":"Francois","non-dropping-particle":"","parse-names":false,"suffix":""},{"dropping-particle":"","family":"Barboni","given":"Doris","non-dropping-particle":"","parse-names":false,"suffix":""},{"dropping-particle":"","family":"Sepulchre","given":"Pierre","non-dropping-particle":"","parse-names":false,"suffix":""}],"container-title":"Biological Reviews","id":"ITEM-2","issue":"1","issued":{"date-parts":[["2021","2","1"]]},"page":"16-51","publisher":"John Wiley &amp; Sons, Ltd","title":"Tectonics, climate and the diversification of the tropical African terrestrial flora and fauna","type":"article-journal","volume":"96"},"uris":["http://www.mendeley.com/documents/?uuid=293cf2ac-bc09-3be5-af1b-6f85c1ef0406"]}],"mendeley":{"formattedCitation":"(Beauvais and Chardon, 2013; Couvreur et al., 2021)","plainTextFormattedCitation":"(Beauvais and Chardon, 2013; Couvreur et al., 2021)","previouslyFormattedCitation":"(Beauvais and Chardon, 2013; Couvreur et al., 2021)"},"properties":{"noteIndex":0},"schema":"https://github.com/citation-style-language/schema/raw/master/csl-citation.json"}</w:instrText>
      </w:r>
      <w:r w:rsidRPr="00D95593">
        <w:rPr>
          <w:rFonts w:ascii="Times New Roman" w:hAnsi="Times New Roman"/>
          <w:lang w:val="fr-BE"/>
        </w:rPr>
        <w:fldChar w:fldCharType="separate"/>
      </w:r>
      <w:r w:rsidRPr="00D95593">
        <w:rPr>
          <w:rFonts w:ascii="Times New Roman" w:hAnsi="Times New Roman"/>
          <w:noProof/>
          <w:lang w:val="en-US"/>
        </w:rPr>
        <w:t>(Beauvais and Chardon, 2013; Couvreur et al., 2021)</w:t>
      </w:r>
      <w:r w:rsidRPr="00D95593">
        <w:rPr>
          <w:rFonts w:ascii="Times New Roman" w:hAnsi="Times New Roman"/>
          <w:lang w:val="fr-BE"/>
        </w:rPr>
        <w:fldChar w:fldCharType="end"/>
      </w:r>
      <w:r w:rsidRPr="00D95593">
        <w:rPr>
          <w:rFonts w:ascii="Times New Roman" w:hAnsi="Times New Roman"/>
          <w:lang w:val="en-US"/>
        </w:rPr>
        <w:t>.</w:t>
      </w:r>
    </w:p>
    <w:p w14:paraId="72856A1F" w14:textId="3A4F63B5" w:rsidR="00F87045"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K–Ar dating constrains a weathering episode to ~18.6–16.7 Ma (Early Miocene) based on green porcelaneous alunite from samples 18TAS15A/B (Table 1). </w:t>
      </w:r>
      <w:r w:rsidR="00C53DBF" w:rsidRPr="00C53DBF">
        <w:rPr>
          <w:rFonts w:ascii="Times New Roman" w:hAnsi="Times New Roman"/>
          <w:lang w:val="en-US"/>
        </w:rPr>
        <w:t>Despite the consistency of the ages obtained, sample 17TAS09</w:t>
      </w:r>
      <w:r w:rsidR="00C53DBF">
        <w:rPr>
          <w:rFonts w:ascii="Times New Roman" w:hAnsi="Times New Roman"/>
          <w:lang w:val="en-US"/>
        </w:rPr>
        <w:t xml:space="preserve"> (</w:t>
      </w:r>
      <w:r w:rsidR="00C53DBF">
        <w:rPr>
          <w:rFonts w:ascii="Times New Roman" w:hAnsi="Times New Roman" w:cs="Times New Roman"/>
          <w:lang w:val="en-US"/>
        </w:rPr>
        <w:t>~</w:t>
      </w:r>
      <w:r w:rsidR="00C53DBF">
        <w:rPr>
          <w:rFonts w:ascii="Times New Roman" w:hAnsi="Times New Roman"/>
          <w:lang w:val="en-US"/>
        </w:rPr>
        <w:t>25 Ma)</w:t>
      </w:r>
      <w:r w:rsidR="00C53DBF" w:rsidRPr="00C53DBF">
        <w:rPr>
          <w:rFonts w:ascii="Times New Roman" w:hAnsi="Times New Roman"/>
          <w:lang w:val="en-US"/>
        </w:rPr>
        <w:t xml:space="preserve"> was excluded due to inconsistent textural and mineralogical characteristics, in particular the presence of K-bearing phases such as muscovite and/or illite (Figure 8G)</w:t>
      </w:r>
      <w:r w:rsidRPr="00D95593">
        <w:rPr>
          <w:rFonts w:ascii="Times New Roman" w:hAnsi="Times New Roman"/>
          <w:lang w:val="en-US"/>
        </w:rPr>
        <w:t xml:space="preserve">. The alunite ages obtained from samples 18TAS15A/B (18.6-16.7 Ma) provide the most robust current estimate for the timing of weathering at Tassrirt deposit. </w:t>
      </w:r>
    </w:p>
    <w:p w14:paraId="66D3D588" w14:textId="5026C633" w:rsidR="00D95593" w:rsidRPr="00D95593" w:rsidRDefault="00AD2BC3" w:rsidP="00D95593">
      <w:pPr>
        <w:spacing w:line="360" w:lineRule="auto"/>
        <w:jc w:val="both"/>
        <w:rPr>
          <w:rFonts w:ascii="Times New Roman" w:hAnsi="Times New Roman"/>
          <w:lang w:val="en-US"/>
        </w:rPr>
      </w:pPr>
      <w:r w:rsidRPr="00AD2BC3">
        <w:rPr>
          <w:rFonts w:ascii="Times New Roman" w:hAnsi="Times New Roman"/>
          <w:lang w:val="en-US"/>
        </w:rPr>
        <w:t xml:space="preserve">These new ages align closely with the tropical humid conditions that prevailed during the Early Miocene, before progressively transitioning toward more open grassland environments by the end of the Miocene in North Africa (Griffin, 2002). Such climatic conditions ensured sustained water availability, promoting intense and prolonged chemical weathering processes, in contrast to the progressive aridification that developed from the Late Miocene to the Early Pliocene (Micheels et al., 2009). This climatic shift culminated with the emergence of the modern Sahara Desert around 7 Ma </w:t>
      </w:r>
      <w:r w:rsidRPr="00AD2BC3">
        <w:rPr>
          <w:rFonts w:ascii="Times New Roman" w:hAnsi="Times New Roman"/>
          <w:lang w:val="en-US"/>
        </w:rPr>
        <w:lastRenderedPageBreak/>
        <w:t>(Schuster et al., 2006). In addition, the Anti-Atlas appears to reflect the persistence of a long-lived, low-relief relict landscape developing since at least the Late Cretaceous (Malusà et al., 2007; Guimera et al., 2011; Clementucci et al., 2022, 2023), prior to the onset of regional surface uplift during the Middle to Late Miocene (~14–10 Ma) (Clementucci et al., 2022, 2023). Consequently, these new K/Ar ages fall within a period combining long-term surface stability and humid tropical climatic conditions, both of which constitute key factors favoring deep chemical weathering and regolith development. The subsequent preservation of these ages in the weathering profile was likely promoted by the onset of arid conditions, which significantly reduced erosion rates and mainly stripped only the uppermost portions of the weathering blanket, now largely eroded. Therefore, the 18.6–16.7 Ma ages most likely record the preserved roots of a weathering system that may have remained active over a much longer interval during the Cenozoic</w:t>
      </w:r>
      <w:r w:rsidR="00DD2900">
        <w:rPr>
          <w:rFonts w:ascii="Times New Roman" w:hAnsi="Times New Roman"/>
          <w:lang w:val="en-US"/>
        </w:rPr>
        <w:t>.</w:t>
      </w:r>
    </w:p>
    <w:p w14:paraId="67B3A2C3" w14:textId="77777777" w:rsidR="00D95593" w:rsidRPr="00D95593" w:rsidRDefault="00D95593" w:rsidP="00D95593">
      <w:pPr>
        <w:spacing w:line="360" w:lineRule="auto"/>
        <w:jc w:val="both"/>
        <w:rPr>
          <w:rFonts w:ascii="Times New Roman" w:hAnsi="Times New Roman"/>
          <w:b/>
          <w:bCs/>
          <w:sz w:val="24"/>
          <w:szCs w:val="24"/>
          <w:lang w:val="en-US"/>
        </w:rPr>
      </w:pPr>
      <w:r w:rsidRPr="00D95593">
        <w:rPr>
          <w:rFonts w:ascii="Times New Roman" w:hAnsi="Times New Roman"/>
          <w:b/>
          <w:bCs/>
          <w:sz w:val="24"/>
          <w:szCs w:val="24"/>
          <w:lang w:val="en-US"/>
        </w:rPr>
        <w:t>6. Conclusions</w:t>
      </w:r>
    </w:p>
    <w:p w14:paraId="7178034E"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Weathering processes of the Cu-Fe-Zn-As Tassrirt deposit results from a complex interaction of oxidation, fluid circulation, and locally variable neutralization processes affecting primary Cu–Fe–Zn-As sulfides (chalcopyrite, pyrite, sphalerite and tennantite) mostly hosted in the Basal Serie (sandstones/siltstones) and Lower Limestone (Tamjout dolomite). The resulting mineral assemblage is dominated by hemimorphite, fraipontite, malachite, alunite and Fe-(oxyhydr)oxides. This reflects a limited carbonate buffering, silica availability (feldspars alteration), and acidic, oxidizing conditions that favored Zn</w:t>
      </w:r>
      <w:r w:rsidRPr="00D95593">
        <w:rPr>
          <w:rFonts w:ascii="Times New Roman" w:hAnsi="Times New Roman"/>
          <w:lang w:val="en-US"/>
        </w:rPr>
        <w:noBreakHyphen/>
        <w:t>silicates over carbonates. This trend is also consistent with the abundance of Fe-(oxyhydr)oxides and the near-absence of secondary sulfides.</w:t>
      </w:r>
    </w:p>
    <w:p w14:paraId="2423B9D4"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Trace element geochemistry also supports these interpretations. Indeed, As content is largely retained by Fe</w:t>
      </w:r>
      <w:r w:rsidRPr="00D95593">
        <w:rPr>
          <w:rFonts w:ascii="Times New Roman" w:hAnsi="Times New Roman"/>
          <w:lang w:val="en-US"/>
        </w:rPr>
        <w:noBreakHyphen/>
        <w:t>(oxyhydr)oxides, while only minor arsenates are formed (e.g., beudantite–olivenite). These arsenates concentrate Ga, Ge and Ag, and reflect micro-scale metal redistribution. REE signatures remain close to UCC values, with slight variations linked to adsorption in Fe-(oxyhydr)oxides and the presence of accessory phosphates (monazite, xenotime).</w:t>
      </w:r>
    </w:p>
    <w:p w14:paraId="099CC27A" w14:textId="229DF9A2" w:rsidR="00D95593" w:rsidRPr="00D95593" w:rsidRDefault="00C37875" w:rsidP="00D95593">
      <w:pPr>
        <w:spacing w:line="360" w:lineRule="auto"/>
        <w:jc w:val="both"/>
        <w:rPr>
          <w:rFonts w:ascii="Times New Roman" w:hAnsi="Times New Roman"/>
          <w:lang w:val="en-US"/>
        </w:rPr>
      </w:pPr>
      <w:r w:rsidRPr="00C37875">
        <w:rPr>
          <w:rFonts w:ascii="Times New Roman" w:hAnsi="Times New Roman"/>
          <w:lang w:val="en-US"/>
        </w:rPr>
        <w:t>K–Ar ages of alunite point one major weathering period starting in early Miocene (~18-17 Ma). These events are consistent with tropical North Africa</w:t>
      </w:r>
      <w:r w:rsidR="000C706D">
        <w:rPr>
          <w:rFonts w:ascii="Times New Roman" w:hAnsi="Times New Roman"/>
          <w:lang w:val="en-US"/>
        </w:rPr>
        <w:t xml:space="preserve"> </w:t>
      </w:r>
      <w:r w:rsidR="005316AC">
        <w:rPr>
          <w:rFonts w:ascii="Times New Roman" w:hAnsi="Times New Roman"/>
          <w:lang w:val="en-US"/>
        </w:rPr>
        <w:t>climate</w:t>
      </w:r>
      <w:r w:rsidRPr="00C37875">
        <w:rPr>
          <w:rFonts w:ascii="Times New Roman" w:hAnsi="Times New Roman"/>
          <w:lang w:val="en-US"/>
        </w:rPr>
        <w:t xml:space="preserve"> during the Early/Middle Miocene and the long-lasting topographic stability until onset of the modern topography </w:t>
      </w:r>
      <w:r w:rsidR="00CD2991" w:rsidRPr="00C37875">
        <w:rPr>
          <w:rFonts w:ascii="Times New Roman" w:hAnsi="Times New Roman"/>
          <w:lang w:val="en-US"/>
        </w:rPr>
        <w:t>from</w:t>
      </w:r>
      <w:r w:rsidRPr="00C37875">
        <w:rPr>
          <w:rFonts w:ascii="Times New Roman" w:hAnsi="Times New Roman"/>
          <w:lang w:val="en-US"/>
        </w:rPr>
        <w:t xml:space="preserve"> c. 14-10 Ma. These conditions favor chemical weathering of sulfides over erosion, although the upper part of the weathering blanket has likely been eroded subsequently. These ages are interpreted as pyrite oxidation timing given the close association of alunite and Fe-(oxyhydr)oxides.</w:t>
      </w:r>
    </w:p>
    <w:p w14:paraId="5DDD683C" w14:textId="77777777" w:rsidR="00D95593" w:rsidRDefault="00D95593" w:rsidP="00D95593">
      <w:pPr>
        <w:spacing w:line="360" w:lineRule="auto"/>
        <w:jc w:val="both"/>
        <w:rPr>
          <w:rFonts w:ascii="Times New Roman" w:hAnsi="Times New Roman"/>
          <w:lang w:val="en-US"/>
        </w:rPr>
      </w:pPr>
      <w:r w:rsidRPr="00D95593">
        <w:rPr>
          <w:rFonts w:ascii="Times New Roman" w:hAnsi="Times New Roman"/>
          <w:lang w:val="en-US"/>
        </w:rPr>
        <w:t xml:space="preserve">Overall, the results refine the paragenetic sequence of the Cu-Fe-Zn-As Tassrirt deposit and improve the understanding of metal redistribution in this polymetallic system. These findings also contribute to </w:t>
      </w:r>
      <w:r w:rsidRPr="00D95593">
        <w:rPr>
          <w:rFonts w:ascii="Times New Roman" w:hAnsi="Times New Roman"/>
          <w:lang w:val="en-US"/>
        </w:rPr>
        <w:lastRenderedPageBreak/>
        <w:t>the regional framework of weathering across the Anti-Atlas of Morocco and confirm the Early Miocene as a major period of weathering in this region.</w:t>
      </w:r>
    </w:p>
    <w:p w14:paraId="08929BBA" w14:textId="77777777" w:rsidR="006B5F12" w:rsidRDefault="006B5F12" w:rsidP="00D95593">
      <w:pPr>
        <w:spacing w:line="360" w:lineRule="auto"/>
        <w:jc w:val="both"/>
        <w:rPr>
          <w:rFonts w:ascii="Times New Roman" w:hAnsi="Times New Roman"/>
          <w:lang w:val="en-US"/>
        </w:rPr>
      </w:pPr>
    </w:p>
    <w:p w14:paraId="3CAE818A" w14:textId="77777777" w:rsidR="006B5F12" w:rsidRPr="00D95593" w:rsidRDefault="006B5F12" w:rsidP="00D95593">
      <w:pPr>
        <w:spacing w:line="360" w:lineRule="auto"/>
        <w:jc w:val="both"/>
        <w:rPr>
          <w:rFonts w:ascii="Times New Roman" w:hAnsi="Times New Roman"/>
          <w:lang w:val="en-US"/>
        </w:rPr>
      </w:pPr>
    </w:p>
    <w:p w14:paraId="11F49C31" w14:textId="77777777" w:rsidR="00D95593" w:rsidRPr="00D95593" w:rsidRDefault="00D95593" w:rsidP="00D95593">
      <w:pPr>
        <w:spacing w:line="360" w:lineRule="auto"/>
        <w:jc w:val="both"/>
        <w:rPr>
          <w:rFonts w:ascii="Times New Roman" w:hAnsi="Times New Roman" w:cs="Times New Roman"/>
          <w:b/>
          <w:bCs/>
          <w:lang w:val="en-US"/>
        </w:rPr>
      </w:pPr>
      <w:r w:rsidRPr="00D95593">
        <w:rPr>
          <w:rFonts w:ascii="Times New Roman" w:hAnsi="Times New Roman" w:cs="Times New Roman"/>
          <w:b/>
          <w:bCs/>
          <w:lang w:val="en-US"/>
        </w:rPr>
        <w:t>Author contributions</w:t>
      </w:r>
    </w:p>
    <w:p w14:paraId="7018C7D5"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J. Poot, M. Verhaert, B. Caterina, A. Dekoninck and J. Yans managed field work. J. Poot, M. Verhaert, B. Caterina, T. Bouvart and G. Rochez conducted experiments in the laboratory. J. Poot wrote the original paper. All authors contributed to the discussion, have read and agreed to the published version of the manuscript. J. Yans supervised the study.</w:t>
      </w:r>
    </w:p>
    <w:p w14:paraId="01B733E3" w14:textId="77777777" w:rsidR="00D95593" w:rsidRPr="00D95593" w:rsidRDefault="00D95593" w:rsidP="00D95593">
      <w:pPr>
        <w:spacing w:line="360" w:lineRule="auto"/>
        <w:jc w:val="both"/>
        <w:rPr>
          <w:rFonts w:ascii="Times New Roman" w:hAnsi="Times New Roman" w:cs="Times New Roman"/>
          <w:b/>
          <w:bCs/>
          <w:lang w:val="en-US"/>
        </w:rPr>
      </w:pPr>
      <w:r w:rsidRPr="00D95593">
        <w:rPr>
          <w:rFonts w:ascii="Times New Roman" w:hAnsi="Times New Roman" w:cs="Times New Roman"/>
          <w:b/>
          <w:bCs/>
          <w:lang w:val="en-US"/>
        </w:rPr>
        <w:t>Acknowledgements</w:t>
      </w:r>
    </w:p>
    <w:p w14:paraId="6C4E4887"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lang w:val="en-US"/>
        </w:rPr>
        <w:t>Michèle Verhaert thanks the Fonds de la Recherche Scientifique - FNRS for providing her with a FRIA PhD grant. Thanks are due to SRI-UNamur « Service des Relations Internationales” and EU-Project AC171 2024-2026 between University Mohammed Premier Oujda (Morocco) and University of Namur (Belgium). This work was also supported by the FNRS under grant n°40010743 (A. Dekoninck). We thank the PC2 platform of the University of Namur (UNamur) for XRD spectra. This research used the SEM from Electron Microscopy Service (Plateforme Technologique Morphologie–Imagerie, UNamur).</w:t>
      </w:r>
    </w:p>
    <w:p w14:paraId="124164AD" w14:textId="77777777" w:rsidR="00D95593" w:rsidRPr="00D95593" w:rsidRDefault="00D95593" w:rsidP="00D95593">
      <w:pPr>
        <w:spacing w:line="360" w:lineRule="auto"/>
        <w:jc w:val="both"/>
        <w:rPr>
          <w:rFonts w:ascii="Times New Roman" w:hAnsi="Times New Roman" w:cs="Times New Roman"/>
          <w:b/>
          <w:bCs/>
          <w:lang w:val="fr-BE"/>
        </w:rPr>
      </w:pPr>
      <w:r w:rsidRPr="00D95593">
        <w:rPr>
          <w:rFonts w:ascii="Times New Roman" w:hAnsi="Times New Roman" w:cs="Times New Roman"/>
          <w:b/>
          <w:bCs/>
          <w:lang w:val="fr-BE"/>
        </w:rPr>
        <w:t>References</w:t>
      </w:r>
    </w:p>
    <w:p w14:paraId="71BFEE2D"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fr-BE"/>
        </w:rPr>
      </w:pPr>
      <w:r w:rsidRPr="00D95593">
        <w:rPr>
          <w:rFonts w:ascii="Times New Roman" w:hAnsi="Times New Roman" w:cs="Times New Roman"/>
          <w:b/>
          <w:bCs/>
          <w:sz w:val="20"/>
          <w:szCs w:val="20"/>
          <w:lang w:val="fr-BE"/>
        </w:rPr>
        <w:fldChar w:fldCharType="begin" w:fldLock="1"/>
      </w:r>
      <w:r w:rsidRPr="00D95593">
        <w:rPr>
          <w:rFonts w:ascii="Times New Roman" w:hAnsi="Times New Roman" w:cs="Times New Roman"/>
          <w:b/>
          <w:bCs/>
          <w:sz w:val="20"/>
          <w:szCs w:val="20"/>
          <w:lang w:val="fr-BE"/>
        </w:rPr>
        <w:instrText xml:space="preserve">ADDIN Mendeley Bibliography CSL_BIBLIOGRAPHY </w:instrText>
      </w:r>
      <w:r w:rsidRPr="00D95593">
        <w:rPr>
          <w:rFonts w:ascii="Times New Roman" w:hAnsi="Times New Roman" w:cs="Times New Roman"/>
          <w:b/>
          <w:bCs/>
          <w:sz w:val="20"/>
          <w:szCs w:val="20"/>
          <w:lang w:val="fr-BE"/>
        </w:rPr>
        <w:fldChar w:fldCharType="separate"/>
      </w:r>
      <w:r w:rsidRPr="00D95593">
        <w:rPr>
          <w:rFonts w:ascii="Times New Roman" w:hAnsi="Times New Roman" w:cs="Times New Roman"/>
          <w:noProof/>
          <w:kern w:val="0"/>
          <w:sz w:val="20"/>
          <w:lang w:val="fr-BE"/>
        </w:rPr>
        <w:t>Aït Malek, H., Gasquet, D., Bertrand, J.M., Leterrier, J., 1998. Géochronologie U-Pb sur zircon de granitoïdes éburneens et panafricains dans les boutonnières protérozoïques d’Igherm, du Kerdous et du Bas Draa (Anti-Atlas occidental, Maroc). Comptes Rendus l’Académie Sci. - Ser. IIa Earth Planet. Sci. 327, 819–826. https://doi.org/10.1016/S1251-8050(99)80056-1</w:t>
      </w:r>
    </w:p>
    <w:p w14:paraId="6B21306D"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Allègre, J.C., 2008. Isotope Geology. Cambridge University Press.</w:t>
      </w:r>
    </w:p>
    <w:p w14:paraId="734BBE01"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Alpers, C.N., Brimhall, G.H., 1988. Middle Miocene climatic change in the Atacama Desert, northern Chile: Evidence from supergene mineralization at La Escondida. Bull. Geol. Soc. Am. 100, 1640–1656. https://doi.org/10.1130/0016-7606(1988)100&lt;1640:MMCCIT&gt;2.3.CO;2</w:t>
      </w:r>
    </w:p>
    <w:p w14:paraId="3BC528AB"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Álvaro, J.J., Subías, I., 2011. Interplay of phosphogenesis and hydrothermalism in the latest Ediacaran rift of the High Atlas, Morocco. J. African Earth Sci. 59, 51–60. https://doi.org/https://doi.org/10.1016/j.jafrearsci.2010.08.004</w:t>
      </w:r>
    </w:p>
    <w:p w14:paraId="15B60F27"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Beauvais, A., Chardon, D., 2013. Modes, tempo, and spatial variability of Cenozoic cratonic denudation: The West African example. Geochemistry, Geophys. Geosystems 14, 1590–1608. https://doi.org/10.1002/GGGE.20093</w:t>
      </w:r>
    </w:p>
    <w:p w14:paraId="046FF548"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 xml:space="preserve">Berrahma, M.,  Delaloye, M., 1989. </w:t>
      </w:r>
      <w:r w:rsidRPr="00D95593">
        <w:rPr>
          <w:rFonts w:ascii="Times New Roman" w:hAnsi="Times New Roman" w:cs="Times New Roman"/>
          <w:noProof/>
          <w:kern w:val="0"/>
          <w:sz w:val="20"/>
          <w:lang w:val="fr-BE"/>
        </w:rPr>
        <w:t xml:space="preserve">Données géochronologiques nouvelles sur le massif volcanique du Siroua (Anti-Atlas, Maroc). </w:t>
      </w:r>
      <w:r w:rsidRPr="00D95593">
        <w:rPr>
          <w:rFonts w:ascii="Times New Roman" w:hAnsi="Times New Roman" w:cs="Times New Roman"/>
          <w:noProof/>
          <w:kern w:val="0"/>
          <w:sz w:val="20"/>
          <w:lang w:val="en-US"/>
        </w:rPr>
        <w:t>J. African Earth Sci., 9(3–4), 651–656. https://doi.org/10.1016/0899-5362(89)90049-3</w:t>
      </w:r>
    </w:p>
    <w:p w14:paraId="562181C7"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Bird, M.I., Chivas, A.R., Mcdougall, I., 1990. An isotopic study of surficial alunite in Australia 2. Potassium-argon geochronology. Chem. Geol. Isot. Geosci. Sect. 80, 133–145. https://doi.org/10.1016/0168-9622(90)90022-5</w:t>
      </w:r>
    </w:p>
    <w:p w14:paraId="5E7C9917"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Bladh, K.W., 1982. The formation of goethite, jarosite, and alunite during the weathering of sulfide-bearing felsic rocks. Econ. Geol. 77, 176–184. https://doi.org/10.2113/gsecongeo.77.1.176</w:t>
      </w:r>
    </w:p>
    <w:p w14:paraId="6D09F379"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lastRenderedPageBreak/>
        <w:t>Boni, M., Large, D., 2003. Nonsulfide Zinc Mineralization in Europe: An Overview. Econ. Geol. 98, 715–729. https://doi.org/10.2113/98.4.715</w:t>
      </w:r>
    </w:p>
    <w:p w14:paraId="31CE6D48"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Boni, M., Mondillo, N., 2015. The “Calamines” and the “Others”: The great family of supergene nonsulfide zinc ores. Ore Geol. Rev. 67, 208–233. https://doi.org/10.1016/j.oregeorev.2014.10.025.</w:t>
      </w:r>
    </w:p>
    <w:p w14:paraId="5743349A"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szCs w:val="20"/>
          <w:lang w:val="en-US"/>
        </w:rPr>
      </w:pPr>
      <w:r w:rsidRPr="00D95593">
        <w:rPr>
          <w:rFonts w:ascii="Times New Roman" w:hAnsi="Times New Roman"/>
          <w:sz w:val="20"/>
          <w:szCs w:val="20"/>
          <w:lang w:val="en-US"/>
        </w:rPr>
        <w:t>Bouabdellah, M., Chekroun, F., Alansari, A., Margoum, D., 2016. The Granitoid-Related Tiouit Gold Deposit, Saghro Inlier, Eastern Anti-Atlas (Morocco): Neoproterozoic Mineralization by a Polyphase Late-Magmatic to Hydrothermal System. In: Bouabdellah, M., Slack, J. (eds) Mineral Deposits of North Africa. Mineral Resource Reviews. Springer, Cham. https://doi.org/10.1007/978-3-319-31733-5_16.</w:t>
      </w:r>
    </w:p>
    <w:p w14:paraId="4845E2CB"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Bouabdellah, M., Boukirou, W., Potra, A., Melchiorre, E., Bouzahzah, H., Yans, J., Zaid, K., Idbaroud, M., Poot, J., Dekoninck, A., Levresse, G., 2021. Origin of the moroccan touissit-bou beker and jbel bou dahar supergene non-sulfide biomineralization and its relevance to microbiological activity, late miocene uplift and climate changes. Minerals 11. https://doi.org/10.3390/min11040401</w:t>
      </w:r>
    </w:p>
    <w:p w14:paraId="3C1A6056"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fr-BE"/>
        </w:rPr>
      </w:pPr>
      <w:r w:rsidRPr="00D95593">
        <w:rPr>
          <w:rFonts w:ascii="Times New Roman" w:hAnsi="Times New Roman" w:cs="Times New Roman"/>
          <w:noProof/>
          <w:kern w:val="0"/>
          <w:sz w:val="20"/>
          <w:lang w:val="en-US"/>
        </w:rPr>
        <w:t xml:space="preserve">Boudzoumou, F., Vandamme, D., Affaton, P., Gattacceca, J., Ouazzani, H., Badra, L., Mahjoubi, E., 2012. Evidence of a Permian remagnetization in the Neoproterozoic-Cambrian Adoudounian Formation (Anti-Atlas, Morocco). </w:t>
      </w:r>
      <w:r w:rsidRPr="00D95593">
        <w:rPr>
          <w:rFonts w:ascii="Times New Roman" w:hAnsi="Times New Roman" w:cs="Times New Roman"/>
          <w:noProof/>
          <w:kern w:val="0"/>
          <w:sz w:val="20"/>
          <w:lang w:val="fr-BE"/>
        </w:rPr>
        <w:t>Bull. l’Institut Sci. Sect. Sci. la Terre 34, 15–28.</w:t>
      </w:r>
    </w:p>
    <w:p w14:paraId="5AEE8DDF"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fr-BE"/>
        </w:rPr>
      </w:pPr>
      <w:r w:rsidRPr="00D95593">
        <w:rPr>
          <w:rFonts w:ascii="Times New Roman" w:hAnsi="Times New Roman" w:cs="Times New Roman"/>
          <w:noProof/>
          <w:kern w:val="0"/>
          <w:sz w:val="20"/>
          <w:lang w:val="fr-BE"/>
        </w:rPr>
        <w:t xml:space="preserve">Bourque, H., Barbanson, L., Sizaret, S., Branquet, Y., et al., 2016. </w:t>
      </w:r>
      <w:r w:rsidRPr="00D95593">
        <w:rPr>
          <w:rFonts w:ascii="Times New Roman" w:hAnsi="Times New Roman" w:cs="Times New Roman"/>
          <w:noProof/>
          <w:kern w:val="0"/>
          <w:sz w:val="20"/>
          <w:lang w:val="en-US"/>
        </w:rPr>
        <w:t xml:space="preserve">The copper hsotory in the Anti Atlas belt, from Panafrican to Variscan orogeny, a persistence of tectonic controls: an overview of Bou Azzer-El Graara inlier. </w:t>
      </w:r>
      <w:r w:rsidRPr="00D95593">
        <w:rPr>
          <w:rFonts w:ascii="Times New Roman" w:hAnsi="Times New Roman" w:cs="Times New Roman"/>
          <w:noProof/>
          <w:kern w:val="0"/>
          <w:sz w:val="20"/>
          <w:lang w:val="fr-BE"/>
        </w:rPr>
        <w:t>25 ème Réunion des sciences de la Terre (RST 2016), Société Géologique de France, Oct 2016, Caen, France. pp.60</w:t>
      </w:r>
    </w:p>
    <w:p w14:paraId="0CC57A8F"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4605C5">
        <w:rPr>
          <w:rFonts w:ascii="Times New Roman" w:hAnsi="Times New Roman" w:cs="Times New Roman"/>
          <w:noProof/>
          <w:kern w:val="0"/>
          <w:sz w:val="20"/>
          <w:lang w:val="nl-NL"/>
        </w:rPr>
        <w:t xml:space="preserve">Bouvart, T., Poot, J., Dekoninck, A., Schmit, F., Keutgen De Greef, M., Vander Auwera, J., Bernard, A., Yans, J., 2024. </w:t>
      </w:r>
      <w:r w:rsidRPr="00D95593">
        <w:rPr>
          <w:rFonts w:ascii="Times New Roman" w:hAnsi="Times New Roman" w:cs="Times New Roman"/>
          <w:noProof/>
          <w:kern w:val="0"/>
          <w:sz w:val="20"/>
          <w:lang w:val="en-US"/>
        </w:rPr>
        <w:t>Alunite and kaolinite as geochemical markers in active acid sulfate alterations of southern Italy (Panarea, La Solfatara and Ischia). Geochemistry 84, 126204. https://doi.org/https://doi.org/10.1016/j.chemer.2024.126204</w:t>
      </w:r>
    </w:p>
    <w:p w14:paraId="0EFB6B90"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Bowell, R.J., Butt., C.R.M., (Eds.) 2025. Geology, Geochemistry and Formation of Supergene Mineral Deposits in Deeply Weathered Terrain. Springer Nature Switzerland AG. https://doi.org/10.1007/978-3-031-75733-4.</w:t>
      </w:r>
    </w:p>
    <w:p w14:paraId="5E5A1BD9"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Brugger, J., McPhail, D.C., Wallace, M., Waters, J., 2003. Formation of Willemite in Hydrothermal Environments. Econ. Geol. 98, 819–835. https://doi.org/10.2113/GSECONGEO.98.4.819</w:t>
      </w:r>
    </w:p>
    <w:p w14:paraId="41EB37F0"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Chávez, W.X., 2021. Weathering of Copper Deposits and Copper Mobility: Mineralogy, Geochemical Stratigraphy, and Exploration Implications. SEG Discov. 16–27. https://doi.org/10.5382/SEGNEWS.2021-126.FEA-01/605900/WEATHERING-OF-COPPER-DEPOSITS-AND-COPPER-MOBILITY</w:t>
      </w:r>
    </w:p>
    <w:p w14:paraId="77CDBF6F" w14:textId="77777777" w:rsidR="00D95593" w:rsidRPr="006A3B22"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fr-BE"/>
        </w:rPr>
      </w:pPr>
      <w:r w:rsidRPr="00D95593">
        <w:rPr>
          <w:rFonts w:ascii="Times New Roman" w:hAnsi="Times New Roman" w:cs="Times New Roman"/>
          <w:noProof/>
          <w:kern w:val="0"/>
          <w:sz w:val="20"/>
          <w:lang w:val="en-US"/>
        </w:rPr>
        <w:t xml:space="preserve">Chàvez, W.X., 2000. Supergene Oxidation of Copper Deposits: Zoning and Distribution of Copper Oxide Minerals. </w:t>
      </w:r>
      <w:r w:rsidRPr="006A3B22">
        <w:rPr>
          <w:rFonts w:ascii="Times New Roman" w:hAnsi="Times New Roman" w:cs="Times New Roman"/>
          <w:noProof/>
          <w:kern w:val="0"/>
          <w:sz w:val="20"/>
          <w:lang w:val="fr-BE"/>
        </w:rPr>
        <w:t>SEG Discov. 1–21. https://doi.org/10.5382/segnews.2000-41.fea</w:t>
      </w:r>
    </w:p>
    <w:p w14:paraId="2B360FF1"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fr-BE"/>
        </w:rPr>
      </w:pPr>
      <w:r w:rsidRPr="006A3B22">
        <w:rPr>
          <w:rFonts w:ascii="Times New Roman" w:hAnsi="Times New Roman" w:cs="Times New Roman"/>
          <w:noProof/>
          <w:kern w:val="0"/>
          <w:sz w:val="20"/>
          <w:lang w:val="fr-BE"/>
        </w:rPr>
        <w:t xml:space="preserve">Choulet, F., Barbanson, L., Buatier, M., Richard, J., Vennemann, T., Ennaciri, A., Zouhair, M., 2017. </w:t>
      </w:r>
      <w:r w:rsidRPr="00D95593">
        <w:rPr>
          <w:rFonts w:ascii="Times New Roman" w:hAnsi="Times New Roman" w:cs="Times New Roman"/>
          <w:noProof/>
          <w:kern w:val="0"/>
          <w:sz w:val="20"/>
          <w:lang w:val="en-US"/>
        </w:rPr>
        <w:t xml:space="preserve">Characterization and origin of low-T willemite (Zn2SiO4) mineralization: the case of the Bou Arhous deposit (High Atlas, Morocco). </w:t>
      </w:r>
      <w:r w:rsidRPr="00D95593">
        <w:rPr>
          <w:rFonts w:ascii="Times New Roman" w:hAnsi="Times New Roman" w:cs="Times New Roman"/>
          <w:noProof/>
          <w:kern w:val="0"/>
          <w:sz w:val="20"/>
          <w:lang w:val="fr-BE"/>
        </w:rPr>
        <w:t>Miner. Depos. 52, 1085–1102. https://doi.org/10.1007/S00126-016-0675-7/FIGURES/12</w:t>
      </w:r>
    </w:p>
    <w:p w14:paraId="540E6BE3"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fr-BE"/>
        </w:rPr>
      </w:pPr>
      <w:r w:rsidRPr="00D95593">
        <w:rPr>
          <w:rFonts w:ascii="Times New Roman" w:hAnsi="Times New Roman" w:cs="Times New Roman"/>
          <w:noProof/>
          <w:kern w:val="0"/>
          <w:sz w:val="20"/>
          <w:lang w:val="fr-BE"/>
        </w:rPr>
        <w:t>Choulet, F., Buatier, M., Barbanson, L., Guégan, R., Ennaciri, A., 2016. Zinc-rich clays in supergene non-sulfide zinc deposits. Miner. Depos. 51, 467–490. https://doi.org/10.1007/s00126-015-0618-8</w:t>
      </w:r>
    </w:p>
    <w:p w14:paraId="484DCD6A"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fr-BE"/>
        </w:rPr>
        <w:t xml:space="preserve">Clementucci, R., Ballato, P., Siame, L., Fox, M., Lanari, R., Sembroni, A., Faccenna, C., Yaaqoub, A., Essaifi, A., 2023. </w:t>
      </w:r>
      <w:r w:rsidRPr="00D95593">
        <w:rPr>
          <w:rFonts w:ascii="Times New Roman" w:hAnsi="Times New Roman" w:cs="Times New Roman"/>
          <w:noProof/>
          <w:kern w:val="0"/>
          <w:sz w:val="20"/>
          <w:lang w:val="en-US"/>
        </w:rPr>
        <w:t>Surface Uplift and Topographic Rejuvenation of a Tectonically Inactive Range: Insights From the Anti-Atlas and the Siroua Massif (Morocco). Tectonics 42, e2022TC007383. https://doi.org/10.1029/2022TC007383</w:t>
      </w:r>
    </w:p>
    <w:p w14:paraId="6BCE2F33"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Clementucci, R., Ballato, P., Siame, L.L., Faccenna, C., Yaaqoub, A., Essaifi, A., Leanni, L., Guillou, V., 2022. Lithological control on topographic relief evolution in a slow tectonic setting (Anti-Atlas, Morocco). Earth Planet. Sci. Lett. 596, 117788. https://doi.org/10.1016/j.epsl.2022.117788</w:t>
      </w:r>
    </w:p>
    <w:p w14:paraId="5FF5B39B"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fr-BE"/>
        </w:rPr>
      </w:pPr>
      <w:r w:rsidRPr="00D95593">
        <w:rPr>
          <w:rFonts w:ascii="Times New Roman" w:hAnsi="Times New Roman" w:cs="Times New Roman"/>
          <w:noProof/>
          <w:kern w:val="0"/>
          <w:sz w:val="20"/>
          <w:lang w:val="en-US"/>
        </w:rPr>
        <w:t xml:space="preserve">Couvreur, T.L.P., Dauby, G., Blach-Overgaard, A., Deblauwe, V., Dessein, S., Droissart, V., Hardy, O.J., Harris, D.J., Janssens, S.B., Ley, A.C., Mackinder, B.A., Sonké, B., Sosef, M.S.M., Stévart, T., Svenning, J.C., Wieringa, J.J., Faye, A., Missoup, A.D., Tolley, K.A., Nicolas, V., Ntie, S., Fluteau, F., Robin, C., Guillocheau, F., Barboni, D., Sepulchre, P., 2021. Tectonics, climate and the diversification of the tropical </w:t>
      </w:r>
      <w:r w:rsidRPr="00D95593">
        <w:rPr>
          <w:rFonts w:ascii="Times New Roman" w:hAnsi="Times New Roman" w:cs="Times New Roman"/>
          <w:noProof/>
          <w:kern w:val="0"/>
          <w:sz w:val="20"/>
          <w:lang w:val="en-US"/>
        </w:rPr>
        <w:lastRenderedPageBreak/>
        <w:t xml:space="preserve">African terrestrial flora and fauna. </w:t>
      </w:r>
      <w:r w:rsidRPr="00D95593">
        <w:rPr>
          <w:rFonts w:ascii="Times New Roman" w:hAnsi="Times New Roman" w:cs="Times New Roman"/>
          <w:noProof/>
          <w:kern w:val="0"/>
          <w:sz w:val="20"/>
          <w:lang w:val="fr-BE"/>
        </w:rPr>
        <w:t>Biol. Rev. 96, 16–51. https://doi.org/10.1111/BRV.12644</w:t>
      </w:r>
    </w:p>
    <w:p w14:paraId="6FF839B7"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fr-BE"/>
        </w:rPr>
        <w:t xml:space="preserve">Decrée, S., Deloule, É., Ruffet, G., Dewaele, S., Mees, F., Marignac, C., Yans, J., de Putter, T., 2010. </w:t>
      </w:r>
      <w:r w:rsidRPr="00D95593">
        <w:rPr>
          <w:rFonts w:ascii="Times New Roman" w:hAnsi="Times New Roman" w:cs="Times New Roman"/>
          <w:noProof/>
          <w:kern w:val="0"/>
          <w:sz w:val="20"/>
          <w:lang w:val="en-US"/>
        </w:rPr>
        <w:t>Geodynamic and climate controls in the formation of Mio-Pliocene world-class oxidized cobalt and manganese ores in the Katanga province, DR Congo. Miner. Depos. 45, 621–629. https://doi.org/10.1007/S00126-010-0305-8/FIGURES/3</w:t>
      </w:r>
    </w:p>
    <w:p w14:paraId="20CB1DB7"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Dill, H.G., 2001. The geology of aluminium phosphates and sulphates of the alunite group minerals: a review. Earth-Science Rev. 53, 35–93. https://doi.org/10.1016/S0012-8252(00)00035-0</w:t>
      </w:r>
    </w:p>
    <w:p w14:paraId="2B3FAF40"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s-ES"/>
        </w:rPr>
      </w:pPr>
      <w:r w:rsidRPr="00D95593">
        <w:rPr>
          <w:rFonts w:ascii="Times New Roman" w:hAnsi="Times New Roman" w:cs="Times New Roman"/>
          <w:noProof/>
          <w:kern w:val="0"/>
          <w:sz w:val="20"/>
          <w:lang w:val="en-US"/>
        </w:rPr>
        <w:t xml:space="preserve">Drahota, P., Chatziantoniou, A., Mihaljevič, M., Culka, A., Melfou, M., Melfos, V., Voudouris, P., 2024. A mineralogical and geochemical assessment of the As-, Cu-, In-, Pb-, Sb-, and Zn-rich mine wastes at the Pefka epithermal deposit, Greece. </w:t>
      </w:r>
      <w:r w:rsidRPr="00D95593">
        <w:rPr>
          <w:rFonts w:ascii="Times New Roman" w:hAnsi="Times New Roman" w:cs="Times New Roman"/>
          <w:noProof/>
          <w:kern w:val="0"/>
          <w:sz w:val="20"/>
          <w:lang w:val="es-ES"/>
        </w:rPr>
        <w:t>J. Geochemical Explor. 256, 107336. https://doi.org/10.1016/j.gexplo.2023.107336</w:t>
      </w:r>
    </w:p>
    <w:p w14:paraId="453305D0"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s-ES"/>
        </w:rPr>
        <w:t xml:space="preserve">Druguet, E., Rahimi, A., Carreras, J., Castaño, L.M., Sánchez-Sorribes, I., 2015. </w:t>
      </w:r>
      <w:r w:rsidRPr="00D95593">
        <w:rPr>
          <w:rFonts w:ascii="Times New Roman" w:hAnsi="Times New Roman" w:cs="Times New Roman"/>
          <w:noProof/>
          <w:kern w:val="0"/>
          <w:sz w:val="20"/>
          <w:lang w:val="en-US"/>
        </w:rPr>
        <w:t>The Geoheritage of Kerdous Inlier (Western Anti-Atlas, Morocco): Pages of Earth History in an Outstanding Landscape BT  - From Geoheritage to Geoparks: Case Studies from Africa and Beyond, in: Errami, E., Brocx, M., Semeniuk, V. (Eds.), Springer International Publishing, Cham, pp. 81–90. https://doi.org/10.1007/978-3-319-10708-0_5</w:t>
      </w:r>
    </w:p>
    <w:p w14:paraId="5172D50D"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fr-BE"/>
        </w:rPr>
      </w:pPr>
      <w:r w:rsidRPr="00D95593">
        <w:rPr>
          <w:rFonts w:ascii="Times New Roman" w:hAnsi="Times New Roman" w:cs="Times New Roman"/>
          <w:noProof/>
          <w:kern w:val="0"/>
          <w:sz w:val="20"/>
          <w:lang w:val="fr-BE"/>
        </w:rPr>
        <w:t xml:space="preserve">El Azzouzi, M., Bellon, H., Maury, R. C., Pique, A., Cotten, J., Griffiths, J. B., et al. </w:t>
      </w:r>
      <w:r w:rsidRPr="00D95593">
        <w:rPr>
          <w:rFonts w:ascii="Times New Roman" w:hAnsi="Times New Roman" w:cs="Times New Roman"/>
          <w:noProof/>
          <w:kern w:val="0"/>
          <w:sz w:val="20"/>
          <w:lang w:val="en-US"/>
        </w:rPr>
        <w:t xml:space="preserve">(1999). Evolution of the sources of Moroccan volcanism during the Neogene. </w:t>
      </w:r>
      <w:r w:rsidRPr="00D95593">
        <w:rPr>
          <w:rFonts w:ascii="Times New Roman" w:hAnsi="Times New Roman" w:cs="Times New Roman"/>
          <w:noProof/>
          <w:kern w:val="0"/>
          <w:sz w:val="20"/>
          <w:lang w:val="fr-BE"/>
        </w:rPr>
        <w:t>In Comptes Rendus de l'Academie des Sciences. Serie 2 (pp. 95–102). Sciences de la Terre et des Planetes.</w:t>
      </w:r>
    </w:p>
    <w:p w14:paraId="3D64416B"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fr-BE"/>
        </w:rPr>
      </w:pPr>
      <w:r w:rsidRPr="00D95593">
        <w:rPr>
          <w:rFonts w:ascii="Times New Roman" w:hAnsi="Times New Roman" w:cs="Times New Roman"/>
          <w:noProof/>
          <w:kern w:val="0"/>
          <w:sz w:val="20"/>
          <w:lang w:val="en-US"/>
        </w:rPr>
        <w:t xml:space="preserve">El Azzouzi, M. H., Maury, R. C., Bellon, H., Youbi, N., Cotten, J., Kharbouch, F., 2010. Petrology and K-Ar chronology of the Neogene-quaternary middle atlas basaltic province, Morocco. </w:t>
      </w:r>
      <w:r w:rsidRPr="00D95593">
        <w:rPr>
          <w:rFonts w:ascii="Times New Roman" w:hAnsi="Times New Roman" w:cs="Times New Roman"/>
          <w:noProof/>
          <w:kern w:val="0"/>
          <w:sz w:val="20"/>
          <w:lang w:val="fr-BE"/>
        </w:rPr>
        <w:t>Bulletin de la Societe Geologique de France, 181(3), 243–257. https://doi.org/10.2113/gssgfbull.181.3.243</w:t>
      </w:r>
    </w:p>
    <w:p w14:paraId="4A2E7CB6" w14:textId="77777777" w:rsidR="00D95593" w:rsidRPr="00D95593" w:rsidRDefault="00D95593" w:rsidP="00D95593">
      <w:pPr>
        <w:spacing w:before="100" w:beforeAutospacing="1" w:after="100" w:afterAutospacing="1" w:line="240" w:lineRule="auto"/>
        <w:ind w:left="480" w:hanging="480"/>
        <w:jc w:val="both"/>
        <w:rPr>
          <w:rFonts w:ascii="Times New Roman" w:eastAsia="Times New Roman" w:hAnsi="Times New Roman" w:cs="Times New Roman"/>
          <w:kern w:val="0"/>
          <w:sz w:val="20"/>
          <w:szCs w:val="20"/>
          <w:lang w:val="en-US"/>
          <w14:ligatures w14:val="none"/>
        </w:rPr>
      </w:pPr>
      <w:r w:rsidRPr="00D95593">
        <w:rPr>
          <w:rFonts w:ascii="Times New Roman" w:eastAsia="Times New Roman" w:hAnsi="Times New Roman" w:cs="Times New Roman"/>
          <w:kern w:val="0"/>
          <w:sz w:val="20"/>
          <w:szCs w:val="20"/>
          <w:lang w:val="fr-BE"/>
          <w14:ligatures w14:val="none"/>
        </w:rPr>
        <w:t xml:space="preserve">El Basbas, A., Aissa, M., Ouguir, H., Mahdoudi, M.L., Madi, A., Zouhair, M., 2020. </w:t>
      </w:r>
      <w:r w:rsidRPr="00D95593">
        <w:rPr>
          <w:rFonts w:ascii="Times New Roman" w:eastAsia="Times New Roman" w:hAnsi="Times New Roman" w:cs="Times New Roman"/>
          <w:kern w:val="0"/>
          <w:sz w:val="20"/>
          <w:szCs w:val="20"/>
          <w:lang w:val="en-US"/>
          <w14:ligatures w14:val="none"/>
        </w:rPr>
        <w:t>Ouansimi copper mineralization (Western Anti-Atlas, Morocco): Paragenetic sequence and circulation of gangue hosted paleofluids. J. African Earth Sci. 162, 103692. https://doi.org/10.1016/j.jafrearsci.2019.103692</w:t>
      </w:r>
    </w:p>
    <w:p w14:paraId="74733FF6" w14:textId="77777777" w:rsidR="00D95593" w:rsidRPr="00D95593" w:rsidRDefault="00D95593" w:rsidP="00D95593">
      <w:pPr>
        <w:spacing w:before="100" w:beforeAutospacing="1" w:after="100" w:afterAutospacing="1" w:line="240" w:lineRule="auto"/>
        <w:ind w:left="480" w:hanging="480"/>
        <w:jc w:val="both"/>
        <w:rPr>
          <w:rFonts w:ascii="Times New Roman" w:eastAsia="Times New Roman" w:hAnsi="Times New Roman" w:cs="Times New Roman"/>
          <w:kern w:val="0"/>
          <w:lang w:val="en-US"/>
          <w14:ligatures w14:val="none"/>
        </w:rPr>
      </w:pPr>
      <w:r w:rsidRPr="00D95593">
        <w:rPr>
          <w:rFonts w:ascii="Times New Roman" w:eastAsia="Times New Roman" w:hAnsi="Times New Roman" w:cs="Times New Roman"/>
          <w:kern w:val="0"/>
          <w:sz w:val="20"/>
          <w:szCs w:val="20"/>
          <w:lang w:val="en-US"/>
          <w14:ligatures w14:val="none"/>
        </w:rPr>
        <w:t>El Harfi, A., Lang, J., Salomon, J., Chellai, E. H., 2001. Cenozoic sedimentary dynamics of the Ouarzazate foreland basin (Central High Atlas Mountains, Morocco). Int J of Earth Sci 90(2), 393–411. https://doi.org/10.1007/s005310000115</w:t>
      </w:r>
    </w:p>
    <w:p w14:paraId="0469A526"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Farmer, J.G., Lovell, M.A., 1986. Natural enrichment of arsenic in Loch Lomond sediments. Geochim. Cosmochim. Acta 50, 2059–2067. https://doi.org/10.1016/0016-7037(86)90259-0</w:t>
      </w:r>
    </w:p>
    <w:p w14:paraId="63F1621E"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Fontaine, L., De Putter, T., Bernard, A., Decrée, S., Cailteux, J., Wouters, J., Yans, J., 2020. Complex mineralogical-geochemical sequences and weathering events in the supergene ore of the Cu–Co Luiswishi deposit (Katanga, D.R. Congo). J. African Earth Sci. 161. https://doi.org/10.1016/j.jafrearsci.2019.103674</w:t>
      </w:r>
    </w:p>
    <w:p w14:paraId="3E4E0565"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Fulignati, P., Gioncada, A., Sbrana, A., 1999. Rare-earth element (REE) behaviour in the alteration facies of the active magmatic–hydrothermal system of Vulcano (Aeolian Islands, Italy). J. Volcanol. Geotherm. Res. 88, 325–342. https://doi.org/10.1016/S0377-0273(98)00117-6</w:t>
      </w:r>
    </w:p>
    <w:p w14:paraId="5231CE21" w14:textId="77777777" w:rsidR="00D95593" w:rsidRPr="008D0E90"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de-DE"/>
        </w:rPr>
      </w:pPr>
      <w:r w:rsidRPr="00D95593">
        <w:rPr>
          <w:rFonts w:ascii="Times New Roman" w:hAnsi="Times New Roman" w:cs="Times New Roman"/>
          <w:noProof/>
          <w:kern w:val="0"/>
          <w:sz w:val="20"/>
          <w:lang w:val="en-US"/>
        </w:rPr>
        <w:t xml:space="preserve">Gasquet, D., Ennih, N., Liégeois, J.P., Soulaimani, A., Michard, A., 2008. The pan-African belt, in: Lecture Notes in Earth Sciences (Ed.), Continental Evolution: The Geology of Morocco. </w:t>
      </w:r>
      <w:r w:rsidRPr="008D0E90">
        <w:rPr>
          <w:rFonts w:ascii="Times New Roman" w:hAnsi="Times New Roman" w:cs="Times New Roman"/>
          <w:noProof/>
          <w:kern w:val="0"/>
          <w:sz w:val="20"/>
          <w:lang w:val="de-DE"/>
        </w:rPr>
        <w:t>Springer Verlag, pp. 33–64. https://doi.org/10.1007/978-3-540-77076-3_2/COVER/</w:t>
      </w:r>
    </w:p>
    <w:p w14:paraId="5BBDAB0B"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8D0E90">
        <w:rPr>
          <w:rFonts w:ascii="Times New Roman" w:hAnsi="Times New Roman" w:cs="Times New Roman"/>
          <w:noProof/>
          <w:kern w:val="0"/>
          <w:sz w:val="20"/>
          <w:lang w:val="de-DE"/>
        </w:rPr>
        <w:t xml:space="preserve">Gasquet, D., Levresse, G., Cheilletz, A., Azizi-Samir, M.R., Mouttaqi, A., 2005. </w:t>
      </w:r>
      <w:r w:rsidRPr="00D95593">
        <w:rPr>
          <w:rFonts w:ascii="Times New Roman" w:hAnsi="Times New Roman" w:cs="Times New Roman"/>
          <w:noProof/>
          <w:kern w:val="0"/>
          <w:sz w:val="20"/>
          <w:lang w:val="en-US"/>
        </w:rPr>
        <w:t>Contribution to a geodynamic reconstruction of the Anti-Atlas (Morocco) during Pan-African times with the emphasis on inversion tectonics and metallogenic activity at the Precambrian-Cambrian transition. Precambrian Res. 140, 157–182. https://doi.org/10.1016/j.precamres.2005.06.009.</w:t>
      </w:r>
    </w:p>
    <w:p w14:paraId="1657A3C9"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sz w:val="20"/>
          <w:szCs w:val="20"/>
          <w:lang w:val="en-US"/>
        </w:rPr>
      </w:pPr>
      <w:r w:rsidRPr="00D95593">
        <w:rPr>
          <w:rFonts w:ascii="Times New Roman" w:hAnsi="Times New Roman"/>
          <w:sz w:val="20"/>
          <w:szCs w:val="20"/>
          <w:lang w:val="en-US"/>
        </w:rPr>
        <w:t>Gouiza, M., Charton, R., Bertotti, G., Andriessen, P., Storms, J.E.A, 2016. Post-Variscan evolution of the Anti-Atlas belt of Morocco constrained from low-temperature geochronology. Int J Earth Sci (Geol Rundsch) 106, 593–616. https://doi.org/10.1007/s00531-016-1325-0.</w:t>
      </w:r>
    </w:p>
    <w:p w14:paraId="3B3300E1"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szCs w:val="20"/>
          <w:lang w:val="en-US"/>
        </w:rPr>
      </w:pPr>
      <w:r w:rsidRPr="00D95593">
        <w:rPr>
          <w:rFonts w:ascii="Times New Roman" w:hAnsi="Times New Roman" w:cs="Times New Roman"/>
          <w:noProof/>
          <w:kern w:val="0"/>
          <w:sz w:val="20"/>
          <w:szCs w:val="20"/>
          <w:lang w:val="en-US"/>
        </w:rPr>
        <w:t>Guimerà, J., Arboleya, M. L., Teixell, A., 2011. Structural control on present-day topography of a basement massif: The central and eastern anti-atlas (Morocco). Geológica Acta: An International Earth Science Journal 9(1), 55–65. https://doi.org/10.1344/105.000001643</w:t>
      </w:r>
    </w:p>
    <w:p w14:paraId="2EB58DAF"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lastRenderedPageBreak/>
        <w:t>Hemley, J.J., Hostetler, P.B., Gude, A.J., Mountjoy, W.T., 1969. Some Stability Relations of Alunite. Econ. Geol. 64, 599–612.</w:t>
      </w:r>
    </w:p>
    <w:p w14:paraId="0609332B"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Hssaine, A.A., Bridgland, D., 2009. Pliocene–quaternary fluvial and Aeolian records in the Souss Basin, southwest Morocco: A geomorphological model. Global and Planetary Change, 68(4), 288–296. https://doi.org/10.1016/j.gloplacha.2009.03.002</w:t>
      </w:r>
    </w:p>
    <w:p w14:paraId="29FC9BC4"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szCs w:val="20"/>
          <w:lang w:val="en-US"/>
        </w:rPr>
      </w:pPr>
      <w:r w:rsidRPr="00D95593">
        <w:rPr>
          <w:rFonts w:ascii="Times New Roman" w:hAnsi="Times New Roman"/>
          <w:sz w:val="20"/>
          <w:szCs w:val="20"/>
          <w:lang w:val="en-US"/>
        </w:rPr>
        <w:t>Jabbour, M., Ilmen, S., Ikenne, M., Zoheir, B., Souhassou, M., Bouskri, I., El-Masoudy, A., Prokopyev, I., Oulhaj, M., Ait Addi, M., &amp; Maacha, L., 2025. Genesis of the Aït Abdellah Copper Deposit, Bou Azzer-El Graara Inlier, Anti-Atlas, Morocco. Minerals 15(5), 545. https://doi.org/10.3390/min15050545</w:t>
      </w:r>
    </w:p>
    <w:p w14:paraId="5AF068F2"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Jambor, J.L., Owens, D.R., Grice, J.D., Feinglos, M.N., 1996. Gallobeudantite, PbGa</w:t>
      </w:r>
      <w:r w:rsidRPr="00D95593">
        <w:rPr>
          <w:rFonts w:ascii="Times New Roman" w:hAnsi="Times New Roman" w:cs="Times New Roman"/>
          <w:noProof/>
          <w:kern w:val="0"/>
          <w:sz w:val="20"/>
          <w:vertAlign w:val="subscript"/>
          <w:lang w:val="en-US"/>
        </w:rPr>
        <w:t>3</w:t>
      </w:r>
      <w:r w:rsidRPr="00D95593">
        <w:rPr>
          <w:rFonts w:ascii="Times New Roman" w:hAnsi="Times New Roman" w:cs="Times New Roman"/>
          <w:noProof/>
          <w:kern w:val="0"/>
          <w:sz w:val="20"/>
          <w:lang w:val="en-US"/>
        </w:rPr>
        <w:t>[(AsO</w:t>
      </w:r>
      <w:r w:rsidRPr="00D95593">
        <w:rPr>
          <w:rFonts w:ascii="Times New Roman" w:hAnsi="Times New Roman" w:cs="Times New Roman"/>
          <w:noProof/>
          <w:kern w:val="0"/>
          <w:sz w:val="20"/>
          <w:vertAlign w:val="subscript"/>
          <w:lang w:val="en-US"/>
        </w:rPr>
        <w:t>4</w:t>
      </w:r>
      <w:r w:rsidRPr="00D95593">
        <w:rPr>
          <w:rFonts w:ascii="Times New Roman" w:hAnsi="Times New Roman" w:cs="Times New Roman"/>
          <w:noProof/>
          <w:kern w:val="0"/>
          <w:sz w:val="20"/>
          <w:lang w:val="en-US"/>
        </w:rPr>
        <w:t>),(SO</w:t>
      </w:r>
      <w:r w:rsidRPr="00D95593">
        <w:rPr>
          <w:rFonts w:ascii="Times New Roman" w:hAnsi="Times New Roman" w:cs="Times New Roman"/>
          <w:noProof/>
          <w:kern w:val="0"/>
          <w:sz w:val="20"/>
          <w:vertAlign w:val="subscript"/>
          <w:lang w:val="en-US"/>
        </w:rPr>
        <w:t>4</w:t>
      </w:r>
      <w:r w:rsidRPr="00D95593">
        <w:rPr>
          <w:rFonts w:ascii="Times New Roman" w:hAnsi="Times New Roman" w:cs="Times New Roman"/>
          <w:noProof/>
          <w:kern w:val="0"/>
          <w:sz w:val="20"/>
          <w:lang w:val="en-US"/>
        </w:rPr>
        <w:t>)]</w:t>
      </w:r>
      <w:r w:rsidRPr="00D95593">
        <w:rPr>
          <w:rFonts w:ascii="Times New Roman" w:hAnsi="Times New Roman" w:cs="Times New Roman"/>
          <w:noProof/>
          <w:kern w:val="0"/>
          <w:sz w:val="20"/>
          <w:vertAlign w:val="subscript"/>
          <w:lang w:val="en-US"/>
        </w:rPr>
        <w:t>2</w:t>
      </w:r>
      <w:r w:rsidRPr="00D95593">
        <w:rPr>
          <w:rFonts w:ascii="Times New Roman" w:hAnsi="Times New Roman" w:cs="Times New Roman"/>
          <w:noProof/>
          <w:kern w:val="0"/>
          <w:sz w:val="20"/>
          <w:lang w:val="en-US"/>
        </w:rPr>
        <w:t>(OH)</w:t>
      </w:r>
      <w:r w:rsidRPr="00D95593">
        <w:rPr>
          <w:rFonts w:ascii="Times New Roman" w:hAnsi="Times New Roman" w:cs="Times New Roman"/>
          <w:noProof/>
          <w:kern w:val="0"/>
          <w:sz w:val="20"/>
          <w:vertAlign w:val="subscript"/>
          <w:lang w:val="en-US"/>
        </w:rPr>
        <w:t>6</w:t>
      </w:r>
      <w:r w:rsidRPr="00D95593">
        <w:rPr>
          <w:rFonts w:ascii="Times New Roman" w:hAnsi="Times New Roman" w:cs="Times New Roman"/>
          <w:noProof/>
          <w:kern w:val="0"/>
          <w:sz w:val="20"/>
          <w:lang w:val="en-US"/>
        </w:rPr>
        <w:t xml:space="preserve"> , a new mineral species from Tsumeb, Namibia, and associated new gallium analogues of the alunite-jarosite family. Can. Mineral. 34, 1305–1315.</w:t>
      </w:r>
    </w:p>
    <w:p w14:paraId="53F6F556"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Johannesson, K.H., Lyons, W.B., 1995. Rare-earth element geochemistry of Colour Lake, an acidic freshwater lake on Axel Heiberg Island, Northwest Territories, Canada. Chem. Geol. 119, 209–223. https://doi.org/10.1016/0009-2541(94)00099-T</w:t>
      </w:r>
    </w:p>
    <w:p w14:paraId="442ED3E3"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Johannesson, K.H., Lyons, W.B., 1994. The rare earth element geochemistry of Mono Lake water and the importance of carbonate complexing. Limnol. Oceanogr. 39, 1141–1154. https://doi.org/10.4319/LO.1994.39.5.1141</w:t>
      </w:r>
    </w:p>
    <w:p w14:paraId="538377AB"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Johannesson, K.H., Lyons, W.B., Yelken, M.A., Gaudette, H.E., Stetzenbach, K.J., 1996. Geochemistry of the rare-earth elements in hypersaline and dilute acidic natural terrestrial waters: Complexation behavior and middle rare-earth element enrichments. Chem. Geol. 133, 125–144. https://doi.org/10.1016/S0009-2541(96)00072-1</w:t>
      </w:r>
    </w:p>
    <w:p w14:paraId="7592AA8B"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Johannesson, K.H., Zhou, X., 1999. Origin of middle rare earth element enrichments in acid waters of a Canadian High Arctic lake. Geochim. Cosmochim. Acta 63, 153–165. https://doi.org/10.1016/S0016-7037(98)00291-9.</w:t>
      </w:r>
    </w:p>
    <w:p w14:paraId="16A58505" w14:textId="77777777" w:rsidR="00D95593" w:rsidRPr="00D95593" w:rsidRDefault="00D95593" w:rsidP="00D95593">
      <w:pPr>
        <w:spacing w:before="100" w:beforeAutospacing="1" w:after="100" w:afterAutospacing="1" w:line="240" w:lineRule="auto"/>
        <w:ind w:left="480" w:hanging="480"/>
        <w:jc w:val="both"/>
        <w:rPr>
          <w:rFonts w:ascii="Times New Roman" w:eastAsia="Times New Roman" w:hAnsi="Times New Roman" w:cs="Times New Roman"/>
          <w:kern w:val="0"/>
          <w:sz w:val="24"/>
          <w:szCs w:val="24"/>
          <w:lang w:val="en-US"/>
          <w14:ligatures w14:val="none"/>
        </w:rPr>
      </w:pPr>
      <w:r w:rsidRPr="00D95593">
        <w:rPr>
          <w:rFonts w:ascii="Times New Roman" w:eastAsia="Times New Roman" w:hAnsi="Times New Roman" w:cs="Times New Roman"/>
          <w:kern w:val="0"/>
          <w:sz w:val="20"/>
          <w:szCs w:val="20"/>
          <w:lang w:val="en-US"/>
          <w14:ligatures w14:val="none"/>
        </w:rPr>
        <w:t>Lanari, R., Fellin, M.G., Faccenna, C., Balestrieri, M.L., Pazzaglia, F.J., Youbi, N., Maden, C., 2020. Exhumation and Surface Evolution of the Western High Atlas and Surrounding Regions as Constrained by Low-Temperature Thermochronology. Tectonics 39. https://doi.org/10.1029/2019TC005562.</w:t>
      </w:r>
    </w:p>
    <w:p w14:paraId="66ECC14B"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Lanari, R., Reitano, R., Giachetta, E., Pazzaglia, F.J., Clementucci, R., Faccenna, C., Fellin, M.G., 2022. Is the Anti-Atlas of Morocco still uplifting? J. African Earth Sci. 188, 104481. https://doi.org/10.1016/j.jafrearsci.2022.104481</w:t>
      </w:r>
    </w:p>
    <w:p w14:paraId="23C04818"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Leach, D.L., Bradley, D.C., Huston, D., Pisarevsky, S.A., Taylor, R.D., Gardoll, S.J., 2010. Sediment-Hosted Lead-Zinc Deposits in Earth History. Econ. Geol. 105, 593–625. https://doi.org/10.2113/gsecongeo.105.3.593</w:t>
      </w:r>
    </w:p>
    <w:p w14:paraId="229A7F23" w14:textId="77777777" w:rsidR="00D95593" w:rsidRPr="00D95593" w:rsidRDefault="00D95593" w:rsidP="00D95593">
      <w:pPr>
        <w:spacing w:before="100" w:beforeAutospacing="1" w:after="100" w:afterAutospacing="1" w:line="240" w:lineRule="auto"/>
        <w:ind w:left="480" w:hanging="480"/>
        <w:jc w:val="both"/>
        <w:rPr>
          <w:rFonts w:ascii="Times New Roman" w:eastAsia="Times New Roman" w:hAnsi="Times New Roman" w:cs="Times New Roman"/>
          <w:kern w:val="0"/>
          <w:sz w:val="20"/>
          <w:szCs w:val="20"/>
          <w:lang w:val="en-US"/>
          <w14:ligatures w14:val="none"/>
        </w:rPr>
      </w:pPr>
      <w:r w:rsidRPr="00D95593">
        <w:rPr>
          <w:rFonts w:ascii="Times New Roman" w:eastAsia="Times New Roman" w:hAnsi="Times New Roman" w:cs="Times New Roman"/>
          <w:kern w:val="0"/>
          <w:sz w:val="20"/>
          <w:szCs w:val="20"/>
          <w:lang w:val="en-US"/>
          <w14:ligatures w14:val="none"/>
        </w:rPr>
        <w:t>Leprêtre, R., Missenard, Y., Saint-Bezar, B., Barbarand, J., Delpech, G., Yans, J., Dekoninck, A., Saddiqi, O., 2015. The three main steps of the Marrakech High Atlas building in Morocco: Structural evidences from the southern foreland, Imini area. J. African Earth Sci. 109, 177–194. https://doi.org/10.1016/J.JAFREARSCI.2015.05.013</w:t>
      </w:r>
    </w:p>
    <w:p w14:paraId="1C0C20F5"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Leprêtre, R., Missenard, Y., Barbarand, J., Gautheron, C., Jouvie, I., Saddiqi, O., 2018. Polyphased Inversions of an Intracontinental Rift: Case Study of the Marrakech High Atlas, Morocco. Tectonics 37, 818–841. https://doi.org/10.1002/2017TC004693</w:t>
      </w:r>
    </w:p>
    <w:p w14:paraId="1859162C"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Loughlin, S.C., Hawkins, M.P., Gillespie, M., Barnes, R.P., Evans, J., Horstwood, M., Darbyshire, F., 2002. Proterozoic volcanism and crustal evolution in the Anti-Atlas mountains, southern Morocco. 19th Colloquim of African Geology, El Jadida (Morocco), March 2002.</w:t>
      </w:r>
    </w:p>
    <w:p w14:paraId="2CB44E2F"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Maloof, A.C., Schrag, D.P., Crowley, J.L., Bowring, S.A., 2005. An expanded record of Early Cambrian carbon cycling from the Anti-Atlas Margin, Morocco. Can. J. Earth Sci. 42, 2195–2216. https://doi.org/10.1139/e05-062</w:t>
      </w:r>
    </w:p>
    <w:p w14:paraId="1C281D65"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Malusa, M. G., Polino, R., Feroni, A. C., Ellero, A., Ottria, G., Baidder, L., Musumeci, G., 2007. Post-Variscan tectonics in eastern anti-atlas (Morocco). Terra Nova 19(6), 481–489. https://doi.org/10.1111/j.1365-</w:t>
      </w:r>
      <w:r w:rsidRPr="00D95593">
        <w:rPr>
          <w:rFonts w:ascii="Times New Roman" w:hAnsi="Times New Roman" w:cs="Times New Roman"/>
          <w:noProof/>
          <w:kern w:val="0"/>
          <w:sz w:val="20"/>
          <w:lang w:val="en-US"/>
        </w:rPr>
        <w:lastRenderedPageBreak/>
        <w:t>3121.2007.00775.x</w:t>
      </w:r>
    </w:p>
    <w:p w14:paraId="49FC67A2" w14:textId="77777777" w:rsidR="00D95593" w:rsidRPr="00BF2BC6"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fr-BE"/>
        </w:rPr>
        <w:t xml:space="preserve">Michard, A., Saddiqi, O., Missenard, Y., Oukassou, M., Barbarand, J., 2017. Les grandes régions géologiques du Maroc ; diversité et soulèvement d’ensemble. </w:t>
      </w:r>
      <w:r w:rsidRPr="00BF2BC6">
        <w:rPr>
          <w:rFonts w:ascii="Times New Roman" w:hAnsi="Times New Roman" w:cs="Times New Roman"/>
          <w:noProof/>
          <w:kern w:val="0"/>
          <w:sz w:val="20"/>
          <w:lang w:val="en-US"/>
        </w:rPr>
        <w:t>Géologues-SGF 197, 4–12.</w:t>
      </w:r>
    </w:p>
    <w:p w14:paraId="51216429" w14:textId="5309F482" w:rsidR="007E45BB" w:rsidRPr="00BF2BC6" w:rsidRDefault="009B4370"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6A3B22">
        <w:rPr>
          <w:rFonts w:ascii="Times New Roman" w:hAnsi="Times New Roman" w:cs="Times New Roman"/>
          <w:noProof/>
          <w:kern w:val="0"/>
          <w:sz w:val="20"/>
          <w:lang w:val="en-US"/>
        </w:rPr>
        <w:t>Micheels, A., Eronen, J. &amp; Mosbrugger, V</w:t>
      </w:r>
      <w:r>
        <w:rPr>
          <w:rFonts w:ascii="Times New Roman" w:hAnsi="Times New Roman" w:cs="Times New Roman"/>
          <w:noProof/>
          <w:kern w:val="0"/>
          <w:sz w:val="20"/>
          <w:lang w:val="en-US"/>
        </w:rPr>
        <w:t>, 2009</w:t>
      </w:r>
      <w:r w:rsidRPr="006A3B22">
        <w:rPr>
          <w:rFonts w:ascii="Times New Roman" w:hAnsi="Times New Roman" w:cs="Times New Roman"/>
          <w:noProof/>
          <w:kern w:val="0"/>
          <w:sz w:val="20"/>
          <w:lang w:val="en-US"/>
        </w:rPr>
        <w:t xml:space="preserve">. The Late Miocene climate response to a modern Sahara desert. </w:t>
      </w:r>
      <w:r w:rsidRPr="00BF2BC6">
        <w:rPr>
          <w:rFonts w:ascii="Times New Roman" w:hAnsi="Times New Roman" w:cs="Times New Roman"/>
          <w:noProof/>
          <w:kern w:val="0"/>
          <w:sz w:val="20"/>
          <w:lang w:val="en-US"/>
        </w:rPr>
        <w:t>Global and Planetary Change 67, 193–204.</w:t>
      </w:r>
      <w:r w:rsidR="0096774A" w:rsidRPr="00BF2BC6">
        <w:rPr>
          <w:rFonts w:ascii="Times New Roman" w:hAnsi="Times New Roman" w:cs="Times New Roman"/>
          <w:noProof/>
          <w:kern w:val="0"/>
          <w:sz w:val="20"/>
          <w:lang w:val="en-US"/>
        </w:rPr>
        <w:t xml:space="preserve"> https://doi.org/10.1016/j.gloplacha.2009.02.005.</w:t>
      </w:r>
    </w:p>
    <w:p w14:paraId="732097AD"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s-ES"/>
        </w:rPr>
      </w:pPr>
      <w:r w:rsidRPr="00BF2BC6">
        <w:rPr>
          <w:rFonts w:ascii="Times New Roman" w:hAnsi="Times New Roman" w:cs="Times New Roman"/>
          <w:noProof/>
          <w:kern w:val="0"/>
          <w:sz w:val="20"/>
          <w:lang w:val="en-US"/>
        </w:rPr>
        <w:t xml:space="preserve">Missenard, Y., Saddiqi, O., Barbarand, J., Leturmy, P., Ruiz, G., El Haimer, F. Z., &amp; Frizon de Lamotte, D., 2008. </w:t>
      </w:r>
      <w:r w:rsidRPr="00D95593">
        <w:rPr>
          <w:rFonts w:ascii="Times New Roman" w:hAnsi="Times New Roman" w:cs="Times New Roman"/>
          <w:noProof/>
          <w:kern w:val="0"/>
          <w:sz w:val="20"/>
          <w:lang w:val="en-US"/>
        </w:rPr>
        <w:t xml:space="preserve">Cenozoic denudation in the Marrakech High Atlas, Morocco: Insight from apatite fission-track thermochronology. </w:t>
      </w:r>
      <w:r w:rsidRPr="00D95593">
        <w:rPr>
          <w:rFonts w:ascii="Times New Roman" w:hAnsi="Times New Roman" w:cs="Times New Roman"/>
          <w:noProof/>
          <w:kern w:val="0"/>
          <w:sz w:val="20"/>
          <w:lang w:val="es-ES"/>
        </w:rPr>
        <w:t>Terra Nova, 20(3), 221–228. https://doi.org/10.1111/j.1365-3121.2008.00810.x</w:t>
      </w:r>
    </w:p>
    <w:p w14:paraId="4467C248"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s-ES"/>
        </w:rPr>
        <w:t xml:space="preserve">Nordstrom, D.K., 1982. </w:t>
      </w:r>
      <w:r w:rsidRPr="00D95593">
        <w:rPr>
          <w:rFonts w:ascii="Times New Roman" w:hAnsi="Times New Roman" w:cs="Times New Roman"/>
          <w:noProof/>
          <w:kern w:val="0"/>
          <w:sz w:val="20"/>
          <w:lang w:val="en-US"/>
        </w:rPr>
        <w:t>The effect of sulfate on aluminum concentrations in natural waters: some stability relations in the system Al2O3-SO3-H2O at 298 K. Geochim. Cosmochim. Acta 46, 681–692. https://doi.org/10.1016/0016-7037(82)90168-5</w:t>
      </w:r>
    </w:p>
    <w:p w14:paraId="5B951680"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fr-BE"/>
        </w:rPr>
      </w:pPr>
      <w:r w:rsidRPr="00D95593">
        <w:rPr>
          <w:rFonts w:ascii="Times New Roman" w:hAnsi="Times New Roman" w:cs="Times New Roman"/>
          <w:noProof/>
          <w:kern w:val="0"/>
          <w:sz w:val="20"/>
          <w:lang w:val="en-US"/>
        </w:rPr>
        <w:t xml:space="preserve">Oukassou, M., Saddiqi, O., Barbarand, J., Sebti, S., Baidder, L., Michard, A., 2013. Post-Variscan exhumation of the Central Anti-Atlas (Morocco) constrained by zircon and apatite fission-track thermochronology. </w:t>
      </w:r>
      <w:r w:rsidRPr="00D95593">
        <w:rPr>
          <w:rFonts w:ascii="Times New Roman" w:hAnsi="Times New Roman" w:cs="Times New Roman"/>
          <w:noProof/>
          <w:kern w:val="0"/>
          <w:sz w:val="20"/>
          <w:lang w:val="fr-BE"/>
        </w:rPr>
        <w:t>Terra Nov. 25, 151–159. https://doi.org/10.1111/ter.12019</w:t>
      </w:r>
    </w:p>
    <w:p w14:paraId="018D1E3F"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fr-BE"/>
        </w:rPr>
        <w:t xml:space="preserve">Oummouch, A., Essaifi, A., Zayane, R., Maddi, O., Zouhair, M., Maacha, L., 2017. </w:t>
      </w:r>
      <w:r w:rsidRPr="00D95593">
        <w:rPr>
          <w:rFonts w:ascii="Times New Roman" w:hAnsi="Times New Roman" w:cs="Times New Roman"/>
          <w:noProof/>
          <w:kern w:val="0"/>
          <w:sz w:val="20"/>
          <w:lang w:val="en-US"/>
        </w:rPr>
        <w:t>Geology and Metallogenesis of the Sediment-Hosted Cu-Ag Deposit of Tizert ( Igherm Inlier ,Anti-Atlas Copperbelt, Morocco). Geofluids 2017, 1–19. https://doi.org/10.1155/2017/7508484</w:t>
      </w:r>
    </w:p>
    <w:p w14:paraId="1DCE0006"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Parsapoor, A., Khalili, M., Mackizadeh, M.A., 2009. The behaviour of trace and rare earth elements (REE) during hydrothermal alteration in the Rangan area (Central Iran). J. Asian Earth Sci. 34, 123–134. https://doi.org/10.1016/J.JSEAES.2008.04.005</w:t>
      </w:r>
    </w:p>
    <w:p w14:paraId="02E3B54F"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Poot, J., Buelens, P., Dekoninck, A., Rochez, G., Yans, J., 2024. Tracing the Eh–pH evolution of Cu–Pb–As–Zn supergene mineralization using detailed petrography in the Cap Garonne mineral deposit (Provence, France). Miner. Depos. 59, 1249–1271. https://doi.org/10.1007/S00126-024-01258-3</w:t>
      </w:r>
    </w:p>
    <w:p w14:paraId="74AF4F7B"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Poot, J., Stanus, R., EL Azmi, M., Dekoninck, A., Maacha, L., Rochez, G., Bouabdellah, M., Yans, J., 2026. Weathering processes and the role of combined chlorite-dolomite as main neutralizing agents of acidic fluids in the Cu(-Pb-Zn-Ag) Bou Skour supergene deposit (Eastern Anti-Atlas, Morocco). J. African Earth Sci. 235, 105981. https://doi.org/https://doi.org/10.1016/j.jafrearsci.2025.105981</w:t>
      </w:r>
    </w:p>
    <w:p w14:paraId="04891797" w14:textId="77777777" w:rsidR="00D95593" w:rsidRPr="008D0E90"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de-DE"/>
        </w:rPr>
      </w:pPr>
      <w:r w:rsidRPr="00D95593">
        <w:rPr>
          <w:rFonts w:ascii="Times New Roman" w:hAnsi="Times New Roman" w:cs="Times New Roman"/>
          <w:noProof/>
          <w:kern w:val="0"/>
          <w:sz w:val="20"/>
          <w:lang w:val="en-US"/>
        </w:rPr>
        <w:t xml:space="preserve">Poot, J., Verhaert, M., Dekoninck, A., Oummouch, A., Basbas, A. El, Maacha, L., Yans, J., 2020. Characterization of weathering processes of the giant copper deposit of Tizert (Igherm inlier, Anti-Atlas, Morocco). </w:t>
      </w:r>
      <w:r w:rsidRPr="008D0E90">
        <w:rPr>
          <w:rFonts w:ascii="Times New Roman" w:hAnsi="Times New Roman" w:cs="Times New Roman"/>
          <w:noProof/>
          <w:kern w:val="0"/>
          <w:sz w:val="20"/>
          <w:lang w:val="de-DE"/>
        </w:rPr>
        <w:t>Minerals 10, 620. https://doi.org/10.3390/min10070620</w:t>
      </w:r>
    </w:p>
    <w:p w14:paraId="1A5AAC09"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8D0E90">
        <w:rPr>
          <w:rFonts w:ascii="Times New Roman" w:hAnsi="Times New Roman" w:cs="Times New Roman"/>
          <w:noProof/>
          <w:kern w:val="0"/>
          <w:sz w:val="20"/>
          <w:lang w:val="de-DE"/>
        </w:rPr>
        <w:t xml:space="preserve">Reddy, K.J., Wang, L., Gloss, S.P., 1995. </w:t>
      </w:r>
      <w:r w:rsidRPr="00D95593">
        <w:rPr>
          <w:rFonts w:ascii="Times New Roman" w:hAnsi="Times New Roman" w:cs="Times New Roman"/>
          <w:noProof/>
          <w:kern w:val="0"/>
          <w:sz w:val="20"/>
          <w:lang w:val="en-US"/>
        </w:rPr>
        <w:t>Solubility and mobility of copper, zinc and lead in acidic environments. Plant Soil 171, 53–58. https://doi.org/10.1007/BF00009564.</w:t>
      </w:r>
    </w:p>
    <w:p w14:paraId="2386A73E" w14:textId="77777777" w:rsidR="00D95593" w:rsidRPr="00D95593" w:rsidRDefault="00D95593" w:rsidP="00D95593">
      <w:pPr>
        <w:spacing w:before="100" w:beforeAutospacing="1" w:after="100" w:afterAutospacing="1" w:line="240" w:lineRule="auto"/>
        <w:ind w:left="480" w:hanging="480"/>
        <w:jc w:val="both"/>
        <w:rPr>
          <w:rFonts w:ascii="Times New Roman" w:eastAsia="Times New Roman" w:hAnsi="Times New Roman" w:cs="Times New Roman"/>
          <w:kern w:val="0"/>
          <w:sz w:val="24"/>
          <w:szCs w:val="24"/>
          <w:lang w:val="en-US"/>
          <w14:ligatures w14:val="none"/>
        </w:rPr>
      </w:pPr>
      <w:r w:rsidRPr="00D95593">
        <w:rPr>
          <w:rFonts w:ascii="Times New Roman" w:eastAsia="Times New Roman" w:hAnsi="Times New Roman" w:cs="Times New Roman"/>
          <w:kern w:val="0"/>
          <w:sz w:val="20"/>
          <w:szCs w:val="20"/>
          <w:lang w:val="en-US"/>
          <w14:ligatures w14:val="none"/>
        </w:rPr>
        <w:t>Ruiz, G.M.H., Sebti, S., Negro, F., Saddiqi, O., Frizon De Lamotte, D., Stockli, D., Foeken, J., Stuart, F., Barbarand, J., Schaer, J.P., 2011. From central Atlantic continental rift to Neogene uplift - western Anti-Atlas (Morocco). Terra Nov. 23, 35–41. https://doi.org/10.1111/j.1365-3121.2010.00980.x.</w:t>
      </w:r>
    </w:p>
    <w:p w14:paraId="7FCAC46B" w14:textId="77777777" w:rsidR="00D95593" w:rsidRDefault="00D95593" w:rsidP="00D95593">
      <w:pPr>
        <w:spacing w:before="100" w:beforeAutospacing="1" w:after="100" w:afterAutospacing="1" w:line="240" w:lineRule="auto"/>
        <w:ind w:left="480" w:hanging="480"/>
        <w:rPr>
          <w:rFonts w:ascii="Times New Roman" w:eastAsia="Times New Roman" w:hAnsi="Times New Roman" w:cs="Times New Roman"/>
          <w:kern w:val="0"/>
          <w:sz w:val="20"/>
          <w:szCs w:val="20"/>
          <w:lang w:val="en-US"/>
          <w14:ligatures w14:val="none"/>
        </w:rPr>
      </w:pPr>
      <w:r w:rsidRPr="00D95593">
        <w:rPr>
          <w:rFonts w:ascii="Times New Roman" w:eastAsia="Times New Roman" w:hAnsi="Times New Roman" w:cs="Times New Roman"/>
          <w:kern w:val="0"/>
          <w:sz w:val="20"/>
          <w:szCs w:val="20"/>
          <w:lang w:val="en-US"/>
          <w14:ligatures w14:val="none"/>
        </w:rPr>
        <w:t>Sangameshwar, S.R., Barnes, H.L., 1983. Supergene process in zinc-lead-silver sulfide ores in carbonates. Econ. Geol. 78, 1379–1397. https://doi.org/10.2113/gsecongeo.78.7.1379</w:t>
      </w:r>
    </w:p>
    <w:p w14:paraId="1C9F879F" w14:textId="3E5CB90E" w:rsidR="00DD0CEC" w:rsidRPr="00D95593" w:rsidRDefault="00DD0CEC" w:rsidP="00D95593">
      <w:pPr>
        <w:spacing w:before="100" w:beforeAutospacing="1" w:after="100" w:afterAutospacing="1" w:line="240" w:lineRule="auto"/>
        <w:ind w:left="480" w:hanging="480"/>
        <w:rPr>
          <w:rFonts w:ascii="Times New Roman" w:eastAsia="Times New Roman" w:hAnsi="Times New Roman" w:cs="Times New Roman"/>
          <w:kern w:val="0"/>
          <w:sz w:val="24"/>
          <w:szCs w:val="24"/>
          <w:lang w:val="en-US"/>
          <w14:ligatures w14:val="none"/>
        </w:rPr>
      </w:pPr>
      <w:r w:rsidRPr="006A3B22">
        <w:rPr>
          <w:rFonts w:ascii="Times New Roman" w:eastAsia="Times New Roman" w:hAnsi="Times New Roman" w:cs="Times New Roman"/>
          <w:kern w:val="0"/>
          <w:sz w:val="20"/>
          <w:szCs w:val="20"/>
          <w:lang w:val="en-US"/>
          <w14:ligatures w14:val="none"/>
        </w:rPr>
        <w:t>Schuster, M.</w:t>
      </w:r>
      <w:r w:rsidR="005F5672">
        <w:rPr>
          <w:rFonts w:ascii="Times New Roman" w:eastAsia="Times New Roman" w:hAnsi="Times New Roman" w:cs="Times New Roman"/>
          <w:kern w:val="0"/>
          <w:sz w:val="20"/>
          <w:szCs w:val="20"/>
          <w:lang w:val="en-US"/>
          <w14:ligatures w14:val="none"/>
        </w:rPr>
        <w:t xml:space="preserve">, Duringer, P., Ghienne, J.-F., Vignaud, P., </w:t>
      </w:r>
      <w:r w:rsidR="00A9316C">
        <w:rPr>
          <w:rFonts w:ascii="Times New Roman" w:eastAsia="Times New Roman" w:hAnsi="Times New Roman" w:cs="Times New Roman"/>
          <w:kern w:val="0"/>
          <w:sz w:val="20"/>
          <w:szCs w:val="20"/>
          <w:lang w:val="en-US"/>
          <w14:ligatures w14:val="none"/>
        </w:rPr>
        <w:t>Mackaye, H., T., Likius, A., Brunet, M.,</w:t>
      </w:r>
      <w:r w:rsidRPr="006A3B22">
        <w:rPr>
          <w:rFonts w:ascii="Times New Roman" w:eastAsia="Times New Roman" w:hAnsi="Times New Roman" w:cs="Times New Roman"/>
          <w:kern w:val="0"/>
          <w:sz w:val="20"/>
          <w:szCs w:val="20"/>
          <w:lang w:val="en-US"/>
          <w14:ligatures w14:val="none"/>
        </w:rPr>
        <w:t xml:space="preserve"> </w:t>
      </w:r>
      <w:r w:rsidR="005F5672">
        <w:rPr>
          <w:rFonts w:ascii="Times New Roman" w:eastAsia="Times New Roman" w:hAnsi="Times New Roman" w:cs="Times New Roman"/>
          <w:kern w:val="0"/>
          <w:sz w:val="20"/>
          <w:szCs w:val="20"/>
          <w:lang w:val="en-US"/>
          <w14:ligatures w14:val="none"/>
        </w:rPr>
        <w:t>2006</w:t>
      </w:r>
      <w:r w:rsidRPr="006A3B22">
        <w:rPr>
          <w:rFonts w:ascii="Times New Roman" w:eastAsia="Times New Roman" w:hAnsi="Times New Roman" w:cs="Times New Roman"/>
          <w:kern w:val="0"/>
          <w:sz w:val="20"/>
          <w:szCs w:val="20"/>
          <w:lang w:val="en-US"/>
          <w14:ligatures w14:val="none"/>
        </w:rPr>
        <w:t>. The Age of the Sahara Desert. Science 311, 821–821</w:t>
      </w:r>
      <w:r w:rsidR="00F80261">
        <w:rPr>
          <w:rFonts w:ascii="Times New Roman" w:eastAsia="Times New Roman" w:hAnsi="Times New Roman" w:cs="Times New Roman"/>
          <w:kern w:val="0"/>
          <w:sz w:val="20"/>
          <w:szCs w:val="20"/>
          <w:lang w:val="en-US"/>
          <w14:ligatures w14:val="none"/>
        </w:rPr>
        <w:t xml:space="preserve">. </w:t>
      </w:r>
      <w:r w:rsidR="00F80261" w:rsidRPr="00D95593">
        <w:rPr>
          <w:rFonts w:ascii="Times New Roman" w:eastAsia="Times New Roman" w:hAnsi="Times New Roman" w:cs="Times New Roman"/>
          <w:kern w:val="0"/>
          <w:sz w:val="20"/>
          <w:szCs w:val="20"/>
          <w:lang w:val="en-US"/>
          <w14:ligatures w14:val="none"/>
        </w:rPr>
        <w:t>https://doi.org/</w:t>
      </w:r>
      <w:r w:rsidR="00F80261" w:rsidRPr="006A3B22">
        <w:rPr>
          <w:rFonts w:ascii="Times New Roman" w:eastAsia="Times New Roman" w:hAnsi="Times New Roman" w:cs="Times New Roman"/>
          <w:kern w:val="0"/>
          <w:sz w:val="20"/>
          <w:szCs w:val="20"/>
          <w14:ligatures w14:val="none"/>
        </w:rPr>
        <w:t>10.1126/science.1120161</w:t>
      </w:r>
      <w:r w:rsidR="00485DB0">
        <w:rPr>
          <w:rFonts w:ascii="Times New Roman" w:eastAsia="Times New Roman" w:hAnsi="Times New Roman" w:cs="Times New Roman"/>
          <w:kern w:val="0"/>
          <w:sz w:val="20"/>
          <w:szCs w:val="20"/>
          <w14:ligatures w14:val="none"/>
        </w:rPr>
        <w:t>.</w:t>
      </w:r>
    </w:p>
    <w:p w14:paraId="20DE4757"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fr-BE"/>
        </w:rPr>
      </w:pPr>
      <w:r w:rsidRPr="00D95593">
        <w:rPr>
          <w:rFonts w:ascii="Times New Roman" w:hAnsi="Times New Roman" w:cs="Times New Roman"/>
          <w:noProof/>
          <w:kern w:val="0"/>
          <w:sz w:val="20"/>
          <w:lang w:val="en-US"/>
        </w:rPr>
        <w:t xml:space="preserve">Sillitoe, R.H., 2019. Supergene oxidation of epithermal gold-silver mineralization in the Deseado massif, Patagonia, Argentina: response to subduction of the Chile Ridge. </w:t>
      </w:r>
      <w:r w:rsidRPr="00D95593">
        <w:rPr>
          <w:rFonts w:ascii="Times New Roman" w:hAnsi="Times New Roman" w:cs="Times New Roman"/>
          <w:noProof/>
          <w:kern w:val="0"/>
          <w:sz w:val="20"/>
          <w:lang w:val="fr-BE"/>
        </w:rPr>
        <w:t>Miner. Depos. 54, 381–394. https://doi.org/10.1007/s00126-018-0814-4</w:t>
      </w:r>
    </w:p>
    <w:p w14:paraId="0A63A1DC"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fr-BE"/>
        </w:rPr>
        <w:t xml:space="preserve">Soulaimani, A., Burkhard, M., 2008. </w:t>
      </w:r>
      <w:r w:rsidRPr="00D95593">
        <w:rPr>
          <w:rFonts w:ascii="Times New Roman" w:hAnsi="Times New Roman" w:cs="Times New Roman"/>
          <w:noProof/>
          <w:kern w:val="0"/>
          <w:sz w:val="20"/>
          <w:lang w:val="en-US"/>
        </w:rPr>
        <w:t>The Anti-Atlas chain (Morocco): the southern margin of the Variscan belt along the edge of the West African craton, in: Ennih, N., Liégeois, J.-P. (Eds.), The Boundaries of the West African Craton. Geological Society of London, p.433-452. https://doi.org/10.1144/SP297.20</w:t>
      </w:r>
    </w:p>
    <w:p w14:paraId="2B4532D0"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Soulaimani, A., Piqué, A., 2004. The Tasrirt structure (Kerdous inlier, Western Anti-Atlas, Morocco): a late Pan-</w:t>
      </w:r>
      <w:r w:rsidRPr="00D95593">
        <w:rPr>
          <w:rFonts w:ascii="Times New Roman" w:hAnsi="Times New Roman" w:cs="Times New Roman"/>
          <w:noProof/>
          <w:kern w:val="0"/>
          <w:sz w:val="20"/>
          <w:lang w:val="en-US"/>
        </w:rPr>
        <w:lastRenderedPageBreak/>
        <w:t>African transtensive dome. J. African Earth Sci. 39, 247–255. https://doi.org/10.1016/J.JAFREARSCI.2004.07.043</w:t>
      </w:r>
    </w:p>
    <w:p w14:paraId="18BB30C1"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Taylor, S.R., McLennan, S.M., 1995. The geochemical evolution of the continental crust. Rev. Geophys. 33, 241–265. https://doi.org/10.1029/95RG00262</w:t>
      </w:r>
    </w:p>
    <w:p w14:paraId="604A11C3"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s-ES"/>
        </w:rPr>
      </w:pPr>
      <w:r w:rsidRPr="00D95593">
        <w:rPr>
          <w:rFonts w:ascii="Times New Roman" w:hAnsi="Times New Roman" w:cs="Times New Roman"/>
          <w:noProof/>
          <w:kern w:val="0"/>
          <w:sz w:val="20"/>
          <w:lang w:val="en-US"/>
        </w:rPr>
        <w:t xml:space="preserve">Vasconcelos, P.M., 1999. K-Ar and 40Ar/39Ar geochronology of weathering processes. </w:t>
      </w:r>
      <w:r w:rsidRPr="00D95593">
        <w:rPr>
          <w:rFonts w:ascii="Times New Roman" w:hAnsi="Times New Roman" w:cs="Times New Roman"/>
          <w:noProof/>
          <w:kern w:val="0"/>
          <w:sz w:val="20"/>
          <w:lang w:val="es-ES"/>
        </w:rPr>
        <w:t>Annu. Rev. Earth Planet. Sci. 27, 183–229.</w:t>
      </w:r>
    </w:p>
    <w:p w14:paraId="149841C8"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s-ES"/>
        </w:rPr>
        <w:t xml:space="preserve">Velasco, F., Herrero, J.M., Suárez, S., Yusta, I., Alvaro, A., Tornos, F., 2013. </w:t>
      </w:r>
      <w:r w:rsidRPr="00D95593">
        <w:rPr>
          <w:rFonts w:ascii="Times New Roman" w:hAnsi="Times New Roman" w:cs="Times New Roman"/>
          <w:noProof/>
          <w:kern w:val="0"/>
          <w:sz w:val="20"/>
          <w:lang w:val="en-US"/>
        </w:rPr>
        <w:t>Supergene features and evolution of gossans capping massive sulphide deposits in the Iberian Pyrite Belt. Ore Geol. Rev. 53, 181–203. https://doi.org/10.1016/j.oregeorev.2013.01.008</w:t>
      </w:r>
    </w:p>
    <w:p w14:paraId="30204443" w14:textId="77777777" w:rsidR="00D95593" w:rsidRPr="006A3B22"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fr-BE"/>
        </w:rPr>
      </w:pPr>
      <w:r w:rsidRPr="00D95593">
        <w:rPr>
          <w:rFonts w:ascii="Times New Roman" w:hAnsi="Times New Roman" w:cs="Times New Roman"/>
          <w:noProof/>
          <w:kern w:val="0"/>
          <w:sz w:val="20"/>
          <w:lang w:val="en-US"/>
        </w:rPr>
        <w:t xml:space="preserve">Verhaert, M., 2020. Characterization and (U-Th-Sm)/He dating of Moroccan supergene ore deposits: New insights to unravel the periods and potential causes of weathering processes. </w:t>
      </w:r>
      <w:r w:rsidRPr="006A3B22">
        <w:rPr>
          <w:rFonts w:ascii="Times New Roman" w:hAnsi="Times New Roman" w:cs="Times New Roman"/>
          <w:noProof/>
          <w:kern w:val="0"/>
          <w:sz w:val="20"/>
          <w:lang w:val="fr-BE"/>
        </w:rPr>
        <w:t>PhD Thesis, Université de Namur, Belgique, 334p.</w:t>
      </w:r>
    </w:p>
    <w:p w14:paraId="60E7976E" w14:textId="77777777" w:rsidR="00D95593" w:rsidRPr="006A3B22"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fr-BE"/>
        </w:rPr>
      </w:pPr>
      <w:r w:rsidRPr="006A3B22">
        <w:rPr>
          <w:rFonts w:ascii="Times New Roman" w:hAnsi="Times New Roman" w:cs="Times New Roman"/>
          <w:noProof/>
          <w:kern w:val="0"/>
          <w:sz w:val="20"/>
          <w:lang w:val="fr-BE"/>
        </w:rPr>
        <w:t xml:space="preserve">Verhaert, M., Bernard, A., Dekoninck, A., Lafforgue, L., Saddiqi, O., Yans, J., 2017. </w:t>
      </w:r>
      <w:r w:rsidRPr="00D95593">
        <w:rPr>
          <w:rFonts w:ascii="Times New Roman" w:hAnsi="Times New Roman" w:cs="Times New Roman"/>
          <w:noProof/>
          <w:kern w:val="0"/>
          <w:sz w:val="20"/>
          <w:lang w:val="en-US"/>
        </w:rPr>
        <w:t xml:space="preserve">Mineralogical and geochemical characterization of supergene Cu–Pb–Zn–V ores in the Oriental High Atlas, Morocco. </w:t>
      </w:r>
      <w:r w:rsidRPr="006A3B22">
        <w:rPr>
          <w:rFonts w:ascii="Times New Roman" w:hAnsi="Times New Roman" w:cs="Times New Roman"/>
          <w:noProof/>
          <w:kern w:val="0"/>
          <w:sz w:val="20"/>
          <w:lang w:val="fr-BE"/>
        </w:rPr>
        <w:t>Miner. Depos. 52, 1049–1068. https://doi.org/10.1007/s00126-017-0753-5</w:t>
      </w:r>
    </w:p>
    <w:p w14:paraId="2FA92FAD"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6A3B22">
        <w:rPr>
          <w:rFonts w:ascii="Times New Roman" w:hAnsi="Times New Roman" w:cs="Times New Roman"/>
          <w:noProof/>
          <w:kern w:val="0"/>
          <w:sz w:val="20"/>
          <w:lang w:val="fr-BE"/>
        </w:rPr>
        <w:t xml:space="preserve">Verhaert, M., Bernard, A., Saddiqi, O., Dekoninck, A., Essalhi, M., Yans, J., 2018. </w:t>
      </w:r>
      <w:r w:rsidRPr="00D95593">
        <w:rPr>
          <w:rFonts w:ascii="Times New Roman" w:hAnsi="Times New Roman" w:cs="Times New Roman"/>
          <w:noProof/>
          <w:kern w:val="0"/>
          <w:sz w:val="20"/>
          <w:lang w:val="en-US"/>
        </w:rPr>
        <w:t>Mineralogy and genesis of the polymetallic and polyphased low grade Fe-Mn-Cu ore of Jbel Rhals deposit (Eastern High Atlas, Morocco). Minerals 8, 39. https://doi.org/10.3390/min8020039</w:t>
      </w:r>
    </w:p>
    <w:p w14:paraId="0896DC17"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kern w:val="0"/>
          <w:sz w:val="20"/>
          <w:lang w:val="en-US"/>
        </w:rPr>
      </w:pPr>
      <w:r w:rsidRPr="00D95593">
        <w:rPr>
          <w:rFonts w:ascii="Times New Roman" w:hAnsi="Times New Roman" w:cs="Times New Roman"/>
          <w:noProof/>
          <w:kern w:val="0"/>
          <w:sz w:val="20"/>
          <w:lang w:val="en-US"/>
        </w:rPr>
        <w:t>Verhaert, M., Madi, A., El Basbas, A., Elharkaty, M., Oummouch, A., Oumohou, L., Malfliet, A., Maacha, L., Yans, J., 2020. Genesis of as-pb–Rich supergene mineralization: The Tazalaght and Agoujgal Cu deposits (Moroccan Anti-Atlas Copperbelt). Econ. Geol. 115, 1725–1748. https://doi.org/10.5382/ECONGEO.4779</w:t>
      </w:r>
    </w:p>
    <w:p w14:paraId="1E860279" w14:textId="77777777" w:rsidR="00D95593" w:rsidRPr="00D95593" w:rsidRDefault="00D95593" w:rsidP="00D95593">
      <w:pPr>
        <w:widowControl w:val="0"/>
        <w:autoSpaceDE w:val="0"/>
        <w:autoSpaceDN w:val="0"/>
        <w:adjustRightInd w:val="0"/>
        <w:spacing w:line="240" w:lineRule="auto"/>
        <w:ind w:left="480" w:hanging="480"/>
        <w:jc w:val="both"/>
        <w:rPr>
          <w:rFonts w:ascii="Times New Roman" w:hAnsi="Times New Roman" w:cs="Times New Roman"/>
          <w:noProof/>
          <w:sz w:val="20"/>
          <w:lang w:val="en-US"/>
        </w:rPr>
      </w:pPr>
      <w:r w:rsidRPr="00D95593">
        <w:rPr>
          <w:rFonts w:ascii="Times New Roman" w:hAnsi="Times New Roman" w:cs="Times New Roman"/>
          <w:noProof/>
          <w:kern w:val="0"/>
          <w:sz w:val="20"/>
          <w:lang w:val="en-US"/>
        </w:rPr>
        <w:t>Vink, B.W., 1986. Stability relations of malachite and azurite. Mineral. Mag. 50, 41–47.</w:t>
      </w:r>
    </w:p>
    <w:p w14:paraId="1619A491" w14:textId="77777777" w:rsidR="00D95593" w:rsidRPr="00D95593" w:rsidRDefault="00D95593" w:rsidP="00D95593">
      <w:pPr>
        <w:rPr>
          <w:rFonts w:ascii="Times New Roman" w:hAnsi="Times New Roman" w:cs="Times New Roman"/>
          <w:b/>
          <w:bCs/>
          <w:lang w:val="en-US"/>
        </w:rPr>
      </w:pPr>
      <w:r w:rsidRPr="00D95593">
        <w:rPr>
          <w:rFonts w:ascii="Times New Roman" w:hAnsi="Times New Roman" w:cs="Times New Roman"/>
          <w:b/>
          <w:bCs/>
          <w:sz w:val="20"/>
          <w:szCs w:val="20"/>
          <w:lang w:val="fr-BE"/>
        </w:rPr>
        <w:fldChar w:fldCharType="end"/>
      </w:r>
      <w:r w:rsidRPr="00D95593">
        <w:rPr>
          <w:rFonts w:ascii="Times New Roman" w:hAnsi="Times New Roman" w:cs="Times New Roman"/>
          <w:b/>
          <w:bCs/>
          <w:lang w:val="en-US"/>
        </w:rPr>
        <w:br w:type="page"/>
      </w:r>
    </w:p>
    <w:p w14:paraId="70CB0286" w14:textId="77777777" w:rsidR="00D95593" w:rsidRPr="00D95593" w:rsidRDefault="00D95593" w:rsidP="00D95593">
      <w:pPr>
        <w:spacing w:line="360" w:lineRule="auto"/>
        <w:jc w:val="both"/>
        <w:rPr>
          <w:rFonts w:ascii="Times New Roman" w:hAnsi="Times New Roman" w:cs="Times New Roman"/>
          <w:b/>
          <w:bCs/>
          <w:lang w:val="en-US"/>
        </w:rPr>
      </w:pPr>
      <w:r w:rsidRPr="00D95593">
        <w:rPr>
          <w:rFonts w:ascii="Times New Roman" w:hAnsi="Times New Roman" w:cs="Times New Roman"/>
          <w:b/>
          <w:bCs/>
          <w:lang w:val="en-US"/>
        </w:rPr>
        <w:lastRenderedPageBreak/>
        <w:t>Figure captions</w:t>
      </w:r>
    </w:p>
    <w:p w14:paraId="372CC332" w14:textId="77777777" w:rsidR="00D95593" w:rsidRPr="00D95593" w:rsidRDefault="00D95593" w:rsidP="00D95593">
      <w:pPr>
        <w:spacing w:line="360" w:lineRule="auto"/>
        <w:jc w:val="both"/>
        <w:rPr>
          <w:rFonts w:ascii="Times New Roman" w:hAnsi="Times New Roman"/>
          <w:sz w:val="18"/>
          <w:szCs w:val="18"/>
          <w:lang w:val="fr-BE"/>
        </w:rPr>
      </w:pPr>
      <w:r w:rsidRPr="00D95593">
        <w:rPr>
          <w:rFonts w:ascii="Times New Roman" w:hAnsi="Times New Roman"/>
          <w:b/>
          <w:sz w:val="18"/>
          <w:szCs w:val="18"/>
          <w:lang w:val="en-US"/>
        </w:rPr>
        <w:t>Figure 1. (A)</w:t>
      </w:r>
      <w:r w:rsidRPr="00D95593">
        <w:rPr>
          <w:rFonts w:ascii="Times New Roman" w:hAnsi="Times New Roman"/>
          <w:sz w:val="18"/>
          <w:szCs w:val="18"/>
          <w:lang w:val="en-US"/>
        </w:rPr>
        <w:t xml:space="preserve"> General map of the Anti-Atlas and its inliers modified from </w:t>
      </w:r>
      <w:r w:rsidRPr="00D95593">
        <w:rPr>
          <w:rFonts w:ascii="Times New Roman" w:hAnsi="Times New Roman"/>
          <w:sz w:val="18"/>
          <w:szCs w:val="18"/>
          <w:lang w:val="fr-BE"/>
        </w:rPr>
        <w:fldChar w:fldCharType="begin" w:fldLock="1"/>
      </w:r>
      <w:r w:rsidRPr="00D95593">
        <w:rPr>
          <w:rFonts w:ascii="Times New Roman" w:hAnsi="Times New Roman"/>
          <w:sz w:val="18"/>
          <w:szCs w:val="18"/>
          <w:lang w:val="en-US"/>
        </w:rPr>
        <w:instrText>ADDIN CSL_CITATION {"citationItems":[{"id":"ITEM-1","itemData":{"DOI":"10.1007/978-3-540-77076-3_2/COVER/","ISBN":"9783540770756","ISSN":"09300317","author":[{"dropping-particle":"","family":"Gasquet","given":"Dominique","non-dropping-particle":"","parse-names":false,"suffix":""},{"dropping-particle":"","family":"Ennih","given":"Nasser","non-dropping-particle":"","parse-names":false,"suffix":""},{"dropping-particle":"","family":"Liégeois","given":"Jean Pul","non-dropping-particle":"","parse-names":false,"suffix":""},{"dropping-particle":"","family":"Soulaimani","given":"A.","non-dropping-particle":"","parse-names":false,"suffix":""},{"dropping-particle":"","family":"Michard","given":"Andre","non-dropping-particle":"","parse-names":false,"suffix":""}],"container-title":"Continental Evolution: The Geology of Morocco","editor":[{"dropping-particle":"","family":"Lecture Notes in Earth Sciences","given":"","non-dropping-particle":"","parse-names":false,"suffix":""}],"id":"ITEM-1","issued":{"date-parts":[["2008"]]},"page":"33-64","publisher":"Springer Verlag","title":"The pan-African belt","type":"chapter","volume":"116"},"uris":["http://www.mendeley.com/documents/?uuid=7ec3f732-cf63-3451-9c5d-2e412b6e32f3"]}],"mendeley":{"formattedCitation":"(Gasquet et al., 2008)","plainTextFormattedCitation":"(Gasquet et al., 2008)","previouslyFormattedCitation":"(Gasquet et al., 2008)"},"properties":{"noteIndex":0},"schema":"https://github.com/citation-style-language/schema/raw/master/csl-citation.json"}</w:instrText>
      </w:r>
      <w:r w:rsidRPr="00D95593">
        <w:rPr>
          <w:rFonts w:ascii="Times New Roman" w:hAnsi="Times New Roman"/>
          <w:sz w:val="18"/>
          <w:szCs w:val="18"/>
          <w:lang w:val="fr-BE"/>
        </w:rPr>
        <w:fldChar w:fldCharType="separate"/>
      </w:r>
      <w:r w:rsidRPr="00D95593">
        <w:rPr>
          <w:rFonts w:ascii="Times New Roman" w:hAnsi="Times New Roman"/>
          <w:sz w:val="18"/>
          <w:szCs w:val="18"/>
          <w:lang w:val="en-US"/>
        </w:rPr>
        <w:t>(Gasquet et al., 2008)</w:t>
      </w:r>
      <w:r w:rsidRPr="00D95593">
        <w:rPr>
          <w:rFonts w:ascii="Times New Roman" w:hAnsi="Times New Roman"/>
          <w:sz w:val="18"/>
          <w:szCs w:val="18"/>
          <w:lang w:val="fr-BE"/>
        </w:rPr>
        <w:fldChar w:fldCharType="end"/>
      </w:r>
      <w:r w:rsidRPr="00D95593">
        <w:rPr>
          <w:rFonts w:ascii="Times New Roman" w:hAnsi="Times New Roman"/>
          <w:sz w:val="18"/>
          <w:szCs w:val="18"/>
          <w:lang w:val="en-US"/>
        </w:rPr>
        <w:t xml:space="preserve">. </w:t>
      </w:r>
      <w:r w:rsidRPr="00D95593">
        <w:rPr>
          <w:rFonts w:ascii="Times New Roman" w:hAnsi="Times New Roman"/>
          <w:b/>
          <w:sz w:val="18"/>
          <w:szCs w:val="18"/>
          <w:lang w:val="en-US"/>
        </w:rPr>
        <w:t xml:space="preserve">(B) </w:t>
      </w:r>
      <w:r w:rsidRPr="00D95593">
        <w:rPr>
          <w:rFonts w:ascii="Times New Roman" w:hAnsi="Times New Roman"/>
          <w:sz w:val="18"/>
          <w:szCs w:val="18"/>
          <w:lang w:val="en-US"/>
        </w:rPr>
        <w:t>Simplified geological and structural map of the area around the Tassrirt plateau in the Kerdous inlier (AVFZ = Ameln Valley Faulted Zone</w:t>
      </w:r>
      <w:r w:rsidRPr="00D95593">
        <w:rPr>
          <w:rFonts w:ascii="Times New Roman" w:hAnsi="Times New Roman"/>
          <w:sz w:val="14"/>
          <w:szCs w:val="14"/>
          <w:lang w:val="en-US"/>
        </w:rPr>
        <w:t xml:space="preserve"> </w:t>
      </w:r>
      <w:r w:rsidRPr="00D95593">
        <w:rPr>
          <w:rFonts w:ascii="Times New Roman" w:hAnsi="Times New Roman"/>
          <w:sz w:val="18"/>
          <w:szCs w:val="18"/>
          <w:lang w:val="en-US"/>
        </w:rPr>
        <w:t>, TTFZ =</w:t>
      </w:r>
      <w:r w:rsidRPr="00D95593">
        <w:rPr>
          <w:rFonts w:ascii="Times New Roman" w:hAnsi="Times New Roman"/>
          <w:lang w:val="en-US"/>
        </w:rPr>
        <w:t xml:space="preserve"> </w:t>
      </w:r>
      <w:r w:rsidRPr="00D95593">
        <w:rPr>
          <w:rFonts w:ascii="Times New Roman" w:hAnsi="Times New Roman"/>
          <w:sz w:val="18"/>
          <w:szCs w:val="18"/>
          <w:lang w:val="en-US"/>
        </w:rPr>
        <w:t xml:space="preserve">Tassrirt-Tahala Faulted Zone; modified from </w:t>
      </w:r>
      <w:r w:rsidRPr="00D95593">
        <w:rPr>
          <w:rFonts w:ascii="Times New Roman" w:hAnsi="Times New Roman"/>
          <w:sz w:val="18"/>
          <w:szCs w:val="18"/>
          <w:lang w:val="fr-BE"/>
        </w:rPr>
        <w:fldChar w:fldCharType="begin" w:fldLock="1"/>
      </w:r>
      <w:r w:rsidRPr="00D95593">
        <w:rPr>
          <w:rFonts w:ascii="Times New Roman" w:hAnsi="Times New Roman"/>
          <w:sz w:val="18"/>
          <w:szCs w:val="18"/>
          <w:lang w:val="en-US"/>
        </w:rPr>
        <w:instrText>ADDIN CSL_CITATION {"citationItems":[{"id":"ITEM-1","itemData":{"DOI":"10.1016/J.JAFREARSCI.2004.07.043","ISSN":"1464-343X","abstract":"New geological investigations and geochronological data from the Kerdous inlier of the Moroccan Anti-Atlas suggest that an extensional event is recorded by stratigraphic and tectonic features within the Late Proterozoic-Early Cambrian cover. The Tasrirt massif is interpreted as a Late Proterozoic diapiric gneiss dome based on the pattern of metamorphic isograds, the presence of normal ductile shear bands and kinematic criteria indicative of non-coaxial deformation. The ascent of this gneiss dome was controlled by two late Pan-African shear zones with a dominant dextral wrench component. Sedimentary basins developed simultaneously with basement uplift in a NE-SW transtensional system, followed by NE-SW to E-W pure extension. 40K-40Ar mica ages of 1900-1350 Ma obtained from the Palaeoproterozoic protoliths are related to a thermal rejuvenation during the late Pan-African syn-metamorphic doming events. The Tasrirt dome is thought to be the most representative of numerous domes within the Anti-Atlas and High Atlas, and is similar to related structures described along the rim of the West African craton during Late Precambrian-Lower Cambrian crustal extension. © 2004 Elsevier Ltd. All rights reserved.","author":[{"dropping-particle":"","family":"Soulaimani","given":"A.","non-dropping-particle":"","parse-names":false,"suffix":""},{"dropping-particle":"","family":"Piqué","given":"A.","non-dropping-particle":"","parse-names":false,"suffix":""}],"container-title":"Journal of African Earth Sciences","id":"ITEM-1","issue":"3-5","issued":{"date-parts":[["2004","6","1"]]},"page":"247-255","publisher":"Pergamon","title":"The Tasrirt structure (Kerdous inlier, Western Anti-Atlas, Morocco): a late Pan-African transtensive dome","type":"article-journal","volume":"39"},"uris":["http://www.mendeley.com/documents/?uuid=cdbba739-abd2-3053-8362-e788867e5d58"]}],"mendeley":{"formattedCitation":"(Soulaimani and Piqué, 2004)","plainTextFormattedCitation":"(Soulaimani and Piqué, 2004)","previouslyFormattedCitation":"(Soulaimani and Piqué, 2004)"},"properties":{"noteIndex":0},"schema":"https://github.com/citation-style-language/schema/raw/master/csl-citation.json"}</w:instrText>
      </w:r>
      <w:r w:rsidRPr="00D95593">
        <w:rPr>
          <w:rFonts w:ascii="Times New Roman" w:hAnsi="Times New Roman"/>
          <w:sz w:val="18"/>
          <w:szCs w:val="18"/>
          <w:lang w:val="fr-BE"/>
        </w:rPr>
        <w:fldChar w:fldCharType="separate"/>
      </w:r>
      <w:r w:rsidRPr="00D95593">
        <w:rPr>
          <w:rFonts w:ascii="Times New Roman" w:hAnsi="Times New Roman"/>
          <w:sz w:val="18"/>
          <w:szCs w:val="18"/>
          <w:lang w:val="en-US"/>
        </w:rPr>
        <w:t>(Soulaimani and Piqué, 2004)</w:t>
      </w:r>
      <w:r w:rsidRPr="00D95593">
        <w:rPr>
          <w:rFonts w:ascii="Times New Roman" w:hAnsi="Times New Roman"/>
          <w:sz w:val="18"/>
          <w:szCs w:val="18"/>
          <w:lang w:val="fr-BE"/>
        </w:rPr>
        <w:fldChar w:fldCharType="end"/>
      </w:r>
      <w:r w:rsidRPr="00D95593">
        <w:rPr>
          <w:rFonts w:ascii="Times New Roman" w:hAnsi="Times New Roman"/>
          <w:sz w:val="18"/>
          <w:szCs w:val="18"/>
          <w:lang w:val="en-US"/>
        </w:rPr>
        <w:t>. (</w:t>
      </w:r>
      <w:r w:rsidRPr="00D95593">
        <w:rPr>
          <w:rFonts w:ascii="Times New Roman" w:hAnsi="Times New Roman"/>
          <w:b/>
          <w:sz w:val="18"/>
          <w:szCs w:val="18"/>
          <w:lang w:val="en-US"/>
        </w:rPr>
        <w:t>C</w:t>
      </w:r>
      <w:r w:rsidRPr="00D95593">
        <w:rPr>
          <w:rFonts w:ascii="Times New Roman" w:hAnsi="Times New Roman"/>
          <w:sz w:val="18"/>
          <w:szCs w:val="18"/>
          <w:lang w:val="en-US"/>
        </w:rPr>
        <w:t xml:space="preserve">) Synthetic lithostratigraphic column of the mineralized area of Tassrirt based on field observations (modified from </w:t>
      </w:r>
      <w:r w:rsidRPr="00D95593">
        <w:rPr>
          <w:rFonts w:ascii="Times New Roman" w:hAnsi="Times New Roman"/>
          <w:sz w:val="18"/>
          <w:szCs w:val="18"/>
          <w:lang w:val="fr-BE"/>
        </w:rPr>
        <w:fldChar w:fldCharType="begin" w:fldLock="1"/>
      </w:r>
      <w:r w:rsidRPr="00D95593">
        <w:rPr>
          <w:rFonts w:ascii="Times New Roman" w:hAnsi="Times New Roman"/>
          <w:sz w:val="18"/>
          <w:szCs w:val="18"/>
          <w:lang w:val="en-US"/>
        </w:rPr>
        <w:instrText>ADDIN CSL_CITATION {"citationItems":[{"id":"ITEM-1","itemData":{"DOI":"10.3390/min10070620","ISSN":"2075163X","abstract":"The giant Tizert copper deposit is considered as the largest copper resource in the western Anti-Atlas (Morocco). The site is characterized by Cu mineralization carried by malachite, chalcocite, covellite, bornite and chalcopyrite; azurite is not observed. The host rocks are mainly limestones (Formation of Tamjout Dolomite) and sandstones/siltstones (Basal Series) of the Ediacaran/Cambrian transition. The supergene enrichment is most likely related to episodes of uplift/doming (last event since 30 Ma), which triggered the exhumation of primary/hypogene mineralization (chalcopyrite, pyrite, galena, chalcocite I and bornite I), generating their oxidation and the precipitation of secondary/supergene sulfides, carbonates and Fe-oxyhydroxides. The Tizert supergene deposit mainly consists of (i) a residual patchwork of laterite rich in Fe-oxyhydroxides; (ii) a saprolite rich in malachite, or “green oxide zone” where primary structures such as stratification are preserved; (iii) a cementation zone containing secondary sulfides (covellite, chalcocite II and bornite II). The abundance of Cu carbonates results from the rapid neutralization of acidic meteoric fluids, due to oxidation of primary sulfides, by carbonate host rocks. Chlorite is also inv</w:instrText>
      </w:r>
      <w:r w:rsidRPr="00D95593">
        <w:rPr>
          <w:rFonts w:ascii="Times New Roman" w:hAnsi="Times New Roman"/>
          <w:sz w:val="18"/>
          <w:szCs w:val="18"/>
          <w:lang w:val="fr-BE"/>
        </w:rPr>
        <w:instrText>olved in the neutralization processes in the sandstones/siltstones of the Basal Series, in which supergene clays, such as kaolinite and smectites, subsequently precipitated. At Tizert, as can be highlighted in other supergene Cu-deposits around the world, azurite is absent due to low pCO2 and relatively high pH conditions. In addition to copper, Ag enrichment is also observed in weathered rocks; Fe-oxyhydroxides contain high Zn, As, and Pb contents. However, these secondary enrichments are quite low compared to Cu in the whole Tizert site, which is therefore, considered as relatively homogeneous.","author":[{"dropping-particle":"","family":"Poot","given":"Julien","non-dropping-particle":"","parse-names":false,"suffix":""},{"dropping-particle":"","family":"Verhaert","given":"Michèle","non-dropping-particle":"","parse-names":false,"suffix":""},{"dropping-particle":"","family":"Dekoninck","given":"Augustin","non-dropping-particle":"","parse-names":false,"suffix":""},{"dropping-particle":"","family":"Oummouch","given":"Abdellah","non-dropping-particle":"","parse-names":false,"suffix":""},{"dropping-particle":"El","family":"Basbas","given":"Abdelaziz","non-dropping-particle":"","parse-names":false,"suffix":""},{"dropping-particle":"","family":"Maacha","given":"Lhou","non-dropping-particle":"","parse-names":false,"suffix":""},{"dropping-particle":"","family":"Yans","given":"Johan","non-dropping-particle":"","parse-names":false,"suffix":""}],"container-title":"Minerals","id":"ITEM-1","issue":"7","issued":{"date-parts":[["2020"]]},"page":"620","title":"Characterization of weathering processes of the giant copper deposit of tizert (Igherm inlier, anti-atlas, Morocco)","type":"article-journal","volume":"10"},"uris":["http://www.mendeley.com/documents/?uuid=26abcb5f-c889-34db-bd6f-fb1f085b6831"]},{"id":"ITEM-2","itemData":{"ISSN":"11146834","abstract":"A paleomagnetic study was undertaken on samples collected from seven sites of the exhumed and eroded Ait-Abdallah and Kerdous antiforms in the Moroccan Anti-Atlas of the West African craton. These sites are located in the Adoudounian Formation considered as of Neoproterozoic–Cambrian age. The magnetic mineralogy is represented essentially by magnetite and titanohematite. Magnetization is carried by three components respectively of high-temperature (500-670°C), medium-temperature (350-470°C) and low- temperature (NRM-300°C). Plotted in Gondwana Apparent Polar Wander Path, the high and medium temperature components close to the Permian pole and determine Permian overprint directions. The low temperature component closes to the present day field and corresponds to the present overprint day. This study shows that Permian overprint largely affect the Anti-Atlas area.","author":[{"dropping-particle":"","family":"Boudzoumou","given":"Florent","non-dropping-particle":"","parse-names":false,"suffix":""},{"dropping-particle":"","family":"Vandamme","given":"Didier","non-dropping-particle":"","parse-names":false,"suffix":""},{"dropping-particle":"","family":"Affaton","given":"Pascal","non-dropping-particle":"","parse-names":false,"suffix":""},{"dropping-particle":"","family":"Gattacceca","given":"Jérôme","non-dropping-particle":"","parse-names":false,"suffix":""},{"dropping-particle":"","family":"Ouazzani","given":"Hassane","non-dropping-particle":"","parse-names":false,"suffix":""},{"dropping-particle":"","family":"Badra","given":"Lakhlifi","non-dropping-particle":"","parse-names":false,"suffix":""},{"dropping-particle":"","family":"Mahjoubi","given":"Elmahjoub","non-dropping-particle":"","parse-names":false,"suffix":""}],"container-title":"Bulletin de l'Institut Scientifique, Section Sciences de la Terre","id":"ITEM-2","issue":"1","issued":{"date-parts":[["2012"]]},"page":"15-28","title":"Evidence of a Permian remagnetization in the Neoproterozoic-Cambrian Adoudounian Formation (Anti-Atlas, Morocco)","type":"article-journal","volume":"34"},"uris":["http://www.mendeley.com/documents/?uuid=bca18201-461c-4099-ace2-bbb711a36ad5"]},{"id":"ITEM-3","itemData":{"DOI":"10.1016/j.precamres.2005.06.009","ISBN":"0301-9268","ISSN":"03019268","abstract":"New geochronological analyses (U-Pb SIMS zircon ages) have yielded ages of 552 ± 5 Ma for the Bou Madine rhyolitic dome (Ougnat, eastern Anti-Atlas), 543 ± 9 Ma for the Tachkakacht rhyolitic dyke (Saghro-Imiter, eastern Anti-Atlas), and 531 ± 5 Ma for the Aghbar trachytic sill (Bou Azzer, central Anti-Atlas). Inherited zircon cores from the Aghbar trachytic sill and from the Bou Madine rhyolitic dome have been shown to be of Statherian age (ca. 1600-1800 Ma) and Palæoproterozoic (&gt;2100 Ma) age, respectively, suggesting that a significantly older protolith underlies the Pan-African rocks in the Central and Eastern Anti-Atlas. Granodiorites and rhyolites from the Saghro-Imiter area have similar low87Sr/86Sr (0.702-0.706) and143Nd/144Nd (0.5116-0.5119) initial ratios, suggesting a mixture of mantle and lower crust sources. This can also be inferred from the low187Os/188Os ratios obtained on pyrite crystals from the rhyolites. A recently published lithostratigraphic framework has been combined with these new geochemical and geochronological data, and those from the literature to produce a new reconstruction of the complex orogenic front that developed at the northern edge of the Eburnian West African craton during Pan-African times. Three Neoproterozoic magmatic series can be distinguished in the Anti-Atlas belt, i.e., high-K calc-alkaline granites, high-K calc-alkaline to shoshonitic rhyolites and andesites, and alkaline-shoshonitic trachytes and syenites, which have been dated at 595-570, 570-545 and 530 Ma, respectively. The accretion of the Pan-African Anti-Atlas belt to the West African super continent (WAC) was a four-stage event, involving extension, subduction, moderate collision and extension. The calc-alkaline magmatism of the subduction stage was associated with large-scale base metal and gold mineralisation. Metallogenic activity was greatest during the final extensional stage, at the Precambrian-Cambrian boundary. It is characterised by world-class precious metal deposits, base-metal porphyry and SEDEX-type occurrences. © 2005 Elsevier B.V. All rights reserved.","author":[{"dropping-particle":"","family":"Gasquet","given":"Dominique","non-dropping-particle":"","parse-names":false,"suffix":""},{"dropping-particle":"","family":"Levresse","given":"Gilles","non-dropping-particle":"","parse-names":false,"suffix":""},{"dropping-particle":"","family":"Cheilletz","given":"Alain","non-dropping-particle":"","parse-names":false,"suffix":""},{"dropping-particle":"","family":"Azizi-Samir","given":"Moulay Rachid","non-dropping-particle":"","parse-names":false,"suffix":""},{"dropping-particle":"","family":"Mouttaqi","given":"Abdellah","non-dropping-particle":"","parse-names":false,"suffix":""}],"container-title":"Precambrian Research","id":"ITEM-3","issue":"3-4","issued":{"date-parts":[["2005"]]},"page":"157-182","title":"Contribution to a geodynamic reconstruction of the Anti-Atlas (Morocco) during Pan-African times with the emphasis on inversion tectonics and metallogenic activity at the Precambrian-Cambrian transition","type":"article-journal","volume":"140"},"uris":["http://www.mendeley.com/documents/?uuid=1b24792e-ae30-4be5-85df-62b6942e7927"]},{"id":"ITEM-4","itemData":{"DOI":"10.1155/2017/7508484","ISSN":"14688123","abstract":"The Tizert Cu-Ag deposit is the largest ofa series ofsediment-hosted copper deposits ofthe Anti-Atlas copper province inMorocco. Mineralized rocks in the deposit contain disseminated sulphides within a Late Ediacaran, dominantly siliciclastic sedimentary formation named the Basal Series. Isopach map of the Basal Series thickness shows that during the Late Ediacaran the area was composed of large subsiding zones separated by paleohighs. The ore-grade zones are well developed along basin margins adjacent to the basement paleohighs. These mineralized zones display a lateral sulphide zoningwith central bornite-chalcocite zones grading outward to intermediate chalcopyrite and external pyrite zones. There is also a vertical sulphide zoning with evolution frombornite and chalcocite dominant mineralized rocks at the bottom to chalcopyrite and pyrite dominant mineralized rocks at the top of the lithostratigraphic succession. A second style ofmineralization is represented by sulphide filled fractures and veins present in the Basal Series, as well as in the basement and the overlying dolomites. The similarity of the paragenetic sequences between the disseminated and the vein-hosted mineralization suggests that theymay be related to the same mineralizing event, the disseminated style of mineralization being rapidly followed by the onset of the vein-style mineralization.","author":[{"dropping-particle":"","family":"Oummouch","given":"Abdellah","non-dropping-particle":"","parse-names":false,"suffix":""},{"dropping-particle":"","family":"Essaifi","given":"Abderrahim","non-dropping-particle":"","parse-names":false,"suffix":""},{"dropping-particle":"","family":"Zayane","given":"Rachid","non-dropping-particle":"","parse-names":false,"suffix":""},{"dropping-particle":"","family":"Maddi","given":"Othmane","non-dropping-particle":"","parse-names":false,"suffix":""},{"dropping-particle":"","family":"Zouhair","given":"Mohamed","non-dropping-particle":"","parse-names":false,"suffix":""},{"dropping-particle":"","family":"Maacha","given":"Lhou","non-dropping-particle":"","parse-names":false,"suffix":""}],"container-title":"Geofluids","id":"ITEM-4","issued":{"date-parts":[["2017"]]},"page":"1-19","title":"Geology and Metallogenesis of the Sediment-Hosted Cu-Ag Deposit of Tizert ( Igherm Inlier ,Anti-Atlas Copperbelt, Morocco)","type":"article-journal","volume":"2017"},"uris":["http://www.mendeley.com/documents/?uuid=238cb6d5-a867-4efb-8303-057addc5746d"]}],"mendeley":{"formattedCitation":"(Boudzoumou et al., 2012; Gasquet et al., 2005; Oummouch et al., 2017; Poot et al., 2020)","plainTextFormattedCitation":"(Boudzoumou et al., 2012; Gasquet et al., 2005; Oummouch et al., 2017; Poot et al., 2020)","previouslyFormattedCitation":"(Boudzoumou et al., 2012; Gasquet et al., 2005; Oummouch et al., 2017; Poot et al., 2020)"},"properties":{"noteIndex":0},"schema":"https://github.com/citation-style-language/schema/raw/master/csl-citation.json"}</w:instrText>
      </w:r>
      <w:r w:rsidRPr="00D95593">
        <w:rPr>
          <w:rFonts w:ascii="Times New Roman" w:hAnsi="Times New Roman"/>
          <w:sz w:val="18"/>
          <w:szCs w:val="18"/>
          <w:lang w:val="fr-BE"/>
        </w:rPr>
        <w:fldChar w:fldCharType="separate"/>
      </w:r>
      <w:r w:rsidRPr="00D95593">
        <w:rPr>
          <w:rFonts w:ascii="Times New Roman" w:hAnsi="Times New Roman"/>
          <w:sz w:val="18"/>
          <w:szCs w:val="18"/>
          <w:lang w:val="fr-BE"/>
        </w:rPr>
        <w:t>Boudzoumou et al., 2012; Gasquet et al., 2005; Oummouch et al., 2017; Poot et al., 2020)</w:t>
      </w:r>
      <w:r w:rsidRPr="00D95593">
        <w:rPr>
          <w:rFonts w:ascii="Times New Roman" w:hAnsi="Times New Roman"/>
          <w:sz w:val="18"/>
          <w:szCs w:val="18"/>
          <w:lang w:val="fr-BE"/>
        </w:rPr>
        <w:fldChar w:fldCharType="end"/>
      </w:r>
      <w:r w:rsidRPr="00D95593">
        <w:rPr>
          <w:rFonts w:ascii="Times New Roman" w:hAnsi="Times New Roman"/>
          <w:sz w:val="18"/>
          <w:szCs w:val="18"/>
          <w:lang w:val="fr-BE"/>
        </w:rPr>
        <w:t>.</w:t>
      </w:r>
    </w:p>
    <w:p w14:paraId="4B491A06" w14:textId="77777777" w:rsidR="00D95593" w:rsidRPr="00D95593" w:rsidRDefault="00D95593" w:rsidP="00D95593">
      <w:pPr>
        <w:spacing w:line="360" w:lineRule="auto"/>
        <w:jc w:val="both"/>
        <w:rPr>
          <w:rFonts w:ascii="Times New Roman" w:hAnsi="Times New Roman"/>
          <w:sz w:val="18"/>
          <w:szCs w:val="18"/>
          <w:lang w:val="en-US"/>
        </w:rPr>
      </w:pPr>
      <w:r w:rsidRPr="00D95593">
        <w:rPr>
          <w:rFonts w:ascii="Times New Roman" w:hAnsi="Times New Roman"/>
          <w:b/>
          <w:sz w:val="18"/>
          <w:szCs w:val="18"/>
          <w:lang w:val="en-US"/>
        </w:rPr>
        <w:t>Figure 2</w:t>
      </w:r>
      <w:r w:rsidRPr="00D95593">
        <w:rPr>
          <w:rFonts w:ascii="Times New Roman" w:hAnsi="Times New Roman"/>
          <w:sz w:val="18"/>
          <w:szCs w:val="18"/>
          <w:lang w:val="en-US"/>
        </w:rPr>
        <w:t>. Tassrirt ore field pictures: (</w:t>
      </w:r>
      <w:r w:rsidRPr="00D95593">
        <w:rPr>
          <w:rFonts w:ascii="Times New Roman" w:hAnsi="Times New Roman"/>
          <w:b/>
          <w:sz w:val="18"/>
          <w:szCs w:val="18"/>
          <w:lang w:val="en-US"/>
        </w:rPr>
        <w:t>A</w:t>
      </w:r>
      <w:r w:rsidRPr="00D95593">
        <w:rPr>
          <w:rFonts w:ascii="Times New Roman" w:hAnsi="Times New Roman"/>
          <w:sz w:val="18"/>
          <w:szCs w:val="18"/>
          <w:lang w:val="en-US"/>
        </w:rPr>
        <w:t>) General view of the deposit, (</w:t>
      </w:r>
      <w:r w:rsidRPr="00D95593">
        <w:rPr>
          <w:rFonts w:ascii="Times New Roman" w:hAnsi="Times New Roman"/>
          <w:b/>
          <w:sz w:val="18"/>
          <w:szCs w:val="18"/>
          <w:lang w:val="en-US"/>
        </w:rPr>
        <w:t>B</w:t>
      </w:r>
      <w:r w:rsidRPr="00D95593">
        <w:rPr>
          <w:rFonts w:ascii="Times New Roman" w:hAnsi="Times New Roman"/>
          <w:sz w:val="18"/>
          <w:szCs w:val="18"/>
          <w:lang w:val="en-US"/>
        </w:rPr>
        <w:t>) Backfills in Basal Serie with goethite (Gth), hematite (Hem), alunite (Alu) and clays mineralization, (</w:t>
      </w:r>
      <w:r w:rsidRPr="00D95593">
        <w:rPr>
          <w:rFonts w:ascii="Times New Roman" w:hAnsi="Times New Roman"/>
          <w:b/>
          <w:sz w:val="18"/>
          <w:szCs w:val="18"/>
          <w:lang w:val="en-US"/>
        </w:rPr>
        <w:t>C</w:t>
      </w:r>
      <w:r w:rsidRPr="00D95593">
        <w:rPr>
          <w:rFonts w:ascii="Times New Roman" w:hAnsi="Times New Roman"/>
          <w:sz w:val="18"/>
          <w:szCs w:val="18"/>
          <w:lang w:val="en-US"/>
        </w:rPr>
        <w:t>) Recent excavation in Tamjout Dolomite showing the gossan (mostly hematite and goethite) and malachite thin layers, (</w:t>
      </w:r>
      <w:r w:rsidRPr="00D95593">
        <w:rPr>
          <w:rFonts w:ascii="Times New Roman" w:hAnsi="Times New Roman"/>
          <w:b/>
          <w:sz w:val="18"/>
          <w:szCs w:val="18"/>
          <w:lang w:val="en-US"/>
        </w:rPr>
        <w:t>D</w:t>
      </w:r>
      <w:r w:rsidRPr="00D95593">
        <w:rPr>
          <w:rFonts w:ascii="Times New Roman" w:hAnsi="Times New Roman"/>
          <w:sz w:val="18"/>
          <w:szCs w:val="18"/>
          <w:lang w:val="en-US"/>
        </w:rPr>
        <w:t>) Old gallery.</w:t>
      </w:r>
    </w:p>
    <w:p w14:paraId="4E782F3F" w14:textId="77777777" w:rsidR="00D95593" w:rsidRPr="00D95593" w:rsidRDefault="00D95593" w:rsidP="00D95593">
      <w:pPr>
        <w:spacing w:line="360" w:lineRule="auto"/>
        <w:jc w:val="both"/>
        <w:rPr>
          <w:rFonts w:ascii="Times New Roman" w:hAnsi="Times New Roman"/>
          <w:sz w:val="18"/>
          <w:szCs w:val="18"/>
          <w:lang w:val="en-US"/>
        </w:rPr>
      </w:pPr>
      <w:r w:rsidRPr="00D95593">
        <w:rPr>
          <w:rFonts w:ascii="Times New Roman" w:hAnsi="Times New Roman"/>
          <w:b/>
          <w:sz w:val="18"/>
          <w:szCs w:val="18"/>
          <w:lang w:val="en-US"/>
        </w:rPr>
        <w:t>Figure 3</w:t>
      </w:r>
      <w:r w:rsidRPr="00D95593">
        <w:rPr>
          <w:rFonts w:ascii="Times New Roman" w:hAnsi="Times New Roman"/>
          <w:sz w:val="18"/>
          <w:szCs w:val="18"/>
          <w:lang w:val="en-US"/>
        </w:rPr>
        <w:t>. Samples pictures (</w:t>
      </w:r>
      <w:r w:rsidRPr="00D95593">
        <w:rPr>
          <w:rFonts w:ascii="Times New Roman" w:hAnsi="Times New Roman"/>
          <w:b/>
          <w:sz w:val="18"/>
          <w:szCs w:val="18"/>
          <w:lang w:val="en-US"/>
        </w:rPr>
        <w:t>A</w:t>
      </w:r>
      <w:r w:rsidRPr="00D95593">
        <w:rPr>
          <w:rFonts w:ascii="Times New Roman" w:hAnsi="Times New Roman"/>
          <w:sz w:val="18"/>
          <w:szCs w:val="18"/>
          <w:lang w:val="en-US"/>
        </w:rPr>
        <w:t>,</w:t>
      </w:r>
      <w:r w:rsidRPr="00D95593">
        <w:rPr>
          <w:rFonts w:ascii="Times New Roman" w:hAnsi="Times New Roman"/>
          <w:b/>
          <w:sz w:val="18"/>
          <w:szCs w:val="18"/>
          <w:lang w:val="en-US"/>
        </w:rPr>
        <w:t>B</w:t>
      </w:r>
      <w:r w:rsidRPr="00D95593">
        <w:rPr>
          <w:rFonts w:ascii="Times New Roman" w:hAnsi="Times New Roman"/>
          <w:sz w:val="18"/>
          <w:szCs w:val="18"/>
          <w:lang w:val="en-US"/>
        </w:rPr>
        <w:t>,</w:t>
      </w:r>
      <w:r w:rsidRPr="00D95593">
        <w:rPr>
          <w:rFonts w:ascii="Times New Roman" w:hAnsi="Times New Roman"/>
          <w:b/>
          <w:sz w:val="18"/>
          <w:szCs w:val="18"/>
          <w:lang w:val="en-US"/>
        </w:rPr>
        <w:t>C</w:t>
      </w:r>
      <w:r w:rsidRPr="00D95593">
        <w:rPr>
          <w:rFonts w:ascii="Times New Roman" w:hAnsi="Times New Roman"/>
          <w:sz w:val="18"/>
          <w:szCs w:val="18"/>
          <w:lang w:val="en-US"/>
        </w:rPr>
        <w:t>); transmitted polarized light microphotographs (</w:t>
      </w:r>
      <w:r w:rsidRPr="00D95593">
        <w:rPr>
          <w:rFonts w:ascii="Times New Roman" w:hAnsi="Times New Roman"/>
          <w:b/>
          <w:sz w:val="18"/>
          <w:szCs w:val="18"/>
          <w:lang w:val="en-US"/>
        </w:rPr>
        <w:t>D</w:t>
      </w:r>
      <w:r w:rsidRPr="00D95593">
        <w:rPr>
          <w:rFonts w:ascii="Times New Roman" w:hAnsi="Times New Roman"/>
          <w:sz w:val="18"/>
          <w:szCs w:val="18"/>
          <w:lang w:val="en-US"/>
        </w:rPr>
        <w:t>,</w:t>
      </w:r>
      <w:r w:rsidRPr="00D95593">
        <w:rPr>
          <w:rFonts w:ascii="Times New Roman" w:hAnsi="Times New Roman"/>
          <w:b/>
          <w:sz w:val="18"/>
          <w:szCs w:val="18"/>
          <w:lang w:val="en-US"/>
        </w:rPr>
        <w:t>E</w:t>
      </w:r>
      <w:r w:rsidRPr="00D95593">
        <w:rPr>
          <w:rFonts w:ascii="Times New Roman" w:hAnsi="Times New Roman"/>
          <w:sz w:val="18"/>
          <w:szCs w:val="18"/>
          <w:lang w:val="en-US"/>
        </w:rPr>
        <w:t>,</w:t>
      </w:r>
      <w:r w:rsidRPr="00D95593">
        <w:rPr>
          <w:rFonts w:ascii="Times New Roman" w:hAnsi="Times New Roman"/>
          <w:b/>
          <w:sz w:val="18"/>
          <w:szCs w:val="18"/>
          <w:lang w:val="en-US"/>
        </w:rPr>
        <w:t>F</w:t>
      </w:r>
      <w:r w:rsidRPr="00D95593">
        <w:rPr>
          <w:rFonts w:ascii="Times New Roman" w:hAnsi="Times New Roman"/>
          <w:sz w:val="18"/>
          <w:szCs w:val="18"/>
          <w:lang w:val="en-US"/>
        </w:rPr>
        <w:t>). (</w:t>
      </w:r>
      <w:r w:rsidRPr="00D95593">
        <w:rPr>
          <w:rFonts w:ascii="Times New Roman" w:hAnsi="Times New Roman"/>
          <w:b/>
          <w:sz w:val="18"/>
          <w:szCs w:val="18"/>
          <w:lang w:val="en-US"/>
        </w:rPr>
        <w:t>A</w:t>
      </w:r>
      <w:r w:rsidRPr="00D95593">
        <w:rPr>
          <w:rFonts w:ascii="Times New Roman" w:hAnsi="Times New Roman"/>
          <w:sz w:val="18"/>
          <w:szCs w:val="18"/>
          <w:lang w:val="en-US"/>
        </w:rPr>
        <w:t xml:space="preserve">) Reddish sandstone from Basal Serie (18TAS57). </w:t>
      </w:r>
      <w:r w:rsidRPr="00D95593">
        <w:rPr>
          <w:rFonts w:ascii="Times New Roman" w:hAnsi="Times New Roman"/>
          <w:b/>
          <w:sz w:val="18"/>
          <w:szCs w:val="18"/>
          <w:lang w:val="en-US"/>
        </w:rPr>
        <w:t>(B</w:t>
      </w:r>
      <w:r w:rsidRPr="00D95593">
        <w:rPr>
          <w:rFonts w:ascii="Times New Roman" w:hAnsi="Times New Roman"/>
          <w:sz w:val="18"/>
          <w:szCs w:val="18"/>
          <w:lang w:val="en-US"/>
        </w:rPr>
        <w:t>) Tamjout Dolomite (18TAS71). (</w:t>
      </w:r>
      <w:r w:rsidRPr="00D95593">
        <w:rPr>
          <w:rFonts w:ascii="Times New Roman" w:hAnsi="Times New Roman"/>
          <w:b/>
          <w:sz w:val="18"/>
          <w:szCs w:val="18"/>
          <w:lang w:val="en-US"/>
        </w:rPr>
        <w:t>C</w:t>
      </w:r>
      <w:r w:rsidRPr="00D95593">
        <w:rPr>
          <w:rFonts w:ascii="Times New Roman" w:hAnsi="Times New Roman"/>
          <w:sz w:val="18"/>
          <w:szCs w:val="18"/>
          <w:lang w:val="en-US"/>
        </w:rPr>
        <w:t>) Kerdous granite (18TAS75). (</w:t>
      </w:r>
      <w:r w:rsidRPr="00D95593">
        <w:rPr>
          <w:rFonts w:ascii="Times New Roman" w:hAnsi="Times New Roman"/>
          <w:b/>
          <w:sz w:val="18"/>
          <w:szCs w:val="18"/>
          <w:lang w:val="en-US"/>
        </w:rPr>
        <w:t>D</w:t>
      </w:r>
      <w:r w:rsidRPr="00D95593">
        <w:rPr>
          <w:rFonts w:ascii="Times New Roman" w:hAnsi="Times New Roman"/>
          <w:sz w:val="18"/>
          <w:szCs w:val="18"/>
          <w:lang w:val="en-US"/>
        </w:rPr>
        <w:t>) Coarse quartz (Qz) grain with abundant chlorite (Chl) in greyish sandstone (18TAS56). (</w:t>
      </w:r>
      <w:r w:rsidRPr="00D95593">
        <w:rPr>
          <w:rFonts w:ascii="Times New Roman" w:hAnsi="Times New Roman"/>
          <w:b/>
          <w:sz w:val="18"/>
          <w:szCs w:val="18"/>
          <w:lang w:val="en-US"/>
        </w:rPr>
        <w:t>E</w:t>
      </w:r>
      <w:r w:rsidRPr="00D95593">
        <w:rPr>
          <w:rFonts w:ascii="Times New Roman" w:hAnsi="Times New Roman"/>
          <w:sz w:val="18"/>
          <w:szCs w:val="18"/>
          <w:lang w:val="en-US"/>
        </w:rPr>
        <w:t>) Reddish sandstone with quartz, muscovite (Ms), chlorite and some calcite (Cal) as cement. (</w:t>
      </w:r>
      <w:r w:rsidRPr="00D95593">
        <w:rPr>
          <w:rFonts w:ascii="Times New Roman" w:hAnsi="Times New Roman"/>
          <w:b/>
          <w:sz w:val="18"/>
          <w:szCs w:val="18"/>
          <w:lang w:val="en-US"/>
        </w:rPr>
        <w:t>F</w:t>
      </w:r>
      <w:r w:rsidRPr="00D95593">
        <w:rPr>
          <w:rFonts w:ascii="Times New Roman" w:hAnsi="Times New Roman"/>
          <w:sz w:val="18"/>
          <w:szCs w:val="18"/>
          <w:lang w:val="en-US"/>
        </w:rPr>
        <w:t>) Kerdous granite with quartz, feldspars (Fsp), chlorite, muscovite and biotite (chloritization).</w:t>
      </w:r>
    </w:p>
    <w:p w14:paraId="73B96045" w14:textId="77777777" w:rsidR="00D95593" w:rsidRPr="00D95593" w:rsidRDefault="00D95593" w:rsidP="00D95593">
      <w:pPr>
        <w:spacing w:line="360" w:lineRule="auto"/>
        <w:jc w:val="both"/>
        <w:rPr>
          <w:rFonts w:ascii="Times New Roman" w:hAnsi="Times New Roman"/>
          <w:lang w:val="en-US"/>
        </w:rPr>
      </w:pPr>
      <w:r w:rsidRPr="00D95593">
        <w:rPr>
          <w:rFonts w:ascii="Times New Roman" w:hAnsi="Times New Roman"/>
          <w:b/>
          <w:sz w:val="18"/>
          <w:szCs w:val="18"/>
          <w:lang w:val="en-US"/>
        </w:rPr>
        <w:t>Figure 4</w:t>
      </w:r>
      <w:r w:rsidRPr="00D95593">
        <w:rPr>
          <w:rFonts w:ascii="Times New Roman" w:hAnsi="Times New Roman"/>
          <w:sz w:val="18"/>
          <w:szCs w:val="18"/>
          <w:lang w:val="en-US"/>
        </w:rPr>
        <w:t xml:space="preserve">. Geochemical data normalized to UCC. </w:t>
      </w:r>
      <w:r w:rsidRPr="00D95593">
        <w:rPr>
          <w:rFonts w:ascii="Times New Roman" w:hAnsi="Times New Roman"/>
          <w:b/>
          <w:sz w:val="18"/>
          <w:szCs w:val="18"/>
          <w:lang w:val="en-US"/>
        </w:rPr>
        <w:t>(A)</w:t>
      </w:r>
      <w:r w:rsidRPr="00D95593">
        <w:rPr>
          <w:rFonts w:ascii="Times New Roman" w:hAnsi="Times New Roman"/>
          <w:sz w:val="18"/>
          <w:szCs w:val="18"/>
          <w:lang w:val="en-US"/>
        </w:rPr>
        <w:t xml:space="preserve"> trace elements patterns for host rocks and primary mineralized rocks; </w:t>
      </w:r>
      <w:r w:rsidRPr="00D95593">
        <w:rPr>
          <w:rFonts w:ascii="Times New Roman" w:hAnsi="Times New Roman"/>
          <w:b/>
          <w:sz w:val="18"/>
          <w:szCs w:val="18"/>
          <w:lang w:val="en-US"/>
        </w:rPr>
        <w:t>(B)</w:t>
      </w:r>
      <w:r w:rsidRPr="00D95593">
        <w:rPr>
          <w:rFonts w:ascii="Times New Roman" w:hAnsi="Times New Roman"/>
          <w:sz w:val="18"/>
          <w:szCs w:val="18"/>
          <w:lang w:val="en-US"/>
        </w:rPr>
        <w:t xml:space="preserve"> REE patterns of host rocks and primary mineralized rocks.</w:t>
      </w:r>
    </w:p>
    <w:p w14:paraId="29AF35D9" w14:textId="77777777" w:rsidR="00D95593" w:rsidRPr="00D95593" w:rsidRDefault="00D95593" w:rsidP="00D95593">
      <w:pPr>
        <w:spacing w:line="360" w:lineRule="auto"/>
        <w:jc w:val="both"/>
        <w:rPr>
          <w:rFonts w:ascii="Times New Roman" w:hAnsi="Times New Roman"/>
          <w:sz w:val="18"/>
          <w:szCs w:val="18"/>
          <w:lang w:val="en-US"/>
        </w:rPr>
      </w:pPr>
      <w:r w:rsidRPr="00D95593">
        <w:rPr>
          <w:rFonts w:ascii="Times New Roman" w:hAnsi="Times New Roman"/>
          <w:b/>
          <w:sz w:val="18"/>
          <w:szCs w:val="18"/>
          <w:lang w:val="en-US"/>
        </w:rPr>
        <w:t>Figure 5</w:t>
      </w:r>
      <w:r w:rsidRPr="00D95593">
        <w:rPr>
          <w:rFonts w:ascii="Times New Roman" w:hAnsi="Times New Roman"/>
          <w:sz w:val="18"/>
          <w:szCs w:val="18"/>
          <w:lang w:val="en-US"/>
        </w:rPr>
        <w:t>. Primary (and secondary) mineralization in the Tassrirt ore. Reflected polarized light microphotographs (</w:t>
      </w:r>
      <w:r w:rsidRPr="00D95593">
        <w:rPr>
          <w:rFonts w:ascii="Times New Roman" w:hAnsi="Times New Roman"/>
          <w:b/>
          <w:sz w:val="18"/>
          <w:szCs w:val="18"/>
          <w:lang w:val="en-US"/>
        </w:rPr>
        <w:t>A</w:t>
      </w:r>
      <w:r w:rsidRPr="00D95593">
        <w:rPr>
          <w:rFonts w:ascii="Times New Roman" w:hAnsi="Times New Roman"/>
          <w:sz w:val="18"/>
          <w:szCs w:val="18"/>
          <w:lang w:val="en-US"/>
        </w:rPr>
        <w:t>,</w:t>
      </w:r>
      <w:r w:rsidRPr="00D95593">
        <w:rPr>
          <w:rFonts w:ascii="Times New Roman" w:hAnsi="Times New Roman"/>
          <w:b/>
          <w:sz w:val="18"/>
          <w:szCs w:val="18"/>
          <w:lang w:val="en-US"/>
        </w:rPr>
        <w:t>C</w:t>
      </w:r>
      <w:r w:rsidRPr="00D95593">
        <w:rPr>
          <w:rFonts w:ascii="Times New Roman" w:hAnsi="Times New Roman"/>
          <w:sz w:val="18"/>
          <w:szCs w:val="18"/>
          <w:lang w:val="en-US"/>
        </w:rPr>
        <w:t>); SEM microphotographs in backscattered electron mode (</w:t>
      </w:r>
      <w:r w:rsidRPr="00D95593">
        <w:rPr>
          <w:rFonts w:ascii="Times New Roman" w:hAnsi="Times New Roman"/>
          <w:b/>
          <w:sz w:val="18"/>
          <w:szCs w:val="18"/>
          <w:lang w:val="en-US"/>
        </w:rPr>
        <w:t>B,D</w:t>
      </w:r>
      <w:r w:rsidRPr="00D95593">
        <w:rPr>
          <w:rFonts w:ascii="Times New Roman" w:hAnsi="Times New Roman"/>
          <w:sz w:val="18"/>
          <w:szCs w:val="18"/>
          <w:lang w:val="en-US"/>
        </w:rPr>
        <w:t>). (</w:t>
      </w:r>
      <w:r w:rsidRPr="00D95593">
        <w:rPr>
          <w:rFonts w:ascii="Times New Roman" w:hAnsi="Times New Roman"/>
          <w:b/>
          <w:sz w:val="18"/>
          <w:szCs w:val="18"/>
          <w:lang w:val="en-US"/>
        </w:rPr>
        <w:t>A</w:t>
      </w:r>
      <w:r w:rsidRPr="00D95593">
        <w:rPr>
          <w:rFonts w:ascii="Times New Roman" w:hAnsi="Times New Roman"/>
          <w:sz w:val="18"/>
          <w:szCs w:val="18"/>
          <w:lang w:val="en-US"/>
        </w:rPr>
        <w:t>) Chalcopyrite (Ccp) cut by sphalerite (Sp) and hematite (Hem) in Tamjout Dolomite (18TAS91). (</w:t>
      </w:r>
      <w:r w:rsidRPr="00D95593">
        <w:rPr>
          <w:rFonts w:ascii="Times New Roman" w:hAnsi="Times New Roman"/>
          <w:b/>
          <w:sz w:val="18"/>
          <w:szCs w:val="18"/>
          <w:lang w:val="en-US"/>
        </w:rPr>
        <w:t>B</w:t>
      </w:r>
      <w:r w:rsidRPr="00D95593">
        <w:rPr>
          <w:rFonts w:ascii="Times New Roman" w:hAnsi="Times New Roman"/>
          <w:sz w:val="18"/>
          <w:szCs w:val="18"/>
          <w:lang w:val="en-US"/>
        </w:rPr>
        <w:t>) Some secondary minerals (olivenite (Oli), malachite (Mlc), chalcocite (Cc), goethite (Gth)) associated to tennantite (Tnt) and chalcopyrite (18TAS91). (</w:t>
      </w:r>
      <w:r w:rsidRPr="00D95593">
        <w:rPr>
          <w:rFonts w:ascii="Times New Roman" w:hAnsi="Times New Roman"/>
          <w:b/>
          <w:sz w:val="18"/>
          <w:szCs w:val="18"/>
          <w:lang w:val="en-US"/>
        </w:rPr>
        <w:t>C</w:t>
      </w:r>
      <w:r w:rsidRPr="00D95593">
        <w:rPr>
          <w:rFonts w:ascii="Times New Roman" w:hAnsi="Times New Roman"/>
          <w:sz w:val="18"/>
          <w:szCs w:val="18"/>
          <w:lang w:val="en-US"/>
        </w:rPr>
        <w:t>) Chalcopyrite, quartz and apatite (Ap) within slightly oxidized pyrite (18TAS59). (</w:t>
      </w:r>
      <w:r w:rsidRPr="00D95593">
        <w:rPr>
          <w:rFonts w:ascii="Times New Roman" w:hAnsi="Times New Roman"/>
          <w:b/>
          <w:sz w:val="18"/>
          <w:szCs w:val="18"/>
          <w:lang w:val="en-US"/>
        </w:rPr>
        <w:t>D</w:t>
      </w:r>
      <w:r w:rsidRPr="00D95593">
        <w:rPr>
          <w:rFonts w:ascii="Times New Roman" w:hAnsi="Times New Roman"/>
          <w:sz w:val="18"/>
          <w:szCs w:val="18"/>
          <w:lang w:val="en-US"/>
        </w:rPr>
        <w:t>) Reliquary stromeyerite (Smy) in weathered 17TAS01 sample (Ilt= illite, Msc = muscovite, Kln= kaolinite, Chl = chlorite).</w:t>
      </w:r>
    </w:p>
    <w:p w14:paraId="41B18632" w14:textId="77777777" w:rsidR="00D95593" w:rsidRPr="00D95593" w:rsidRDefault="00D95593" w:rsidP="00D95593">
      <w:pPr>
        <w:spacing w:line="360" w:lineRule="auto"/>
        <w:jc w:val="both"/>
        <w:rPr>
          <w:rFonts w:ascii="Times New Roman" w:hAnsi="Times New Roman"/>
          <w:sz w:val="18"/>
          <w:szCs w:val="18"/>
          <w:lang w:val="en-US"/>
        </w:rPr>
      </w:pPr>
      <w:r w:rsidRPr="00D95593">
        <w:rPr>
          <w:rFonts w:ascii="Times New Roman" w:hAnsi="Times New Roman"/>
          <w:b/>
          <w:sz w:val="18"/>
          <w:szCs w:val="18"/>
          <w:lang w:val="en-US"/>
        </w:rPr>
        <w:t>Figure 6</w:t>
      </w:r>
      <w:r w:rsidRPr="00D95593">
        <w:rPr>
          <w:rFonts w:ascii="Times New Roman" w:hAnsi="Times New Roman"/>
          <w:sz w:val="18"/>
          <w:szCs w:val="18"/>
          <w:lang w:val="en-US"/>
        </w:rPr>
        <w:t>. Field pictures (</w:t>
      </w:r>
      <w:r w:rsidRPr="00D95593">
        <w:rPr>
          <w:rFonts w:ascii="Times New Roman" w:hAnsi="Times New Roman"/>
          <w:b/>
          <w:sz w:val="18"/>
          <w:szCs w:val="18"/>
          <w:lang w:val="en-US"/>
        </w:rPr>
        <w:t>A</w:t>
      </w:r>
      <w:r w:rsidRPr="00D95593">
        <w:rPr>
          <w:rFonts w:ascii="Times New Roman" w:hAnsi="Times New Roman"/>
          <w:sz w:val="18"/>
          <w:szCs w:val="18"/>
          <w:lang w:val="en-US"/>
        </w:rPr>
        <w:t>,</w:t>
      </w:r>
      <w:r w:rsidRPr="00D95593">
        <w:rPr>
          <w:rFonts w:ascii="Times New Roman" w:hAnsi="Times New Roman"/>
          <w:b/>
          <w:sz w:val="18"/>
          <w:szCs w:val="18"/>
          <w:lang w:val="en-US"/>
        </w:rPr>
        <w:t>B</w:t>
      </w:r>
      <w:r w:rsidRPr="00D95593">
        <w:rPr>
          <w:rFonts w:ascii="Times New Roman" w:hAnsi="Times New Roman"/>
          <w:sz w:val="18"/>
          <w:szCs w:val="18"/>
          <w:lang w:val="en-US"/>
        </w:rPr>
        <w:t>) and SEM microphotographs in backscattered electron mode (</w:t>
      </w:r>
      <w:r w:rsidRPr="00D95593">
        <w:rPr>
          <w:rFonts w:ascii="Times New Roman" w:hAnsi="Times New Roman"/>
          <w:b/>
          <w:sz w:val="18"/>
          <w:szCs w:val="18"/>
          <w:lang w:val="en-US"/>
        </w:rPr>
        <w:t>C to H</w:t>
      </w:r>
      <w:r w:rsidRPr="00D95593">
        <w:rPr>
          <w:rFonts w:ascii="Times New Roman" w:hAnsi="Times New Roman"/>
          <w:sz w:val="18"/>
          <w:szCs w:val="18"/>
          <w:lang w:val="en-US"/>
        </w:rPr>
        <w:t>). (</w:t>
      </w:r>
      <w:r w:rsidRPr="00D95593">
        <w:rPr>
          <w:rFonts w:ascii="Times New Roman" w:hAnsi="Times New Roman"/>
          <w:b/>
          <w:sz w:val="18"/>
          <w:szCs w:val="18"/>
          <w:lang w:val="en-US"/>
        </w:rPr>
        <w:t>A</w:t>
      </w:r>
      <w:r w:rsidRPr="00D95593">
        <w:rPr>
          <w:rFonts w:ascii="Times New Roman" w:hAnsi="Times New Roman"/>
          <w:sz w:val="18"/>
          <w:szCs w:val="18"/>
          <w:lang w:val="en-US"/>
        </w:rPr>
        <w:t>) Botryoidal crust of malachite (Mlc) (17TAS01M). (</w:t>
      </w:r>
      <w:r w:rsidRPr="00D95593">
        <w:rPr>
          <w:rFonts w:ascii="Times New Roman" w:hAnsi="Times New Roman"/>
          <w:b/>
          <w:sz w:val="18"/>
          <w:szCs w:val="18"/>
          <w:lang w:val="en-US"/>
        </w:rPr>
        <w:t>B</w:t>
      </w:r>
      <w:r w:rsidRPr="00D95593">
        <w:rPr>
          <w:rFonts w:ascii="Times New Roman" w:hAnsi="Times New Roman"/>
          <w:sz w:val="18"/>
          <w:szCs w:val="18"/>
          <w:lang w:val="en-US"/>
        </w:rPr>
        <w:t>) Veins of malachite and chalcocite (Cc) in weathered siltstone (18TAS46B). (</w:t>
      </w:r>
      <w:r w:rsidRPr="00D95593">
        <w:rPr>
          <w:rFonts w:ascii="Times New Roman" w:hAnsi="Times New Roman"/>
          <w:b/>
          <w:sz w:val="18"/>
          <w:szCs w:val="18"/>
          <w:lang w:val="en-US"/>
        </w:rPr>
        <w:t>C</w:t>
      </w:r>
      <w:r w:rsidRPr="00D95593">
        <w:rPr>
          <w:rFonts w:ascii="Times New Roman" w:hAnsi="Times New Roman"/>
          <w:sz w:val="18"/>
          <w:szCs w:val="18"/>
          <w:lang w:val="en-US"/>
        </w:rPr>
        <w:t>) Residual chalcocite and goethite (Gth) within malachite veins in kaolinite-illite (Kln-Ilt) matrix (18TAS46B). (</w:t>
      </w:r>
      <w:r w:rsidRPr="00D95593">
        <w:rPr>
          <w:rFonts w:ascii="Times New Roman" w:hAnsi="Times New Roman"/>
          <w:b/>
          <w:sz w:val="18"/>
          <w:szCs w:val="18"/>
          <w:lang w:val="en-US"/>
        </w:rPr>
        <w:t>D</w:t>
      </w:r>
      <w:r w:rsidRPr="00D95593">
        <w:rPr>
          <w:rFonts w:ascii="Times New Roman" w:hAnsi="Times New Roman"/>
          <w:sz w:val="18"/>
          <w:szCs w:val="18"/>
          <w:lang w:val="en-US"/>
        </w:rPr>
        <w:t>) Xenotime (Xtm) and monazite (Mnz) in Zn-bearing goethite matrix with anatase (Ant) and illite-muscovite (Ilt-Ms) (17TAS01B). (</w:t>
      </w:r>
      <w:r w:rsidRPr="00D95593">
        <w:rPr>
          <w:rFonts w:ascii="Times New Roman" w:hAnsi="Times New Roman"/>
          <w:b/>
          <w:sz w:val="18"/>
          <w:szCs w:val="18"/>
          <w:lang w:val="en-US"/>
        </w:rPr>
        <w:t>E</w:t>
      </w:r>
      <w:r w:rsidRPr="00D95593">
        <w:rPr>
          <w:rFonts w:ascii="Times New Roman" w:hAnsi="Times New Roman"/>
          <w:sz w:val="18"/>
          <w:szCs w:val="18"/>
          <w:lang w:val="en-US"/>
        </w:rPr>
        <w:t>) Weathered sandstone with fraipontite (Fpt) and fibrous malachite associated with chlorite (Chl) and (Al-Si-bearing) goethite (17TAS01F). (</w:t>
      </w:r>
      <w:r w:rsidRPr="00D95593">
        <w:rPr>
          <w:rFonts w:ascii="Times New Roman" w:hAnsi="Times New Roman"/>
          <w:b/>
          <w:sz w:val="18"/>
          <w:szCs w:val="18"/>
          <w:lang w:val="en-US"/>
        </w:rPr>
        <w:t>F</w:t>
      </w:r>
      <w:r w:rsidRPr="00D95593">
        <w:rPr>
          <w:rFonts w:ascii="Times New Roman" w:hAnsi="Times New Roman"/>
          <w:sz w:val="18"/>
          <w:szCs w:val="18"/>
          <w:lang w:val="en-US"/>
        </w:rPr>
        <w:t>) Smithsonite (Smt) vein with hemimorphite (Hmp) within and on the edge, associated to Zn-bearing goethite, coronadite-hollandite (Cor), calcite (Cal) and dolomite (Dol) (17TAS02B). (</w:t>
      </w:r>
      <w:r w:rsidRPr="00D95593">
        <w:rPr>
          <w:rFonts w:ascii="Times New Roman" w:hAnsi="Times New Roman"/>
          <w:b/>
          <w:sz w:val="18"/>
          <w:szCs w:val="18"/>
          <w:lang w:val="en-US"/>
        </w:rPr>
        <w:t>G</w:t>
      </w:r>
      <w:r w:rsidRPr="00D95593">
        <w:rPr>
          <w:rFonts w:ascii="Times New Roman" w:hAnsi="Times New Roman"/>
          <w:sz w:val="18"/>
          <w:szCs w:val="18"/>
          <w:lang w:val="en-US"/>
        </w:rPr>
        <w:t>) Cu-bearing fraipontite clusters in goethite, kaolinite and alunite/jarosite (Alu-Jrs) matrix (18TAS93). (</w:t>
      </w:r>
      <w:r w:rsidRPr="00D95593">
        <w:rPr>
          <w:rFonts w:ascii="Times New Roman" w:hAnsi="Times New Roman"/>
          <w:b/>
          <w:sz w:val="18"/>
          <w:szCs w:val="18"/>
          <w:lang w:val="en-US"/>
        </w:rPr>
        <w:t>H</w:t>
      </w:r>
      <w:r w:rsidRPr="00D95593">
        <w:rPr>
          <w:rFonts w:ascii="Times New Roman" w:hAnsi="Times New Roman"/>
          <w:sz w:val="18"/>
          <w:szCs w:val="18"/>
          <w:lang w:val="en-US"/>
        </w:rPr>
        <w:t>) Beudantite (Bdn), beaverite-osarizawaite (Bvr-Orz) and malachite as thin crust (18TAS79).</w:t>
      </w:r>
    </w:p>
    <w:p w14:paraId="52760720" w14:textId="77777777" w:rsidR="00D95593" w:rsidRPr="00D95593" w:rsidRDefault="00D95593" w:rsidP="00D95593">
      <w:pPr>
        <w:spacing w:line="360" w:lineRule="auto"/>
        <w:jc w:val="both"/>
        <w:rPr>
          <w:rFonts w:ascii="Times New Roman" w:hAnsi="Times New Roman"/>
          <w:sz w:val="18"/>
          <w:szCs w:val="18"/>
          <w:lang w:val="en-US"/>
        </w:rPr>
      </w:pPr>
      <w:r w:rsidRPr="00D95593">
        <w:rPr>
          <w:rFonts w:ascii="Times New Roman" w:hAnsi="Times New Roman"/>
          <w:b/>
          <w:sz w:val="18"/>
          <w:szCs w:val="18"/>
          <w:lang w:val="en-US"/>
        </w:rPr>
        <w:t>Figure 7</w:t>
      </w:r>
      <w:r w:rsidRPr="00D95593">
        <w:rPr>
          <w:rFonts w:ascii="Times New Roman" w:hAnsi="Times New Roman"/>
          <w:sz w:val="18"/>
          <w:szCs w:val="18"/>
          <w:lang w:val="en-US"/>
        </w:rPr>
        <w:t xml:space="preserve">. Geochemical data normalized to UCC. </w:t>
      </w:r>
      <w:r w:rsidRPr="00D95593">
        <w:rPr>
          <w:rFonts w:ascii="Times New Roman" w:hAnsi="Times New Roman"/>
          <w:b/>
          <w:sz w:val="18"/>
          <w:szCs w:val="18"/>
          <w:lang w:val="en-US"/>
        </w:rPr>
        <w:t>(A)</w:t>
      </w:r>
      <w:r w:rsidRPr="00D95593">
        <w:rPr>
          <w:rFonts w:ascii="Times New Roman" w:hAnsi="Times New Roman"/>
          <w:sz w:val="18"/>
          <w:szCs w:val="18"/>
          <w:lang w:val="en-US"/>
        </w:rPr>
        <w:t xml:space="preserve"> trace elements patterns for secondary mineralization; </w:t>
      </w:r>
      <w:r w:rsidRPr="00D95593">
        <w:rPr>
          <w:rFonts w:ascii="Times New Roman" w:hAnsi="Times New Roman"/>
          <w:b/>
          <w:sz w:val="18"/>
          <w:szCs w:val="18"/>
          <w:lang w:val="en-US"/>
        </w:rPr>
        <w:t>(B)</w:t>
      </w:r>
      <w:r w:rsidRPr="00D95593">
        <w:rPr>
          <w:rFonts w:ascii="Times New Roman" w:hAnsi="Times New Roman"/>
          <w:sz w:val="18"/>
          <w:szCs w:val="18"/>
          <w:lang w:val="en-US"/>
        </w:rPr>
        <w:t xml:space="preserve"> REE patterns for secondary mineralization.</w:t>
      </w:r>
    </w:p>
    <w:p w14:paraId="14FC4419" w14:textId="77777777" w:rsidR="00D95593" w:rsidRPr="00D95593" w:rsidRDefault="00D95593" w:rsidP="00D95593">
      <w:pPr>
        <w:spacing w:line="360" w:lineRule="auto"/>
        <w:jc w:val="both"/>
        <w:rPr>
          <w:rFonts w:ascii="Times New Roman" w:hAnsi="Times New Roman"/>
          <w:sz w:val="18"/>
          <w:szCs w:val="20"/>
          <w:lang w:val="en-US"/>
        </w:rPr>
      </w:pPr>
      <w:r w:rsidRPr="00D95593">
        <w:rPr>
          <w:rFonts w:ascii="Times New Roman" w:hAnsi="Times New Roman"/>
          <w:b/>
          <w:sz w:val="18"/>
          <w:szCs w:val="20"/>
          <w:lang w:val="en-US"/>
        </w:rPr>
        <w:t xml:space="preserve">Figure 8. </w:t>
      </w:r>
      <w:r w:rsidRPr="00D95593">
        <w:rPr>
          <w:rFonts w:ascii="Times New Roman" w:hAnsi="Times New Roman"/>
          <w:sz w:val="18"/>
          <w:szCs w:val="20"/>
          <w:lang w:val="en-US"/>
        </w:rPr>
        <w:t>(</w:t>
      </w:r>
      <w:r w:rsidRPr="00D95593">
        <w:rPr>
          <w:rFonts w:ascii="Times New Roman" w:hAnsi="Times New Roman"/>
          <w:b/>
          <w:sz w:val="18"/>
          <w:szCs w:val="20"/>
          <w:lang w:val="en-US"/>
        </w:rPr>
        <w:t>A</w:t>
      </w:r>
      <w:r w:rsidRPr="00D95593">
        <w:rPr>
          <w:rFonts w:ascii="Times New Roman" w:hAnsi="Times New Roman"/>
          <w:sz w:val="18"/>
          <w:szCs w:val="20"/>
          <w:lang w:val="en-US"/>
        </w:rPr>
        <w:t>,</w:t>
      </w:r>
      <w:r w:rsidRPr="00D95593">
        <w:rPr>
          <w:rFonts w:ascii="Times New Roman" w:hAnsi="Times New Roman"/>
          <w:b/>
          <w:sz w:val="18"/>
          <w:szCs w:val="20"/>
          <w:lang w:val="en-US"/>
        </w:rPr>
        <w:t>B</w:t>
      </w:r>
      <w:r w:rsidRPr="00D95593">
        <w:rPr>
          <w:rFonts w:ascii="Times New Roman" w:hAnsi="Times New Roman"/>
          <w:sz w:val="18"/>
          <w:szCs w:val="20"/>
          <w:lang w:val="en-US"/>
        </w:rPr>
        <w:t>,</w:t>
      </w:r>
      <w:r w:rsidRPr="00D95593">
        <w:rPr>
          <w:rFonts w:ascii="Times New Roman" w:hAnsi="Times New Roman"/>
          <w:b/>
          <w:sz w:val="18"/>
          <w:szCs w:val="20"/>
          <w:lang w:val="en-US"/>
        </w:rPr>
        <w:t>H</w:t>
      </w:r>
      <w:r w:rsidRPr="00D95593">
        <w:rPr>
          <w:rFonts w:ascii="Times New Roman" w:hAnsi="Times New Roman"/>
          <w:sz w:val="18"/>
          <w:szCs w:val="20"/>
          <w:lang w:val="en-US"/>
        </w:rPr>
        <w:t>) Sample pictures, (</w:t>
      </w:r>
      <w:r w:rsidRPr="00D95593">
        <w:rPr>
          <w:rFonts w:ascii="Times New Roman" w:hAnsi="Times New Roman"/>
          <w:b/>
          <w:sz w:val="18"/>
          <w:szCs w:val="20"/>
          <w:lang w:val="en-US"/>
        </w:rPr>
        <w:t>C,D,E,F,G</w:t>
      </w:r>
      <w:r w:rsidRPr="00D95593">
        <w:rPr>
          <w:rFonts w:ascii="Times New Roman" w:hAnsi="Times New Roman"/>
          <w:sz w:val="18"/>
          <w:szCs w:val="20"/>
          <w:lang w:val="en-US"/>
        </w:rPr>
        <w:t>) SEM microphotograph in backscattered electron mode: (</w:t>
      </w:r>
      <w:r w:rsidRPr="00D95593">
        <w:rPr>
          <w:rFonts w:ascii="Times New Roman" w:hAnsi="Times New Roman"/>
          <w:b/>
          <w:sz w:val="18"/>
          <w:szCs w:val="20"/>
          <w:lang w:val="en-US"/>
        </w:rPr>
        <w:t>A</w:t>
      </w:r>
      <w:r w:rsidRPr="00D95593">
        <w:rPr>
          <w:rFonts w:ascii="Times New Roman" w:hAnsi="Times New Roman"/>
          <w:sz w:val="18"/>
          <w:szCs w:val="20"/>
          <w:lang w:val="en-US"/>
        </w:rPr>
        <w:t>,</w:t>
      </w:r>
      <w:r w:rsidRPr="00D95593">
        <w:rPr>
          <w:rFonts w:ascii="Times New Roman" w:hAnsi="Times New Roman"/>
          <w:b/>
          <w:sz w:val="18"/>
          <w:szCs w:val="20"/>
          <w:lang w:val="en-US"/>
        </w:rPr>
        <w:t>B</w:t>
      </w:r>
      <w:r w:rsidRPr="00D95593">
        <w:rPr>
          <w:rFonts w:ascii="Times New Roman" w:hAnsi="Times New Roman"/>
          <w:sz w:val="18"/>
          <w:szCs w:val="20"/>
          <w:lang w:val="en-US"/>
        </w:rPr>
        <w:t>) Alunite samples (17TAS09 and 18TAS15) used for K-Ar dating, (</w:t>
      </w:r>
      <w:r w:rsidRPr="00D95593">
        <w:rPr>
          <w:rFonts w:ascii="Times New Roman" w:hAnsi="Times New Roman"/>
          <w:b/>
          <w:sz w:val="18"/>
          <w:szCs w:val="20"/>
          <w:lang w:val="en-US"/>
        </w:rPr>
        <w:t>C</w:t>
      </w:r>
      <w:r w:rsidRPr="00D95593">
        <w:rPr>
          <w:rFonts w:ascii="Times New Roman" w:hAnsi="Times New Roman"/>
          <w:sz w:val="18"/>
          <w:szCs w:val="20"/>
          <w:lang w:val="en-US"/>
        </w:rPr>
        <w:t>) Veins of malachite, smithsonite and fraipontite in alunite matrix (17TAS08) with occurrence of monazite, (</w:t>
      </w:r>
      <w:r w:rsidRPr="00D95593">
        <w:rPr>
          <w:rFonts w:ascii="Times New Roman" w:hAnsi="Times New Roman"/>
          <w:b/>
          <w:bCs/>
          <w:sz w:val="18"/>
          <w:szCs w:val="20"/>
          <w:lang w:val="en-US"/>
        </w:rPr>
        <w:t>D</w:t>
      </w:r>
      <w:r w:rsidRPr="00D95593">
        <w:rPr>
          <w:rFonts w:ascii="Times New Roman" w:hAnsi="Times New Roman"/>
          <w:sz w:val="18"/>
          <w:szCs w:val="20"/>
          <w:lang w:val="en-US"/>
        </w:rPr>
        <w:t>) Sample 18TAS15A showing the selected area with almost pure alunite, (</w:t>
      </w:r>
      <w:r w:rsidRPr="00D95593">
        <w:rPr>
          <w:rFonts w:ascii="Times New Roman" w:hAnsi="Times New Roman"/>
          <w:b/>
          <w:bCs/>
          <w:sz w:val="18"/>
          <w:szCs w:val="20"/>
          <w:lang w:val="en-US"/>
        </w:rPr>
        <w:t>E</w:t>
      </w:r>
      <w:r w:rsidRPr="00D95593">
        <w:rPr>
          <w:rFonts w:ascii="Times New Roman" w:hAnsi="Times New Roman"/>
          <w:sz w:val="18"/>
          <w:szCs w:val="20"/>
          <w:lang w:val="en-US"/>
        </w:rPr>
        <w:t>) Close up on the selected area of sample 18TAS15A with minor kaolinite in alunite, (</w:t>
      </w:r>
      <w:r w:rsidRPr="00D95593">
        <w:rPr>
          <w:rFonts w:ascii="Times New Roman" w:hAnsi="Times New Roman"/>
          <w:b/>
          <w:bCs/>
          <w:sz w:val="18"/>
          <w:szCs w:val="20"/>
          <w:lang w:val="en-US"/>
        </w:rPr>
        <w:t>F</w:t>
      </w:r>
      <w:r w:rsidRPr="00D95593">
        <w:rPr>
          <w:rFonts w:ascii="Times New Roman" w:hAnsi="Times New Roman"/>
          <w:sz w:val="18"/>
          <w:szCs w:val="20"/>
          <w:lang w:val="en-US"/>
        </w:rPr>
        <w:t>) Zoom on Figure 8E showing minor inclusions of goethite in alunite (18TAS15A), (</w:t>
      </w:r>
      <w:r w:rsidRPr="00D95593">
        <w:rPr>
          <w:rFonts w:ascii="Times New Roman" w:hAnsi="Times New Roman"/>
          <w:b/>
          <w:bCs/>
          <w:sz w:val="18"/>
          <w:szCs w:val="20"/>
          <w:lang w:val="en-US"/>
        </w:rPr>
        <w:t>G</w:t>
      </w:r>
      <w:r w:rsidRPr="00D95593">
        <w:rPr>
          <w:rFonts w:ascii="Times New Roman" w:hAnsi="Times New Roman"/>
          <w:sz w:val="18"/>
          <w:szCs w:val="20"/>
          <w:lang w:val="en-US"/>
        </w:rPr>
        <w:t>) Zoom on sample 17TAS09 showing potentially two generations of alunite with minor quartz (</w:t>
      </w:r>
      <w:r w:rsidRPr="00D95593">
        <w:rPr>
          <w:rFonts w:ascii="Times New Roman" w:hAnsi="Times New Roman"/>
          <w:b/>
          <w:sz w:val="18"/>
          <w:szCs w:val="20"/>
          <w:lang w:val="en-US"/>
        </w:rPr>
        <w:t>H</w:t>
      </w:r>
      <w:r w:rsidRPr="00D95593">
        <w:rPr>
          <w:rFonts w:ascii="Times New Roman" w:hAnsi="Times New Roman"/>
          <w:sz w:val="18"/>
          <w:szCs w:val="20"/>
          <w:lang w:val="en-US"/>
        </w:rPr>
        <w:t>) Late calcite-aragonite (18TAS09) with light blue/green coloration.</w:t>
      </w:r>
    </w:p>
    <w:p w14:paraId="2CCD3505" w14:textId="77777777" w:rsidR="00D95593" w:rsidRPr="00D95593" w:rsidRDefault="00D95593" w:rsidP="00D95593">
      <w:pPr>
        <w:spacing w:line="360" w:lineRule="auto"/>
        <w:jc w:val="both"/>
        <w:rPr>
          <w:rFonts w:ascii="Times New Roman" w:hAnsi="Times New Roman"/>
          <w:sz w:val="18"/>
          <w:szCs w:val="20"/>
          <w:lang w:val="en-US"/>
        </w:rPr>
      </w:pPr>
      <w:r w:rsidRPr="00D95593">
        <w:rPr>
          <w:rFonts w:ascii="Times New Roman" w:hAnsi="Times New Roman"/>
          <w:b/>
          <w:bCs/>
          <w:sz w:val="18"/>
          <w:szCs w:val="20"/>
          <w:lang w:val="en-US"/>
        </w:rPr>
        <w:t xml:space="preserve">Figure 9. </w:t>
      </w:r>
      <w:r w:rsidRPr="00D95593">
        <w:rPr>
          <w:rFonts w:ascii="Times New Roman" w:hAnsi="Times New Roman"/>
          <w:sz w:val="18"/>
          <w:szCs w:val="20"/>
          <w:lang w:val="en-US"/>
        </w:rPr>
        <w:t>Tentative paragenetic sequence for Tassrirt mineralization.</w:t>
      </w:r>
    </w:p>
    <w:p w14:paraId="08EB03AC" w14:textId="77777777" w:rsidR="007823BA" w:rsidRPr="00D95593" w:rsidRDefault="007823BA" w:rsidP="007823BA">
      <w:pPr>
        <w:spacing w:line="360" w:lineRule="auto"/>
        <w:jc w:val="both"/>
        <w:rPr>
          <w:rFonts w:ascii="Times New Roman" w:hAnsi="Times New Roman" w:cs="Times New Roman"/>
          <w:b/>
          <w:bCs/>
          <w:lang w:val="en-US"/>
        </w:rPr>
      </w:pPr>
      <w:r w:rsidRPr="00D95593">
        <w:rPr>
          <w:rFonts w:ascii="Times New Roman" w:hAnsi="Times New Roman" w:cs="Times New Roman"/>
          <w:b/>
          <w:bCs/>
          <w:lang w:val="en-US"/>
        </w:rPr>
        <w:lastRenderedPageBreak/>
        <w:t>Table caption</w:t>
      </w:r>
    </w:p>
    <w:p w14:paraId="3AF89109" w14:textId="77777777" w:rsidR="007823BA" w:rsidRPr="00D95593" w:rsidRDefault="007823BA" w:rsidP="007823BA">
      <w:pPr>
        <w:spacing w:line="360" w:lineRule="auto"/>
        <w:jc w:val="both"/>
        <w:rPr>
          <w:rFonts w:ascii="Times New Roman" w:hAnsi="Times New Roman"/>
          <w:lang w:val="en-US"/>
        </w:rPr>
      </w:pPr>
      <w:r w:rsidRPr="00D95593">
        <w:rPr>
          <w:rFonts w:ascii="Times New Roman" w:hAnsi="Times New Roman" w:cs="Times New Roman"/>
          <w:b/>
          <w:bCs/>
          <w:sz w:val="18"/>
          <w:szCs w:val="18"/>
          <w:lang w:val="en-US"/>
        </w:rPr>
        <w:t xml:space="preserve">Table 1. </w:t>
      </w:r>
      <w:r w:rsidRPr="00D95593">
        <w:rPr>
          <w:rFonts w:ascii="Times New Roman" w:hAnsi="Times New Roman"/>
          <w:sz w:val="20"/>
          <w:lang w:val="en-US"/>
        </w:rPr>
        <w:t xml:space="preserve">Alunite K-Ar data </w:t>
      </w:r>
      <w:r w:rsidRPr="00D95593">
        <w:rPr>
          <w:rFonts w:ascii="Times New Roman" w:hAnsi="Times New Roman"/>
          <w:sz w:val="20"/>
          <w:lang w:val="fr-BE"/>
        </w:rPr>
        <w:fldChar w:fldCharType="begin" w:fldLock="1"/>
      </w:r>
      <w:r w:rsidRPr="00D95593">
        <w:rPr>
          <w:rFonts w:ascii="Times New Roman" w:hAnsi="Times New Roman"/>
          <w:sz w:val="20"/>
          <w:lang w:val="en-US"/>
        </w:rPr>
        <w:instrText>ADDIN CSL_CITATION {"citationItems":[{"id":"ITEM-1","itemData":{"author":[{"dropping-particle":"","family":"Verhaert","given":"Michèle","non-dropping-particle":"","parse-names":false,"suffix":""}],"id":"ITEM-1","issued":{"date-parts":[["2020"]]},"number-of-pages":"334","publisher":"Université de Namur, Belgique","title":"Characterization and (U-Th-Sm)/He dating of Moroccan supergene ore deposits: New insights to unravel the periods and potential causes of weathering processes.","type":"thesis"},"uris":["http://www.mendeley.com/documents/?uuid=49e7ccfc-d0c1-4848-b6a3-2742a36caf82"]}],"mendeley":{"formattedCitation":"(Verhaert, 2020)","plainTextFormattedCitation":"(Verhaert, 2020)","previouslyFormattedCitation":"(Verhaert, 2020)"},"properties":{"noteIndex":0},"schema":"https://github.com/citation-style-language/schema/raw/master/csl-citation.json"}</w:instrText>
      </w:r>
      <w:r w:rsidRPr="00D95593">
        <w:rPr>
          <w:rFonts w:ascii="Times New Roman" w:hAnsi="Times New Roman"/>
          <w:sz w:val="20"/>
          <w:lang w:val="fr-BE"/>
        </w:rPr>
        <w:fldChar w:fldCharType="separate"/>
      </w:r>
      <w:r w:rsidRPr="00D95593">
        <w:rPr>
          <w:rFonts w:ascii="Times New Roman" w:hAnsi="Times New Roman"/>
          <w:sz w:val="20"/>
          <w:lang w:val="en-US"/>
        </w:rPr>
        <w:t>(Verhaert, 2020)</w:t>
      </w:r>
      <w:r w:rsidRPr="00D95593">
        <w:rPr>
          <w:rFonts w:ascii="Times New Roman" w:hAnsi="Times New Roman"/>
          <w:sz w:val="20"/>
          <w:lang w:val="fr-BE"/>
        </w:rPr>
        <w:fldChar w:fldCharType="end"/>
      </w:r>
      <w:r w:rsidRPr="00D95593">
        <w:rPr>
          <w:rFonts w:ascii="Times New Roman" w:hAnsi="Times New Roman"/>
          <w:lang w:val="en-US"/>
        </w:rPr>
        <w:t>.</w:t>
      </w:r>
    </w:p>
    <w:p w14:paraId="6CE0DEE8" w14:textId="77777777" w:rsidR="007823BA" w:rsidRPr="00D95593" w:rsidRDefault="007823BA" w:rsidP="007823BA">
      <w:pPr>
        <w:spacing w:line="360" w:lineRule="auto"/>
        <w:jc w:val="both"/>
        <w:rPr>
          <w:rFonts w:ascii="Times New Roman" w:hAnsi="Times New Roman"/>
          <w:b/>
          <w:bCs/>
          <w:lang w:val="fr-BE"/>
        </w:rPr>
      </w:pPr>
      <w:r w:rsidRPr="00D95593">
        <w:rPr>
          <w:rFonts w:ascii="Times New Roman" w:hAnsi="Times New Roman"/>
          <w:b/>
          <w:bCs/>
          <w:lang w:val="fr-BE"/>
        </w:rPr>
        <w:t>Figure 1</w:t>
      </w:r>
    </w:p>
    <w:p w14:paraId="09D465EB" w14:textId="77777777" w:rsidR="007823BA" w:rsidRPr="00D95593" w:rsidRDefault="007823BA" w:rsidP="007823BA">
      <w:pPr>
        <w:spacing w:line="360" w:lineRule="auto"/>
        <w:jc w:val="both"/>
        <w:rPr>
          <w:rFonts w:ascii="Times New Roman" w:hAnsi="Times New Roman"/>
          <w:lang w:val="fr-BE"/>
        </w:rPr>
      </w:pPr>
      <w:r w:rsidRPr="00D95593">
        <w:rPr>
          <w:rFonts w:ascii="Times New Roman" w:hAnsi="Times New Roman"/>
          <w:noProof/>
          <w:lang w:val="fr-BE"/>
        </w:rPr>
        <w:drawing>
          <wp:inline distT="0" distB="0" distL="0" distR="0" wp14:anchorId="6F604BC1" wp14:editId="5C47259F">
            <wp:extent cx="5731510" cy="7771765"/>
            <wp:effectExtent l="0" t="0" r="2540" b="635"/>
            <wp:docPr id="1064225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263981" name="Picture 59426398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7771765"/>
                    </a:xfrm>
                    <a:prstGeom prst="rect">
                      <a:avLst/>
                    </a:prstGeom>
                  </pic:spPr>
                </pic:pic>
              </a:graphicData>
            </a:graphic>
          </wp:inline>
        </w:drawing>
      </w:r>
    </w:p>
    <w:p w14:paraId="345690C2" w14:textId="77777777" w:rsidR="007823BA" w:rsidRPr="00D95593" w:rsidRDefault="007823BA" w:rsidP="007823BA">
      <w:pPr>
        <w:spacing w:line="360" w:lineRule="auto"/>
        <w:jc w:val="both"/>
        <w:rPr>
          <w:rFonts w:ascii="Times New Roman" w:hAnsi="Times New Roman"/>
          <w:b/>
          <w:bCs/>
          <w:lang w:val="fr-BE"/>
        </w:rPr>
      </w:pPr>
      <w:r w:rsidRPr="00D95593">
        <w:rPr>
          <w:rFonts w:ascii="Times New Roman" w:hAnsi="Times New Roman"/>
          <w:b/>
          <w:bCs/>
          <w:lang w:val="fr-BE"/>
        </w:rPr>
        <w:lastRenderedPageBreak/>
        <w:t>Figure 2</w:t>
      </w:r>
    </w:p>
    <w:p w14:paraId="77FC38A4" w14:textId="77777777" w:rsidR="007823BA" w:rsidRPr="00D95593" w:rsidRDefault="007823BA" w:rsidP="007823BA">
      <w:pPr>
        <w:spacing w:line="360" w:lineRule="auto"/>
        <w:jc w:val="both"/>
        <w:rPr>
          <w:rFonts w:ascii="Times New Roman" w:hAnsi="Times New Roman"/>
          <w:lang w:val="fr-BE"/>
        </w:rPr>
      </w:pPr>
      <w:r w:rsidRPr="00D95593">
        <w:rPr>
          <w:rFonts w:ascii="Times New Roman" w:hAnsi="Times New Roman"/>
          <w:noProof/>
          <w:lang w:val="fr-BE"/>
        </w:rPr>
        <w:drawing>
          <wp:inline distT="0" distB="0" distL="0" distR="0" wp14:anchorId="307B1E01" wp14:editId="7E3ACCA6">
            <wp:extent cx="5731510" cy="3862705"/>
            <wp:effectExtent l="0" t="0" r="2540" b="4445"/>
            <wp:docPr id="14300982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80611" name="Picture 116198061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862705"/>
                    </a:xfrm>
                    <a:prstGeom prst="rect">
                      <a:avLst/>
                    </a:prstGeom>
                  </pic:spPr>
                </pic:pic>
              </a:graphicData>
            </a:graphic>
          </wp:inline>
        </w:drawing>
      </w:r>
    </w:p>
    <w:p w14:paraId="2215E770" w14:textId="77777777" w:rsidR="007823BA" w:rsidRPr="00D95593" w:rsidRDefault="007823BA" w:rsidP="007823BA">
      <w:pPr>
        <w:rPr>
          <w:rFonts w:ascii="Times New Roman" w:hAnsi="Times New Roman"/>
          <w:lang w:val="fr-BE"/>
        </w:rPr>
      </w:pPr>
      <w:r w:rsidRPr="00D95593">
        <w:rPr>
          <w:rFonts w:ascii="Times New Roman" w:hAnsi="Times New Roman"/>
          <w:lang w:val="fr-BE"/>
        </w:rPr>
        <w:br w:type="page"/>
      </w:r>
    </w:p>
    <w:p w14:paraId="3D5C70E8" w14:textId="77777777" w:rsidR="007823BA" w:rsidRPr="00D95593" w:rsidRDefault="007823BA" w:rsidP="007823BA">
      <w:pPr>
        <w:spacing w:line="360" w:lineRule="auto"/>
        <w:jc w:val="both"/>
        <w:rPr>
          <w:rFonts w:ascii="Times New Roman" w:hAnsi="Times New Roman"/>
          <w:b/>
          <w:bCs/>
          <w:lang w:val="fr-BE"/>
        </w:rPr>
      </w:pPr>
      <w:r w:rsidRPr="00D95593">
        <w:rPr>
          <w:rFonts w:ascii="Times New Roman" w:hAnsi="Times New Roman"/>
          <w:b/>
          <w:bCs/>
          <w:lang w:val="fr-BE"/>
        </w:rPr>
        <w:lastRenderedPageBreak/>
        <w:t>Figure 3</w:t>
      </w:r>
    </w:p>
    <w:p w14:paraId="1E64371F" w14:textId="77777777" w:rsidR="007823BA" w:rsidRPr="00D95593" w:rsidRDefault="007823BA" w:rsidP="007823BA">
      <w:pPr>
        <w:spacing w:line="360" w:lineRule="auto"/>
        <w:jc w:val="both"/>
        <w:rPr>
          <w:rFonts w:ascii="Times New Roman" w:hAnsi="Times New Roman"/>
          <w:lang w:val="fr-BE"/>
        </w:rPr>
      </w:pPr>
      <w:r w:rsidRPr="00D95593">
        <w:rPr>
          <w:rFonts w:ascii="Times New Roman" w:hAnsi="Times New Roman"/>
          <w:noProof/>
          <w:lang w:val="fr-BE"/>
        </w:rPr>
        <w:drawing>
          <wp:inline distT="0" distB="0" distL="0" distR="0" wp14:anchorId="30C9F6AA" wp14:editId="4F08A30F">
            <wp:extent cx="5731510" cy="5965825"/>
            <wp:effectExtent l="0" t="0" r="2540" b="0"/>
            <wp:docPr id="10319689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83714" name="Picture 21378371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5965825"/>
                    </a:xfrm>
                    <a:prstGeom prst="rect">
                      <a:avLst/>
                    </a:prstGeom>
                  </pic:spPr>
                </pic:pic>
              </a:graphicData>
            </a:graphic>
          </wp:inline>
        </w:drawing>
      </w:r>
    </w:p>
    <w:p w14:paraId="05A354A4" w14:textId="77777777" w:rsidR="007823BA" w:rsidRPr="00D95593" w:rsidRDefault="007823BA" w:rsidP="007823BA">
      <w:pPr>
        <w:spacing w:line="360" w:lineRule="auto"/>
        <w:jc w:val="both"/>
        <w:rPr>
          <w:rFonts w:ascii="Times New Roman" w:hAnsi="Times New Roman"/>
          <w:lang w:val="fr-BE"/>
        </w:rPr>
      </w:pPr>
    </w:p>
    <w:p w14:paraId="65F2C9C7" w14:textId="77777777" w:rsidR="007823BA" w:rsidRPr="00D95593" w:rsidRDefault="007823BA" w:rsidP="007823BA">
      <w:pPr>
        <w:rPr>
          <w:rFonts w:ascii="Times New Roman" w:hAnsi="Times New Roman"/>
          <w:lang w:val="fr-BE"/>
        </w:rPr>
      </w:pPr>
      <w:r w:rsidRPr="00D95593">
        <w:rPr>
          <w:rFonts w:ascii="Times New Roman" w:hAnsi="Times New Roman"/>
          <w:lang w:val="fr-BE"/>
        </w:rPr>
        <w:br w:type="page"/>
      </w:r>
    </w:p>
    <w:p w14:paraId="2E33CBF5" w14:textId="77777777" w:rsidR="007823BA" w:rsidRPr="00D95593" w:rsidRDefault="007823BA" w:rsidP="007823BA">
      <w:pPr>
        <w:spacing w:line="360" w:lineRule="auto"/>
        <w:jc w:val="both"/>
        <w:rPr>
          <w:rFonts w:ascii="Times New Roman" w:hAnsi="Times New Roman"/>
          <w:b/>
          <w:bCs/>
          <w:lang w:val="fr-BE"/>
        </w:rPr>
      </w:pPr>
      <w:r w:rsidRPr="00D95593">
        <w:rPr>
          <w:rFonts w:ascii="Times New Roman" w:hAnsi="Times New Roman"/>
          <w:b/>
          <w:bCs/>
          <w:lang w:val="fr-BE"/>
        </w:rPr>
        <w:lastRenderedPageBreak/>
        <w:t>Figure 4</w:t>
      </w:r>
    </w:p>
    <w:p w14:paraId="142448BA" w14:textId="77777777" w:rsidR="007823BA" w:rsidRPr="00D95593" w:rsidRDefault="007823BA" w:rsidP="007823BA">
      <w:pPr>
        <w:spacing w:line="360" w:lineRule="auto"/>
        <w:jc w:val="both"/>
        <w:rPr>
          <w:rFonts w:ascii="Times New Roman" w:hAnsi="Times New Roman"/>
          <w:lang w:val="fr-BE"/>
        </w:rPr>
      </w:pPr>
      <w:r w:rsidRPr="00D95593">
        <w:rPr>
          <w:rFonts w:ascii="Times New Roman" w:hAnsi="Times New Roman"/>
          <w:noProof/>
          <w:lang w:val="fr-BE"/>
        </w:rPr>
        <w:drawing>
          <wp:inline distT="0" distB="0" distL="0" distR="0" wp14:anchorId="19646559" wp14:editId="3B90B437">
            <wp:extent cx="5731510" cy="2042795"/>
            <wp:effectExtent l="0" t="0" r="2540" b="0"/>
            <wp:docPr id="1688994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632760" name="Picture 133463276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2042795"/>
                    </a:xfrm>
                    <a:prstGeom prst="rect">
                      <a:avLst/>
                    </a:prstGeom>
                  </pic:spPr>
                </pic:pic>
              </a:graphicData>
            </a:graphic>
          </wp:inline>
        </w:drawing>
      </w:r>
    </w:p>
    <w:p w14:paraId="4F06CF6D" w14:textId="77777777" w:rsidR="007823BA" w:rsidRPr="00D95593" w:rsidRDefault="007823BA" w:rsidP="007823BA">
      <w:pPr>
        <w:spacing w:line="360" w:lineRule="auto"/>
        <w:jc w:val="both"/>
        <w:rPr>
          <w:rFonts w:ascii="Times New Roman" w:hAnsi="Times New Roman"/>
          <w:lang w:val="fr-BE"/>
        </w:rPr>
      </w:pPr>
    </w:p>
    <w:p w14:paraId="535069DB" w14:textId="77777777" w:rsidR="007823BA" w:rsidRPr="00D95593" w:rsidRDefault="007823BA" w:rsidP="007823BA">
      <w:pPr>
        <w:spacing w:line="360" w:lineRule="auto"/>
        <w:jc w:val="both"/>
        <w:rPr>
          <w:rFonts w:ascii="Times New Roman" w:hAnsi="Times New Roman"/>
          <w:b/>
          <w:bCs/>
          <w:lang w:val="fr-BE"/>
        </w:rPr>
      </w:pPr>
      <w:r w:rsidRPr="00D95593">
        <w:rPr>
          <w:rFonts w:ascii="Times New Roman" w:hAnsi="Times New Roman"/>
          <w:b/>
          <w:bCs/>
          <w:lang w:val="fr-BE"/>
        </w:rPr>
        <w:t>Figure 5</w:t>
      </w:r>
    </w:p>
    <w:p w14:paraId="4EF9C78E" w14:textId="77777777" w:rsidR="007823BA" w:rsidRPr="00D95593" w:rsidRDefault="007823BA" w:rsidP="007823BA">
      <w:pPr>
        <w:spacing w:line="360" w:lineRule="auto"/>
        <w:jc w:val="both"/>
        <w:rPr>
          <w:rFonts w:ascii="Times New Roman" w:hAnsi="Times New Roman"/>
          <w:lang w:val="fr-BE"/>
        </w:rPr>
      </w:pPr>
      <w:r w:rsidRPr="00D95593">
        <w:rPr>
          <w:rFonts w:ascii="Times New Roman" w:hAnsi="Times New Roman"/>
          <w:noProof/>
          <w:lang w:val="fr-BE"/>
        </w:rPr>
        <w:drawing>
          <wp:inline distT="0" distB="0" distL="0" distR="0" wp14:anchorId="395E7441" wp14:editId="779EA605">
            <wp:extent cx="5731510" cy="4356100"/>
            <wp:effectExtent l="0" t="0" r="2540" b="6350"/>
            <wp:docPr id="18076863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073704" name="Picture 180907370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4356100"/>
                    </a:xfrm>
                    <a:prstGeom prst="rect">
                      <a:avLst/>
                    </a:prstGeom>
                  </pic:spPr>
                </pic:pic>
              </a:graphicData>
            </a:graphic>
          </wp:inline>
        </w:drawing>
      </w:r>
      <w:r w:rsidRPr="00D95593">
        <w:rPr>
          <w:rFonts w:ascii="Times New Roman" w:hAnsi="Times New Roman"/>
          <w:lang w:val="fr-BE"/>
        </w:rPr>
        <w:br w:type="page"/>
      </w:r>
    </w:p>
    <w:p w14:paraId="5F6979FC" w14:textId="77777777" w:rsidR="007823BA" w:rsidRPr="00D95593" w:rsidRDefault="007823BA" w:rsidP="007823BA">
      <w:pPr>
        <w:spacing w:line="360" w:lineRule="auto"/>
        <w:jc w:val="both"/>
        <w:rPr>
          <w:rFonts w:ascii="Times New Roman" w:hAnsi="Times New Roman"/>
          <w:b/>
          <w:bCs/>
          <w:lang w:val="fr-BE"/>
        </w:rPr>
      </w:pPr>
      <w:r w:rsidRPr="00D95593">
        <w:rPr>
          <w:rFonts w:ascii="Times New Roman" w:hAnsi="Times New Roman"/>
          <w:b/>
          <w:bCs/>
          <w:lang w:val="fr-BE"/>
        </w:rPr>
        <w:lastRenderedPageBreak/>
        <w:t>Figure 6</w:t>
      </w:r>
    </w:p>
    <w:p w14:paraId="6C79ABDC" w14:textId="77777777" w:rsidR="007823BA" w:rsidRPr="00D95593" w:rsidRDefault="007823BA" w:rsidP="007823BA">
      <w:pPr>
        <w:spacing w:line="360" w:lineRule="auto"/>
        <w:jc w:val="both"/>
        <w:rPr>
          <w:rFonts w:ascii="Times New Roman" w:hAnsi="Times New Roman"/>
          <w:lang w:val="fr-BE"/>
        </w:rPr>
      </w:pPr>
      <w:r w:rsidRPr="00D95593">
        <w:rPr>
          <w:rFonts w:ascii="Times New Roman" w:hAnsi="Times New Roman"/>
          <w:noProof/>
          <w:lang w:val="fr-BE"/>
        </w:rPr>
        <w:drawing>
          <wp:inline distT="0" distB="0" distL="0" distR="0" wp14:anchorId="1C5407CD" wp14:editId="5EBC1239">
            <wp:extent cx="5731510" cy="7980680"/>
            <wp:effectExtent l="0" t="0" r="2540" b="1270"/>
            <wp:docPr id="2630867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971683" name="Picture 101097168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7980680"/>
                    </a:xfrm>
                    <a:prstGeom prst="rect">
                      <a:avLst/>
                    </a:prstGeom>
                  </pic:spPr>
                </pic:pic>
              </a:graphicData>
            </a:graphic>
          </wp:inline>
        </w:drawing>
      </w:r>
    </w:p>
    <w:p w14:paraId="12C305AB" w14:textId="77777777" w:rsidR="007823BA" w:rsidRPr="00D95593" w:rsidRDefault="007823BA" w:rsidP="007823BA">
      <w:pPr>
        <w:rPr>
          <w:rFonts w:ascii="Times New Roman" w:hAnsi="Times New Roman"/>
          <w:lang w:val="fr-BE"/>
        </w:rPr>
      </w:pPr>
      <w:r w:rsidRPr="00D95593">
        <w:rPr>
          <w:rFonts w:ascii="Times New Roman" w:hAnsi="Times New Roman"/>
          <w:lang w:val="fr-BE"/>
        </w:rPr>
        <w:br w:type="page"/>
      </w:r>
    </w:p>
    <w:p w14:paraId="5EBD3694" w14:textId="77777777" w:rsidR="007823BA" w:rsidRPr="00D95593" w:rsidRDefault="007823BA" w:rsidP="007823BA">
      <w:pPr>
        <w:spacing w:line="360" w:lineRule="auto"/>
        <w:jc w:val="both"/>
        <w:rPr>
          <w:rFonts w:ascii="Times New Roman" w:hAnsi="Times New Roman"/>
          <w:b/>
          <w:bCs/>
          <w:lang w:val="fr-BE"/>
        </w:rPr>
      </w:pPr>
      <w:r w:rsidRPr="00D95593">
        <w:rPr>
          <w:rFonts w:ascii="Times New Roman" w:hAnsi="Times New Roman"/>
          <w:b/>
          <w:bCs/>
          <w:lang w:val="fr-BE"/>
        </w:rPr>
        <w:lastRenderedPageBreak/>
        <w:t>Figure 7</w:t>
      </w:r>
    </w:p>
    <w:p w14:paraId="1BE3B438" w14:textId="77777777" w:rsidR="007823BA" w:rsidRPr="00D95593" w:rsidRDefault="007823BA" w:rsidP="007823BA">
      <w:pPr>
        <w:spacing w:line="360" w:lineRule="auto"/>
        <w:jc w:val="both"/>
        <w:rPr>
          <w:rFonts w:ascii="Times New Roman" w:hAnsi="Times New Roman"/>
          <w:lang w:val="fr-BE"/>
        </w:rPr>
      </w:pPr>
      <w:r w:rsidRPr="00D95593">
        <w:rPr>
          <w:rFonts w:ascii="Times New Roman" w:hAnsi="Times New Roman"/>
          <w:noProof/>
          <w:lang w:val="fr-BE"/>
        </w:rPr>
        <w:drawing>
          <wp:inline distT="0" distB="0" distL="0" distR="0" wp14:anchorId="7013EADF" wp14:editId="472668DE">
            <wp:extent cx="5731510" cy="1957705"/>
            <wp:effectExtent l="0" t="0" r="2540" b="4445"/>
            <wp:docPr id="8420777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665283" name="Picture 193366528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1957705"/>
                    </a:xfrm>
                    <a:prstGeom prst="rect">
                      <a:avLst/>
                    </a:prstGeom>
                  </pic:spPr>
                </pic:pic>
              </a:graphicData>
            </a:graphic>
          </wp:inline>
        </w:drawing>
      </w:r>
    </w:p>
    <w:p w14:paraId="098583C4" w14:textId="77777777" w:rsidR="007823BA" w:rsidRPr="00D95593" w:rsidRDefault="007823BA" w:rsidP="007823BA">
      <w:pPr>
        <w:spacing w:line="360" w:lineRule="auto"/>
        <w:jc w:val="both"/>
        <w:rPr>
          <w:rFonts w:ascii="Times New Roman" w:hAnsi="Times New Roman"/>
          <w:lang w:val="fr-BE"/>
        </w:rPr>
      </w:pPr>
    </w:p>
    <w:p w14:paraId="621CAB40" w14:textId="77777777" w:rsidR="007823BA" w:rsidRPr="00D95593" w:rsidRDefault="007823BA" w:rsidP="007823BA">
      <w:pPr>
        <w:spacing w:line="360" w:lineRule="auto"/>
        <w:jc w:val="both"/>
        <w:rPr>
          <w:rFonts w:ascii="Times New Roman" w:hAnsi="Times New Roman"/>
          <w:lang w:val="fr-BE"/>
        </w:rPr>
      </w:pPr>
    </w:p>
    <w:p w14:paraId="00E2A72C" w14:textId="77777777" w:rsidR="007823BA" w:rsidRPr="00D95593" w:rsidRDefault="007823BA" w:rsidP="007823BA">
      <w:pPr>
        <w:spacing w:line="360" w:lineRule="auto"/>
        <w:jc w:val="both"/>
        <w:rPr>
          <w:rFonts w:ascii="Times New Roman" w:hAnsi="Times New Roman"/>
          <w:lang w:val="fr-BE"/>
        </w:rPr>
      </w:pPr>
    </w:p>
    <w:p w14:paraId="1233EC33" w14:textId="77777777" w:rsidR="007823BA" w:rsidRPr="00D95593" w:rsidRDefault="007823BA" w:rsidP="007823BA">
      <w:pPr>
        <w:spacing w:line="360" w:lineRule="auto"/>
        <w:jc w:val="both"/>
        <w:rPr>
          <w:rFonts w:ascii="Times New Roman" w:hAnsi="Times New Roman"/>
          <w:lang w:val="fr-BE"/>
        </w:rPr>
      </w:pPr>
    </w:p>
    <w:p w14:paraId="6CF91041" w14:textId="77777777" w:rsidR="007823BA" w:rsidRPr="00D95593" w:rsidRDefault="007823BA" w:rsidP="007823BA">
      <w:pPr>
        <w:spacing w:line="360" w:lineRule="auto"/>
        <w:jc w:val="both"/>
        <w:rPr>
          <w:rFonts w:ascii="Times New Roman" w:hAnsi="Times New Roman"/>
          <w:lang w:val="fr-BE"/>
        </w:rPr>
      </w:pPr>
    </w:p>
    <w:p w14:paraId="29F18E01" w14:textId="77777777" w:rsidR="007823BA" w:rsidRPr="00D95593" w:rsidRDefault="007823BA" w:rsidP="007823BA">
      <w:pPr>
        <w:spacing w:line="360" w:lineRule="auto"/>
        <w:jc w:val="both"/>
        <w:rPr>
          <w:rFonts w:ascii="Times New Roman" w:hAnsi="Times New Roman"/>
          <w:lang w:val="fr-BE"/>
        </w:rPr>
      </w:pPr>
    </w:p>
    <w:p w14:paraId="32E18C50" w14:textId="77777777" w:rsidR="007823BA" w:rsidRPr="00D95593" w:rsidRDefault="007823BA" w:rsidP="007823BA">
      <w:pPr>
        <w:spacing w:line="360" w:lineRule="auto"/>
        <w:jc w:val="both"/>
        <w:rPr>
          <w:rFonts w:ascii="Times New Roman" w:hAnsi="Times New Roman"/>
          <w:lang w:val="fr-BE"/>
        </w:rPr>
      </w:pPr>
    </w:p>
    <w:p w14:paraId="11D0ABA3" w14:textId="77777777" w:rsidR="007823BA" w:rsidRPr="00D95593" w:rsidRDefault="007823BA" w:rsidP="007823BA">
      <w:pPr>
        <w:spacing w:line="360" w:lineRule="auto"/>
        <w:jc w:val="both"/>
        <w:rPr>
          <w:rFonts w:ascii="Times New Roman" w:hAnsi="Times New Roman"/>
          <w:lang w:val="fr-BE"/>
        </w:rPr>
      </w:pPr>
    </w:p>
    <w:p w14:paraId="0D554623" w14:textId="77777777" w:rsidR="007823BA" w:rsidRPr="00D95593" w:rsidRDefault="007823BA" w:rsidP="007823BA">
      <w:pPr>
        <w:spacing w:line="360" w:lineRule="auto"/>
        <w:jc w:val="both"/>
        <w:rPr>
          <w:rFonts w:ascii="Times New Roman" w:hAnsi="Times New Roman"/>
          <w:lang w:val="fr-BE"/>
        </w:rPr>
      </w:pPr>
    </w:p>
    <w:p w14:paraId="1B706FDA" w14:textId="77777777" w:rsidR="007823BA" w:rsidRPr="00D95593" w:rsidRDefault="007823BA" w:rsidP="007823BA">
      <w:pPr>
        <w:spacing w:line="360" w:lineRule="auto"/>
        <w:jc w:val="both"/>
        <w:rPr>
          <w:rFonts w:ascii="Times New Roman" w:hAnsi="Times New Roman"/>
          <w:lang w:val="fr-BE"/>
        </w:rPr>
      </w:pPr>
    </w:p>
    <w:p w14:paraId="437FCE72" w14:textId="77777777" w:rsidR="007823BA" w:rsidRPr="00D95593" w:rsidRDefault="007823BA" w:rsidP="007823BA">
      <w:pPr>
        <w:spacing w:line="360" w:lineRule="auto"/>
        <w:jc w:val="both"/>
        <w:rPr>
          <w:rFonts w:ascii="Times New Roman" w:hAnsi="Times New Roman"/>
          <w:lang w:val="fr-BE"/>
        </w:rPr>
      </w:pPr>
    </w:p>
    <w:p w14:paraId="191FB37F" w14:textId="77777777" w:rsidR="007823BA" w:rsidRPr="00D95593" w:rsidRDefault="007823BA" w:rsidP="007823BA">
      <w:pPr>
        <w:spacing w:line="360" w:lineRule="auto"/>
        <w:jc w:val="both"/>
        <w:rPr>
          <w:rFonts w:ascii="Times New Roman" w:hAnsi="Times New Roman"/>
          <w:lang w:val="fr-BE"/>
        </w:rPr>
      </w:pPr>
    </w:p>
    <w:p w14:paraId="7035DEEF" w14:textId="77777777" w:rsidR="007823BA" w:rsidRPr="00D95593" w:rsidRDefault="007823BA" w:rsidP="007823BA">
      <w:pPr>
        <w:spacing w:line="360" w:lineRule="auto"/>
        <w:jc w:val="both"/>
        <w:rPr>
          <w:rFonts w:ascii="Times New Roman" w:hAnsi="Times New Roman"/>
          <w:lang w:val="fr-BE"/>
        </w:rPr>
      </w:pPr>
    </w:p>
    <w:p w14:paraId="5DB661D2" w14:textId="77777777" w:rsidR="007823BA" w:rsidRPr="00D95593" w:rsidRDefault="007823BA" w:rsidP="007823BA">
      <w:pPr>
        <w:spacing w:line="360" w:lineRule="auto"/>
        <w:jc w:val="both"/>
        <w:rPr>
          <w:rFonts w:ascii="Times New Roman" w:hAnsi="Times New Roman"/>
          <w:lang w:val="fr-BE"/>
        </w:rPr>
      </w:pPr>
    </w:p>
    <w:p w14:paraId="38D39DD1" w14:textId="77777777" w:rsidR="007823BA" w:rsidRPr="00D95593" w:rsidRDefault="007823BA" w:rsidP="007823BA">
      <w:pPr>
        <w:spacing w:line="360" w:lineRule="auto"/>
        <w:jc w:val="both"/>
        <w:rPr>
          <w:rFonts w:ascii="Times New Roman" w:hAnsi="Times New Roman"/>
          <w:lang w:val="fr-BE"/>
        </w:rPr>
      </w:pPr>
    </w:p>
    <w:p w14:paraId="295A1D50" w14:textId="77777777" w:rsidR="007823BA" w:rsidRPr="00D95593" w:rsidRDefault="007823BA" w:rsidP="007823BA">
      <w:pPr>
        <w:spacing w:line="360" w:lineRule="auto"/>
        <w:jc w:val="both"/>
        <w:rPr>
          <w:rFonts w:ascii="Times New Roman" w:hAnsi="Times New Roman"/>
          <w:lang w:val="fr-BE"/>
        </w:rPr>
      </w:pPr>
    </w:p>
    <w:p w14:paraId="01235D5C" w14:textId="77777777" w:rsidR="007823BA" w:rsidRPr="00D95593" w:rsidRDefault="007823BA" w:rsidP="007823BA">
      <w:pPr>
        <w:spacing w:line="360" w:lineRule="auto"/>
        <w:jc w:val="both"/>
        <w:rPr>
          <w:rFonts w:ascii="Times New Roman" w:hAnsi="Times New Roman"/>
          <w:lang w:val="fr-BE"/>
        </w:rPr>
      </w:pPr>
    </w:p>
    <w:p w14:paraId="44C136FD" w14:textId="77777777" w:rsidR="007823BA" w:rsidRPr="00D95593" w:rsidRDefault="007823BA" w:rsidP="007823BA">
      <w:pPr>
        <w:spacing w:line="360" w:lineRule="auto"/>
        <w:jc w:val="both"/>
        <w:rPr>
          <w:rFonts w:ascii="Times New Roman" w:hAnsi="Times New Roman"/>
          <w:lang w:val="fr-BE"/>
        </w:rPr>
      </w:pPr>
    </w:p>
    <w:p w14:paraId="436753F7" w14:textId="77777777" w:rsidR="007823BA" w:rsidRPr="00D95593" w:rsidRDefault="007823BA" w:rsidP="007823BA">
      <w:pPr>
        <w:spacing w:line="360" w:lineRule="auto"/>
        <w:jc w:val="both"/>
        <w:rPr>
          <w:rFonts w:ascii="Times New Roman" w:hAnsi="Times New Roman"/>
          <w:lang w:val="fr-BE"/>
        </w:rPr>
      </w:pPr>
    </w:p>
    <w:p w14:paraId="6E0CF7AE" w14:textId="77777777" w:rsidR="007823BA" w:rsidRPr="00D95593" w:rsidRDefault="007823BA" w:rsidP="007823BA">
      <w:pPr>
        <w:spacing w:line="360" w:lineRule="auto"/>
        <w:jc w:val="both"/>
        <w:rPr>
          <w:rFonts w:ascii="Times New Roman" w:hAnsi="Times New Roman"/>
          <w:b/>
          <w:bCs/>
          <w:lang w:val="fr-BE"/>
        </w:rPr>
      </w:pPr>
      <w:r w:rsidRPr="00D95593">
        <w:rPr>
          <w:rFonts w:ascii="Times New Roman" w:hAnsi="Times New Roman"/>
          <w:b/>
          <w:bCs/>
          <w:lang w:val="fr-BE"/>
        </w:rPr>
        <w:lastRenderedPageBreak/>
        <w:t>Figure 8</w:t>
      </w:r>
    </w:p>
    <w:p w14:paraId="0286BCF6" w14:textId="77777777" w:rsidR="007823BA" w:rsidRPr="00D95593" w:rsidRDefault="007823BA" w:rsidP="007823BA">
      <w:pPr>
        <w:spacing w:line="360" w:lineRule="auto"/>
        <w:jc w:val="both"/>
        <w:rPr>
          <w:rFonts w:ascii="Times New Roman" w:hAnsi="Times New Roman"/>
          <w:lang w:val="fr-BE"/>
        </w:rPr>
      </w:pPr>
      <w:r w:rsidRPr="00D95593">
        <w:rPr>
          <w:rFonts w:ascii="Times New Roman" w:hAnsi="Times New Roman"/>
          <w:noProof/>
          <w:lang w:val="fr-BE"/>
        </w:rPr>
        <w:drawing>
          <wp:inline distT="0" distB="0" distL="0" distR="0" wp14:anchorId="2791F03B" wp14:editId="24B9CA46">
            <wp:extent cx="5731510" cy="8115935"/>
            <wp:effectExtent l="0" t="0" r="2540" b="0"/>
            <wp:docPr id="580718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245064" name="Picture 1580245064"/>
                    <pic:cNvPicPr/>
                  </pic:nvPicPr>
                  <pic:blipFill rotWithShape="1">
                    <a:blip r:embed="rId14" cstate="print">
                      <a:extLst>
                        <a:ext uri="{28A0092B-C50C-407E-A947-70E740481C1C}">
                          <a14:useLocalDpi xmlns:a14="http://schemas.microsoft.com/office/drawing/2010/main" val="0"/>
                        </a:ext>
                      </a:extLst>
                    </a:blip>
                    <a:srcRect t="1160"/>
                    <a:stretch>
                      <a:fillRect/>
                    </a:stretch>
                  </pic:blipFill>
                  <pic:spPr bwMode="auto">
                    <a:xfrm>
                      <a:off x="0" y="0"/>
                      <a:ext cx="5731510" cy="8115935"/>
                    </a:xfrm>
                    <a:prstGeom prst="rect">
                      <a:avLst/>
                    </a:prstGeom>
                    <a:ln>
                      <a:noFill/>
                    </a:ln>
                    <a:extLst>
                      <a:ext uri="{53640926-AAD7-44D8-BBD7-CCE9431645EC}">
                        <a14:shadowObscured xmlns:a14="http://schemas.microsoft.com/office/drawing/2010/main"/>
                      </a:ext>
                    </a:extLst>
                  </pic:spPr>
                </pic:pic>
              </a:graphicData>
            </a:graphic>
          </wp:inline>
        </w:drawing>
      </w:r>
    </w:p>
    <w:p w14:paraId="060BC877" w14:textId="77777777" w:rsidR="007823BA" w:rsidRPr="00D95593" w:rsidRDefault="007823BA" w:rsidP="007823BA">
      <w:pPr>
        <w:rPr>
          <w:rFonts w:ascii="Times New Roman" w:hAnsi="Times New Roman"/>
          <w:b/>
          <w:bCs/>
          <w:lang w:val="fr-BE"/>
        </w:rPr>
      </w:pPr>
    </w:p>
    <w:p w14:paraId="0D163F53" w14:textId="77777777" w:rsidR="007823BA" w:rsidRPr="00D95593" w:rsidRDefault="007823BA" w:rsidP="007823BA">
      <w:pPr>
        <w:rPr>
          <w:rFonts w:ascii="Times New Roman" w:hAnsi="Times New Roman"/>
          <w:lang w:val="fr-BE"/>
        </w:rPr>
      </w:pPr>
      <w:r w:rsidRPr="00D95593">
        <w:rPr>
          <w:rFonts w:ascii="Times New Roman" w:hAnsi="Times New Roman"/>
          <w:b/>
          <w:bCs/>
          <w:lang w:val="fr-BE"/>
        </w:rPr>
        <w:lastRenderedPageBreak/>
        <w:t>Figure 9</w:t>
      </w:r>
    </w:p>
    <w:p w14:paraId="2987FF34" w14:textId="77777777" w:rsidR="007823BA" w:rsidRPr="00D95593" w:rsidRDefault="007823BA" w:rsidP="007823BA">
      <w:pPr>
        <w:rPr>
          <w:rFonts w:ascii="Times New Roman" w:hAnsi="Times New Roman"/>
          <w:lang w:val="fr-BE"/>
        </w:rPr>
      </w:pPr>
      <w:r w:rsidRPr="00D95593">
        <w:rPr>
          <w:rFonts w:ascii="Times New Roman" w:hAnsi="Times New Roman"/>
          <w:noProof/>
          <w:lang w:val="fr-BE"/>
        </w:rPr>
        <w:drawing>
          <wp:inline distT="0" distB="0" distL="0" distR="0" wp14:anchorId="069193CF" wp14:editId="19E01E67">
            <wp:extent cx="5731510" cy="5020945"/>
            <wp:effectExtent l="0" t="0" r="2540" b="8255"/>
            <wp:docPr id="19182107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7809" name="Picture 3853780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5020945"/>
                    </a:xfrm>
                    <a:prstGeom prst="rect">
                      <a:avLst/>
                    </a:prstGeom>
                  </pic:spPr>
                </pic:pic>
              </a:graphicData>
            </a:graphic>
          </wp:inline>
        </w:drawing>
      </w:r>
    </w:p>
    <w:p w14:paraId="615630FA" w14:textId="77777777" w:rsidR="007823BA" w:rsidRPr="00D95593" w:rsidRDefault="007823BA" w:rsidP="007823BA">
      <w:pPr>
        <w:rPr>
          <w:rFonts w:ascii="Times New Roman" w:hAnsi="Times New Roman"/>
          <w:lang w:val="fr-BE"/>
        </w:rPr>
      </w:pPr>
      <w:r w:rsidRPr="00D95593">
        <w:rPr>
          <w:rFonts w:ascii="Times New Roman" w:hAnsi="Times New Roman"/>
          <w:lang w:val="fr-BE"/>
        </w:rPr>
        <w:br w:type="page"/>
      </w:r>
    </w:p>
    <w:tbl>
      <w:tblPr>
        <w:tblStyle w:val="TableGrid"/>
        <w:tblpPr w:leftFromText="180" w:rightFromText="180" w:horzAnchor="margin" w:tblpY="6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77"/>
        <w:gridCol w:w="577"/>
        <w:gridCol w:w="735"/>
        <w:gridCol w:w="708"/>
        <w:gridCol w:w="567"/>
        <w:gridCol w:w="567"/>
        <w:gridCol w:w="709"/>
        <w:gridCol w:w="709"/>
      </w:tblGrid>
      <w:tr w:rsidR="007823BA" w:rsidRPr="00D95593" w14:paraId="5F9D7BBB" w14:textId="77777777" w:rsidTr="003C3462">
        <w:trPr>
          <w:cantSplit/>
          <w:trHeight w:val="1558"/>
        </w:trPr>
        <w:tc>
          <w:tcPr>
            <w:tcW w:w="1377" w:type="dxa"/>
            <w:tcBorders>
              <w:bottom w:val="single" w:sz="4" w:space="0" w:color="auto"/>
            </w:tcBorders>
          </w:tcPr>
          <w:p w14:paraId="42A1DDE2" w14:textId="77777777" w:rsidR="007823BA" w:rsidRPr="00D95593" w:rsidRDefault="007823BA" w:rsidP="003C3462">
            <w:pPr>
              <w:spacing w:line="360" w:lineRule="auto"/>
              <w:jc w:val="both"/>
              <w:rPr>
                <w:rFonts w:ascii="Times New Roman" w:hAnsi="Times New Roman"/>
                <w:b/>
                <w:sz w:val="20"/>
              </w:rPr>
            </w:pPr>
          </w:p>
        </w:tc>
        <w:tc>
          <w:tcPr>
            <w:tcW w:w="577" w:type="dxa"/>
            <w:tcBorders>
              <w:bottom w:val="single" w:sz="4" w:space="0" w:color="auto"/>
              <w:right w:val="single" w:sz="4" w:space="0" w:color="auto"/>
            </w:tcBorders>
          </w:tcPr>
          <w:p w14:paraId="56C9F2A1" w14:textId="77777777" w:rsidR="007823BA" w:rsidRPr="00D95593" w:rsidRDefault="007823BA" w:rsidP="003C3462">
            <w:pPr>
              <w:spacing w:line="360" w:lineRule="auto"/>
              <w:ind w:left="113" w:right="113"/>
              <w:jc w:val="center"/>
              <w:rPr>
                <w:rFonts w:ascii="Times New Roman" w:eastAsia="Times New Roman" w:hAnsi="Times New Roman" w:cs="Times New Roman"/>
                <w:sz w:val="20"/>
                <w:szCs w:val="20"/>
                <w:lang w:val="en-US" w:eastAsia="fr-FR"/>
              </w:rPr>
            </w:pPr>
          </w:p>
        </w:tc>
        <w:tc>
          <w:tcPr>
            <w:tcW w:w="735" w:type="dxa"/>
            <w:tcBorders>
              <w:left w:val="single" w:sz="4" w:space="0" w:color="auto"/>
              <w:bottom w:val="single" w:sz="4" w:space="0" w:color="auto"/>
            </w:tcBorders>
            <w:textDirection w:val="btLr"/>
            <w:vAlign w:val="center"/>
          </w:tcPr>
          <w:p w14:paraId="1C6DE7ED" w14:textId="77777777" w:rsidR="007823BA" w:rsidRPr="00D95593" w:rsidRDefault="007823BA" w:rsidP="003C3462">
            <w:pPr>
              <w:spacing w:line="360" w:lineRule="auto"/>
              <w:ind w:left="113" w:right="113"/>
              <w:jc w:val="center"/>
              <w:rPr>
                <w:rFonts w:ascii="Times New Roman" w:hAnsi="Times New Roman"/>
                <w:b/>
                <w:sz w:val="20"/>
              </w:rPr>
            </w:pPr>
            <w:r w:rsidRPr="00D95593">
              <w:rPr>
                <w:rFonts w:ascii="Times New Roman" w:eastAsia="Times New Roman" w:hAnsi="Times New Roman" w:cs="Times New Roman"/>
                <w:b/>
                <w:bCs/>
                <w:sz w:val="20"/>
                <w:szCs w:val="20"/>
                <w:lang w:val="fr-FR" w:eastAsia="fr-FR"/>
              </w:rPr>
              <w:t>17TAS09(1)</w:t>
            </w:r>
          </w:p>
        </w:tc>
        <w:tc>
          <w:tcPr>
            <w:tcW w:w="708" w:type="dxa"/>
            <w:tcBorders>
              <w:bottom w:val="single" w:sz="4" w:space="0" w:color="auto"/>
              <w:right w:val="dotted" w:sz="4" w:space="0" w:color="auto"/>
            </w:tcBorders>
            <w:textDirection w:val="btLr"/>
            <w:vAlign w:val="center"/>
          </w:tcPr>
          <w:p w14:paraId="3F6735FB" w14:textId="77777777" w:rsidR="007823BA" w:rsidRPr="00D95593" w:rsidRDefault="007823BA" w:rsidP="003C3462">
            <w:pPr>
              <w:spacing w:line="360" w:lineRule="auto"/>
              <w:ind w:left="113" w:right="113"/>
              <w:jc w:val="center"/>
              <w:rPr>
                <w:rFonts w:ascii="Times New Roman" w:hAnsi="Times New Roman"/>
                <w:b/>
                <w:sz w:val="20"/>
              </w:rPr>
            </w:pPr>
            <w:r w:rsidRPr="00D95593">
              <w:rPr>
                <w:rFonts w:ascii="Times New Roman" w:eastAsia="Times New Roman" w:hAnsi="Times New Roman" w:cs="Times New Roman"/>
                <w:b/>
                <w:bCs/>
                <w:sz w:val="20"/>
                <w:szCs w:val="20"/>
                <w:lang w:val="fr-FR" w:eastAsia="fr-FR"/>
              </w:rPr>
              <w:t>17TAS09(2)</w:t>
            </w:r>
          </w:p>
        </w:tc>
        <w:tc>
          <w:tcPr>
            <w:tcW w:w="567" w:type="dxa"/>
            <w:tcBorders>
              <w:left w:val="dotted" w:sz="4" w:space="0" w:color="auto"/>
              <w:bottom w:val="single" w:sz="4" w:space="0" w:color="auto"/>
            </w:tcBorders>
            <w:textDirection w:val="btLr"/>
            <w:vAlign w:val="center"/>
          </w:tcPr>
          <w:p w14:paraId="758EB193" w14:textId="77777777" w:rsidR="007823BA" w:rsidRPr="00D95593" w:rsidRDefault="007823BA" w:rsidP="003C3462">
            <w:pPr>
              <w:spacing w:line="360" w:lineRule="auto"/>
              <w:ind w:left="113" w:right="113"/>
              <w:jc w:val="center"/>
              <w:rPr>
                <w:rFonts w:ascii="Times New Roman" w:hAnsi="Times New Roman"/>
                <w:b/>
                <w:sz w:val="20"/>
              </w:rPr>
            </w:pPr>
            <w:r w:rsidRPr="00D95593">
              <w:rPr>
                <w:rFonts w:ascii="Times New Roman" w:eastAsia="Times New Roman" w:hAnsi="Times New Roman" w:cs="Times New Roman"/>
                <w:b/>
                <w:bCs/>
                <w:sz w:val="20"/>
                <w:szCs w:val="20"/>
                <w:lang w:val="fr-FR" w:eastAsia="fr-FR"/>
              </w:rPr>
              <w:t>18TAS15A(1)</w:t>
            </w:r>
          </w:p>
        </w:tc>
        <w:tc>
          <w:tcPr>
            <w:tcW w:w="567" w:type="dxa"/>
            <w:tcBorders>
              <w:left w:val="nil"/>
              <w:bottom w:val="single" w:sz="4" w:space="0" w:color="auto"/>
            </w:tcBorders>
            <w:textDirection w:val="btLr"/>
            <w:vAlign w:val="center"/>
          </w:tcPr>
          <w:p w14:paraId="7E3F5AF8" w14:textId="77777777" w:rsidR="007823BA" w:rsidRPr="00D95593" w:rsidRDefault="007823BA" w:rsidP="003C3462">
            <w:pPr>
              <w:spacing w:line="360" w:lineRule="auto"/>
              <w:ind w:left="113" w:right="113"/>
              <w:jc w:val="center"/>
              <w:rPr>
                <w:rFonts w:ascii="Times New Roman" w:hAnsi="Times New Roman"/>
                <w:b/>
                <w:sz w:val="20"/>
              </w:rPr>
            </w:pPr>
            <w:r w:rsidRPr="00D95593">
              <w:rPr>
                <w:rFonts w:ascii="Times New Roman" w:eastAsia="Times New Roman" w:hAnsi="Times New Roman" w:cs="Times New Roman"/>
                <w:b/>
                <w:bCs/>
                <w:sz w:val="20"/>
                <w:szCs w:val="20"/>
                <w:lang w:val="fr-FR" w:eastAsia="fr-FR"/>
              </w:rPr>
              <w:t>18TAS15A(2)</w:t>
            </w:r>
          </w:p>
        </w:tc>
        <w:tc>
          <w:tcPr>
            <w:tcW w:w="709" w:type="dxa"/>
            <w:tcBorders>
              <w:bottom w:val="single" w:sz="4" w:space="0" w:color="auto"/>
            </w:tcBorders>
            <w:textDirection w:val="btLr"/>
            <w:vAlign w:val="center"/>
          </w:tcPr>
          <w:p w14:paraId="5F91E4FC" w14:textId="77777777" w:rsidR="007823BA" w:rsidRPr="00D95593" w:rsidRDefault="007823BA" w:rsidP="003C3462">
            <w:pPr>
              <w:spacing w:line="360" w:lineRule="auto"/>
              <w:ind w:left="113" w:right="113"/>
              <w:jc w:val="center"/>
              <w:rPr>
                <w:rFonts w:ascii="Times New Roman" w:hAnsi="Times New Roman"/>
                <w:b/>
                <w:sz w:val="20"/>
              </w:rPr>
            </w:pPr>
            <w:r w:rsidRPr="00D95593">
              <w:rPr>
                <w:rFonts w:ascii="Times New Roman" w:eastAsia="Times New Roman" w:hAnsi="Times New Roman" w:cs="Times New Roman"/>
                <w:b/>
                <w:bCs/>
                <w:sz w:val="20"/>
                <w:szCs w:val="20"/>
                <w:lang w:val="fr-FR" w:eastAsia="fr-FR"/>
              </w:rPr>
              <w:t>18TAS15B(1)</w:t>
            </w:r>
          </w:p>
        </w:tc>
        <w:tc>
          <w:tcPr>
            <w:tcW w:w="709" w:type="dxa"/>
            <w:tcBorders>
              <w:bottom w:val="single" w:sz="4" w:space="0" w:color="auto"/>
            </w:tcBorders>
            <w:textDirection w:val="btLr"/>
            <w:vAlign w:val="center"/>
          </w:tcPr>
          <w:p w14:paraId="7B0A925A" w14:textId="77777777" w:rsidR="007823BA" w:rsidRPr="00D95593" w:rsidRDefault="007823BA" w:rsidP="003C3462">
            <w:pPr>
              <w:spacing w:line="360" w:lineRule="auto"/>
              <w:ind w:left="113" w:right="113"/>
              <w:jc w:val="center"/>
              <w:rPr>
                <w:rFonts w:ascii="Times New Roman" w:hAnsi="Times New Roman"/>
                <w:b/>
                <w:sz w:val="20"/>
              </w:rPr>
            </w:pPr>
            <w:r w:rsidRPr="00D95593">
              <w:rPr>
                <w:rFonts w:ascii="Times New Roman" w:eastAsia="Times New Roman" w:hAnsi="Times New Roman" w:cs="Times New Roman"/>
                <w:b/>
                <w:bCs/>
                <w:sz w:val="20"/>
                <w:szCs w:val="20"/>
                <w:lang w:val="fr-FR" w:eastAsia="fr-FR"/>
              </w:rPr>
              <w:t>18TAS15B(2)</w:t>
            </w:r>
          </w:p>
        </w:tc>
      </w:tr>
      <w:tr w:rsidR="007823BA" w:rsidRPr="00D95593" w14:paraId="664F8BBD" w14:textId="77777777" w:rsidTr="003C3462">
        <w:tc>
          <w:tcPr>
            <w:tcW w:w="1377" w:type="dxa"/>
            <w:tcBorders>
              <w:top w:val="single" w:sz="4" w:space="0" w:color="auto"/>
              <w:right w:val="single" w:sz="4" w:space="0" w:color="auto"/>
            </w:tcBorders>
          </w:tcPr>
          <w:p w14:paraId="37A0AAA6" w14:textId="77777777" w:rsidR="007823BA" w:rsidRPr="00D95593" w:rsidRDefault="007823BA" w:rsidP="003C3462">
            <w:pPr>
              <w:spacing w:line="360" w:lineRule="auto"/>
              <w:jc w:val="both"/>
              <w:rPr>
                <w:rFonts w:ascii="Times New Roman" w:hAnsi="Times New Roman"/>
                <w:sz w:val="20"/>
              </w:rPr>
            </w:pPr>
            <w:r w:rsidRPr="00D95593">
              <w:rPr>
                <w:rFonts w:ascii="Times New Roman" w:hAnsi="Times New Roman"/>
                <w:szCs w:val="24"/>
              </w:rPr>
              <w:t>K</w:t>
            </w:r>
            <w:r w:rsidRPr="00D95593">
              <w:rPr>
                <w:rFonts w:ascii="Times New Roman" w:hAnsi="Times New Roman"/>
                <w:sz w:val="24"/>
                <w:szCs w:val="24"/>
              </w:rPr>
              <w:t xml:space="preserve"> </w:t>
            </w:r>
          </w:p>
        </w:tc>
        <w:tc>
          <w:tcPr>
            <w:tcW w:w="577" w:type="dxa"/>
            <w:tcBorders>
              <w:top w:val="single" w:sz="4" w:space="0" w:color="auto"/>
              <w:left w:val="single" w:sz="4" w:space="0" w:color="auto"/>
              <w:right w:val="single" w:sz="4" w:space="0" w:color="auto"/>
            </w:tcBorders>
          </w:tcPr>
          <w:p w14:paraId="29BF637E" w14:textId="77777777" w:rsidR="007823BA" w:rsidRPr="00D95593" w:rsidRDefault="007823BA" w:rsidP="003C3462">
            <w:pPr>
              <w:spacing w:line="360" w:lineRule="auto"/>
              <w:jc w:val="both"/>
              <w:rPr>
                <w:rFonts w:ascii="Times New Roman" w:hAnsi="Times New Roman"/>
                <w:sz w:val="20"/>
                <w:szCs w:val="20"/>
              </w:rPr>
            </w:pPr>
            <w:r w:rsidRPr="00D95593">
              <w:rPr>
                <w:rFonts w:ascii="Times New Roman" w:hAnsi="Times New Roman"/>
                <w:sz w:val="20"/>
                <w:szCs w:val="20"/>
              </w:rPr>
              <w:t>%</w:t>
            </w:r>
          </w:p>
        </w:tc>
        <w:tc>
          <w:tcPr>
            <w:tcW w:w="735" w:type="dxa"/>
            <w:tcBorders>
              <w:top w:val="single" w:sz="4" w:space="0" w:color="auto"/>
              <w:left w:val="single" w:sz="4" w:space="0" w:color="auto"/>
            </w:tcBorders>
            <w:vAlign w:val="center"/>
          </w:tcPr>
          <w:p w14:paraId="2E58B3AA"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6.58</w:t>
            </w:r>
          </w:p>
        </w:tc>
        <w:tc>
          <w:tcPr>
            <w:tcW w:w="708" w:type="dxa"/>
            <w:tcBorders>
              <w:top w:val="single" w:sz="4" w:space="0" w:color="auto"/>
              <w:right w:val="dotted" w:sz="4" w:space="0" w:color="auto"/>
            </w:tcBorders>
            <w:vAlign w:val="center"/>
          </w:tcPr>
          <w:p w14:paraId="1BF140E6"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6.58</w:t>
            </w:r>
          </w:p>
        </w:tc>
        <w:tc>
          <w:tcPr>
            <w:tcW w:w="567" w:type="dxa"/>
            <w:tcBorders>
              <w:top w:val="single" w:sz="4" w:space="0" w:color="auto"/>
              <w:left w:val="dotted" w:sz="4" w:space="0" w:color="auto"/>
            </w:tcBorders>
            <w:vAlign w:val="center"/>
          </w:tcPr>
          <w:p w14:paraId="11537D9E"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7.29</w:t>
            </w:r>
          </w:p>
        </w:tc>
        <w:tc>
          <w:tcPr>
            <w:tcW w:w="567" w:type="dxa"/>
            <w:tcBorders>
              <w:top w:val="single" w:sz="4" w:space="0" w:color="auto"/>
              <w:left w:val="nil"/>
            </w:tcBorders>
            <w:vAlign w:val="center"/>
          </w:tcPr>
          <w:p w14:paraId="4B06C381"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7.38</w:t>
            </w:r>
          </w:p>
        </w:tc>
        <w:tc>
          <w:tcPr>
            <w:tcW w:w="709" w:type="dxa"/>
            <w:tcBorders>
              <w:top w:val="single" w:sz="4" w:space="0" w:color="auto"/>
            </w:tcBorders>
            <w:vAlign w:val="center"/>
          </w:tcPr>
          <w:p w14:paraId="5D87130A"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7.15</w:t>
            </w:r>
          </w:p>
        </w:tc>
        <w:tc>
          <w:tcPr>
            <w:tcW w:w="709" w:type="dxa"/>
            <w:tcBorders>
              <w:top w:val="single" w:sz="4" w:space="0" w:color="auto"/>
            </w:tcBorders>
            <w:vAlign w:val="center"/>
          </w:tcPr>
          <w:p w14:paraId="21F2450B"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7.24</w:t>
            </w:r>
          </w:p>
        </w:tc>
      </w:tr>
      <w:tr w:rsidR="007823BA" w:rsidRPr="00D95593" w14:paraId="60DF6D3E" w14:textId="77777777" w:rsidTr="003C3462">
        <w:tc>
          <w:tcPr>
            <w:tcW w:w="1377" w:type="dxa"/>
            <w:tcBorders>
              <w:right w:val="single" w:sz="4" w:space="0" w:color="auto"/>
            </w:tcBorders>
          </w:tcPr>
          <w:p w14:paraId="14B0BC36" w14:textId="77777777" w:rsidR="007823BA" w:rsidRPr="00D95593" w:rsidRDefault="007823BA" w:rsidP="003C3462">
            <w:pPr>
              <w:spacing w:line="360" w:lineRule="auto"/>
              <w:jc w:val="both"/>
              <w:rPr>
                <w:rFonts w:ascii="Times New Roman" w:hAnsi="Times New Roman"/>
                <w:sz w:val="20"/>
              </w:rPr>
            </w:pPr>
            <w:r w:rsidRPr="00D95593">
              <w:rPr>
                <w:rFonts w:ascii="Times New Roman" w:hAnsi="Times New Roman" w:cs="Times New Roman"/>
                <w:sz w:val="20"/>
              </w:rPr>
              <w:t>±</w:t>
            </w:r>
            <w:r w:rsidRPr="00D95593">
              <w:rPr>
                <w:rFonts w:ascii="Times New Roman" w:hAnsi="Times New Roman"/>
                <w:sz w:val="20"/>
              </w:rPr>
              <w:t xml:space="preserve"> s</w:t>
            </w:r>
          </w:p>
        </w:tc>
        <w:tc>
          <w:tcPr>
            <w:tcW w:w="577" w:type="dxa"/>
            <w:tcBorders>
              <w:left w:val="single" w:sz="4" w:space="0" w:color="auto"/>
              <w:right w:val="single" w:sz="4" w:space="0" w:color="auto"/>
            </w:tcBorders>
          </w:tcPr>
          <w:p w14:paraId="5B312255" w14:textId="77777777" w:rsidR="007823BA" w:rsidRPr="00D95593" w:rsidRDefault="007823BA" w:rsidP="003C3462">
            <w:pPr>
              <w:spacing w:line="360" w:lineRule="auto"/>
              <w:jc w:val="both"/>
              <w:rPr>
                <w:rFonts w:ascii="Times New Roman" w:hAnsi="Times New Roman"/>
                <w:sz w:val="20"/>
                <w:szCs w:val="20"/>
              </w:rPr>
            </w:pPr>
            <w:r w:rsidRPr="00D95593">
              <w:rPr>
                <w:rFonts w:ascii="Times New Roman" w:hAnsi="Times New Roman"/>
                <w:sz w:val="20"/>
                <w:szCs w:val="20"/>
              </w:rPr>
              <w:t>%</w:t>
            </w:r>
          </w:p>
        </w:tc>
        <w:tc>
          <w:tcPr>
            <w:tcW w:w="735" w:type="dxa"/>
            <w:tcBorders>
              <w:left w:val="single" w:sz="4" w:space="0" w:color="auto"/>
            </w:tcBorders>
            <w:vAlign w:val="center"/>
          </w:tcPr>
          <w:p w14:paraId="06FEF1FF"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0.07</w:t>
            </w:r>
          </w:p>
        </w:tc>
        <w:tc>
          <w:tcPr>
            <w:tcW w:w="708" w:type="dxa"/>
            <w:tcBorders>
              <w:right w:val="dotted" w:sz="4" w:space="0" w:color="auto"/>
            </w:tcBorders>
            <w:vAlign w:val="center"/>
          </w:tcPr>
          <w:p w14:paraId="7D967250"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0.07</w:t>
            </w:r>
          </w:p>
        </w:tc>
        <w:tc>
          <w:tcPr>
            <w:tcW w:w="567" w:type="dxa"/>
            <w:tcBorders>
              <w:left w:val="dotted" w:sz="4" w:space="0" w:color="auto"/>
            </w:tcBorders>
            <w:vAlign w:val="center"/>
          </w:tcPr>
          <w:p w14:paraId="0FAC6D7D"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0.08</w:t>
            </w:r>
          </w:p>
        </w:tc>
        <w:tc>
          <w:tcPr>
            <w:tcW w:w="567" w:type="dxa"/>
            <w:tcBorders>
              <w:left w:val="nil"/>
            </w:tcBorders>
            <w:vAlign w:val="center"/>
          </w:tcPr>
          <w:p w14:paraId="64F102CA"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0.08</w:t>
            </w:r>
          </w:p>
        </w:tc>
        <w:tc>
          <w:tcPr>
            <w:tcW w:w="709" w:type="dxa"/>
            <w:vAlign w:val="center"/>
          </w:tcPr>
          <w:p w14:paraId="0D04E9EF"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0.07</w:t>
            </w:r>
          </w:p>
        </w:tc>
        <w:tc>
          <w:tcPr>
            <w:tcW w:w="709" w:type="dxa"/>
            <w:vAlign w:val="center"/>
          </w:tcPr>
          <w:p w14:paraId="108F348B"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0.08</w:t>
            </w:r>
          </w:p>
        </w:tc>
      </w:tr>
      <w:tr w:rsidR="007823BA" w:rsidRPr="00D95593" w14:paraId="0A86F9A7" w14:textId="77777777" w:rsidTr="003C3462">
        <w:tc>
          <w:tcPr>
            <w:tcW w:w="1377" w:type="dxa"/>
            <w:tcBorders>
              <w:right w:val="single" w:sz="4" w:space="0" w:color="auto"/>
            </w:tcBorders>
          </w:tcPr>
          <w:p w14:paraId="766EDEED" w14:textId="77777777" w:rsidR="007823BA" w:rsidRPr="00D95593" w:rsidRDefault="007823BA" w:rsidP="003C3462">
            <w:pPr>
              <w:spacing w:line="360" w:lineRule="auto"/>
              <w:jc w:val="both"/>
              <w:rPr>
                <w:rFonts w:ascii="Times New Roman" w:eastAsia="Times New Roman" w:hAnsi="Times New Roman" w:cs="Times New Roman"/>
                <w:vertAlign w:val="subscript"/>
                <w:lang w:val="fr-FR" w:eastAsia="fr-FR"/>
              </w:rPr>
            </w:pPr>
            <w:r w:rsidRPr="00D95593">
              <w:rPr>
                <w:rFonts w:ascii="Times New Roman" w:eastAsia="Times New Roman" w:hAnsi="Times New Roman" w:cs="Times New Roman"/>
                <w:vertAlign w:val="superscript"/>
                <w:lang w:val="fr-FR" w:eastAsia="fr-FR"/>
              </w:rPr>
              <w:t>40</w:t>
            </w:r>
            <w:r w:rsidRPr="00D95593">
              <w:rPr>
                <w:rFonts w:ascii="Times New Roman" w:eastAsia="Times New Roman" w:hAnsi="Times New Roman" w:cs="Times New Roman"/>
                <w:lang w:val="fr-FR" w:eastAsia="fr-FR"/>
              </w:rPr>
              <w:t>Ar</w:t>
            </w:r>
            <w:r w:rsidRPr="00D95593">
              <w:rPr>
                <w:rFonts w:ascii="Times New Roman" w:eastAsia="Times New Roman" w:hAnsi="Times New Roman" w:cs="Times New Roman"/>
                <w:vertAlign w:val="subscript"/>
                <w:lang w:val="fr-FR" w:eastAsia="fr-FR"/>
              </w:rPr>
              <w:t>rad (nl/g)</w:t>
            </w:r>
          </w:p>
        </w:tc>
        <w:tc>
          <w:tcPr>
            <w:tcW w:w="577" w:type="dxa"/>
            <w:tcBorders>
              <w:left w:val="single" w:sz="4" w:space="0" w:color="auto"/>
              <w:right w:val="single" w:sz="4" w:space="0" w:color="auto"/>
            </w:tcBorders>
          </w:tcPr>
          <w:p w14:paraId="166B3086" w14:textId="77777777" w:rsidR="007823BA" w:rsidRPr="00D95593" w:rsidRDefault="007823BA" w:rsidP="003C3462">
            <w:pPr>
              <w:spacing w:line="360" w:lineRule="auto"/>
              <w:jc w:val="both"/>
              <w:rPr>
                <w:rFonts w:ascii="Times New Roman" w:hAnsi="Times New Roman"/>
                <w:sz w:val="20"/>
                <w:szCs w:val="20"/>
                <w:lang w:val="en-US"/>
              </w:rPr>
            </w:pPr>
            <w:r w:rsidRPr="00D95593">
              <w:rPr>
                <w:rFonts w:ascii="Times New Roman" w:hAnsi="Times New Roman"/>
                <w:sz w:val="20"/>
                <w:szCs w:val="20"/>
                <w:lang w:val="en-US"/>
              </w:rPr>
              <w:t>nl/g</w:t>
            </w:r>
          </w:p>
        </w:tc>
        <w:tc>
          <w:tcPr>
            <w:tcW w:w="735" w:type="dxa"/>
            <w:tcBorders>
              <w:left w:val="single" w:sz="4" w:space="0" w:color="auto"/>
            </w:tcBorders>
            <w:vAlign w:val="center"/>
          </w:tcPr>
          <w:p w14:paraId="29313310"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11.54</w:t>
            </w:r>
          </w:p>
        </w:tc>
        <w:tc>
          <w:tcPr>
            <w:tcW w:w="708" w:type="dxa"/>
            <w:tcBorders>
              <w:right w:val="dotted" w:sz="4" w:space="0" w:color="auto"/>
            </w:tcBorders>
            <w:vAlign w:val="center"/>
          </w:tcPr>
          <w:p w14:paraId="5F80B0FF"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11.43</w:t>
            </w:r>
          </w:p>
        </w:tc>
        <w:tc>
          <w:tcPr>
            <w:tcW w:w="567" w:type="dxa"/>
            <w:tcBorders>
              <w:left w:val="dotted" w:sz="4" w:space="0" w:color="auto"/>
            </w:tcBorders>
            <w:vAlign w:val="center"/>
          </w:tcPr>
          <w:p w14:paraId="67130BB7"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9.26</w:t>
            </w:r>
          </w:p>
        </w:tc>
        <w:tc>
          <w:tcPr>
            <w:tcW w:w="567" w:type="dxa"/>
            <w:tcBorders>
              <w:left w:val="nil"/>
            </w:tcBorders>
            <w:vAlign w:val="center"/>
          </w:tcPr>
          <w:p w14:paraId="60B54697"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9.51</w:t>
            </w:r>
          </w:p>
        </w:tc>
        <w:tc>
          <w:tcPr>
            <w:tcW w:w="709" w:type="dxa"/>
            <w:vAlign w:val="center"/>
          </w:tcPr>
          <w:p w14:paraId="25620A44"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8.30</w:t>
            </w:r>
          </w:p>
        </w:tc>
        <w:tc>
          <w:tcPr>
            <w:tcW w:w="709" w:type="dxa"/>
            <w:vAlign w:val="center"/>
          </w:tcPr>
          <w:p w14:paraId="3D308C66"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8.53</w:t>
            </w:r>
          </w:p>
        </w:tc>
      </w:tr>
      <w:tr w:rsidR="007823BA" w:rsidRPr="00D95593" w14:paraId="0503B31E" w14:textId="77777777" w:rsidTr="003C3462">
        <w:tc>
          <w:tcPr>
            <w:tcW w:w="1377" w:type="dxa"/>
            <w:tcBorders>
              <w:right w:val="single" w:sz="4" w:space="0" w:color="auto"/>
            </w:tcBorders>
          </w:tcPr>
          <w:p w14:paraId="772431EA" w14:textId="77777777" w:rsidR="007823BA" w:rsidRPr="00D95593" w:rsidRDefault="007823BA" w:rsidP="003C3462">
            <w:pPr>
              <w:spacing w:line="360" w:lineRule="auto"/>
              <w:jc w:val="both"/>
              <w:rPr>
                <w:rFonts w:ascii="Times New Roman" w:hAnsi="Times New Roman"/>
                <w:sz w:val="20"/>
              </w:rPr>
            </w:pPr>
            <w:r w:rsidRPr="00D95593">
              <w:rPr>
                <w:rFonts w:ascii="Times New Roman" w:hAnsi="Times New Roman" w:cs="Times New Roman"/>
                <w:sz w:val="20"/>
              </w:rPr>
              <w:t>±</w:t>
            </w:r>
            <w:r w:rsidRPr="00D95593">
              <w:rPr>
                <w:rFonts w:ascii="Times New Roman" w:hAnsi="Times New Roman"/>
                <w:sz w:val="20"/>
              </w:rPr>
              <w:t xml:space="preserve"> s</w:t>
            </w:r>
          </w:p>
        </w:tc>
        <w:tc>
          <w:tcPr>
            <w:tcW w:w="577" w:type="dxa"/>
            <w:tcBorders>
              <w:left w:val="single" w:sz="4" w:space="0" w:color="auto"/>
              <w:right w:val="single" w:sz="4" w:space="0" w:color="auto"/>
            </w:tcBorders>
          </w:tcPr>
          <w:p w14:paraId="429BCB54" w14:textId="77777777" w:rsidR="007823BA" w:rsidRPr="00D95593" w:rsidRDefault="007823BA" w:rsidP="003C3462">
            <w:pPr>
              <w:spacing w:line="360" w:lineRule="auto"/>
              <w:jc w:val="both"/>
              <w:rPr>
                <w:rFonts w:ascii="Times New Roman" w:hAnsi="Times New Roman"/>
                <w:sz w:val="20"/>
                <w:szCs w:val="20"/>
              </w:rPr>
            </w:pPr>
            <w:r w:rsidRPr="00D95593">
              <w:rPr>
                <w:rFonts w:ascii="Times New Roman" w:hAnsi="Times New Roman"/>
                <w:sz w:val="20"/>
                <w:szCs w:val="20"/>
              </w:rPr>
              <w:t>%</w:t>
            </w:r>
          </w:p>
        </w:tc>
        <w:tc>
          <w:tcPr>
            <w:tcW w:w="735" w:type="dxa"/>
            <w:tcBorders>
              <w:left w:val="single" w:sz="4" w:space="0" w:color="auto"/>
            </w:tcBorders>
            <w:vAlign w:val="center"/>
          </w:tcPr>
          <w:p w14:paraId="6DD42FF4"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0.04</w:t>
            </w:r>
          </w:p>
        </w:tc>
        <w:tc>
          <w:tcPr>
            <w:tcW w:w="708" w:type="dxa"/>
            <w:tcBorders>
              <w:right w:val="dotted" w:sz="4" w:space="0" w:color="auto"/>
            </w:tcBorders>
            <w:vAlign w:val="center"/>
          </w:tcPr>
          <w:p w14:paraId="004086B3"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0.12</w:t>
            </w:r>
          </w:p>
        </w:tc>
        <w:tc>
          <w:tcPr>
            <w:tcW w:w="567" w:type="dxa"/>
            <w:tcBorders>
              <w:left w:val="dotted" w:sz="4" w:space="0" w:color="auto"/>
            </w:tcBorders>
            <w:vAlign w:val="center"/>
          </w:tcPr>
          <w:p w14:paraId="467C3999"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0.03</w:t>
            </w:r>
          </w:p>
        </w:tc>
        <w:tc>
          <w:tcPr>
            <w:tcW w:w="567" w:type="dxa"/>
            <w:tcBorders>
              <w:left w:val="nil"/>
            </w:tcBorders>
            <w:vAlign w:val="center"/>
          </w:tcPr>
          <w:p w14:paraId="26BA81BF"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0.10</w:t>
            </w:r>
          </w:p>
        </w:tc>
        <w:tc>
          <w:tcPr>
            <w:tcW w:w="709" w:type="dxa"/>
            <w:vAlign w:val="center"/>
          </w:tcPr>
          <w:p w14:paraId="5C10321C"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0.03</w:t>
            </w:r>
          </w:p>
        </w:tc>
        <w:tc>
          <w:tcPr>
            <w:tcW w:w="709" w:type="dxa"/>
            <w:vAlign w:val="center"/>
          </w:tcPr>
          <w:p w14:paraId="745F3F13"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0.11</w:t>
            </w:r>
          </w:p>
        </w:tc>
      </w:tr>
      <w:tr w:rsidR="007823BA" w:rsidRPr="00D95593" w14:paraId="4488C2EB" w14:textId="77777777" w:rsidTr="003C3462">
        <w:tc>
          <w:tcPr>
            <w:tcW w:w="1377" w:type="dxa"/>
            <w:tcBorders>
              <w:right w:val="single" w:sz="4" w:space="0" w:color="auto"/>
            </w:tcBorders>
          </w:tcPr>
          <w:p w14:paraId="79FB3912" w14:textId="77777777" w:rsidR="007823BA" w:rsidRPr="00D95593" w:rsidRDefault="007823BA" w:rsidP="003C3462">
            <w:pPr>
              <w:spacing w:line="360" w:lineRule="auto"/>
              <w:jc w:val="both"/>
              <w:rPr>
                <w:rFonts w:ascii="Times New Roman" w:hAnsi="Times New Roman" w:cs="Times New Roman"/>
                <w:sz w:val="20"/>
              </w:rPr>
            </w:pPr>
            <w:r w:rsidRPr="00D95593">
              <w:rPr>
                <w:rFonts w:ascii="Times New Roman" w:eastAsia="Times New Roman" w:hAnsi="Times New Roman" w:cs="Times New Roman"/>
                <w:vertAlign w:val="superscript"/>
                <w:lang w:val="fr-FR" w:eastAsia="fr-FR"/>
              </w:rPr>
              <w:t>40</w:t>
            </w:r>
            <w:r w:rsidRPr="00D95593">
              <w:rPr>
                <w:rFonts w:ascii="Times New Roman" w:eastAsia="Times New Roman" w:hAnsi="Times New Roman" w:cs="Times New Roman"/>
                <w:lang w:val="fr-FR" w:eastAsia="fr-FR"/>
              </w:rPr>
              <w:t>Ar</w:t>
            </w:r>
            <w:r w:rsidRPr="00D95593">
              <w:rPr>
                <w:rFonts w:ascii="Times New Roman" w:eastAsia="Times New Roman" w:hAnsi="Times New Roman" w:cs="Times New Roman"/>
                <w:vertAlign w:val="subscript"/>
                <w:lang w:val="fr-FR" w:eastAsia="fr-FR"/>
              </w:rPr>
              <w:t>air</w:t>
            </w:r>
          </w:p>
        </w:tc>
        <w:tc>
          <w:tcPr>
            <w:tcW w:w="577" w:type="dxa"/>
            <w:tcBorders>
              <w:left w:val="single" w:sz="4" w:space="0" w:color="auto"/>
              <w:right w:val="single" w:sz="4" w:space="0" w:color="auto"/>
            </w:tcBorders>
          </w:tcPr>
          <w:p w14:paraId="35C96A11" w14:textId="77777777" w:rsidR="007823BA" w:rsidRPr="00D95593" w:rsidRDefault="007823BA" w:rsidP="003C3462">
            <w:pPr>
              <w:spacing w:line="360" w:lineRule="auto"/>
              <w:jc w:val="both"/>
              <w:rPr>
                <w:rFonts w:ascii="Times New Roman" w:hAnsi="Times New Roman"/>
                <w:sz w:val="20"/>
                <w:szCs w:val="20"/>
              </w:rPr>
            </w:pPr>
            <w:r w:rsidRPr="00D95593">
              <w:rPr>
                <w:rFonts w:ascii="Times New Roman" w:hAnsi="Times New Roman"/>
                <w:sz w:val="20"/>
                <w:szCs w:val="20"/>
              </w:rPr>
              <w:t>%</w:t>
            </w:r>
          </w:p>
        </w:tc>
        <w:tc>
          <w:tcPr>
            <w:tcW w:w="735" w:type="dxa"/>
            <w:tcBorders>
              <w:left w:val="single" w:sz="4" w:space="0" w:color="auto"/>
            </w:tcBorders>
            <w:vAlign w:val="center"/>
          </w:tcPr>
          <w:p w14:paraId="0AF6D1D7"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18.5</w:t>
            </w:r>
          </w:p>
        </w:tc>
        <w:tc>
          <w:tcPr>
            <w:tcW w:w="708" w:type="dxa"/>
            <w:tcBorders>
              <w:right w:val="dotted" w:sz="4" w:space="0" w:color="auto"/>
            </w:tcBorders>
            <w:vAlign w:val="center"/>
          </w:tcPr>
          <w:p w14:paraId="39DCD968"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22.6</w:t>
            </w:r>
          </w:p>
        </w:tc>
        <w:tc>
          <w:tcPr>
            <w:tcW w:w="567" w:type="dxa"/>
            <w:tcBorders>
              <w:left w:val="dotted" w:sz="4" w:space="0" w:color="auto"/>
            </w:tcBorders>
            <w:vAlign w:val="center"/>
          </w:tcPr>
          <w:p w14:paraId="688D3C60"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10.9</w:t>
            </w:r>
          </w:p>
        </w:tc>
        <w:tc>
          <w:tcPr>
            <w:tcW w:w="567" w:type="dxa"/>
            <w:tcBorders>
              <w:left w:val="nil"/>
            </w:tcBorders>
            <w:vAlign w:val="center"/>
          </w:tcPr>
          <w:p w14:paraId="0D5227AA"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15.0</w:t>
            </w:r>
          </w:p>
        </w:tc>
        <w:tc>
          <w:tcPr>
            <w:tcW w:w="709" w:type="dxa"/>
            <w:vAlign w:val="center"/>
          </w:tcPr>
          <w:p w14:paraId="23C850BE"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15.8</w:t>
            </w:r>
          </w:p>
        </w:tc>
        <w:tc>
          <w:tcPr>
            <w:tcW w:w="709" w:type="dxa"/>
            <w:vAlign w:val="center"/>
          </w:tcPr>
          <w:p w14:paraId="56CE5466"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15.7</w:t>
            </w:r>
          </w:p>
        </w:tc>
      </w:tr>
      <w:tr w:rsidR="007823BA" w:rsidRPr="00D95593" w14:paraId="7FA3845E" w14:textId="77777777" w:rsidTr="003C3462">
        <w:tc>
          <w:tcPr>
            <w:tcW w:w="1377" w:type="dxa"/>
            <w:tcBorders>
              <w:right w:val="single" w:sz="4" w:space="0" w:color="auto"/>
            </w:tcBorders>
          </w:tcPr>
          <w:p w14:paraId="4DAA807F" w14:textId="77777777" w:rsidR="007823BA" w:rsidRPr="00D95593" w:rsidRDefault="007823BA" w:rsidP="003C3462">
            <w:pPr>
              <w:spacing w:line="360" w:lineRule="auto"/>
              <w:jc w:val="both"/>
              <w:rPr>
                <w:rFonts w:ascii="Times New Roman" w:hAnsi="Times New Roman" w:cs="Times New Roman"/>
                <w:b/>
                <w:sz w:val="20"/>
              </w:rPr>
            </w:pPr>
            <w:r w:rsidRPr="00D95593">
              <w:rPr>
                <w:rFonts w:ascii="Times New Roman" w:hAnsi="Times New Roman" w:cs="Times New Roman"/>
                <w:b/>
                <w:szCs w:val="24"/>
              </w:rPr>
              <w:t>Age</w:t>
            </w:r>
          </w:p>
        </w:tc>
        <w:tc>
          <w:tcPr>
            <w:tcW w:w="577" w:type="dxa"/>
            <w:tcBorders>
              <w:left w:val="single" w:sz="4" w:space="0" w:color="auto"/>
              <w:right w:val="single" w:sz="4" w:space="0" w:color="auto"/>
            </w:tcBorders>
          </w:tcPr>
          <w:p w14:paraId="21105AC9" w14:textId="77777777" w:rsidR="007823BA" w:rsidRPr="00D95593" w:rsidRDefault="007823BA" w:rsidP="003C3462">
            <w:pPr>
              <w:spacing w:line="360" w:lineRule="auto"/>
              <w:jc w:val="both"/>
              <w:rPr>
                <w:rFonts w:ascii="Times New Roman" w:hAnsi="Times New Roman"/>
                <w:b/>
                <w:sz w:val="20"/>
                <w:szCs w:val="20"/>
              </w:rPr>
            </w:pPr>
            <w:r w:rsidRPr="00D95593">
              <w:rPr>
                <w:rFonts w:ascii="Times New Roman" w:hAnsi="Times New Roman"/>
                <w:b/>
                <w:sz w:val="20"/>
                <w:szCs w:val="20"/>
              </w:rPr>
              <w:t>Ma</w:t>
            </w:r>
          </w:p>
        </w:tc>
        <w:tc>
          <w:tcPr>
            <w:tcW w:w="735" w:type="dxa"/>
            <w:tcBorders>
              <w:left w:val="single" w:sz="4" w:space="0" w:color="auto"/>
            </w:tcBorders>
            <w:vAlign w:val="center"/>
          </w:tcPr>
          <w:p w14:paraId="0B7791E9" w14:textId="77777777" w:rsidR="007823BA" w:rsidRPr="00D95593" w:rsidRDefault="007823BA" w:rsidP="003C3462">
            <w:pPr>
              <w:spacing w:line="360" w:lineRule="auto"/>
              <w:jc w:val="center"/>
              <w:rPr>
                <w:rFonts w:ascii="Times New Roman" w:hAnsi="Times New Roman"/>
                <w:b/>
                <w:sz w:val="20"/>
              </w:rPr>
            </w:pPr>
            <w:r w:rsidRPr="00D95593">
              <w:rPr>
                <w:rFonts w:ascii="Times New Roman" w:hAnsi="Times New Roman"/>
                <w:b/>
                <w:sz w:val="20"/>
              </w:rPr>
              <w:t>25.1</w:t>
            </w:r>
          </w:p>
        </w:tc>
        <w:tc>
          <w:tcPr>
            <w:tcW w:w="708" w:type="dxa"/>
            <w:tcBorders>
              <w:right w:val="dotted" w:sz="4" w:space="0" w:color="auto"/>
            </w:tcBorders>
            <w:vAlign w:val="center"/>
          </w:tcPr>
          <w:p w14:paraId="052556AA" w14:textId="77777777" w:rsidR="007823BA" w:rsidRPr="00D95593" w:rsidRDefault="007823BA" w:rsidP="003C3462">
            <w:pPr>
              <w:spacing w:line="360" w:lineRule="auto"/>
              <w:jc w:val="center"/>
              <w:rPr>
                <w:rFonts w:ascii="Times New Roman" w:hAnsi="Times New Roman"/>
                <w:b/>
                <w:sz w:val="20"/>
              </w:rPr>
            </w:pPr>
            <w:r w:rsidRPr="00D95593">
              <w:rPr>
                <w:rFonts w:ascii="Times New Roman" w:hAnsi="Times New Roman"/>
                <w:b/>
                <w:sz w:val="20"/>
              </w:rPr>
              <w:t>24.9</w:t>
            </w:r>
          </w:p>
        </w:tc>
        <w:tc>
          <w:tcPr>
            <w:tcW w:w="567" w:type="dxa"/>
            <w:tcBorders>
              <w:left w:val="dotted" w:sz="4" w:space="0" w:color="auto"/>
            </w:tcBorders>
            <w:vAlign w:val="center"/>
          </w:tcPr>
          <w:p w14:paraId="047A6205" w14:textId="77777777" w:rsidR="007823BA" w:rsidRPr="00D95593" w:rsidRDefault="007823BA" w:rsidP="003C3462">
            <w:pPr>
              <w:spacing w:line="360" w:lineRule="auto"/>
              <w:jc w:val="center"/>
              <w:rPr>
                <w:rFonts w:ascii="Times New Roman" w:hAnsi="Times New Roman"/>
                <w:b/>
                <w:sz w:val="20"/>
              </w:rPr>
            </w:pPr>
            <w:r w:rsidRPr="00D95593">
              <w:rPr>
                <w:rFonts w:ascii="Times New Roman" w:hAnsi="Times New Roman"/>
                <w:b/>
                <w:sz w:val="20"/>
              </w:rPr>
              <w:t>18.2</w:t>
            </w:r>
          </w:p>
        </w:tc>
        <w:tc>
          <w:tcPr>
            <w:tcW w:w="567" w:type="dxa"/>
            <w:tcBorders>
              <w:left w:val="nil"/>
            </w:tcBorders>
            <w:vAlign w:val="center"/>
          </w:tcPr>
          <w:p w14:paraId="660F1E60" w14:textId="77777777" w:rsidR="007823BA" w:rsidRPr="00D95593" w:rsidRDefault="007823BA" w:rsidP="003C3462">
            <w:pPr>
              <w:spacing w:line="360" w:lineRule="auto"/>
              <w:jc w:val="center"/>
              <w:rPr>
                <w:rFonts w:ascii="Times New Roman" w:hAnsi="Times New Roman"/>
                <w:b/>
                <w:sz w:val="20"/>
              </w:rPr>
            </w:pPr>
            <w:r w:rsidRPr="00D95593">
              <w:rPr>
                <w:rFonts w:ascii="Times New Roman" w:hAnsi="Times New Roman"/>
                <w:b/>
                <w:sz w:val="20"/>
              </w:rPr>
              <w:t>18.6</w:t>
            </w:r>
          </w:p>
        </w:tc>
        <w:tc>
          <w:tcPr>
            <w:tcW w:w="709" w:type="dxa"/>
            <w:vAlign w:val="center"/>
          </w:tcPr>
          <w:p w14:paraId="6D0D2A6E" w14:textId="77777777" w:rsidR="007823BA" w:rsidRPr="00D95593" w:rsidRDefault="007823BA" w:rsidP="003C3462">
            <w:pPr>
              <w:spacing w:line="360" w:lineRule="auto"/>
              <w:jc w:val="center"/>
              <w:rPr>
                <w:rFonts w:ascii="Times New Roman" w:hAnsi="Times New Roman"/>
                <w:b/>
                <w:sz w:val="20"/>
              </w:rPr>
            </w:pPr>
            <w:r w:rsidRPr="00D95593">
              <w:rPr>
                <w:rFonts w:ascii="Times New Roman" w:hAnsi="Times New Roman"/>
                <w:b/>
                <w:sz w:val="20"/>
              </w:rPr>
              <w:t>16.7</w:t>
            </w:r>
          </w:p>
        </w:tc>
        <w:tc>
          <w:tcPr>
            <w:tcW w:w="709" w:type="dxa"/>
            <w:vAlign w:val="center"/>
          </w:tcPr>
          <w:p w14:paraId="2D21AAD5" w14:textId="77777777" w:rsidR="007823BA" w:rsidRPr="00D95593" w:rsidRDefault="007823BA" w:rsidP="003C3462">
            <w:pPr>
              <w:spacing w:line="360" w:lineRule="auto"/>
              <w:jc w:val="center"/>
              <w:rPr>
                <w:rFonts w:ascii="Times New Roman" w:hAnsi="Times New Roman"/>
                <w:b/>
                <w:sz w:val="20"/>
              </w:rPr>
            </w:pPr>
            <w:r w:rsidRPr="00D95593">
              <w:rPr>
                <w:rFonts w:ascii="Times New Roman" w:hAnsi="Times New Roman"/>
                <w:b/>
                <w:sz w:val="20"/>
              </w:rPr>
              <w:t>17.1</w:t>
            </w:r>
          </w:p>
        </w:tc>
      </w:tr>
      <w:tr w:rsidR="007823BA" w:rsidRPr="00D95593" w14:paraId="664EAAD8" w14:textId="77777777" w:rsidTr="003C3462">
        <w:tc>
          <w:tcPr>
            <w:tcW w:w="1377" w:type="dxa"/>
            <w:tcBorders>
              <w:right w:val="single" w:sz="4" w:space="0" w:color="auto"/>
            </w:tcBorders>
          </w:tcPr>
          <w:p w14:paraId="3F1A05EE" w14:textId="77777777" w:rsidR="007823BA" w:rsidRPr="00D95593" w:rsidRDefault="007823BA" w:rsidP="003C3462">
            <w:pPr>
              <w:spacing w:line="360" w:lineRule="auto"/>
              <w:jc w:val="both"/>
              <w:rPr>
                <w:rFonts w:ascii="Times New Roman" w:hAnsi="Times New Roman" w:cs="Times New Roman"/>
                <w:sz w:val="20"/>
              </w:rPr>
            </w:pPr>
            <w:r w:rsidRPr="00D95593">
              <w:rPr>
                <w:rFonts w:ascii="Times New Roman" w:eastAsia="Times New Roman" w:hAnsi="Times New Roman" w:cs="Times New Roman"/>
                <w:sz w:val="20"/>
                <w:szCs w:val="20"/>
                <w:lang w:val="fr-FR" w:eastAsia="fr-FR"/>
              </w:rPr>
              <w:t>2σ</w:t>
            </w:r>
          </w:p>
        </w:tc>
        <w:tc>
          <w:tcPr>
            <w:tcW w:w="577" w:type="dxa"/>
            <w:tcBorders>
              <w:left w:val="single" w:sz="4" w:space="0" w:color="auto"/>
              <w:right w:val="single" w:sz="4" w:space="0" w:color="auto"/>
            </w:tcBorders>
          </w:tcPr>
          <w:p w14:paraId="646257FF" w14:textId="77777777" w:rsidR="007823BA" w:rsidRPr="00D95593" w:rsidRDefault="007823BA" w:rsidP="003C3462">
            <w:pPr>
              <w:spacing w:line="360" w:lineRule="auto"/>
              <w:jc w:val="both"/>
              <w:rPr>
                <w:rFonts w:ascii="Times New Roman" w:hAnsi="Times New Roman"/>
                <w:sz w:val="20"/>
                <w:szCs w:val="20"/>
              </w:rPr>
            </w:pPr>
            <w:r w:rsidRPr="00D95593">
              <w:rPr>
                <w:rFonts w:ascii="Times New Roman" w:hAnsi="Times New Roman"/>
                <w:sz w:val="20"/>
                <w:szCs w:val="20"/>
              </w:rPr>
              <w:t>Ma</w:t>
            </w:r>
          </w:p>
        </w:tc>
        <w:tc>
          <w:tcPr>
            <w:tcW w:w="735" w:type="dxa"/>
            <w:tcBorders>
              <w:left w:val="single" w:sz="4" w:space="0" w:color="auto"/>
            </w:tcBorders>
          </w:tcPr>
          <w:p w14:paraId="2BD6B7FE"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0.5</w:t>
            </w:r>
          </w:p>
        </w:tc>
        <w:tc>
          <w:tcPr>
            <w:tcW w:w="708" w:type="dxa"/>
            <w:tcBorders>
              <w:right w:val="dotted" w:sz="4" w:space="0" w:color="auto"/>
            </w:tcBorders>
          </w:tcPr>
          <w:p w14:paraId="675D4365"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0.4</w:t>
            </w:r>
          </w:p>
        </w:tc>
        <w:tc>
          <w:tcPr>
            <w:tcW w:w="567" w:type="dxa"/>
            <w:tcBorders>
              <w:left w:val="dotted" w:sz="4" w:space="0" w:color="auto"/>
            </w:tcBorders>
          </w:tcPr>
          <w:p w14:paraId="7FEF5566"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0.4</w:t>
            </w:r>
          </w:p>
        </w:tc>
        <w:tc>
          <w:tcPr>
            <w:tcW w:w="567" w:type="dxa"/>
            <w:tcBorders>
              <w:left w:val="nil"/>
            </w:tcBorders>
          </w:tcPr>
          <w:p w14:paraId="1BAC36D9"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0.3</w:t>
            </w:r>
          </w:p>
        </w:tc>
        <w:tc>
          <w:tcPr>
            <w:tcW w:w="709" w:type="dxa"/>
          </w:tcPr>
          <w:p w14:paraId="38C0E1FF"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0.4</w:t>
            </w:r>
          </w:p>
        </w:tc>
        <w:tc>
          <w:tcPr>
            <w:tcW w:w="709" w:type="dxa"/>
          </w:tcPr>
          <w:p w14:paraId="5AAAD232" w14:textId="77777777" w:rsidR="007823BA" w:rsidRPr="00D95593" w:rsidRDefault="007823BA" w:rsidP="003C3462">
            <w:pPr>
              <w:spacing w:line="360" w:lineRule="auto"/>
              <w:jc w:val="center"/>
              <w:rPr>
                <w:rFonts w:ascii="Times New Roman" w:hAnsi="Times New Roman"/>
                <w:sz w:val="20"/>
              </w:rPr>
            </w:pPr>
            <w:r w:rsidRPr="00D95593">
              <w:rPr>
                <w:rFonts w:ascii="Times New Roman" w:hAnsi="Times New Roman"/>
                <w:sz w:val="20"/>
              </w:rPr>
              <w:t>0.3</w:t>
            </w:r>
          </w:p>
        </w:tc>
      </w:tr>
    </w:tbl>
    <w:p w14:paraId="6C1495D5" w14:textId="720C0E63" w:rsidR="00ED125F" w:rsidRDefault="007823BA">
      <w:r w:rsidRPr="00D95593">
        <w:rPr>
          <w:rFonts w:ascii="Times New Roman" w:hAnsi="Times New Roman"/>
          <w:b/>
          <w:bCs/>
          <w:lang w:val="fr-BE"/>
        </w:rPr>
        <w:t>Table 1</w:t>
      </w:r>
    </w:p>
    <w:sectPr w:rsidR="00ED125F" w:rsidSect="00D95593">
      <w:pgSz w:w="11906" w:h="16838" w:code="9"/>
      <w:pgMar w:top="1440" w:right="1440" w:bottom="1440" w:left="1440" w:header="709" w:footer="709" w:gutter="0"/>
      <w:lnNumType w:countBy="1" w:restart="continuous"/>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5593"/>
    <w:rsid w:val="00032FC3"/>
    <w:rsid w:val="00091F9D"/>
    <w:rsid w:val="000C706D"/>
    <w:rsid w:val="000E24D8"/>
    <w:rsid w:val="00143DF2"/>
    <w:rsid w:val="0015128F"/>
    <w:rsid w:val="00196A7B"/>
    <w:rsid w:val="001A5E1C"/>
    <w:rsid w:val="002F2C33"/>
    <w:rsid w:val="00302FF8"/>
    <w:rsid w:val="00406319"/>
    <w:rsid w:val="00411837"/>
    <w:rsid w:val="004605C5"/>
    <w:rsid w:val="00485DB0"/>
    <w:rsid w:val="004F619C"/>
    <w:rsid w:val="005316AC"/>
    <w:rsid w:val="00537B4A"/>
    <w:rsid w:val="00571AE0"/>
    <w:rsid w:val="00591E4C"/>
    <w:rsid w:val="005D19C3"/>
    <w:rsid w:val="005F5672"/>
    <w:rsid w:val="00621DFC"/>
    <w:rsid w:val="006741DD"/>
    <w:rsid w:val="006A3B22"/>
    <w:rsid w:val="006B5F12"/>
    <w:rsid w:val="006D701B"/>
    <w:rsid w:val="007823BA"/>
    <w:rsid w:val="007A0CC6"/>
    <w:rsid w:val="007C1DEB"/>
    <w:rsid w:val="007D327F"/>
    <w:rsid w:val="007E45BB"/>
    <w:rsid w:val="0083160C"/>
    <w:rsid w:val="00864168"/>
    <w:rsid w:val="00894061"/>
    <w:rsid w:val="00896281"/>
    <w:rsid w:val="008A45B8"/>
    <w:rsid w:val="008D0E90"/>
    <w:rsid w:val="0096774A"/>
    <w:rsid w:val="009B4370"/>
    <w:rsid w:val="009C2DFA"/>
    <w:rsid w:val="009C4DF9"/>
    <w:rsid w:val="009F2385"/>
    <w:rsid w:val="00A022B8"/>
    <w:rsid w:val="00A554D9"/>
    <w:rsid w:val="00A9316C"/>
    <w:rsid w:val="00AD2BC3"/>
    <w:rsid w:val="00B42E7C"/>
    <w:rsid w:val="00B956F6"/>
    <w:rsid w:val="00BB59F5"/>
    <w:rsid w:val="00BF2BC6"/>
    <w:rsid w:val="00C121DE"/>
    <w:rsid w:val="00C333B6"/>
    <w:rsid w:val="00C37875"/>
    <w:rsid w:val="00C53DBF"/>
    <w:rsid w:val="00C8622D"/>
    <w:rsid w:val="00CA2B9F"/>
    <w:rsid w:val="00CD2991"/>
    <w:rsid w:val="00D95593"/>
    <w:rsid w:val="00DD0CEC"/>
    <w:rsid w:val="00DD2900"/>
    <w:rsid w:val="00E17954"/>
    <w:rsid w:val="00E737EA"/>
    <w:rsid w:val="00ED125F"/>
    <w:rsid w:val="00F00C8A"/>
    <w:rsid w:val="00F064FD"/>
    <w:rsid w:val="00F3301E"/>
    <w:rsid w:val="00F7491A"/>
    <w:rsid w:val="00F80261"/>
    <w:rsid w:val="00F87045"/>
    <w:rsid w:val="00F87961"/>
    <w:rsid w:val="00FA7DD2"/>
  </w:rsids>
  <m:mathPr>
    <m:mathFont m:val="Cambria Math"/>
    <m:brkBin m:val="before"/>
    <m:brkBinSub m:val="--"/>
    <m:smallFrac m:val="0"/>
    <m:dispDef/>
    <m:lMargin m:val="0"/>
    <m:rMargin m:val="0"/>
    <m:defJc m:val="centerGroup"/>
    <m:wrapIndent m:val="1440"/>
    <m:intLim m:val="subSup"/>
    <m:naryLim m:val="undOvr"/>
  </m:mathPr>
  <w:themeFontLang w:val="en-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423601"/>
  <w15:chartTrackingRefBased/>
  <w15:docId w15:val="{9FD9EC11-6C6A-45A5-A4E8-A98B47574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B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9559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9559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9559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9559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9559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9559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9559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9559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9559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96A7B"/>
    <w:pPr>
      <w:spacing w:after="80" w:line="240" w:lineRule="auto"/>
      <w:contextualSpacing/>
      <w:jc w:val="both"/>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96A7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96A7B"/>
    <w:pPr>
      <w:numPr>
        <w:ilvl w:val="1"/>
      </w:numPr>
      <w:spacing w:line="360" w:lineRule="auto"/>
      <w:jc w:val="both"/>
    </w:pPr>
    <w:rPr>
      <w:rFonts w:ascii="Times New Roman" w:eastAsiaTheme="majorEastAsia" w:hAnsi="Times New Roman" w:cstheme="majorBidi"/>
      <w:b/>
      <w:color w:val="000000" w:themeColor="text1"/>
      <w:spacing w:val="15"/>
      <w:sz w:val="28"/>
      <w:szCs w:val="28"/>
    </w:rPr>
  </w:style>
  <w:style w:type="character" w:customStyle="1" w:styleId="SubtitleChar">
    <w:name w:val="Subtitle Char"/>
    <w:basedOn w:val="DefaultParagraphFont"/>
    <w:link w:val="Subtitle"/>
    <w:uiPriority w:val="11"/>
    <w:rsid w:val="00196A7B"/>
    <w:rPr>
      <w:rFonts w:ascii="Times New Roman" w:eastAsiaTheme="majorEastAsia" w:hAnsi="Times New Roman" w:cstheme="majorBidi"/>
      <w:b/>
      <w:color w:val="000000" w:themeColor="text1"/>
      <w:spacing w:val="15"/>
      <w:sz w:val="28"/>
      <w:szCs w:val="28"/>
    </w:rPr>
  </w:style>
  <w:style w:type="character" w:styleId="SubtleEmphasis">
    <w:name w:val="Subtle Emphasis"/>
    <w:basedOn w:val="DefaultParagraphFont"/>
    <w:uiPriority w:val="19"/>
    <w:qFormat/>
    <w:rsid w:val="00196A7B"/>
    <w:rPr>
      <w:rFonts w:ascii="Times New Roman" w:hAnsi="Times New Roman"/>
      <w:b/>
      <w:i w:val="0"/>
      <w:iCs/>
      <w:color w:val="4EA72E" w:themeColor="accent6"/>
      <w:sz w:val="24"/>
    </w:rPr>
  </w:style>
  <w:style w:type="character" w:customStyle="1" w:styleId="Heading1Char">
    <w:name w:val="Heading 1 Char"/>
    <w:basedOn w:val="DefaultParagraphFont"/>
    <w:link w:val="Heading1"/>
    <w:uiPriority w:val="9"/>
    <w:rsid w:val="00D9559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9559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9559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9559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9559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9559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9559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9559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95593"/>
    <w:rPr>
      <w:rFonts w:eastAsiaTheme="majorEastAsia" w:cstheme="majorBidi"/>
      <w:color w:val="272727" w:themeColor="text1" w:themeTint="D8"/>
    </w:rPr>
  </w:style>
  <w:style w:type="paragraph" w:styleId="Quote">
    <w:name w:val="Quote"/>
    <w:basedOn w:val="Normal"/>
    <w:next w:val="Normal"/>
    <w:link w:val="QuoteChar"/>
    <w:uiPriority w:val="29"/>
    <w:qFormat/>
    <w:rsid w:val="00D95593"/>
    <w:pPr>
      <w:spacing w:before="160"/>
      <w:jc w:val="center"/>
    </w:pPr>
    <w:rPr>
      <w:i/>
      <w:iCs/>
      <w:color w:val="404040" w:themeColor="text1" w:themeTint="BF"/>
    </w:rPr>
  </w:style>
  <w:style w:type="character" w:customStyle="1" w:styleId="QuoteChar">
    <w:name w:val="Quote Char"/>
    <w:basedOn w:val="DefaultParagraphFont"/>
    <w:link w:val="Quote"/>
    <w:uiPriority w:val="29"/>
    <w:rsid w:val="00D95593"/>
    <w:rPr>
      <w:i/>
      <w:iCs/>
      <w:color w:val="404040" w:themeColor="text1" w:themeTint="BF"/>
    </w:rPr>
  </w:style>
  <w:style w:type="paragraph" w:styleId="ListParagraph">
    <w:name w:val="List Paragraph"/>
    <w:basedOn w:val="Normal"/>
    <w:uiPriority w:val="34"/>
    <w:qFormat/>
    <w:rsid w:val="00D95593"/>
    <w:pPr>
      <w:ind w:left="720"/>
      <w:contextualSpacing/>
    </w:pPr>
  </w:style>
  <w:style w:type="character" w:styleId="IntenseEmphasis">
    <w:name w:val="Intense Emphasis"/>
    <w:basedOn w:val="DefaultParagraphFont"/>
    <w:uiPriority w:val="21"/>
    <w:qFormat/>
    <w:rsid w:val="00D95593"/>
    <w:rPr>
      <w:i/>
      <w:iCs/>
      <w:color w:val="0F4761" w:themeColor="accent1" w:themeShade="BF"/>
    </w:rPr>
  </w:style>
  <w:style w:type="paragraph" w:styleId="IntenseQuote">
    <w:name w:val="Intense Quote"/>
    <w:basedOn w:val="Normal"/>
    <w:next w:val="Normal"/>
    <w:link w:val="IntenseQuoteChar"/>
    <w:uiPriority w:val="30"/>
    <w:qFormat/>
    <w:rsid w:val="00D9559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95593"/>
    <w:rPr>
      <w:i/>
      <w:iCs/>
      <w:color w:val="0F4761" w:themeColor="accent1" w:themeShade="BF"/>
    </w:rPr>
  </w:style>
  <w:style w:type="character" w:styleId="IntenseReference">
    <w:name w:val="Intense Reference"/>
    <w:basedOn w:val="DefaultParagraphFont"/>
    <w:uiPriority w:val="32"/>
    <w:qFormat/>
    <w:rsid w:val="00D95593"/>
    <w:rPr>
      <w:b/>
      <w:bCs/>
      <w:smallCaps/>
      <w:color w:val="0F4761" w:themeColor="accent1" w:themeShade="BF"/>
      <w:spacing w:val="5"/>
    </w:rPr>
  </w:style>
  <w:style w:type="numbering" w:customStyle="1" w:styleId="NoList1">
    <w:name w:val="No List1"/>
    <w:next w:val="NoList"/>
    <w:uiPriority w:val="99"/>
    <w:semiHidden/>
    <w:unhideWhenUsed/>
    <w:rsid w:val="00D95593"/>
  </w:style>
  <w:style w:type="paragraph" w:customStyle="1" w:styleId="MDPI12title">
    <w:name w:val="MDPI_1.2_title"/>
    <w:next w:val="Normal"/>
    <w:rsid w:val="00D95593"/>
    <w:pPr>
      <w:adjustRightInd w:val="0"/>
      <w:snapToGrid w:val="0"/>
      <w:spacing w:after="240" w:line="240" w:lineRule="atLeast"/>
    </w:pPr>
    <w:rPr>
      <w:rFonts w:ascii="Palatino Linotype" w:eastAsia="Times New Roman" w:hAnsi="Palatino Linotype" w:cs="Times New Roman"/>
      <w:b/>
      <w:snapToGrid w:val="0"/>
      <w:color w:val="000000"/>
      <w:kern w:val="0"/>
      <w:sz w:val="36"/>
      <w:szCs w:val="20"/>
      <w:lang w:val="en-US" w:eastAsia="de-DE" w:bidi="en-US"/>
      <w14:ligatures w14:val="none"/>
    </w:rPr>
  </w:style>
  <w:style w:type="paragraph" w:customStyle="1" w:styleId="MDPI13authornames">
    <w:name w:val="MDPI_1.3_authornames"/>
    <w:next w:val="Normal"/>
    <w:rsid w:val="00D95593"/>
    <w:pPr>
      <w:adjustRightInd w:val="0"/>
      <w:snapToGrid w:val="0"/>
      <w:spacing w:after="360" w:line="260" w:lineRule="atLeast"/>
    </w:pPr>
    <w:rPr>
      <w:rFonts w:ascii="Palatino Linotype" w:eastAsia="Times New Roman" w:hAnsi="Palatino Linotype" w:cs="Times New Roman"/>
      <w:b/>
      <w:color w:val="000000"/>
      <w:kern w:val="0"/>
      <w:sz w:val="20"/>
      <w:lang w:val="en-US" w:eastAsia="de-DE" w:bidi="en-US"/>
      <w14:ligatures w14:val="none"/>
    </w:rPr>
  </w:style>
  <w:style w:type="paragraph" w:customStyle="1" w:styleId="MDPI16affiliation">
    <w:name w:val="MDPI_1.6_affiliation"/>
    <w:rsid w:val="00D95593"/>
    <w:pPr>
      <w:adjustRightInd w:val="0"/>
      <w:snapToGrid w:val="0"/>
      <w:spacing w:after="0" w:line="200" w:lineRule="atLeast"/>
      <w:ind w:left="2806" w:hanging="198"/>
    </w:pPr>
    <w:rPr>
      <w:rFonts w:ascii="Palatino Linotype" w:eastAsia="Times New Roman" w:hAnsi="Palatino Linotype" w:cs="Times New Roman"/>
      <w:color w:val="000000"/>
      <w:kern w:val="0"/>
      <w:sz w:val="16"/>
      <w:szCs w:val="18"/>
      <w:lang w:val="en-US" w:eastAsia="de-DE" w:bidi="en-US"/>
      <w14:ligatures w14:val="none"/>
    </w:rPr>
  </w:style>
  <w:style w:type="character" w:customStyle="1" w:styleId="Policepardfaut1">
    <w:name w:val="Police par défaut1"/>
    <w:rsid w:val="00D95593"/>
  </w:style>
  <w:style w:type="paragraph" w:customStyle="1" w:styleId="MDPI17abstract">
    <w:name w:val="MDPI_1.7_abstract"/>
    <w:next w:val="Normal"/>
    <w:rsid w:val="00D95593"/>
    <w:pPr>
      <w:adjustRightInd w:val="0"/>
      <w:snapToGrid w:val="0"/>
      <w:spacing w:before="240" w:after="120" w:line="280" w:lineRule="atLeast"/>
      <w:ind w:left="2608"/>
      <w:jc w:val="both"/>
    </w:pPr>
    <w:rPr>
      <w:rFonts w:ascii="Palatino Linotype" w:eastAsia="Times New Roman" w:hAnsi="Palatino Linotype" w:cs="Times New Roman"/>
      <w:color w:val="000000"/>
      <w:kern w:val="0"/>
      <w:sz w:val="20"/>
      <w:lang w:val="en-US" w:eastAsia="de-DE" w:bidi="en-US"/>
      <w14:ligatures w14:val="none"/>
    </w:rPr>
  </w:style>
  <w:style w:type="character" w:styleId="LineNumber">
    <w:name w:val="line number"/>
    <w:basedOn w:val="DefaultParagraphFont"/>
    <w:uiPriority w:val="99"/>
    <w:semiHidden/>
    <w:unhideWhenUsed/>
    <w:rsid w:val="00D95593"/>
  </w:style>
  <w:style w:type="paragraph" w:styleId="Header">
    <w:name w:val="header"/>
    <w:basedOn w:val="Normal"/>
    <w:link w:val="HeaderChar"/>
    <w:uiPriority w:val="99"/>
    <w:unhideWhenUsed/>
    <w:rsid w:val="00D95593"/>
    <w:pPr>
      <w:tabs>
        <w:tab w:val="center" w:pos="4513"/>
        <w:tab w:val="right" w:pos="9026"/>
      </w:tabs>
      <w:spacing w:after="0" w:line="240" w:lineRule="auto"/>
      <w:jc w:val="both"/>
    </w:pPr>
    <w:rPr>
      <w:rFonts w:ascii="Times New Roman" w:hAnsi="Times New Roman"/>
      <w:lang w:val="fr-BE"/>
    </w:rPr>
  </w:style>
  <w:style w:type="character" w:customStyle="1" w:styleId="HeaderChar">
    <w:name w:val="Header Char"/>
    <w:basedOn w:val="DefaultParagraphFont"/>
    <w:link w:val="Header"/>
    <w:uiPriority w:val="99"/>
    <w:rsid w:val="00D95593"/>
    <w:rPr>
      <w:rFonts w:ascii="Times New Roman" w:hAnsi="Times New Roman"/>
      <w:lang w:val="fr-BE"/>
    </w:rPr>
  </w:style>
  <w:style w:type="paragraph" w:styleId="Footer">
    <w:name w:val="footer"/>
    <w:basedOn w:val="Normal"/>
    <w:link w:val="FooterChar"/>
    <w:uiPriority w:val="99"/>
    <w:unhideWhenUsed/>
    <w:rsid w:val="00D95593"/>
    <w:pPr>
      <w:tabs>
        <w:tab w:val="center" w:pos="4513"/>
        <w:tab w:val="right" w:pos="9026"/>
      </w:tabs>
      <w:spacing w:after="0" w:line="240" w:lineRule="auto"/>
      <w:jc w:val="both"/>
    </w:pPr>
    <w:rPr>
      <w:rFonts w:ascii="Times New Roman" w:hAnsi="Times New Roman"/>
      <w:lang w:val="fr-BE"/>
    </w:rPr>
  </w:style>
  <w:style w:type="character" w:customStyle="1" w:styleId="FooterChar">
    <w:name w:val="Footer Char"/>
    <w:basedOn w:val="DefaultParagraphFont"/>
    <w:link w:val="Footer"/>
    <w:uiPriority w:val="99"/>
    <w:rsid w:val="00D95593"/>
    <w:rPr>
      <w:rFonts w:ascii="Times New Roman" w:hAnsi="Times New Roman"/>
      <w:lang w:val="fr-BE"/>
    </w:rPr>
  </w:style>
  <w:style w:type="paragraph" w:customStyle="1" w:styleId="MDPI31text">
    <w:name w:val="MDPI_3.1_text"/>
    <w:rsid w:val="00D95593"/>
    <w:pPr>
      <w:adjustRightInd w:val="0"/>
      <w:snapToGrid w:val="0"/>
      <w:spacing w:after="0" w:line="280" w:lineRule="atLeast"/>
      <w:ind w:left="2608" w:firstLine="425"/>
      <w:jc w:val="both"/>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23heading3">
    <w:name w:val="MDPI_2.3_heading3"/>
    <w:rsid w:val="00D95593"/>
    <w:pPr>
      <w:adjustRightInd w:val="0"/>
      <w:snapToGrid w:val="0"/>
      <w:spacing w:before="60" w:after="60" w:line="280" w:lineRule="atLeast"/>
      <w:ind w:left="2608"/>
      <w:outlineLvl w:val="2"/>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35textbeforelist">
    <w:name w:val="MDPI_3.5_text_before_list"/>
    <w:rsid w:val="00D95593"/>
    <w:pPr>
      <w:adjustRightInd w:val="0"/>
      <w:snapToGrid w:val="0"/>
      <w:spacing w:after="0" w:line="280" w:lineRule="atLeast"/>
      <w:ind w:left="2608" w:firstLine="425"/>
      <w:jc w:val="both"/>
    </w:pPr>
    <w:rPr>
      <w:rFonts w:ascii="Palatino Linotype" w:eastAsia="Times New Roman" w:hAnsi="Palatino Linotype" w:cs="Times New Roman"/>
      <w:snapToGrid w:val="0"/>
      <w:color w:val="000000"/>
      <w:kern w:val="0"/>
      <w:sz w:val="20"/>
      <w:lang w:val="en-US" w:eastAsia="de-DE" w:bidi="en-US"/>
      <w14:ligatures w14:val="none"/>
    </w:rPr>
  </w:style>
  <w:style w:type="paragraph" w:styleId="Revision">
    <w:name w:val="Revision"/>
    <w:hidden/>
    <w:uiPriority w:val="99"/>
    <w:semiHidden/>
    <w:rsid w:val="00D95593"/>
    <w:pPr>
      <w:spacing w:after="0" w:line="240" w:lineRule="auto"/>
    </w:pPr>
    <w:rPr>
      <w:rFonts w:ascii="Times New Roman" w:hAnsi="Times New Roman"/>
      <w:lang w:val="fr-BE"/>
    </w:rPr>
  </w:style>
  <w:style w:type="table" w:styleId="TableGrid">
    <w:name w:val="Table Grid"/>
    <w:basedOn w:val="TableNormal"/>
    <w:uiPriority w:val="39"/>
    <w:rsid w:val="00D95593"/>
    <w:pPr>
      <w:spacing w:after="0" w:line="240" w:lineRule="auto"/>
    </w:pPr>
    <w:rPr>
      <w:lang w:val="fr-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D95593"/>
    <w:rPr>
      <w:i/>
      <w:iCs/>
    </w:rPr>
  </w:style>
  <w:style w:type="paragraph" w:styleId="NormalWeb">
    <w:name w:val="Normal (Web)"/>
    <w:basedOn w:val="Normal"/>
    <w:uiPriority w:val="99"/>
    <w:unhideWhenUsed/>
    <w:rsid w:val="00D95593"/>
    <w:pPr>
      <w:spacing w:before="100" w:beforeAutospacing="1" w:after="100" w:afterAutospacing="1" w:line="240" w:lineRule="auto"/>
    </w:pPr>
    <w:rPr>
      <w:rFonts w:ascii="Times New Roman" w:eastAsia="Times New Roman" w:hAnsi="Times New Roman" w:cs="Times New Roman"/>
      <w:kern w:val="0"/>
      <w:sz w:val="24"/>
      <w:szCs w:val="24"/>
      <w:lang w:val="fr-BE"/>
      <w14:ligatures w14:val="none"/>
    </w:rPr>
  </w:style>
  <w:style w:type="character" w:styleId="Hyperlink">
    <w:name w:val="Hyperlink"/>
    <w:basedOn w:val="DefaultParagraphFont"/>
    <w:uiPriority w:val="99"/>
    <w:unhideWhenUsed/>
    <w:rsid w:val="00D95593"/>
    <w:rPr>
      <w:color w:val="467886" w:themeColor="hyperlink"/>
      <w:u w:val="single"/>
    </w:rPr>
  </w:style>
  <w:style w:type="character" w:styleId="UnresolvedMention">
    <w:name w:val="Unresolved Mention"/>
    <w:basedOn w:val="DefaultParagraphFont"/>
    <w:uiPriority w:val="99"/>
    <w:semiHidden/>
    <w:unhideWhenUsed/>
    <w:rsid w:val="00D955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customXml" Target="../customXml/item3.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fdd43aa2-dbd0-452b-a208-ebcfa34051e4"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D7E35C3A40B1447A02C8528854CA5E8" ma:contentTypeVersion="19" ma:contentTypeDescription="Crée un document." ma:contentTypeScope="" ma:versionID="62a6d87b8bf43dbdf2df007ebe4c7874">
  <xsd:schema xmlns:xsd="http://www.w3.org/2001/XMLSchema" xmlns:xs="http://www.w3.org/2001/XMLSchema" xmlns:p="http://schemas.microsoft.com/office/2006/metadata/properties" xmlns:ns3="90a40266-2cb7-4b1c-a9b2-76c10816e208" xmlns:ns4="fdd43aa2-dbd0-452b-a208-ebcfa34051e4" targetNamespace="http://schemas.microsoft.com/office/2006/metadata/properties" ma:root="true" ma:fieldsID="d57e4f7fd8a19811a548ab5c0da70c7b" ns3:_="" ns4:_="">
    <xsd:import namespace="90a40266-2cb7-4b1c-a9b2-76c10816e208"/>
    <xsd:import namespace="fdd43aa2-dbd0-452b-a208-ebcfa34051e4"/>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ServiceDateTaken" minOccurs="0"/>
                <xsd:element ref="ns4:MediaLengthInSeconds" minOccurs="0"/>
                <xsd:element ref="ns4:MediaServiceLocation" minOccurs="0"/>
                <xsd:element ref="ns4:_activity" minOccurs="0"/>
                <xsd:element ref="ns4:MediaServiceObjectDetectorVersions" minOccurs="0"/>
                <xsd:element ref="ns4:MediaServiceSystemTags" minOccurs="0"/>
                <xsd:element ref="ns4:MediaServiceSearchProperties" minOccurs="0"/>
                <xsd:element ref="ns4: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a40266-2cb7-4b1c-a9b2-76c10816e208" elementFormDefault="qualified">
    <xsd:import namespace="http://schemas.microsoft.com/office/2006/documentManagement/types"/>
    <xsd:import namespace="http://schemas.microsoft.com/office/infopath/2007/PartnerControls"/>
    <xsd:element name="SharedWithUsers" ma:index="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internalName="SharedWithDetails" ma:readOnly="true">
      <xsd:simpleType>
        <xsd:restriction base="dms:Note">
          <xsd:maxLength value="255"/>
        </xsd:restriction>
      </xsd:simpleType>
    </xsd:element>
    <xsd:element name="SharingHintHash" ma:index="10" nillable="true" ma:displayName="Partage du hachage d’indicateu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dd43aa2-dbd0-452b-a208-ebcfa34051e4"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description="" ma:hidden="true" ma:indexed="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A50F39B-1B48-49F0-86BC-71D68EEA3EC2}">
  <ds:schemaRefs>
    <ds:schemaRef ds:uri="http://schemas.microsoft.com/office/2006/metadata/properties"/>
    <ds:schemaRef ds:uri="http://schemas.microsoft.com/office/infopath/2007/PartnerControls"/>
    <ds:schemaRef ds:uri="fdd43aa2-dbd0-452b-a208-ebcfa34051e4"/>
  </ds:schemaRefs>
</ds:datastoreItem>
</file>

<file path=customXml/itemProps2.xml><?xml version="1.0" encoding="utf-8"?>
<ds:datastoreItem xmlns:ds="http://schemas.openxmlformats.org/officeDocument/2006/customXml" ds:itemID="{648B9EF7-2E60-4DBA-8CAB-6462B1FCE6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0a40266-2cb7-4b1c-a9b2-76c10816e208"/>
    <ds:schemaRef ds:uri="fdd43aa2-dbd0-452b-a208-ebcfa34051e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65AC2B-12D2-48B9-AAC6-30393CEE473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29</Pages>
  <Words>40421</Words>
  <Characters>230401</Characters>
  <Application>Microsoft Office Word</Application>
  <DocSecurity>0</DocSecurity>
  <Lines>1920</Lines>
  <Paragraphs>540</Paragraphs>
  <ScaleCrop>false</ScaleCrop>
  <Company/>
  <LinksUpToDate>false</LinksUpToDate>
  <CharactersWithSpaces>270282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Julien Poot</dc:creator>
  <cp:keywords/>
  <dc:description/>
  <cp:lastModifiedBy>Julien Poot</cp:lastModifiedBy>
  <cp:revision>8</cp:revision>
  <dcterms:created xsi:type="dcterms:W3CDTF">2026-06-08T13:45:00Z</dcterms:created>
  <dcterms:modified xsi:type="dcterms:W3CDTF">2026-06-08T13:58:00Z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0x0101003D7E35C3A40B1447A02C8528854CA5E8</vt:lpwstr>
  </property>
</Properties>
</file>