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6091F" w14:textId="03E948B9" w:rsidR="005074A3" w:rsidRPr="004E04BB" w:rsidRDefault="008402D6" w:rsidP="00C551CB">
      <w:pPr>
        <w:jc w:val="center"/>
        <w:rPr>
          <w:rStyle w:val="Aucun"/>
          <w:b/>
          <w:bCs/>
          <w:sz w:val="32"/>
          <w:szCs w:val="32"/>
          <w:lang w:val="en-GB"/>
        </w:rPr>
      </w:pPr>
      <w:r>
        <w:rPr>
          <w:rStyle w:val="Aucun"/>
          <w:b/>
          <w:bCs/>
          <w:sz w:val="32"/>
          <w:szCs w:val="32"/>
          <w:lang w:val="en-GB"/>
        </w:rPr>
        <w:t>Epidemiology and genetic landscape of hyperkinetic</w:t>
      </w:r>
      <w:r w:rsidR="005074A3" w:rsidRPr="004E04BB">
        <w:rPr>
          <w:rStyle w:val="Aucun"/>
          <w:b/>
          <w:bCs/>
          <w:sz w:val="32"/>
          <w:szCs w:val="32"/>
          <w:lang w:val="en-GB"/>
        </w:rPr>
        <w:t xml:space="preserve"> movement disorders in a </w:t>
      </w:r>
      <w:r w:rsidR="00D216CC" w:rsidRPr="004E04BB">
        <w:rPr>
          <w:rStyle w:val="Aucun"/>
          <w:b/>
          <w:bCs/>
          <w:sz w:val="32"/>
          <w:szCs w:val="32"/>
          <w:lang w:val="en-GB"/>
        </w:rPr>
        <w:t>Belgian</w:t>
      </w:r>
      <w:r w:rsidR="005074A3" w:rsidRPr="004E04BB">
        <w:rPr>
          <w:rStyle w:val="Aucun"/>
          <w:b/>
          <w:bCs/>
          <w:sz w:val="32"/>
          <w:szCs w:val="32"/>
          <w:lang w:val="en-GB"/>
        </w:rPr>
        <w:t xml:space="preserve"> tertiary care </w:t>
      </w:r>
      <w:r w:rsidR="00D216CC" w:rsidRPr="004E04BB">
        <w:rPr>
          <w:rStyle w:val="Aucun"/>
          <w:b/>
          <w:bCs/>
          <w:sz w:val="32"/>
          <w:szCs w:val="32"/>
          <w:lang w:val="en-GB"/>
        </w:rPr>
        <w:t>centre</w:t>
      </w:r>
    </w:p>
    <w:p w14:paraId="2ACF7704" w14:textId="64739C80" w:rsidR="005074A3" w:rsidRPr="004E04BB" w:rsidRDefault="005074A3" w:rsidP="005074A3">
      <w:pPr>
        <w:rPr>
          <w:lang w:val="en-GB"/>
        </w:rPr>
      </w:pPr>
    </w:p>
    <w:p w14:paraId="15A4E931" w14:textId="77777777" w:rsidR="005B68C1" w:rsidRPr="004E04BB" w:rsidRDefault="005B68C1" w:rsidP="005B68C1">
      <w:pPr>
        <w:pStyle w:val="Titre2"/>
        <w:rPr>
          <w:rStyle w:val="Aucun"/>
          <w:lang w:val="en-GB"/>
        </w:rPr>
      </w:pPr>
      <w:r w:rsidRPr="004E04BB">
        <w:rPr>
          <w:rStyle w:val="Aucun"/>
          <w:lang w:val="en-GB"/>
        </w:rPr>
        <w:t>Introduction</w:t>
      </w:r>
    </w:p>
    <w:p w14:paraId="2F043FF9" w14:textId="5406CD19" w:rsidR="00E52967" w:rsidRPr="004E04BB" w:rsidRDefault="00AF6B7D" w:rsidP="005074A3">
      <w:pPr>
        <w:rPr>
          <w:lang w:val="en-GB"/>
        </w:rPr>
      </w:pPr>
      <w:r w:rsidRPr="004E04BB">
        <w:rPr>
          <w:lang w:val="en-GB"/>
        </w:rPr>
        <w:t>Hyperkinetic movement disorders (MD</w:t>
      </w:r>
      <w:r w:rsidR="00333726" w:rsidRPr="004E04BB">
        <w:rPr>
          <w:lang w:val="en-GB"/>
        </w:rPr>
        <w:t>)</w:t>
      </w:r>
      <w:r w:rsidRPr="004E04BB">
        <w:rPr>
          <w:lang w:val="en-GB"/>
        </w:rPr>
        <w:t xml:space="preserve"> are rare neurological</w:t>
      </w:r>
      <w:r w:rsidR="00336D24" w:rsidRPr="004E04BB">
        <w:rPr>
          <w:lang w:val="en-GB"/>
        </w:rPr>
        <w:t xml:space="preserve"> conditions</w:t>
      </w:r>
      <w:r w:rsidR="00336D24" w:rsidRPr="004E04BB">
        <w:rPr>
          <w:rStyle w:val="Marquedecommentaire"/>
          <w:lang w:val="en-GB"/>
        </w:rPr>
        <w:t xml:space="preserve"> </w:t>
      </w:r>
      <w:r w:rsidRPr="004E04BB">
        <w:rPr>
          <w:lang w:val="en-GB"/>
        </w:rPr>
        <w:t>characteri</w:t>
      </w:r>
      <w:r w:rsidR="009E6501" w:rsidRPr="004E04BB">
        <w:rPr>
          <w:lang w:val="en-GB"/>
        </w:rPr>
        <w:t>s</w:t>
      </w:r>
      <w:r w:rsidRPr="004E04BB">
        <w:rPr>
          <w:lang w:val="en-GB"/>
        </w:rPr>
        <w:t>ed by involuntary movement</w:t>
      </w:r>
      <w:r w:rsidR="00A23D09" w:rsidRPr="004E04BB">
        <w:rPr>
          <w:lang w:val="en-GB"/>
        </w:rPr>
        <w:t>s</w:t>
      </w:r>
      <w:r w:rsidRPr="004E04BB">
        <w:rPr>
          <w:lang w:val="en-GB"/>
        </w:rPr>
        <w:t xml:space="preserve"> or posture</w:t>
      </w:r>
      <w:r w:rsidR="00A23D09" w:rsidRPr="004E04BB">
        <w:rPr>
          <w:lang w:val="en-GB"/>
        </w:rPr>
        <w:t>s</w:t>
      </w:r>
      <w:r w:rsidR="00914624" w:rsidRPr="004E04BB">
        <w:rPr>
          <w:lang w:val="en-GB"/>
        </w:rPr>
        <w:t xml:space="preserve">, </w:t>
      </w:r>
      <w:r w:rsidR="004B3FB8">
        <w:rPr>
          <w:lang w:val="en-GB"/>
        </w:rPr>
        <w:t>with</w:t>
      </w:r>
      <w:r w:rsidR="004B3FB8" w:rsidRPr="004E04BB">
        <w:rPr>
          <w:lang w:val="en-GB"/>
        </w:rPr>
        <w:t xml:space="preserve"> </w:t>
      </w:r>
      <w:r w:rsidR="00914624" w:rsidRPr="004E04BB">
        <w:rPr>
          <w:lang w:val="en-GB"/>
        </w:rPr>
        <w:t>a</w:t>
      </w:r>
      <w:r w:rsidR="00E52967" w:rsidRPr="004E04BB">
        <w:rPr>
          <w:lang w:val="en-GB"/>
        </w:rPr>
        <w:t xml:space="preserve"> s</w:t>
      </w:r>
      <w:r w:rsidR="00914624" w:rsidRPr="004E04BB">
        <w:rPr>
          <w:lang w:val="en-GB"/>
        </w:rPr>
        <w:t>ubstantial</w:t>
      </w:r>
      <w:r w:rsidR="00E52967" w:rsidRPr="004E04BB">
        <w:rPr>
          <w:lang w:val="en-GB"/>
        </w:rPr>
        <w:t xml:space="preserve"> proportion </w:t>
      </w:r>
      <w:r w:rsidR="002D56AA">
        <w:rPr>
          <w:lang w:val="en-GB"/>
        </w:rPr>
        <w:t xml:space="preserve">due </w:t>
      </w:r>
      <w:r w:rsidR="00B7573C">
        <w:rPr>
          <w:lang w:val="en-GB"/>
        </w:rPr>
        <w:t>to</w:t>
      </w:r>
      <w:r w:rsidR="00A5459E" w:rsidRPr="004E04BB">
        <w:rPr>
          <w:lang w:val="en-GB"/>
        </w:rPr>
        <w:t xml:space="preserve"> </w:t>
      </w:r>
      <w:r w:rsidR="00E52967" w:rsidRPr="004E04BB">
        <w:rPr>
          <w:lang w:val="en-GB"/>
        </w:rPr>
        <w:t xml:space="preserve">genetic </w:t>
      </w:r>
      <w:r w:rsidR="00B7573C">
        <w:rPr>
          <w:lang w:val="en-GB"/>
        </w:rPr>
        <w:t>causes</w:t>
      </w:r>
      <w:r w:rsidR="00560C8D">
        <w:rPr>
          <w:lang w:val="en-GB"/>
        </w:rPr>
        <w:t xml:space="preserve"> </w:t>
      </w:r>
      <w:r w:rsidR="00F965A5" w:rsidRPr="004E04BB">
        <w:rPr>
          <w:lang w:val="en-GB"/>
        </w:rPr>
        <w:fldChar w:fldCharType="begin"/>
      </w:r>
      <w:r w:rsidR="00F965A5" w:rsidRPr="004E04BB">
        <w:rPr>
          <w:lang w:val="en-GB"/>
        </w:rPr>
        <w:instrText xml:space="preserve"> ADDIN ZOTERO_ITEM CSL_CITATION {"citationID":"jj24lBEY","properties":{"formattedCitation":"(1,2)","plainCitation":"(1,2)","noteIndex":0},"citationItems":[{"id":273,"uris":["http://zotero.org/users/19213408/items/745GZ8GK"],"itemData":{"id":273,"type":"article-journal","abstract":"&lt;p&gt; The classification of movement disorders has evolved. Even the terminology has shifted, from an anatomical one of &lt;italic&gt;extrapyramidal disorders&lt;/italic&gt; to a phenomenological one of &lt;italic&gt;movement disorders&lt;/italic&gt; . The history of how this shift came about is described. The history of both the definitions and the classifications of the various neurologic conditions is then reviewed. First is a review of movement disorders as a group; then, the evolving classifications for 3 of them—parkinsonism, dystonia, and tremor—are covered in detail. © 2011 &lt;italic&gt;Movement&lt;/italic&gt; Disorder Society &lt;/p&gt;","container-title":"Movement Disorders","DOI":"10.1002/mds.23759","issue":"6","page":"947-957","title":"Classification of movement disorders","volume":"26","author":[{"family":"Fahn","given":"Stanley"}],"issued":{"date-parts":[["2011",5]]}}},{"id":1,"uris":["http://zotero.org/users/19213408/items/UL35DEQZ"],"itemData":{"id":1,"type":"article-journal","abstract":"Dystonia is a movement disorder with varied clinical features and diverse etiologies. Here we present a revision of the 2013 consensus definition and classification of dystonia in light of subsequent publications and experience with its application during the last decade. A panel of movement disorder specialists with expertise in dystonia reviewed the original document and proposed some revision. There was broad consensus to retain the definition of dystonia with only minor clarifications to the wording. Dystonia is defined as a movement disorder characterized by sustained or intermittent abnormal movements, postures, or both. Dystonic movements and postures are typically patterned and repetitive and may be tremulous or jerky. They are often initiated or worsened by voluntary action and frequently associated with overflow movements. The two-axis structure for classification of the many different presentations of dystonia was also retained, with some revision. Axis I summarizes key clinical characteristics of dystonia, including age at onset, family history, body distribution, temporal dimensions, phenomenology, and whether dystonia is isolated or combined with other neurological or medical problems. Axis II organizes information regarding its etiological basis, including genetic, acquired, and anatomical, and common disease mechanisms. This consensus provides an update to the original definition and classification of dystonia with the aim of facilitating its clinical recognition and management. The revision retains the essence of the original proposal and aims particularly to provide a structure facilitating a uniform implementation. © 2025 The Author(s). Movement Disorders published by Wiley Periodicals LLC on behalf of International Parkinson and Movement Disorder Society.","container-title":"Movement Disorders","DOI":"10.1002/mds.30220","ISSN":"1531-8257","issue":"7","language":"en","license":"© 2025 The Author(s). Movement Disorders published by Wiley Periodicals LLC on behalf of International Parkinson and Movement Disorder Society.","note":"_eprint: https://movementdisorders.onlinelibrary.wiley.com/doi/pdf/10.1002/mds.30220","page":"1248-1259","source":"Wiley Online Library","title":"Definition and Classification of Dystonia","volume":"40","author":[{"family":"Albanese","given":"Alberto"},{"family":"Bhatia","given":"Kailash P."},{"family":"Fung","given":"Victor S.C."},{"family":"Hallett","given":"Mark"},{"family":"Jankovic","given":"Joseph"},{"family":"Klein","given":"Christine"},{"family":"Krauss","given":"Joachim K."},{"family":"Lang","given":"Anthony E."},{"family":"Mink","given":"Jonathan W."},{"family":"Pandey","given":"Sanjay"},{"family":"Teller","given":"Jan K."},{"family":"Tijssen","given":"Marina A.J."},{"family":"Vidailhet","given":"Marie"},{"family":"Jinnah","given":"H.a."}],"issued":{"date-parts":[["2025"]]}}}],"schema":"https://github.com/citation-style-language/schema/raw/master/csl-citation.json"} </w:instrText>
      </w:r>
      <w:r w:rsidR="00F965A5" w:rsidRPr="004E04BB">
        <w:rPr>
          <w:lang w:val="en-GB"/>
        </w:rPr>
        <w:fldChar w:fldCharType="separate"/>
      </w:r>
      <w:r w:rsidR="00F965A5" w:rsidRPr="004E04BB">
        <w:rPr>
          <w:noProof/>
          <w:lang w:val="en-GB"/>
        </w:rPr>
        <w:t>(1,2)</w:t>
      </w:r>
      <w:r w:rsidR="00F965A5" w:rsidRPr="004E04BB">
        <w:rPr>
          <w:lang w:val="en-GB"/>
        </w:rPr>
        <w:fldChar w:fldCharType="end"/>
      </w:r>
      <w:r w:rsidR="00E52967" w:rsidRPr="004E04BB">
        <w:rPr>
          <w:lang w:val="en-GB"/>
        </w:rPr>
        <w:t xml:space="preserve">. </w:t>
      </w:r>
      <w:r w:rsidR="009E6501" w:rsidRPr="004E04BB">
        <w:rPr>
          <w:lang w:val="en-GB"/>
        </w:rPr>
        <w:t>In Belgium, epidemiological data</w:t>
      </w:r>
      <w:r w:rsidR="00914624" w:rsidRPr="004E04BB">
        <w:rPr>
          <w:lang w:val="en-GB"/>
        </w:rPr>
        <w:t xml:space="preserve"> remain </w:t>
      </w:r>
      <w:r w:rsidR="00FA7F9E">
        <w:rPr>
          <w:lang w:val="en-GB"/>
        </w:rPr>
        <w:t xml:space="preserve">scarce but are </w:t>
      </w:r>
      <w:r w:rsidR="004D032C">
        <w:rPr>
          <w:lang w:val="en-GB"/>
        </w:rPr>
        <w:t xml:space="preserve">essential </w:t>
      </w:r>
      <w:r w:rsidR="00C32CEA">
        <w:rPr>
          <w:lang w:val="en-GB"/>
        </w:rPr>
        <w:t xml:space="preserve">for </w:t>
      </w:r>
      <w:r w:rsidR="004D032C">
        <w:rPr>
          <w:lang w:val="en-GB"/>
        </w:rPr>
        <w:t xml:space="preserve">diagnosis and policy </w:t>
      </w:r>
      <w:r w:rsidR="00F965A5" w:rsidRPr="004E04BB">
        <w:rPr>
          <w:lang w:val="en-GB"/>
        </w:rPr>
        <w:fldChar w:fldCharType="begin"/>
      </w:r>
      <w:r w:rsidR="00D71D34">
        <w:rPr>
          <w:lang w:val="en-GB"/>
        </w:rPr>
        <w:instrText xml:space="preserve"> ADDIN ZOTERO_ITEM CSL_CITATION {"citationID":"vKGXGZ5B","properties":{"formattedCitation":"(3)","plainCitation":"(3)","noteIndex":0},"citationItems":[{"id":371,"uris":["http://zotero.org/users/19213408/items/54WNN2VL"],"itemData":{"id":371,"type":"book","abstract":"The Dystonias is a new title introduced under the Contemporary Neurology Series defining the key features of one of the most frequently misdiagnosed of all movement disorders. This volume provides a comprehensive practical clinical resource that addresses how to recognize the many types of dystonia, how they are diagnosed and evaluated, and the currently available medical and surgical treatments. The dystonias are a heterogeneous group of disorders characterized by excessive muscle contractions leading to abnormal postures and movements. The clinical manifestations of dystonias are quite varied. The dystonias may emerge at any age from infancy through late adulthood, they may affect muscles in nearly any region of the body alone or in various combinations, they may occur without other clinical problems, or they may be combined with other neurological or systemic disorders. There are many causes for dystonia too, both acquired and inherited. The chapters explore the clinical manifestations and causes which are quite varied for all age groups. Among adults, the most common syndromes affect a single body region such as the neck (cervical dystonia or torticollis), craniofacial region (blepharospasm or oromandibular dystonia), one limb (writer's cramp or foot dystonia), the larynx (laryngeal dystonia or spasmodic dysphonia), or another region. For adults, most cases are idiopathic, and a cause cannot be found despite extensive workup. For children, dystonia often spreads to involve a broader region of the body, and a cause is more likely to be discovered. The most common syndromes among children include cerebral palsy or genetic disorders where dystonia may occur in isolation or combined with other clinical problems. The Dystonias will be the most useful guide for both pediatric and adult neurologists, as well as specialists in rehabilitation medicine or physiotherapy. This book will also be valuable for neurosurgeons, ophthalmologists, otolaryngologists, developmentalists, rehab specialists and physiotherapists.","DOI":"10.1093/med/9780197631966.003.0004","event-place":"New York","ISBN":"978-0-19-763196-6","language":"en","note":"Google-Books-ID: 3m5bEQAAQBAJ","number-of-pages":"421","publisher":"Oxford University Press","publisher-place":"New York","source":"Google Books","title":"The Dystonias","author":[{"family":"Jinnah","given":"H. A."},{"family":"Balint","given":"Bettina"},{"family":"Fung","given":"Victor S. C."}],"issued":{"date-parts":[["2025"]]}}}],"schema":"https://github.com/citation-style-language/schema/raw/master/csl-citation.json"} </w:instrText>
      </w:r>
      <w:r w:rsidR="00F965A5" w:rsidRPr="004E04BB">
        <w:rPr>
          <w:lang w:val="en-GB"/>
        </w:rPr>
        <w:fldChar w:fldCharType="separate"/>
      </w:r>
      <w:r w:rsidR="00D71D34">
        <w:rPr>
          <w:noProof/>
          <w:lang w:val="en-GB"/>
        </w:rPr>
        <w:t>(3)</w:t>
      </w:r>
      <w:r w:rsidR="00F965A5" w:rsidRPr="004E04BB">
        <w:rPr>
          <w:lang w:val="en-GB"/>
        </w:rPr>
        <w:fldChar w:fldCharType="end"/>
      </w:r>
      <w:r w:rsidR="009E6501" w:rsidRPr="004E04BB">
        <w:rPr>
          <w:lang w:val="en-GB"/>
        </w:rPr>
        <w:t xml:space="preserve">. </w:t>
      </w:r>
    </w:p>
    <w:p w14:paraId="46928DFF" w14:textId="719B505F" w:rsidR="00F43153" w:rsidRPr="004E04BB" w:rsidRDefault="00F43153" w:rsidP="005074A3">
      <w:pPr>
        <w:rPr>
          <w:lang w:val="en-GB"/>
        </w:rPr>
      </w:pPr>
    </w:p>
    <w:p w14:paraId="19D709AF" w14:textId="4168DA24" w:rsidR="003C4505" w:rsidRPr="004E04BB" w:rsidRDefault="003C4505" w:rsidP="003C4505">
      <w:pPr>
        <w:pStyle w:val="Titre2"/>
        <w:rPr>
          <w:rStyle w:val="Aucun"/>
          <w:lang w:val="en-GB"/>
        </w:rPr>
      </w:pPr>
      <w:r w:rsidRPr="004E04BB">
        <w:rPr>
          <w:rStyle w:val="Aucun"/>
          <w:lang w:val="en-GB"/>
        </w:rPr>
        <w:t>Methods</w:t>
      </w:r>
    </w:p>
    <w:p w14:paraId="699B2E4D" w14:textId="6CF161B0" w:rsidR="003C4505" w:rsidRPr="00C32CEA" w:rsidRDefault="00C65A70" w:rsidP="004E04BB">
      <w:pPr>
        <w:spacing w:line="300" w:lineRule="atLeast"/>
        <w:rPr>
          <w:b/>
          <w:bCs/>
          <w:lang w:val="en-GB"/>
        </w:rPr>
      </w:pPr>
      <w:r w:rsidRPr="004E04BB">
        <w:rPr>
          <w:lang w:val="en-GB"/>
        </w:rPr>
        <w:t xml:space="preserve">We </w:t>
      </w:r>
      <w:r w:rsidR="00252A00" w:rsidRPr="004E04BB">
        <w:rPr>
          <w:lang w:val="en-GB"/>
        </w:rPr>
        <w:t>conducted a</w:t>
      </w:r>
      <w:r w:rsidR="005A5D3E">
        <w:rPr>
          <w:lang w:val="en-GB"/>
        </w:rPr>
        <w:t xml:space="preserve"> two-year</w:t>
      </w:r>
      <w:r w:rsidR="00252A00" w:rsidRPr="004E04BB">
        <w:rPr>
          <w:lang w:val="en-GB"/>
        </w:rPr>
        <w:t xml:space="preserve"> observa</w:t>
      </w:r>
      <w:r w:rsidR="004E04BB">
        <w:rPr>
          <w:lang w:val="en-GB"/>
        </w:rPr>
        <w:t>tiona</w:t>
      </w:r>
      <w:r w:rsidR="00252A00" w:rsidRPr="004E04BB">
        <w:rPr>
          <w:lang w:val="en-GB"/>
        </w:rPr>
        <w:t xml:space="preserve">l study at the MD clinic of the </w:t>
      </w:r>
      <w:r w:rsidR="00FA7F9E">
        <w:rPr>
          <w:lang w:val="en-GB"/>
        </w:rPr>
        <w:t>University</w:t>
      </w:r>
      <w:r w:rsidR="00FA7F9E" w:rsidRPr="004E04BB">
        <w:rPr>
          <w:lang w:val="en-GB"/>
        </w:rPr>
        <w:t xml:space="preserve"> </w:t>
      </w:r>
      <w:r w:rsidR="00FA7F9E">
        <w:rPr>
          <w:lang w:val="en-GB"/>
        </w:rPr>
        <w:t>Hospital of</w:t>
      </w:r>
      <w:r w:rsidR="00252A00" w:rsidRPr="004E04BB">
        <w:rPr>
          <w:lang w:val="en-GB"/>
        </w:rPr>
        <w:t xml:space="preserve"> Liege, Belgium. C</w:t>
      </w:r>
      <w:r w:rsidR="00952465" w:rsidRPr="004E04BB">
        <w:rPr>
          <w:lang w:val="en-GB"/>
        </w:rPr>
        <w:t>linical and d</w:t>
      </w:r>
      <w:r w:rsidR="00252A00" w:rsidRPr="004E04BB">
        <w:rPr>
          <w:lang w:val="en-GB"/>
        </w:rPr>
        <w:t>e</w:t>
      </w:r>
      <w:r w:rsidR="00952465" w:rsidRPr="004E04BB">
        <w:rPr>
          <w:lang w:val="en-GB"/>
        </w:rPr>
        <w:t>mographic d</w:t>
      </w:r>
      <w:r w:rsidR="00B66E49" w:rsidRPr="004E04BB">
        <w:rPr>
          <w:lang w:val="en-GB"/>
        </w:rPr>
        <w:t xml:space="preserve">ata </w:t>
      </w:r>
      <w:r w:rsidR="00252A00" w:rsidRPr="004E04BB">
        <w:rPr>
          <w:lang w:val="en-GB"/>
        </w:rPr>
        <w:t>were collected</w:t>
      </w:r>
      <w:r w:rsidR="00F43153" w:rsidRPr="004E04BB">
        <w:rPr>
          <w:lang w:val="en-GB"/>
        </w:rPr>
        <w:t xml:space="preserve">. </w:t>
      </w:r>
      <w:r w:rsidR="00183816" w:rsidRPr="004E04BB">
        <w:rPr>
          <w:lang w:val="en-GB"/>
        </w:rPr>
        <w:t>Genetic</w:t>
      </w:r>
      <w:r w:rsidR="00952465" w:rsidRPr="004E04BB">
        <w:rPr>
          <w:lang w:val="en-GB"/>
        </w:rPr>
        <w:t xml:space="preserve"> </w:t>
      </w:r>
      <w:r w:rsidR="00914624" w:rsidRPr="004E04BB">
        <w:rPr>
          <w:lang w:val="en-GB"/>
        </w:rPr>
        <w:t>investigations</w:t>
      </w:r>
      <w:r w:rsidR="00952465" w:rsidRPr="004E04BB">
        <w:rPr>
          <w:lang w:val="en-GB"/>
        </w:rPr>
        <w:t xml:space="preserve"> included</w:t>
      </w:r>
      <w:r w:rsidR="004D032C">
        <w:rPr>
          <w:lang w:val="en-GB"/>
        </w:rPr>
        <w:t xml:space="preserve"> </w:t>
      </w:r>
      <w:r w:rsidR="004E04BB">
        <w:rPr>
          <w:lang w:val="en-GB"/>
        </w:rPr>
        <w:t>a</w:t>
      </w:r>
      <w:r w:rsidR="008A41B1" w:rsidRPr="004E04BB">
        <w:rPr>
          <w:lang w:val="en-GB"/>
        </w:rPr>
        <w:t xml:space="preserve"> </w:t>
      </w:r>
      <w:r w:rsidR="004E04BB" w:rsidRPr="004E04BB">
        <w:rPr>
          <w:lang w:val="en-GB"/>
        </w:rPr>
        <w:t xml:space="preserve">comprehensive </w:t>
      </w:r>
      <w:r w:rsidR="00EB1749">
        <w:rPr>
          <w:lang w:val="en-GB"/>
        </w:rPr>
        <w:t>N</w:t>
      </w:r>
      <w:r w:rsidR="003B0D3D">
        <w:rPr>
          <w:lang w:val="en-GB"/>
        </w:rPr>
        <w:t>ext-</w:t>
      </w:r>
      <w:r w:rsidR="00EB1749">
        <w:rPr>
          <w:lang w:val="en-GB"/>
        </w:rPr>
        <w:t>G</w:t>
      </w:r>
      <w:r w:rsidR="003B0D3D">
        <w:rPr>
          <w:lang w:val="en-GB"/>
        </w:rPr>
        <w:t xml:space="preserve">eneration </w:t>
      </w:r>
      <w:r w:rsidR="00EB1749">
        <w:rPr>
          <w:lang w:val="en-GB"/>
        </w:rPr>
        <w:t>S</w:t>
      </w:r>
      <w:r w:rsidR="003B0D3D">
        <w:rPr>
          <w:lang w:val="en-GB"/>
        </w:rPr>
        <w:t>equencing (</w:t>
      </w:r>
      <w:r w:rsidR="004E04BB" w:rsidRPr="004E04BB">
        <w:rPr>
          <w:lang w:val="en-GB"/>
        </w:rPr>
        <w:t>NGS</w:t>
      </w:r>
      <w:r w:rsidR="003B0D3D">
        <w:rPr>
          <w:lang w:val="en-GB"/>
        </w:rPr>
        <w:t>)</w:t>
      </w:r>
      <w:r w:rsidR="004E04BB" w:rsidRPr="004E04BB">
        <w:rPr>
          <w:lang w:val="en-GB"/>
        </w:rPr>
        <w:t xml:space="preserve"> panel targeting MD gene</w:t>
      </w:r>
      <w:r w:rsidR="004D032C">
        <w:rPr>
          <w:b/>
          <w:bCs/>
          <w:lang w:val="en-GB"/>
        </w:rPr>
        <w:t>s</w:t>
      </w:r>
      <w:r w:rsidR="004D032C" w:rsidRPr="00C32CEA">
        <w:rPr>
          <w:lang w:val="en-GB"/>
        </w:rPr>
        <w:t>, with escalation to whole-exome sequencing (WES)</w:t>
      </w:r>
      <w:r w:rsidR="00FA7F9E">
        <w:rPr>
          <w:lang w:val="en-GB"/>
        </w:rPr>
        <w:t xml:space="preserve"> </w:t>
      </w:r>
      <w:r w:rsidR="004D032C" w:rsidRPr="00C32CEA">
        <w:rPr>
          <w:lang w:val="en-GB"/>
        </w:rPr>
        <w:t>or comparative genomic hybridisation (CGH) when indicated.</w:t>
      </w:r>
    </w:p>
    <w:p w14:paraId="05E34EE1" w14:textId="77777777" w:rsidR="003C4505" w:rsidRPr="004E04BB" w:rsidRDefault="003C4505" w:rsidP="003C4505">
      <w:pPr>
        <w:rPr>
          <w:lang w:val="en-GB"/>
        </w:rPr>
      </w:pPr>
    </w:p>
    <w:p w14:paraId="5C0B91E8" w14:textId="7B9D35E1" w:rsidR="003C4505" w:rsidRPr="004E04BB" w:rsidRDefault="003C4505" w:rsidP="003C4505">
      <w:pPr>
        <w:pStyle w:val="Titre2"/>
        <w:rPr>
          <w:rStyle w:val="Aucun"/>
          <w:lang w:val="en-GB"/>
        </w:rPr>
      </w:pPr>
      <w:r w:rsidRPr="004E04BB">
        <w:rPr>
          <w:rStyle w:val="Aucun"/>
          <w:lang w:val="en-GB"/>
        </w:rPr>
        <w:t>Results</w:t>
      </w:r>
    </w:p>
    <w:p w14:paraId="080AD993" w14:textId="44835AE0" w:rsidR="00FA4E1C" w:rsidRPr="00C32CEA" w:rsidRDefault="002262F3" w:rsidP="008E3862">
      <w:pPr>
        <w:rPr>
          <w:lang w:val="nl-BE"/>
        </w:rPr>
      </w:pPr>
      <w:r w:rsidRPr="004E04BB">
        <w:rPr>
          <w:lang w:val="en-GB"/>
        </w:rPr>
        <w:t>A total of 488 patients with hyperkinetic MD were included</w:t>
      </w:r>
      <w:r w:rsidR="00EB1749">
        <w:rPr>
          <w:lang w:val="en-GB"/>
        </w:rPr>
        <w:t>; dystonia was</w:t>
      </w:r>
      <w:r w:rsidRPr="004E04BB">
        <w:rPr>
          <w:lang w:val="en-GB"/>
        </w:rPr>
        <w:t xml:space="preserve"> </w:t>
      </w:r>
      <w:r w:rsidR="00EB1749">
        <w:rPr>
          <w:lang w:val="en-GB"/>
        </w:rPr>
        <w:t>t</w:t>
      </w:r>
      <w:r w:rsidRPr="004E04BB">
        <w:rPr>
          <w:lang w:val="en-GB"/>
        </w:rPr>
        <w:t xml:space="preserve">he most frequent subtype (66%) (Figure 1). </w:t>
      </w:r>
      <w:r w:rsidR="00A27BEA" w:rsidRPr="004E04BB">
        <w:rPr>
          <w:lang w:val="en-GB"/>
        </w:rPr>
        <w:t xml:space="preserve">Among </w:t>
      </w:r>
      <w:r w:rsidR="005B102E">
        <w:rPr>
          <w:lang w:val="en-GB"/>
        </w:rPr>
        <w:t>patients</w:t>
      </w:r>
      <w:r w:rsidR="005023A7">
        <w:rPr>
          <w:lang w:val="en-GB"/>
        </w:rPr>
        <w:t xml:space="preserve"> with </w:t>
      </w:r>
      <w:r w:rsidR="005B102E">
        <w:rPr>
          <w:lang w:val="en-GB"/>
        </w:rPr>
        <w:t xml:space="preserve">dystonia </w:t>
      </w:r>
      <w:r w:rsidR="004D032C">
        <w:rPr>
          <w:lang w:val="en-GB"/>
        </w:rPr>
        <w:t>(n=32</w:t>
      </w:r>
      <w:r w:rsidR="002D56AA">
        <w:rPr>
          <w:lang w:val="en-GB"/>
        </w:rPr>
        <w:t>3</w:t>
      </w:r>
      <w:r w:rsidR="004D032C">
        <w:rPr>
          <w:lang w:val="en-GB"/>
        </w:rPr>
        <w:t>)</w:t>
      </w:r>
      <w:r w:rsidR="005B102E">
        <w:rPr>
          <w:lang w:val="en-GB"/>
        </w:rPr>
        <w:t>, a confirmed</w:t>
      </w:r>
      <w:r w:rsidR="005023A7">
        <w:rPr>
          <w:lang w:val="en-GB"/>
        </w:rPr>
        <w:t xml:space="preserve"> </w:t>
      </w:r>
      <w:r w:rsidR="005B102E">
        <w:rPr>
          <w:lang w:val="en-GB"/>
        </w:rPr>
        <w:t>genetic</w:t>
      </w:r>
      <w:r w:rsidR="005023A7">
        <w:rPr>
          <w:lang w:val="en-GB"/>
        </w:rPr>
        <w:t xml:space="preserve"> </w:t>
      </w:r>
      <w:r w:rsidR="005B102E">
        <w:rPr>
          <w:lang w:val="en-GB"/>
        </w:rPr>
        <w:t>diagnosis</w:t>
      </w:r>
      <w:r w:rsidR="00E52967" w:rsidRPr="004E04BB">
        <w:rPr>
          <w:lang w:val="en-GB"/>
        </w:rPr>
        <w:t xml:space="preserve"> </w:t>
      </w:r>
      <w:r w:rsidR="00403B1D" w:rsidRPr="004E04BB">
        <w:rPr>
          <w:lang w:val="en-GB"/>
        </w:rPr>
        <w:t xml:space="preserve">was </w:t>
      </w:r>
      <w:r w:rsidR="005B102E">
        <w:rPr>
          <w:lang w:val="en-GB"/>
        </w:rPr>
        <w:t>established</w:t>
      </w:r>
      <w:r w:rsidR="00B66E49" w:rsidRPr="004E04BB">
        <w:rPr>
          <w:lang w:val="en-GB"/>
        </w:rPr>
        <w:t xml:space="preserve"> </w:t>
      </w:r>
      <w:r w:rsidR="00403B1D" w:rsidRPr="004E04BB">
        <w:rPr>
          <w:lang w:val="en-GB"/>
        </w:rPr>
        <w:t xml:space="preserve">in </w:t>
      </w:r>
      <w:r w:rsidR="005023A7">
        <w:rPr>
          <w:lang w:val="en-GB"/>
        </w:rPr>
        <w:t>14</w:t>
      </w:r>
      <w:r w:rsidR="004D032C">
        <w:rPr>
          <w:lang w:val="en-GB"/>
        </w:rPr>
        <w:t>.</w:t>
      </w:r>
      <w:r w:rsidR="005B102E">
        <w:rPr>
          <w:lang w:val="en-GB"/>
        </w:rPr>
        <w:t>6</w:t>
      </w:r>
      <w:r w:rsidR="00A27BEA" w:rsidRPr="004E04BB">
        <w:rPr>
          <w:lang w:val="en-GB"/>
        </w:rPr>
        <w:t>%</w:t>
      </w:r>
      <w:r w:rsidR="00EB1749">
        <w:rPr>
          <w:lang w:val="en-GB"/>
        </w:rPr>
        <w:t>,</w:t>
      </w:r>
      <w:r w:rsidR="005B102E">
        <w:rPr>
          <w:lang w:val="en-GB"/>
        </w:rPr>
        <w:t xml:space="preserve"> higher</w:t>
      </w:r>
      <w:r w:rsidR="005023A7">
        <w:rPr>
          <w:lang w:val="en-GB"/>
        </w:rPr>
        <w:t xml:space="preserve"> </w:t>
      </w:r>
      <w:r w:rsidR="00B66E49" w:rsidRPr="004E04BB">
        <w:rPr>
          <w:lang w:val="en-GB"/>
        </w:rPr>
        <w:t>in p</w:t>
      </w:r>
      <w:r w:rsidR="008E3862" w:rsidRPr="004E04BB">
        <w:rPr>
          <w:lang w:val="en-GB"/>
        </w:rPr>
        <w:t>a</w:t>
      </w:r>
      <w:r w:rsidR="00B66E49" w:rsidRPr="004E04BB">
        <w:rPr>
          <w:lang w:val="en-GB"/>
        </w:rPr>
        <w:t>ediatric</w:t>
      </w:r>
      <w:r w:rsidR="005B102E">
        <w:rPr>
          <w:lang w:val="en-GB"/>
        </w:rPr>
        <w:t>-onset</w:t>
      </w:r>
      <w:r w:rsidR="00B66E49" w:rsidRPr="004E04BB">
        <w:rPr>
          <w:lang w:val="en-GB"/>
        </w:rPr>
        <w:t xml:space="preserve"> </w:t>
      </w:r>
      <w:r w:rsidR="005B102E">
        <w:rPr>
          <w:lang w:val="en-GB"/>
        </w:rPr>
        <w:t>cases</w:t>
      </w:r>
      <w:r w:rsidR="008E3862" w:rsidRPr="004E04BB">
        <w:rPr>
          <w:lang w:val="en-GB"/>
        </w:rPr>
        <w:t xml:space="preserve"> (</w:t>
      </w:r>
      <w:r w:rsidR="005023A7">
        <w:rPr>
          <w:lang w:val="en-GB"/>
        </w:rPr>
        <w:t>4</w:t>
      </w:r>
      <w:r w:rsidR="005B102E">
        <w:rPr>
          <w:lang w:val="en-GB"/>
        </w:rPr>
        <w:t>0</w:t>
      </w:r>
      <w:r w:rsidR="008402D6">
        <w:rPr>
          <w:lang w:val="en-GB"/>
        </w:rPr>
        <w:t>.</w:t>
      </w:r>
      <w:r w:rsidR="005023A7">
        <w:rPr>
          <w:lang w:val="en-GB"/>
        </w:rPr>
        <w:t>4</w:t>
      </w:r>
      <w:r w:rsidR="008E3862" w:rsidRPr="004E04BB">
        <w:rPr>
          <w:lang w:val="en-GB"/>
        </w:rPr>
        <w:t>%</w:t>
      </w:r>
      <w:r w:rsidR="005023A7">
        <w:rPr>
          <w:lang w:val="en-GB"/>
        </w:rPr>
        <w:t>; 3</w:t>
      </w:r>
      <w:r w:rsidR="005B102E">
        <w:rPr>
          <w:lang w:val="en-GB"/>
        </w:rPr>
        <w:t>6</w:t>
      </w:r>
      <w:r w:rsidR="005023A7">
        <w:rPr>
          <w:lang w:val="en-GB"/>
        </w:rPr>
        <w:t>/</w:t>
      </w:r>
      <w:r w:rsidR="005B102E">
        <w:rPr>
          <w:lang w:val="en-GB"/>
        </w:rPr>
        <w:t>89</w:t>
      </w:r>
      <w:r w:rsidR="005023A7">
        <w:rPr>
          <w:lang w:val="en-GB"/>
        </w:rPr>
        <w:t>)</w:t>
      </w:r>
      <w:r w:rsidR="008E3862" w:rsidRPr="004E04BB">
        <w:rPr>
          <w:lang w:val="en-GB"/>
        </w:rPr>
        <w:t xml:space="preserve"> </w:t>
      </w:r>
      <w:r w:rsidR="005B102E">
        <w:rPr>
          <w:lang w:val="en-GB"/>
        </w:rPr>
        <w:t xml:space="preserve">than </w:t>
      </w:r>
      <w:r w:rsidR="00FA7F9E">
        <w:rPr>
          <w:lang w:val="en-GB"/>
        </w:rPr>
        <w:t xml:space="preserve">in </w:t>
      </w:r>
      <w:r w:rsidR="00EF2CB7" w:rsidRPr="004E04BB">
        <w:rPr>
          <w:lang w:val="en-GB"/>
        </w:rPr>
        <w:t>adults</w:t>
      </w:r>
      <w:r w:rsidR="005023A7">
        <w:rPr>
          <w:lang w:val="en-GB"/>
        </w:rPr>
        <w:t xml:space="preserve"> (</w:t>
      </w:r>
      <w:r w:rsidR="00B60776">
        <w:rPr>
          <w:lang w:val="en-GB"/>
        </w:rPr>
        <w:t>5,1</w:t>
      </w:r>
      <w:r w:rsidR="005023A7">
        <w:rPr>
          <w:lang w:val="en-GB"/>
        </w:rPr>
        <w:t xml:space="preserve">%; </w:t>
      </w:r>
      <w:r w:rsidR="005B102E">
        <w:rPr>
          <w:lang w:val="en-GB"/>
        </w:rPr>
        <w:t>1</w:t>
      </w:r>
      <w:r w:rsidR="00B60776">
        <w:rPr>
          <w:lang w:val="en-GB"/>
        </w:rPr>
        <w:t>2</w:t>
      </w:r>
      <w:r w:rsidR="005023A7">
        <w:rPr>
          <w:lang w:val="en-GB"/>
        </w:rPr>
        <w:t>/</w:t>
      </w:r>
      <w:r w:rsidR="005B102E">
        <w:rPr>
          <w:lang w:val="en-GB"/>
        </w:rPr>
        <w:t>23</w:t>
      </w:r>
      <w:r w:rsidR="00B60776">
        <w:rPr>
          <w:lang w:val="en-GB"/>
        </w:rPr>
        <w:t>4</w:t>
      </w:r>
      <w:r w:rsidR="008E3862" w:rsidRPr="004E04BB">
        <w:rPr>
          <w:lang w:val="en-GB"/>
        </w:rPr>
        <w:t>)</w:t>
      </w:r>
      <w:r w:rsidR="00EF2CB7" w:rsidRPr="004E04BB">
        <w:rPr>
          <w:lang w:val="en-GB"/>
        </w:rPr>
        <w:t xml:space="preserve">. </w:t>
      </w:r>
      <w:r w:rsidR="00EB1749">
        <w:rPr>
          <w:lang w:val="en-GB"/>
        </w:rPr>
        <w:t xml:space="preserve">NGS panels </w:t>
      </w:r>
      <w:r w:rsidR="00EB1749" w:rsidRPr="00C32CEA">
        <w:rPr>
          <w:lang w:val="en-GB"/>
        </w:rPr>
        <w:t>yield</w:t>
      </w:r>
      <w:r w:rsidR="00FA7F9E" w:rsidRPr="00C32CEA">
        <w:rPr>
          <w:lang w:val="en-GB"/>
        </w:rPr>
        <w:t>ed</w:t>
      </w:r>
      <w:r w:rsidR="00EB1749" w:rsidRPr="00C32CEA">
        <w:rPr>
          <w:lang w:val="en-GB"/>
        </w:rPr>
        <w:t xml:space="preserve"> 10.3% overall, rising to 27.7% in paediatric cases. </w:t>
      </w:r>
      <w:r w:rsidR="00EB1749" w:rsidRPr="00C32CEA">
        <w:rPr>
          <w:lang w:val="nl-BE"/>
        </w:rPr>
        <w:t>WES and CGH, applied in selected cohorts, achieved high yields (&gt;75%).</w:t>
      </w:r>
      <w:r w:rsidR="00FA7F9E">
        <w:rPr>
          <w:lang w:val="nl-BE"/>
        </w:rPr>
        <w:t xml:space="preserve"> </w:t>
      </w:r>
      <w:r w:rsidR="00EF2CB7" w:rsidRPr="004E04BB">
        <w:rPr>
          <w:lang w:val="en-GB"/>
        </w:rPr>
        <w:t>The most frequent genes were</w:t>
      </w:r>
      <w:r w:rsidR="00815865" w:rsidRPr="004E04BB">
        <w:rPr>
          <w:lang w:val="en-GB"/>
        </w:rPr>
        <w:t xml:space="preserve"> </w:t>
      </w:r>
      <w:r w:rsidR="00920085" w:rsidRPr="004E04BB">
        <w:rPr>
          <w:i/>
          <w:iCs/>
          <w:lang w:val="en-GB"/>
        </w:rPr>
        <w:t>SGCE</w:t>
      </w:r>
      <w:r w:rsidR="00920085" w:rsidRPr="004E04BB">
        <w:rPr>
          <w:lang w:val="en-GB"/>
        </w:rPr>
        <w:t xml:space="preserve"> and </w:t>
      </w:r>
      <w:r w:rsidR="00920085" w:rsidRPr="004E04BB">
        <w:rPr>
          <w:i/>
          <w:iCs/>
          <w:lang w:val="en-GB"/>
        </w:rPr>
        <w:t>THAP1</w:t>
      </w:r>
      <w:r w:rsidR="005023A7">
        <w:rPr>
          <w:lang w:val="en-GB"/>
        </w:rPr>
        <w:t xml:space="preserve">, followed by </w:t>
      </w:r>
      <w:r w:rsidR="005023A7" w:rsidRPr="005023A7">
        <w:rPr>
          <w:i/>
          <w:iCs/>
          <w:lang w:val="en-GB"/>
        </w:rPr>
        <w:t>MYH3</w:t>
      </w:r>
      <w:r w:rsidR="005023A7">
        <w:rPr>
          <w:lang w:val="en-GB"/>
        </w:rPr>
        <w:t xml:space="preserve">, </w:t>
      </w:r>
      <w:r w:rsidR="005023A7" w:rsidRPr="005023A7">
        <w:rPr>
          <w:i/>
          <w:iCs/>
          <w:lang w:val="en-GB"/>
        </w:rPr>
        <w:t>PANK2</w:t>
      </w:r>
      <w:r w:rsidR="005023A7">
        <w:rPr>
          <w:lang w:val="en-GB"/>
        </w:rPr>
        <w:t xml:space="preserve">, </w:t>
      </w:r>
      <w:r w:rsidR="005023A7" w:rsidRPr="005023A7">
        <w:rPr>
          <w:i/>
          <w:iCs/>
          <w:lang w:val="en-GB"/>
        </w:rPr>
        <w:t>TOR1A</w:t>
      </w:r>
      <w:r w:rsidR="005023A7">
        <w:rPr>
          <w:lang w:val="en-GB"/>
        </w:rPr>
        <w:t xml:space="preserve">, </w:t>
      </w:r>
      <w:r w:rsidR="005023A7" w:rsidRPr="005023A7">
        <w:rPr>
          <w:i/>
          <w:iCs/>
          <w:lang w:val="en-GB"/>
        </w:rPr>
        <w:t>KMT2B</w:t>
      </w:r>
      <w:r w:rsidR="005023A7">
        <w:rPr>
          <w:lang w:val="en-GB"/>
        </w:rPr>
        <w:t xml:space="preserve">, </w:t>
      </w:r>
      <w:r w:rsidR="005023A7" w:rsidRPr="005023A7">
        <w:rPr>
          <w:i/>
          <w:iCs/>
          <w:lang w:val="en-GB"/>
        </w:rPr>
        <w:t>ATP7B</w:t>
      </w:r>
      <w:r w:rsidR="005023A7">
        <w:rPr>
          <w:lang w:val="en-GB"/>
        </w:rPr>
        <w:t xml:space="preserve"> and </w:t>
      </w:r>
      <w:r w:rsidR="005023A7" w:rsidRPr="005023A7">
        <w:rPr>
          <w:i/>
          <w:iCs/>
          <w:lang w:val="en-GB"/>
        </w:rPr>
        <w:t>FA2H</w:t>
      </w:r>
      <w:r w:rsidR="005023A7">
        <w:rPr>
          <w:lang w:val="en-GB"/>
        </w:rPr>
        <w:t>.</w:t>
      </w:r>
    </w:p>
    <w:p w14:paraId="121FBB88" w14:textId="77777777" w:rsidR="003C4505" w:rsidRPr="004E04BB" w:rsidRDefault="003C4505" w:rsidP="003C4505">
      <w:pPr>
        <w:rPr>
          <w:lang w:val="en-GB"/>
        </w:rPr>
      </w:pPr>
    </w:p>
    <w:p w14:paraId="10924F89" w14:textId="5E8D18F1" w:rsidR="003C4505" w:rsidRPr="004E04BB" w:rsidRDefault="003C4505" w:rsidP="003C4505">
      <w:pPr>
        <w:pStyle w:val="Titre2"/>
        <w:rPr>
          <w:rStyle w:val="Aucun"/>
          <w:lang w:val="en-GB"/>
        </w:rPr>
      </w:pPr>
      <w:r w:rsidRPr="004E04BB">
        <w:rPr>
          <w:rStyle w:val="Aucun"/>
          <w:lang w:val="en-GB"/>
        </w:rPr>
        <w:t>Conclusion</w:t>
      </w:r>
    </w:p>
    <w:p w14:paraId="66FC0029" w14:textId="483A59C5" w:rsidR="00946903" w:rsidRPr="005023A7" w:rsidRDefault="001855FA" w:rsidP="003B0D3D">
      <w:pPr>
        <w:spacing w:line="300" w:lineRule="atLeast"/>
        <w:rPr>
          <w:lang w:val="en-GB"/>
        </w:rPr>
      </w:pPr>
      <w:r w:rsidRPr="004E04BB">
        <w:rPr>
          <w:lang w:val="en-GB"/>
        </w:rPr>
        <w:t>Dystonia</w:t>
      </w:r>
      <w:r w:rsidR="00A27BEA" w:rsidRPr="004E04BB">
        <w:rPr>
          <w:lang w:val="en-GB"/>
        </w:rPr>
        <w:t xml:space="preserve"> wa</w:t>
      </w:r>
      <w:r w:rsidRPr="004E04BB">
        <w:rPr>
          <w:lang w:val="en-GB"/>
        </w:rPr>
        <w:t>s the</w:t>
      </w:r>
      <w:r w:rsidR="00FA7F9E">
        <w:rPr>
          <w:lang w:val="en-GB"/>
        </w:rPr>
        <w:t xml:space="preserve"> predominant </w:t>
      </w:r>
      <w:r w:rsidRPr="004E04BB">
        <w:rPr>
          <w:lang w:val="en-GB"/>
        </w:rPr>
        <w:t>hyperkinetic MD in our centre</w:t>
      </w:r>
      <w:r w:rsidR="005355F9" w:rsidRPr="004E04BB">
        <w:rPr>
          <w:lang w:val="en-GB"/>
        </w:rPr>
        <w:t>,</w:t>
      </w:r>
      <w:r w:rsidR="00A27BEA" w:rsidRPr="004E04BB">
        <w:rPr>
          <w:lang w:val="en-GB"/>
        </w:rPr>
        <w:t xml:space="preserve"> contrast</w:t>
      </w:r>
      <w:r w:rsidR="003B0D3D">
        <w:rPr>
          <w:lang w:val="en-GB"/>
        </w:rPr>
        <w:t>ing</w:t>
      </w:r>
      <w:r w:rsidR="005355F9" w:rsidRPr="004E04BB">
        <w:rPr>
          <w:lang w:val="en-GB"/>
        </w:rPr>
        <w:t xml:space="preserve"> with</w:t>
      </w:r>
      <w:r w:rsidRPr="004E04BB">
        <w:rPr>
          <w:lang w:val="en-GB"/>
        </w:rPr>
        <w:t xml:space="preserve"> neighbouring countries</w:t>
      </w:r>
      <w:r w:rsidR="00F965A5" w:rsidRPr="004E04BB">
        <w:rPr>
          <w:lang w:val="en-GB"/>
        </w:rPr>
        <w:t xml:space="preserve"> </w:t>
      </w:r>
      <w:r w:rsidR="00F965A5" w:rsidRPr="004E04BB">
        <w:rPr>
          <w:lang w:val="en-GB"/>
        </w:rPr>
        <w:fldChar w:fldCharType="begin"/>
      </w:r>
      <w:r w:rsidR="00D71D34">
        <w:rPr>
          <w:lang w:val="en-GB"/>
        </w:rPr>
        <w:instrText xml:space="preserve"> ADDIN ZOTERO_ITEM CSL_CITATION {"citationID":"bcUQwg3A","properties":{"formattedCitation":"(3\\uc0\\u8211{}5)","plainCitation":"(3–5)","noteIndex":0},"citationItems":[{"id":371,"uris":["http://zotero.org/users/19213408/items/54WNN2VL"],"itemData":{"id":371,"type":"book","abstract":"The Dystonias is a new title introduced under the Contemporary Neurology Series defining the key features of one of the most frequently misdiagnosed of all movement disorders. This volume provides a comprehensive practical clinical resource that addresses how to recognize the many types of dystonia, how they are diagnosed and evaluated, and the currently available medical and surgical treatments. The dystonias are a heterogeneous group of disorders characterized by excessive muscle contractions leading to abnormal postures and movements. The clinical manifestations of dystonias are quite varied. The dystonias may emerge at any age from infancy through late adulthood, they may affect muscles in nearly any region of the body alone or in various combinations, they may occur without other clinical problems, or they may be combined with other neurological or systemic disorders. There are many causes for dystonia too, both acquired and inherited. The chapters explore the clinical manifestations and causes which are quite varied for all age groups. Among adults, the most common syndromes affect a single body region such as the neck (cervical dystonia or torticollis), craniofacial region (blepharospasm or oromandibular dystonia), one limb (writer's cramp or foot dystonia), the larynx (laryngeal dystonia or spasmodic dysphonia), or another region. For adults, most cases are idiopathic, and a cause cannot be found despite extensive workup. For children, dystonia often spreads to involve a broader region of the body, and a cause is more likely to be discovered. The most common syndromes among children include cerebral palsy or genetic disorders where dystonia may occur in isolation or combined with other clinical problems. The Dystonias will be the most useful guide for both pediatric and adult neurologists, as well as specialists in rehabilitation medicine or physiotherapy. This book will also be valuable for neurosurgeons, ophthalmologists, otolaryngologists, developmentalists, rehab specialists and physiotherapists.","DOI":"10.1093/med/9780197631966.003.0004","event-place":"New York","ISBN":"978-0-19-763196-6","language":"en","note":"Google-Books-ID: 3m5bEQAAQBAJ","number-of-pages":"421","publisher":"Oxford University Press","publisher-place":"New York","source":"Google Books","title":"The Dystonias","author":[{"family":"Jinnah","given":"H. A."},{"family":"Balint","given":"Bettina"},{"family":"Fung","given":"Victor S. C."}],"issued":{"date-parts":[["2025"]]}}},{"id":302,"uris":["http://zotero.org/users/19213408/items/CVSC6NPJ"],"itemData":{"id":302,"type":"article-journal","abstract":"&lt;p&gt; The prevalence of dystonia has been studied since the 1980s. Due to different methodologies and due to varying degrees of awareness, resulting figures have been extremely different. We wanted to determine the prevalence of dystonia according to its current definition, using quality-approved registries and based on its relevance for patients, their therapy and the health care system. We applied a service-based chart review design with the City of Hannover as reference area and a population of 525,731. Barrier-free comprehensive dystonia treatment in few highly specialised centres for the last 30 years should have generated maximal dystonia awareness, a minimum of unreported cases and a high degree of data homogeneity. Prevalence [ &lt;italic&gt;n&lt;/italic&gt; /1mio] and relative frequency is 601.1 (100%) for all forms of dystonia, 251.1 (42%) for cervical dystonia, 87.5 (15%) for blepharospasm, 55.2 (9%) for writer’s cramp, 38.0 (6%) for tardive dystonia, 32.3 (5%) for musician’s dystonia, 28.5 (5%) for psychogenic dystonia, 26.6 (4%) for generalised dystonia, 24.7 (4%) for spasmodic dysphonia, 20.9 (3%) for segmental dystonia, 15.2 (3%) for arm dystonia and 13.3 (2%) for oromandibular dystonia. Leg dystonia, hemidystonia and complex regional pain syndrome-associated dystonia are very rare. Compared to previous meta-analytical data, primary or isolated dystonia is 3.3 times more frequent in our study. When all forms of dystonia including psychogenic, generalised, tardive and other symptomatic dystonias are considered, our dystonia prevalence is 3.7 times higher than believed before. The real prevalence is likely to be even higher. Having based our study on treatment necessity, our data will allow better allocation of resources for comprehensive dystonia treatment. &lt;/p&gt;","container-title":"Journal of Neurology","DOI":"10.1007/s00415-022-11310-9","issue":"12","page":"6483-6493","title":"The epidemiology of dystonia: the Hannover epidemiology study","volume":"269","author":[{"family":"Dressler","given":"Dirk"},{"family":"Altenmüller","given":"Eckart"},{"family":"Giess","given":"Ralf"},{"family":"Krauss","given":"Joachim K."},{"family":"Adib Saberi","given":"Fereshte"}],"issued":{"date-parts":[["2022",12]]}}},{"id":263,"uris":["http://zotero.org/users/19213408/items/QDUELLUV"],"itemData":{"id":263,"type":"article-journal","abstract":"BACKGROUND Adult onset idiopathic isolated focal dystonia presents with a number of phenotypes. Reported prevalence rates vary considerably; well-characterized cohorts are important to our understanding of this disorder. AIM To perform a nationwide epidemiological study of adult onset idiopathic isolated focal dystonia in the Republic of Ireland. METHODS Patients with adult onset idiopathic isolated focal dystonia were recruited from multiple sources. Diagnosis was based on assessment by a neurologist with an expertise in movement disorders. When consent was obtained, a number of clinical features including family history were assessed. RESULTS On the prevalence date there were 592 individuals in Ireland with adult onset idiopathic isolated focal dystonia, a point prevalence of 17.8 per 100 000 (95% confidence interval 16.4-19.2). Phenotype numbers were cervical dystonia 410 (69.2%), blepharospasm 102 (17.2%), focal hand dystonia 39 (6.6%), spasmodic dysphonia 18 (3.0%), musician's dystonia 17 (2.9%) and oromandibular dystonia six (1.0%). Sixty-two (16.5%) of 375 consenting index cases had a relative with clinically confirmed adult onset idiopathic isolated focal dystonia (18 multiplex and 24 duplex families). Marked variations in the proportions of patients with tremor, segmental spread, sensory tricks, pain and psychiatric symptoms by phenotype were documented. CONCLUSIONS The prevalence of adult onset idiopathic isolated focal dystonia in Ireland is higher than that recorded in many similar service-based epidemiological studies but is still likely to be an underestimate. The low proportion of individuals with blepharospasm may reflect reduced environmental exposure to sunlight in Ireland. This study will serve as a resource for international comparative studies of environmental and genetic factors in the pathogenesis of the disorder.","container-title":"European journal of neurology","DOI":"10.1111/ene.13133","issue":"1","page":"73-81","title":"Epidemiological, clinical and genetic aspects of adult onset isolated focal dystonia in Ireland.","volume":"24","author":[{"family":"Williams","given":"L"},{"family":"McGovern","given":"E"},{"family":"Kimmich","given":"O"},{"family":"Molloy","given":"A"},{"family":"Beiser","given":"I"},{"family":"Butler","given":"J S"},{"family":"Molloy","given":"F"},{"family":"Logan","given":"P"},{"family":"Healy","given":"D G"},{"family":"Lynch","given":"T"},{"family":"Walsh","given":"R"},{"family":"Cassidy","given":"L"},{"family":"Moriarty","given":"P"},{"family":"Moore","given":"H"},{"family":"McSwiney","given":"T"},{"family":"Walsh","given":"C"},{"family":"O'Riordan","given":"S"},{"family":"Hutchinson","given":"M"}],"issued":{"date-parts":[["2017",1]]}}}],"schema":"https://github.com/citation-style-language/schema/raw/master/csl-citation.json"} </w:instrText>
      </w:r>
      <w:r w:rsidR="00F965A5" w:rsidRPr="004E04BB">
        <w:rPr>
          <w:lang w:val="en-GB"/>
        </w:rPr>
        <w:fldChar w:fldCharType="separate"/>
      </w:r>
      <w:r w:rsidR="00D71D34" w:rsidRPr="00D71D34">
        <w:rPr>
          <w:rFonts w:eastAsiaTheme="minorHAnsi"/>
          <w:lang w:val="nl-BE" w:eastAsia="en-US"/>
          <w14:ligatures w14:val="standardContextual"/>
        </w:rPr>
        <w:t>(3–5)</w:t>
      </w:r>
      <w:r w:rsidR="00F965A5" w:rsidRPr="004E04BB">
        <w:rPr>
          <w:lang w:val="en-GB"/>
        </w:rPr>
        <w:fldChar w:fldCharType="end"/>
      </w:r>
      <w:r w:rsidR="00C32CEA">
        <w:rPr>
          <w:lang w:val="en-GB"/>
        </w:rPr>
        <w:t>, likely reflecting o</w:t>
      </w:r>
      <w:r w:rsidR="004D032C">
        <w:rPr>
          <w:lang w:val="en-GB"/>
        </w:rPr>
        <w:t>ur</w:t>
      </w:r>
      <w:r w:rsidR="004E04BB" w:rsidRPr="004E04BB">
        <w:rPr>
          <w:lang w:val="en-GB"/>
        </w:rPr>
        <w:t xml:space="preserve"> tertiary referral </w:t>
      </w:r>
      <w:r w:rsidR="00C32CEA">
        <w:rPr>
          <w:lang w:val="en-GB"/>
        </w:rPr>
        <w:t>setting w</w:t>
      </w:r>
      <w:r w:rsidR="004E04BB" w:rsidRPr="004E04BB">
        <w:rPr>
          <w:lang w:val="en-GB"/>
        </w:rPr>
        <w:t>ith a dedicated botulinum toxin</w:t>
      </w:r>
      <w:r w:rsidR="00C32CEA">
        <w:rPr>
          <w:lang w:val="en-GB"/>
        </w:rPr>
        <w:t xml:space="preserve"> clinic</w:t>
      </w:r>
      <w:r w:rsidR="004E04BB" w:rsidRPr="004E04BB">
        <w:rPr>
          <w:lang w:val="en-GB"/>
        </w:rPr>
        <w:t>.</w:t>
      </w:r>
      <w:r w:rsidR="005A5D3E">
        <w:rPr>
          <w:lang w:val="en-GB"/>
        </w:rPr>
        <w:t xml:space="preserve"> </w:t>
      </w:r>
      <w:r w:rsidR="005023A7">
        <w:rPr>
          <w:lang w:val="en-GB"/>
        </w:rPr>
        <w:t>The higher solve</w:t>
      </w:r>
      <w:r w:rsidR="005A5D3E" w:rsidRPr="004E04BB">
        <w:rPr>
          <w:lang w:val="en-GB"/>
        </w:rPr>
        <w:t xml:space="preserve"> </w:t>
      </w:r>
      <w:r w:rsidR="005023A7">
        <w:rPr>
          <w:lang w:val="en-GB"/>
        </w:rPr>
        <w:t>rate</w:t>
      </w:r>
      <w:r w:rsidR="005A5D3E" w:rsidRPr="004E04BB">
        <w:rPr>
          <w:lang w:val="en-GB"/>
        </w:rPr>
        <w:t xml:space="preserve"> in paediatric</w:t>
      </w:r>
      <w:r w:rsidR="00EB1749">
        <w:rPr>
          <w:lang w:val="en-GB"/>
        </w:rPr>
        <w:t xml:space="preserve"> cases</w:t>
      </w:r>
      <w:r w:rsidR="005A5D3E" w:rsidRPr="004E04BB">
        <w:rPr>
          <w:lang w:val="en-GB"/>
        </w:rPr>
        <w:t xml:space="preserve"> </w:t>
      </w:r>
      <w:r w:rsidR="005023A7">
        <w:rPr>
          <w:lang w:val="en-GB"/>
        </w:rPr>
        <w:t xml:space="preserve">reflects systematic NGS with escalation to </w:t>
      </w:r>
      <w:r w:rsidR="00EB1749">
        <w:rPr>
          <w:lang w:val="en-GB"/>
        </w:rPr>
        <w:t>WES for novel gene discovery</w:t>
      </w:r>
      <w:r w:rsidR="005A5D3E" w:rsidRPr="004E04BB">
        <w:rPr>
          <w:lang w:val="en-GB"/>
        </w:rPr>
        <w:t xml:space="preserve"> </w:t>
      </w:r>
      <w:r w:rsidR="005A5D3E" w:rsidRPr="004E04BB">
        <w:rPr>
          <w:lang w:val="en-GB"/>
        </w:rPr>
        <w:fldChar w:fldCharType="begin"/>
      </w:r>
      <w:r w:rsidR="00D71D34">
        <w:rPr>
          <w:lang w:val="en-GB"/>
        </w:rPr>
        <w:instrText xml:space="preserve"> ADDIN ZOTERO_ITEM CSL_CITATION {"citationID":"j5Asqo0v","properties":{"formattedCitation":"(6,7)","plainCitation":"(6,7)","noteIndex":0},"citationItems":[{"id":156,"uris":["http://zotero.org/users/19213408/items/6PCEU7WJ"],"itemData":{"id":156,"type":"article-journal","abstract":"&lt;p&gt;Genetic dystonias are a heterogeneous group of movement disorders characterized by involuntary, sustained muscle contractions that cause repetitive movements and abnormal postures. Often beginning in childhood, they can significantly affect quality of life. Although individually rare, genetic causes are collectively relevant in pediatric dystonias, with over 250 associated genes. Among these, TOR1A, SGCE, and KMT2B are the most frequently reported in pediatric forms. Diagnosis is challenging due to the wide clinical and genetic variability. Recent advances in genetic testing, including whole-exome and whole-genome sequencing, have improved the early identification of causative variants. Functional data on selected mutations are helping to refine genotype–phenotype correlations. Management typically requires a multidisciplinary approach. Symptomatic treatments include anticholinergics, benzodiazepines, and botulinum toxin, while deep brain stimulation can be effective in refractory cases, especially in patients with TOR1A variants. Disease-modifying therapies are also emerging, such as gene therapy for AADC deficiency, highlighting the potential of precision medicine. This review provides an updated overview of pediatric genetic dystonias, with a focus on differential diagnosis and treatment strategies. Early and accurate diagnosis, together with personalized care, is key to improving outcomes in affected children.&lt;/p&gt;","container-title":"Life","DOI":"10.3390/life15070992","issue":"7","page":"992-992","title":"Pediatric Genetic Dystonias: Current Diagnostic Approaches and Treatment Options","volume":"15","author":[{"family":"Ceraolo","given":"Graziana"},{"family":"Spoto","given":"Giulia"},{"family":"Consoli","given":"Carla"},{"family":"Modafferi","given":"Elena"},{"family":"Di Rosa","given":"Gabriella"},{"family":"Nicotera","given":"Antonio Gennaro"}],"issued":{"date-parts":[["2025",6]]}}},{"id":166,"uris":["http://zotero.org/users/19213408/items/ZVT4GK6N"],"itemData":{"id":166,"type":"article-journal","abstract":"&lt;p&gt;Introduction: Heterozygous pathogenic variants in MYH3 are known to be responsible for distal arthrogryposis. Case report: We report a consanguineous family of four children with two likely pathogenic MYH3 homozygous variants associated with complex movement disorders, especially prominent lingual dystonia, along with skeletal abnormalities. The two variants in MYH3 (c.3445G&amp;gt;A and c.4760T&amp;gt;C) have already been described in patients with congenital arthrogryposis. No other significant variation was found using long-read whole genome sequencing. Discussion: We have extended the phenotype of MYH3-associated arthrogryposis to include movement disorders, which may have been underdiagnosed to date. Highlights This article extends the phenotype of MYH3-associated arthrogryposis to include movement disorders, illustrating a family of four children presenting MYH3 skeletal disorders and lingual dystonia. Two homozygous likely pathogenic variants have been identified in the four sibs and appear to be causative for both skeletal and neurological phenotypes.&lt;/p&gt;","container-title":"Tremor and Other Hyperkinetic Movements","DOI":"10.5334/tohm.1079","page":"53-53","title":"Homozygous Pathogenic MYH3 Variants Associated With Arthrogryposis and Lingual Dystonia","volume":"15","author":[{"family":"Mouraux","given":"Charlotte"},{"family":"Fouquet","given":"Claire"},{"family":"Durkin","given":"Keith"},{"family":"Dideberg","given":"Vinciane"},{"family":"Bulk","given":"Saskia"},{"family":"Aktan","given":"David"},{"family":"Artesi","given":"Maria"},{"family":"Depierreux","given":"Frédérique"}],"issued":{"date-parts":[["2025",10]]}}}],"schema":"https://github.com/citation-style-language/schema/raw/master/csl-citation.json"} </w:instrText>
      </w:r>
      <w:r w:rsidR="005A5D3E" w:rsidRPr="004E04BB">
        <w:rPr>
          <w:lang w:val="en-GB"/>
        </w:rPr>
        <w:fldChar w:fldCharType="separate"/>
      </w:r>
      <w:r w:rsidR="00D71D34">
        <w:rPr>
          <w:noProof/>
          <w:lang w:val="en-GB"/>
        </w:rPr>
        <w:t>(6,7)</w:t>
      </w:r>
      <w:r w:rsidR="005A5D3E" w:rsidRPr="004E04BB">
        <w:rPr>
          <w:lang w:val="en-GB"/>
        </w:rPr>
        <w:fldChar w:fldCharType="end"/>
      </w:r>
      <w:r w:rsidR="00EB1749">
        <w:rPr>
          <w:lang w:val="en-GB"/>
        </w:rPr>
        <w:t xml:space="preserve"> and CGH when intellectual disability or neurodevelopmental disorder </w:t>
      </w:r>
      <w:r w:rsidR="00FA7F9E">
        <w:rPr>
          <w:lang w:val="en-GB"/>
        </w:rPr>
        <w:t>are</w:t>
      </w:r>
      <w:r w:rsidR="00EB1749">
        <w:rPr>
          <w:lang w:val="en-GB"/>
        </w:rPr>
        <w:t xml:space="preserve"> present </w:t>
      </w:r>
      <w:r w:rsidR="00EB1749">
        <w:rPr>
          <w:lang w:val="en-GB"/>
        </w:rPr>
        <w:fldChar w:fldCharType="begin"/>
      </w:r>
      <w:r w:rsidR="00D71D34">
        <w:rPr>
          <w:lang w:val="en-GB"/>
        </w:rPr>
        <w:instrText xml:space="preserve"> ADDIN ZOTERO_ITEM CSL_CITATION {"citationID":"Uyyr4Cuu","properties":{"formattedCitation":"(8)","plainCitation":"(8)","noteIndex":0},"citationItems":[{"id":161,"uris":["http://zotero.org/users/19213408/items/GZ8XTSFX"],"itemData":{"id":161,"type":"article-journal","abstract":"AIM Chromosome microarray (CMA) can determine copy number variants such as microdeletions or microduplications. Microdeletions of movement disorder genes including epsilon-sarcoglycan (SGCE) and thyroid transcription factor-1 (TITF1) have been described in patients with myoclonus dystonia and benign hereditary chorea respectively. We examined whether CMA is a valuable tool in the investigation of children with suspected genetic movement disorders. METHOD A genetic movement disorder was suspected if there was a positive first-degree family history, or two or more of the following factors: normal or near-normal magnetic resonance imaging, negative history of brain injury, and negative investigations for metabolic disorders. Tic disorders were excluded. Twenty-five patients (18 males, seven females) with a mean age at movement disorder onset of 4 years 5 month (range 1 mo-14 y) were prospectively recruited with the following primary movement disorders: dystonia (n=10), paroxysmal kinesigenic dyskinesia (n=5), tremor (n=4), chorea (n=3), myoclonus (n=2), and paroxysmal non-kinesigenic dyskinesia (n=1). Comorbid associated features were common, particularly developmental delay or intellectual disability (19 out of 25) and attention-deficit-hyperactivity disorder (six out of 25). CMA was performed using Agilent aCGH 60K array. RESULTS Seven out of twenty-five patients had a microdeletion determined by CMA. None of the microdeletions were considered benign variants. Four patients had a deletion of a known movement disorder gene including paroxysmal kinesigenic dyskinesia (PRRT2; n=2), SGCE (myoclonus dystonia, n=1), and TITF1 (benign hereditary chorea, n=1). Three patients had novel microdeletions of unknown but potential significance including 14q13.3 (chorea, n=1), 19p13.12 (tremor, n=1), and 19q13.12 (progressive dystonia). All seven patients had associated neurodevelopmental or behavioural problems. INTERPRETATION Assays that determine copy number variants may be a valuable first-tier investigation in patients with suspected genetic movement disorders, particularly when associated with intellectual disability or developmental disorders. Microdeletion syndromes may help the search for new movement disorder genes.","container-title":"Developmental medicine and child neurology","DOI":"10.1111/j.1469-8749.2012.04287.x","issue":"7","page":"618-23","title":"Microdeletions detected using chromosome microarray in children with suspected genetic movement disorders: a single-centre study.","volume":"54","author":[{"family":"Dale","given":"Russell C"},{"family":"Grattan-Smith","given":"Padraic"},{"family":"Nicholson","given":"Michelle"},{"family":"Peters","given":"Greg B"}],"issued":{"date-parts":[["2012",7]]}}}],"schema":"https://github.com/citation-style-language/schema/raw/master/csl-citation.json"} </w:instrText>
      </w:r>
      <w:r w:rsidR="00EB1749">
        <w:rPr>
          <w:lang w:val="en-GB"/>
        </w:rPr>
        <w:fldChar w:fldCharType="separate"/>
      </w:r>
      <w:r w:rsidR="00D71D34">
        <w:rPr>
          <w:noProof/>
          <w:lang w:val="en-GB"/>
        </w:rPr>
        <w:t>(8)</w:t>
      </w:r>
      <w:r w:rsidR="00EB1749">
        <w:rPr>
          <w:lang w:val="en-GB"/>
        </w:rPr>
        <w:fldChar w:fldCharType="end"/>
      </w:r>
      <w:r w:rsidR="005023A7">
        <w:rPr>
          <w:lang w:val="en-GB"/>
        </w:rPr>
        <w:t>.</w:t>
      </w:r>
      <w:r w:rsidR="005A5D3E">
        <w:rPr>
          <w:lang w:val="en-GB"/>
        </w:rPr>
        <w:t xml:space="preserve"> </w:t>
      </w:r>
      <w:r w:rsidR="005023A7">
        <w:rPr>
          <w:lang w:val="en-GB"/>
        </w:rPr>
        <w:t xml:space="preserve">These </w:t>
      </w:r>
      <w:r w:rsidR="008402D6">
        <w:rPr>
          <w:lang w:val="en-GB"/>
        </w:rPr>
        <w:t>findings</w:t>
      </w:r>
      <w:r w:rsidR="005023A7">
        <w:rPr>
          <w:lang w:val="en-GB"/>
        </w:rPr>
        <w:t xml:space="preserve"> </w:t>
      </w:r>
      <w:r w:rsidR="008402D6">
        <w:rPr>
          <w:lang w:val="en-GB"/>
        </w:rPr>
        <w:t>highlight</w:t>
      </w:r>
      <w:r w:rsidR="005023A7">
        <w:rPr>
          <w:lang w:val="en-GB"/>
        </w:rPr>
        <w:t xml:space="preserve"> </w:t>
      </w:r>
      <w:r w:rsidR="008402D6">
        <w:rPr>
          <w:lang w:val="en-GB"/>
        </w:rPr>
        <w:t>the importance of local</w:t>
      </w:r>
      <w:r w:rsidR="005023A7">
        <w:rPr>
          <w:lang w:val="en-GB"/>
        </w:rPr>
        <w:t xml:space="preserve"> epidemiology and comprehensive </w:t>
      </w:r>
      <w:r w:rsidR="003B0D3D" w:rsidRPr="005023A7">
        <w:rPr>
          <w:lang w:val="en-GB"/>
        </w:rPr>
        <w:t xml:space="preserve">genetic strategies to </w:t>
      </w:r>
      <w:r w:rsidR="008402D6">
        <w:rPr>
          <w:lang w:val="en-GB"/>
        </w:rPr>
        <w:t>optimise</w:t>
      </w:r>
      <w:r w:rsidR="003B0D3D" w:rsidRPr="005023A7">
        <w:rPr>
          <w:lang w:val="en-GB"/>
        </w:rPr>
        <w:t xml:space="preserve"> </w:t>
      </w:r>
      <w:r w:rsidR="008402D6">
        <w:rPr>
          <w:lang w:val="en-GB"/>
        </w:rPr>
        <w:t>diagnosis</w:t>
      </w:r>
      <w:r w:rsidR="003B0D3D" w:rsidRPr="005023A7">
        <w:rPr>
          <w:lang w:val="en-GB"/>
        </w:rPr>
        <w:t xml:space="preserve">, personalise </w:t>
      </w:r>
      <w:r w:rsidR="005023A7" w:rsidRPr="005023A7">
        <w:rPr>
          <w:lang w:val="en-GB"/>
        </w:rPr>
        <w:t>care</w:t>
      </w:r>
      <w:r w:rsidR="003B0D3D" w:rsidRPr="005023A7">
        <w:rPr>
          <w:lang w:val="en-GB"/>
        </w:rPr>
        <w:t>, and inform health policy.</w:t>
      </w:r>
    </w:p>
    <w:p w14:paraId="1BA92A3A" w14:textId="1D5149D3" w:rsidR="005023A7" w:rsidRDefault="005023A7">
      <w:pPr>
        <w:rPr>
          <w:lang w:val="en-GB"/>
        </w:rPr>
      </w:pPr>
      <w:r>
        <w:rPr>
          <w:lang w:val="en-GB"/>
        </w:rPr>
        <w:br w:type="page"/>
      </w:r>
    </w:p>
    <w:p w14:paraId="1ABE64EF" w14:textId="43DB90BE" w:rsidR="00946903" w:rsidRPr="004E04BB" w:rsidRDefault="00946903" w:rsidP="00946903">
      <w:pPr>
        <w:pStyle w:val="Titre2"/>
        <w:rPr>
          <w:rStyle w:val="Aucun"/>
          <w:lang w:val="en-GB"/>
        </w:rPr>
      </w:pPr>
      <w:r w:rsidRPr="004E04BB">
        <w:rPr>
          <w:rStyle w:val="Aucun"/>
          <w:lang w:val="en-GB"/>
        </w:rPr>
        <w:lastRenderedPageBreak/>
        <w:t>Figure</w:t>
      </w:r>
      <w:r w:rsidR="00AE17AD" w:rsidRPr="004E04BB">
        <w:rPr>
          <w:rStyle w:val="Aucun"/>
          <w:lang w:val="en-GB"/>
        </w:rPr>
        <w:t xml:space="preserve"> 1</w:t>
      </w:r>
    </w:p>
    <w:p w14:paraId="6AD545A5" w14:textId="77777777" w:rsidR="00B60776" w:rsidRPr="00C32CEA" w:rsidRDefault="00B137A4" w:rsidP="00B60776">
      <w:pPr>
        <w:spacing w:after="160" w:line="278" w:lineRule="auto"/>
        <w:rPr>
          <w:rFonts w:eastAsiaTheme="minorHAnsi"/>
          <w:kern w:val="2"/>
          <w:lang w:val="en-GB" w:eastAsia="en-US"/>
          <w14:ligatures w14:val="standardContextual"/>
        </w:rPr>
      </w:pPr>
      <w:r w:rsidRPr="004E04BB">
        <w:rPr>
          <w:noProof/>
          <w:lang w:val="en-GB"/>
        </w:rPr>
        <w:drawing>
          <wp:anchor distT="0" distB="0" distL="114300" distR="114300" simplePos="0" relativeHeight="251658240" behindDoc="1" locked="0" layoutInCell="1" allowOverlap="1" wp14:anchorId="44722224" wp14:editId="7CC77E51">
            <wp:simplePos x="0" y="0"/>
            <wp:positionH relativeFrom="column">
              <wp:posOffset>415925</wp:posOffset>
            </wp:positionH>
            <wp:positionV relativeFrom="paragraph">
              <wp:posOffset>765224</wp:posOffset>
            </wp:positionV>
            <wp:extent cx="4522470" cy="3075940"/>
            <wp:effectExtent l="0" t="0" r="0" b="0"/>
            <wp:wrapTopAndBottom/>
            <wp:docPr id="22686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86097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22470" cy="3075940"/>
                    </a:xfrm>
                    <a:prstGeom prst="rect">
                      <a:avLst/>
                    </a:prstGeom>
                  </pic:spPr>
                </pic:pic>
              </a:graphicData>
            </a:graphic>
            <wp14:sizeRelH relativeFrom="margin">
              <wp14:pctWidth>0</wp14:pctWidth>
            </wp14:sizeRelH>
            <wp14:sizeRelV relativeFrom="margin">
              <wp14:pctHeight>0</wp14:pctHeight>
            </wp14:sizeRelV>
          </wp:anchor>
        </w:drawing>
      </w:r>
      <w:r w:rsidR="00A82CA5" w:rsidRPr="004E04BB">
        <w:rPr>
          <w:lang w:val="en-GB"/>
        </w:rPr>
        <w:t xml:space="preserve">Distribution of </w:t>
      </w:r>
      <w:r w:rsidR="00912FBA" w:rsidRPr="004E04BB">
        <w:rPr>
          <w:lang w:val="en-GB"/>
        </w:rPr>
        <w:t xml:space="preserve">the 488 </w:t>
      </w:r>
      <w:r w:rsidR="00A82CA5" w:rsidRPr="004E04BB">
        <w:rPr>
          <w:lang w:val="en-GB"/>
        </w:rPr>
        <w:t xml:space="preserve">patients by subtype of </w:t>
      </w:r>
      <w:r w:rsidR="008368AB" w:rsidRPr="004E04BB">
        <w:rPr>
          <w:lang w:val="en-GB"/>
        </w:rPr>
        <w:t xml:space="preserve">dominant </w:t>
      </w:r>
      <w:r w:rsidR="00A82CA5" w:rsidRPr="004E04BB">
        <w:rPr>
          <w:lang w:val="en-GB"/>
        </w:rPr>
        <w:t>hyperkinetic MD</w:t>
      </w:r>
      <w:r w:rsidR="002262F3" w:rsidRPr="004E04BB">
        <w:rPr>
          <w:lang w:val="en-GB"/>
        </w:rPr>
        <w:t xml:space="preserve"> phenotype</w:t>
      </w:r>
      <w:r w:rsidR="008368AB" w:rsidRPr="004E04BB">
        <w:rPr>
          <w:lang w:val="en-GB"/>
        </w:rPr>
        <w:t>, classified by age at onset</w:t>
      </w:r>
      <w:r w:rsidRPr="004E04BB">
        <w:rPr>
          <w:lang w:val="en-GB"/>
        </w:rPr>
        <w:t>.</w:t>
      </w:r>
      <w:r w:rsidR="00B60776">
        <w:rPr>
          <w:lang w:val="en-GB"/>
        </w:rPr>
        <w:t xml:space="preserve"> </w:t>
      </w:r>
      <w:r w:rsidR="00B60776" w:rsidRPr="00C32CEA">
        <w:rPr>
          <w:rFonts w:eastAsiaTheme="minorHAnsi"/>
          <w:kern w:val="2"/>
          <w:lang w:val="en-GB" w:eastAsia="en-US"/>
          <w14:ligatures w14:val="standardContextual"/>
        </w:rPr>
        <w:t>The low number of tic cases likely reflects their management in general paediatrics, with our clinic seeing mainly refractory cases.</w:t>
      </w:r>
    </w:p>
    <w:p w14:paraId="141A3272" w14:textId="6EFC364A" w:rsidR="003C4505" w:rsidRPr="004E04BB" w:rsidRDefault="003C4505" w:rsidP="003C4505">
      <w:pPr>
        <w:rPr>
          <w:lang w:val="en-GB"/>
        </w:rPr>
      </w:pPr>
    </w:p>
    <w:p w14:paraId="1CDDFB6D" w14:textId="6A2EAE1B" w:rsidR="005023A7" w:rsidRDefault="005023A7">
      <w:pPr>
        <w:rPr>
          <w:noProof/>
          <w:lang w:val="en-GB"/>
        </w:rPr>
      </w:pPr>
      <w:r>
        <w:rPr>
          <w:noProof/>
          <w:lang w:val="en-GB"/>
        </w:rPr>
        <w:br w:type="page"/>
      </w:r>
    </w:p>
    <w:p w14:paraId="73E8B54E" w14:textId="4D1CA3D8" w:rsidR="006C5675" w:rsidRPr="004E04BB" w:rsidRDefault="006C5675" w:rsidP="006C5675">
      <w:pPr>
        <w:pStyle w:val="Titre2"/>
        <w:rPr>
          <w:rStyle w:val="Aucun"/>
          <w:lang w:val="en-GB"/>
        </w:rPr>
      </w:pPr>
      <w:r w:rsidRPr="004E04BB">
        <w:rPr>
          <w:rStyle w:val="Aucun"/>
          <w:lang w:val="en-GB"/>
        </w:rPr>
        <w:lastRenderedPageBreak/>
        <w:t>References</w:t>
      </w:r>
    </w:p>
    <w:p w14:paraId="08EE1F02" w14:textId="77777777" w:rsidR="00D71D34" w:rsidRPr="00D71D34" w:rsidRDefault="00F965A5" w:rsidP="00D71D34">
      <w:pPr>
        <w:pStyle w:val="Bibliographie"/>
        <w:rPr>
          <w:lang w:val="fr-FR"/>
        </w:rPr>
      </w:pPr>
      <w:r w:rsidRPr="004E04BB">
        <w:rPr>
          <w:rStyle w:val="Aucun"/>
          <w:lang w:val="en-GB"/>
        </w:rPr>
        <w:fldChar w:fldCharType="begin"/>
      </w:r>
      <w:r w:rsidRPr="004E04BB">
        <w:rPr>
          <w:rStyle w:val="Aucun"/>
          <w:lang w:val="en-GB"/>
        </w:rPr>
        <w:instrText xml:space="preserve"> ADDIN ZOTERO_BIBL {"uncited":[],"omitted":[],"custom":[]} CSL_BIBLIOGRAPHY </w:instrText>
      </w:r>
      <w:r w:rsidRPr="004E04BB">
        <w:rPr>
          <w:rStyle w:val="Aucun"/>
          <w:lang w:val="en-GB"/>
        </w:rPr>
        <w:fldChar w:fldCharType="separate"/>
      </w:r>
      <w:r w:rsidR="00D71D34" w:rsidRPr="00D71D34">
        <w:rPr>
          <w:lang w:val="fr-FR"/>
        </w:rPr>
        <w:t>1.</w:t>
      </w:r>
      <w:r w:rsidR="00D71D34" w:rsidRPr="00D71D34">
        <w:rPr>
          <w:lang w:val="fr-FR"/>
        </w:rPr>
        <w:tab/>
        <w:t xml:space="preserve">Fahn S. Classification of movement disorders. Mov Disord. mai 2011;26(6):947‑57. </w:t>
      </w:r>
    </w:p>
    <w:p w14:paraId="32283A10" w14:textId="77777777" w:rsidR="00D71D34" w:rsidRPr="00D71D34" w:rsidRDefault="00D71D34" w:rsidP="00D71D34">
      <w:pPr>
        <w:pStyle w:val="Bibliographie"/>
        <w:rPr>
          <w:lang w:val="fr-FR"/>
        </w:rPr>
      </w:pPr>
      <w:r w:rsidRPr="00D71D34">
        <w:rPr>
          <w:lang w:val="fr-FR"/>
        </w:rPr>
        <w:t>2.</w:t>
      </w:r>
      <w:r w:rsidRPr="00D71D34">
        <w:rPr>
          <w:lang w:val="fr-FR"/>
        </w:rPr>
        <w:tab/>
        <w:t xml:space="preserve">Albanese A, Bhatia KP, Fung VSC, Hallett M, Jankovic J, Klein C, et al. Definition and Classification of Dystonia. Mov Disord. 2025;40(7):1248‑59. </w:t>
      </w:r>
    </w:p>
    <w:p w14:paraId="4C484357" w14:textId="77777777" w:rsidR="00D71D34" w:rsidRPr="00D71D34" w:rsidRDefault="00D71D34" w:rsidP="00D71D34">
      <w:pPr>
        <w:pStyle w:val="Bibliographie"/>
        <w:rPr>
          <w:lang w:val="fr-FR"/>
        </w:rPr>
      </w:pPr>
      <w:r w:rsidRPr="00D71D34">
        <w:rPr>
          <w:lang w:val="fr-FR"/>
        </w:rPr>
        <w:t>3.</w:t>
      </w:r>
      <w:r w:rsidRPr="00D71D34">
        <w:rPr>
          <w:lang w:val="fr-FR"/>
        </w:rPr>
        <w:tab/>
        <w:t xml:space="preserve">Jinnah HA, Balint B, Fung VSC. The Dystonias. New York: Oxford University Press; 2025. 421 p. </w:t>
      </w:r>
    </w:p>
    <w:p w14:paraId="0B4C3E0B" w14:textId="77777777" w:rsidR="00D71D34" w:rsidRPr="00D71D34" w:rsidRDefault="00D71D34" w:rsidP="00D71D34">
      <w:pPr>
        <w:pStyle w:val="Bibliographie"/>
        <w:rPr>
          <w:lang w:val="fr-FR"/>
        </w:rPr>
      </w:pPr>
      <w:r w:rsidRPr="00D71D34">
        <w:rPr>
          <w:lang w:val="fr-FR"/>
        </w:rPr>
        <w:t>4.</w:t>
      </w:r>
      <w:r w:rsidRPr="00D71D34">
        <w:rPr>
          <w:lang w:val="fr-FR"/>
        </w:rPr>
        <w:tab/>
        <w:t xml:space="preserve">Dressler D, Altenmüller E, Giess R, Krauss JK, Adib Saberi F. The epidemiology of dystonia: the Hannover epidemiology study. J Neurol. déc 2022;269(12):6483‑93. </w:t>
      </w:r>
    </w:p>
    <w:p w14:paraId="06F4F2E2" w14:textId="77777777" w:rsidR="00D71D34" w:rsidRPr="00D71D34" w:rsidRDefault="00D71D34" w:rsidP="00D71D34">
      <w:pPr>
        <w:pStyle w:val="Bibliographie"/>
        <w:rPr>
          <w:lang w:val="fr-FR"/>
        </w:rPr>
      </w:pPr>
      <w:r w:rsidRPr="00D71D34">
        <w:rPr>
          <w:lang w:val="fr-FR"/>
        </w:rPr>
        <w:t>5.</w:t>
      </w:r>
      <w:r w:rsidRPr="00D71D34">
        <w:rPr>
          <w:lang w:val="fr-FR"/>
        </w:rPr>
        <w:tab/>
        <w:t xml:space="preserve">Williams L, McGovern E, Kimmich O, Molloy A, Beiser I, Butler JS, et al. Epidemiological, clinical and genetic aspects of adult onset isolated focal dystonia in Ireland. Eur J Neurol. janv 2017;24(1):73‑81. </w:t>
      </w:r>
    </w:p>
    <w:p w14:paraId="7E167521" w14:textId="77777777" w:rsidR="00D71D34" w:rsidRPr="00D71D34" w:rsidRDefault="00D71D34" w:rsidP="00D71D34">
      <w:pPr>
        <w:pStyle w:val="Bibliographie"/>
        <w:rPr>
          <w:lang w:val="fr-FR"/>
        </w:rPr>
      </w:pPr>
      <w:r w:rsidRPr="00D71D34">
        <w:rPr>
          <w:lang w:val="fr-FR"/>
        </w:rPr>
        <w:t>6.</w:t>
      </w:r>
      <w:r w:rsidRPr="00D71D34">
        <w:rPr>
          <w:lang w:val="fr-FR"/>
        </w:rPr>
        <w:tab/>
        <w:t xml:space="preserve">Ceraolo G, Spoto G, Consoli C, Modafferi E, Di Rosa G, Nicotera AG. Pediatric Genetic Dystonias: Current Diagnostic Approaches and Treatment Options. Life. juin 2025;15(7):992‑992. </w:t>
      </w:r>
    </w:p>
    <w:p w14:paraId="3E98798F" w14:textId="77777777" w:rsidR="00D71D34" w:rsidRPr="00D71D34" w:rsidRDefault="00D71D34" w:rsidP="00D71D34">
      <w:pPr>
        <w:pStyle w:val="Bibliographie"/>
        <w:rPr>
          <w:lang w:val="nl-BE"/>
        </w:rPr>
      </w:pPr>
      <w:r w:rsidRPr="00D71D34">
        <w:rPr>
          <w:lang w:val="fr-FR"/>
        </w:rPr>
        <w:t>7.</w:t>
      </w:r>
      <w:r w:rsidRPr="00D71D34">
        <w:rPr>
          <w:lang w:val="fr-FR"/>
        </w:rPr>
        <w:tab/>
        <w:t xml:space="preserve">Mouraux C, Fouquet C, Durkin K, Dideberg V, Bulk S, Aktan D, et al. Homozygous Pathogenic MYH3 Variants Associated With Arthrogryposis and Lingual Dystonia. </w:t>
      </w:r>
      <w:r w:rsidRPr="00D71D34">
        <w:rPr>
          <w:lang w:val="nl-BE"/>
        </w:rPr>
        <w:t xml:space="preserve">Tremor Hyperkinetic Mov. oct 2025;15:53‑53. </w:t>
      </w:r>
    </w:p>
    <w:p w14:paraId="7A7C457A" w14:textId="77777777" w:rsidR="00D71D34" w:rsidRPr="00D71D34" w:rsidRDefault="00D71D34" w:rsidP="00D71D34">
      <w:pPr>
        <w:pStyle w:val="Bibliographie"/>
        <w:rPr>
          <w:lang w:val="fr-FR"/>
        </w:rPr>
      </w:pPr>
      <w:r w:rsidRPr="00D71D34">
        <w:rPr>
          <w:lang w:val="nl-BE"/>
        </w:rPr>
        <w:t>8.</w:t>
      </w:r>
      <w:r w:rsidRPr="00D71D34">
        <w:rPr>
          <w:lang w:val="nl-BE"/>
        </w:rPr>
        <w:tab/>
        <w:t xml:space="preserve">Dale RC, Grattan-Smith P, Nicholson M, Peters GB. Microdeletions detected using chromosome microarray in children with suspected genetic movement disorders: a single-centre study. </w:t>
      </w:r>
      <w:r w:rsidRPr="00D71D34">
        <w:rPr>
          <w:lang w:val="fr-FR"/>
        </w:rPr>
        <w:t xml:space="preserve">Dev Med Child Neurol. juill 2012;54(7):618‑23. </w:t>
      </w:r>
    </w:p>
    <w:p w14:paraId="3E6DEAD7" w14:textId="3EF42183" w:rsidR="003C4505" w:rsidRPr="00BA76EE" w:rsidRDefault="00F965A5" w:rsidP="00BA76EE">
      <w:pPr>
        <w:pStyle w:val="Bibliographie"/>
        <w:ind w:left="0" w:firstLine="0"/>
        <w:rPr>
          <w:sz w:val="28"/>
          <w:szCs w:val="28"/>
          <w:u w:val="single"/>
          <w:lang w:val="en-GB"/>
        </w:rPr>
      </w:pPr>
      <w:r w:rsidRPr="004E04BB">
        <w:rPr>
          <w:rStyle w:val="Aucun"/>
          <w:lang w:val="en-GB"/>
        </w:rPr>
        <w:fldChar w:fldCharType="end"/>
      </w:r>
    </w:p>
    <w:sectPr w:rsidR="003C4505" w:rsidRPr="00BA76E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66B0E" w14:textId="77777777" w:rsidR="008D299A" w:rsidRDefault="008D299A" w:rsidP="00FC472E">
      <w:r>
        <w:separator/>
      </w:r>
    </w:p>
  </w:endnote>
  <w:endnote w:type="continuationSeparator" w:id="0">
    <w:p w14:paraId="12E38D7E" w14:textId="77777777" w:rsidR="008D299A" w:rsidRDefault="008D299A" w:rsidP="00FC4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AD96" w14:textId="77777777" w:rsidR="00FC472E" w:rsidRDefault="00FC47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5288" w14:textId="77777777" w:rsidR="00FC472E" w:rsidRDefault="00FC472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78B6" w14:textId="77777777" w:rsidR="00FC472E" w:rsidRDefault="00FC47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9382" w14:textId="77777777" w:rsidR="008D299A" w:rsidRDefault="008D299A" w:rsidP="00FC472E">
      <w:r>
        <w:separator/>
      </w:r>
    </w:p>
  </w:footnote>
  <w:footnote w:type="continuationSeparator" w:id="0">
    <w:p w14:paraId="323EBC9E" w14:textId="77777777" w:rsidR="008D299A" w:rsidRDefault="008D299A" w:rsidP="00FC4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F2A2" w14:textId="1119C02B" w:rsidR="00FC472E" w:rsidRDefault="008D299A">
    <w:pPr>
      <w:pStyle w:val="En-tte"/>
    </w:pPr>
    <w:r>
      <w:rPr>
        <w:noProof/>
      </w:rPr>
      <w:pict w14:anchorId="088B67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29745" o:spid="_x0000_s1027" type="#_x0000_t136" alt="" style="position:absolute;margin-left:0;margin-top:0;width:521.4pt;height:117.7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ACCEPT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7E84" w14:textId="242B75E5" w:rsidR="00FC472E" w:rsidRDefault="008D299A">
    <w:pPr>
      <w:pStyle w:val="En-tte"/>
    </w:pPr>
    <w:r>
      <w:rPr>
        <w:noProof/>
      </w:rPr>
      <w:pict w14:anchorId="1FD741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29746" o:spid="_x0000_s1026" type="#_x0000_t136" alt="" style="position:absolute;margin-left:0;margin-top:0;width:521.4pt;height:117.7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ACCEPT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F571" w14:textId="625E6EF6" w:rsidR="00FC472E" w:rsidRDefault="008D299A">
    <w:pPr>
      <w:pStyle w:val="En-tte"/>
    </w:pPr>
    <w:r>
      <w:rPr>
        <w:noProof/>
      </w:rPr>
      <w:pict w14:anchorId="231FA8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29744" o:spid="_x0000_s1025" type="#_x0000_t136" alt="" style="position:absolute;margin-left:0;margin-top:0;width:521.4pt;height:117.7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ACCEP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21F"/>
    <w:multiLevelType w:val="hybridMultilevel"/>
    <w:tmpl w:val="841C8FA8"/>
    <w:lvl w:ilvl="0" w:tplc="5112B62E">
      <w:start w:val="3"/>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39635DA"/>
    <w:multiLevelType w:val="hybridMultilevel"/>
    <w:tmpl w:val="A1B06546"/>
    <w:lvl w:ilvl="0" w:tplc="CDAA79B6">
      <w:start w:val="202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456ABD"/>
    <w:multiLevelType w:val="multilevel"/>
    <w:tmpl w:val="2FA66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215331">
    <w:abstractNumId w:val="1"/>
  </w:num>
  <w:num w:numId="2" w16cid:durableId="1745178810">
    <w:abstractNumId w:val="0"/>
  </w:num>
  <w:num w:numId="3" w16cid:durableId="507599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AF"/>
    <w:rsid w:val="00010DBC"/>
    <w:rsid w:val="00020C40"/>
    <w:rsid w:val="00023EB9"/>
    <w:rsid w:val="00071BEA"/>
    <w:rsid w:val="0007465E"/>
    <w:rsid w:val="00085754"/>
    <w:rsid w:val="000B2F43"/>
    <w:rsid w:val="000B6883"/>
    <w:rsid w:val="000E5FDD"/>
    <w:rsid w:val="00164A51"/>
    <w:rsid w:val="00183816"/>
    <w:rsid w:val="001855FA"/>
    <w:rsid w:val="001975DB"/>
    <w:rsid w:val="001B47C8"/>
    <w:rsid w:val="001E13CB"/>
    <w:rsid w:val="00217D1B"/>
    <w:rsid w:val="002262F3"/>
    <w:rsid w:val="00233748"/>
    <w:rsid w:val="002357D5"/>
    <w:rsid w:val="002377EF"/>
    <w:rsid w:val="00242F7A"/>
    <w:rsid w:val="00252A00"/>
    <w:rsid w:val="00256EA9"/>
    <w:rsid w:val="0027689A"/>
    <w:rsid w:val="002779AF"/>
    <w:rsid w:val="002A2D6C"/>
    <w:rsid w:val="002C1CAF"/>
    <w:rsid w:val="002D56AA"/>
    <w:rsid w:val="002E472A"/>
    <w:rsid w:val="002E7958"/>
    <w:rsid w:val="0032579D"/>
    <w:rsid w:val="00333726"/>
    <w:rsid w:val="00336D24"/>
    <w:rsid w:val="00364C64"/>
    <w:rsid w:val="003758BD"/>
    <w:rsid w:val="003B0D3D"/>
    <w:rsid w:val="003C4505"/>
    <w:rsid w:val="003C5BD3"/>
    <w:rsid w:val="003E64E2"/>
    <w:rsid w:val="00403B1D"/>
    <w:rsid w:val="004243EB"/>
    <w:rsid w:val="00473FB9"/>
    <w:rsid w:val="00480A5C"/>
    <w:rsid w:val="004812E6"/>
    <w:rsid w:val="004853D5"/>
    <w:rsid w:val="00497ADF"/>
    <w:rsid w:val="004A6F3C"/>
    <w:rsid w:val="004B3D60"/>
    <w:rsid w:val="004B3FB8"/>
    <w:rsid w:val="004D032C"/>
    <w:rsid w:val="004E04BB"/>
    <w:rsid w:val="004E39C8"/>
    <w:rsid w:val="004E74C6"/>
    <w:rsid w:val="004F2DA4"/>
    <w:rsid w:val="005023A7"/>
    <w:rsid w:val="00506A8E"/>
    <w:rsid w:val="005074A3"/>
    <w:rsid w:val="0053497D"/>
    <w:rsid w:val="005355F9"/>
    <w:rsid w:val="00537E60"/>
    <w:rsid w:val="00541D18"/>
    <w:rsid w:val="00560C8D"/>
    <w:rsid w:val="005666A4"/>
    <w:rsid w:val="005A19D8"/>
    <w:rsid w:val="005A5D3E"/>
    <w:rsid w:val="005A7764"/>
    <w:rsid w:val="005B102E"/>
    <w:rsid w:val="005B1EA7"/>
    <w:rsid w:val="005B1FAA"/>
    <w:rsid w:val="005B68C1"/>
    <w:rsid w:val="005C7F34"/>
    <w:rsid w:val="005D578E"/>
    <w:rsid w:val="005D7A59"/>
    <w:rsid w:val="005F581A"/>
    <w:rsid w:val="00611DDB"/>
    <w:rsid w:val="00650DA1"/>
    <w:rsid w:val="00653589"/>
    <w:rsid w:val="00694006"/>
    <w:rsid w:val="006B3130"/>
    <w:rsid w:val="006C5675"/>
    <w:rsid w:val="006D6D58"/>
    <w:rsid w:val="006F7FEE"/>
    <w:rsid w:val="00710133"/>
    <w:rsid w:val="00743EB9"/>
    <w:rsid w:val="00762F19"/>
    <w:rsid w:val="00773374"/>
    <w:rsid w:val="00777F71"/>
    <w:rsid w:val="007A05D5"/>
    <w:rsid w:val="007C053F"/>
    <w:rsid w:val="007E4F97"/>
    <w:rsid w:val="007F06D0"/>
    <w:rsid w:val="00815865"/>
    <w:rsid w:val="008368AB"/>
    <w:rsid w:val="0083704A"/>
    <w:rsid w:val="008402D6"/>
    <w:rsid w:val="008536EB"/>
    <w:rsid w:val="00891790"/>
    <w:rsid w:val="00894E1A"/>
    <w:rsid w:val="0089505D"/>
    <w:rsid w:val="008965FA"/>
    <w:rsid w:val="008A41B1"/>
    <w:rsid w:val="008C5CA6"/>
    <w:rsid w:val="008D299A"/>
    <w:rsid w:val="008E3862"/>
    <w:rsid w:val="008F7AF2"/>
    <w:rsid w:val="00910FEB"/>
    <w:rsid w:val="00912FBA"/>
    <w:rsid w:val="00914624"/>
    <w:rsid w:val="00917AE4"/>
    <w:rsid w:val="00920085"/>
    <w:rsid w:val="00946903"/>
    <w:rsid w:val="00952465"/>
    <w:rsid w:val="0097615F"/>
    <w:rsid w:val="00977F31"/>
    <w:rsid w:val="0099319D"/>
    <w:rsid w:val="009A1F9C"/>
    <w:rsid w:val="009B2B97"/>
    <w:rsid w:val="009C7F15"/>
    <w:rsid w:val="009D0E10"/>
    <w:rsid w:val="009E14D1"/>
    <w:rsid w:val="009E6501"/>
    <w:rsid w:val="00A04936"/>
    <w:rsid w:val="00A130D6"/>
    <w:rsid w:val="00A142FA"/>
    <w:rsid w:val="00A23D09"/>
    <w:rsid w:val="00A27BEA"/>
    <w:rsid w:val="00A5459E"/>
    <w:rsid w:val="00A82CA5"/>
    <w:rsid w:val="00AA507D"/>
    <w:rsid w:val="00AB5476"/>
    <w:rsid w:val="00AC79CC"/>
    <w:rsid w:val="00AE17AD"/>
    <w:rsid w:val="00AF0177"/>
    <w:rsid w:val="00AF6B7D"/>
    <w:rsid w:val="00B137A4"/>
    <w:rsid w:val="00B353C3"/>
    <w:rsid w:val="00B41758"/>
    <w:rsid w:val="00B507C5"/>
    <w:rsid w:val="00B60776"/>
    <w:rsid w:val="00B61970"/>
    <w:rsid w:val="00B66E49"/>
    <w:rsid w:val="00B74113"/>
    <w:rsid w:val="00B7573C"/>
    <w:rsid w:val="00B81419"/>
    <w:rsid w:val="00B92D44"/>
    <w:rsid w:val="00BA4F0E"/>
    <w:rsid w:val="00BA76EE"/>
    <w:rsid w:val="00BF421F"/>
    <w:rsid w:val="00BF7915"/>
    <w:rsid w:val="00C32CEA"/>
    <w:rsid w:val="00C551CB"/>
    <w:rsid w:val="00C645E7"/>
    <w:rsid w:val="00C65A70"/>
    <w:rsid w:val="00C97C78"/>
    <w:rsid w:val="00CA51ED"/>
    <w:rsid w:val="00CB0ECE"/>
    <w:rsid w:val="00CB6C1A"/>
    <w:rsid w:val="00CD03FB"/>
    <w:rsid w:val="00CD277A"/>
    <w:rsid w:val="00CD2812"/>
    <w:rsid w:val="00D05830"/>
    <w:rsid w:val="00D20D78"/>
    <w:rsid w:val="00D216CC"/>
    <w:rsid w:val="00D26A4D"/>
    <w:rsid w:val="00D279EA"/>
    <w:rsid w:val="00D52C10"/>
    <w:rsid w:val="00D709D4"/>
    <w:rsid w:val="00D71D34"/>
    <w:rsid w:val="00DB05AE"/>
    <w:rsid w:val="00DB4831"/>
    <w:rsid w:val="00E06075"/>
    <w:rsid w:val="00E33BEA"/>
    <w:rsid w:val="00E52967"/>
    <w:rsid w:val="00E53011"/>
    <w:rsid w:val="00E654AF"/>
    <w:rsid w:val="00EA216F"/>
    <w:rsid w:val="00EB1749"/>
    <w:rsid w:val="00EB6EF7"/>
    <w:rsid w:val="00EE02D4"/>
    <w:rsid w:val="00EF2BC6"/>
    <w:rsid w:val="00EF2CB7"/>
    <w:rsid w:val="00F01DBF"/>
    <w:rsid w:val="00F11582"/>
    <w:rsid w:val="00F24F2C"/>
    <w:rsid w:val="00F25694"/>
    <w:rsid w:val="00F43153"/>
    <w:rsid w:val="00F56591"/>
    <w:rsid w:val="00F94378"/>
    <w:rsid w:val="00F965A5"/>
    <w:rsid w:val="00FA4E1C"/>
    <w:rsid w:val="00FA503E"/>
    <w:rsid w:val="00FA7F9E"/>
    <w:rsid w:val="00FC472E"/>
    <w:rsid w:val="00FF6A6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D1563"/>
  <w15:chartTrackingRefBased/>
  <w15:docId w15:val="{910A01BF-4F77-524D-8E03-8A0ABED7F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34"/>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E654A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5B68C1"/>
    <w:pPr>
      <w:spacing w:after="160" w:line="278" w:lineRule="auto"/>
      <w:jc w:val="both"/>
      <w:outlineLvl w:val="1"/>
    </w:pPr>
    <w:rPr>
      <w:rFonts w:eastAsiaTheme="minorHAnsi"/>
      <w:kern w:val="2"/>
      <w:sz w:val="28"/>
      <w:szCs w:val="28"/>
      <w:u w:val="single"/>
      <w:lang w:eastAsia="en-US"/>
      <w14:ligatures w14:val="standardContextual"/>
    </w:rPr>
  </w:style>
  <w:style w:type="paragraph" w:styleId="Titre3">
    <w:name w:val="heading 3"/>
    <w:basedOn w:val="Normal"/>
    <w:next w:val="Normal"/>
    <w:link w:val="Titre3Car"/>
    <w:uiPriority w:val="9"/>
    <w:semiHidden/>
    <w:unhideWhenUsed/>
    <w:qFormat/>
    <w:rsid w:val="00E654A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E654A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654A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654A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654A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654A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654A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54A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B68C1"/>
    <w:rPr>
      <w:rFonts w:ascii="Times New Roman" w:hAnsi="Times New Roman" w:cs="Times New Roman"/>
      <w:sz w:val="28"/>
      <w:szCs w:val="28"/>
      <w:u w:val="single"/>
    </w:rPr>
  </w:style>
  <w:style w:type="character" w:customStyle="1" w:styleId="Titre3Car">
    <w:name w:val="Titre 3 Car"/>
    <w:basedOn w:val="Policepardfaut"/>
    <w:link w:val="Titre3"/>
    <w:uiPriority w:val="9"/>
    <w:semiHidden/>
    <w:rsid w:val="00E654A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654A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654A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654A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654A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654A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654AF"/>
    <w:rPr>
      <w:rFonts w:eastAsiaTheme="majorEastAsia" w:cstheme="majorBidi"/>
      <w:color w:val="272727" w:themeColor="text1" w:themeTint="D8"/>
    </w:rPr>
  </w:style>
  <w:style w:type="paragraph" w:styleId="Titre">
    <w:name w:val="Title"/>
    <w:basedOn w:val="Normal"/>
    <w:next w:val="Normal"/>
    <w:link w:val="TitreCar"/>
    <w:uiPriority w:val="10"/>
    <w:qFormat/>
    <w:rsid w:val="00E654A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654A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654AF"/>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E654A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654AF"/>
    <w:pPr>
      <w:spacing w:before="160" w:after="160" w:line="278" w:lineRule="auto"/>
      <w:jc w:val="center"/>
    </w:pPr>
    <w:rPr>
      <w:rFonts w:eastAsiaTheme="minorHAns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E654AF"/>
    <w:rPr>
      <w:i/>
      <w:iCs/>
      <w:color w:val="404040" w:themeColor="text1" w:themeTint="BF"/>
    </w:rPr>
  </w:style>
  <w:style w:type="paragraph" w:styleId="Paragraphedeliste">
    <w:name w:val="List Paragraph"/>
    <w:basedOn w:val="Normal"/>
    <w:uiPriority w:val="34"/>
    <w:qFormat/>
    <w:rsid w:val="00E654AF"/>
    <w:pPr>
      <w:spacing w:after="160" w:line="278" w:lineRule="auto"/>
      <w:ind w:left="720"/>
      <w:contextualSpacing/>
    </w:pPr>
    <w:rPr>
      <w:rFonts w:eastAsiaTheme="minorHAnsi"/>
      <w:kern w:val="2"/>
      <w:lang w:eastAsia="en-US"/>
      <w14:ligatures w14:val="standardContextual"/>
    </w:rPr>
  </w:style>
  <w:style w:type="character" w:styleId="Accentuationintense">
    <w:name w:val="Intense Emphasis"/>
    <w:basedOn w:val="Policepardfaut"/>
    <w:uiPriority w:val="21"/>
    <w:qFormat/>
    <w:rsid w:val="00E654AF"/>
    <w:rPr>
      <w:i/>
      <w:iCs/>
      <w:color w:val="0F4761" w:themeColor="accent1" w:themeShade="BF"/>
    </w:rPr>
  </w:style>
  <w:style w:type="paragraph" w:styleId="Citationintense">
    <w:name w:val="Intense Quote"/>
    <w:basedOn w:val="Normal"/>
    <w:next w:val="Normal"/>
    <w:link w:val="CitationintenseCar"/>
    <w:uiPriority w:val="30"/>
    <w:qFormat/>
    <w:rsid w:val="00E654A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E654AF"/>
    <w:rPr>
      <w:i/>
      <w:iCs/>
      <w:color w:val="0F4761" w:themeColor="accent1" w:themeShade="BF"/>
    </w:rPr>
  </w:style>
  <w:style w:type="character" w:styleId="Rfrenceintense">
    <w:name w:val="Intense Reference"/>
    <w:basedOn w:val="Policepardfaut"/>
    <w:uiPriority w:val="32"/>
    <w:qFormat/>
    <w:rsid w:val="00E654AF"/>
    <w:rPr>
      <w:b/>
      <w:bCs/>
      <w:smallCaps/>
      <w:color w:val="0F4761" w:themeColor="accent1" w:themeShade="BF"/>
      <w:spacing w:val="5"/>
    </w:rPr>
  </w:style>
  <w:style w:type="paragraph" w:customStyle="1" w:styleId="Corps">
    <w:name w:val="Corps"/>
    <w:link w:val="CorpsChar"/>
    <w:rsid w:val="00E654AF"/>
    <w:pPr>
      <w:pBdr>
        <w:top w:val="nil"/>
        <w:left w:val="nil"/>
        <w:bottom w:val="nil"/>
        <w:right w:val="nil"/>
        <w:between w:val="nil"/>
        <w:bar w:val="nil"/>
      </w:pBdr>
      <w:spacing w:after="0" w:line="240" w:lineRule="auto"/>
    </w:pPr>
    <w:rPr>
      <w:rFonts w:ascii="Calibri" w:eastAsia="Arial Unicode MS" w:hAnsi="Calibri" w:cs="Arial Unicode MS"/>
      <w:color w:val="000000"/>
      <w:kern w:val="0"/>
      <w:u w:color="000000"/>
      <w:bdr w:val="nil"/>
      <w:lang w:eastAsia="fr-BE"/>
      <w14:textOutline w14:w="0" w14:cap="flat" w14:cmpd="sng" w14:algn="ctr">
        <w14:noFill/>
        <w14:prstDash w14:val="solid"/>
        <w14:bevel/>
      </w14:textOutline>
      <w14:ligatures w14:val="none"/>
    </w:rPr>
  </w:style>
  <w:style w:type="character" w:customStyle="1" w:styleId="Aucun">
    <w:name w:val="Aucun"/>
    <w:rsid w:val="00E654AF"/>
    <w:rPr>
      <w:lang w:val="en-US"/>
    </w:rPr>
  </w:style>
  <w:style w:type="character" w:customStyle="1" w:styleId="CorpsChar">
    <w:name w:val="Corps Char"/>
    <w:basedOn w:val="Policepardfaut"/>
    <w:link w:val="Corps"/>
    <w:rsid w:val="005074A3"/>
    <w:rPr>
      <w:rFonts w:ascii="Calibri" w:eastAsia="Arial Unicode MS" w:hAnsi="Calibri" w:cs="Arial Unicode MS"/>
      <w:color w:val="000000"/>
      <w:kern w:val="0"/>
      <w:u w:color="000000"/>
      <w:bdr w:val="nil"/>
      <w:lang w:eastAsia="fr-BE"/>
      <w14:textOutline w14:w="0" w14:cap="flat" w14:cmpd="sng" w14:algn="ctr">
        <w14:noFill/>
        <w14:prstDash w14:val="solid"/>
        <w14:bevel/>
      </w14:textOutline>
      <w14:ligatures w14:val="none"/>
    </w:rPr>
  </w:style>
  <w:style w:type="paragraph" w:styleId="Sansinterligne">
    <w:name w:val="No Spacing"/>
    <w:rsid w:val="005074A3"/>
    <w:pPr>
      <w:pBdr>
        <w:top w:val="nil"/>
        <w:left w:val="nil"/>
        <w:bottom w:val="nil"/>
        <w:right w:val="nil"/>
        <w:between w:val="nil"/>
        <w:bar w:val="nil"/>
      </w:pBdr>
      <w:spacing w:after="0" w:line="240" w:lineRule="auto"/>
      <w:jc w:val="both"/>
    </w:pPr>
    <w:rPr>
      <w:rFonts w:ascii="Calibri" w:eastAsia="Arial Unicode MS" w:hAnsi="Calibri" w:cs="Arial Unicode MS"/>
      <w:color w:val="000000"/>
      <w:kern w:val="0"/>
      <w:sz w:val="22"/>
      <w:szCs w:val="22"/>
      <w:u w:color="000000"/>
      <w:bdr w:val="nil"/>
      <w:lang w:val="en-US" w:eastAsia="fr-BE"/>
      <w14:ligatures w14:val="none"/>
    </w:rPr>
  </w:style>
  <w:style w:type="character" w:styleId="Lienhypertexte">
    <w:name w:val="Hyperlink"/>
    <w:basedOn w:val="Policepardfaut"/>
    <w:uiPriority w:val="99"/>
    <w:unhideWhenUsed/>
    <w:rsid w:val="005074A3"/>
    <w:rPr>
      <w:color w:val="467886" w:themeColor="hyperlink"/>
      <w:u w:val="single"/>
    </w:rPr>
  </w:style>
  <w:style w:type="paragraph" w:styleId="Commentaire">
    <w:name w:val="annotation text"/>
    <w:basedOn w:val="Normal"/>
    <w:link w:val="CommentaireCar"/>
    <w:uiPriority w:val="99"/>
    <w:unhideWhenUsed/>
    <w:rsid w:val="005B68C1"/>
    <w:pPr>
      <w:spacing w:after="160"/>
    </w:pPr>
    <w:rPr>
      <w:rFonts w:eastAsiaTheme="minorHAnsi"/>
      <w:kern w:val="2"/>
      <w:sz w:val="20"/>
      <w:szCs w:val="20"/>
      <w:lang w:val="en-GB" w:eastAsia="en-US"/>
      <w14:ligatures w14:val="standardContextual"/>
    </w:rPr>
  </w:style>
  <w:style w:type="character" w:customStyle="1" w:styleId="CommentaireCar">
    <w:name w:val="Commentaire Car"/>
    <w:basedOn w:val="Policepardfaut"/>
    <w:link w:val="Commentaire"/>
    <w:uiPriority w:val="99"/>
    <w:rsid w:val="005B68C1"/>
    <w:rPr>
      <w:rFonts w:ascii="Times New Roman" w:hAnsi="Times New Roman" w:cs="Times New Roman"/>
      <w:sz w:val="20"/>
      <w:szCs w:val="20"/>
      <w:lang w:val="en-GB"/>
    </w:rPr>
  </w:style>
  <w:style w:type="character" w:styleId="Marquedecommentaire">
    <w:name w:val="annotation reference"/>
    <w:basedOn w:val="Policepardfaut"/>
    <w:uiPriority w:val="99"/>
    <w:semiHidden/>
    <w:unhideWhenUsed/>
    <w:rsid w:val="005B68C1"/>
    <w:rPr>
      <w:sz w:val="16"/>
      <w:szCs w:val="16"/>
    </w:rPr>
  </w:style>
  <w:style w:type="paragraph" w:styleId="Rvision">
    <w:name w:val="Revision"/>
    <w:hidden/>
    <w:uiPriority w:val="99"/>
    <w:semiHidden/>
    <w:rsid w:val="00FA503E"/>
    <w:pPr>
      <w:spacing w:after="0" w:line="240" w:lineRule="auto"/>
    </w:pPr>
    <w:rPr>
      <w:rFonts w:ascii="Times New Roman" w:hAnsi="Times New Roman" w:cs="Times New Roman"/>
    </w:rPr>
  </w:style>
  <w:style w:type="paragraph" w:styleId="Objetducommentaire">
    <w:name w:val="annotation subject"/>
    <w:basedOn w:val="Commentaire"/>
    <w:next w:val="Commentaire"/>
    <w:link w:val="ObjetducommentaireCar"/>
    <w:uiPriority w:val="99"/>
    <w:semiHidden/>
    <w:unhideWhenUsed/>
    <w:rsid w:val="005A19D8"/>
    <w:rPr>
      <w:b/>
      <w:bCs/>
      <w:lang w:val="fr-BE"/>
    </w:rPr>
  </w:style>
  <w:style w:type="character" w:customStyle="1" w:styleId="ObjetducommentaireCar">
    <w:name w:val="Objet du commentaire Car"/>
    <w:basedOn w:val="CommentaireCar"/>
    <w:link w:val="Objetducommentaire"/>
    <w:uiPriority w:val="99"/>
    <w:semiHidden/>
    <w:rsid w:val="005A19D8"/>
    <w:rPr>
      <w:rFonts w:ascii="Times New Roman" w:hAnsi="Times New Roman" w:cs="Times New Roman"/>
      <w:b/>
      <w:bCs/>
      <w:sz w:val="20"/>
      <w:szCs w:val="20"/>
      <w:lang w:val="en-GB"/>
    </w:rPr>
  </w:style>
  <w:style w:type="paragraph" w:styleId="Textedebulles">
    <w:name w:val="Balloon Text"/>
    <w:basedOn w:val="Normal"/>
    <w:link w:val="TextedebullesCar"/>
    <w:uiPriority w:val="99"/>
    <w:semiHidden/>
    <w:unhideWhenUsed/>
    <w:rsid w:val="00EF2BC6"/>
    <w:rPr>
      <w:rFonts w:ascii="Segoe UI" w:eastAsiaTheme="minorHAnsi" w:hAnsi="Segoe UI" w:cs="Segoe UI"/>
      <w:kern w:val="2"/>
      <w:sz w:val="18"/>
      <w:szCs w:val="18"/>
      <w:lang w:eastAsia="en-US"/>
      <w14:ligatures w14:val="standardContextual"/>
    </w:rPr>
  </w:style>
  <w:style w:type="character" w:customStyle="1" w:styleId="TextedebullesCar">
    <w:name w:val="Texte de bulles Car"/>
    <w:basedOn w:val="Policepardfaut"/>
    <w:link w:val="Textedebulles"/>
    <w:uiPriority w:val="99"/>
    <w:semiHidden/>
    <w:rsid w:val="00EF2BC6"/>
    <w:rPr>
      <w:rFonts w:ascii="Segoe UI" w:hAnsi="Segoe UI" w:cs="Segoe UI"/>
      <w:sz w:val="18"/>
      <w:szCs w:val="18"/>
    </w:rPr>
  </w:style>
  <w:style w:type="paragraph" w:styleId="Bibliographie">
    <w:name w:val="Bibliography"/>
    <w:basedOn w:val="Normal"/>
    <w:next w:val="Normal"/>
    <w:uiPriority w:val="37"/>
    <w:unhideWhenUsed/>
    <w:rsid w:val="00F965A5"/>
    <w:pPr>
      <w:tabs>
        <w:tab w:val="left" w:pos="260"/>
      </w:tabs>
      <w:spacing w:after="240"/>
      <w:ind w:left="264" w:hanging="264"/>
    </w:pPr>
    <w:rPr>
      <w:rFonts w:eastAsiaTheme="minorHAnsi"/>
      <w:kern w:val="2"/>
      <w:lang w:eastAsia="en-US"/>
      <w14:ligatures w14:val="standardContextual"/>
    </w:rPr>
  </w:style>
  <w:style w:type="character" w:styleId="lev">
    <w:name w:val="Strong"/>
    <w:basedOn w:val="Policepardfaut"/>
    <w:uiPriority w:val="22"/>
    <w:qFormat/>
    <w:rsid w:val="004E04BB"/>
    <w:rPr>
      <w:b/>
      <w:bCs/>
    </w:rPr>
  </w:style>
  <w:style w:type="paragraph" w:styleId="En-tte">
    <w:name w:val="header"/>
    <w:basedOn w:val="Normal"/>
    <w:link w:val="En-tteCar"/>
    <w:uiPriority w:val="99"/>
    <w:unhideWhenUsed/>
    <w:rsid w:val="00FC472E"/>
    <w:pPr>
      <w:tabs>
        <w:tab w:val="center" w:pos="4536"/>
        <w:tab w:val="right" w:pos="9072"/>
      </w:tabs>
    </w:pPr>
  </w:style>
  <w:style w:type="character" w:customStyle="1" w:styleId="En-tteCar">
    <w:name w:val="En-tête Car"/>
    <w:basedOn w:val="Policepardfaut"/>
    <w:link w:val="En-tte"/>
    <w:uiPriority w:val="99"/>
    <w:rsid w:val="00FC472E"/>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FC472E"/>
    <w:pPr>
      <w:tabs>
        <w:tab w:val="center" w:pos="4536"/>
        <w:tab w:val="right" w:pos="9072"/>
      </w:tabs>
    </w:pPr>
  </w:style>
  <w:style w:type="character" w:customStyle="1" w:styleId="PieddepageCar">
    <w:name w:val="Pied de page Car"/>
    <w:basedOn w:val="Policepardfaut"/>
    <w:link w:val="Pieddepage"/>
    <w:uiPriority w:val="99"/>
    <w:rsid w:val="00FC472E"/>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974281">
      <w:bodyDiv w:val="1"/>
      <w:marLeft w:val="0"/>
      <w:marRight w:val="0"/>
      <w:marTop w:val="0"/>
      <w:marBottom w:val="0"/>
      <w:divBdr>
        <w:top w:val="none" w:sz="0" w:space="0" w:color="auto"/>
        <w:left w:val="none" w:sz="0" w:space="0" w:color="auto"/>
        <w:bottom w:val="none" w:sz="0" w:space="0" w:color="auto"/>
        <w:right w:val="none" w:sz="0" w:space="0" w:color="auto"/>
      </w:divBdr>
    </w:div>
    <w:div w:id="111852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80805-ED28-4885-AE93-514A934E3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3994</Words>
  <Characters>21970</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Aktan</dc:creator>
  <cp:keywords/>
  <dc:description/>
  <cp:lastModifiedBy>Aktan David</cp:lastModifiedBy>
  <cp:revision>5</cp:revision>
  <cp:lastPrinted>2026-01-13T22:10:00Z</cp:lastPrinted>
  <dcterms:created xsi:type="dcterms:W3CDTF">2026-01-13T22:10:00Z</dcterms:created>
  <dcterms:modified xsi:type="dcterms:W3CDTF">2026-06-03T15:51:00Z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zotero-version="7.0.31"&gt;&lt;session id="3wXYPUFf"/&gt;&lt;style id="http://www.zotero.org/styles/vancouver" locale="fr-FR"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