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79BA" w14:textId="32D316F9" w:rsidR="008F5DA6" w:rsidRDefault="0082F063">
      <w:pPr>
        <w:spacing w:line="360" w:lineRule="auto"/>
        <w:ind w:firstLine="720"/>
        <w:jc w:val="center"/>
        <w:rPr>
          <w:rFonts w:ascii="Times New Roman" w:hAnsi="Times New Roman" w:cs="Times New Roman"/>
          <w:sz w:val="28"/>
          <w:szCs w:val="28"/>
        </w:rPr>
      </w:pPr>
      <w:r w:rsidRPr="65E1DBF8">
        <w:rPr>
          <w:rFonts w:ascii="Times New Roman" w:hAnsi="Times New Roman" w:cs="Times New Roman"/>
          <w:sz w:val="28"/>
          <w:szCs w:val="28"/>
        </w:rPr>
        <w:t xml:space="preserve">How often do </w:t>
      </w:r>
      <w:proofErr w:type="gramStart"/>
      <w:r w:rsidRPr="65E1DBF8">
        <w:rPr>
          <w:rFonts w:ascii="Times New Roman" w:hAnsi="Times New Roman" w:cs="Times New Roman"/>
          <w:sz w:val="28"/>
          <w:szCs w:val="28"/>
        </w:rPr>
        <w:t>we</w:t>
      </w:r>
      <w:proofErr w:type="gramEnd"/>
      <w:r w:rsidRPr="65E1DBF8">
        <w:rPr>
          <w:rFonts w:ascii="Times New Roman" w:hAnsi="Times New Roman" w:cs="Times New Roman"/>
          <w:sz w:val="28"/>
          <w:szCs w:val="28"/>
        </w:rPr>
        <w:t xml:space="preserve"> blank? A </w:t>
      </w:r>
      <w:r w:rsidR="00C142D5">
        <w:rPr>
          <w:rFonts w:ascii="Times New Roman" w:hAnsi="Times New Roman" w:cs="Times New Roman"/>
          <w:sz w:val="28"/>
          <w:szCs w:val="28"/>
        </w:rPr>
        <w:t>systematic review and Bayesian meta-analysis</w:t>
      </w:r>
      <w:r w:rsidRPr="65E1DBF8">
        <w:rPr>
          <w:rFonts w:ascii="Times New Roman" w:hAnsi="Times New Roman" w:cs="Times New Roman"/>
          <w:sz w:val="28"/>
          <w:szCs w:val="28"/>
        </w:rPr>
        <w:t xml:space="preserve"> of mind blanking report rates during experience-sampling</w:t>
      </w:r>
    </w:p>
    <w:p w14:paraId="2AE18580" w14:textId="77777777" w:rsidR="008F5DA6" w:rsidRDefault="008F5DA6">
      <w:pPr>
        <w:spacing w:line="360" w:lineRule="auto"/>
        <w:jc w:val="both"/>
        <w:rPr>
          <w:rFonts w:ascii="Times New Roman" w:hAnsi="Times New Roman" w:cs="Times New Roman"/>
        </w:rPr>
      </w:pPr>
    </w:p>
    <w:p w14:paraId="28CB4A6E" w14:textId="77777777" w:rsidR="008F5DA6" w:rsidRDefault="00FB05D1">
      <w:pPr>
        <w:spacing w:line="360" w:lineRule="auto"/>
        <w:jc w:val="both"/>
      </w:pPr>
      <w:r>
        <w:rPr>
          <w:rFonts w:ascii="Times New Roman" w:hAnsi="Times New Roman" w:cs="Times New Roman"/>
        </w:rPr>
        <w:t>Paradeisios Alexandros Boulakis</w:t>
      </w:r>
      <w:r>
        <w:rPr>
          <w:rFonts w:ascii="Times New Roman" w:hAnsi="Times New Roman" w:cs="Times New Roman"/>
          <w:vertAlign w:val="superscript"/>
        </w:rPr>
        <w:t>1,2</w:t>
      </w:r>
      <w:r>
        <w:rPr>
          <w:rFonts w:ascii="Times New Roman" w:hAnsi="Times New Roman" w:cs="Times New Roman"/>
        </w:rPr>
        <w:t>, Agustina Aragón-Daud</w:t>
      </w:r>
      <w:r>
        <w:rPr>
          <w:rFonts w:ascii="Times New Roman" w:hAnsi="Times New Roman" w:cs="Times New Roman"/>
          <w:vertAlign w:val="superscript"/>
        </w:rPr>
        <w:t>1,3</w:t>
      </w:r>
      <w:r>
        <w:rPr>
          <w:rFonts w:ascii="Times New Roman" w:hAnsi="Times New Roman" w:cs="Times New Roman"/>
        </w:rPr>
        <w:t>, David Stawarczyk</w:t>
      </w:r>
      <w:r>
        <w:rPr>
          <w:rFonts w:ascii="Times New Roman" w:hAnsi="Times New Roman" w:cs="Times New Roman"/>
          <w:vertAlign w:val="superscript"/>
        </w:rPr>
        <w:t>2</w:t>
      </w:r>
      <w:r>
        <w:rPr>
          <w:rFonts w:ascii="Times New Roman" w:hAnsi="Times New Roman" w:cs="Times New Roman"/>
          <w:vertAlign w:val="superscript"/>
          <w:lang w:val="en-GB"/>
        </w:rPr>
        <w:t>,4</w:t>
      </w:r>
      <w:r>
        <w:rPr>
          <w:rFonts w:ascii="Times New Roman" w:hAnsi="Times New Roman" w:cs="Times New Roman"/>
        </w:rPr>
        <w:t>, Athena Demertzi</w:t>
      </w:r>
      <w:r>
        <w:rPr>
          <w:rFonts w:ascii="Times New Roman" w:hAnsi="Times New Roman" w:cs="Times New Roman"/>
          <w:vertAlign w:val="superscript"/>
        </w:rPr>
        <w:t>1,2+</w:t>
      </w:r>
    </w:p>
    <w:p w14:paraId="19F32A04" w14:textId="77777777" w:rsidR="008F5DA6" w:rsidRDefault="008F5DA6">
      <w:pPr>
        <w:spacing w:line="360" w:lineRule="auto"/>
        <w:jc w:val="both"/>
        <w:rPr>
          <w:rFonts w:ascii="Times New Roman" w:hAnsi="Times New Roman" w:cs="Times New Roman"/>
          <w:vertAlign w:val="superscript"/>
        </w:rPr>
      </w:pPr>
    </w:p>
    <w:p w14:paraId="209F9CF1" w14:textId="77777777" w:rsidR="008F5DA6" w:rsidRDefault="00FB05D1">
      <w:pPr>
        <w:spacing w:line="360" w:lineRule="auto"/>
        <w:jc w:val="both"/>
      </w:pPr>
      <w:r>
        <w:rPr>
          <w:rFonts w:ascii="Times New Roman" w:hAnsi="Times New Roman" w:cs="Times New Roman"/>
          <w:vertAlign w:val="superscript"/>
        </w:rPr>
        <w:t>1</w:t>
      </w:r>
      <w:r>
        <w:rPr>
          <w:rFonts w:ascii="Times New Roman" w:hAnsi="Times New Roman" w:cs="Times New Roman"/>
        </w:rPr>
        <w:t>Physiology of Cognition Lab, GIGA CRC Human Imaging, GIGA Institute, University of Liège, Belgium</w:t>
      </w:r>
    </w:p>
    <w:p w14:paraId="265499F3" w14:textId="77777777" w:rsidR="008F5DA6" w:rsidRDefault="00FB05D1">
      <w:pPr>
        <w:spacing w:line="360" w:lineRule="auto"/>
        <w:jc w:val="both"/>
      </w:pPr>
      <w:r>
        <w:rPr>
          <w:rFonts w:ascii="Times New Roman" w:hAnsi="Times New Roman" w:cs="Times New Roman"/>
          <w:vertAlign w:val="superscript"/>
        </w:rPr>
        <w:t>2</w:t>
      </w:r>
      <w:r>
        <w:rPr>
          <w:rFonts w:ascii="Times New Roman" w:hAnsi="Times New Roman" w:cs="Times New Roman"/>
        </w:rPr>
        <w:t>Psychology and Neuroscience of Cognition Unit (</w:t>
      </w:r>
      <w:proofErr w:type="spellStart"/>
      <w:r>
        <w:rPr>
          <w:rFonts w:ascii="Times New Roman" w:hAnsi="Times New Roman" w:cs="Times New Roman"/>
        </w:rPr>
        <w:t>PsyNCog</w:t>
      </w:r>
      <w:proofErr w:type="spellEnd"/>
      <w:r>
        <w:rPr>
          <w:rFonts w:ascii="Times New Roman" w:hAnsi="Times New Roman" w:cs="Times New Roman"/>
        </w:rPr>
        <w:t>), University of Liège, Belgium</w:t>
      </w:r>
    </w:p>
    <w:p w14:paraId="16A2D54C" w14:textId="77777777" w:rsidR="008F5DA6" w:rsidRDefault="00FB05D1">
      <w:pPr>
        <w:spacing w:line="360" w:lineRule="auto"/>
        <w:jc w:val="both"/>
      </w:pPr>
      <w:r>
        <w:rPr>
          <w:rFonts w:ascii="Times New Roman" w:hAnsi="Times New Roman" w:cs="Times New Roman"/>
          <w:vertAlign w:val="superscript"/>
          <w:lang w:val="en-GB"/>
        </w:rPr>
        <w:t>3</w:t>
      </w:r>
      <w:r>
        <w:rPr>
          <w:rFonts w:ascii="Times New Roman" w:hAnsi="Times New Roman" w:cs="Times New Roman"/>
          <w:lang w:val="en-GB"/>
        </w:rPr>
        <w:t xml:space="preserve">Applied Machine Learning Lab, Institute of Neuroscience and Medicine: Brain &amp; Behaviour (INM-7), </w:t>
      </w:r>
      <w:proofErr w:type="spellStart"/>
      <w:r>
        <w:rPr>
          <w:rFonts w:ascii="Times New Roman" w:hAnsi="Times New Roman" w:cs="Times New Roman"/>
          <w:lang w:val="en-GB"/>
        </w:rPr>
        <w:t>Forschungzentrum</w:t>
      </w:r>
      <w:proofErr w:type="spellEnd"/>
      <w:r>
        <w:rPr>
          <w:rFonts w:ascii="Times New Roman" w:hAnsi="Times New Roman" w:cs="Times New Roman"/>
          <w:lang w:val="en-GB"/>
        </w:rPr>
        <w:t xml:space="preserve"> Jülich, Germany</w:t>
      </w:r>
    </w:p>
    <w:p w14:paraId="7FDD8C2A" w14:textId="77777777" w:rsidR="008F5DA6" w:rsidRDefault="00FB05D1">
      <w:pPr>
        <w:spacing w:line="360" w:lineRule="auto"/>
        <w:jc w:val="both"/>
      </w:pPr>
      <w:r>
        <w:rPr>
          <w:rFonts w:ascii="Times New Roman" w:hAnsi="Times New Roman" w:cs="Times New Roman"/>
          <w:vertAlign w:val="superscript"/>
          <w:lang w:val="en-GB"/>
        </w:rPr>
        <w:t>4</w:t>
      </w:r>
      <w:r>
        <w:rPr>
          <w:rFonts w:ascii="Times New Roman" w:hAnsi="Times New Roman" w:cs="Times New Roman"/>
        </w:rPr>
        <w:t>GIGA CRC Human Imaging, GIGA Institute, University of Liège, Belgium</w:t>
      </w:r>
    </w:p>
    <w:p w14:paraId="71571301" w14:textId="77777777" w:rsidR="008F5DA6" w:rsidRDefault="008F5DA6">
      <w:pPr>
        <w:spacing w:line="360" w:lineRule="auto"/>
        <w:jc w:val="both"/>
        <w:rPr>
          <w:rFonts w:ascii="Times New Roman" w:hAnsi="Times New Roman" w:cs="Times New Roman"/>
        </w:rPr>
      </w:pPr>
    </w:p>
    <w:p w14:paraId="3480EEFF" w14:textId="77777777" w:rsidR="008F5DA6" w:rsidRDefault="00FB05D1">
      <w:pPr>
        <w:spacing w:line="360" w:lineRule="auto"/>
        <w:jc w:val="both"/>
      </w:pPr>
      <w:r>
        <w:rPr>
          <w:rFonts w:ascii="Times New Roman" w:hAnsi="Times New Roman" w:cs="Times New Roman"/>
          <w:vertAlign w:val="superscript"/>
        </w:rPr>
        <w:t>+</w:t>
      </w:r>
      <w:r>
        <w:rPr>
          <w:rFonts w:ascii="Times New Roman" w:hAnsi="Times New Roman" w:cs="Times New Roman"/>
        </w:rPr>
        <w:t xml:space="preserve">Corresponding author: </w:t>
      </w:r>
      <w:hyperlink r:id="rId10" w:history="1">
        <w:r w:rsidR="008F5DA6">
          <w:rPr>
            <w:rStyle w:val="Hyperlink"/>
            <w:rFonts w:ascii="Times New Roman" w:hAnsi="Times New Roman" w:cs="Times New Roman"/>
          </w:rPr>
          <w:t>a.demertzi@uliege.be</w:t>
        </w:r>
      </w:hyperlink>
    </w:p>
    <w:p w14:paraId="515D7A30" w14:textId="77777777" w:rsidR="008F5DA6" w:rsidRDefault="008F5DA6">
      <w:pPr>
        <w:spacing w:line="360" w:lineRule="auto"/>
        <w:jc w:val="both"/>
        <w:rPr>
          <w:rFonts w:ascii="Times New Roman" w:hAnsi="Times New Roman" w:cs="Times New Roman"/>
        </w:rPr>
      </w:pPr>
    </w:p>
    <w:p w14:paraId="0A255D35" w14:textId="77777777" w:rsidR="008F5DA6" w:rsidRDefault="008F5DA6">
      <w:pPr>
        <w:spacing w:line="360" w:lineRule="auto"/>
        <w:jc w:val="both"/>
        <w:rPr>
          <w:rFonts w:ascii="Times New Roman" w:hAnsi="Times New Roman" w:cs="Times New Roman"/>
        </w:rPr>
      </w:pPr>
    </w:p>
    <w:p w14:paraId="56755E98" w14:textId="77777777" w:rsidR="008F5DA6" w:rsidRDefault="008F5DA6">
      <w:pPr>
        <w:spacing w:line="360" w:lineRule="auto"/>
        <w:jc w:val="both"/>
        <w:rPr>
          <w:rFonts w:ascii="Times New Roman" w:hAnsi="Times New Roman" w:cs="Times New Roman"/>
        </w:rPr>
      </w:pPr>
    </w:p>
    <w:p w14:paraId="6FBACABA" w14:textId="77777777" w:rsidR="008F5DA6" w:rsidRDefault="008F5DA6">
      <w:pPr>
        <w:spacing w:line="360" w:lineRule="auto"/>
        <w:jc w:val="both"/>
        <w:rPr>
          <w:rFonts w:ascii="Times New Roman" w:hAnsi="Times New Roman" w:cs="Times New Roman"/>
        </w:rPr>
      </w:pPr>
    </w:p>
    <w:p w14:paraId="6C0035C8" w14:textId="77777777" w:rsidR="008F5DA6" w:rsidRDefault="008F5DA6">
      <w:pPr>
        <w:spacing w:line="360" w:lineRule="auto"/>
        <w:jc w:val="both"/>
        <w:rPr>
          <w:rFonts w:ascii="Times New Roman" w:hAnsi="Times New Roman" w:cs="Times New Roman"/>
        </w:rPr>
      </w:pPr>
    </w:p>
    <w:p w14:paraId="5F1C2F5E" w14:textId="486AF96F" w:rsidR="008F5DA6" w:rsidRDefault="00FB05D1">
      <w:pPr>
        <w:spacing w:line="360" w:lineRule="auto"/>
        <w:jc w:val="both"/>
        <w:rPr>
          <w:rFonts w:ascii="Times New Roman" w:hAnsi="Times New Roman" w:cs="Times New Roman"/>
        </w:rPr>
      </w:pPr>
      <w:r>
        <w:rPr>
          <w:rFonts w:ascii="Times New Roman" w:hAnsi="Times New Roman" w:cs="Times New Roman"/>
        </w:rPr>
        <w:t>Word count:</w:t>
      </w:r>
      <w:r w:rsidR="004559C4">
        <w:rPr>
          <w:rFonts w:ascii="Times New Roman" w:hAnsi="Times New Roman" w:cs="Times New Roman"/>
        </w:rPr>
        <w:t xml:space="preserve"> </w:t>
      </w:r>
      <w:r w:rsidR="00581C85" w:rsidRPr="00581C85">
        <w:rPr>
          <w:rFonts w:ascii="Times New Roman" w:hAnsi="Times New Roman" w:cs="Times New Roman"/>
        </w:rPr>
        <w:t>9,153</w:t>
      </w:r>
    </w:p>
    <w:p w14:paraId="575210C6" w14:textId="7121EE3B" w:rsidR="008F5DA6" w:rsidRDefault="00FB05D1">
      <w:pPr>
        <w:spacing w:line="360" w:lineRule="auto"/>
        <w:jc w:val="both"/>
        <w:rPr>
          <w:rFonts w:ascii="Times New Roman" w:hAnsi="Times New Roman" w:cs="Times New Roman"/>
        </w:rPr>
      </w:pPr>
      <w:r>
        <w:rPr>
          <w:rFonts w:ascii="Times New Roman" w:hAnsi="Times New Roman" w:cs="Times New Roman"/>
        </w:rPr>
        <w:t>Figure count:</w:t>
      </w:r>
      <w:r w:rsidR="004559C4">
        <w:rPr>
          <w:rFonts w:ascii="Times New Roman" w:hAnsi="Times New Roman" w:cs="Times New Roman"/>
        </w:rPr>
        <w:t xml:space="preserve"> </w:t>
      </w:r>
      <w:r w:rsidR="00581C85">
        <w:rPr>
          <w:rFonts w:ascii="Times New Roman" w:hAnsi="Times New Roman" w:cs="Times New Roman"/>
        </w:rPr>
        <w:t>6</w:t>
      </w:r>
    </w:p>
    <w:p w14:paraId="025A5DCA" w14:textId="4FA2D245" w:rsidR="008F5DA6" w:rsidRDefault="00FB05D1">
      <w:pPr>
        <w:spacing w:line="360" w:lineRule="auto"/>
        <w:jc w:val="both"/>
      </w:pPr>
      <w:r>
        <w:rPr>
          <w:rFonts w:ascii="Times New Roman" w:hAnsi="Times New Roman" w:cs="Times New Roman"/>
        </w:rPr>
        <w:t>Table count:</w:t>
      </w:r>
      <w:r w:rsidR="004559C4">
        <w:rPr>
          <w:rFonts w:ascii="Times New Roman" w:hAnsi="Times New Roman" w:cs="Times New Roman"/>
        </w:rPr>
        <w:t xml:space="preserve"> </w:t>
      </w:r>
      <w:r w:rsidR="00581C85">
        <w:rPr>
          <w:rFonts w:ascii="Times New Roman" w:hAnsi="Times New Roman" w:cs="Times New Roman"/>
        </w:rPr>
        <w:t>1</w:t>
      </w:r>
    </w:p>
    <w:p w14:paraId="5FCCCA66" w14:textId="77777777" w:rsidR="008F5DA6" w:rsidRDefault="008F5DA6">
      <w:pPr>
        <w:spacing w:line="360" w:lineRule="auto"/>
        <w:jc w:val="both"/>
        <w:rPr>
          <w:rFonts w:ascii="Times New Roman" w:hAnsi="Times New Roman" w:cs="Times New Roman"/>
          <w:u w:val="single"/>
        </w:rPr>
      </w:pPr>
    </w:p>
    <w:p w14:paraId="4E7D97DA" w14:textId="77777777" w:rsidR="008F5DA6" w:rsidRDefault="008F5DA6">
      <w:pPr>
        <w:spacing w:line="360" w:lineRule="auto"/>
        <w:jc w:val="both"/>
        <w:rPr>
          <w:rFonts w:ascii="Times New Roman" w:hAnsi="Times New Roman" w:cs="Times New Roman"/>
          <w:u w:val="single"/>
        </w:rPr>
      </w:pPr>
    </w:p>
    <w:p w14:paraId="43376D26" w14:textId="77777777" w:rsidR="008F5DA6" w:rsidRDefault="008F5DA6">
      <w:pPr>
        <w:spacing w:line="360" w:lineRule="auto"/>
        <w:jc w:val="both"/>
        <w:rPr>
          <w:rFonts w:ascii="Times New Roman" w:hAnsi="Times New Roman" w:cs="Times New Roman"/>
          <w:u w:val="single"/>
        </w:rPr>
      </w:pPr>
    </w:p>
    <w:p w14:paraId="4063144F" w14:textId="77777777" w:rsidR="008F5DA6" w:rsidRDefault="00FB05D1">
      <w:pPr>
        <w:spacing w:line="360" w:lineRule="auto"/>
        <w:jc w:val="both"/>
        <w:rPr>
          <w:rFonts w:ascii="Times New Roman" w:hAnsi="Times New Roman" w:cs="Times New Roman"/>
          <w:u w:val="single"/>
        </w:rPr>
      </w:pPr>
      <w:r>
        <w:rPr>
          <w:rFonts w:ascii="Times New Roman" w:hAnsi="Times New Roman" w:cs="Times New Roman"/>
          <w:u w:val="single"/>
        </w:rPr>
        <w:lastRenderedPageBreak/>
        <w:t>Abstract</w:t>
      </w:r>
    </w:p>
    <w:p w14:paraId="340EFBCF" w14:textId="11ED0BF0" w:rsidR="008F5DA6" w:rsidRDefault="03EEAE50">
      <w:pPr>
        <w:spacing w:line="360" w:lineRule="auto"/>
        <w:ind w:firstLine="720"/>
        <w:jc w:val="both"/>
      </w:pPr>
      <w:r w:rsidRPr="65E1DBF8">
        <w:rPr>
          <w:rFonts w:ascii="Times New Roman" w:hAnsi="Times New Roman" w:cs="Times New Roman"/>
        </w:rPr>
        <w:t>Occasionally, during the stream of thought, people report experiencing no mental content or being unable to access any</w:t>
      </w:r>
      <w:r w:rsidR="5936EF52" w:rsidRPr="65E1DBF8">
        <w:rPr>
          <w:rFonts w:ascii="Times New Roman" w:hAnsi="Times New Roman" w:cs="Times New Roman"/>
        </w:rPr>
        <w:t xml:space="preserve"> content</w:t>
      </w:r>
      <w:r w:rsidRPr="65E1DBF8">
        <w:rPr>
          <w:rFonts w:ascii="Times New Roman" w:hAnsi="Times New Roman" w:cs="Times New Roman"/>
        </w:rPr>
        <w:t xml:space="preserve">, a mental state termed mind-blanking (MB). While MB appears to be a ubiquitous component of our mental lives, there is currently no systematic </w:t>
      </w:r>
      <w:proofErr w:type="spellStart"/>
      <w:r w:rsidRPr="65E1DBF8">
        <w:rPr>
          <w:rFonts w:ascii="Times New Roman" w:hAnsi="Times New Roman" w:cs="Times New Roman"/>
        </w:rPr>
        <w:t>characterisation</w:t>
      </w:r>
      <w:proofErr w:type="spellEnd"/>
      <w:r w:rsidRPr="65E1DBF8">
        <w:rPr>
          <w:rFonts w:ascii="Times New Roman" w:hAnsi="Times New Roman" w:cs="Times New Roman"/>
        </w:rPr>
        <w:t xml:space="preserve"> of how often MB occurs and under what conditions. The present preregistered systematic review </w:t>
      </w:r>
      <w:r w:rsidR="0082112E">
        <w:rPr>
          <w:rFonts w:ascii="Times New Roman" w:hAnsi="Times New Roman" w:cs="Times New Roman"/>
        </w:rPr>
        <w:t>and meta-analysis aimed to determine</w:t>
      </w:r>
      <w:r w:rsidRPr="65E1DBF8">
        <w:rPr>
          <w:rFonts w:ascii="Times New Roman" w:hAnsi="Times New Roman" w:cs="Times New Roman"/>
        </w:rPr>
        <w:t xml:space="preserve"> how often MB is reported in experience-sampling studies. Our search strategy yielded a sample of</w:t>
      </w:r>
      <w:r w:rsidR="1C99D080" w:rsidRPr="65E1DBF8">
        <w:rPr>
          <w:rFonts w:ascii="Times New Roman" w:hAnsi="Times New Roman" w:cs="Times New Roman"/>
        </w:rPr>
        <w:t xml:space="preserve"> 59 studies</w:t>
      </w:r>
      <w:r w:rsidRPr="65E1DBF8">
        <w:rPr>
          <w:rFonts w:ascii="Times New Roman" w:hAnsi="Times New Roman" w:cs="Times New Roman"/>
        </w:rPr>
        <w:t>, probing mental reports for more than</w:t>
      </w:r>
      <w:r w:rsidR="1C99D080" w:rsidRPr="65E1DBF8">
        <w:rPr>
          <w:rFonts w:ascii="Times New Roman" w:hAnsi="Times New Roman" w:cs="Times New Roman"/>
        </w:rPr>
        <w:t xml:space="preserve"> 8500 participants</w:t>
      </w:r>
      <w:r w:rsidRPr="65E1DBF8">
        <w:rPr>
          <w:rFonts w:ascii="Times New Roman" w:hAnsi="Times New Roman" w:cs="Times New Roman"/>
        </w:rPr>
        <w:t xml:space="preserve">. </w:t>
      </w:r>
      <w:r w:rsidR="0082112E">
        <w:rPr>
          <w:rFonts w:ascii="Times New Roman" w:hAnsi="Times New Roman" w:cs="Times New Roman"/>
        </w:rPr>
        <w:t>Using Bayesian linear modelling, we estimated the meta-analytic MB report rate at 10% of total experience sampling</w:t>
      </w:r>
      <w:r w:rsidR="3B423A44" w:rsidRPr="65E1DBF8">
        <w:rPr>
          <w:rFonts w:ascii="Times New Roman" w:hAnsi="Times New Roman" w:cs="Times New Roman"/>
        </w:rPr>
        <w:t>. We did not find any evidence for an effect of experience-sampling parameters on MB report rate</w:t>
      </w:r>
      <w:r w:rsidR="18C82E26" w:rsidRPr="65E1DBF8">
        <w:rPr>
          <w:rFonts w:ascii="Times New Roman" w:hAnsi="Times New Roman" w:cs="Times New Roman"/>
        </w:rPr>
        <w:t>s</w:t>
      </w:r>
      <w:r w:rsidR="3B423A44" w:rsidRPr="65E1DBF8">
        <w:rPr>
          <w:rFonts w:ascii="Times New Roman" w:hAnsi="Times New Roman" w:cs="Times New Roman"/>
        </w:rPr>
        <w:t xml:space="preserve">. </w:t>
      </w:r>
      <w:r w:rsidR="08348AC5" w:rsidRPr="65E1DBF8">
        <w:rPr>
          <w:rFonts w:ascii="Times New Roman" w:hAnsi="Times New Roman" w:cs="Times New Roman"/>
        </w:rPr>
        <w:t>However, w</w:t>
      </w:r>
      <w:r w:rsidR="3B423A44" w:rsidRPr="65E1DBF8">
        <w:rPr>
          <w:rFonts w:ascii="Times New Roman" w:hAnsi="Times New Roman" w:cs="Times New Roman"/>
        </w:rPr>
        <w:t>e</w:t>
      </w:r>
      <w:r w:rsidRPr="65E1DBF8">
        <w:rPr>
          <w:rFonts w:ascii="Times New Roman" w:hAnsi="Times New Roman" w:cs="Times New Roman"/>
        </w:rPr>
        <w:t xml:space="preserve"> </w:t>
      </w:r>
      <w:r w:rsidR="52BEE9F7" w:rsidRPr="65E1DBF8">
        <w:rPr>
          <w:rFonts w:ascii="Times New Roman" w:hAnsi="Times New Roman" w:cs="Times New Roman"/>
        </w:rPr>
        <w:t xml:space="preserve">identified </w:t>
      </w:r>
      <w:r w:rsidRPr="65E1DBF8">
        <w:rPr>
          <w:rFonts w:ascii="Times New Roman" w:hAnsi="Times New Roman" w:cs="Times New Roman"/>
        </w:rPr>
        <w:t>that low arousal was associated with higher MB</w:t>
      </w:r>
      <w:r w:rsidR="003D5755">
        <w:rPr>
          <w:rFonts w:ascii="Times New Roman" w:hAnsi="Times New Roman" w:cs="Times New Roman"/>
        </w:rPr>
        <w:t xml:space="preserve"> report </w:t>
      </w:r>
      <w:r w:rsidRPr="65E1DBF8">
        <w:rPr>
          <w:rFonts w:ascii="Times New Roman" w:hAnsi="Times New Roman" w:cs="Times New Roman"/>
        </w:rPr>
        <w:t xml:space="preserve">frequency. </w:t>
      </w:r>
      <w:r w:rsidR="1AFE25BC" w:rsidRPr="65E1DBF8">
        <w:rPr>
          <w:rFonts w:ascii="Times New Roman" w:hAnsi="Times New Roman" w:cs="Times New Roman"/>
        </w:rPr>
        <w:t>Additionally, and c</w:t>
      </w:r>
      <w:r w:rsidRPr="65E1DBF8">
        <w:rPr>
          <w:rFonts w:ascii="Times New Roman" w:hAnsi="Times New Roman" w:cs="Times New Roman"/>
        </w:rPr>
        <w:t>ontrary to</w:t>
      </w:r>
      <w:r w:rsidR="5936EF52" w:rsidRPr="65E1DBF8">
        <w:rPr>
          <w:rFonts w:ascii="Times New Roman" w:hAnsi="Times New Roman" w:cs="Times New Roman"/>
        </w:rPr>
        <w:t xml:space="preserve"> </w:t>
      </w:r>
      <w:r w:rsidR="3273AF3E" w:rsidRPr="65E1DBF8">
        <w:rPr>
          <w:rFonts w:ascii="Times New Roman" w:hAnsi="Times New Roman" w:cs="Times New Roman"/>
        </w:rPr>
        <w:t xml:space="preserve">the </w:t>
      </w:r>
      <w:r w:rsidRPr="65E1DBF8">
        <w:rPr>
          <w:rFonts w:ascii="Times New Roman" w:hAnsi="Times New Roman" w:cs="Times New Roman"/>
        </w:rPr>
        <w:t xml:space="preserve">established literature, ADHD MB rates did not differ from our normative, baseline MB rate. Finally, using our meta-analytically derived posterior estimate, we simulated synthetic experience-sampling studies to determine appropriate sample sizes. In doing so, we provide heuristic </w:t>
      </w:r>
      <w:r w:rsidR="7418F39B" w:rsidRPr="65E1DBF8">
        <w:rPr>
          <w:rFonts w:ascii="Times New Roman" w:hAnsi="Times New Roman" w:cs="Times New Roman"/>
        </w:rPr>
        <w:t>sample-size recommendations to</w:t>
      </w:r>
      <w:r w:rsidRPr="65E1DBF8">
        <w:rPr>
          <w:rFonts w:ascii="Times New Roman" w:hAnsi="Times New Roman" w:cs="Times New Roman"/>
        </w:rPr>
        <w:t xml:space="preserve"> ensure high statistical power in prospective investigations. </w:t>
      </w:r>
      <w:r w:rsidR="00082B60" w:rsidRPr="00082B60">
        <w:rPr>
          <w:rFonts w:ascii="Times New Roman" w:hAnsi="Times New Roman" w:cs="Times New Roman"/>
        </w:rPr>
        <w:t xml:space="preserve">We recommend that prospective experience-sampling studies include 35 participants </w:t>
      </w:r>
      <w:r w:rsidR="00082B60">
        <w:rPr>
          <w:rFonts w:ascii="Times New Roman" w:hAnsi="Times New Roman" w:cs="Times New Roman"/>
        </w:rPr>
        <w:t>and 50 probes per participant, which should provide over 95% power to detect medium-sized effects</w:t>
      </w:r>
      <w:r w:rsidR="00082B60" w:rsidRPr="00082B60">
        <w:rPr>
          <w:rFonts w:ascii="Times New Roman" w:hAnsi="Times New Roman" w:cs="Times New Roman"/>
        </w:rPr>
        <w:t>.</w:t>
      </w:r>
      <w:r w:rsidR="00082B60">
        <w:rPr>
          <w:rFonts w:ascii="Times New Roman" w:hAnsi="Times New Roman" w:cs="Times New Roman"/>
        </w:rPr>
        <w:t xml:space="preserve"> </w:t>
      </w:r>
      <w:r w:rsidRPr="65E1DBF8">
        <w:rPr>
          <w:rFonts w:ascii="Times New Roman" w:hAnsi="Times New Roman" w:cs="Times New Roman"/>
        </w:rPr>
        <w:t xml:space="preserve">Overall, the present meta-analysis suggests that MB </w:t>
      </w:r>
      <w:r w:rsidR="58A83F47" w:rsidRPr="65E1DBF8">
        <w:rPr>
          <w:rFonts w:ascii="Times New Roman" w:hAnsi="Times New Roman" w:cs="Times New Roman"/>
        </w:rPr>
        <w:t>is</w:t>
      </w:r>
      <w:r w:rsidRPr="65E1DBF8">
        <w:rPr>
          <w:rFonts w:ascii="Times New Roman" w:hAnsi="Times New Roman" w:cs="Times New Roman"/>
        </w:rPr>
        <w:t xml:space="preserve"> fundamentally an infrequent mental state, yet its inclusion </w:t>
      </w:r>
      <w:r w:rsidR="1150C34D" w:rsidRPr="65E1DBF8">
        <w:rPr>
          <w:rFonts w:ascii="Times New Roman" w:hAnsi="Times New Roman" w:cs="Times New Roman"/>
        </w:rPr>
        <w:t xml:space="preserve">in experience-sampling paradigms </w:t>
      </w:r>
      <w:r w:rsidRPr="65E1DBF8">
        <w:rPr>
          <w:rFonts w:ascii="Times New Roman" w:hAnsi="Times New Roman" w:cs="Times New Roman"/>
        </w:rPr>
        <w:t>provides accuracy and granularity into the full scope of mental states during spontaneous thinking.</w:t>
      </w:r>
    </w:p>
    <w:p w14:paraId="3DDEF743" w14:textId="77777777" w:rsidR="008F5DA6" w:rsidRPr="003009DF" w:rsidRDefault="008F5DA6">
      <w:pPr>
        <w:spacing w:line="360" w:lineRule="auto"/>
        <w:jc w:val="both"/>
        <w:rPr>
          <w:rFonts w:ascii="Times New Roman" w:hAnsi="Times New Roman" w:cs="Times New Roman"/>
          <w:u w:val="single"/>
          <w:lang w:val="en-GB"/>
        </w:rPr>
      </w:pPr>
    </w:p>
    <w:p w14:paraId="585A6C5A" w14:textId="77777777" w:rsidR="00DA218A" w:rsidRPr="003009DF" w:rsidRDefault="00DA218A">
      <w:pPr>
        <w:spacing w:line="360" w:lineRule="auto"/>
        <w:jc w:val="both"/>
        <w:rPr>
          <w:rFonts w:ascii="Times New Roman" w:hAnsi="Times New Roman" w:cs="Times New Roman"/>
          <w:u w:val="single"/>
          <w:lang w:val="en-GB"/>
        </w:rPr>
      </w:pPr>
    </w:p>
    <w:p w14:paraId="6D85156A" w14:textId="77777777" w:rsidR="00DA218A" w:rsidRPr="003009DF" w:rsidRDefault="00DA218A">
      <w:pPr>
        <w:spacing w:line="360" w:lineRule="auto"/>
        <w:jc w:val="both"/>
        <w:rPr>
          <w:rFonts w:ascii="Times New Roman" w:hAnsi="Times New Roman" w:cs="Times New Roman"/>
          <w:u w:val="single"/>
          <w:lang w:val="en-GB"/>
        </w:rPr>
      </w:pPr>
    </w:p>
    <w:p w14:paraId="32997B02" w14:textId="77777777" w:rsidR="00DA218A" w:rsidRPr="003009DF" w:rsidRDefault="00DA218A">
      <w:pPr>
        <w:spacing w:line="360" w:lineRule="auto"/>
        <w:jc w:val="both"/>
        <w:rPr>
          <w:rFonts w:ascii="Times New Roman" w:hAnsi="Times New Roman" w:cs="Times New Roman"/>
          <w:u w:val="single"/>
          <w:lang w:val="en-GB"/>
        </w:rPr>
      </w:pPr>
    </w:p>
    <w:p w14:paraId="465F34C1" w14:textId="77777777" w:rsidR="00DA218A" w:rsidRPr="003009DF" w:rsidRDefault="00DA218A">
      <w:pPr>
        <w:spacing w:line="360" w:lineRule="auto"/>
        <w:jc w:val="both"/>
        <w:rPr>
          <w:rFonts w:ascii="Times New Roman" w:hAnsi="Times New Roman" w:cs="Times New Roman"/>
          <w:u w:val="single"/>
          <w:lang w:val="en-GB"/>
        </w:rPr>
      </w:pPr>
    </w:p>
    <w:p w14:paraId="7B8CEFA4" w14:textId="77777777" w:rsidR="00DA218A" w:rsidRPr="003009DF" w:rsidRDefault="00DA218A">
      <w:pPr>
        <w:spacing w:line="360" w:lineRule="auto"/>
        <w:jc w:val="both"/>
        <w:rPr>
          <w:rFonts w:ascii="Times New Roman" w:hAnsi="Times New Roman" w:cs="Times New Roman"/>
          <w:u w:val="single"/>
          <w:lang w:val="en-GB"/>
        </w:rPr>
      </w:pPr>
    </w:p>
    <w:p w14:paraId="27920516" w14:textId="77777777" w:rsidR="00DA218A" w:rsidRPr="003009DF" w:rsidRDefault="00DA218A">
      <w:pPr>
        <w:spacing w:line="360" w:lineRule="auto"/>
        <w:jc w:val="both"/>
        <w:rPr>
          <w:rFonts w:ascii="Times New Roman" w:hAnsi="Times New Roman" w:cs="Times New Roman"/>
          <w:u w:val="single"/>
          <w:lang w:val="en-GB"/>
        </w:rPr>
      </w:pPr>
    </w:p>
    <w:p w14:paraId="602D6CB9" w14:textId="77777777" w:rsidR="00DA218A" w:rsidRDefault="00DA218A">
      <w:pPr>
        <w:spacing w:line="360" w:lineRule="auto"/>
        <w:jc w:val="both"/>
        <w:rPr>
          <w:rFonts w:ascii="Times New Roman" w:hAnsi="Times New Roman" w:cs="Times New Roman"/>
          <w:u w:val="single"/>
          <w:lang w:val="en-GB"/>
        </w:rPr>
      </w:pPr>
    </w:p>
    <w:p w14:paraId="2DC08E9F" w14:textId="7C093B79" w:rsidR="008F5DA6" w:rsidRDefault="00FB05D1">
      <w:pPr>
        <w:spacing w:line="360" w:lineRule="auto"/>
        <w:jc w:val="both"/>
      </w:pPr>
      <w:r>
        <w:rPr>
          <w:rFonts w:ascii="Times New Roman" w:hAnsi="Times New Roman" w:cs="Times New Roman"/>
          <w:u w:val="single"/>
        </w:rPr>
        <w:lastRenderedPageBreak/>
        <w:t>Introduction</w:t>
      </w:r>
    </w:p>
    <w:p w14:paraId="25CC1BF6" w14:textId="3DFE5D4D" w:rsidR="005B1B72" w:rsidRDefault="00FB05D1" w:rsidP="00F740F8">
      <w:pPr>
        <w:widowControl w:val="0"/>
        <w:autoSpaceDE w:val="0"/>
        <w:adjustRightInd w:val="0"/>
        <w:spacing w:after="0" w:line="360" w:lineRule="auto"/>
        <w:ind w:firstLine="720"/>
        <w:jc w:val="both"/>
        <w:rPr>
          <w:rFonts w:ascii="Times New Roman" w:hAnsi="Times New Roman" w:cs="Times New Roman"/>
          <w:lang w:val="en-GB"/>
        </w:rPr>
      </w:pPr>
      <w:r>
        <w:rPr>
          <w:rFonts w:ascii="Times New Roman" w:hAnsi="Times New Roman" w:cs="Times New Roman"/>
        </w:rPr>
        <w:t xml:space="preserve">During wakefulness, the mind fluctuates across different forms of mental content, a dynamic reflected in the stream of thought. However, the stream of thought is not continuously </w:t>
      </w:r>
      <w:proofErr w:type="spellStart"/>
      <w:r>
        <w:rPr>
          <w:rFonts w:ascii="Times New Roman" w:hAnsi="Times New Roman" w:cs="Times New Roman"/>
        </w:rPr>
        <w:t>characterised</w:t>
      </w:r>
      <w:proofErr w:type="spellEnd"/>
      <w:r>
        <w:rPr>
          <w:rFonts w:ascii="Times New Roman" w:hAnsi="Times New Roman" w:cs="Times New Roman"/>
        </w:rPr>
        <w:t xml:space="preserve"> by reportable mental content. </w:t>
      </w:r>
      <w:r>
        <w:rPr>
          <w:rFonts w:ascii="Times New Roman" w:hAnsi="Times New Roman"/>
          <w:color w:val="000000"/>
        </w:rPr>
        <w:t>Probing people to report their thoughts will occasionally return answers such as “I am thinking of nothing”, “I am not thinking of anything”, “my mind is blank” or “I was not paying attention to anything in particular”.</w:t>
      </w:r>
      <w:r>
        <w:rPr>
          <w:rFonts w:ascii="Times New Roman" w:hAnsi="Times New Roman" w:cs="Times New Roman"/>
        </w:rPr>
        <w:t xml:space="preserve"> More formally, mind blanking (MB) is a mental state where people have no reportable experiences</w:t>
      </w:r>
      <w:r>
        <w:rPr>
          <w:rFonts w:ascii="Times New Roman" w:hAnsi="Times New Roman" w:cs="Times New Roman"/>
          <w:lang w:val="en-GB"/>
        </w:rPr>
        <w:t xml:space="preserve"> </w:t>
      </w:r>
      <w:r>
        <w:rPr>
          <w:rFonts w:ascii="Times New Roman" w:hAnsi="Times New Roman" w:cs="Times New Roman"/>
        </w:rPr>
        <w:t>or are unable to report any content</w:t>
      </w:r>
      <w:r w:rsidR="00D0518D">
        <w:rPr>
          <w:rFonts w:ascii="Times New Roman" w:hAnsi="Times New Roman" w:cs="Times New Roman"/>
        </w:rPr>
        <w:t xml:space="preserve"> </w:t>
      </w:r>
      <w:r w:rsidR="00D0518D">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{"citationID":"a1tm43acd9l","properties":{"unsorted":false,"formattedCitation":"(Andrillon et al., 2025; Boulakis &amp; Demertzi, 2025; Ward &amp; Wegner, 2013)","plainCitation":"(Andrillon et al., 2025; Boulakis &amp; Demertzi, 2025; Ward &amp; Wegner, 2013)","noteIndex":0},"citationItems":[{"id":8371,"uris":["http://zotero.org/users/8613739/items/QDYKQMGT"],"itemData":{"id":8371,"type":"article-journal","abstract":"Ongoing experience comes in shades with varying richness of mental content. Mind blanking (MB) implies that there can be moments that are seemingly devoid of mental content. MB is gaining attention as a reportable mental state. The multiple definitions it has received point to its current conceptual and methodological ambiguities. MB may be phenomenologically diverse – different types can bear similarities and differences to 'empty minds', such as during meditative practices and sleep (white dreams). MB reports have distinguishable neurobehavioral profiles, pointing to arousal as a key foundational backbone for MB reportability. We propose a mechanistic account in which MB is the end-result of physiological, neural, and cognitive changes, which provides insights for future empirical and phenomenological research of MB. During wakefulness, our thoughts transition between different contents. However, there are moments that are seemingly devoid of reportable content, referred to as mind","citation-key":"andrillonWhereMyMind2025","container-title":"Trends in Cognitive Sciences","ISSN":"1364-6613","issue":"7","page":"600-613","title":"Where is my mind? A neurocognitive investigation of mind blanking.","volume":"29","author":[{"family":"Andrillon","given":"Thomas"},{"family":"Lutz","given":"Antoine"},{"family":"Windt","given":"Jennifer"},{"family":"Demertzi","given":"Athena"}],"issued":{"date-parts":[["2025"]]}}},{"id":17750,"uris":["http://zotero.org/users/8613739/items/YLIHD3EI"],"itemData":{"id":17750,"type":"article-journal","abstract":"During wakefulness, the stream of thought is occasionally interrupted by moments when we cannot report any content, termed ‘mind-blanking’ (MB). As MB is a relatively unexplored mental state, we here examine how it relates to spontaneous thinking, namely, thought content and thought dynamics. By reviewing empirical studies on the neural correlates of MB, we first indicate that MB reports are mediated by variations in cortical and physiological arousal levels. In terms of thought content, we propose to view MB on a dimensional space representing content types, where MB is unrelated to any type of content. In terms of thought dynamics, we suggest conceptualizing MB as a moment during content transitioning or as a failure to transition across contents. Taken together, we suggest that MB has a unique place in the study of spontaneous thinking, and its inclusion can facilitate the isolation of the neural correlates of ongoing cognition.","citation-key":"boulakisRelatingMindblankingContent2025","container-title":"Current Opinion in Behavioral Sciences","DOI":"10.1016/j.cobeha.2024.101481","ISSN":"2352-1546","journalAbbreviation":"Current Opinion in Behavioral Sciences","page":"101481","source":"ScienceDirect","title":"Relating mind-blanking to the content and dynamics of spontaneous thinking","volume":"61","author":[{"family":"Boulakis","given":"Paradeisios Alexandros"},{"family":"Demertzi","given":"Athena"}],"issued":{"date-parts":[["2025",2,1]]}}},{"id":5027,"uris":["http://zotero.org/users/8613739/items/3NSFSNMY"],"itemData":{"id":5027,"type":"article-journal","citation-key":"wardMindblankingWhenMind2013","container-title":"Frontiers in Psychology","DOI":"10.3389/fpsyg.2013.00650","page":"650","title":"Mind-blanking: when the mind goes away","volume":"4","author":[{"family":"Ward","given":"Adrian"},{"family":"Wegner","given":"Daniel"}],"issued":{"date-parts":[["2013"]]}}}],"schema":"https://github.com/citation-style-language/schema/raw/master/csl-citation.json"} </w:instrText>
      </w:r>
      <w:r w:rsidR="00D0518D">
        <w:rPr>
          <w:rFonts w:ascii="Times New Roman" w:hAnsi="Times New Roman" w:cs="Times New Roman"/>
        </w:rPr>
        <w:fldChar w:fldCharType="separate"/>
      </w:r>
      <w:r w:rsidR="00B633EE" w:rsidRPr="00B633EE">
        <w:rPr>
          <w:rFonts w:ascii="Times New Roman" w:hAnsi="Times New Roman" w:cs="Times New Roman"/>
        </w:rPr>
        <w:t>(Andrillon et al., 2025; Boulakis &amp; Demertzi, 2025; Ward &amp; Wegner, 2013)</w:t>
      </w:r>
      <w:r w:rsidR="00D0518D">
        <w:rPr>
          <w:rFonts w:ascii="Times New Roman" w:hAnsi="Times New Roman" w:cs="Times New Roman"/>
        </w:rPr>
        <w:fldChar w:fldCharType="end"/>
      </w:r>
      <w:r w:rsidR="003009DF" w:rsidRPr="003009DF">
        <w:rPr>
          <w:rFonts w:ascii="Times New Roman" w:hAnsi="Times New Roman" w:cs="Times New Roman"/>
          <w:lang w:val="en-GB"/>
        </w:rPr>
        <w:t>.</w:t>
      </w:r>
    </w:p>
    <w:p w14:paraId="4F2C35F7" w14:textId="6E0622C9" w:rsidR="008F5DA6" w:rsidRDefault="4C51C7C7" w:rsidP="005B1B72">
      <w:pPr>
        <w:spacing w:line="360" w:lineRule="auto"/>
        <w:ind w:firstLine="720"/>
        <w:jc w:val="both"/>
      </w:pPr>
      <w:r w:rsidRPr="65E1DBF8">
        <w:rPr>
          <w:rFonts w:ascii="Times New Roman" w:hAnsi="Times New Roman" w:cs="Times New Roman"/>
        </w:rPr>
        <w:t xml:space="preserve">So far, MB has been examined alongside the study of mind-wandering, which refers to moments when our thoughts are decoupled from our present environment and turn toward self-generated </w:t>
      </w:r>
      <w:r w:rsidR="00263875">
        <w:rPr>
          <w:rFonts w:ascii="Times New Roman" w:hAnsi="Times New Roman" w:cs="Times New Roman"/>
        </w:rPr>
        <w:t>content</w:t>
      </w:r>
      <w:r w:rsidRPr="65E1DBF8">
        <w:rPr>
          <w:rFonts w:ascii="Times New Roman" w:hAnsi="Times New Roman" w:cs="Times New Roman"/>
        </w:rPr>
        <w:t xml:space="preserve"> </w:t>
      </w:r>
      <w:r w:rsidR="003009DF" w:rsidRPr="65E1DBF8">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{"citationID":"a1sehvc4jhp","properties":{"unsorted":false,"formattedCitation":"(Smallwood &amp; Schooler, 2015)","plainCitation":"(Smallwood &amp; Schooler, 2015)","noteIndex":0},"citationItems":[{"id":3830,"uris":["http://zotero.org/users/8613739/items/8IV5QCJ3"],"itemData":{"id":3830,"type":"article-journal","abstract":"Conscious experience is fluid; it rarely remains on one topic for an extended period without deviation. Its dynamic nature is illustrated by the experience of mind wandering, in which attention switches from a current task to unrelated thoughts and feelings. Studies exploring the phenomenology of mind wandering highlight the importance of its content and relation to meta-cognition in determining its functional outcomes. Examination of the information-processing demands of the mind-wandering state suggests that it involves perceptual decoupling to escape the constraints of the moment, its content arises from episodic and affective processes, and its regulation relies on executive control. Mind wandering also involves a complex balance of costs and benefits: Its association with various kinds of error underlines its cost, whereas its relationship to creativity and future planning suggest its potential value. Although essential to the stream of consciousness, various strategies may minimize the downsides of mind wandering while maintaining its productive aspects.","citation-key":"smallwoodScienceMindWandering2015","container-title":"Annual Review of Psychology","DOI":"10.1146/annurev-psych-010814-015331","ISSN":"1545-2085","journalAbbreviation":"Annu Rev Psychol","language":"eng","page":"487-518","PMID":"25293689","source":"PubMed","title":"The science of mind wandering: empirically navigating the stream of consciousness","title-short":"The science of mind wandering","volume":"66","author":[{"family":"Smallwood","given":"Jonathan"},{"family":"Schooler","given":"Jonathan W."}],"issued":{"date-parts":[["2015",1,3]]}}}],"schema":"https://github.com/citation-style-language/schema/raw/master/csl-citation.json"} </w:instrText>
      </w:r>
      <w:r w:rsidR="003009DF" w:rsidRPr="65E1DBF8">
        <w:rPr>
          <w:rFonts w:ascii="Times New Roman" w:hAnsi="Times New Roman" w:cs="Times New Roman"/>
        </w:rPr>
        <w:fldChar w:fldCharType="separate"/>
      </w:r>
      <w:r w:rsidR="00B633EE" w:rsidRPr="00B633EE">
        <w:rPr>
          <w:rFonts w:ascii="Times New Roman" w:hAnsi="Times New Roman" w:cs="Times New Roman"/>
        </w:rPr>
        <w:t>(Smallwood &amp; Schooler, 2015)</w:t>
      </w:r>
      <w:r w:rsidR="003009DF" w:rsidRPr="65E1DBF8">
        <w:rPr>
          <w:rFonts w:ascii="Times New Roman" w:hAnsi="Times New Roman" w:cs="Times New Roman"/>
        </w:rPr>
        <w:fldChar w:fldCharType="end"/>
      </w:r>
      <w:r w:rsidRPr="65E1DBF8">
        <w:rPr>
          <w:rFonts w:ascii="Times New Roman" w:hAnsi="Times New Roman" w:cs="Times New Roman"/>
        </w:rPr>
        <w:t xml:space="preserve">. Where the two states seem to diverge is that </w:t>
      </w:r>
      <w:r w:rsidRPr="65E1DBF8">
        <w:rPr>
          <w:rFonts w:ascii="Times New Roman" w:hAnsi="Times New Roman"/>
          <w:color w:val="000000" w:themeColor="text1"/>
        </w:rPr>
        <w:t xml:space="preserve">MB is an attention-decoupled state only insofar as it signals a decoupling of attention from perception, whereas mind-wandering additionally involves the reorientation of mental content. Therefore, the strong assumption of a grouping between task-unrelated states, such as MB and mind-wandering, can obscure the existence of MB as a mental state at the borders of conscious content. </w:t>
      </w:r>
      <w:r w:rsidRPr="65E1DBF8">
        <w:rPr>
          <w:rFonts w:ascii="Times New Roman" w:hAnsi="Times New Roman" w:cs="Times New Roman"/>
        </w:rPr>
        <w:t xml:space="preserve">Indeed, unless specifically available as an option, MB reports may even be misclassified as mind-wandering due to the absence of a more suitable mental state, hence </w:t>
      </w:r>
      <w:r w:rsidR="19F9A737" w:rsidRPr="65E1DBF8">
        <w:rPr>
          <w:rFonts w:ascii="Times New Roman" w:hAnsi="Times New Roman" w:cs="Times New Roman"/>
        </w:rPr>
        <w:t xml:space="preserve">potentially </w:t>
      </w:r>
      <w:r w:rsidRPr="65E1DBF8">
        <w:rPr>
          <w:rFonts w:ascii="Times New Roman" w:hAnsi="Times New Roman" w:cs="Times New Roman"/>
        </w:rPr>
        <w:t xml:space="preserve">inflating the overall mind-wandering report rates </w:t>
      </w:r>
      <w:r w:rsidR="003009DF" w:rsidRPr="65E1DBF8">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{"citationID":"a16qmkncvko","properties":{"unsorted":false,"formattedCitation":"(Robison et al., 2019)","plainCitation":"(Robison et al., 2019)","noteIndex":0},"citationItems":[{"id":16154,"uris":["http://zotero.org/groups/6160358/items/5MA49RST"],"itemData":{"id":16154,"type":"article-journal","abstract":"A recent surge of interest in the empirical measurement of mind-wandering has led to an increase in the use of thought-probing to measure attentional states, which has led to large variation in methodologies across studies (Weinstein in Behavior Research Methods, 50, 642-661, 2018). Three sources of variation in methodology include the frequency of thought probes during a task, the number of response options provided for each probe, and the way in which various attentional states are framed during the task instructions. Method variation can potentially affect behavioral performance on the tasks in which thought probes are embedded, the experience of various attentional states within those tasks, and/or response biases to the thought probes. Therefore, such variation can be problematic, both pragmatically and theoretically. Across three experiments, we examined how manipulating probe frequency, response options, and framing affected behavioral performance and responses to thought probes. Probe frequency and framing did not affect behavioral performance or probe responses. But, in light of the present results, we argue that thought probes need at least three responses, corresponding to on-task, off-task, and task-related interference. When researchers are specifically investigating mind-wandering, the probe responses should also distinguish between mind-wandering, external distraction, and mind-blanking.","citation-key":"robisonExaminingEffectsProbe2019a","container-title":"Behavior research methods","DOI":"10.3758/s13428-019-01212-6","ISSN":"1554-3528 1554-351X","issue":"1","language":"eng","page":"398–408","PMID":"30788799","title":"Examining the effects of probe frequency, response options, and framing within the thought-probe method.","volume":"51","author":[{"family":"Robison","given":"Matthew K."},{"family":"Miller","given":"Ashley L."},{"family":"Unsworth","given":"Nash"}],"issued":{"date-parts":[["2019",2]]}}}],"schema":"https://github.com/citation-style-language/schema/raw/master/csl-citation.json"} </w:instrText>
      </w:r>
      <w:r w:rsidR="003009DF" w:rsidRPr="65E1DBF8">
        <w:rPr>
          <w:rFonts w:ascii="Times New Roman" w:hAnsi="Times New Roman" w:cs="Times New Roman"/>
        </w:rPr>
        <w:fldChar w:fldCharType="separate"/>
      </w:r>
      <w:r w:rsidR="00B633EE" w:rsidRPr="00B633EE">
        <w:rPr>
          <w:rFonts w:ascii="Times New Roman" w:hAnsi="Times New Roman" w:cs="Times New Roman"/>
        </w:rPr>
        <w:t>(Robison et al., 2019)</w:t>
      </w:r>
      <w:r w:rsidR="003009DF" w:rsidRPr="65E1DBF8">
        <w:rPr>
          <w:rFonts w:ascii="Times New Roman" w:hAnsi="Times New Roman" w:cs="Times New Roman"/>
        </w:rPr>
        <w:fldChar w:fldCharType="end"/>
      </w:r>
      <w:r w:rsidRPr="65E1DBF8">
        <w:rPr>
          <w:rFonts w:ascii="Times New Roman" w:hAnsi="Times New Roman" w:cs="Times New Roman"/>
        </w:rPr>
        <w:t>. For these reasons, accurately identifying and quantifying the prevalence of MB remains a key challenge in research on spontaneous thinking.</w:t>
      </w:r>
    </w:p>
    <w:p w14:paraId="6E1F1427" w14:textId="59CE5D7F" w:rsidR="008F5DA6" w:rsidRPr="00194384" w:rsidRDefault="69F3EFB2" w:rsidP="00194384">
      <w:pPr>
        <w:spacing w:line="360" w:lineRule="auto"/>
        <w:ind w:firstLine="720"/>
        <w:jc w:val="both"/>
        <w:rPr>
          <w:rFonts w:ascii="Times New Roman" w:hAnsi="Times New Roman"/>
          <w:color w:val="000000"/>
        </w:rPr>
      </w:pPr>
      <w:r w:rsidRPr="65E1DBF8">
        <w:rPr>
          <w:rFonts w:ascii="Times New Roman" w:hAnsi="Times New Roman" w:cs="Times New Roman"/>
        </w:rPr>
        <w:t>So far, MB has been quantified in various ways.</w:t>
      </w:r>
      <w:r w:rsidR="5936EF52" w:rsidRPr="65E1DBF8">
        <w:rPr>
          <w:rFonts w:ascii="Times New Roman" w:hAnsi="Times New Roman" w:cs="Times New Roman"/>
        </w:rPr>
        <w:t xml:space="preserve"> </w:t>
      </w:r>
      <w:r w:rsidR="5936EF52" w:rsidRPr="65E1DBF8">
        <w:rPr>
          <w:rFonts w:ascii="Times New Roman" w:hAnsi="Times New Roman"/>
          <w:i/>
          <w:iCs/>
          <w:color w:val="000000" w:themeColor="text1"/>
        </w:rPr>
        <w:t>Experience-sampling</w:t>
      </w:r>
      <w:r w:rsidR="5936EF52" w:rsidRPr="65E1DBF8">
        <w:rPr>
          <w:rFonts w:ascii="Times New Roman" w:hAnsi="Times New Roman"/>
          <w:color w:val="000000" w:themeColor="text1"/>
        </w:rPr>
        <w:t xml:space="preserve"> is a method in which participants intermittently report their immediate past thoughts </w:t>
      </w:r>
      <w:r w:rsidR="00A1216F" w:rsidRPr="65E1DBF8">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{"citationID":"a2al0ov9n4b","properties":{"unsorted":false,"formattedCitation":"(Myin-Germeys &amp; Kuppens, 2021)","plainCitation":"(Myin-Germeys &amp; Kuppens, 2021)","noteIndex":0},"citationItems":[{"id":17868,"uris":["http://zotero.org/users/8613739/items/T8WVRHFN"],"itemData":{"id":17868,"type":"book","citation-key":"myin-germeysOpenHandbookExperience2021","ISBN":"979-8-6159-7125-9","language":"en","note":"Google-Books-ID: SAXEzgEACAAJ","number-of-pages":"book","publisher":"Center for Research on Experience Sampling and Ambulatory Methods Leuven (REAL)","source":"Google Books","title":"The Open Handbook of Experience Sampling Methodology: A Step-by-step Guide to Designing, Conducting, and Analyzing ESM Studies","title-short":"The Open Handbook of Experience Sampling Methodology","author":[{"family":"Myin-Germeys","given":"Inez"},{"family":"Kuppens","given":"Peter"}],"issued":{"date-parts":[["2021"]]}}}],"schema":"https://github.com/citation-style-language/schema/raw/master/csl-citation.json"} </w:instrText>
      </w:r>
      <w:r w:rsidR="00A1216F" w:rsidRPr="65E1DBF8">
        <w:rPr>
          <w:rFonts w:ascii="Times New Roman" w:hAnsi="Times New Roman" w:cs="Times New Roman"/>
        </w:rPr>
        <w:fldChar w:fldCharType="separate"/>
      </w:r>
      <w:r w:rsidR="00B633EE" w:rsidRPr="00B633EE">
        <w:rPr>
          <w:rFonts w:ascii="Times New Roman" w:hAnsi="Times New Roman" w:cs="Times New Roman"/>
        </w:rPr>
        <w:t>(Myin-Germeys &amp; Kuppens, 2021)</w:t>
      </w:r>
      <w:r w:rsidR="00A1216F" w:rsidRPr="65E1DBF8">
        <w:rPr>
          <w:rFonts w:ascii="Times New Roman" w:hAnsi="Times New Roman" w:cs="Times New Roman"/>
        </w:rPr>
        <w:fldChar w:fldCharType="end"/>
      </w:r>
      <w:r w:rsidR="246B0A7A" w:rsidRPr="65E1DBF8">
        <w:rPr>
          <w:rFonts w:ascii="Times New Roman" w:hAnsi="Times New Roman" w:cs="Times New Roman"/>
        </w:rPr>
        <w:t xml:space="preserve">. </w:t>
      </w:r>
      <w:r w:rsidR="5936EF52" w:rsidRPr="65E1DBF8">
        <w:rPr>
          <w:rFonts w:ascii="Times New Roman" w:eastAsia="Arial" w:hAnsi="Times New Roman" w:cs="Times New Roman"/>
          <w:color w:val="000000" w:themeColor="text1"/>
        </w:rPr>
        <w:t>Experience-sampling reports can be embedded across a wide variety of experimental settings or environmental contexts, showing that people report “blank” or “nothing” during task engagement</w:t>
      </w:r>
      <w:r w:rsidR="246B0A7A" w:rsidRPr="65E1DBF8">
        <w:rPr>
          <w:rFonts w:ascii="Times New Roman" w:eastAsia="Arial" w:hAnsi="Times New Roman" w:cs="Times New Roman"/>
          <w:color w:val="000000" w:themeColor="text1"/>
        </w:rPr>
        <w:t xml:space="preserve"> </w:t>
      </w:r>
      <w:r w:rsidR="00A1216F" w:rsidRPr="65E1DBF8">
        <w:rPr>
          <w:rFonts w:ascii="Times New Roman" w:eastAsia="Arial" w:hAnsi="Times New Roman" w:cs="Times New Roman"/>
          <w:color w:val="000000" w:themeColor="text1"/>
        </w:rPr>
        <w:fldChar w:fldCharType="begin"/>
      </w:r>
      <w:r w:rsidR="00B633EE">
        <w:rPr>
          <w:rFonts w:ascii="Times New Roman" w:eastAsia="Arial" w:hAnsi="Times New Roman" w:cs="Times New Roman"/>
          <w:color w:val="000000" w:themeColor="text1"/>
        </w:rPr>
        <w:instrText xml:space="preserve"> ADDIN ZOTERO_ITEM CSL_CITATION {"citationID":"a1eu9mgtaq7","properties":{"unsorted":false,"formattedCitation":"(Andrillon et al., 2021; Corcoran et al., 2025; Robison et al., 2019; Stawarczyk et al., 2020; Stawarczyk &amp; D\\uc0\\u8217{}Argembeau, 2016)","plainCitation":"(Andrillon et al., 2021; Corcoran et al., 2025; Robison et al., 2019; Stawarczyk et al., 2020; Stawarczyk &amp; D’Argembeau, 2016)","noteIndex":0},"citationItems":[{"id":5757,"uris":["http://zotero.org/users/8613739/items/44AG6C8P"],"itemData":{"id":5757,"type":"article-journal","abstract":"Attentional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17735,"uris":["http://zotero.org/users/8613739/items/VI2WSF4X"],"itemData":{"id":17735,"type":"article-journal","abstract":"Neuroscience is beginning to uncover the role of interoceptive feedback in perception, learning, and decision-making; however, the relation between spontaneous visceral and cognitive dynamics has received surprisingly little scrutiny. Here, we investigate how subjective, physiological, and behavioural indicators of arousal and attentional state vary in relation to ongoing cardiac activity and brain-heart coupling. Electroencephalogram, electrocardiogram, and pupillometric records were obtained from 65 adults during the performance of a sustained attention to response task (SART). Thought probes were intermittently administered during the SART to collect subjective reports of attentional state (on-task, mind-wandering, mind-blanking) and vigilance level (alertness vs. sleepiness). Mind-wandering and mind-blanking reports increased in frequency with time-on-task and were accompanied by decreases in alertness and pupil-linked arousal, but evinced distinct psychophysiological and behavioural profiles: While mind-wandering was associated with greater heart-rate variability and late modulation of the heartbeat-evoked potential, mind-blanking was characterised by more profound decreases in heart-rate, pupil size, and brain-heart coupling. Lower heart-rate predicted decreased vigilance and pupil size, in addition to slower, less-biased responses; increased heart-rate variability predicted more impulsive behaviour and pupil dilation. Together, these findings reveal that cardiac parameters and brain-heart connectivity measures afford complementary information about arousal states and attentional dynamics during task performance.","citation-key":"corcoranWhenYourHeart2025","container-title":"Communications Biology","DOI":"10.1038/s42003-025-09026-3","ISSN":"2399-3642","issue":"1","journalAbbreviation":"Commun Biol","language":"en","license":"2025 The Author(s)","page":"1646","publisher":"Nature Publishing Group","source":"www.nature.com","title":"When your heart isn’t in it anymore: cardiac correlates of task disengagement","title-short":"When your heart isn’t in it anymore","volume":"8","author":[{"family":"Corcoran","given":"Andrew W."},{"family":"Le Coz","given":"Arthur"},{"family":"Hohwy","given":"Jakob"},{"family":"Andrillon","given":"Thomas"}],"issued":{"date-parts":[["2025",11,24]]}}},{"id":16154,"uris":["http://zotero.org/groups/6160358/items/5MA49RST"],"itemData":{"id":16154,"type":"article-journal","abstract":"A recent surge of interest in the empirical measurement of mind-wandering has led to an increase in the use of thought-probing to measure attentional states, which has led to large variation in methodologies across studies (Weinstein in Behavior Research Methods, 50, 642-661, 2018). Three sources of variation in methodology include the frequency of thought probes during a task, the number of response options provided for each probe, and the way in which various attentional states are framed during the task instructions. Method variation can potentially affect behavioral performance on the tasks in which thought probes are embedded, the experience of various attentional states within those tasks, and/or response biases to the thought probes. Therefore, such variation can be problematic, both pragmatically and theoretically. Across three experiments, we examined how manipulating probe frequency, response options, and framing affected behavioral performance and responses to thought probes. Probe frequency and framing did not affect behavioral performance or probe responses. But, in light of the present results, we argue that thought probes need at least three responses, corresponding to on-task, off-task, and task-related interference. When researchers are specifically investigating mind-wandering, the probe responses should also distinguish between mind-wandering, external distraction, and mind-blanking.","citation-key":"robisonExaminingEffectsProbe2019a","container-title":"Behavior research methods","DOI":"10.3758/s13428-019-01212-6","ISSN":"1554-3528 1554-351X","issue":"1","language":"eng","page":"398–408","PMID":"30788799","title":"Examining the effects of probe frequency, response options, and framing within the thought-probe method.","volume":"51","author":[{"family":"Robison","given":"Matthew K."},{"family":"Miller","given":"Ashley L."},{"family":"Unsworth","given":"Nash"}],"issued":{"date-parts":[["2019",2]]}}},{"id":4191,"uris":["http://zotero.org/users/8613739/items/XPGXBMFW"],"itemData":{"id":4191,"type":"article-journal","abstract":"Two independent lines of evidence suggest that drowsiness and mind-wandering share common neurocognitive processes indexed by ocular parameters (e.g., eyeblink frequency and pupil dynamics). Mind-wandering and drowsiness frequently co-occur, however, such that it remains unclear whether observed oculometric variations are related to mind-wandering, drowsiness, or a mix of both. To address this issue, we assessed fluctuations in mind-wandering and sleepiness during a sustained attention task while ocular parameters were recorded. Results showed that oculometric variations during mind-wandering were fully explained by increased sleepiness. However, mind-wandering and sleepiness had additive deleterious effects on performance that were not fully explained by ocular parameters. These findings suggest that oculometric variations during task performance reflect increased drowsiness rather than processes specifically involved in mind-wandering, and that the neurocogniti</w:instrText>
      </w:r>
      <w:r w:rsidR="00B633EE" w:rsidRPr="00B633EE">
        <w:rPr>
          <w:rFonts w:ascii="Times New Roman" w:eastAsia="Arial" w:hAnsi="Times New Roman" w:cs="Times New Roman"/>
          <w:color w:val="000000" w:themeColor="text1"/>
          <w:lang w:val="fr-BE"/>
        </w:rPr>
        <w:instrText xml:space="preserve">ve processes indexed by oculometric parameters (e.g., regulatory processes of the locus coeruleus norepinephrine system) do not fully explain how mind-wandering and sleepiness cause attentional lapses.","citation-key":"stawarczykDrowsinessMindwanderingFluctuations2020","container-title":"Biological Psychology","DOI":"10.1016/j.biopsycho.2020.107950","ISSN":"0301-0511","journalAbbreviation":"Biological Psychology","page":"107950","source":"ScienceDirect","title":"Drowsiness or mind-wandering? Fluctuations in ocular parameters during attentional lapses","title-short":"Drowsiness or mind-wandering?","volume":"156","author":[{"family":"Stawarczyk","given":"David"},{"family":"François","given":"Clémentine"},{"family":"Wertz","given":"Jérôme"},{"family":"D'Argembeau","given":"Arnaud"}],"issued":{"date-parts":[["2020",10,1]]}}},{"id":5855,"uris":["http://zotero.org/users/8613739/items/3BCE4U3Y"],"itemData":{"id":5855,"type":"article-journal","citation-key":"stawarczykConjointInfluenceMindwandering2016","language":"eng","note":"authority: Psychology and Neuroscience of Cognition Research Unit\ntex.copyright: Unrestricted online access","publisher":"American Psychological Association","title":"Conjoint influence of mind-wandering and sleepiness on task performance","author":[{"family":"Stawarczyk","given":"David"},{"family":"D'Argembeau","given":"Arnaud"}],"issued":{"date-parts":[["2016"]]}}}],"schema":"https://github.com/citation-style-language/schema/raw/master/csl-citation.json"} </w:instrText>
      </w:r>
      <w:r w:rsidR="00A1216F" w:rsidRPr="65E1DBF8">
        <w:rPr>
          <w:rFonts w:ascii="Times New Roman" w:eastAsia="Arial" w:hAnsi="Times New Roman" w:cs="Times New Roman"/>
          <w:color w:val="000000" w:themeColor="text1"/>
        </w:rPr>
        <w:fldChar w:fldCharType="separate"/>
      </w:r>
      <w:r w:rsidR="00B633EE" w:rsidRPr="00B633EE">
        <w:rPr>
          <w:rFonts w:ascii="Times New Roman" w:hAnsi="Times New Roman" w:cs="Times New Roman"/>
          <w:lang w:val="fr-BE"/>
        </w:rPr>
        <w:t>(Andrillon et al., 2021; Corcoran et al., 2025; Robison et al., 2019; Stawarczyk et al., 2020; Stawarczyk &amp; D’</w:t>
      </w:r>
      <w:proofErr w:type="spellStart"/>
      <w:r w:rsidR="00B633EE" w:rsidRPr="00B633EE">
        <w:rPr>
          <w:rFonts w:ascii="Times New Roman" w:hAnsi="Times New Roman" w:cs="Times New Roman"/>
          <w:lang w:val="fr-BE"/>
        </w:rPr>
        <w:t>Argembeau</w:t>
      </w:r>
      <w:proofErr w:type="spellEnd"/>
      <w:r w:rsidR="00B633EE" w:rsidRPr="00B633EE">
        <w:rPr>
          <w:rFonts w:ascii="Times New Roman" w:hAnsi="Times New Roman" w:cs="Times New Roman"/>
          <w:lang w:val="fr-BE"/>
        </w:rPr>
        <w:t>, 2016)</w:t>
      </w:r>
      <w:r w:rsidR="00A1216F" w:rsidRPr="65E1DBF8">
        <w:rPr>
          <w:rFonts w:ascii="Times New Roman" w:eastAsia="Arial" w:hAnsi="Times New Roman" w:cs="Times New Roman"/>
          <w:color w:val="000000" w:themeColor="text1"/>
        </w:rPr>
        <w:fldChar w:fldCharType="end"/>
      </w:r>
      <w:r w:rsidR="246B0A7A" w:rsidRPr="65E1DBF8">
        <w:rPr>
          <w:rFonts w:ascii="Times New Roman" w:eastAsia="Arial" w:hAnsi="Times New Roman" w:cs="Times New Roman"/>
          <w:color w:val="000000" w:themeColor="text1"/>
          <w:lang w:val="fr-BE"/>
        </w:rPr>
        <w:t xml:space="preserve">, </w:t>
      </w:r>
      <w:proofErr w:type="spellStart"/>
      <w:r w:rsidR="5936EF52" w:rsidRPr="65E1DBF8">
        <w:rPr>
          <w:rFonts w:ascii="Times New Roman" w:eastAsia="Arial" w:hAnsi="Times New Roman" w:cs="Times New Roman"/>
          <w:color w:val="000000" w:themeColor="text1"/>
          <w:lang w:val="fr-BE"/>
        </w:rPr>
        <w:t>rest</w:t>
      </w:r>
      <w:proofErr w:type="spellEnd"/>
      <w:r w:rsidR="5936EF52" w:rsidRPr="65E1DBF8">
        <w:rPr>
          <w:rFonts w:ascii="Times New Roman" w:eastAsia="Arial" w:hAnsi="Times New Roman" w:cs="Times New Roman"/>
          <w:color w:val="000000" w:themeColor="text1"/>
          <w:lang w:val="fr-BE"/>
        </w:rPr>
        <w:t xml:space="preserve"> </w:t>
      </w:r>
      <w:r w:rsidR="00A1216F" w:rsidRPr="65E1DBF8">
        <w:rPr>
          <w:rFonts w:ascii="Times New Roman" w:hAnsi="Times New Roman" w:cs="Times New Roman"/>
        </w:rPr>
        <w:fldChar w:fldCharType="begin"/>
      </w:r>
      <w:r w:rsidR="00B633EE">
        <w:rPr>
          <w:rFonts w:ascii="Times New Roman" w:hAnsi="Times New Roman" w:cs="Times New Roman"/>
          <w:lang w:val="fr-BE"/>
        </w:rPr>
        <w:instrText xml:space="preserve"> ADDIN ZOTERO_ITEM CSL_CITATION {"citationID":"a2g8sb3t6lj","properties":{"unsorted":false,"formattedCitation":"(Boulakis, Simos, et al., 2025; Koroma et al., 2023; Mortaheb et al., 2022; Van Calster et al., 2017)","plainCitation":"(Boulakis, Simos, et al., 2025; Koroma et al., 2023; Mortaheb et al., 2022; Van Calster et al., 2017)","noteIndex":0},"citationItems":[{"id":17715,"uris":["http://zotero.org/users/8613739/items/5A4PNAM3"],"itemData":{"id":17715,"type":"article-journal","abstract":"Mind blanking (MB) is the inability to report mental events during unconstraint thinking. Previous work shows that MB is linked to decreased levels of cortical arousal, indicating dominance of cerebral mechanisms when reporting mental states. What remains inconclusive is whether MB can also ensue from autonomic arousal manipulations, pointing to the implication of peripheral physiology to mental events. Using experience sampling, neural, and physiological measurements in 26 participants, we first show that MB was reported more frequently in low arousal conditions, elicited by sleep deprivation. Also, there was partial evidence for a higher occurence of MB reports in high arousal conditions, elicited by intense physical exercise. Transition probabilities revealed that, after sleep deprivation, mind wandering was more likely to be followed by MB and less likely to be followed by more mind wandering reports. Using classification schemes, we found higher performance of a balanced random forest classifier trained on both neural and physiological markers in comparison to performance when solely neural or physiological were used. Collectively, we show that both cortical and autonomic arousal affect MB report occurrences. Our results establish that MB is supported by combined brain-body configurations, and, by linking mental and physiological states, they pave the way for novel embodied accounts of spontaneous thinking.","citation-key":"boulakisVariationsAutonomicArousal2025","container-title":"Scientific Reports","DOI":"10.1038/s41598-024-81618-1","ISSN":"2045-2322","issue":"1","journalAbbreviation":"Sci Rep","language":"en","license":"2025 The Author(s)","page":"4956","publisher":"Nature Publishing Group","source":"www.nature.com","title":"Variations of autonomic arousal mediate the reportability of mind blanking occurrences","volume":"15","author":[{"family":"Boulakis","given":"Paradeisios Alexandros"},{"family":"Simos","given":"Nicholas John"},{"family":"Zoi","given":"Stefania"},{"family":"Mortaheb","given":"Sepehr"},{"family":"Schmidt","given":"Christina"},{"family":"Raimondo","given":"Federico"},{"family":"Demertzi","given":"Athena"}],"issued":{"date-parts":[["2025",2,10]]}}},{"id":5879,"uris":["http://zotero.org/users/8613739/items/7ZGTSIW5"],"itemData":{"id":5879,"type":"article-journal","abstract":"Spontaneous thinking significantly relies on attention and arousal. As these cognitive faculties change with age, we aimed at providing a comprehensive account to ongoing mental states in seniors, testing how these are influenced by attentional control and arousal. Using experience sampling at rest, 20 senior (65-75yrs) and 20 young participants (20-30yrs) were prompted to report mind-wandering (MW), sensory-related thoughts (S), and the newly introduced state of mind blanking (MB). Attentional control was assessed with the Attentional Style Questionnaire, and arousal with continuous monitoring of pupil diameter. Both age groups showed equally high occurrences of MW compared to MB or S. For young responders, we replicated that MW was more prevalent in easily-distracted participants and that it associated with higher arousal. In seniors, though, MB was more prevalent in easily-distracted participants, and it was associated with higher arousal, reversing the pattern found in young adults and focused seniors. Overall, our results show that attentional control and arousal jointly regulate ongoing mental states in an age-dependent manner and uncover the presence a specific profile of ongoing mental state regulation in healthy aging, being a potentially critical marker of age-associated diseases.","citation-key":"koromaElsewhereBlankedOngoing2023","container-title":"bioRxiv : the preprint server for biology","ISSN":"2692-8205","journalAbbreviation":"bioRxiv","language":"eng","note":"edition: 1.2\ntex.copyright: 2023, Posted by Cold Spring Harbor Laboratory","publisher":"Cold Spring Harbor Laboratory","title":"Elsewhere or Blanked? Ongoing mental states are regulated by pupil-linked arousal and attentional style in healthy ageing","author":[{"family":"Koroma","given":"Matthieu"},{"family":"Robert de Beauchamp","given":"Aurèle"},{"family":"Mortaheb","given":"Sepehr"},{"family":"Boulakis","given":"Paradeisios Alexandros"},{"family":"Bastin","given":"Christine"},{"family":"Demertzi","given":"Athena"}],"issued":{"date-parts":[["2023",4,24]]}}},{"id":15027,"uris":["http://zotero.org/users/8613739/items/8TT9V8WL"],"itemData":{"id":15027,"type":"article-journal","abstract":"Mind blanking (MB) is a waking state during which we do not report any mental content. The phenomenology of MB challenges the view of a constantly thinking mind. Here, we comprehensively characterize the MB’s neurobehavioral profile with the aim to delineate its role during ongoing mentation. Using functional MRI experience sampling, we show that the reportability of MB is less frequent, faster, and with lower transitional dynamics than other mental states, pointing to its role as a transient mental relay. Regarding its neural underpinnings, we observed higher global signal amplitude during MB reports, indicating a distinct physiological state. Using the time-varying functional connectome, we show that MB reports can be classified with high accuracy, suggesting that MB has a unique neural composition. Indeed, a pattern of global positive-phase coherence shows the highest similarity to the connectivity patterns associated with MB reports. We interpret this pattern’s rigid signal architecture as hindering content reportability due to the brain’s inability to differentiate signals in an informative way. Collectively, we show that MB has a unique neurobehavioral profile, indicating that nonreportable mental events can happen during wakefulness. Our results add to the characterization of spontaneous mentation and pave the way for more mechanistic investigations of MB’s phenomenology.","citation-key":"mortahebMindBlankingDistinct2022","container-title":"Proceedings of the National Academy of Sciences","DOI":"10.1073/pnas.2200511119","issue":"41","journalAbbreviation":"Proc Natl Acad Sci U S A","page":"e2200511119","publisher":"Proceedings of the National Academy of Sciences","source":"pnas.org (Atypon)","title":"Mind blanking is a distinct mental state linked to a recurrent brain profile of globally positive connectivity during ongoing mentation","volume":"119","author":[{"family":"Mortaheb","given":"Sepehr"},{"family":"Van Calster","given":"Laurens"},{"family":"Raimondo","given":"Federico"},{"family":"Klados","given":"Manousos A."},{"family":"Boulakis","given":"Paradeisios Alexandros"},{"family":"Georgoula","given":"Kleio"},{"family":"Majerus","given":"Steve"},{"family":"Van De Ville","given":"Dimitri"},{"family":"Demertzi","given":"Athena"}],"issued":{"date-parts":[["2022",10,11]]}}},{"id":17781,"uris":["http://zotero.org/users/8613739/items/BLCXCFNB"],"itemData":{"id":17781,"type":"article-journal","abstract":"Neuroimaging studies have revealed the recruitment of a range of neural networks during the resting state, which might reflect a variety of cognitive experiences and processes occurring in an individual's mind. In this study, we focused on the default mode network (DMN) and attentional networks and investigated their association with distinct mental states when participants are not performing an explicit task. To investigate the range of possible cognitive experiences more directly, this study proposes a novel method of resting-state fMRI experience sampling, informed by a phenomenological investigation of the fluctuation of mental states during the resting state. We hypothesized that DMN activity would increase as a function of internal mentation and that the activity of dorsal and ventral networks would indicate states of top-down versus bottom-up attention at rest. Results showed that dorsal attention network activity fluctuated as a function of subjective reports of attentional control, providing evidence that activity of this network reflects the perceived recruitment of controlled attentional processes during spontaneous cognition. Activity of the DMN increased when participants reported to be in a subjective state of internal mentation, but not when they reported to be in a state of perception. This study provides direct evidence for a link between fluctuations of resting-state neural activity and fluctuations in specific cognitive processes.","citation-key":"vancalsterFluctuationsAttentionalNetworks2017","container-title":"Journal of Cognitive Neuroscience","DOI":"10.1162/jocn_a_01025","ISSN":"1530-8898","issue":"1","journalAbbreviation":"J Cogn Neurosci","language":"eng","page":"95-113","PMID":"27575531","source":"PubMed","title":"Fluctuations of Attentional Networks and Default Mode Network during the Resting State Reflect Variations in Cognitive States: Evidence from a Novel Resting-state Experience Sampling Method","title-short":"Fluctuations of Attentional Networks and Default Mode Network during the Resting State Reflect Variations in Cognitive States","volume":"29","author":[{"family":"Van Calster","given":"Laurens"},{"family":"D'Argembeau","given":"Arnaud"},{"family":"Salmon","given":"Eric"},{"family":"Peters","given":"Frédéric"},{"family":"Majerus","given":"Steve"}],"issued":{"date-parts":[["2017",1]]}}}],"schema":"https://github.com/citation-style-language/schema/raw/master/csl-citation.json"} </w:instrText>
      </w:r>
      <w:r w:rsidR="00A1216F" w:rsidRPr="65E1DBF8">
        <w:rPr>
          <w:rFonts w:ascii="Times New Roman" w:hAnsi="Times New Roman" w:cs="Times New Roman"/>
        </w:rPr>
        <w:fldChar w:fldCharType="separate"/>
      </w:r>
      <w:r w:rsidR="00B633EE" w:rsidRPr="00B633EE">
        <w:rPr>
          <w:rFonts w:ascii="Times New Roman" w:hAnsi="Times New Roman" w:cs="Times New Roman"/>
          <w:lang w:val="fr-BE"/>
        </w:rPr>
        <w:t>(Boulakis et al., 2025; Koroma et al., 2023; Mortaheb et al., 2022; Van Calster et al., 2017)</w:t>
      </w:r>
      <w:r w:rsidR="00A1216F" w:rsidRPr="65E1DBF8">
        <w:rPr>
          <w:rFonts w:ascii="Times New Roman" w:hAnsi="Times New Roman" w:cs="Times New Roman"/>
        </w:rPr>
        <w:fldChar w:fldCharType="end"/>
      </w:r>
      <w:r w:rsidR="5936EF52" w:rsidRPr="00B633EE">
        <w:rPr>
          <w:rFonts w:ascii="Times New Roman" w:eastAsia="Arial" w:hAnsi="Times New Roman" w:cs="Times New Roman"/>
          <w:color w:val="000000" w:themeColor="text1"/>
          <w:lang w:val="fr-BE"/>
        </w:rPr>
        <w:t xml:space="preserve"> and </w:t>
      </w:r>
      <w:proofErr w:type="spellStart"/>
      <w:r w:rsidR="5936EF52" w:rsidRPr="00B633EE">
        <w:rPr>
          <w:rFonts w:ascii="Times New Roman" w:eastAsia="Arial" w:hAnsi="Times New Roman" w:cs="Times New Roman"/>
          <w:color w:val="000000" w:themeColor="text1"/>
          <w:lang w:val="fr-BE"/>
        </w:rPr>
        <w:t>their</w:t>
      </w:r>
      <w:proofErr w:type="spellEnd"/>
      <w:r w:rsidR="5936EF52" w:rsidRPr="00B633EE">
        <w:rPr>
          <w:rFonts w:ascii="Times New Roman" w:eastAsia="Arial" w:hAnsi="Times New Roman" w:cs="Times New Roman"/>
          <w:color w:val="000000" w:themeColor="text1"/>
          <w:lang w:val="fr-BE"/>
        </w:rPr>
        <w:t xml:space="preserve"> </w:t>
      </w:r>
      <w:proofErr w:type="spellStart"/>
      <w:r w:rsidR="5936EF52" w:rsidRPr="00B633EE">
        <w:rPr>
          <w:rFonts w:ascii="Times New Roman" w:eastAsia="Arial" w:hAnsi="Times New Roman" w:cs="Times New Roman"/>
          <w:color w:val="000000" w:themeColor="text1"/>
          <w:lang w:val="fr-BE"/>
        </w:rPr>
        <w:t>everyday</w:t>
      </w:r>
      <w:proofErr w:type="spellEnd"/>
      <w:r w:rsidR="5936EF52" w:rsidRPr="00B633EE">
        <w:rPr>
          <w:rFonts w:ascii="Times New Roman" w:eastAsia="Arial" w:hAnsi="Times New Roman" w:cs="Times New Roman"/>
          <w:color w:val="000000" w:themeColor="text1"/>
          <w:lang w:val="fr-BE"/>
        </w:rPr>
        <w:t xml:space="preserve"> </w:t>
      </w:r>
      <w:proofErr w:type="spellStart"/>
      <w:r w:rsidR="5936EF52" w:rsidRPr="00B633EE">
        <w:rPr>
          <w:rFonts w:ascii="Times New Roman" w:eastAsia="Arial" w:hAnsi="Times New Roman" w:cs="Times New Roman"/>
          <w:color w:val="000000" w:themeColor="text1"/>
          <w:lang w:val="fr-BE"/>
        </w:rPr>
        <w:t>lives</w:t>
      </w:r>
      <w:proofErr w:type="spellEnd"/>
      <w:r w:rsidR="5936EF52" w:rsidRPr="00B633EE">
        <w:rPr>
          <w:rFonts w:ascii="Times New Roman" w:eastAsia="Arial" w:hAnsi="Times New Roman" w:cs="Times New Roman"/>
          <w:color w:val="000000" w:themeColor="text1"/>
          <w:lang w:val="fr-BE"/>
        </w:rPr>
        <w:t xml:space="preserve"> </w:t>
      </w:r>
      <w:r w:rsidR="00A1216F" w:rsidRPr="65E1DBF8">
        <w:rPr>
          <w:rFonts w:ascii="Times New Roman" w:eastAsia="Arial" w:hAnsi="Times New Roman" w:cs="Times New Roman"/>
          <w:color w:val="000000" w:themeColor="text1"/>
          <w:lang w:val="en-GB"/>
        </w:rPr>
        <w:fldChar w:fldCharType="begin"/>
      </w:r>
      <w:r w:rsidR="00B633EE" w:rsidRPr="00B633EE">
        <w:rPr>
          <w:rFonts w:ascii="Times New Roman" w:eastAsia="Arial" w:hAnsi="Times New Roman" w:cs="Times New Roman"/>
          <w:color w:val="000000" w:themeColor="text1"/>
          <w:lang w:val="fr-BE"/>
        </w:rPr>
        <w:instrText xml:space="preserve"> ADDIN ZOTERO_ITEM CSL_CITATION {"citationID":"aocobjlqpa","properties":{"unsorted":false,"formattedCitation":"(Anderson &amp; McDaniel, 2019)","plainCitation":"(Anderson &amp; McDaniel, 2019)","noteIndex":0},"citationItems":[{"id":5883,"uris":["http://zotero.org/users/8613739/items/EVDCMFL4"],"itemData":{"id":5883,"type":"article-journal","abstract":"Relatively little research has focused on how prospective memory (PM) operates outside of the laboratory, partially due to the methodological problems presented by naturalistic memory research in general and by the unique challenges of PM in particular. Experience sampling methods (ESM) offer a fruitful avenue for this type of research, as recent work from Gardner and Ascoli ( Psychology and Aging, 30, 209-219, 2015 ) has shown. They found that people thought about PM around 15 Journal of Applied Research in Memory and Cognition, 2, 222-234, 2013 ). Of those PM thoughts, participants reported that 61","citation-key":"andersonHeyBuddyWhy2019","container-title":"Memory &amp; cognition","ISSN":"0090-502X","issue":"1","language":"eng","note":"tex.copyright: The Psychonomic Society, Inc. 2018","page":"47-62","publisher":"Springer US","publisher-place":"New York","title":"Hey buddy, why don’t we take it outside: An experience sampling study of prospective memory","volume":"47","author":[{"family":"Anderson","given":"Francis T."},{"family":"McDaniel","given":"Mark A."}],"issued":{"date-parts":[["2019",1,1]]}}}],"schema":"https://github.com/citation-style-language/schema/raw/master/csl-citation.json"} </w:instrText>
      </w:r>
      <w:r w:rsidR="00A1216F" w:rsidRPr="65E1DBF8">
        <w:rPr>
          <w:rFonts w:ascii="Times New Roman" w:eastAsia="Arial" w:hAnsi="Times New Roman" w:cs="Times New Roman"/>
          <w:color w:val="000000" w:themeColor="text1"/>
          <w:lang w:val="en-GB"/>
        </w:rPr>
        <w:fldChar w:fldCharType="separate"/>
      </w:r>
      <w:r w:rsidR="00B633EE" w:rsidRPr="00B633EE">
        <w:rPr>
          <w:rFonts w:ascii="Times New Roman" w:hAnsi="Times New Roman" w:cs="Times New Roman"/>
          <w:lang w:val="fr-BE"/>
        </w:rPr>
        <w:t>(Anderson &amp; McDaniel, 2019)</w:t>
      </w:r>
      <w:r w:rsidR="00A1216F" w:rsidRPr="65E1DBF8">
        <w:rPr>
          <w:rFonts w:ascii="Times New Roman" w:eastAsia="Arial" w:hAnsi="Times New Roman" w:cs="Times New Roman"/>
          <w:color w:val="000000" w:themeColor="text1"/>
          <w:lang w:val="en-GB"/>
        </w:rPr>
        <w:fldChar w:fldCharType="end"/>
      </w:r>
      <w:r w:rsidR="5936EF52" w:rsidRPr="00B633EE">
        <w:rPr>
          <w:rFonts w:ascii="Times New Roman" w:eastAsia="Arial" w:hAnsi="Times New Roman" w:cs="Times New Roman"/>
          <w:color w:val="000000" w:themeColor="text1"/>
          <w:lang w:val="fr-BE"/>
        </w:rPr>
        <w:t>.</w:t>
      </w:r>
      <w:r w:rsidR="5936EF52" w:rsidRPr="00B633EE">
        <w:rPr>
          <w:rFonts w:ascii="Times New Roman" w:hAnsi="Times New Roman"/>
          <w:color w:val="000000" w:themeColor="text1"/>
          <w:lang w:val="fr-BE"/>
        </w:rPr>
        <w:t xml:space="preserve"> </w:t>
      </w:r>
      <w:r w:rsidR="5936EF52" w:rsidRPr="00806A84">
        <w:rPr>
          <w:rFonts w:ascii="Times New Roman" w:hAnsi="Times New Roman" w:cs="Times New Roman"/>
          <w:lang w:val="fr-BE"/>
        </w:rPr>
        <w:t xml:space="preserve">Current </w:t>
      </w:r>
      <w:proofErr w:type="spellStart"/>
      <w:r w:rsidR="5936EF52" w:rsidRPr="00806A84">
        <w:rPr>
          <w:rFonts w:ascii="Times New Roman" w:hAnsi="Times New Roman" w:cs="Times New Roman"/>
          <w:lang w:val="fr-BE"/>
        </w:rPr>
        <w:t>evidence</w:t>
      </w:r>
      <w:proofErr w:type="spellEnd"/>
      <w:r w:rsidR="5936EF52" w:rsidRPr="00806A84">
        <w:rPr>
          <w:rFonts w:ascii="Times New Roman" w:hAnsi="Times New Roman" w:cs="Times New Roman"/>
          <w:lang w:val="fr-BE"/>
        </w:rPr>
        <w:t xml:space="preserve"> </w:t>
      </w:r>
      <w:proofErr w:type="spellStart"/>
      <w:r w:rsidR="5936EF52" w:rsidRPr="00806A84">
        <w:rPr>
          <w:rFonts w:ascii="Times New Roman" w:hAnsi="Times New Roman" w:cs="Times New Roman"/>
          <w:lang w:val="fr-BE"/>
        </w:rPr>
        <w:t>consistently</w:t>
      </w:r>
      <w:proofErr w:type="spellEnd"/>
      <w:r w:rsidR="5936EF52" w:rsidRPr="00806A84">
        <w:rPr>
          <w:rFonts w:ascii="Times New Roman" w:hAnsi="Times New Roman" w:cs="Times New Roman"/>
          <w:lang w:val="fr-BE"/>
        </w:rPr>
        <w:t xml:space="preserve"> </w:t>
      </w:r>
      <w:proofErr w:type="spellStart"/>
      <w:r w:rsidR="5936EF52" w:rsidRPr="00806A84">
        <w:rPr>
          <w:rFonts w:ascii="Times New Roman" w:hAnsi="Times New Roman" w:cs="Times New Roman"/>
          <w:lang w:val="fr-BE"/>
        </w:rPr>
        <w:t>indicates</w:t>
      </w:r>
      <w:proofErr w:type="spellEnd"/>
      <w:r w:rsidR="5936EF52" w:rsidRPr="00806A84">
        <w:rPr>
          <w:rFonts w:ascii="Times New Roman" w:hAnsi="Times New Roman" w:cs="Times New Roman"/>
          <w:lang w:val="fr-BE"/>
        </w:rPr>
        <w:t xml:space="preserve"> </w:t>
      </w:r>
      <w:proofErr w:type="spellStart"/>
      <w:r w:rsidR="5936EF52" w:rsidRPr="00806A84">
        <w:rPr>
          <w:rFonts w:ascii="Times New Roman" w:hAnsi="Times New Roman" w:cs="Times New Roman"/>
          <w:lang w:val="fr-BE"/>
        </w:rPr>
        <w:t>that</w:t>
      </w:r>
      <w:proofErr w:type="spellEnd"/>
      <w:r w:rsidR="5936EF52" w:rsidRPr="00806A84">
        <w:rPr>
          <w:rFonts w:ascii="Times New Roman" w:hAnsi="Times New Roman" w:cs="Times New Roman"/>
          <w:lang w:val="fr-BE"/>
        </w:rPr>
        <w:t xml:space="preserve"> mind </w:t>
      </w:r>
      <w:proofErr w:type="spellStart"/>
      <w:r w:rsidR="5936EF52" w:rsidRPr="00806A84">
        <w:rPr>
          <w:rFonts w:ascii="Times New Roman" w:hAnsi="Times New Roman" w:cs="Times New Roman"/>
          <w:lang w:val="fr-BE"/>
        </w:rPr>
        <w:t>blanking</w:t>
      </w:r>
      <w:proofErr w:type="spellEnd"/>
      <w:r w:rsidR="5936EF52" w:rsidRPr="00806A84">
        <w:rPr>
          <w:rFonts w:ascii="Times New Roman" w:hAnsi="Times New Roman" w:cs="Times New Roman"/>
          <w:lang w:val="fr-BE"/>
        </w:rPr>
        <w:t xml:space="preserve"> (MB) </w:t>
      </w:r>
      <w:proofErr w:type="spellStart"/>
      <w:r w:rsidR="5936EF52" w:rsidRPr="00806A84">
        <w:rPr>
          <w:rFonts w:ascii="Times New Roman" w:hAnsi="Times New Roman" w:cs="Times New Roman"/>
          <w:lang w:val="fr-BE"/>
        </w:rPr>
        <w:t>is</w:t>
      </w:r>
      <w:proofErr w:type="spellEnd"/>
      <w:r w:rsidR="5936EF52" w:rsidRPr="00806A84">
        <w:rPr>
          <w:rFonts w:ascii="Times New Roman" w:hAnsi="Times New Roman" w:cs="Times New Roman"/>
          <w:lang w:val="fr-BE"/>
        </w:rPr>
        <w:t xml:space="preserve"> </w:t>
      </w:r>
      <w:proofErr w:type="spellStart"/>
      <w:r w:rsidR="5936EF52" w:rsidRPr="00806A84">
        <w:rPr>
          <w:rFonts w:ascii="Times New Roman" w:hAnsi="Times New Roman" w:cs="Times New Roman"/>
          <w:lang w:val="fr-BE"/>
        </w:rPr>
        <w:t>reported</w:t>
      </w:r>
      <w:proofErr w:type="spellEnd"/>
      <w:r w:rsidR="5936EF52" w:rsidRPr="00806A84">
        <w:rPr>
          <w:rFonts w:ascii="Times New Roman" w:hAnsi="Times New Roman" w:cs="Times New Roman"/>
          <w:lang w:val="fr-BE"/>
        </w:rPr>
        <w:t xml:space="preserve"> </w:t>
      </w:r>
      <w:proofErr w:type="spellStart"/>
      <w:r w:rsidR="5936EF52" w:rsidRPr="00806A84">
        <w:rPr>
          <w:rFonts w:ascii="Times New Roman" w:hAnsi="Times New Roman" w:cs="Times New Roman"/>
          <w:lang w:val="fr-BE"/>
        </w:rPr>
        <w:t>less</w:t>
      </w:r>
      <w:proofErr w:type="spellEnd"/>
      <w:r w:rsidR="5936EF52" w:rsidRPr="00806A84">
        <w:rPr>
          <w:rFonts w:ascii="Times New Roman" w:hAnsi="Times New Roman" w:cs="Times New Roman"/>
          <w:lang w:val="fr-BE"/>
        </w:rPr>
        <w:t xml:space="preserve"> </w:t>
      </w:r>
      <w:proofErr w:type="spellStart"/>
      <w:r w:rsidR="5936EF52" w:rsidRPr="00806A84">
        <w:rPr>
          <w:rFonts w:ascii="Times New Roman" w:hAnsi="Times New Roman" w:cs="Times New Roman"/>
          <w:lang w:val="fr-BE"/>
        </w:rPr>
        <w:t>frequently</w:t>
      </w:r>
      <w:proofErr w:type="spellEnd"/>
      <w:r w:rsidR="5936EF52" w:rsidRPr="00806A84">
        <w:rPr>
          <w:rFonts w:ascii="Times New Roman" w:hAnsi="Times New Roman" w:cs="Times New Roman"/>
          <w:lang w:val="fr-BE"/>
        </w:rPr>
        <w:t xml:space="preserve"> </w:t>
      </w:r>
      <w:proofErr w:type="spellStart"/>
      <w:r w:rsidR="5936EF52" w:rsidRPr="00806A84">
        <w:rPr>
          <w:rFonts w:ascii="Times New Roman" w:hAnsi="Times New Roman" w:cs="Times New Roman"/>
          <w:lang w:val="fr-BE"/>
        </w:rPr>
        <w:t>than</w:t>
      </w:r>
      <w:proofErr w:type="spellEnd"/>
      <w:r w:rsidR="5936EF52" w:rsidRPr="00806A84">
        <w:rPr>
          <w:rFonts w:ascii="Times New Roman" w:hAnsi="Times New Roman" w:cs="Times New Roman"/>
          <w:lang w:val="fr-BE"/>
        </w:rPr>
        <w:t xml:space="preserve"> </w:t>
      </w:r>
      <w:proofErr w:type="spellStart"/>
      <w:r w:rsidR="5936EF52" w:rsidRPr="00806A84">
        <w:rPr>
          <w:rFonts w:ascii="Times New Roman" w:hAnsi="Times New Roman" w:cs="Times New Roman"/>
          <w:lang w:val="fr-BE"/>
        </w:rPr>
        <w:t>other</w:t>
      </w:r>
      <w:proofErr w:type="spellEnd"/>
      <w:r w:rsidR="5936EF52" w:rsidRPr="00806A84">
        <w:rPr>
          <w:rFonts w:ascii="Times New Roman" w:hAnsi="Times New Roman" w:cs="Times New Roman"/>
          <w:lang w:val="fr-BE"/>
        </w:rPr>
        <w:t xml:space="preserve"> mental states. </w:t>
      </w:r>
      <w:r w:rsidR="5936EF52" w:rsidRPr="65E1DBF8">
        <w:rPr>
          <w:rFonts w:ascii="Times New Roman" w:hAnsi="Times New Roman" w:cs="Times New Roman"/>
        </w:rPr>
        <w:t>Yet</w:t>
      </w:r>
      <w:r w:rsidR="00EF0B4D">
        <w:rPr>
          <w:rFonts w:ascii="Times New Roman" w:hAnsi="Times New Roman" w:cs="Times New Roman"/>
        </w:rPr>
        <w:t xml:space="preserve"> how often </w:t>
      </w:r>
      <w:proofErr w:type="gramStart"/>
      <w:r w:rsidR="00EF0B4D">
        <w:rPr>
          <w:rFonts w:ascii="Times New Roman" w:hAnsi="Times New Roman" w:cs="Times New Roman"/>
        </w:rPr>
        <w:t>we</w:t>
      </w:r>
      <w:proofErr w:type="gramEnd"/>
      <w:r w:rsidR="00EF0B4D">
        <w:rPr>
          <w:rFonts w:ascii="Times New Roman" w:hAnsi="Times New Roman" w:cs="Times New Roman"/>
        </w:rPr>
        <w:t xml:space="preserve"> experience MB remains</w:t>
      </w:r>
      <w:r w:rsidR="5936EF52" w:rsidRPr="65E1DBF8">
        <w:rPr>
          <w:rFonts w:ascii="Times New Roman" w:hAnsi="Times New Roman" w:cs="Times New Roman"/>
        </w:rPr>
        <w:t xml:space="preserve"> ambiguous. Although </w:t>
      </w:r>
      <w:r w:rsidR="18C82E26" w:rsidRPr="65E1DBF8">
        <w:rPr>
          <w:rFonts w:ascii="Times New Roman" w:hAnsi="Times New Roman" w:cs="Times New Roman"/>
        </w:rPr>
        <w:t>a few</w:t>
      </w:r>
      <w:r w:rsidR="5936EF52" w:rsidRPr="65E1DBF8">
        <w:rPr>
          <w:rFonts w:ascii="Times New Roman" w:hAnsi="Times New Roman" w:cs="Times New Roman"/>
        </w:rPr>
        <w:t xml:space="preserve"> studies have </w:t>
      </w:r>
      <w:r w:rsidR="246B0A7A" w:rsidRPr="65E1DBF8">
        <w:rPr>
          <w:rFonts w:ascii="Times New Roman" w:hAnsi="Times New Roman" w:cs="Times New Roman"/>
        </w:rPr>
        <w:t xml:space="preserve">suggested that MB occurs </w:t>
      </w:r>
      <w:r w:rsidR="7418F39B" w:rsidRPr="65E1DBF8">
        <w:rPr>
          <w:rFonts w:ascii="Times New Roman" w:hAnsi="Times New Roman" w:cs="Times New Roman"/>
        </w:rPr>
        <w:t xml:space="preserve">in </w:t>
      </w:r>
      <w:r w:rsidR="246B0A7A" w:rsidRPr="65E1DBF8">
        <w:rPr>
          <w:rFonts w:ascii="Times New Roman" w:hAnsi="Times New Roman" w:cs="Times New Roman"/>
        </w:rPr>
        <w:t xml:space="preserve">approximately 10% of experience-sampling reports </w:t>
      </w:r>
      <w:r w:rsidR="00A1216F" w:rsidRPr="65E1DBF8">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{"citationID":"a1c38mun8vg","properties":{"unsorted":false,"formattedCitation":"(Andrillon et al., 2021; Boulakis, Simos, et al., 2025; Corcoran et al., 2025)","plainCitation":"(Andrillon et al., 2021; Boulakis, Simos, et al., 2025; Corcoran et al., 2025)","noteIndex":0},"citationItems":[{"id":5757,"uris":["http://zotero.org/users/8613739/items/44AG6C8P"],"itemData":{"id":5757,"type":"article-journal","abstract":"Attentional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17715,"uris":["http://zotero.org/users/8613739/items/5A4PNAM3"],"itemData":{"id":17715,"type":"article-journal","abstract":"Mind blanking (MB) is the inability to report mental events during unconstraint thinking. Previous work shows that MB is linked to decreased levels of cortical arousal, indicating dominance of cerebral mechanisms when reporting mental states. What remains inconclusive is whether MB can also ensue from autonomic arousal manipulations, pointing to the implication of peripheral physiology to mental events. Using experience sampling, neural, and physiological measurements in 26 participants, we first show that MB was reported more frequently in low arousal conditions, elicited by sleep deprivation. Also, there was partial evidence for a higher occurence of MB reports in high arousal conditions, elicited by intense physical exercise. Transition probabilities revealed that, after sleep deprivation, mind wandering was more likely to be followed by MB and less likely to be followed by more mind wandering reports. Using classification schemes, we found higher performance of a balanced random forest classifier trained on both neural and physiological markers in comparison to performance when solely neural or physiological were used. Collectively, we show that both cortical and autonomic arousal affect MB report occurrences. Our results establish that MB is supported by combined brain-body configurations, and, by linking mental and physiological states, they pave the way for novel embodied accounts of spontaneous thinking.","citation-key":"boulakisVariationsAutonomicArousal2025","container-title":"Scientific Reports","DOI":"10.1038/s41598-024-81618-1","ISSN":"2045-2322","issue":"1","journalAbbreviation":"Sci Rep","language":"en","license":"2025 The Author(s)","page":"4956","publisher":"Nature Publishing Group","source":"www.nature.com","title":"Variations of autonomic arousal mediate the reportability of mind blanking occurrences","volume":"15","author":[{"family":"Boulakis","given":"Paradeisios Alexandros"},{"family":"Simos","given":"Nicholas John"},{"family":"Zoi","given":"Stefania"},{"family":"Mortaheb","given":"Sepehr"},{"family":"Schmidt","given":"Christina"},{"family":"Raimondo","given":"Federico"},{"family":"Demertzi","given":"Athena"}],"issued":{"date-parts":[["2025",2,10]]}}},{"id":17735,"uris":["http://zotero.org/users/8613739/items/VI2WSF4X"],"itemData":{"id":17735,"type":"article-journal","abstract":"Neuroscience is beginning to uncover the role of interoceptive feedback in perception, learning, and decision-making; however, the relation between spontaneous visceral and cognitive dynamics has received surprisingly little scrutiny. Here, we investigate how subjective, physiological, and behavioural indicators of arousal and attentional state vary in relation to ongoing cardiac activity and brain-heart coupling. Electroencephalogram, electrocardiogram, and pupillometric records were obtained from 65 adults during the performance of a sustained attention to response task (SART). Thought probes were intermittently administered during the SART to collect subjective reports of attentional state (on-task, mind-wandering, mind-blanking) and vigilance level (alertness vs. sleepiness). Mind-wandering and mind-blanking reports increased in frequency with time-on-task and were accompanied by decreases in alertness and pupil-linked arousal, but evinced distinct psychophysiological and behavioural profiles: While mind-wandering was associated with greater heart-rate variability and late modulation of the heartbeat-evoked potential, mind-blanking was characterised by more profound decreases in heart-rate, pupil size, and brain-heart coupling. Lower heart-rate predicted decreased vigilance and pupil size, in addition to slower, less-biased responses; increased heart-rate variability predicted more impulsive behaviour and pupil dilation. Together, these findings reveal that cardiac parameters and brain-heart connectivity measures afford complementary information about arousal states and attentional dynamics during task performance.","citation-key":"corcoranWhenYourHeart2025","container-title":"Communications Biology","DOI":"10.1038/s42003-025-09026-3","ISSN":"2399-3642","issue":"1","journalAbbreviation":"Commun Biol","language":"en","license":"2025 The Author(s)","page":"1646","publisher":"Nature Publishing Group","source":"www.nature.com","title":"When your heart isn’t in it anymore: cardiac correlates of task disengagement","title-short":"When your heart isn’t in it anymore","volume":"8","author":[{"family":"Corcoran","given":"Andrew W."},{"family":"Le Coz","given":"Arthur"},{"family":"Hohwy","given":"Jakob"},{"family":"Andrillon","given":"Thomas"}],"issued":{"date-parts":[["2025",11,24]]}}}],"schema":"https://github.com/citation-style-language/schema/raw/master/csl-citation.json"} </w:instrText>
      </w:r>
      <w:r w:rsidR="00A1216F" w:rsidRPr="65E1DBF8">
        <w:rPr>
          <w:rFonts w:ascii="Times New Roman" w:hAnsi="Times New Roman" w:cs="Times New Roman"/>
        </w:rPr>
        <w:fldChar w:fldCharType="separate"/>
      </w:r>
      <w:r w:rsidR="00B633EE" w:rsidRPr="00B633EE">
        <w:rPr>
          <w:rFonts w:ascii="Times New Roman" w:hAnsi="Times New Roman" w:cs="Times New Roman"/>
        </w:rPr>
        <w:t>(Andrillon et al., 2021; Boulakis</w:t>
      </w:r>
      <w:r w:rsidR="00B633EE">
        <w:rPr>
          <w:rFonts w:ascii="Times New Roman" w:hAnsi="Times New Roman" w:cs="Times New Roman"/>
        </w:rPr>
        <w:t xml:space="preserve"> </w:t>
      </w:r>
      <w:r w:rsidR="00B633EE" w:rsidRPr="00B633EE">
        <w:rPr>
          <w:rFonts w:ascii="Times New Roman" w:hAnsi="Times New Roman" w:cs="Times New Roman"/>
        </w:rPr>
        <w:t>et al., 2025; Corcoran et al., 2025)</w:t>
      </w:r>
      <w:r w:rsidR="00A1216F" w:rsidRPr="65E1DBF8">
        <w:rPr>
          <w:rFonts w:ascii="Times New Roman" w:hAnsi="Times New Roman" w:cs="Times New Roman"/>
        </w:rPr>
        <w:fldChar w:fldCharType="end"/>
      </w:r>
      <w:r w:rsidR="246B0A7A" w:rsidRPr="65E1DBF8">
        <w:rPr>
          <w:rFonts w:ascii="Times New Roman" w:hAnsi="Times New Roman" w:cs="Times New Roman"/>
        </w:rPr>
        <w:t xml:space="preserve">, empirical findings reveal substantial variability, with rates ranging from 2% to </w:t>
      </w:r>
      <w:r w:rsidR="5936EF52" w:rsidRPr="65E1DBF8">
        <w:rPr>
          <w:rFonts w:ascii="Times New Roman" w:hAnsi="Times New Roman" w:cs="Times New Roman"/>
        </w:rPr>
        <w:t>26%</w:t>
      </w:r>
      <w:r w:rsidR="246B0A7A" w:rsidRPr="65E1DBF8">
        <w:rPr>
          <w:rFonts w:ascii="Times New Roman" w:hAnsi="Times New Roman" w:cs="Times New Roman"/>
        </w:rPr>
        <w:t xml:space="preserve"> </w:t>
      </w:r>
      <w:r w:rsidR="00A1216F" w:rsidRPr="65E1DBF8">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{"citationID":"a1v28fn9jam","properties":{"unsorted":false,"formattedCitation":"(Flicker et al., 2025; Koroma et al., 2023; Unsworth, Miller, et al., 2025; Unsworth &amp; Robison, 2016; Welhaf et al., 2025)","plainCitation":"(Flicker et al., 2025; Koroma et al., 2023; Unsworth, Miller, et al., 2025; Unsworth &amp; Robison, 2016; Welhaf et al., 2025)","noteIndex":0},"citationItems":[{"id":16224,"uris":["http://zotero.org/groups/6160358/items/H6YL5ANU"],"itemData":{"id":16224,"type":"article-journal","abstract":"Objectives Coloring mandalas has been consistently associated with reduced self-reported anxiety. While much of the literature attributes its anxiety-reducing properties to mindfulness, this has not yet been empirically tested. The current study examined mindfulness and other potential mechanisms of action, including flow, the undoing effect (through enjoyment), and distraction from anxious thoughts. Method Following an anxiety induction, 188 participants ( M = 21.14 years) colored mandalas for 20 min. Anxiety was measured before and after coloring. In-the-moment and retrospective reports of state mindfulness, flow, enjoyment, and other mind states were examined to identify which were most predictive of anxiety reduction. Results The strongest predictors of anxiety reduction were self-reported flow and enjoyment, followed by state mindfulness and anxious mind-wandering (in a negative direction). Conclusions By examining mindfulness, flow, enjoyment, and other mind states as predictors of change in anxiety during mandala coloring, the relevance and potentially even greater predictive validity of flow and enjoyment were identified. Additionally, anxious mind-wandering had not been previously examined in relation to mandala coloring; thus, this was the first time it was identified as a predictor of change in anxiety during mandala coloring. Moving away from focusing on mindfulness as the presumed mechanism of action to explore other factors, such as flow, enjoyment, and distraction from anxious thoughts, has the potential to yield unique insights into how mandala coloring relates to anxiety reduction and facilitate the development of empirically based instructions to increase the anxiety-reducing effect of mandala coloring, and potentially other art-making activities.","citation-key":"flickerMechanismsAnxietyReduction2025a","container-title":"Mindfulness","ISSN":"1868-8527","issue":"6","language":"eng","license":"The Author(s), under exclusive licence to Springer Science+Business Media, LLC, part of Springer Nature 2025 Springer Nature or its licensor (e.g. a society or other partner) holds exclusive rights to this article under a publishing agreement with the author(s) or other rightsholder(s); author self-archiving of the accepted manuscript version of this article is solely governed by the terms of such publishing agreement and applicable law.","page":"1693–1704","title":"Mechanisms of Anxiety Reduction During Adult Coloring: Mindfulness, Flow, Enjoyment, and Distraction","volume":"16","author":[{"family":"Flicker","given":"Sharon M."},{"family":"Sancier-Barbosa","given":"Flavia"},{"family":"Tang","given":"A. N."},{"family":"Ho","given":"Amanda"},{"family":"Zhong","given":"S."},{"family":"Alafranji","given":"R. R."},{"family":"Clemons-Castanos","given":"Channing R."}],"issued":{"date-parts":[["2025",6]]}}},{"id":5879,"uris":["http://zotero.org/users/8613739/items/7ZGTSIW5"],"itemData":{"id":5879,"type":"article-journal","abstract":"Spontaneous thinking significantly relies on attention and arousal. As these cognitive faculties change with age, we aimed at providing a comprehensive account to ongoing mental states in seniors, testing how these are influenced by attentional control and arousal. Using experience sampling at rest, 20 senior (65-75yrs) and 20 young participants (20-30yrs) were prompted to report mind-wandering (MW), sensory-related thoughts (S), and the newly introduced state of mind blanking (MB). Attentional control was assessed with the Attentional Style Questionnaire, and arousal with continuous monitoring of pupil diameter. Both age groups showed equally high occurrences of MW compared to MB or S. For young responders, we replicated that MW was more prevalent in easily-distracted participants and that it associated with higher arousal. In seniors, though, MB was more prevalent in easily-distracted participants, and it was associated with higher arousal, reversing the pattern found in young adults and focused seniors. Overall, our results show that attentional control and arousal jointly regulate ongoing mental states in an age-dependent manner and uncover the presence a specific profile of ongoing mental state regulation in healthy aging, being a potentially critical marker of age-associated diseases.","citation-key":"koromaElsewhereBlankedOngoing2023","container-title":"bioRxiv : the preprint server for biology","ISSN":"2692-8205","journalAbbreviation":"bioRxiv","language":"eng","note":"edition: 1.2\ntex.copyright: 2023, Posted by Cold Spring Harbor Laboratory","publisher":"Cold Spring Harbor Laboratory","title":"Elsewhere or Blanked? Ongoing mental states are regulated by pupil-linked arousal and attentional style in healthy ageing","author":[{"family":"Koroma","given":"Matthieu"},{"family":"Robert de Beauchamp","given":"Aurèle"},{"family":"Mortaheb","given":"Sepehr"},{"family":"Boulakis","given":"Paradeisios Alexandros"},{"family":"Bastin","given":"Christine"},{"family":"Demertzi","given":"Athena"}],"issued":{"date-parts":[["2023",4,24]]}}},{"id":5582,"uris":["http://zotero.org/users/8613739/items/9QETPVGX"],"itemData":{"id":5582,"type":"article-journal","abstract":"Three experiments examined if deep processing would aid in reducing off-task thoughts during learning. In each experiment, participants learned words or pairs of words under deep or shallow conditions. During learning, participants were periodically presented with thought-probes to examine if they were experiencing off-task thoughts (mind wandering, external distraction, mind blanking). Levels of processing was manipulated both within (Experiment 1) and between subjects (Experiments 2 and 3) using structural, rhyme, and semantic judgements and testing memory with cued-recall (Experiments 1 and 2) or recognition (Experiment 3). All three experiments demonstrated a levels of processing effect on memory with better performance in deep compared to shallow conditions. Importantly, in all three experiments rates of off-task thinking (and mind wandering more specifically) were the same across conditions and Bayes factors suggested moderate evidence in favour of the null hypothesis. The results suggest that deep processing does not necessarily protect against mind wandering and other lapses of attention.","citation-key":"unsworthDoesDeepProcessing2025","container-title":"Memory","DOI":"10.1080/09658211.2024.2413162","ISSN":"0965-8211","issue":"2","note":"_eprint: https://doi.org/10.1080/09658211.2024.2413162","page":"157-165","PMID":"39442004","publisher":"Routledge","source":"Taylor and Francis+NEJM","title":"Does deep processing protect against mind wandering and other lapses of attention during learning?","volume":"33","author":[{"family":"Unsworth","given":"Nash"},{"family":"Miller","given":"Ashley L."},{"family":"Strayer","given":"Deanna L."}],"issued":{"date-parts":[["2025",2,7]]}}},{"id":5907,"uris":["http://zotero.org/users/8613739/items/JXRL6LGH"],"itemData":{"id":5907,"type":"article-journal","abstract":"The current study examined the extent to which pupillary responses (both pretrial baseline and phasic responses) would accurately track lapses of attention as predicted by theories of locus coeruleus norepinephrine (LC-NE) functioning. Participants performed a sustained attention task while pupil responses were continuously recorded. Periodically during the task, participants were presented with thought probes to determine if they were on or off task. The results suggested the pupillary responses accurately distinguished on from off-task states. Importantly, pretrial baseline pupil responses distinguished different types of lapses of attention, with inattentive and mind-wandering states being associated with small pretrial baseline pupil diameters on average and distracted states being associated with larger pretrial baseline pupil diameters on average compared to focused states. These results support the notion that pupil diameter is sensitive to different types of lapses of attention which may be associated with different LC-NE modes.","citation-key":"unsworthPupillaryCorrelatesLapses2016","container-title":"Cognitive, affective, &amp; behavioral neuroscience","ISSN":"1530-7026","issue":"4","language":"eng","note":"tex.copyright: Psychonomic Society, Inc. 2016","page":"601-615","publisher":"Springer US","publisher-place":"New York","title":"Pupillary correlates of lapses of sustained attention","volume":"16","author":[{"family":"Unsworth","given":"Nash"},{"family":"Robison","given":"Matthew K."}],"issued":{"date-parts":[["2016",8]]}}},{"id":5576,"uris":["http://zotero.org/users/8613739/items/F7QB8PX8"],"itemData":{"id":5576,"type":"article-journal","abstract":"Mind wandering decreases in healthy aging, and in some cases, it is further reduced in Alzheimer disease (AD). However, little is known about how mind wandering changes during the preclinical phase of AD, which is a critical period for intervention. The present study aims to provide novel evidence for the utility of objective and subjective measures of mind wandering in evaluating the risk of developing cognitive impairment and their association with AD biomarkers. Participants (N = 504; Mage = 69.54 years, SDage = 8.95 years) completed a Sustained Attention to Response Task (SART). We calculated objective (reaction time coefficient of variation; RT CoV) and subjective (self-reported frequency of off-task thoughts) mind wandering measures during the SART for participants who remained cognitively stable (N = 349) and those who eventually developed cognitive impairment (progressors; N = 155). A subset of participants (N = 211) completed the SART annually and had recent CSF biomarkers. Objective and subjective mind wandering significantly differed between progressors and cognitively stable participants at baseline and predicted likelihoods of progression. Moreover, baseline subjective mind wandering predicted progression beyond standard neuropsychological measures. Longitudinal models indicated that biomarker negative, but not positive, participants showed a significant reduction in RT CoV over time, possibly reflecting practice-related changes in performance. There were no longitudinal associations with subjective mind wandering. Mind wandering is a common activity and may reflect a healthy cognitive system in older age. Subjective measures of mind wandering may be useful in predicting the later onset of cognitive impairment, while objective measures may be more sensitive to longitudinal changes.","citation-key":"welhafUsingObjectiveSubjective2025","container-title":"Journal of Clinical and Experimental Neuropsychology","DOI":"10.1080/13803395.2025.2498025","ISSN":"1380-3395","issue":"3","note":"_eprint: https://doi.org/10.1080/13803395.2025.2498025","page":"169-184","PMID":"40289410","publisher":"Routledge","source":"Taylor and Francis+NEJM","title":"Using objective and subjective measures of mind wandering to predict progression to development of cognitive impairment and test associations with Alzheimer disease biomarkers","volume":"47","author":[{"family":"Welhaf","given":"Matthew S."},{"family":"Balota","given":"David A."},{"family":"Schindler","given":"Suzanne E."},{"family":"Morris","given":"John C."},{"family":"Hassenstab","given":"Jason"},{"family":"Aschenbrenner","given":"Andrew J."}],"issued":{"date-parts":[["2025",3,16]]}}}],"schema":"https://github.com/citation-style-language/schema/raw/master/csl-citation.json"} </w:instrText>
      </w:r>
      <w:r w:rsidR="00A1216F" w:rsidRPr="65E1DBF8">
        <w:rPr>
          <w:rFonts w:ascii="Times New Roman" w:hAnsi="Times New Roman" w:cs="Times New Roman"/>
        </w:rPr>
        <w:fldChar w:fldCharType="separate"/>
      </w:r>
      <w:r w:rsidR="00B633EE" w:rsidRPr="00B633EE">
        <w:rPr>
          <w:rFonts w:ascii="Times New Roman" w:hAnsi="Times New Roman" w:cs="Times New Roman"/>
        </w:rPr>
        <w:t xml:space="preserve">(Flicker </w:t>
      </w:r>
      <w:r w:rsidR="00B633EE" w:rsidRPr="00B633EE">
        <w:rPr>
          <w:rFonts w:ascii="Times New Roman" w:hAnsi="Times New Roman" w:cs="Times New Roman"/>
        </w:rPr>
        <w:lastRenderedPageBreak/>
        <w:t>et al., 2025; Koroma et al., 2023; Unsworth, Miller, et al., 2025; Unsworth &amp; Robison, 2016; Welhaf et al., 2025)</w:t>
      </w:r>
      <w:r w:rsidR="00A1216F" w:rsidRPr="65E1DBF8">
        <w:rPr>
          <w:rFonts w:ascii="Times New Roman" w:hAnsi="Times New Roman" w:cs="Times New Roman"/>
        </w:rPr>
        <w:fldChar w:fldCharType="end"/>
      </w:r>
      <w:r w:rsidR="5936EF52" w:rsidRPr="65E1DBF8">
        <w:rPr>
          <w:rFonts w:ascii="Times New Roman" w:hAnsi="Times New Roman" w:cs="Times New Roman"/>
        </w:rPr>
        <w:t xml:space="preserve">. Such estimates span over an order of magnitude, reflecting marked heterogeneity across studies. At present, the sources of between-study variation in MB rates remain unclear. One potential source of </w:t>
      </w:r>
      <w:r w:rsidR="54FF5F56" w:rsidRPr="65E1DBF8">
        <w:rPr>
          <w:rFonts w:ascii="Times New Roman" w:hAnsi="Times New Roman" w:cs="Times New Roman"/>
        </w:rPr>
        <w:t>variation</w:t>
      </w:r>
      <w:r w:rsidR="5936EF52" w:rsidRPr="65E1DBF8">
        <w:rPr>
          <w:rFonts w:ascii="Times New Roman" w:hAnsi="Times New Roman" w:cs="Times New Roman"/>
        </w:rPr>
        <w:t xml:space="preserve"> pertains to experience-sampling designs. </w:t>
      </w:r>
      <w:r w:rsidR="54FF5F56" w:rsidRPr="65E1DBF8">
        <w:rPr>
          <w:rFonts w:ascii="Times New Roman" w:hAnsi="Times New Roman" w:cs="Times New Roman"/>
        </w:rPr>
        <w:t>For example, s</w:t>
      </w:r>
      <w:r w:rsidR="5936EF52" w:rsidRPr="65E1DBF8">
        <w:rPr>
          <w:rFonts w:ascii="Times New Roman" w:hAnsi="Times New Roman" w:cs="Times New Roman"/>
        </w:rPr>
        <w:t xml:space="preserve">elf-caught experience-sampling, </w:t>
      </w:r>
      <w:r w:rsidR="7418F39B" w:rsidRPr="65E1DBF8">
        <w:rPr>
          <w:rFonts w:ascii="Times New Roman" w:hAnsi="Times New Roman" w:cs="Times New Roman"/>
        </w:rPr>
        <w:t>in which participants monitor their stream of thought and report any instances of MB when they become aware of it, has been associated with increased MB report frequency relative to probe-caught experience-sampling, in which intermittent probes prompt</w:t>
      </w:r>
      <w:r w:rsidR="5936EF52" w:rsidRPr="65E1DBF8">
        <w:rPr>
          <w:rFonts w:ascii="Times New Roman" w:hAnsi="Times New Roman" w:cs="Times New Roman"/>
        </w:rPr>
        <w:t xml:space="preserve"> participants to report their immediate past thoughts </w:t>
      </w:r>
      <w:r w:rsidR="00A1216F" w:rsidRPr="65E1DBF8">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{"citationID":"a2mit6en009","properties":{"unsorted":false,"formattedCitation":"(Ward &amp; Wegner, 2013)","plainCitation":"(Ward &amp; Wegner, 2013)","noteIndex":0},"citationItems":[{"id":5027,"uris":["http://zotero.org/users/8613739/items/3NSFSNMY"],"itemData":{"id":5027,"type":"article-journal","citation-key":"wardMindblankingWhenMind2013","container-title":"Frontiers in Psychology","DOI":"10.3389/fpsyg.2013.00650","page":"650","title":"Mind-blanking: when the mind goes away","volume":"4","author":[{"family":"Ward","given":"Adrian"},{"family":"Wegner","given":"Daniel"}],"issued":{"date-parts":[["2013"]]}}}],"schema":"https://github.com/citation-style-language/schema/raw/master/csl-citation.json"} </w:instrText>
      </w:r>
      <w:r w:rsidR="00A1216F" w:rsidRPr="65E1DBF8">
        <w:rPr>
          <w:rFonts w:ascii="Times New Roman" w:hAnsi="Times New Roman" w:cs="Times New Roman"/>
        </w:rPr>
        <w:fldChar w:fldCharType="separate"/>
      </w:r>
      <w:r w:rsidR="00B633EE" w:rsidRPr="00B633EE">
        <w:rPr>
          <w:rFonts w:ascii="Times New Roman" w:hAnsi="Times New Roman" w:cs="Times New Roman"/>
        </w:rPr>
        <w:t>(Ward &amp; Wegner, 2013)</w:t>
      </w:r>
      <w:r w:rsidR="00A1216F" w:rsidRPr="65E1DBF8">
        <w:rPr>
          <w:rFonts w:ascii="Times New Roman" w:hAnsi="Times New Roman" w:cs="Times New Roman"/>
        </w:rPr>
        <w:fldChar w:fldCharType="end"/>
      </w:r>
      <w:r w:rsidR="5936EF52" w:rsidRPr="65E1DBF8">
        <w:rPr>
          <w:rFonts w:ascii="Times New Roman" w:hAnsi="Times New Roman" w:cs="Times New Roman"/>
        </w:rPr>
        <w:t xml:space="preserve">. </w:t>
      </w:r>
      <w:r w:rsidR="5936EF52" w:rsidRPr="65E1DBF8">
        <w:rPr>
          <w:rFonts w:ascii="Times New Roman" w:hAnsi="Times New Roman"/>
          <w:color w:val="000000" w:themeColor="text1"/>
        </w:rPr>
        <w:t xml:space="preserve">Likewise, retrospective reports of MB were </w:t>
      </w:r>
      <w:r w:rsidR="7418F39B" w:rsidRPr="65E1DBF8">
        <w:rPr>
          <w:rFonts w:ascii="Times New Roman" w:hAnsi="Times New Roman"/>
          <w:color w:val="000000" w:themeColor="text1"/>
        </w:rPr>
        <w:t>higher after a thinking-aloud session than after</w:t>
      </w:r>
      <w:r w:rsidR="5936EF52" w:rsidRPr="65E1DBF8">
        <w:rPr>
          <w:rFonts w:ascii="Times New Roman" w:hAnsi="Times New Roman"/>
          <w:color w:val="000000" w:themeColor="text1"/>
        </w:rPr>
        <w:t xml:space="preserve"> a silent thinking session</w:t>
      </w:r>
      <w:r w:rsidR="14644158" w:rsidRPr="65E1DBF8">
        <w:rPr>
          <w:rFonts w:ascii="Times New Roman" w:hAnsi="Times New Roman"/>
          <w:color w:val="000000" w:themeColor="text1"/>
        </w:rPr>
        <w:t xml:space="preserve"> </w:t>
      </w:r>
      <w:r w:rsidR="00A1216F" w:rsidRPr="65E1DBF8">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{"citationID":"a191t58ijak","properties":{"unsorted":false,"formattedCitation":"(Garg et al., 2025)","plainCitation":"(Garg et al., 2025)","noteIndex":0},"citationItems":[{"id":5556,"uris":["http://zotero.org/users/8613739/items/UAA36AW4"],"itemData":{"id":5556,"type":"article-journal","abstract":"Asking participants to Think Aloud is a common method for studying conscious experience, but it remains unclear whether this approach alters thought qualities—such as meta-awareness, rate of topic shifts, or the content of thoughts in task-absent conditions. To investigate this, we conducted two studies comparing thinking aloud to thinking silently. In Study 1, 111 participants alternated between 15-minute intervals of verbalizing and silently reflecting on their stream of consciousness in a counterbalanced design. A subset also reported topic shifts intermittently via self- and probe-catching methods. Results showed that the stream of consciousness was minimally reactive to the Think Aloud protocol, with no significant differences in meta-awareness and topic shifting rates. Moreover, among 21 thought qualities and 18 content topics analyzed, only three qualities (private thoughts, mind blanking, and session difficulty) and one topic (partner, intimacy, love, and sexual matters) differed between Think Aloud and Silent Think. In Study 2, 102 participants either did Think Aloud or Silent Think while responding to thought probes. Findings replicated the lack of differences in the frequency and meta-awareness of topic shifts between Think Aloud and Silent Think. Furthermore, no differences in reported cognitive load were observed between the two conditions. These results emphasize the value of the Think Aloud procedure for examining the stream of consciousness, demonstrating its reliability and minimal impact on the natural flow of thoughts. Thus, Think Aloud offers a robust model system for examining the otherwise unverbalized stream of consciousness in task-absent contexts.","citation-key":"gargOpeningBlackBox2025","container-title":"Consciousness and Cognition","DOI":"10.1016/j.concog.2025.103815","ISSN":"1053-8100","journalAbbreviation":"Consciousness and Cognition","page":"103815","source":"ScienceDirect","title":"Opening the black box: Think Aloud as a method to study the spontaneous stream of consciousness","title-short":"Opening the black box","volume":"128","author":[{"family":"Garg","given":"Anusha"},{"family":"Shelat","given":"Shivang"},{"family":"Gross","given":"Madeleine E."},{"family":"Smallwood","given":"Jonathan"},{"family":"Seli","given":"Paul"},{"family":"Taxali","given":"Aman"},{"family":"Sripada","given":"Chandra S."},{"family":"Schooler","given":"Jonathan W."}],"issued":{"date-parts":[["2025",2,1]]}}}],"schema":"https://github.com/citation-style-language/schema/raw/master/csl-citation.json"} </w:instrText>
      </w:r>
      <w:r w:rsidR="00A1216F" w:rsidRPr="65E1DBF8">
        <w:rPr>
          <w:rFonts w:ascii="Times New Roman" w:hAnsi="Times New Roman" w:cs="Times New Roman"/>
        </w:rPr>
        <w:fldChar w:fldCharType="separate"/>
      </w:r>
      <w:r w:rsidR="00B633EE" w:rsidRPr="00B633EE">
        <w:rPr>
          <w:rFonts w:ascii="Times New Roman" w:hAnsi="Times New Roman" w:cs="Times New Roman"/>
        </w:rPr>
        <w:t>(Garg et al., 2025)</w:t>
      </w:r>
      <w:r w:rsidR="00A1216F" w:rsidRPr="65E1DBF8">
        <w:rPr>
          <w:rFonts w:ascii="Times New Roman" w:hAnsi="Times New Roman" w:cs="Times New Roman"/>
        </w:rPr>
        <w:fldChar w:fldCharType="end"/>
      </w:r>
      <w:r w:rsidR="5936EF52" w:rsidRPr="65E1DBF8">
        <w:rPr>
          <w:rFonts w:ascii="Times New Roman" w:eastAsia="Arial" w:hAnsi="Times New Roman" w:cs="Times New Roman"/>
          <w:color w:val="000000" w:themeColor="text1"/>
        </w:rPr>
        <w:t>.</w:t>
      </w:r>
    </w:p>
    <w:p w14:paraId="39550AB0" w14:textId="69EE9265" w:rsidR="008F5DA6" w:rsidRDefault="03EEAE50" w:rsidP="00263875">
      <w:pPr>
        <w:spacing w:line="360" w:lineRule="auto"/>
        <w:ind w:firstLine="720"/>
        <w:jc w:val="both"/>
      </w:pPr>
      <w:r w:rsidRPr="65E1DBF8">
        <w:rPr>
          <w:rFonts w:ascii="Times New Roman" w:hAnsi="Times New Roman" w:cs="Times New Roman"/>
        </w:rPr>
        <w:t xml:space="preserve">Other moderators that introduce between-study heterogeneity include arousal levels, dispositional differences, and clinical profiles. Studies examining MB under different arousal conditions </w:t>
      </w:r>
      <w:r w:rsidR="54FF5F56" w:rsidRPr="65E1DBF8">
        <w:rPr>
          <w:rFonts w:ascii="Times New Roman" w:hAnsi="Times New Roman" w:cs="Times New Roman"/>
        </w:rPr>
        <w:t>have noted</w:t>
      </w:r>
      <w:r w:rsidRPr="65E1DBF8">
        <w:rPr>
          <w:rFonts w:ascii="Times New Roman" w:hAnsi="Times New Roman" w:cs="Times New Roman"/>
        </w:rPr>
        <w:t xml:space="preserve"> that MB occurs more frequently as participants become progressively less alert</w:t>
      </w:r>
      <w:r w:rsidR="54FF5F56" w:rsidRPr="65E1DBF8">
        <w:rPr>
          <w:rFonts w:ascii="Times New Roman" w:hAnsi="Times New Roman" w:cs="Times New Roman"/>
        </w:rPr>
        <w:t xml:space="preserve"> </w:t>
      </w:r>
      <w:r w:rsidR="00FB05D1" w:rsidRPr="65E1DBF8">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{"citationID":"a1agupmnb0k","properties":{"unsorted":false,"formattedCitation":"(Andrillon et al., 2021; Boulakis, Kusztor, et al., 2025; Boulakis, Simos, et al., 2025; Pinggal et al., 2025; Stawarczyk et al., 2020; Stawarczyk &amp; D\\uc0\\u8217{}Argembeau, 2016)","plainCitation":"(Andrillon et al., 2021; Boulakis, Kusztor, et al., 2025; Boulakis, Simos, et al., 2025; Pinggal et al., 2025; Stawarczyk et al., 2020; Stawarczyk &amp; D’Argembeau, 2016)","noteIndex":0},"citationItems":[{"id":5757,"uris":["http://zotero.org/users/8613739/items/44AG6C8P"],"itemData":{"id":5757,"type":"article-journal","abstract":"Attentional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17569,"uris":["http://zotero.org/users/8613739/items/ALEP8YKX"],"itemData":{"id":17569,"type":"article","abstract":"Mind blanking (MB) is a mental state of seemingly no reportable thought content. The question of how we can entertain no thoughts while awake is challenging for the study of spontaneous thinking. By combining EEG-fMRI with experience sampling during task performance, we categorised changes in mental content and self-reported vigilance to map the neurophysiological signatures of MB. We demonstrate that fMRI connectivity around MB reports is characterised by a \"rich\" pattern of long and short-range signal anticorrelations. At the same time, sleepiness reports are linked to a \"simpler\" hyperconnected fMRI pattern, characterised by overall positive connectivity. Put together, an interaction appears: when people report being alert, connectomes around MB reports resemble the hyperconnected pattern, indicating that the neuronal correlates of MB depend on self-rated vigilance. The hyperconnected pattern also correlated with EEG slow wave activity, tying MB's topology to sleep-like electrophysiology during wakefulness. Collectively, we show that distinct cortical events underlie the shared phenomenology of a thought-free mind. We conclude that MB's neurophysiological correlates vary across perceived vigilance levels and that more refined characterisation of the neuronal correlates of thought-less mental states exist. Our findings build on the quest to bridge mental content and its absence with measurable brain activity and provide insights into how ongoing thinking is maintained during wakefulness.","citation-key":"boulakisDistinctCorticalProfiles2025","DOI":"10.1101/2025.10.14.681984","language":"en","license":"© 2025, Posted by Cold Spring Harbor Laboratory. This pre-print is available under a Creative Commons License (Attribution 4.0 International), CC BY 4.0, as described at http://creativecommons.org/licenses/by/4.0/","note":"ISSN: 2692-8205\npage: 2025.10.14.681984\nsection: New Results","publisher":"bioRxiv","source":"bioRxiv","title":"Distinct cortical profiles underlie the common reportability of thought-free experiences","URL":"https://www.biorxiv.org/content/10.1101/2025.10.14.681984v1","author":[{"family":"Boulakis","given":"Paradeisios Alexandros"},{"family":"Kusztor","given":"Anikó"},{"family":"Tsuchiya","given":"Naotsugu"},{"family":"Andrillon","given":"Thomas"},{"family":"Demertzi","given":"Athena"}],"accessed":{"date-parts":[["2025",10,15]]},"issued":{"date-parts":[["2025",10,15]]}}},{"id":17715,"uris":["http://zotero.org/users/8613739/items/5A4PNAM3"],"itemData":{"id":17715,"type":"article-journal","abstract":"Mind blanking (MB) is the inability to report mental events during unconstraint thinking. Previous work shows that MB is linked to decreased levels of cortical arousal, indicating dominance of cerebral mechanisms when reporting mental states. What remains inconclusive is whether MB can also ensue from autonomic arousal manipulations, pointing to the implication of peripheral physiology to mental events. Using experience sampling, neural, and physiological measurements in 26 participants, we first show that MB was reported more frequently in low arousal conditions, elicited by sleep deprivation. Also, there was partial evidence for a higher occurence of MB reports in high arousal conditions, elicited by intense physical exercise. Transition probabilities revealed that, after sleep deprivation, mind wandering was more likely to be followed by MB and less likely to be followed by more mind wandering reports. Using classification schemes, we found higher performance of a balanced random forest classifier trained on both neural and physiological markers in comparison to performance when solely neural or physiological were used. Collectively, we show that both cortical and autonomic arousal affect MB report occurrences. Our results establish that MB is supported by combined brain-body configurations, and, by linking mental and physiological states, they pave the way for novel embodied accounts of spontaneous thinking.","citation-key":"boulakisVariationsAutonomicArousal2025","container-title":"Scientific Reports","DOI":"10.1038/s41598-024-81618-1","ISSN":"2045-2322","issue":"1","journalAbbreviation":"Sci Rep","language":"en","license":"2025 The Author(s)","page":"4956","publisher":"Nature Publishing Group","source":"www.nature.com","title":"Variations of autonomic arousal mediate the reportability of mind blanking occurrences","volume":"15","author":[{"family":"Boulakis","given":"Paradeisios Alexandros"},{"family":"Simos","given":"Nicholas John"},{"family":"Zoi","given":"Stefania"},{"family":"Mortaheb","given":"Sepehr"},{"family":"Schmidt","given":"Christina"},{"family":"Raimondo","given":"Federico"},{"family":"Demertzi","given":"Athena"}],"issued":{"date-parts":[["2025",2,10]]}}},{"id":5581,"uris":["http://zotero.org/users/8613739/items/SLUSZTPX"],"itemData":{"id":5581,"type":"article","abstract":"Background Attention-Deficit/Hyperactivity Disorder (ADHD) is characterised by behavioural variability and heightened inattention associated with increased mind wandering (MW) and mind blanking (MB). Individuals with ADHD frequently experience sleep disorders and excessive daytime sleepiness, suggesting interactions between attention and arousal systems. Research examining brain activity using electroencephalography (EEG) has demonstrated that sleep-like slow waves (SW) during wakefulness are linked to inattention in neurotypical individuals, particularly following sleep deprivation, yet their role in ADHD remains unclear. This study investigated whether individuals with ADHD present with altered waking SW distribution compared to neurotypical controls and whether SW explain attentional difficulties in ADHD.\nMethods Adults with (n = 32) and without ADHD (n = 31) completed a sustained attention task while EEG recorded brain activity. Mental state probes (on-task, MW, MB) were embedded within the task. Sleep-like SW reflect a slowing of cortical activity and was detected from EEG activity. Omission/commission errors, reaction time (RT), RT variability, mental state reports and subjective sleepiness were analysed. Mediation analysis examined whether SW density explained ADHD-related performance differences.\nResults Individuals with ADHD exhibited more commission errors, MW and MB, and higher SW density (SW/min), particularly over parieto-temporal electrodes. Increased SW density correlated with higher omission errors, slower RTs, greater RT variability, and elevated sleepiness ratings. On-task reports were negatively correlated with SW density. Mediation analysis revealed that SW density significantly accounted for ADHD-related attentional difficulties.\nConclusions Wake SW may explain attentional difficulties in ADHD, providing a potential mechanistic link between sleep disturbances and attentional fluctuations.","citation-key":"pinggalSleeplikeSlowWaves2025","DOI":"10.1101/2025.07.27.666103","language":"en","license":"© 2025, Posted by Cold Spring Harbor Laboratory. This pre-print is available under a Creative Commons License (Attribution-NonCommercial 4.0 International), CC BY-NC 4.0, as described at http://creativecommons.org/licenses/by-nc/4.0/","note":"ISSN: 2692-8205\npage: 2025.07.27.666103\nsection: New Results","publisher":"bioRxiv","source":"bioRxiv","title":"Sleep-like Slow Waves During Wakefulness Mediate Attention and Vigilance Difficulties in Adult Attention-Deficit/Hyperactivity Disorder","URL":"https://www.biorxiv.org/content/10.1101/2025.07.27.666103v1","author":[{"family":"Pinggal","given":"Elaine"},{"family":"Jackson","given":"James"},{"family":"Kusztor","given":"Anikó"},{"family":"Chapman","given":"David"},{"family":"Windt","given":"Jennifer"},{"family":"Drummond","given":"Sean P. A."},{"family":"Silk","given":"Tim J."},{"family":"Bellgrove","given":"Mark A."},{"family":"Andrillon","given":"Thomas"}],"accessed":{"date-parts":[["2025",8,7]]},"issued":{"date-parts":[["2025",7,31]]}}},{"id":4191,"uris":["http://zotero.org/users/8613739/items/XPGXBMFW"],"itemData":{"id":4191,"type":"article-journal","abstract":"Two independent lines of evidence suggest that drowsiness and mind-wandering share common neurocognitive processes indexed by ocular parameters (e.g., eyeblink frequency and pupil dynamics). Mind-wandering and drowsiness frequently co-occur, however, such that it remains unclear whether observed oculometric variations are related to mind-wandering, drowsiness, or a mix of both. To address this issue, we assessed fluctuations in mind-wandering and sleepiness during a sustained attention task while ocular parameters were recorded. Results showed that oculometric variations during mind-wandering were fully explained by increased sleepiness. However, mind-wandering and sleepiness had additive deleterious effects on performance that were not fully explained by ocular parameters. These findings suggest that oculometric variations during task performance reflect increased drowsiness rather than processes specifically involved in mind-wandering, and that the neurocogniti</w:instrText>
      </w:r>
      <w:r w:rsidR="00B633EE" w:rsidRPr="00B633EE">
        <w:rPr>
          <w:rFonts w:ascii="Times New Roman" w:hAnsi="Times New Roman" w:cs="Times New Roman"/>
          <w:lang w:val="fr-BE"/>
        </w:rPr>
        <w:instrText xml:space="preserve">ve processes indexed by oculometric parameters (e.g., regulatory processes of the locus coeruleus norepinephrine system) do not fully explain how mind-wandering and sleepiness cause attentional lapses.","citation-key":"stawarczykDrowsinessMindwanderingFluctuations2020","container-title":"Biological Psychology","DOI":"10.1016/j.biopsycho.2020.107950","ISSN":"0301-0511","journalAbbreviation":"Biological Psychology","page":"107950","source":"ScienceDirect","title":"Drowsiness or mind-wandering? Fluctuations in ocular parameters during attentional lapses","title-short":"Drowsiness or mind-wandering?","volume":"156","author":[{"family":"Stawarczyk","given":"David"},{"family":"François","given":"Clémentine"},{"family":"Wertz","given":"Jérôme"},{"family":"D'Argembeau","given":"Arnaud"}],"issued":{"date-parts":[["2020",10,1]]}}},{"id":5855,"uris":["http://zotero.org/users/8613739/items/3BCE4U3Y"],"itemData":{"id":5855,"type":"article-journal","citation-key":"stawarczykConjointInfluenceMindwandering2016","language":"eng","note":"authority: Psychology and Neuroscience of Cognition Research Unit\ntex.copyright: Unrestricted online access","publisher":"American Psychological Association","title":"Conjoint influence of mind-wandering and sleepiness on task performance","author":[{"family":"Stawarczyk","given":"David"},{"family":"D'Argembeau","given":"Arnaud"}],"issued":{"date-parts":[["2016"]]}}}],"schema":"https://github.com/citation-style-language/schema/raw/master/csl-citation.json"} </w:instrText>
      </w:r>
      <w:r w:rsidR="00FB05D1" w:rsidRPr="65E1DBF8">
        <w:rPr>
          <w:rFonts w:ascii="Times New Roman" w:hAnsi="Times New Roman" w:cs="Times New Roman"/>
        </w:rPr>
        <w:fldChar w:fldCharType="separate"/>
      </w:r>
      <w:r w:rsidR="00B633EE" w:rsidRPr="00B633EE">
        <w:rPr>
          <w:rFonts w:ascii="Times New Roman" w:hAnsi="Times New Roman" w:cs="Times New Roman"/>
          <w:lang w:val="fr-BE"/>
        </w:rPr>
        <w:t>(Andrillon et al., 2021; Boulakis, Kusztor, et al., 2025; Boulakis et al., 2025; Pinggal et al., 2025; Stawarczyk et al., 2020; Stawarczyk &amp; D’Argembeau, 2016)</w:t>
      </w:r>
      <w:r w:rsidR="00FB05D1" w:rsidRPr="65E1DBF8">
        <w:rPr>
          <w:rFonts w:ascii="Times New Roman" w:hAnsi="Times New Roman" w:cs="Times New Roman"/>
        </w:rPr>
        <w:fldChar w:fldCharType="end"/>
      </w:r>
      <w:r w:rsidRPr="00B633EE">
        <w:rPr>
          <w:rFonts w:ascii="Times New Roman" w:hAnsi="Times New Roman" w:cs="Times New Roman"/>
          <w:lang w:val="fr-BE"/>
        </w:rPr>
        <w:t xml:space="preserve">. </w:t>
      </w:r>
      <w:r w:rsidR="14644158" w:rsidRPr="65E1DBF8">
        <w:rPr>
          <w:rFonts w:ascii="Times New Roman" w:hAnsi="Times New Roman" w:cs="Times New Roman"/>
        </w:rPr>
        <w:t>Additionally</w:t>
      </w:r>
      <w:r w:rsidRPr="65E1DBF8">
        <w:rPr>
          <w:rFonts w:ascii="Times New Roman" w:hAnsi="Times New Roman" w:cs="Times New Roman"/>
        </w:rPr>
        <w:t>, dispositional factors and attentional capacities, such as attentional and inhibitory control, may also significantly alter how frequently individuals experience MB</w:t>
      </w:r>
      <w:r w:rsidR="54FF5F56" w:rsidRPr="65E1DBF8">
        <w:rPr>
          <w:rFonts w:ascii="Times New Roman" w:hAnsi="Times New Roman" w:cs="Times New Roman"/>
        </w:rPr>
        <w:t xml:space="preserve"> </w:t>
      </w:r>
      <w:r w:rsidR="00FB05D1" w:rsidRPr="65E1DBF8">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{"citationID":"a1omdo3l2k2","properties":{"formattedCitation":"(Kawagoe et al., 2024; Koroma et al., 2023; Van den Driessche et al., 2017)","plainCitation":"(Kawagoe et al., 2024; Koroma et al., 2023; Van den Driessche et al., 2017)","noteIndex":0},"citationItems":[{"id":17719,"uris":["http://zotero.org/users/8613739/items/LULF9ZPJ"],"itemData":{"id":17719,"type":"article-journal","abstract":"We occasionally experience moments when our minds go blank, or our attention disappears. This psychological phenomenon, known as mind blanking (MB), has recently garnered increased attention. MB has been assessed at the state level using experience sampling methods in which participants undertake a cognitive task and probes suddenly appear asking them to report the current contents of their thoughts. However, it may be possible to evaluate MB at the “trait level” as is the case with other mental states (e.g., mind wandering, anxiety, and the like). In the present study, we developed a new scale, the Mind Blanking Questionnaire (MBQ), for assessing the tendency of MB at the trait level in both Japanese and English. The MBQ exhibited good psychometric properties including internal consistency, test-retest reliability, and criterion and construct validities. Additionally, it displayed measurement invariance between the language versions, genders, and age groups. The MBQ would be a valuable tool to assess the individual tendency of MB and contribute to cross-cultural studies.","citation-key":"kawagoeDevelopingJapaneseEnglish2024","container-title":"Personality and Individual Differences","DOI":"10.1016/j.paid.2023.112539","ISSN":"0191-8869","journalAbbreviation":"Personality and Individual Differences","page":"112539","source":"ScienceDirect","title":"Developing the Japanese and English versions of the Mind Blanking Questionnaire (MBQ): validation and reliability","title-short":"Developing the Japanese and English versions of the Mind Blanking Questionnaire (MBQ)","volume":"220","author":[{"family":"Kawagoe","given":"Toshikazu"},{"family":"Yoshimura","given":"Shinpei"},{"family":"Muranaka","given":"Seiji"},{"family":"Xethakis","given":"Larry"},{"family":"Onoda","given":"Keiichi"}],"issued":{"date-parts":[["2024",4,1]]}}},{"id":5879,"uris":["http://zotero.org/users/8613739/items/7ZGTSIW5"],"itemData":{"id":5879,"type":"article-journal","abstract":"Spontaneous thinking significantly relies on attention and arousal. As these cognitive faculties change with age, we aimed at providing a comprehensive account to ongoing mental states in seniors, testing how these are influenced by attentional control and arousal. Using experience sampling at rest, 20 senior (65-75yrs) and 20 young participants (20-30yrs) were prompted to report mind-wandering (MW), sensory-related thoughts (S), and the newly introduced state of mind blanking (MB). Attentional control was assessed with the Attentional Style Questionnaire, and arousal with continuous monitoring of pupil diameter. Both age groups showed equally high occurrences of MW compared to MB or S. For young responders, we replicated that MW was more prevalent in easily-distracted participants and that it associated with higher arousal. In seniors, though, MB was more prevalent in easily-distracted participants, and it was associated with higher arousal, reversing the pattern found in young adults and focused seniors. Overall, our results show that attentional control and arousal jointly regulate ongoing mental states in an age-dependent manner and uncover the presence a specific profile of ongoing mental state regulation in healthy aging, being a potentially critical marker of age-associated diseases.","citation-key":"koromaElsewhereBlankedOngoing2023","container-title":"bioRxiv : the preprint server for biology","ISSN":"2692-8205","journalAbbreviation":"bioRxiv","language":"eng","note":"edition: 1.2\ntex.copyright: 2023, Posted by Cold Spring Harbor Laboratory","publisher":"Cold Spring Harbor Laboratory","title":"Elsewhere or Blanked? Ongoing mental states are regulated by pupil-linked arousal and attentional style in healthy ageing","author":[{"family":"Koroma","given":"Matthieu"},{"family":"Robert de Beauchamp","given":"Aurèle"},{"family":"Mortaheb","given":"Sepehr"},{"family":"Boulakis","given":"Paradeisios Alexandros"},{"family":"Bastin","given":"Christine"},{"family":"Demertzi","given":"Athena"}],"issued":{"date-parts":[["2023",4,24]]}}},{"id":16069,"uris":["http://zotero.org/groups/6160358/items/G26L5XVS"],"itemData":{"id":16069,"type":"article-journal","abstract":"People with attention-deficit/hyperactivity disorder (ADHD) have difficulties sustaining their attention on external tasks. Such attentional lapses have often been characterized as the simple opposite of external sustained attention, but the different types of attentional lapses, and the subjective experiences to which they correspond, remain unspecified. In this study, we showed that unmedicated children (ages 6-12) with ADHD, when probed during a standard go/no-go task, reported more mind blanking (a mental state</w:instrText>
      </w:r>
      <w:r w:rsidR="00B633EE" w:rsidRPr="00B633EE">
        <w:rPr>
          <w:rFonts w:ascii="Times New Roman" w:hAnsi="Times New Roman" w:cs="Times New Roman"/>
          <w:lang w:val="fr-BE"/>
        </w:rPr>
        <w:instrText xml:space="preserve"> characterized by the absence of reportable content) than did control participants. This increase in mind blanking happened at the expense of both focused and wandering thoughts. We also found that methylphenidate reverted the level of mind blanking to baseline (i.e., the level of mind blanking reported by control children without ADHD). However, this restoration led to mind wandering more than to focused attention. In a second experiment, we extended these findings to adults who had subclinical ADHD. These results suggest that executive functions impaired in ADHD are required not only to sustain external attention but also to maintain an internal train of thought.","citation-key":"vandendriesscheAttentionalLapsesAttentionDeficit2017a","container-title":"Psychological science","DOI":"10.1177/0956797617708234","ISSN":"1467-9280 0956-7976","issue":"10","language":"eng","page":"1375–1386","PMID":"28800281","title":"Attentional Lapses in Attention-Deficit/Hyperactivity Disorder: Blank Rather Than Wandering Thoughts.","volume":"28","author":[{"family":"Van den Driessche","given":"Charlotte"},{"family":"Bastian","given":"Mikaël"},{"family":"Peyre","given":"Hugo"},{"family":"Stordeur","given":"Coline"},{"family":"Acquaviva","given":"Éric"},{"family":"Bahadori","given":"Sara"},{"family":"Delorme","given":"Richard"},{"family":"Sackur","given":"Jérôme"}],"issued":{"date-parts":[["2017",10]]}}}],"schema":"https://github.com/citation-style-language/schema/raw/master/csl-citation.json"} </w:instrText>
      </w:r>
      <w:r w:rsidR="00FB05D1" w:rsidRPr="65E1DBF8">
        <w:rPr>
          <w:rFonts w:ascii="Times New Roman" w:hAnsi="Times New Roman" w:cs="Times New Roman"/>
        </w:rPr>
        <w:fldChar w:fldCharType="separate"/>
      </w:r>
      <w:r w:rsidR="00B633EE" w:rsidRPr="00B633EE">
        <w:rPr>
          <w:rFonts w:ascii="Times New Roman" w:hAnsi="Times New Roman" w:cs="Times New Roman"/>
          <w:lang w:val="fr-BE"/>
        </w:rPr>
        <w:t>(Kawagoe et al., 2024; Koroma et al., 2023; Van den Driessche et al., 2017)</w:t>
      </w:r>
      <w:r w:rsidR="00FB05D1" w:rsidRPr="65E1DBF8">
        <w:rPr>
          <w:rFonts w:ascii="Times New Roman" w:hAnsi="Times New Roman" w:cs="Times New Roman"/>
        </w:rPr>
        <w:fldChar w:fldCharType="end"/>
      </w:r>
      <w:r w:rsidRPr="00B633EE">
        <w:rPr>
          <w:rFonts w:ascii="Times New Roman" w:hAnsi="Times New Roman" w:cs="Times New Roman"/>
          <w:lang w:val="fr-BE"/>
        </w:rPr>
        <w:t>.</w:t>
      </w:r>
      <w:r w:rsidRPr="00B633EE">
        <w:rPr>
          <w:rFonts w:ascii="Times New Roman" w:hAnsi="Times New Roman"/>
          <w:lang w:val="fr-BE"/>
        </w:rPr>
        <w:t xml:space="preserve"> </w:t>
      </w:r>
      <w:r w:rsidR="4ED60CD1" w:rsidRPr="65E1DBF8">
        <w:rPr>
          <w:rFonts w:ascii="Times New Roman" w:hAnsi="Times New Roman" w:cs="Times New Roman"/>
        </w:rPr>
        <w:t>Taken together</w:t>
      </w:r>
      <w:r w:rsidRPr="65E1DBF8">
        <w:rPr>
          <w:rFonts w:ascii="Times New Roman" w:hAnsi="Times New Roman" w:cs="Times New Roman"/>
        </w:rPr>
        <w:t xml:space="preserve">, there </w:t>
      </w:r>
      <w:r w:rsidR="33C28DB3" w:rsidRPr="65E1DBF8">
        <w:rPr>
          <w:rFonts w:ascii="Times New Roman" w:hAnsi="Times New Roman" w:cs="Times New Roman"/>
        </w:rPr>
        <w:t xml:space="preserve">seems to be </w:t>
      </w:r>
      <w:r w:rsidRPr="65E1DBF8">
        <w:rPr>
          <w:rFonts w:ascii="Times New Roman" w:hAnsi="Times New Roman" w:cs="Times New Roman"/>
        </w:rPr>
        <w:t xml:space="preserve">a gap </w:t>
      </w:r>
      <w:r w:rsidR="00263875">
        <w:rPr>
          <w:rFonts w:ascii="Times New Roman" w:hAnsi="Times New Roman" w:cs="Times New Roman"/>
        </w:rPr>
        <w:t xml:space="preserve">in the current MB literature regarding when and how frequently it occurs. </w:t>
      </w:r>
      <w:r w:rsidRPr="65E1DBF8">
        <w:rPr>
          <w:rFonts w:ascii="Times New Roman" w:hAnsi="Times New Roman" w:cs="Times New Roman"/>
        </w:rPr>
        <w:t xml:space="preserve"> </w:t>
      </w:r>
    </w:p>
    <w:p w14:paraId="0E87D8C8" w14:textId="322C7FC0" w:rsidR="008F5DA6" w:rsidRDefault="03EEAE50" w:rsidP="65E1DBF8">
      <w:pPr>
        <w:spacing w:line="360" w:lineRule="auto"/>
        <w:ind w:firstLine="720"/>
        <w:jc w:val="both"/>
      </w:pPr>
      <w:r w:rsidRPr="65E1DBF8">
        <w:rPr>
          <w:rFonts w:ascii="Times New Roman" w:hAnsi="Times New Roman" w:cs="Times New Roman"/>
        </w:rPr>
        <w:t>To date, the ~10% MB occurrence</w:t>
      </w:r>
      <w:r w:rsidR="54FF5F56" w:rsidRPr="65E1DBF8">
        <w:rPr>
          <w:rFonts w:ascii="Times New Roman" w:hAnsi="Times New Roman" w:cs="Times New Roman"/>
        </w:rPr>
        <w:t xml:space="preserve"> rate</w:t>
      </w:r>
      <w:r w:rsidRPr="65E1DBF8">
        <w:rPr>
          <w:rFonts w:ascii="Times New Roman" w:hAnsi="Times New Roman" w:cs="Times New Roman"/>
        </w:rPr>
        <w:t xml:space="preserve"> is a literature heuristic without statistical validation. The present study aimed to </w:t>
      </w:r>
      <w:proofErr w:type="spellStart"/>
      <w:r w:rsidRPr="65E1DBF8">
        <w:rPr>
          <w:rFonts w:ascii="Times New Roman" w:hAnsi="Times New Roman" w:cs="Times New Roman"/>
        </w:rPr>
        <w:t>synthesise</w:t>
      </w:r>
      <w:proofErr w:type="spellEnd"/>
      <w:r w:rsidRPr="65E1DBF8">
        <w:rPr>
          <w:rFonts w:ascii="Times New Roman" w:hAnsi="Times New Roman" w:cs="Times New Roman"/>
        </w:rPr>
        <w:t xml:space="preserve"> the current state of knowledge on MB during experience-sampling by estimating a meta-analytic</w:t>
      </w:r>
      <w:r w:rsidR="54FF5F56" w:rsidRPr="65E1DBF8">
        <w:rPr>
          <w:rFonts w:ascii="Times New Roman" w:hAnsi="Times New Roman" w:cs="Times New Roman"/>
        </w:rPr>
        <w:t>, normative</w:t>
      </w:r>
      <w:r w:rsidRPr="65E1DBF8">
        <w:rPr>
          <w:rFonts w:ascii="Times New Roman" w:hAnsi="Times New Roman" w:cs="Times New Roman"/>
        </w:rPr>
        <w:t xml:space="preserve"> MB report rate. In a preregistration (</w:t>
      </w:r>
      <w:hyperlink r:id="rId11">
        <w:r w:rsidR="309423C0" w:rsidRPr="65E1DBF8">
          <w:rPr>
            <w:rStyle w:val="Hyperlink"/>
            <w:rFonts w:ascii="Times New Roman" w:hAnsi="Times New Roman" w:cs="Times New Roman"/>
          </w:rPr>
          <w:t>https://osf.io/js7ag/overview</w:t>
        </w:r>
      </w:hyperlink>
      <w:r w:rsidRPr="65E1DBF8">
        <w:rPr>
          <w:rFonts w:ascii="Times New Roman" w:hAnsi="Times New Roman" w:cs="Times New Roman"/>
        </w:rPr>
        <w:t xml:space="preserve">), we </w:t>
      </w:r>
      <w:proofErr w:type="spellStart"/>
      <w:r w:rsidRPr="65E1DBF8">
        <w:rPr>
          <w:rFonts w:ascii="Times New Roman" w:hAnsi="Times New Roman" w:cs="Times New Roman"/>
        </w:rPr>
        <w:t>hypothesised</w:t>
      </w:r>
      <w:proofErr w:type="spellEnd"/>
      <w:r w:rsidRPr="65E1DBF8">
        <w:rPr>
          <w:rFonts w:ascii="Times New Roman" w:hAnsi="Times New Roman" w:cs="Times New Roman"/>
        </w:rPr>
        <w:t xml:space="preserve"> that MB report rates would vary around ~10%, as MB is an infrequent mental state, and </w:t>
      </w:r>
      <w:r w:rsidR="7418F39B" w:rsidRPr="65E1DBF8">
        <w:rPr>
          <w:rFonts w:ascii="Times New Roman" w:hAnsi="Times New Roman" w:cs="Times New Roman"/>
        </w:rPr>
        <w:t xml:space="preserve">that </w:t>
      </w:r>
      <w:r w:rsidRPr="65E1DBF8">
        <w:rPr>
          <w:rFonts w:ascii="Times New Roman" w:hAnsi="Times New Roman" w:cs="Times New Roman"/>
        </w:rPr>
        <w:t xml:space="preserve">MB would present a low degree of heterogeneity, as experience-sampling paradigms follow similar procedures. Then, using meta-regression, we aimed to examine the experimental manipulations and individual studies that deviated from the meta-analytic estimate. While we </w:t>
      </w:r>
      <w:proofErr w:type="spellStart"/>
      <w:r w:rsidRPr="65E1DBF8">
        <w:rPr>
          <w:rFonts w:ascii="Times New Roman" w:hAnsi="Times New Roman" w:cs="Times New Roman"/>
        </w:rPr>
        <w:t>hypothesised</w:t>
      </w:r>
      <w:proofErr w:type="spellEnd"/>
      <w:r w:rsidRPr="65E1DBF8">
        <w:rPr>
          <w:rFonts w:ascii="Times New Roman" w:hAnsi="Times New Roman" w:cs="Times New Roman"/>
        </w:rPr>
        <w:t xml:space="preserve"> weak differences among experimental paradigms, we predicted </w:t>
      </w:r>
      <w:r w:rsidR="25C87EE2" w:rsidRPr="65E1DBF8">
        <w:rPr>
          <w:rFonts w:ascii="Times New Roman" w:hAnsi="Times New Roman" w:cs="Times New Roman"/>
        </w:rPr>
        <w:t xml:space="preserve">a higher propensity to report MB </w:t>
      </w:r>
      <w:r w:rsidR="3DADC95C" w:rsidRPr="65E1DBF8">
        <w:rPr>
          <w:rFonts w:ascii="Times New Roman" w:hAnsi="Times New Roman" w:cs="Times New Roman"/>
        </w:rPr>
        <w:t xml:space="preserve">when </w:t>
      </w:r>
      <w:r w:rsidRPr="65E1DBF8">
        <w:rPr>
          <w:rFonts w:ascii="Times New Roman" w:hAnsi="Times New Roman" w:cs="Times New Roman"/>
        </w:rPr>
        <w:t xml:space="preserve">arousal </w:t>
      </w:r>
      <w:r w:rsidR="507BEA21" w:rsidRPr="65E1DBF8">
        <w:rPr>
          <w:rFonts w:ascii="Times New Roman" w:hAnsi="Times New Roman" w:cs="Times New Roman"/>
        </w:rPr>
        <w:t>would be</w:t>
      </w:r>
      <w:r w:rsidR="0C26BD04" w:rsidRPr="65E1DBF8">
        <w:rPr>
          <w:rFonts w:ascii="Times New Roman" w:hAnsi="Times New Roman" w:cs="Times New Roman"/>
        </w:rPr>
        <w:t xml:space="preserve"> </w:t>
      </w:r>
      <w:r w:rsidRPr="65E1DBF8">
        <w:rPr>
          <w:rFonts w:ascii="Times New Roman" w:hAnsi="Times New Roman" w:cs="Times New Roman"/>
        </w:rPr>
        <w:t>manipulat</w:t>
      </w:r>
      <w:r w:rsidR="48C57776" w:rsidRPr="65E1DBF8">
        <w:rPr>
          <w:rFonts w:ascii="Times New Roman" w:hAnsi="Times New Roman" w:cs="Times New Roman"/>
        </w:rPr>
        <w:t>ed</w:t>
      </w:r>
      <w:r w:rsidRPr="65E1DBF8">
        <w:rPr>
          <w:rFonts w:ascii="Times New Roman" w:hAnsi="Times New Roman" w:cs="Times New Roman"/>
        </w:rPr>
        <w:t xml:space="preserve"> and </w:t>
      </w:r>
      <w:r w:rsidR="5768BA2F" w:rsidRPr="65E1DBF8">
        <w:rPr>
          <w:rFonts w:ascii="Times New Roman" w:hAnsi="Times New Roman" w:cs="Times New Roman"/>
        </w:rPr>
        <w:t xml:space="preserve">in </w:t>
      </w:r>
      <w:r w:rsidR="7EF8938E" w:rsidRPr="65E1DBF8">
        <w:rPr>
          <w:rFonts w:ascii="Times New Roman" w:hAnsi="Times New Roman" w:cs="Times New Roman"/>
        </w:rPr>
        <w:t>individuals</w:t>
      </w:r>
      <w:r w:rsidR="5768BA2F" w:rsidRPr="65E1DBF8">
        <w:rPr>
          <w:rFonts w:ascii="Times New Roman" w:hAnsi="Times New Roman" w:cs="Times New Roman"/>
        </w:rPr>
        <w:t xml:space="preserve"> with </w:t>
      </w:r>
      <w:r w:rsidR="00702396">
        <w:rPr>
          <w:rFonts w:ascii="Times New Roman" w:hAnsi="Times New Roman" w:cs="Times New Roman"/>
        </w:rPr>
        <w:t xml:space="preserve">ADHD. Finally, we present an approach for leveraging the meta-analytic posterior estimate and </w:t>
      </w:r>
      <w:r w:rsidR="303B7A6C" w:rsidRPr="65E1DBF8">
        <w:rPr>
          <w:rFonts w:ascii="Times New Roman" w:hAnsi="Times New Roman" w:cs="Times New Roman"/>
        </w:rPr>
        <w:t xml:space="preserve">for </w:t>
      </w:r>
      <w:r w:rsidRPr="65E1DBF8">
        <w:rPr>
          <w:rFonts w:ascii="Times New Roman" w:hAnsi="Times New Roman" w:cs="Times New Roman"/>
        </w:rPr>
        <w:t xml:space="preserve">calculating sample sizes for future studies. </w:t>
      </w:r>
      <w:r w:rsidR="00263875" w:rsidRPr="68B8A71D">
        <w:rPr>
          <w:rFonts w:ascii="Times New Roman" w:hAnsi="Times New Roman" w:cs="Times New Roman"/>
        </w:rPr>
        <w:t xml:space="preserve">Overall, the aim of this </w:t>
      </w:r>
      <w:r w:rsidR="00263875">
        <w:rPr>
          <w:rFonts w:ascii="Times New Roman" w:hAnsi="Times New Roman" w:cs="Times New Roman"/>
        </w:rPr>
        <w:t>study</w:t>
      </w:r>
      <w:r w:rsidR="00263875" w:rsidRPr="68B8A71D">
        <w:rPr>
          <w:rFonts w:ascii="Times New Roman" w:hAnsi="Times New Roman" w:cs="Times New Roman"/>
        </w:rPr>
        <w:t xml:space="preserve"> is twofold. Retrospectively, it aims to validate the commonly held assumption that MB is an infrequent mental event. Prospectively, using a Bayesian framework, it aims to quantify a normative, baseline MB </w:t>
      </w:r>
      <w:r w:rsidR="00263875" w:rsidRPr="68B8A71D">
        <w:rPr>
          <w:rFonts w:ascii="Times New Roman" w:hAnsi="Times New Roman" w:cs="Times New Roman"/>
        </w:rPr>
        <w:lastRenderedPageBreak/>
        <w:t xml:space="preserve">report rate in the absence of arousal manipulations or </w:t>
      </w:r>
      <w:r w:rsidR="00263875">
        <w:rPr>
          <w:rFonts w:ascii="Times New Roman" w:hAnsi="Times New Roman" w:cs="Times New Roman"/>
        </w:rPr>
        <w:t>clinical conditions</w:t>
      </w:r>
      <w:r w:rsidR="00263875" w:rsidRPr="68B8A71D">
        <w:rPr>
          <w:rFonts w:ascii="Times New Roman" w:hAnsi="Times New Roman" w:cs="Times New Roman"/>
        </w:rPr>
        <w:t xml:space="preserve">, thereby enabling </w:t>
      </w:r>
      <w:r w:rsidR="00263875">
        <w:rPr>
          <w:rFonts w:ascii="Times New Roman" w:hAnsi="Times New Roman" w:cs="Times New Roman"/>
        </w:rPr>
        <w:t xml:space="preserve">the </w:t>
      </w:r>
      <w:r w:rsidR="00263875" w:rsidRPr="68B8A71D">
        <w:rPr>
          <w:rFonts w:ascii="Times New Roman" w:hAnsi="Times New Roman" w:cs="Times New Roman"/>
        </w:rPr>
        <w:t>informed design</w:t>
      </w:r>
      <w:r w:rsidR="00263875" w:rsidRPr="68B8A71D">
        <w:rPr>
          <w:rStyle w:val="CommentReference2"/>
          <w:rFonts w:ascii="Times New Roman" w:hAnsi="Times New Roman"/>
          <w:sz w:val="24"/>
          <w:szCs w:val="24"/>
        </w:rPr>
        <w:t xml:space="preserve"> of future experience-sampling protocols</w:t>
      </w:r>
      <w:r w:rsidR="00263875" w:rsidRPr="68B8A71D">
        <w:rPr>
          <w:rFonts w:ascii="Times New Roman" w:hAnsi="Times New Roman" w:cs="Times New Roman"/>
        </w:rPr>
        <w:t>.</w:t>
      </w:r>
    </w:p>
    <w:p w14:paraId="0C943824" w14:textId="77777777" w:rsidR="008F5DA6" w:rsidRDefault="00FB05D1">
      <w:pPr>
        <w:pStyle w:val="Heading1"/>
        <w:spacing w:line="360" w:lineRule="auto"/>
        <w:jc w:val="both"/>
        <w:rPr>
          <w:rFonts w:ascii="Times New Roman" w:hAnsi="Times New Roman"/>
          <w:color w:val="auto"/>
          <w:sz w:val="24"/>
          <w:u w:val="single"/>
        </w:rPr>
      </w:pPr>
      <w:r>
        <w:rPr>
          <w:rFonts w:ascii="Times New Roman" w:hAnsi="Times New Roman"/>
          <w:color w:val="auto"/>
          <w:sz w:val="24"/>
          <w:u w:val="single"/>
        </w:rPr>
        <w:t>Methods</w:t>
      </w:r>
    </w:p>
    <w:p w14:paraId="2D3A7B7F" w14:textId="14AC5952" w:rsidR="008F5DA6" w:rsidRDefault="00FB05D1">
      <w:pPr>
        <w:spacing w:line="360" w:lineRule="auto"/>
        <w:ind w:firstLine="720"/>
        <w:jc w:val="both"/>
      </w:pPr>
      <w:r>
        <w:rPr>
          <w:rFonts w:ascii="Times New Roman" w:hAnsi="Times New Roman" w:cs="Times New Roman"/>
          <w:i/>
          <w:iCs/>
        </w:rPr>
        <w:t>Open Science practices.</w:t>
      </w:r>
      <w:r>
        <w:rPr>
          <w:rFonts w:ascii="Times New Roman" w:hAnsi="Times New Roman" w:cs="Times New Roman"/>
        </w:rPr>
        <w:t xml:space="preserve"> The meta-analysis followed the PRISMA standards </w:t>
      </w:r>
      <w:r w:rsidR="00D65253">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{"citationID":"a2dakkjnj4","properties":{"unsorted":false,"formattedCitation":"(Moher et al., 2015)","plainCitation":"(Moher et al., 2015)","noteIndex":0},"citationItems":[{"id":5552,"uris":["http://zotero.org/users/8613739/items/8CV5ELET"],"itemData":{"id":5552,"type":"article-journal","abstract":"Systematic reviews should build on a protocol that describes the rationale, hypothesis, and planned methods of the review; few reviews report whether a protocol exists. Detailed, well-described protocols can facilitate the understanding and appraisal of the review methods, as well as the detection of modifications to methods and selective reporting in completed reviews. We describe the development of a reporting guideline, the Preferred Reporting Items for Systematic reviews and Meta-Analyses for Protocols 2015 (PRISMA-P 2015). PRISMA-P consists of a 17-item checklist intended to facilitate the preparation and reporting of a robust protocol for the systematic review. Funders and those commissioning reviews might consider mandating the use of the checklist to facilitate the submission of relevant protocol information in funding applications. Similarly, peer reviewers and editors can use the guidance to gauge the completeness and transparency of a systematic review protocol submitted for publication in a journal or other medium.","citation-key":"moherPreferredReportingItems2015","container-title":"Systematic Reviews","DOI":"10.1186/2046-4053-4-1","ISSN":"2046-4053","issue":"1","journalAbbreviation":"Systematic Reviews","page":"1","source":"BioMed Central","title":"Preferred reporting items for systematic review and meta-analysis protocols (PRISMA-P) 2015 statement","volume":"4","author":[{"family":"Moher","given":"David"},{"family":"Shamseer","given":"Larissa"},{"family":"Clarke","given":"Mike"},{"family":"Ghersi","given":"Davina"},{"family":"Liberati","given":"Alessandro"},{"family":"Petticrew","given":"Mark"},{"family":"Shekelle","given":"Paul"},{"family":"Stewart","given":"Lesley A."},{"literal":"PRISMA-P Group"}],"issued":{"date-parts":[["2015",1,1]]}}}],"schema":"https://github.com/citation-style-language/schema/raw/master/csl-citation.json"} </w:instrText>
      </w:r>
      <w:r w:rsidR="00D65253">
        <w:rPr>
          <w:rFonts w:ascii="Times New Roman" w:hAnsi="Times New Roman" w:cs="Times New Roman"/>
        </w:rPr>
        <w:fldChar w:fldCharType="separate"/>
      </w:r>
      <w:r w:rsidR="00B633EE" w:rsidRPr="00B633EE">
        <w:rPr>
          <w:rFonts w:ascii="Times New Roman" w:hAnsi="Times New Roman" w:cs="Times New Roman"/>
        </w:rPr>
        <w:t>(Moher et al., 2015)</w:t>
      </w:r>
      <w:r w:rsidR="00D65253">
        <w:rPr>
          <w:rFonts w:ascii="Times New Roman" w:hAnsi="Times New Roman" w:cs="Times New Roman"/>
        </w:rPr>
        <w:fldChar w:fldCharType="end"/>
      </w:r>
      <w:r>
        <w:rPr>
          <w:rFonts w:ascii="Times New Roman" w:hAnsi="Times New Roman" w:cs="Times New Roman"/>
        </w:rPr>
        <w:t xml:space="preserve">. Before </w:t>
      </w:r>
      <w:bookmarkStart w:id="0" w:name="_Int_HsCMItFj"/>
      <w:r>
        <w:rPr>
          <w:rFonts w:ascii="Times New Roman" w:hAnsi="Times New Roman" w:cs="Times New Roman"/>
        </w:rPr>
        <w:t>study</w:t>
      </w:r>
      <w:bookmarkEnd w:id="0"/>
      <w:r>
        <w:rPr>
          <w:rFonts w:ascii="Times New Roman" w:hAnsi="Times New Roman" w:cs="Times New Roman"/>
        </w:rPr>
        <w:t xml:space="preserve"> extraction, the protocol was preregistered at OSF (</w:t>
      </w:r>
      <w:hyperlink r:id="rId12" w:history="1">
        <w:r w:rsidR="008F5DA6">
          <w:rPr>
            <w:rStyle w:val="Hyperlink"/>
            <w:rFonts w:ascii="Times New Roman" w:hAnsi="Times New Roman" w:cs="Times New Roman"/>
          </w:rPr>
          <w:t>https://osf.io/js7ag/overview</w:t>
        </w:r>
      </w:hyperlink>
      <w:r>
        <w:rPr>
          <w:rFonts w:ascii="Times New Roman" w:hAnsi="Times New Roman" w:cs="Times New Roman"/>
        </w:rPr>
        <w:t xml:space="preserve">) and adhered to the </w:t>
      </w:r>
      <w:proofErr w:type="spellStart"/>
      <w:r w:rsidR="00F740F8">
        <w:rPr>
          <w:rFonts w:ascii="Times New Roman" w:hAnsi="Times New Roman" w:cs="Times New Roman"/>
        </w:rPr>
        <w:t>Generalised</w:t>
      </w:r>
      <w:proofErr w:type="spellEnd"/>
      <w:r>
        <w:rPr>
          <w:rFonts w:ascii="Times New Roman" w:hAnsi="Times New Roman" w:cs="Times New Roman"/>
        </w:rPr>
        <w:t xml:space="preserve"> Systematic Review Registration protocol </w:t>
      </w:r>
      <w:r w:rsidR="00D65253">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{"citationID":"a1jjvegt8r6","properties":{"unsorted":false,"formattedCitation":"(van den Akker et al., 2023)","plainCitation":"(van den Akker et al., 2023)","noteIndex":0},"citationItems":[{"id":17661,"uris":["http://zotero.org/users/8613739/items/R6EMA9MX"],"itemData":{"id":17661,"type":"article-journal","abstract":"This paper presents a generalized registration form for systematic reviews that can be used when currently available forms are not adequate. The form is designed to be applicable across disciplines (i.e., psychology, economics, law, physics, or any other field) and across review types (i.e., scoping review, review of qualitative studies, meta-analysis, or any other type of review). That means that the reviewed records may include research reports as well as archive documents, case law, books, poems, etc. Items were selected and formulated to optimize broad applicability instead of specificity, forgoing some benefits afforded by a tighter focus. This PRISMA 2020 compliant form is a fallback for more specialized forms and can be used if no specialized form or registration platform is available. When accessing this form on the Open Science Framework website, users will therefore first be guided to specialized forms when they exist. In addition to this use case, the form can also serve as a starting point for creating registration forms that cater to specific fields or review types.","citation-key":"vandenakkerIncreasingTransparencySystematic2023","container-title":"Systematic Reviews","DOI":"10.1186/s13643-023-02281-7","ISSN":"2046-4053","issue":"1","journalAbbreviation":"Syst Rev","language":"eng","page":"170","PMID":"37736736","PMCID":"PMC10514995","source":"PubMed","title":"Increasing the transparency of systematic reviews: presenting a generalized registration form","title-short":"Increasing the transparency of systematic reviews","volume":"12","author":[{"family":"Akker","given":"Olmo R.","non-dropping-particle":"van den"},{"family":"Peters","given":"Gjalt-Jorn Ygram"},{"family":"Bakker","given":"Caitlin J."},{"family":"Carlsson","given":"Rickard"},{"family":"Coles","given":"Nicholas A."},{"family":"Corker","given":"Katherine S."},{"family":"Feldman","given":"Gilad"},{"family":"Moreau","given":"David"},{"family":"Nordström","given":"Thomas"},{"family":"Pickering","given":"Jade S."},{"family":"Riegelman","given":"Amy"},{"family":"Topor","given":"Marta K."},{"family":"Veggel","given":"Nieky","non-dropping-particle":"van"},{"family":"Yeung","given":"Siu Kit"},{"family":"Call","given":"Mark"},{"family":"Mellor","given":"David T."},{"family":"Pfeiffer","given":"Nicole"}],"issued":{"date-parts":[["2023",9,22]]}}}],"schema":"https://github.com/citation-style-language/schema/raw/master/csl-citation.json"} </w:instrText>
      </w:r>
      <w:r w:rsidR="00D65253">
        <w:rPr>
          <w:rFonts w:ascii="Times New Roman" w:hAnsi="Times New Roman" w:cs="Times New Roman"/>
        </w:rPr>
        <w:fldChar w:fldCharType="separate"/>
      </w:r>
      <w:r w:rsidR="00B633EE" w:rsidRPr="00B633EE">
        <w:rPr>
          <w:rFonts w:ascii="Times New Roman" w:hAnsi="Times New Roman" w:cs="Times New Roman"/>
        </w:rPr>
        <w:t>(van den Akker et al., 2023)</w:t>
      </w:r>
      <w:r w:rsidR="00D65253">
        <w:rPr>
          <w:rFonts w:ascii="Times New Roman" w:hAnsi="Times New Roman" w:cs="Times New Roman"/>
        </w:rPr>
        <w:fldChar w:fldCharType="end"/>
      </w:r>
      <w:r>
        <w:rPr>
          <w:rFonts w:ascii="Times New Roman" w:hAnsi="Times New Roman" w:cs="Times New Roman"/>
        </w:rPr>
        <w:t xml:space="preserve">. </w:t>
      </w:r>
      <w:r w:rsidR="00194384" w:rsidRPr="00F740F8">
        <w:rPr>
          <w:rFonts w:ascii="Times New Roman" w:hAnsi="Times New Roman" w:cs="Times New Roman"/>
        </w:rPr>
        <w:t>D</w:t>
      </w:r>
      <w:r>
        <w:rPr>
          <w:rFonts w:ascii="Times New Roman" w:hAnsi="Times New Roman" w:cs="Times New Roman"/>
        </w:rPr>
        <w:t xml:space="preserve">eviations from the </w:t>
      </w:r>
      <w:r w:rsidR="00D65253">
        <w:rPr>
          <w:rFonts w:ascii="Times New Roman" w:hAnsi="Times New Roman" w:cs="Times New Roman"/>
        </w:rPr>
        <w:t xml:space="preserve">registration </w:t>
      </w:r>
      <w:r w:rsidR="00194384">
        <w:rPr>
          <w:rFonts w:ascii="Times New Roman" w:hAnsi="Times New Roman" w:cs="Times New Roman"/>
        </w:rPr>
        <w:t>are</w:t>
      </w:r>
      <w:r>
        <w:rPr>
          <w:rFonts w:ascii="Times New Roman" w:hAnsi="Times New Roman" w:cs="Times New Roman"/>
        </w:rPr>
        <w:t xml:space="preserve"> clearly annotated. All extracted study metadata, descriptive estimates and effect sizes, code to </w:t>
      </w:r>
      <w:r w:rsidRPr="00C5112B">
        <w:rPr>
          <w:rFonts w:ascii="Times New Roman" w:hAnsi="Times New Roman" w:cs="Times New Roman"/>
        </w:rPr>
        <w:t xml:space="preserve">replicate the meta-analysis, and code to simulate power for future studies </w:t>
      </w:r>
      <w:r w:rsidR="00806A84">
        <w:rPr>
          <w:rFonts w:ascii="Times New Roman" w:hAnsi="Times New Roman" w:cs="Times New Roman"/>
        </w:rPr>
        <w:t>is available</w:t>
      </w:r>
      <w:r w:rsidRPr="00C5112B">
        <w:rPr>
          <w:rFonts w:ascii="Times New Roman" w:hAnsi="Times New Roman" w:cs="Times New Roman"/>
        </w:rPr>
        <w:t xml:space="preserve"> on </w:t>
      </w:r>
      <w:hyperlink r:id="rId13" w:history="1">
        <w:r w:rsidR="00C5112B" w:rsidRPr="00581C85">
          <w:rPr>
            <w:rStyle w:val="Hyperlink"/>
            <w:rFonts w:ascii="Times New Roman" w:hAnsi="Times New Roman" w:cs="Times New Roman"/>
          </w:rPr>
          <w:t>https://gitlab.uliege.be/poc/mb-meta-analysis</w:t>
        </w:r>
      </w:hyperlink>
      <w:r w:rsidRPr="00C5112B">
        <w:rPr>
          <w:rFonts w:ascii="Times New Roman" w:hAnsi="Times New Roman" w:cs="Times New Roman"/>
        </w:rPr>
        <w:t xml:space="preserve">. </w:t>
      </w:r>
      <w:r w:rsidR="00806A84">
        <w:rPr>
          <w:rFonts w:ascii="Times New Roman" w:hAnsi="Times New Roman" w:cs="Times New Roman"/>
        </w:rPr>
        <w:t xml:space="preserve">All results can be found on the institutional repository </w:t>
      </w:r>
      <w:r w:rsidR="00806A84" w:rsidRPr="00806A84">
        <w:rPr>
          <w:rFonts w:ascii="Times New Roman" w:hAnsi="Times New Roman" w:cs="Times New Roman"/>
        </w:rPr>
        <w:t>on</w:t>
      </w:r>
      <w:r w:rsidR="00806A84">
        <w:rPr>
          <w:rFonts w:ascii="Times New Roman" w:hAnsi="Times New Roman" w:cs="Times New Roman"/>
        </w:rPr>
        <w:t xml:space="preserve"> </w:t>
      </w:r>
      <w:hyperlink r:id="rId14" w:history="1">
        <w:r w:rsidR="00806A84" w:rsidRPr="00806A84">
          <w:rPr>
            <w:rStyle w:val="Hyperlink"/>
            <w:rFonts w:ascii="Times New Roman" w:hAnsi="Times New Roman" w:cs="Times New Roman"/>
          </w:rPr>
          <w:t>https://doi.org/10.58119/ULG/ESYDU2</w:t>
        </w:r>
      </w:hyperlink>
      <w:r>
        <w:rPr>
          <w:rFonts w:ascii="Times New Roman" w:hAnsi="Times New Roman" w:cs="Times New Roman"/>
        </w:rPr>
        <w:t>.</w:t>
      </w:r>
    </w:p>
    <w:p w14:paraId="37A07661" w14:textId="6AA881B0" w:rsidR="008F5DA6" w:rsidRDefault="00FB05D1">
      <w:pPr>
        <w:spacing w:line="360" w:lineRule="auto"/>
        <w:ind w:firstLine="360"/>
        <w:jc w:val="both"/>
      </w:pPr>
      <w:r>
        <w:rPr>
          <w:rFonts w:ascii="Times New Roman" w:hAnsi="Times New Roman" w:cs="Times New Roman"/>
          <w:i/>
          <w:iCs/>
        </w:rPr>
        <w:t>Literature Search</w:t>
      </w:r>
      <w:r>
        <w:rPr>
          <w:rFonts w:ascii="Times New Roman" w:hAnsi="Times New Roman" w:cs="Times New Roman"/>
        </w:rPr>
        <w:t xml:space="preserve">. On 11/09/2025, PAB searched the following databases: MEDLINE (PubMed), Google Scholar, Web of Science, Scopus, PsycINFO, bioRxiv, and </w:t>
      </w:r>
      <w:proofErr w:type="spellStart"/>
      <w:r>
        <w:rPr>
          <w:rFonts w:ascii="Times New Roman" w:hAnsi="Times New Roman" w:cs="Times New Roman"/>
        </w:rPr>
        <w:t>PsyArXiv</w:t>
      </w:r>
      <w:proofErr w:type="spellEnd"/>
      <w:r>
        <w:rPr>
          <w:rFonts w:ascii="Times New Roman" w:hAnsi="Times New Roman" w:cs="Times New Roman"/>
        </w:rPr>
        <w:t xml:space="preserve">. Each database was accessed through its respective interface: PubMed for MEDLINE; the Google Scholar web interface; the Web of Science platform; Scopus; Ovid or EBSCOhost for PsycINFO; and the official websites of bioRxiv and </w:t>
      </w:r>
      <w:proofErr w:type="spellStart"/>
      <w:r>
        <w:rPr>
          <w:rFonts w:ascii="Times New Roman" w:hAnsi="Times New Roman" w:cs="Times New Roman"/>
        </w:rPr>
        <w:t>PsyArXiv</w:t>
      </w:r>
      <w:proofErr w:type="spellEnd"/>
      <w:r>
        <w:rPr>
          <w:rFonts w:ascii="Times New Roman" w:hAnsi="Times New Roman" w:cs="Times New Roman"/>
        </w:rPr>
        <w:t xml:space="preserve">. Given the recency of MB research, we included preprint servers </w:t>
      </w:r>
      <w:r w:rsidR="00D253B9">
        <w:rPr>
          <w:rFonts w:ascii="Times New Roman" w:hAnsi="Times New Roman" w:cs="Times New Roman"/>
        </w:rPr>
        <w:t>in</w:t>
      </w:r>
      <w:r>
        <w:rPr>
          <w:rFonts w:ascii="Times New Roman" w:hAnsi="Times New Roman" w:cs="Times New Roman"/>
        </w:rPr>
        <w:t xml:space="preserve"> our search databases. Additionally, we complemented our analysis by querying the ULiège library. We did not consider any additional sources, such as dissertations or conference proceedings. We developed query terms to identify MB reports in experience-sampling data. We considered only studies in English and only studies after 1980. A full access log for each database is available in Supplementary Table 1. An example of the MEDLINE strategy can be found below: </w:t>
      </w:r>
    </w:p>
    <w:p w14:paraId="21EA2668" w14:textId="77777777" w:rsidR="008F5DA6" w:rsidRDefault="00FB05D1">
      <w:pPr>
        <w:spacing w:line="360" w:lineRule="auto"/>
        <w:ind w:firstLine="360"/>
        <w:jc w:val="both"/>
        <w:rPr>
          <w:rFonts w:ascii="Times New Roman" w:hAnsi="Times New Roman" w:cs="Times New Roman"/>
        </w:rPr>
      </w:pPr>
      <w:r>
        <w:rPr>
          <w:rFonts w:ascii="Times New Roman" w:hAnsi="Times New Roman" w:cs="Times New Roman"/>
        </w:rPr>
        <w:t>("mind blanking" OR "mind-blanking" OR "thinking of nothing" OR "thinking about nothing") AND ("experience-sampling" OR "thought sampling" OR "spontaneous thinking" OR "probe-caught" OR "probe catch" OR "self-caught" OR "</w:t>
      </w:r>
      <w:bookmarkStart w:id="1" w:name="_Int_mrncQMW3"/>
      <w:proofErr w:type="spellStart"/>
      <w:r>
        <w:rPr>
          <w:rFonts w:ascii="Times New Roman" w:hAnsi="Times New Roman" w:cs="Times New Roman"/>
        </w:rPr>
        <w:t>self caught</w:t>
      </w:r>
      <w:bookmarkEnd w:id="1"/>
      <w:proofErr w:type="spellEnd"/>
      <w:r>
        <w:rPr>
          <w:rFonts w:ascii="Times New Roman" w:hAnsi="Times New Roman" w:cs="Times New Roman"/>
        </w:rPr>
        <w:t>" OR “mental state” OR “attentional lapses” OR "questionnaire") AND  (</w:t>
      </w:r>
      <w:proofErr w:type="spellStart"/>
      <w:r>
        <w:rPr>
          <w:rFonts w:ascii="Times New Roman" w:hAnsi="Times New Roman" w:cs="Times New Roman"/>
        </w:rPr>
        <w:t>english</w:t>
      </w:r>
      <w:proofErr w:type="spellEnd"/>
      <w:r>
        <w:rPr>
          <w:rFonts w:ascii="Times New Roman" w:hAnsi="Times New Roman" w:cs="Times New Roman"/>
        </w:rPr>
        <w:t>[lang]) AND  ("1980/01/01"[Date - Publication]: "3000"[Date - Publication])</w:t>
      </w:r>
    </w:p>
    <w:p w14:paraId="2ED01BFB" w14:textId="20E057B9" w:rsidR="008F5DA6" w:rsidRDefault="00FB05D1">
      <w:pPr>
        <w:spacing w:line="360" w:lineRule="auto"/>
        <w:ind w:firstLine="720"/>
        <w:jc w:val="both"/>
      </w:pPr>
      <w:r>
        <w:rPr>
          <w:rFonts w:ascii="Times New Roman" w:hAnsi="Times New Roman" w:cs="Times New Roman"/>
          <w:i/>
          <w:iCs/>
        </w:rPr>
        <w:t xml:space="preserve">Eligibility criteria. </w:t>
      </w:r>
      <w:r>
        <w:rPr>
          <w:rFonts w:ascii="Times New Roman" w:hAnsi="Times New Roman" w:cs="Times New Roman"/>
        </w:rPr>
        <w:t xml:space="preserve">We included all studies that </w:t>
      </w:r>
      <w:proofErr w:type="spellStart"/>
      <w:r>
        <w:rPr>
          <w:rFonts w:ascii="Times New Roman" w:hAnsi="Times New Roman" w:cs="Times New Roman"/>
        </w:rPr>
        <w:t>utilised</w:t>
      </w:r>
      <w:proofErr w:type="spellEnd"/>
      <w:r>
        <w:rPr>
          <w:rFonts w:ascii="Times New Roman" w:hAnsi="Times New Roman" w:cs="Times New Roman"/>
        </w:rPr>
        <w:t xml:space="preserve"> experience-sampling probes of MB reports. We considered any instance </w:t>
      </w:r>
      <w:r w:rsidR="00D253B9">
        <w:rPr>
          <w:rFonts w:ascii="Times New Roman" w:hAnsi="Times New Roman" w:cs="Times New Roman"/>
        </w:rPr>
        <w:t>in which people reported “blank mind,” “thinking of nothing,” “not thinking of anything,” or any instances in which</w:t>
      </w:r>
      <w:r>
        <w:rPr>
          <w:rFonts w:ascii="Times New Roman" w:hAnsi="Times New Roman" w:cs="Times New Roman"/>
        </w:rPr>
        <w:t xml:space="preserve"> the authors directly referred to the experience as an MB. We did not exclude any clinical or preclinical population, as the aim was to examine whether these populations </w:t>
      </w:r>
      <w:r>
        <w:rPr>
          <w:rFonts w:ascii="Times New Roman" w:hAnsi="Times New Roman" w:cs="Times New Roman"/>
        </w:rPr>
        <w:lastRenderedPageBreak/>
        <w:t>deviate from neurotypical MB report rates. A study was included only if we could extract the probability of an MB report and the sample size. We excluded any studies that a) represented a re-analysis of an existing article in our database, b) did not provide MB frequency, or c) the definition of MB was too wide to be included in our analysis</w:t>
      </w:r>
      <w:r w:rsidR="00D253B9">
        <w:rPr>
          <w:rFonts w:ascii="Times New Roman" w:hAnsi="Times New Roman" w:cs="Times New Roman"/>
        </w:rPr>
        <w:t>, d) the methodology deviated from that of an experience-sampling study using probes</w:t>
      </w:r>
      <w:r>
        <w:rPr>
          <w:rFonts w:ascii="Times New Roman" w:hAnsi="Times New Roman" w:cs="Times New Roman"/>
        </w:rPr>
        <w:t xml:space="preserve">. For the systematic review, we also included all manuscripts that examined whether the MB report propensity would be altered across experimental conditions, regardless of whether the underlying MB report frequencies were provided or could be computed. For instance, this would include studies using the self-caught approach, in which </w:t>
      </w:r>
      <w:r w:rsidR="00D253B9">
        <w:rPr>
          <w:rFonts w:ascii="Times New Roman" w:hAnsi="Times New Roman" w:cs="Times New Roman"/>
        </w:rPr>
        <w:t>the</w:t>
      </w:r>
      <w:r>
        <w:rPr>
          <w:rFonts w:ascii="Times New Roman" w:hAnsi="Times New Roman" w:cs="Times New Roman"/>
        </w:rPr>
        <w:t xml:space="preserve"> percentage of MB reports cannot be computed because there is no fixed sampling denominator.  </w:t>
      </w:r>
    </w:p>
    <w:p w14:paraId="00CE2881" w14:textId="0C71D1BF" w:rsidR="008F5DA6" w:rsidRDefault="00FB05D1">
      <w:pPr>
        <w:spacing w:line="360" w:lineRule="auto"/>
        <w:ind w:firstLine="360"/>
        <w:jc w:val="both"/>
      </w:pPr>
      <w:r>
        <w:rPr>
          <w:rFonts w:ascii="Times New Roman" w:hAnsi="Times New Roman" w:cs="Times New Roman"/>
          <w:i/>
          <w:iCs/>
        </w:rPr>
        <w:t>Data extraction and coding</w:t>
      </w:r>
      <w:r>
        <w:rPr>
          <w:rFonts w:ascii="Times New Roman" w:hAnsi="Times New Roman" w:cs="Times New Roman"/>
        </w:rPr>
        <w:t xml:space="preserve">. Data </w:t>
      </w:r>
      <w:r w:rsidR="004559C4">
        <w:rPr>
          <w:rFonts w:ascii="Times New Roman" w:hAnsi="Times New Roman" w:cs="Times New Roman"/>
        </w:rPr>
        <w:t>was</w:t>
      </w:r>
      <w:r>
        <w:rPr>
          <w:rFonts w:ascii="Times New Roman" w:hAnsi="Times New Roman" w:cs="Times New Roman"/>
        </w:rPr>
        <w:t xml:space="preserve"> extracted by two independent researchers, PAB and AAD. In the first stage, duplicates were automatically </w:t>
      </w:r>
      <w:r w:rsidR="00D253B9">
        <w:rPr>
          <w:rFonts w:ascii="Times New Roman" w:hAnsi="Times New Roman" w:cs="Times New Roman"/>
        </w:rPr>
        <w:t>identified and removed using Zotero</w:t>
      </w:r>
      <w:r>
        <w:rPr>
          <w:rFonts w:ascii="Times New Roman" w:hAnsi="Times New Roman" w:cs="Times New Roman"/>
        </w:rPr>
        <w:t>. Next, in the screening phase, the database was further filtered to include only titles and abstracts containing keywords, such as MB or experience-sampling-relevant items</w:t>
      </w:r>
      <w:r w:rsidR="00770EBE">
        <w:rPr>
          <w:rFonts w:ascii="Times New Roman" w:hAnsi="Times New Roman" w:cs="Times New Roman"/>
        </w:rPr>
        <w:t>,</w:t>
      </w:r>
      <w:r>
        <w:rPr>
          <w:rFonts w:ascii="Times New Roman" w:hAnsi="Times New Roman" w:cs="Times New Roman"/>
        </w:rPr>
        <w:t xml:space="preserve"> such as mind-wandering, attentional lapses, or spontaneous thinking. In the retrieval phase, </w:t>
      </w:r>
      <w:r w:rsidR="00770EBE">
        <w:rPr>
          <w:rFonts w:ascii="Times New Roman" w:hAnsi="Times New Roman" w:cs="Times New Roman"/>
        </w:rPr>
        <w:t>both researchers</w:t>
      </w:r>
      <w:r>
        <w:rPr>
          <w:rFonts w:ascii="Times New Roman" w:hAnsi="Times New Roman" w:cs="Times New Roman"/>
        </w:rPr>
        <w:t xml:space="preserve"> </w:t>
      </w:r>
      <w:r w:rsidR="00770EBE">
        <w:rPr>
          <w:rFonts w:ascii="Times New Roman" w:hAnsi="Times New Roman" w:cs="Times New Roman"/>
        </w:rPr>
        <w:t xml:space="preserve">scanned the </w:t>
      </w:r>
      <w:r w:rsidR="00D253B9">
        <w:rPr>
          <w:rFonts w:ascii="Times New Roman" w:hAnsi="Times New Roman" w:cs="Times New Roman"/>
        </w:rPr>
        <w:t>entire text for mentions</w:t>
      </w:r>
      <w:r w:rsidR="00770EBE">
        <w:rPr>
          <w:rFonts w:ascii="Times New Roman" w:hAnsi="Times New Roman" w:cs="Times New Roman"/>
        </w:rPr>
        <w:t xml:space="preserve"> of MB-relevant keywords, such as “absence” or “thinking of nothing”</w:t>
      </w:r>
      <w:r>
        <w:rPr>
          <w:rFonts w:ascii="Times New Roman" w:hAnsi="Times New Roman" w:cs="Times New Roman"/>
        </w:rPr>
        <w:t xml:space="preserve">. Finally, during the extraction phase, </w:t>
      </w:r>
      <w:r w:rsidR="00770EBE">
        <w:rPr>
          <w:rFonts w:ascii="Times New Roman" w:hAnsi="Times New Roman" w:cs="Times New Roman"/>
        </w:rPr>
        <w:t>both researchers read the whole manuscripts and retained</w:t>
      </w:r>
      <w:r>
        <w:rPr>
          <w:rFonts w:ascii="Times New Roman" w:hAnsi="Times New Roman" w:cs="Times New Roman"/>
        </w:rPr>
        <w:t xml:space="preserve"> only articles that met our inclusion/exclusion criteria. After every extraction round (screening, retrieval, extraction), both reviewers compared their respective extracted databases. Any disagreements were resolved through discussion. A third researcher, AD, resolved </w:t>
      </w:r>
      <w:r w:rsidR="00770EBE">
        <w:rPr>
          <w:rFonts w:ascii="Times New Roman" w:hAnsi="Times New Roman" w:cs="Times New Roman"/>
        </w:rPr>
        <w:t xml:space="preserve">any </w:t>
      </w:r>
      <w:r>
        <w:rPr>
          <w:rFonts w:ascii="Times New Roman" w:hAnsi="Times New Roman" w:cs="Times New Roman"/>
        </w:rPr>
        <w:t>discrepancies by reading the full text.</w:t>
      </w:r>
    </w:p>
    <w:p w14:paraId="7FF498CD" w14:textId="04EB7AFA" w:rsidR="008F5DA6" w:rsidRDefault="00FB05D1">
      <w:pPr>
        <w:spacing w:line="360" w:lineRule="auto"/>
        <w:ind w:firstLine="360"/>
        <w:jc w:val="both"/>
      </w:pPr>
      <w:r w:rsidRPr="22DB2182">
        <w:rPr>
          <w:rFonts w:ascii="Times New Roman" w:hAnsi="Times New Roman" w:cs="Times New Roman"/>
        </w:rPr>
        <w:t xml:space="preserve">PAB and AAD independently extracted information from the extraction database. Our primary estimate of interest was </w:t>
      </w:r>
      <w:r w:rsidR="00D253B9" w:rsidRPr="22DB2182">
        <w:rPr>
          <w:rFonts w:ascii="Times New Roman" w:hAnsi="Times New Roman" w:cs="Times New Roman"/>
        </w:rPr>
        <w:t xml:space="preserve">the </w:t>
      </w:r>
      <w:r w:rsidRPr="22DB2182">
        <w:rPr>
          <w:rFonts w:ascii="Times New Roman" w:hAnsi="Times New Roman" w:cs="Times New Roman"/>
        </w:rPr>
        <w:t xml:space="preserve">MB report rate, expressed as the number of MB reports divided by the total number of experience-sampling reports. Before a study was excluded </w:t>
      </w:r>
      <w:r w:rsidR="00DC14ED" w:rsidRPr="22DB2182">
        <w:rPr>
          <w:rFonts w:ascii="Times New Roman" w:hAnsi="Times New Roman" w:cs="Times New Roman"/>
        </w:rPr>
        <w:t xml:space="preserve">from the meta-analysis </w:t>
      </w:r>
      <w:r w:rsidRPr="22DB2182">
        <w:rPr>
          <w:rFonts w:ascii="Times New Roman" w:hAnsi="Times New Roman" w:cs="Times New Roman"/>
        </w:rPr>
        <w:t>for not reporting MB rates, we contacted the study’s authors to request either the raw data or the MB rates.</w:t>
      </w:r>
      <w:r w:rsidR="00DC14ED" w:rsidRPr="22DB2182">
        <w:rPr>
          <w:rFonts w:ascii="Times New Roman" w:hAnsi="Times New Roman" w:cs="Times New Roman"/>
        </w:rPr>
        <w:t xml:space="preserve"> These studies were still included in the systematic review</w:t>
      </w:r>
      <w:r w:rsidR="00BA720C" w:rsidRPr="22DB2182">
        <w:rPr>
          <w:rFonts w:ascii="Times New Roman" w:hAnsi="Times New Roman" w:cs="Times New Roman"/>
        </w:rPr>
        <w:t xml:space="preserve"> if they </w:t>
      </w:r>
      <w:proofErr w:type="spellStart"/>
      <w:r w:rsidR="00F740F8" w:rsidRPr="22DB2182">
        <w:rPr>
          <w:rFonts w:ascii="Times New Roman" w:hAnsi="Times New Roman" w:cs="Times New Roman"/>
        </w:rPr>
        <w:t>analysed</w:t>
      </w:r>
      <w:proofErr w:type="spellEnd"/>
      <w:r w:rsidR="00F740F8" w:rsidRPr="22DB2182">
        <w:rPr>
          <w:rFonts w:ascii="Times New Roman" w:hAnsi="Times New Roman" w:cs="Times New Roman"/>
        </w:rPr>
        <w:t xml:space="preserve"> MB as a distinct</w:t>
      </w:r>
      <w:r w:rsidR="00BA720C" w:rsidRPr="22DB2182">
        <w:rPr>
          <w:rFonts w:ascii="Times New Roman" w:hAnsi="Times New Roman" w:cs="Times New Roman"/>
        </w:rPr>
        <w:t xml:space="preserve"> item and </w:t>
      </w:r>
      <w:r w:rsidR="001D7FDA" w:rsidRPr="22DB2182">
        <w:rPr>
          <w:rFonts w:ascii="Times New Roman" w:hAnsi="Times New Roman" w:cs="Times New Roman"/>
        </w:rPr>
        <w:t>provided</w:t>
      </w:r>
      <w:r w:rsidR="00BA720C" w:rsidRPr="22DB2182">
        <w:rPr>
          <w:rFonts w:ascii="Times New Roman" w:hAnsi="Times New Roman" w:cs="Times New Roman"/>
        </w:rPr>
        <w:t xml:space="preserve"> information on MB</w:t>
      </w:r>
      <w:r w:rsidR="00DC14ED" w:rsidRPr="22DB2182">
        <w:rPr>
          <w:rFonts w:ascii="Times New Roman" w:hAnsi="Times New Roman" w:cs="Times New Roman"/>
        </w:rPr>
        <w:t>.</w:t>
      </w:r>
      <w:r w:rsidRPr="22DB2182">
        <w:rPr>
          <w:rFonts w:ascii="Times New Roman" w:hAnsi="Times New Roman" w:cs="Times New Roman"/>
        </w:rPr>
        <w:t xml:space="preserve"> If a study included multiple conditions or multiple sessions, we estimated one MB report rate per condition/session when data were provided. Study metadata included: a) number of participants, b) how MB was defined, c) how MB was presented to participants, d) whether MB was presented as a cohort of </w:t>
      </w:r>
      <w:r w:rsidR="00F9376F" w:rsidRPr="22DB2182">
        <w:rPr>
          <w:rFonts w:ascii="Times New Roman" w:hAnsi="Times New Roman" w:cs="Times New Roman"/>
        </w:rPr>
        <w:t>different experiences</w:t>
      </w:r>
      <w:r w:rsidRPr="22DB2182">
        <w:rPr>
          <w:rFonts w:ascii="Times New Roman" w:hAnsi="Times New Roman" w:cs="Times New Roman"/>
        </w:rPr>
        <w:t xml:space="preserve"> (not thinking of anything + no recall of immediate past thoughts) or one experience (my mind is blank), e) number of </w:t>
      </w:r>
      <w:r w:rsidR="00F9376F" w:rsidRPr="22DB2182">
        <w:rPr>
          <w:rFonts w:ascii="Times New Roman" w:hAnsi="Times New Roman" w:cs="Times New Roman"/>
        </w:rPr>
        <w:t>thought</w:t>
      </w:r>
      <w:r w:rsidRPr="22DB2182">
        <w:rPr>
          <w:rFonts w:ascii="Times New Roman" w:hAnsi="Times New Roman" w:cs="Times New Roman"/>
        </w:rPr>
        <w:t xml:space="preserve"> options, f) number of experience-sampling probes</w:t>
      </w:r>
      <w:r w:rsidR="00F9376F" w:rsidRPr="22DB2182">
        <w:rPr>
          <w:rFonts w:ascii="Times New Roman" w:hAnsi="Times New Roman" w:cs="Times New Roman"/>
        </w:rPr>
        <w:t xml:space="preserve"> presented</w:t>
      </w:r>
      <w:r w:rsidRPr="22DB2182">
        <w:rPr>
          <w:rFonts w:ascii="Times New Roman" w:hAnsi="Times New Roman" w:cs="Times New Roman"/>
        </w:rPr>
        <w:t>, g) total time of experience-sampling session in minutes (if ab</w:t>
      </w:r>
      <w:r w:rsidR="00F9376F" w:rsidRPr="22DB2182">
        <w:rPr>
          <w:rFonts w:ascii="Times New Roman" w:hAnsi="Times New Roman" w:cs="Times New Roman"/>
        </w:rPr>
        <w:t>sent</w:t>
      </w:r>
      <w:r w:rsidRPr="22DB2182">
        <w:rPr>
          <w:rFonts w:ascii="Times New Roman" w:hAnsi="Times New Roman" w:cs="Times New Roman"/>
        </w:rPr>
        <w:t xml:space="preserve">, </w:t>
      </w:r>
      <w:r w:rsidRPr="22DB2182">
        <w:rPr>
          <w:rFonts w:ascii="Times New Roman" w:hAnsi="Times New Roman" w:cs="Times New Roman"/>
        </w:rPr>
        <w:lastRenderedPageBreak/>
        <w:t>approximated from study design information), h) task setting, coded as a categorical variable with three levels: ecological, rest or task, representing whether MB was probes in everyday life, in the lab under free-thinking conditions or during task engagement</w:t>
      </w:r>
      <w:r w:rsidR="00C75351" w:rsidRPr="22DB2182">
        <w:rPr>
          <w:rFonts w:ascii="Times New Roman" w:hAnsi="Times New Roman" w:cs="Times New Roman"/>
        </w:rPr>
        <w:t xml:space="preserve">, </w:t>
      </w:r>
      <w:proofErr w:type="spellStart"/>
      <w:r w:rsidRPr="22DB2182">
        <w:rPr>
          <w:rFonts w:ascii="Times New Roman" w:hAnsi="Times New Roman" w:cs="Times New Roman"/>
        </w:rPr>
        <w:t>i</w:t>
      </w:r>
      <w:proofErr w:type="spellEnd"/>
      <w:r w:rsidRPr="22DB2182">
        <w:rPr>
          <w:rFonts w:ascii="Times New Roman" w:hAnsi="Times New Roman" w:cs="Times New Roman"/>
        </w:rPr>
        <w:t>) what task was used, if any</w:t>
      </w:r>
      <w:r w:rsidR="00C75351" w:rsidRPr="22DB2182">
        <w:rPr>
          <w:rFonts w:ascii="Times New Roman" w:hAnsi="Times New Roman" w:cs="Times New Roman"/>
        </w:rPr>
        <w:t xml:space="preserve"> and j) task complexity,</w:t>
      </w:r>
      <w:r w:rsidR="00D253B9" w:rsidRPr="22DB2182">
        <w:rPr>
          <w:rFonts w:ascii="Times New Roman" w:hAnsi="Times New Roman" w:cs="Times New Roman"/>
        </w:rPr>
        <w:t xml:space="preserve"> coded as a categorical variable with two levels (more/less), following the classification </w:t>
      </w:r>
      <w:r w:rsidR="00534525" w:rsidRPr="22DB2182">
        <w:rPr>
          <w:rFonts w:ascii="Times New Roman" w:hAnsi="Times New Roman" w:cs="Times New Roman"/>
        </w:rPr>
        <w:t>scheme</w:t>
      </w:r>
      <w:r w:rsidR="00D253B9" w:rsidRPr="22DB2182">
        <w:rPr>
          <w:rFonts w:ascii="Times New Roman" w:hAnsi="Times New Roman" w:cs="Times New Roman"/>
        </w:rPr>
        <w:t xml:space="preserve"> proposed in Randall et al. </w:t>
      </w:r>
      <w:r w:rsidRPr="22DB2182">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{"citationID":"a2kd9m2hiol","properties":{"formattedCitation":"(2014)","plainCitation":"(2014)","noteIndex":0},"citationItems":[{"id":123,"uris":["http://zotero.org/users/8613739/items/3AAUA7Z3"],"itemData":{"id":123,"type":"article-journal","abstract":"The current meta-analysis accumulates empirical findings on the phenomenon of mind-wandering, integrating and interpreting findings in light of psychological theories of cognitive resource allocation. Cognitive resource theory emphasizes both individual differences in attentional resources and task demands together to predict variance in task performance. This theory motivated our conceptual and meta-analysis framework by introducing moderators indicative of task-demand to predict who is more likely to mind-wander under what conditions, and to predict when mind-wandering and task-related thought are more (or less) predictive of task performance. Predictions were tested via a random-effects meta-analysis of correlations obtained from normal adult samples (k = 88) based on measurement of specified episodes of off-task and/or on-task thought frequency and task performance. Results demonstrated that people with fewer cognitive resources tend to engage in more mind-wandering, whereas those with more cognitive resources are more likely to engage in task-related thought. Addressing predictions of resource theory, we found that greater time-on-task-although not greater task complexity-tended to strengthen the negative relation between cognitive resources and mind-wandering. Additionally, increases in mind-wandering were generally associated with decreases in task performance, whereas increases in task-related thought were associated with increased performance. Further supporting resource theory, the negative relation between mind-wandering and performance was more pronounced for more complex tasks, though not longer tasks. Complementarily, the positive association between task-related thought and performance was stronger for more complex tasks and for longer tasks. We conclude by discussing implications and future research directions for mind-wandering as a construct of interest in psychological research.","citation-key":"randallMindwanderingCognitionPerformance2014","container-title":"Psychological Bulletin","DOI":"10.1037/a0037428","ISSN":"1939-1455","issue":"6","journalAbbreviation":"Psychol Bull","language":"eng","page":"1411-1431","PMID":"25089941","source":"PubMed","title":"Mind-wandering, cognition, and performance: a theory-driven meta-analysis of attention regulation","title-short":"Mind-wandering, cognition, and performance","volume":"140","author":[{"family":"Randall","given":"Jason G."},{"family":"Oswald","given":"Frederick L."},{"family":"Beier","given":"Margaret E."}],"issued":{"date-parts":[["2014",11]]}},"suppress-author":true}],"schema":"https://github.com/citation-style-language/schema/raw/master/csl-citation.json"} </w:instrText>
      </w:r>
      <w:r w:rsidRPr="22DB2182">
        <w:rPr>
          <w:rFonts w:ascii="Times New Roman" w:hAnsi="Times New Roman" w:cs="Times New Roman"/>
        </w:rPr>
        <w:fldChar w:fldCharType="separate"/>
      </w:r>
      <w:r w:rsidR="00B633EE" w:rsidRPr="00B633EE">
        <w:rPr>
          <w:rFonts w:ascii="Times New Roman" w:hAnsi="Times New Roman" w:cs="Times New Roman"/>
        </w:rPr>
        <w:t>(2014)</w:t>
      </w:r>
      <w:r w:rsidRPr="22DB2182">
        <w:rPr>
          <w:rFonts w:ascii="Times New Roman" w:hAnsi="Times New Roman" w:cs="Times New Roman"/>
        </w:rPr>
        <w:fldChar w:fldCharType="end"/>
      </w:r>
      <w:r w:rsidR="00D253B9" w:rsidRPr="22DB2182">
        <w:rPr>
          <w:rFonts w:ascii="Times New Roman" w:hAnsi="Times New Roman" w:cs="Times New Roman"/>
        </w:rPr>
        <w:t xml:space="preserve">. </w:t>
      </w:r>
      <w:r w:rsidR="00263875" w:rsidRPr="00263875">
        <w:rPr>
          <w:rFonts w:ascii="Times New Roman" w:hAnsi="Times New Roman" w:cs="Times New Roman"/>
        </w:rPr>
        <w:t>Given the high degree of heterogeneity in MB definitions across studies, and the fact that authors did not always clearly specify how MB was defined or presented to participants, we chose to cluster MB categories under representative approximate titles</w:t>
      </w:r>
      <w:r w:rsidR="00263875">
        <w:rPr>
          <w:rFonts w:ascii="Times New Roman" w:hAnsi="Times New Roman" w:cs="Times New Roman"/>
        </w:rPr>
        <w:t xml:space="preserve">. </w:t>
      </w:r>
      <w:r w:rsidRPr="22DB2182">
        <w:rPr>
          <w:rFonts w:ascii="Times New Roman" w:hAnsi="Times New Roman" w:cs="Times New Roman"/>
        </w:rPr>
        <w:t xml:space="preserve">Population level parameters included: a) age, coded as a categorical variable with three levels: children, adult, senior, based on how each study </w:t>
      </w:r>
      <w:proofErr w:type="spellStart"/>
      <w:r w:rsidRPr="22DB2182">
        <w:rPr>
          <w:rFonts w:ascii="Times New Roman" w:hAnsi="Times New Roman" w:cs="Times New Roman"/>
        </w:rPr>
        <w:t>characterised</w:t>
      </w:r>
      <w:proofErr w:type="spellEnd"/>
      <w:r w:rsidRPr="22DB2182">
        <w:rPr>
          <w:rFonts w:ascii="Times New Roman" w:hAnsi="Times New Roman" w:cs="Times New Roman"/>
        </w:rPr>
        <w:t xml:space="preserve"> their own population sample, b) clinical </w:t>
      </w:r>
      <w:proofErr w:type="spellStart"/>
      <w:r w:rsidR="00F740F8" w:rsidRPr="22DB2182">
        <w:rPr>
          <w:rFonts w:ascii="Times New Roman" w:hAnsi="Times New Roman" w:cs="Times New Roman"/>
        </w:rPr>
        <w:t>characterisation</w:t>
      </w:r>
      <w:proofErr w:type="spellEnd"/>
      <w:r w:rsidRPr="22DB2182">
        <w:rPr>
          <w:rFonts w:ascii="Times New Roman" w:hAnsi="Times New Roman" w:cs="Times New Roman"/>
        </w:rPr>
        <w:t xml:space="preserve">, coded as a categorical variable of three levels: neurotypical, preclinical and clinical, c) clinical symptomatology, coded as a categorical variable with the different </w:t>
      </w:r>
      <w:r w:rsidR="00F740F8" w:rsidRPr="22DB2182">
        <w:rPr>
          <w:rFonts w:ascii="Times New Roman" w:hAnsi="Times New Roman" w:cs="Times New Roman"/>
        </w:rPr>
        <w:t>diagnoses</w:t>
      </w:r>
      <w:r w:rsidRPr="22DB2182">
        <w:rPr>
          <w:rFonts w:ascii="Times New Roman" w:hAnsi="Times New Roman" w:cs="Times New Roman"/>
        </w:rPr>
        <w:t xml:space="preserve"> in the database. Arousal manipulations were </w:t>
      </w:r>
      <w:proofErr w:type="spellStart"/>
      <w:r w:rsidRPr="22DB2182">
        <w:rPr>
          <w:rFonts w:ascii="Times New Roman" w:hAnsi="Times New Roman" w:cs="Times New Roman"/>
        </w:rPr>
        <w:t>categorised</w:t>
      </w:r>
      <w:proofErr w:type="spellEnd"/>
      <w:r w:rsidRPr="22DB2182">
        <w:rPr>
          <w:rFonts w:ascii="Times New Roman" w:hAnsi="Times New Roman" w:cs="Times New Roman"/>
        </w:rPr>
        <w:t xml:space="preserve"> </w:t>
      </w:r>
      <w:r w:rsidR="00F740F8" w:rsidRPr="22DB2182">
        <w:rPr>
          <w:rFonts w:ascii="Times New Roman" w:hAnsi="Times New Roman" w:cs="Times New Roman"/>
        </w:rPr>
        <w:t>into baseline (no</w:t>
      </w:r>
      <w:r w:rsidR="001D7FDA" w:rsidRPr="22DB2182">
        <w:rPr>
          <w:rFonts w:ascii="Times New Roman" w:hAnsi="Times New Roman" w:cs="Times New Roman"/>
        </w:rPr>
        <w:t xml:space="preserve"> manipulation</w:t>
      </w:r>
      <w:r w:rsidRPr="22DB2182">
        <w:rPr>
          <w:rFonts w:ascii="Times New Roman" w:hAnsi="Times New Roman" w:cs="Times New Roman"/>
        </w:rPr>
        <w:t xml:space="preserve">), sleep deprivation, and post-exercise. When a study included probes of vigilance levels </w:t>
      </w:r>
      <w:r w:rsidRPr="22DB2182">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{"citationID":"a2nkip5c0sv","properties":{"unsorted":false,"formattedCitation":"(Andrillon et al., 2021; Corcoran et al., 2025)","plainCitation":"(Andrillon et al., 2021; Corcoran et al., 2025)","noteIndex":0},"citationItems":[{"id":5757,"uris":["http://zotero.org/users/8613739/items/44AG6C8P"],"itemData":{"id":5757,"type":"article-journal","abstract":"Attentional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17735,"uris":["http://zotero.org/users/8613739/items/VI2WSF4X"],"itemData":{"id":17735,"type":"article-journal","abstract":"Neuroscience is beginning to uncover the role of interoceptive feedback in perception, learning, and decision-making; however, the relation between spontaneous visceral and cognitive dynamics has received surprisingly little scrutiny. Here, we investigate how subjective, physiological, and behavioural indicators of arousal and attentional state vary in relation to ongoing cardiac activity and brain-heart coupling. Electroencephalogram, electrocardiogram, and pupillometric records were obtained from 65 adults during the performance of a sustained attention to response task (SART). Thought probes were intermittently administered during the SART to collect subjective reports of attentional state (on-task, mind-wandering, mind-blanking) and vigilance level (alertness vs. sleepiness). Mind-wandering and mind-blanking reports increased in frequency with time-on-task and were accompanied by decreases in alertness and pupil-linked arousal, but evinced distinct psychophysiological and behavioural profiles: While mind-wandering was associated with greater heart-rate variability and late modulation of the heartbeat-evoked potential, mind-blanking was characterised by more profound decreases in heart-rate, pupil size, and brain-heart coupling. Lower heart-rate predicted decreased vigilance and pupil size, in addition to slower, less-biased responses; increased heart-rate variability predicted more impulsive behaviour and pupil dilation. Together, these findings reveal that cardiac parameters and brain-heart connectivity measures afford complementary information about arousal states and attentional dynamics during task performance.","citation-key":"corcoranWhenYourHeart2025","container-title":"Communications Biology","DOI":"10.1038/s42003-025-09026-3","ISSN":"2399-3642","issue":"1","journalAbbreviation":"Commun Biol","language":"en","license":"2025 The Author(s)","page":"1646","publisher":"Nature Publishing Group","source":"www.nature.com","title":"When your heart isn’t in it anymore: cardiac correlates of task disengagement","title-short":"When your heart isn’t in it anymore","volume":"8","author":[{"family":"Corcoran","given":"Andrew W."},{"family":"Le Coz","given":"Arthur"},{"family":"Hohwy","given":"Jakob"},{"family":"Andrillon","given":"Thomas"}],"issued":{"date-parts":[["2025",11,24]]}}}],"schema":"https://github.com/citation-style-language/schema/raw/master/csl-citation.json"} </w:instrText>
      </w:r>
      <w:r w:rsidRPr="22DB2182">
        <w:rPr>
          <w:rFonts w:ascii="Times New Roman" w:hAnsi="Times New Roman" w:cs="Times New Roman"/>
        </w:rPr>
        <w:fldChar w:fldCharType="separate"/>
      </w:r>
      <w:r w:rsidR="00B633EE" w:rsidRPr="00B633EE">
        <w:rPr>
          <w:rFonts w:ascii="Times New Roman" w:hAnsi="Times New Roman" w:cs="Times New Roman"/>
        </w:rPr>
        <w:t>(Andrillon et al., 2021; Corcoran et al., 2025)</w:t>
      </w:r>
      <w:r w:rsidRPr="22DB2182">
        <w:rPr>
          <w:rFonts w:ascii="Times New Roman" w:hAnsi="Times New Roman" w:cs="Times New Roman"/>
        </w:rPr>
        <w:fldChar w:fldCharType="end"/>
      </w:r>
      <w:r w:rsidRPr="22DB2182">
        <w:rPr>
          <w:rFonts w:ascii="Times New Roman" w:hAnsi="Times New Roman" w:cs="Times New Roman"/>
        </w:rPr>
        <w:t xml:space="preserve"> or the Karolina Sleepiness Scale </w:t>
      </w:r>
      <w:r w:rsidRPr="22DB2182">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{"citationID":"aavdfst831","properties":{"unsorted":false,"formattedCitation":"(Stawarczyk et al., 2020; Stawarczyk &amp; D\\uc0\\u8217{}Argembeau, 2016)","plainCitation":"(Stawarczyk et al., 2020; Stawarczyk &amp; D’Argembeau, 2016)","noteIndex":0},"citationItems":[{"id":4191,"uris":["http://zotero.org/users/8613739/items/XPGXBMFW"],"itemData":{"id":4191,"type":"article-journal","abstract":"Two independent lines of evidence suggest that drowsiness and mind-wandering share common neurocognitive processes indexed by ocular parameters (e.g., eyeblink frequency and pupil dynamics). Mind-wandering and drowsiness frequently co-occur, however, such that it remains unclear whether observed oculometric variations are related to mind-wandering, drowsiness, or a mix of both. To address this issue, we assessed fluctuations in mind-wandering and sleepiness during a sustained attention task while ocular parameters were recorded. Results showed that oculometric variations during mind-wandering were fully explained by increased sleepiness. However, mind-wandering and sleepiness had additive deleterious effects on performance that were not fully explained by ocular parameters. These findings suggest that oculometric variations during task performance reflect increased drowsiness rather than processes specifically involved in mind-wandering, and that the neurocognitive processes indexed by oculometric parameters (e.g., regulatory processes of the locus coeruleus norepinephrine system) do not fully explain how mind-wandering and sleepiness cause attentional lapses.","citation-key":"stawarczykDrowsinessMindwanderingFluctuations2020","container-title":"Biological Psychology","DOI":"10.1016/j.biopsycho.2020.107950","ISSN":"0301-0511","journalAbbreviation":"Biological Psychology","page":"107950","source":"ScienceDirect","title":"Drowsiness or mind-wandering? Fluctuations in ocular parameters during attentional lapses","title-short":"Drowsiness or mind-wandering?","volume":"156","author":[{"family":"Stawarczyk","given":"David"},{"family":"François","given":"Clémentine"},{"family":"Wertz","given":"Jérôme"},{"family":"D'Argembeau","given":"Arnaud"}],"issued":{"date-parts":[["2020",10,1]]}}},{"id":5855,"uris":["http://zotero.org/users/8613739/items/3BCE4U3Y"],"itemData":{"id":5855,"type":"article-journal","citation-key":"stawarczykConjointInfluenceMindwandering2016","language":"eng","note":"authority: Psychology and Neuroscience of Cognition Research Unit\ntex.copyright: Unrestricted online access","publisher":"American Psychological Association","title":"Conjoint influence of mind-wandering and sleepiness on task performance","author":[{"family":"Stawarczyk","given":"David"},{"family":"D'Argembeau","given":"Arnaud"}],"issued":{"date-parts":[["2016"]]}}}],"schema":"https://github.com/citation-style-language/schema/raw/master/csl-citation.json"} </w:instrText>
      </w:r>
      <w:r w:rsidRPr="22DB2182">
        <w:rPr>
          <w:rFonts w:ascii="Times New Roman" w:hAnsi="Times New Roman" w:cs="Times New Roman"/>
        </w:rPr>
        <w:fldChar w:fldCharType="separate"/>
      </w:r>
      <w:r w:rsidR="00B633EE" w:rsidRPr="00B633EE">
        <w:rPr>
          <w:rFonts w:ascii="Times New Roman" w:hAnsi="Times New Roman" w:cs="Times New Roman"/>
        </w:rPr>
        <w:t>(Stawarczyk et al., 2020; Stawarczyk &amp; D’Argembeau, 2016)</w:t>
      </w:r>
      <w:r w:rsidRPr="22DB2182">
        <w:rPr>
          <w:rFonts w:ascii="Times New Roman" w:hAnsi="Times New Roman" w:cs="Times New Roman"/>
        </w:rPr>
        <w:fldChar w:fldCharType="end"/>
      </w:r>
      <w:r w:rsidRPr="22DB2182">
        <w:rPr>
          <w:rFonts w:ascii="Times New Roman" w:hAnsi="Times New Roman" w:cs="Times New Roman"/>
        </w:rPr>
        <w:t xml:space="preserve">, we estimated </w:t>
      </w:r>
      <w:proofErr w:type="spellStart"/>
      <w:r w:rsidRPr="22DB2182">
        <w:rPr>
          <w:rFonts w:ascii="Times New Roman" w:hAnsi="Times New Roman" w:cs="Times New Roman"/>
        </w:rPr>
        <w:t>standardised</w:t>
      </w:r>
      <w:proofErr w:type="spellEnd"/>
      <w:r w:rsidRPr="22DB2182">
        <w:rPr>
          <w:rFonts w:ascii="Times New Roman" w:hAnsi="Times New Roman" w:cs="Times New Roman"/>
        </w:rPr>
        <w:t xml:space="preserve"> mean differences at the contrast level (MB &gt; task, MB &gt; mind-wandering). </w:t>
      </w:r>
      <w:proofErr w:type="spellStart"/>
      <w:r w:rsidR="00F740F8" w:rsidRPr="22DB2182">
        <w:rPr>
          <w:rFonts w:ascii="Times New Roman" w:hAnsi="Times New Roman" w:cs="Times New Roman"/>
        </w:rPr>
        <w:t>Standardised</w:t>
      </w:r>
      <w:proofErr w:type="spellEnd"/>
      <w:r w:rsidRPr="22DB2182">
        <w:rPr>
          <w:rFonts w:ascii="Times New Roman" w:hAnsi="Times New Roman" w:cs="Times New Roman"/>
        </w:rPr>
        <w:t xml:space="preserve"> mean differences were adjusted for small-sample bias by calculating effect sizes using the </w:t>
      </w:r>
      <w:proofErr w:type="spellStart"/>
      <w:r w:rsidRPr="22DB2182">
        <w:rPr>
          <w:rFonts w:ascii="Times New Roman" w:hAnsi="Times New Roman" w:cs="Times New Roman"/>
        </w:rPr>
        <w:t>within-subjects</w:t>
      </w:r>
      <w:proofErr w:type="spellEnd"/>
      <w:r w:rsidRPr="22DB2182">
        <w:rPr>
          <w:rFonts w:ascii="Times New Roman" w:hAnsi="Times New Roman" w:cs="Times New Roman"/>
        </w:rPr>
        <w:t xml:space="preserve"> version of Hedges’ </w:t>
      </w:r>
      <w:r w:rsidRPr="22DB2182">
        <w:rPr>
          <w:rFonts w:ascii="Times New Roman" w:hAnsi="Times New Roman" w:cs="Times New Roman"/>
          <w:i/>
          <w:iCs/>
        </w:rPr>
        <w:t>g</w:t>
      </w:r>
      <w:r w:rsidRPr="22DB2182">
        <w:rPr>
          <w:rFonts w:ascii="Times New Roman" w:hAnsi="Times New Roman" w:cs="Times New Roman"/>
        </w:rPr>
        <w:t xml:space="preserve">. Hedges’ </w:t>
      </w:r>
      <w:r w:rsidRPr="22DB2182">
        <w:rPr>
          <w:rFonts w:ascii="Times New Roman" w:hAnsi="Times New Roman" w:cs="Times New Roman"/>
          <w:i/>
          <w:iCs/>
        </w:rPr>
        <w:t>g</w:t>
      </w:r>
      <w:r w:rsidRPr="22DB2182">
        <w:rPr>
          <w:rFonts w:ascii="Times New Roman" w:hAnsi="Times New Roman" w:cs="Times New Roman"/>
        </w:rPr>
        <w:t xml:space="preserve"> values were calculated by averaging each participant’s arousal ratings across all mental states and then estimating the effect size based on those within-subject averages. </w:t>
      </w:r>
    </w:p>
    <w:p w14:paraId="6596FCAA" w14:textId="68719CD7" w:rsidR="008F5DA6" w:rsidRDefault="00FB05D1">
      <w:pPr>
        <w:spacing w:line="360" w:lineRule="auto"/>
        <w:ind w:firstLine="360"/>
        <w:jc w:val="both"/>
      </w:pPr>
      <w:r>
        <w:rPr>
          <w:rFonts w:ascii="Times New Roman" w:hAnsi="Times New Roman" w:cs="Times New Roman"/>
        </w:rPr>
        <w:t xml:space="preserve"> Finally, as an exploratory analysis beyond our preregistration, we extracted information on the presence and modality of brain stimulation (TMS, tDCS), drug intake, the instructions to suppress thoughts</w:t>
      </w:r>
      <w:r w:rsidR="0073226D">
        <w:rPr>
          <w:rFonts w:ascii="Times New Roman" w:hAnsi="Times New Roman" w:cs="Times New Roman"/>
        </w:rPr>
        <w:t xml:space="preserve"> and the type of presented probes (scale or </w:t>
      </w:r>
      <w:r w:rsidR="001D7FDA">
        <w:rPr>
          <w:rFonts w:ascii="Times New Roman" w:hAnsi="Times New Roman" w:cs="Times New Roman"/>
        </w:rPr>
        <w:t>forced-</w:t>
      </w:r>
      <w:r w:rsidR="0073226D">
        <w:rPr>
          <w:rFonts w:ascii="Times New Roman" w:hAnsi="Times New Roman" w:cs="Times New Roman"/>
        </w:rPr>
        <w:t>choice</w:t>
      </w:r>
      <w:r w:rsidR="001D7FDA">
        <w:rPr>
          <w:rFonts w:ascii="Times New Roman" w:hAnsi="Times New Roman" w:cs="Times New Roman"/>
        </w:rPr>
        <w:t xml:space="preserve"> response</w:t>
      </w:r>
      <w:r w:rsidR="0073226D">
        <w:rPr>
          <w:rFonts w:ascii="Times New Roman" w:hAnsi="Times New Roman" w:cs="Times New Roman"/>
        </w:rPr>
        <w:t>)</w:t>
      </w:r>
      <w:r>
        <w:rPr>
          <w:rFonts w:ascii="Times New Roman" w:hAnsi="Times New Roman" w:cs="Times New Roman"/>
        </w:rPr>
        <w:t>. These factors were selected during database inspection as potential manipulations that would meaningfully alter MB report propensity.</w:t>
      </w:r>
    </w:p>
    <w:p w14:paraId="6C67E570" w14:textId="04C28379" w:rsidR="008F5DA6" w:rsidRDefault="00FB05D1">
      <w:pPr>
        <w:spacing w:line="360" w:lineRule="auto"/>
        <w:ind w:firstLine="720"/>
        <w:jc w:val="both"/>
      </w:pPr>
      <w:r>
        <w:rPr>
          <w:rFonts w:ascii="Times New Roman" w:hAnsi="Times New Roman" w:cs="Times New Roman"/>
          <w:i/>
          <w:iCs/>
        </w:rPr>
        <w:t>Bayesian Hierarchical Modelling.</w:t>
      </w:r>
      <w:r>
        <w:rPr>
          <w:rFonts w:ascii="Times New Roman" w:hAnsi="Times New Roman" w:cs="Times New Roman"/>
        </w:rPr>
        <w:t xml:space="preserve"> We </w:t>
      </w:r>
      <w:proofErr w:type="spellStart"/>
      <w:r>
        <w:rPr>
          <w:rFonts w:ascii="Times New Roman" w:hAnsi="Times New Roman" w:cs="Times New Roman"/>
        </w:rPr>
        <w:t>utilised</w:t>
      </w:r>
      <w:proofErr w:type="spellEnd"/>
      <w:r>
        <w:rPr>
          <w:rFonts w:ascii="Times New Roman" w:hAnsi="Times New Roman" w:cs="Times New Roman"/>
        </w:rPr>
        <w:t xml:space="preserve"> a random-effects Bayesian approach to estimate the posterior MB report rate, as well as the within- and between-study heterogeneity</w:t>
      </w:r>
      <w:r w:rsidR="0073226D">
        <w:rPr>
          <w:rFonts w:ascii="Times New Roman" w:hAnsi="Times New Roman" w:cs="Times New Roman"/>
        </w:rPr>
        <w:t xml:space="preserve"> </w:t>
      </w:r>
      <w:r w:rsidR="0073226D">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{"citationID":"a14hfpkocgb","properties":{"unsorted":false,"formattedCitation":"(Gronau et al., 2021; Higgins et al., 2009; R\\uc0\\u246{}ver, 2020; Verde, 2019)","plainCitation":"(Gronau et al., 2021; Higgins et al., 2009; Röver, 2020; Verde, 2019)","noteIndex":0},"citationItems":[{"id":17660,"uris":["http://zotero.org/users/8613739/items/JGEHR2M7"],"itemData":{"id":17660,"type":"article-journal","abstract":"Meta-analysis is the predominant approach for quantitatively synthesizing a set of studies. If the studies themselves are of high quality, meta-analysis can provide valuable insights into the current scientific state of knowledge about a particular phenomenon. In psychological science, the most common approach is to conduct frequentist meta-analysis. In this primer, we discuss an alternative method, Bayesian model-averaged meta-analysis. This procedure combines the results of four Bayesian meta-analysis models: (a) fixed-effect null hypothesis, (b) fixed-effect alternative hypothesis, (c) random-effects null hypothesis, and (d) random-effects alternative hypothesis. These models are combined according to their plausibilities given the observed data to address the two key questions “Is the overall effect nonzero?” and “Is there between-study variability in effect size?” Bayesian model-averaged meta-analysis therefore avoids the need to select either a fixed-effect or random-effects model and instead takes into account model uncertainty in a principled manner.","citation-key":"gronauPrimerBayesianModelAveraged2021","container-title":"Advances in Methods and Practices in Psychological Science","DOI":"10.1177/25152459211031256","ISSN":"2515-2459","issue":"3","language":"EN","page":"25152459211031256","publisher":"SAGE Publications Inc","source":"SAGE Journals","title":"A Primer on Bayesian Model-Averaged Meta-Analysis","volume":"4","author":[{"family":"Gronau","given":"Quentin F."},{"family":"Heck","given":"Daniel W."},{"family":"Berkhout","given":"Sophie W."},{"family":"Haaf","given":"Julia M."},{"family":"Wagenmakers","given":"Eric-Jan"}],"issued":{"date-parts":[["2021",7,1]]}}},{"id":17659,"uris":["http://zotero.org/users/8613739/items/LE4K66UJ"],"itemData":{"id":17659,"type":"article-journal","abstract":"Meta-analysis in the presence of unexplained heterogeneity is frequently undertaken by using a random-effects model, in which the effects underlying different studies are assumed to be drawn from a normal distribution. Here we discuss the justification and interpretation of such models, by addressing in turn the aims of estimation, prediction and hypothesis testing. A particular issue that we consider is the distinction between inference on the mean of the random-effects distribution and inference on the whole distribution. We suggest that random-effects meta-analyses as currently conducted often fail to provide the key results, and we investigate the extent to which distribution-free, classical and Bayesian approaches can provide satisfactory methods. We conclude that the Bayesian approach has the advantage of naturally allowing for full uncertainty, especially for prediction. However, it is not without problems, including computational intensity and sensitivity to a priori judgements. We propose a simple prediction interval for classical meta-analysis and offer extensions to standard practice of Bayesian meta-analysis, making use of an example of studies of ‘set shifting’ ability in people with eating disorders.","citation-key":"higginsReevaluationRandomeffectsMetaanalysis2009","container-title":"Journal of the Royal Statistical Society. Series A, (Statistics in Society)","DOI":"10.1111/j.1467-985X.2008.00552.x","ISSN":"0964-1998","issue":"1","journalAbbreviation":"J R Stat Soc Ser A Stat Soc","page":"137-159","PMID":"19381330","PMCID":"PMC2667312","source":"PubMed Central","title":"A re-evaluation of random-effects meta-analysis","volume":"172","author":[{"family":"Higgins","given":"Julian P T"},{"family":"Thompson","given":"Simon G"},{"family":"Spiegelhalter","given":"David J"}],"issued":{"date-parts":[["2009",1]]}}},{"id":17658,"uris":["http://zotero.org/users/8613739/items/AVQQ28AL"],"itemData":{"id":17658,"type":"article-journal","abstract":"The random-effects or normal-normal hierarchical model is commonly utilized in a wide range of meta-analysis applications. A Bayesian approach to inference is very attractive in this context, especially when a meta-analysis is based only on few studies. The bayesmeta R package provides readily accessible tools to perform Bayesian meta-analyses and generate plots and summaries, without having to worry about computational details. It allows for flexible prior specification and instant access to the resulting posterior distributions, including prediction and shrinkage estimation, and facilitating for example quick sensitivity checks. The present paper introduces the underlying theory and showcases its usage.","citation-key":"roverBayesianRandomEffectsMetaAnalysis2020","container-title":"Journal of Statistical Software","DOI":"10.18637/jss.v093.i06","ISSN":"1548-7660","language":"en","license":"Copyright (c) 2020 Christian Röver","page":"1-51","source":"www.jstatsoft.org","title":"Bayesian Random-Effects Meta-Analysis Using the bayesmeta R Package","volume":"93","author":[{"family":"Röver","given":"Christian"}],"issued":{"date-parts":[["2020",4,27]]}}},{"id":17867,"uris":["http://zotero.org/users/8613739/items/AN4NUQ4V"],"itemData":{"id":17867,"type":"article-journal","abstract":"The hierarchical metaregression (HMR) approach is a multiparameter Bayesian approach for meta-analysis, which generalizes the standard mixed effects models by explicitly modeling the data collection process in the meta-analysis. The HMR allows to investigate the potential external validity of experimental results as well as to assess the internal validity of the studies included in a systematic review. The HMR automatically identifies studies presenting conflicting evidence and it downweights their influence in the meta-analysis. In addition, the HMR allows to perform cross-evidence synthesis, which combines aggregated results from randomized controlled trials to predict effectiveness in a single-arm observational study with individual participant data (IPD). In this paper, we evaluate the HMR approach using simulated data examples. We present a new real case study in diabetes research, along with a new R package called jarbes (just a rather Bayesian evidence synthesis), which automatizes the complex computations involved in the HMR.","citation-key":"verdeHierarchicalMetaregressionApproach2019","container-title":"Biometrical Journal. Biometrische Zeitschrift","DOI":"10.1002/bimj.201700266","ISSN":"1521-4036","issue":"3","journalAbbreviation":"Biom J","language":"eng","page":"535-557","PMID":"30600534","source":"PubMed","title":"The hierarchical metaregression approach and learning from clinical evidence","volume":"61","author":[{"family":"Verde","given":"Pablo Emilio"}],"issued":{"date-parts":[["2019",5]]}}}],"schema":"https://github.com/citation-style-language/schema/raw/master/csl-citation.json"} </w:instrText>
      </w:r>
      <w:r w:rsidR="0073226D">
        <w:rPr>
          <w:rFonts w:ascii="Times New Roman" w:hAnsi="Times New Roman" w:cs="Times New Roman"/>
        </w:rPr>
        <w:fldChar w:fldCharType="separate"/>
      </w:r>
      <w:r w:rsidR="00B633EE" w:rsidRPr="00B633EE">
        <w:rPr>
          <w:rFonts w:ascii="Times New Roman" w:hAnsi="Times New Roman" w:cs="Times New Roman"/>
        </w:rPr>
        <w:t>(Gronau et al., 2021; Higgins et al., 2009; Röver, 2020; Verde, 2019)</w:t>
      </w:r>
      <w:r w:rsidR="0073226D">
        <w:rPr>
          <w:rFonts w:ascii="Times New Roman" w:hAnsi="Times New Roman" w:cs="Times New Roman"/>
        </w:rPr>
        <w:fldChar w:fldCharType="end"/>
      </w:r>
      <w:r w:rsidRPr="003617D9">
        <w:rPr>
          <w:rFonts w:ascii="Times New Roman" w:hAnsi="Times New Roman" w:cs="Times New Roman"/>
        </w:rPr>
        <w:t xml:space="preserve">. </w:t>
      </w:r>
      <w:r>
        <w:rPr>
          <w:rFonts w:ascii="Times New Roman" w:hAnsi="Times New Roman" w:cs="Times New Roman"/>
        </w:rPr>
        <w:t xml:space="preserve">This hierarchical model consisted of two levels: </w:t>
      </w:r>
      <w:r w:rsidRPr="001D7FDA">
        <w:rPr>
          <w:rFonts w:ascii="Times New Roman" w:hAnsi="Times New Roman" w:cs="Times New Roman"/>
        </w:rPr>
        <w:t>at</w:t>
      </w:r>
      <w:r>
        <w:rPr>
          <w:rFonts w:ascii="Times New Roman" w:hAnsi="Times New Roman" w:cs="Times New Roman"/>
        </w:rPr>
        <w:t xml:space="preserve"> the first level, every observed report rate </w:t>
      </w:r>
      <m:oMath>
        <m:acc>
          <m:accPr>
            <m:ctrlPr>
              <w:rPr>
                <w:rFonts w:ascii="Cambria Math" w:hAnsi="Cambria Math"/>
              </w:rPr>
            </m:ctrlPr>
          </m:accPr>
          <m:e>
            <m:sSub>
              <m:sSubPr>
                <m:ctrlPr>
                  <w:rPr>
                    <w:rFonts w:ascii="Cambria Math" w:hAnsi="Cambria Math"/>
                  </w:rPr>
                </m:ctrlPr>
              </m:sSubPr>
              <m:e>
                <m:r>
                  <w:rPr>
                    <w:rFonts w:ascii="Cambria Math" w:hAnsi="Cambria Math"/>
                  </w:rPr>
                  <m:t>θ</m:t>
                </m:r>
              </m:e>
              <m:sub>
                <m:r>
                  <w:rPr>
                    <w:rFonts w:ascii="Cambria Math" w:hAnsi="Cambria Math"/>
                  </w:rPr>
                  <m:t>k</m:t>
                </m:r>
              </m:sub>
            </m:sSub>
          </m:e>
        </m:acc>
      </m:oMath>
      <w:r>
        <w:rPr>
          <w:rFonts w:ascii="Times New Roman" w:hAnsi="Times New Roman" w:cs="Times New Roman"/>
        </w:rPr>
        <w:t xml:space="preserve"> was assumed to be an estimate of the true MB report rate </w:t>
      </w:r>
      <m:oMath>
        <m:sSub>
          <m:sSubPr>
            <m:ctrlPr>
              <w:rPr>
                <w:rFonts w:ascii="Cambria Math" w:hAnsi="Cambria Math"/>
              </w:rPr>
            </m:ctrlPr>
          </m:sSubPr>
          <m:e>
            <m:r>
              <w:rPr>
                <w:rFonts w:ascii="Cambria Math" w:hAnsi="Cambria Math"/>
              </w:rPr>
              <m:t>θ</m:t>
            </m:r>
          </m:e>
          <m:sub>
            <m:r>
              <w:rPr>
                <w:rFonts w:ascii="Cambria Math" w:hAnsi="Cambria Math"/>
              </w:rPr>
              <m:t>k</m:t>
            </m:r>
          </m:sub>
        </m:sSub>
      </m:oMath>
      <w:r>
        <w:rPr>
          <w:rFonts w:ascii="Times New Roman" w:hAnsi="Times New Roman" w:cs="Times New Roman"/>
        </w:rPr>
        <w:t>. Therefore, every study originated from a normal distribution centred on the true response rate</w:t>
      </w:r>
      <m:oMath>
        <m:r>
          <w:rPr>
            <w:rFonts w:ascii="Cambria Math" w:hAnsi="Cambria Math"/>
          </w:rPr>
          <m:t> </m:t>
        </m:r>
        <m:sSub>
          <m:sSubPr>
            <m:ctrlPr>
              <w:rPr>
                <w:rFonts w:ascii="Cambria Math" w:hAnsi="Cambria Math"/>
              </w:rPr>
            </m:ctrlPr>
          </m:sSubPr>
          <m:e>
            <m:r>
              <w:rPr>
                <w:rFonts w:ascii="Cambria Math" w:hAnsi="Cambria Math"/>
              </w:rPr>
              <m:t>θ</m:t>
            </m:r>
          </m:e>
          <m:sub>
            <m:r>
              <w:rPr>
                <w:rFonts w:ascii="Cambria Math" w:hAnsi="Cambria Math"/>
              </w:rPr>
              <m:t>k</m:t>
            </m:r>
          </m:sub>
        </m:sSub>
      </m:oMath>
      <w:r>
        <w:rPr>
          <w:rFonts w:ascii="Times New Roman" w:hAnsi="Times New Roman" w:cs="Times New Roman"/>
        </w:rPr>
        <w:t xml:space="preserve">, scaled by the variance parameter </w:t>
      </w:r>
      <m:oMath>
        <m:sSubSup>
          <m:sSubSupPr>
            <m:ctrlPr>
              <w:rPr>
                <w:rFonts w:ascii="Cambria Math" w:hAnsi="Cambria Math"/>
              </w:rPr>
            </m:ctrlPr>
          </m:sSubSupPr>
          <m:e>
            <m:r>
              <w:rPr>
                <w:rFonts w:ascii="Cambria Math" w:hAnsi="Cambria Math"/>
              </w:rPr>
              <m:t>σ</m:t>
            </m:r>
          </m:e>
          <m:sub>
            <m:r>
              <w:rPr>
                <w:rFonts w:ascii="Cambria Math" w:hAnsi="Cambria Math"/>
              </w:rPr>
              <m:t>k</m:t>
            </m:r>
          </m:sub>
          <m:sup>
            <m:r>
              <w:rPr>
                <w:rFonts w:ascii="Cambria Math" w:hAnsi="Cambria Math"/>
              </w:rPr>
              <m:t>2</m:t>
            </m:r>
          </m:sup>
        </m:sSubSup>
      </m:oMath>
      <w:r>
        <w:rPr>
          <w:rFonts w:ascii="Times New Roman" w:hAnsi="Times New Roman" w:cs="Times New Roman"/>
        </w:rPr>
        <w:t xml:space="preserve">. In the second level of the model, each study's true report rate </w:t>
      </w:r>
      <m:oMath>
        <m:sSub>
          <m:sSubPr>
            <m:ctrlPr>
              <w:rPr>
                <w:rFonts w:ascii="Cambria Math" w:hAnsi="Cambria Math"/>
              </w:rPr>
            </m:ctrlPr>
          </m:sSubPr>
          <m:e>
            <m:r>
              <w:rPr>
                <w:rFonts w:ascii="Cambria Math" w:hAnsi="Cambria Math"/>
              </w:rPr>
              <m:t>θ</m:t>
            </m:r>
          </m:e>
          <m:sub>
            <m:r>
              <w:rPr>
                <w:rFonts w:ascii="Cambria Math" w:hAnsi="Cambria Math"/>
              </w:rPr>
              <m:t>k</m:t>
            </m:r>
          </m:sub>
        </m:sSub>
      </m:oMath>
      <w:r>
        <w:rPr>
          <w:rFonts w:ascii="Times New Roman" w:hAnsi="Times New Roman" w:cs="Times New Roman"/>
        </w:rPr>
        <w:t xml:space="preserve"> was modelled as being sampled from a higher-level distribution. This overarching distribution had a mean </w:t>
      </w:r>
      <m:oMath>
        <m:r>
          <w:rPr>
            <w:rFonts w:ascii="Cambria Math" w:hAnsi="Cambria Math"/>
          </w:rPr>
          <m:t>μ</m:t>
        </m:r>
        <m:r>
          <m:rPr>
            <m:sty m:val="p"/>
          </m:rPr>
          <w:rPr>
            <w:rFonts w:ascii="Cambria Math" w:hAnsi="Cambria Math"/>
          </w:rPr>
          <m:t> </m:t>
        </m:r>
      </m:oMath>
      <w:r>
        <w:rPr>
          <w:rFonts w:ascii="Times New Roman" w:hAnsi="Times New Roman" w:cs="Times New Roman"/>
        </w:rPr>
        <w:t xml:space="preserve">corresponding to the pooled effect across all studies and a variance </w:t>
      </w:r>
      <m:oMath>
        <m:sSup>
          <m:sSupPr>
            <m:ctrlPr>
              <w:rPr>
                <w:rFonts w:ascii="Cambria Math" w:hAnsi="Cambria Math"/>
              </w:rPr>
            </m:ctrlPr>
          </m:sSupPr>
          <m:e>
            <m:r>
              <w:rPr>
                <w:rFonts w:ascii="Cambria Math" w:hAnsi="Cambria Math"/>
              </w:rPr>
              <m:t>τ</m:t>
            </m:r>
          </m:e>
          <m:sup>
            <m:r>
              <w:rPr>
                <w:rFonts w:ascii="Cambria Math" w:hAnsi="Cambria Math"/>
              </w:rPr>
              <m:t>2</m:t>
            </m:r>
          </m:sup>
        </m:sSup>
      </m:oMath>
      <w:r>
        <w:rPr>
          <w:rFonts w:ascii="Times New Roman" w:hAnsi="Times New Roman" w:cs="Times New Roman"/>
        </w:rPr>
        <w:t xml:space="preserve"> quantifying the between-study </w:t>
      </w:r>
      <w:r>
        <w:rPr>
          <w:rFonts w:ascii="Times New Roman" w:hAnsi="Times New Roman" w:cs="Times New Roman"/>
        </w:rPr>
        <w:lastRenderedPageBreak/>
        <w:t xml:space="preserve">heterogeneity. The model contained weakly informative parameters. The mean parameter </w:t>
      </w:r>
      <m:oMath>
        <m:r>
          <w:rPr>
            <w:rFonts w:ascii="Cambria Math" w:hAnsi="Cambria Math"/>
          </w:rPr>
          <m:t>μ</m:t>
        </m:r>
      </m:oMath>
      <w:r>
        <w:rPr>
          <w:rFonts w:ascii="Times New Roman" w:hAnsi="Times New Roman" w:cs="Times New Roman"/>
        </w:rPr>
        <w:t xml:space="preserve"> was sampled from a normal distribution </w:t>
      </w:r>
      <m:oMath>
        <m:r>
          <m:rPr>
            <m:scr m:val="script"/>
          </m:rPr>
          <w:rPr>
            <w:rFonts w:ascii="Cambria Math" w:hAnsi="Cambria Math"/>
          </w:rPr>
          <m:t>N</m:t>
        </m:r>
        <m:d>
          <m:dPr>
            <m:ctrlPr>
              <w:rPr>
                <w:rFonts w:ascii="Cambria Math" w:hAnsi="Cambria Math"/>
              </w:rPr>
            </m:ctrlPr>
          </m:dPr>
          <m:e>
            <m:r>
              <m:rPr>
                <m:sty m:val="p"/>
              </m:rPr>
              <w:rPr>
                <w:rFonts w:ascii="Cambria Math" w:hAnsi="Cambria Math"/>
              </w:rPr>
              <m:t>0,1</m:t>
            </m:r>
          </m:e>
        </m:d>
      </m:oMath>
      <w:r>
        <w:rPr>
          <w:rFonts w:ascii="Times New Roman" w:hAnsi="Times New Roman" w:cs="Times New Roman"/>
        </w:rPr>
        <w:t xml:space="preserve"> and the </w:t>
      </w:r>
      <m:oMath>
        <m:sSup>
          <m:sSupPr>
            <m:ctrlPr>
              <w:rPr>
                <w:rFonts w:ascii="Cambria Math" w:hAnsi="Cambria Math"/>
              </w:rPr>
            </m:ctrlPr>
          </m:sSupPr>
          <m:e>
            <m:r>
              <w:rPr>
                <w:rFonts w:ascii="Cambria Math" w:hAnsi="Cambria Math"/>
              </w:rPr>
              <m:t>τ</m:t>
            </m:r>
          </m:e>
          <m:sup>
            <m:r>
              <w:rPr>
                <w:rFonts w:ascii="Cambria Math" w:hAnsi="Cambria Math"/>
              </w:rPr>
              <m:t>2</m:t>
            </m:r>
          </m:sup>
        </m:sSup>
      </m:oMath>
      <w:r>
        <w:rPr>
          <w:rFonts w:ascii="Times New Roman" w:hAnsi="Times New Roman" w:cs="Times New Roman"/>
        </w:rPr>
        <w:t xml:space="preserve"> parameter was modelled as a Half-Cauchy distribution </w:t>
      </w:r>
      <m:oMath>
        <m:r>
          <w:rPr>
            <w:rFonts w:ascii="Cambria Math" w:hAnsi="Cambria Math"/>
          </w:rPr>
          <m:t>HC</m:t>
        </m:r>
        <m:d>
          <m:dPr>
            <m:ctrlPr>
              <w:rPr>
                <w:rFonts w:ascii="Cambria Math" w:hAnsi="Cambria Math"/>
              </w:rPr>
            </m:ctrlPr>
          </m:dPr>
          <m:e>
            <m:r>
              <w:rPr>
                <w:rFonts w:ascii="Cambria Math" w:hAnsi="Cambria Math"/>
              </w:rPr>
              <m:t>0,.5</m:t>
            </m:r>
          </m:e>
        </m:d>
      </m:oMath>
      <w:r>
        <w:rPr>
          <w:rFonts w:ascii="Times New Roman" w:hAnsi="Times New Roman" w:cs="Times New Roman"/>
        </w:rPr>
        <w:t xml:space="preserve">. We consider the Half-Cauchy distribution as an adequate prior, as it </w:t>
      </w:r>
      <w:proofErr w:type="gramStart"/>
      <w:r>
        <w:rPr>
          <w:rFonts w:ascii="Times New Roman" w:hAnsi="Times New Roman" w:cs="Times New Roman"/>
        </w:rPr>
        <w:t>is a)</w:t>
      </w:r>
      <w:proofErr w:type="gramEnd"/>
      <w:r>
        <w:rPr>
          <w:rFonts w:ascii="Times New Roman" w:hAnsi="Times New Roman" w:cs="Times New Roman"/>
        </w:rPr>
        <w:t xml:space="preserve"> positive, which </w:t>
      </w:r>
      <w:r w:rsidR="00F740F8">
        <w:rPr>
          <w:rFonts w:ascii="Times New Roman" w:hAnsi="Times New Roman" w:cs="Times New Roman"/>
        </w:rPr>
        <w:t>fulfils</w:t>
      </w:r>
      <w:r>
        <w:rPr>
          <w:rFonts w:ascii="Times New Roman" w:hAnsi="Times New Roman" w:cs="Times New Roman"/>
        </w:rPr>
        <w:t xml:space="preserve"> the requirement of variance being a positive parameter, b) heavy-tailed, permitting large values while assuming that small variance parameters are more likely.</w:t>
      </w:r>
      <w:r>
        <w:rPr>
          <w:rFonts w:ascii="Times New Roman" w:hAnsi="Times New Roman" w:cs="Times New Roman"/>
          <w:sz w:val="20"/>
          <w:szCs w:val="20"/>
        </w:rPr>
        <w:t xml:space="preserve"> </w:t>
      </w:r>
      <w:r>
        <w:rPr>
          <w:rFonts w:ascii="Times New Roman" w:hAnsi="Times New Roman" w:cs="Times New Roman"/>
        </w:rPr>
        <w:t>The Bayesian model is defined as:</w:t>
      </w:r>
    </w:p>
    <w:p w14:paraId="68D9F82A" w14:textId="77777777" w:rsidR="008F5DA6" w:rsidRDefault="00000000">
      <w:pPr>
        <w:spacing w:line="360" w:lineRule="auto"/>
        <w:jc w:val="center"/>
      </w:pPr>
      <m:oMathPara>
        <m:oMathParaPr>
          <m:jc m:val="center"/>
        </m:oMathParaPr>
        <m:oMath>
          <m:acc>
            <m:accPr>
              <m:ctrlPr>
                <w:rPr>
                  <w:rFonts w:ascii="Cambria Math" w:hAnsi="Cambria Math"/>
                </w:rPr>
              </m:ctrlPr>
            </m:accPr>
            <m:e>
              <m:sSub>
                <m:sSubPr>
                  <m:ctrlPr>
                    <w:rPr>
                      <w:rFonts w:ascii="Cambria Math" w:hAnsi="Cambria Math"/>
                    </w:rPr>
                  </m:ctrlPr>
                </m:sSubPr>
                <m:e>
                  <m:r>
                    <m:rPr>
                      <m:sty m:val="p"/>
                    </m:rPr>
                    <w:rPr>
                      <w:rFonts w:ascii="Cambria Math" w:hAnsi="Cambria Math"/>
                    </w:rPr>
                    <m:t>θ</m:t>
                  </m:r>
                </m:e>
                <m:sub>
                  <m:r>
                    <w:rPr>
                      <w:rFonts w:ascii="Cambria Math" w:hAnsi="Cambria Math"/>
                    </w:rPr>
                    <m:t>k</m:t>
                  </m:r>
                </m:sub>
              </m:sSub>
            </m:e>
          </m:acc>
          <m:r>
            <m:rPr>
              <m:scr m:val="script"/>
            </m:rPr>
            <w:rPr>
              <w:rFonts w:ascii="Cambria Math" w:hAnsi="Cambria Math"/>
            </w:rPr>
            <m:t>∼N</m:t>
          </m:r>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w:rPr>
                      <w:rFonts w:ascii="Cambria Math" w:hAnsi="Cambria Math"/>
                    </w:rPr>
                    <m:t>k</m:t>
                  </m:r>
                </m:sub>
              </m:sSub>
              <m:r>
                <w:rPr>
                  <w:rFonts w:ascii="Cambria Math" w:hAnsi="Cambria Math"/>
                </w:rPr>
                <m:t>,</m:t>
              </m:r>
              <m:sSubSup>
                <m:sSubSupPr>
                  <m:ctrlPr>
                    <w:rPr>
                      <w:rFonts w:ascii="Cambria Math" w:hAnsi="Cambria Math"/>
                    </w:rPr>
                  </m:ctrlPr>
                </m:sSubSupPr>
                <m:e>
                  <m:r>
                    <m:rPr>
                      <m:sty m:val="p"/>
                    </m:rPr>
                    <w:rPr>
                      <w:rFonts w:ascii="Cambria Math" w:hAnsi="Cambria Math"/>
                    </w:rPr>
                    <m:t>σ</m:t>
                  </m:r>
                </m:e>
                <m:sub>
                  <m:r>
                    <w:rPr>
                      <w:rFonts w:ascii="Cambria Math" w:hAnsi="Cambria Math"/>
                    </w:rPr>
                    <m:t>k</m:t>
                  </m:r>
                </m:sub>
                <m:sup>
                  <m:r>
                    <w:rPr>
                      <w:rFonts w:ascii="Cambria Math" w:hAnsi="Cambria Math"/>
                    </w:rPr>
                    <m:t>2</m:t>
                  </m:r>
                </m:sup>
              </m:sSubSup>
            </m:e>
          </m:d>
        </m:oMath>
      </m:oMathPara>
    </w:p>
    <w:p w14:paraId="0D12547A" w14:textId="77777777" w:rsidR="008F5DA6" w:rsidRDefault="00000000">
      <w:pPr>
        <w:spacing w:line="360" w:lineRule="auto"/>
        <w:jc w:val="center"/>
      </w:pPr>
      <m:oMathPara>
        <m:oMathParaPr>
          <m:jc m:val="center"/>
        </m:oMathParaPr>
        <m:oMath>
          <m:sSub>
            <m:sSubPr>
              <m:ctrlPr>
                <w:rPr>
                  <w:rFonts w:ascii="Cambria Math" w:hAnsi="Cambria Math"/>
                </w:rPr>
              </m:ctrlPr>
            </m:sSubPr>
            <m:e>
              <m:r>
                <m:rPr>
                  <m:sty m:val="p"/>
                </m:rPr>
                <w:rPr>
                  <w:rFonts w:ascii="Cambria Math" w:hAnsi="Cambria Math"/>
                </w:rPr>
                <m:t>θ</m:t>
              </m:r>
            </m:e>
            <m:sub>
              <m:r>
                <w:rPr>
                  <w:rFonts w:ascii="Cambria Math" w:hAnsi="Cambria Math"/>
                </w:rPr>
                <m:t>k</m:t>
              </m:r>
            </m:sub>
          </m:sSub>
          <m:r>
            <m:rPr>
              <m:scr m:val="script"/>
            </m:rPr>
            <w:rPr>
              <w:rFonts w:ascii="Cambria Math" w:hAnsi="Cambria Math"/>
            </w:rPr>
            <m:t>∼N</m:t>
          </m:r>
          <m:d>
            <m:dPr>
              <m:ctrlPr>
                <w:rPr>
                  <w:rFonts w:ascii="Cambria Math" w:hAnsi="Cambria Math"/>
                </w:rPr>
              </m:ctrlPr>
            </m:dPr>
            <m:e>
              <m:r>
                <m:rPr>
                  <m:sty m:val="p"/>
                </m:rPr>
                <w:rPr>
                  <w:rFonts w:ascii="Cambria Math" w:hAnsi="Cambria Math"/>
                </w:rPr>
                <m:t>μ</m:t>
              </m:r>
              <m:r>
                <w:rPr>
                  <w:rFonts w:ascii="Cambria Math" w:hAnsi="Cambria Math"/>
                </w:rPr>
                <m:t>,</m:t>
              </m:r>
              <m:sSup>
                <m:sSupPr>
                  <m:ctrlPr>
                    <w:rPr>
                      <w:rFonts w:ascii="Cambria Math" w:hAnsi="Cambria Math"/>
                    </w:rPr>
                  </m:ctrlPr>
                </m:sSupPr>
                <m:e>
                  <m:r>
                    <m:rPr>
                      <m:sty m:val="p"/>
                    </m:rPr>
                    <w:rPr>
                      <w:rFonts w:ascii="Cambria Math" w:hAnsi="Cambria Math"/>
                    </w:rPr>
                    <m:t>τ</m:t>
                  </m:r>
                </m:e>
                <m:sup>
                  <m:r>
                    <w:rPr>
                      <w:rFonts w:ascii="Cambria Math" w:hAnsi="Cambria Math"/>
                    </w:rPr>
                    <m:t>2</m:t>
                  </m:r>
                </m:sup>
              </m:sSup>
            </m:e>
          </m:d>
        </m:oMath>
      </m:oMathPara>
    </w:p>
    <w:p w14:paraId="133F9168" w14:textId="77777777" w:rsidR="008F5DA6" w:rsidRDefault="00FB05D1">
      <w:pPr>
        <w:spacing w:line="360" w:lineRule="auto"/>
        <w:ind w:firstLine="720"/>
        <w:jc w:val="center"/>
      </w:pPr>
      <m:oMathPara>
        <m:oMathParaPr>
          <m:jc m:val="center"/>
        </m:oMathParaPr>
        <m:oMath>
          <m:r>
            <w:rPr>
              <w:rFonts w:ascii="Cambria Math" w:hAnsi="Cambria Math"/>
            </w:rPr>
            <m:t>μ ~ N</m:t>
          </m:r>
          <m:d>
            <m:dPr>
              <m:ctrlPr>
                <w:rPr>
                  <w:rFonts w:ascii="Cambria Math" w:hAnsi="Cambria Math"/>
                </w:rPr>
              </m:ctrlPr>
            </m:dPr>
            <m:e>
              <m:r>
                <m:rPr>
                  <m:sty m:val="p"/>
                </m:rPr>
                <w:rPr>
                  <w:rFonts w:ascii="Cambria Math" w:hAnsi="Cambria Math"/>
                </w:rPr>
                <m:t>0,1</m:t>
              </m:r>
            </m:e>
          </m:d>
        </m:oMath>
      </m:oMathPara>
    </w:p>
    <w:p w14:paraId="08BA0865" w14:textId="77777777" w:rsidR="008F5DA6" w:rsidRDefault="00000000">
      <w:pPr>
        <w:spacing w:line="360" w:lineRule="auto"/>
        <w:ind w:firstLine="720"/>
        <w:jc w:val="center"/>
      </w:pPr>
      <m:oMathPara>
        <m:oMathParaPr>
          <m:jc m:val="center"/>
        </m:oMathParaPr>
        <m:oMath>
          <m:sSup>
            <m:sSupPr>
              <m:ctrlPr>
                <w:rPr>
                  <w:rFonts w:ascii="Cambria Math" w:hAnsi="Cambria Math"/>
                </w:rPr>
              </m:ctrlPr>
            </m:sSupPr>
            <m:e>
              <m:r>
                <m:rPr>
                  <m:sty m:val="p"/>
                </m:rPr>
                <w:rPr>
                  <w:rFonts w:ascii="Cambria Math" w:hAnsi="Cambria Math"/>
                </w:rPr>
                <m:t>τ</m:t>
              </m:r>
            </m:e>
            <m:sup>
              <m:r>
                <w:rPr>
                  <w:rFonts w:ascii="Cambria Math" w:hAnsi="Cambria Math"/>
                </w:rPr>
                <m:t>2</m:t>
              </m:r>
            </m:sup>
          </m:sSup>
          <m:r>
            <w:rPr>
              <w:rFonts w:ascii="Cambria Math" w:hAnsi="Cambria Math"/>
            </w:rPr>
            <m:t>~HC</m:t>
          </m:r>
          <m:d>
            <m:dPr>
              <m:ctrlPr>
                <w:rPr>
                  <w:rFonts w:ascii="Cambria Math" w:hAnsi="Cambria Math"/>
                </w:rPr>
              </m:ctrlPr>
            </m:dPr>
            <m:e>
              <m:r>
                <w:rPr>
                  <w:rFonts w:ascii="Cambria Math" w:hAnsi="Cambria Math"/>
                </w:rPr>
                <m:t>0,.5</m:t>
              </m:r>
            </m:e>
          </m:d>
        </m:oMath>
      </m:oMathPara>
    </w:p>
    <w:p w14:paraId="63E0B45A" w14:textId="09527C94" w:rsidR="008F5DA6" w:rsidRDefault="00FB05D1" w:rsidP="001D7FDA">
      <w:pPr>
        <w:spacing w:line="360" w:lineRule="auto"/>
        <w:ind w:firstLine="720"/>
        <w:jc w:val="both"/>
      </w:pPr>
      <w:r>
        <w:rPr>
          <w:rFonts w:ascii="Times New Roman" w:hAnsi="Times New Roman" w:cs="Times New Roman"/>
        </w:rPr>
        <w:t xml:space="preserve">Meta-regressions were conducted by introducing covariates using linear modelling of the </w:t>
      </w:r>
      <m:oMath>
        <m:r>
          <m:rPr>
            <m:sty m:val="p"/>
          </m:rPr>
          <w:rPr>
            <w:rFonts w:ascii="Cambria Math" w:hAnsi="Cambria Math"/>
          </w:rPr>
          <m:t>μ </m:t>
        </m:r>
      </m:oMath>
      <w:r w:rsidR="001D7FDA" w:rsidRPr="001D7FDA">
        <w:rPr>
          <w:rFonts w:ascii="Times New Roman" w:hAnsi="Times New Roman" w:cs="Times New Roman"/>
        </w:rPr>
        <w:t>parameter, following</w:t>
      </w:r>
      <w:r w:rsidR="001D7FDA">
        <w:rPr>
          <w:rFonts w:ascii="Times New Roman" w:hAnsi="Times New Roman" w:cs="Times New Roman"/>
        </w:rPr>
        <w:t xml:space="preserve"> </w:t>
      </w:r>
      <w:r w:rsidR="001D7FDA" w:rsidRPr="001D7FDA">
        <w:rPr>
          <w:rFonts w:ascii="Times New Roman" w:hAnsi="Times New Roman" w:cs="Times New Roman"/>
        </w:rPr>
        <w:t>the Bayesian linear modelling framework</w:t>
      </w:r>
      <w:r w:rsidR="001D7FDA">
        <w:rPr>
          <w:rFonts w:ascii="Times New Roman" w:hAnsi="Times New Roman" w:cs="Times New Roman"/>
        </w:rPr>
        <w:t xml:space="preserve"> </w:t>
      </w:r>
      <w:r w:rsidR="0073226D">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{"citationID":"a16taujhatl","properties":{"unsorted":false,"formattedCitation":"(McElreath, 2020)","plainCitation":"(McElreath, 2020)","noteIndex":0},"citationItems":[{"id":17866,"uris":["http://zotero.org/users/8613739/items/BMB5GNS7"],"itemData":{"id":17866,"type":"book","abstract":"Winner of the 2024 De Groot Prize awarded by the International Society for Bayesian Analysis (ISBA)\nStatistical Rethinking: A Bayesian Course with Examples in R and Stan builds your knowledge of and confidence in making inferences from data. Reflecting the need for scripting in today's model-based statistics, the book pushes you to perform step-by-step calculations that are usually automated. This unique computational approach ensures that you understand enough of the details to make reasonable choices and interpretations in your own modeling work.\nThe text presents causal inference and generalized linear multilevel models from a simple Bayesian perspective that builds on information theory and maximum entropy. The core material ranges from the basics of regression to advanced multilevel models. It also presents measurement error, missing data, and Gaussian process models for spatial and phylogenetic confounding.\nThe second edition emphasizes the directed acyclic graph (DAG) approach to causal inference, integrating DAGs into many examples. The new edition also contains new material on the design of prior distributions, splines, ordered categorical predictors, social relations models, cross-validation, importance sampling, instrumental variables, and Hamiltonian Monte Carlo. It ends with an entirely new chapter that goes beyond generalized linear modeling, showing how domain-specific scientific models can be built into statistical analyses.\nFeatures\n\n\nIntegrates working code into the main text.\n\n\n\n\nIllustrates concepts through worked data analysis examples.\n\n\n\n\nEmphasizes understanding assumptions and how assumptions are reflected in code.\n\n\n\n\nOffers more detailed explanations of the mathematics in optional sections.\n\n\n\n\nPresents examples of using the dagitty R package to analyze causal graphs.\nProvides the rethinking R package on the author's website and on GitHub.","citation-key":"mcelreathStatisticalRethinkingBayesian2020","DOI":"10.1201/9780429029608","edition":"2","ISBN":"978-0-429-02960-8","number-of-pages":"612","publisher":"Chapman and Hall/CRC","publisher-place":"New York","title":"Statistical Rethinking: A Bayesian Course with Examples in R and STAN","title-short":"Statistical Rethinking","author":[{"family":"McElreath","given":"Richard"}],"issued":{"date-parts":[["2020",3,13]]}}}],"schema":"https://github.com/citation-style-language/schema/raw/master/csl-citation.json"} </w:instrText>
      </w:r>
      <w:r w:rsidR="0073226D">
        <w:rPr>
          <w:rFonts w:ascii="Times New Roman" w:hAnsi="Times New Roman" w:cs="Times New Roman"/>
        </w:rPr>
        <w:fldChar w:fldCharType="separate"/>
      </w:r>
      <w:r w:rsidR="00B633EE" w:rsidRPr="00B633EE">
        <w:rPr>
          <w:rFonts w:ascii="Times New Roman" w:hAnsi="Times New Roman" w:cs="Times New Roman"/>
        </w:rPr>
        <w:t>(McElreath, 2020)</w:t>
      </w:r>
      <w:r w:rsidR="0073226D">
        <w:rPr>
          <w:rFonts w:ascii="Times New Roman" w:hAnsi="Times New Roman" w:cs="Times New Roman"/>
        </w:rPr>
        <w:fldChar w:fldCharType="end"/>
      </w:r>
      <w:r>
        <w:rPr>
          <w:rFonts w:ascii="Times New Roman" w:hAnsi="Times New Roman" w:cs="Times New Roman"/>
        </w:rPr>
        <w:t xml:space="preserve">. At the second level of the meta-regression, rather than assuming a common distribution for all </w:t>
      </w:r>
      <m:oMath>
        <m:sSub>
          <m:sSubPr>
            <m:ctrlPr>
              <w:rPr>
                <w:rFonts w:ascii="Cambria Math" w:hAnsi="Cambria Math"/>
              </w:rPr>
            </m:ctrlPr>
          </m:sSubPr>
          <m:e>
            <m:r>
              <w:rPr>
                <w:rFonts w:ascii="Cambria Math" w:hAnsi="Cambria Math"/>
              </w:rPr>
              <m:t>θ</m:t>
            </m:r>
          </m:e>
          <m:sub>
            <m:r>
              <w:rPr>
                <w:rFonts w:ascii="Cambria Math" w:hAnsi="Cambria Math"/>
              </w:rPr>
              <m:t>k</m:t>
            </m:r>
          </m:sub>
        </m:sSub>
      </m:oMath>
      <w:r>
        <w:rPr>
          <w:rFonts w:ascii="Times New Roman" w:hAnsi="Times New Roman" w:cs="Times New Roman"/>
        </w:rPr>
        <w:t xml:space="preserve">​, we allowed each study's true effect to vary systematically with observed covariates </w:t>
      </w:r>
      <m:oMath>
        <m:sSub>
          <m:sSubPr>
            <m:ctrlPr>
              <w:rPr>
                <w:rFonts w:ascii="Cambria Math" w:hAnsi="Cambria Math"/>
              </w:rPr>
            </m:ctrlPr>
          </m:sSubPr>
          <m:e>
            <m:r>
              <w:rPr>
                <w:rFonts w:ascii="Cambria Math" w:hAnsi="Cambria Math"/>
              </w:rPr>
              <m:t>x</m:t>
            </m:r>
          </m:e>
          <m:sub>
            <m:r>
              <w:rPr>
                <w:rFonts w:ascii="Cambria Math" w:hAnsi="Cambria Math"/>
              </w:rPr>
              <m:t>i</m:t>
            </m:r>
          </m:sub>
        </m:sSub>
      </m:oMath>
      <w:r>
        <w:rPr>
          <w:rFonts w:ascii="Times New Roman" w:hAnsi="Times New Roman" w:cs="Times New Roman"/>
        </w:rPr>
        <w:t xml:space="preserve">​ (for example, number of available experience-sampling options). Specifically, we modelled </w:t>
      </w:r>
      <m:oMath>
        <m:sSub>
          <m:sSubPr>
            <m:ctrlPr>
              <w:rPr>
                <w:rFonts w:ascii="Cambria Math" w:hAnsi="Cambria Math"/>
              </w:rPr>
            </m:ctrlPr>
          </m:sSubPr>
          <m:e>
            <m:r>
              <w:rPr>
                <w:rFonts w:ascii="Cambria Math" w:hAnsi="Cambria Math"/>
              </w:rPr>
              <m:t>θ</m:t>
            </m:r>
          </m:e>
          <m:sub>
            <m:r>
              <w:rPr>
                <w:rFonts w:ascii="Cambria Math" w:hAnsi="Cambria Math"/>
              </w:rPr>
              <m:t>k</m:t>
            </m:r>
          </m:sub>
        </m:sSub>
      </m:oMath>
      <w:r>
        <w:rPr>
          <w:rFonts w:ascii="Times New Roman" w:hAnsi="Times New Roman" w:cs="Times New Roman"/>
        </w:rPr>
        <w:t xml:space="preserve">​ as being drawn from a normal distribution with a mean </w:t>
      </w:r>
      <m:oMath>
        <m:r>
          <w:rPr>
            <w:rFonts w:ascii="Cambria Math" w:hAnsi="Cambria Math"/>
          </w:rPr>
          <m:t>μ+β</m:t>
        </m:r>
        <m:sSub>
          <m:sSubPr>
            <m:ctrlPr>
              <w:rPr>
                <w:rFonts w:ascii="Cambria Math" w:hAnsi="Cambria Math"/>
              </w:rPr>
            </m:ctrlPr>
          </m:sSubPr>
          <m:e>
            <m:r>
              <w:rPr>
                <w:rFonts w:ascii="Cambria Math" w:hAnsi="Cambria Math"/>
              </w:rPr>
              <m:t>x</m:t>
            </m:r>
          </m:e>
          <m:sub>
            <m:r>
              <w:rPr>
                <w:rFonts w:ascii="Cambria Math" w:hAnsi="Cambria Math"/>
              </w:rPr>
              <m:t>i</m:t>
            </m:r>
          </m:sub>
        </m:sSub>
      </m:oMath>
      <w:r>
        <w:rPr>
          <w:rFonts w:ascii="Times New Roman" w:hAnsi="Times New Roman" w:cs="Times New Roman"/>
        </w:rPr>
        <w:t xml:space="preserve"> and a between-study variance </w:t>
      </w:r>
      <m:oMath>
        <m:sSup>
          <m:sSupPr>
            <m:ctrlPr>
              <w:rPr>
                <w:rFonts w:ascii="Cambria Math" w:hAnsi="Cambria Math"/>
              </w:rPr>
            </m:ctrlPr>
          </m:sSupPr>
          <m:e>
            <m:r>
              <w:rPr>
                <w:rFonts w:ascii="Cambria Math" w:hAnsi="Cambria Math"/>
              </w:rPr>
              <m:t>τ</m:t>
            </m:r>
          </m:e>
          <m:sup>
            <m:r>
              <w:rPr>
                <w:rFonts w:ascii="Cambria Math" w:hAnsi="Cambria Math"/>
              </w:rPr>
              <m:t>2</m:t>
            </m:r>
          </m:sup>
        </m:sSup>
      </m:oMath>
      <w:r>
        <w:rPr>
          <w:rFonts w:ascii="Times New Roman" w:hAnsi="Times New Roman" w:cs="Times New Roman"/>
        </w:rPr>
        <w:t>.</w:t>
      </w:r>
      <w:r>
        <w:rPr>
          <w:rFonts w:ascii="Times New Roman" w:hAnsi="Times New Roman" w:cs="Times New Roman"/>
          <w:i/>
          <w:iCs/>
        </w:rPr>
        <w:t xml:space="preserve"> </w:t>
      </w:r>
      <w:r>
        <w:rPr>
          <w:rFonts w:ascii="Times New Roman" w:hAnsi="Times New Roman" w:cs="Times New Roman"/>
        </w:rPr>
        <w:t xml:space="preserve">The Bayesian model was defined as: </w:t>
      </w:r>
    </w:p>
    <w:p w14:paraId="3E73BA3C" w14:textId="77777777" w:rsidR="008F5DA6" w:rsidRDefault="00000000">
      <w:pPr>
        <w:spacing w:line="360" w:lineRule="auto"/>
        <w:jc w:val="center"/>
      </w:pPr>
      <m:oMathPara>
        <m:oMathParaPr>
          <m:jc m:val="center"/>
        </m:oMathParaPr>
        <m:oMath>
          <m:acc>
            <m:accPr>
              <m:ctrlPr>
                <w:rPr>
                  <w:rFonts w:ascii="Cambria Math" w:hAnsi="Cambria Math"/>
                </w:rPr>
              </m:ctrlPr>
            </m:accPr>
            <m:e>
              <m:sSub>
                <m:sSubPr>
                  <m:ctrlPr>
                    <w:rPr>
                      <w:rFonts w:ascii="Cambria Math" w:hAnsi="Cambria Math"/>
                    </w:rPr>
                  </m:ctrlPr>
                </m:sSubPr>
                <m:e>
                  <m:r>
                    <m:rPr>
                      <m:sty m:val="p"/>
                    </m:rPr>
                    <w:rPr>
                      <w:rFonts w:ascii="Cambria Math" w:hAnsi="Cambria Math"/>
                    </w:rPr>
                    <m:t>θ</m:t>
                  </m:r>
                </m:e>
                <m:sub>
                  <m:r>
                    <w:rPr>
                      <w:rFonts w:ascii="Cambria Math" w:hAnsi="Cambria Math"/>
                    </w:rPr>
                    <m:t>k</m:t>
                  </m:r>
                </m:sub>
              </m:sSub>
            </m:e>
          </m:acc>
          <m:r>
            <m:rPr>
              <m:scr m:val="script"/>
            </m:rPr>
            <w:rPr>
              <w:rFonts w:ascii="Cambria Math" w:hAnsi="Cambria Math"/>
            </w:rPr>
            <m:t>∼N</m:t>
          </m:r>
          <m:d>
            <m:dPr>
              <m:ctrlPr>
                <w:rPr>
                  <w:rFonts w:ascii="Cambria Math" w:hAnsi="Cambria Math"/>
                </w:rPr>
              </m:ctrlPr>
            </m:dPr>
            <m:e>
              <m:sSub>
                <m:sSubPr>
                  <m:ctrlPr>
                    <w:rPr>
                      <w:rFonts w:ascii="Cambria Math" w:hAnsi="Cambria Math"/>
                    </w:rPr>
                  </m:ctrlPr>
                </m:sSubPr>
                <m:e>
                  <m:r>
                    <m:rPr>
                      <m:sty m:val="p"/>
                    </m:rPr>
                    <w:rPr>
                      <w:rFonts w:ascii="Cambria Math" w:hAnsi="Cambria Math"/>
                    </w:rPr>
                    <m:t>θ</m:t>
                  </m:r>
                </m:e>
                <m:sub>
                  <m:r>
                    <w:rPr>
                      <w:rFonts w:ascii="Cambria Math" w:hAnsi="Cambria Math"/>
                    </w:rPr>
                    <m:t>k</m:t>
                  </m:r>
                </m:sub>
              </m:sSub>
              <m:r>
                <w:rPr>
                  <w:rFonts w:ascii="Cambria Math" w:hAnsi="Cambria Math"/>
                </w:rPr>
                <m:t>,</m:t>
              </m:r>
              <m:sSubSup>
                <m:sSubSupPr>
                  <m:ctrlPr>
                    <w:rPr>
                      <w:rFonts w:ascii="Cambria Math" w:hAnsi="Cambria Math"/>
                    </w:rPr>
                  </m:ctrlPr>
                </m:sSubSupPr>
                <m:e>
                  <m:r>
                    <m:rPr>
                      <m:sty m:val="p"/>
                    </m:rPr>
                    <w:rPr>
                      <w:rFonts w:ascii="Cambria Math" w:hAnsi="Cambria Math"/>
                    </w:rPr>
                    <m:t>σ</m:t>
                  </m:r>
                </m:e>
                <m:sub>
                  <m:r>
                    <w:rPr>
                      <w:rFonts w:ascii="Cambria Math" w:hAnsi="Cambria Math"/>
                    </w:rPr>
                    <m:t>k</m:t>
                  </m:r>
                </m:sub>
                <m:sup>
                  <m:r>
                    <w:rPr>
                      <w:rFonts w:ascii="Cambria Math" w:hAnsi="Cambria Math"/>
                    </w:rPr>
                    <m:t>2</m:t>
                  </m:r>
                </m:sup>
              </m:sSubSup>
            </m:e>
          </m:d>
        </m:oMath>
      </m:oMathPara>
    </w:p>
    <w:p w14:paraId="78BC6BF5" w14:textId="77777777" w:rsidR="008F5DA6" w:rsidRDefault="00000000">
      <w:pPr>
        <w:spacing w:line="360" w:lineRule="auto"/>
        <w:ind w:firstLine="720"/>
        <w:jc w:val="center"/>
      </w:pPr>
      <m:oMathPara>
        <m:oMathParaPr>
          <m:jc m:val="center"/>
        </m:oMathParaPr>
        <m:oMath>
          <m:sSub>
            <m:sSubPr>
              <m:ctrlPr>
                <w:rPr>
                  <w:rFonts w:ascii="Cambria Math" w:hAnsi="Cambria Math"/>
                </w:rPr>
              </m:ctrlPr>
            </m:sSubPr>
            <m:e>
              <m:r>
                <m:rPr>
                  <m:sty m:val="p"/>
                </m:rPr>
                <w:rPr>
                  <w:rFonts w:ascii="Cambria Math" w:hAnsi="Cambria Math"/>
                </w:rPr>
                <m:t>θ</m:t>
              </m:r>
            </m:e>
            <m:sub>
              <m:r>
                <w:rPr>
                  <w:rFonts w:ascii="Cambria Math" w:hAnsi="Cambria Math"/>
                </w:rPr>
                <m:t>k</m:t>
              </m:r>
            </m:sub>
          </m:sSub>
          <m:r>
            <w:rPr>
              <w:rFonts w:ascii="Cambria Math" w:hAnsi="Cambria Math"/>
            </w:rPr>
            <m:t>∼N</m:t>
          </m:r>
          <m:d>
            <m:dPr>
              <m:ctrlPr>
                <w:rPr>
                  <w:rFonts w:ascii="Cambria Math" w:hAnsi="Cambria Math"/>
                </w:rPr>
              </m:ctrlPr>
            </m:dPr>
            <m:e>
              <m:r>
                <m:rPr>
                  <m:sty m:val="p"/>
                </m:rPr>
                <w:rPr>
                  <w:rFonts w:ascii="Cambria Math" w:hAnsi="Cambria Math"/>
                </w:rPr>
                <m:t>μ</m:t>
              </m:r>
              <m:r>
                <w:rPr>
                  <w:rFonts w:ascii="Cambria Math" w:hAnsi="Cambria Math"/>
                </w:rPr>
                <m:t>+</m:t>
              </m:r>
              <m:r>
                <m:rPr>
                  <m:sty m:val="p"/>
                </m:rPr>
                <w:rPr>
                  <w:rFonts w:ascii="Cambria Math" w:hAnsi="Cambria Math"/>
                </w:rPr>
                <m:t>β</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sSup>
                <m:sSupPr>
                  <m:ctrlPr>
                    <w:rPr>
                      <w:rFonts w:ascii="Cambria Math" w:hAnsi="Cambria Math"/>
                    </w:rPr>
                  </m:ctrlPr>
                </m:sSupPr>
                <m:e>
                  <m:r>
                    <m:rPr>
                      <m:sty m:val="p"/>
                    </m:rPr>
                    <w:rPr>
                      <w:rFonts w:ascii="Cambria Math" w:hAnsi="Cambria Math"/>
                    </w:rPr>
                    <m:t>τ</m:t>
                  </m:r>
                </m:e>
                <m:sup>
                  <m:r>
                    <w:rPr>
                      <w:rFonts w:ascii="Cambria Math" w:hAnsi="Cambria Math"/>
                    </w:rPr>
                    <m:t>2</m:t>
                  </m:r>
                </m:sup>
              </m:sSup>
            </m:e>
          </m:d>
        </m:oMath>
      </m:oMathPara>
    </w:p>
    <w:p w14:paraId="6F867FE0" w14:textId="77777777" w:rsidR="008F5DA6" w:rsidRDefault="00FB05D1">
      <w:pPr>
        <w:spacing w:line="360" w:lineRule="auto"/>
        <w:ind w:firstLine="720"/>
        <w:jc w:val="center"/>
      </w:pPr>
      <m:oMathPara>
        <m:oMathParaPr>
          <m:jc m:val="center"/>
        </m:oMathParaPr>
        <m:oMath>
          <m:r>
            <w:rPr>
              <w:rFonts w:ascii="Cambria Math" w:hAnsi="Cambria Math"/>
            </w:rPr>
            <m:t>μ ~ N</m:t>
          </m:r>
          <m:d>
            <m:dPr>
              <m:ctrlPr>
                <w:rPr>
                  <w:rFonts w:ascii="Cambria Math" w:hAnsi="Cambria Math"/>
                </w:rPr>
              </m:ctrlPr>
            </m:dPr>
            <m:e>
              <m:r>
                <m:rPr>
                  <m:sty m:val="p"/>
                </m:rPr>
                <w:rPr>
                  <w:rFonts w:ascii="Cambria Math" w:hAnsi="Cambria Math"/>
                </w:rPr>
                <m:t>0,1</m:t>
              </m:r>
            </m:e>
          </m:d>
        </m:oMath>
      </m:oMathPara>
    </w:p>
    <w:p w14:paraId="15E4A78B" w14:textId="77777777" w:rsidR="008F5DA6" w:rsidRDefault="00FB05D1">
      <w:pPr>
        <w:spacing w:line="360" w:lineRule="auto"/>
        <w:ind w:firstLine="720"/>
        <w:jc w:val="center"/>
      </w:pPr>
      <m:oMathPara>
        <m:oMathParaPr>
          <m:jc m:val="center"/>
        </m:oMathParaPr>
        <m:oMath>
          <m:r>
            <w:rPr>
              <w:rFonts w:ascii="Cambria Math" w:hAnsi="Cambria Math"/>
            </w:rPr>
            <m:t>β ~ N</m:t>
          </m:r>
          <m:d>
            <m:dPr>
              <m:ctrlPr>
                <w:rPr>
                  <w:rFonts w:ascii="Cambria Math" w:hAnsi="Cambria Math"/>
                </w:rPr>
              </m:ctrlPr>
            </m:dPr>
            <m:e>
              <m:r>
                <m:rPr>
                  <m:sty m:val="p"/>
                </m:rPr>
                <w:rPr>
                  <w:rFonts w:ascii="Cambria Math" w:hAnsi="Cambria Math"/>
                </w:rPr>
                <m:t>0,1</m:t>
              </m:r>
            </m:e>
          </m:d>
        </m:oMath>
      </m:oMathPara>
    </w:p>
    <w:p w14:paraId="7FFC3A03" w14:textId="77777777" w:rsidR="008F5DA6" w:rsidRDefault="00000000">
      <w:pPr>
        <w:spacing w:line="360" w:lineRule="auto"/>
        <w:ind w:firstLine="720"/>
        <w:jc w:val="center"/>
      </w:pPr>
      <m:oMathPara>
        <m:oMathParaPr>
          <m:jc m:val="center"/>
        </m:oMathParaPr>
        <m:oMath>
          <m:sSup>
            <m:sSupPr>
              <m:ctrlPr>
                <w:rPr>
                  <w:rFonts w:ascii="Cambria Math" w:hAnsi="Cambria Math"/>
                </w:rPr>
              </m:ctrlPr>
            </m:sSupPr>
            <m:e>
              <m:r>
                <m:rPr>
                  <m:sty m:val="p"/>
                </m:rPr>
                <w:rPr>
                  <w:rFonts w:ascii="Cambria Math" w:hAnsi="Cambria Math"/>
                </w:rPr>
                <m:t>τ</m:t>
              </m:r>
            </m:e>
            <m:sup>
              <m:r>
                <w:rPr>
                  <w:rFonts w:ascii="Cambria Math" w:hAnsi="Cambria Math"/>
                </w:rPr>
                <m:t>2</m:t>
              </m:r>
            </m:sup>
          </m:sSup>
          <m:r>
            <w:rPr>
              <w:rFonts w:ascii="Cambria Math" w:hAnsi="Cambria Math"/>
            </w:rPr>
            <m:t> ~ HC(0,.5)</m:t>
          </m:r>
        </m:oMath>
      </m:oMathPara>
    </w:p>
    <w:p w14:paraId="0A4A7FFA" w14:textId="0185427A" w:rsidR="008F5DA6" w:rsidRDefault="00FB05D1">
      <w:pPr>
        <w:spacing w:line="360" w:lineRule="auto"/>
        <w:ind w:firstLine="720"/>
        <w:jc w:val="both"/>
      </w:pPr>
      <w:r w:rsidRPr="22DB2182">
        <w:rPr>
          <w:rFonts w:ascii="Times New Roman" w:hAnsi="Times New Roman" w:cs="Times New Roman"/>
        </w:rPr>
        <w:t xml:space="preserve">All models </w:t>
      </w:r>
      <w:proofErr w:type="gramStart"/>
      <w:r w:rsidRPr="22DB2182">
        <w:rPr>
          <w:rFonts w:ascii="Times New Roman" w:hAnsi="Times New Roman" w:cs="Times New Roman"/>
        </w:rPr>
        <w:t>were fit to</w:t>
      </w:r>
      <w:proofErr w:type="gramEnd"/>
      <w:r w:rsidRPr="22DB2182">
        <w:rPr>
          <w:rFonts w:ascii="Times New Roman" w:hAnsi="Times New Roman" w:cs="Times New Roman"/>
        </w:rPr>
        <w:t xml:space="preserve"> the log-odds converted probabilities. Given that raw probability scores follow a bounded distribution at [0,1] and we anticipate MB report rates to be low, this raises the issue o</w:t>
      </w:r>
      <w:r w:rsidR="41E177AE" w:rsidRPr="22DB2182">
        <w:rPr>
          <w:rFonts w:ascii="Times New Roman" w:hAnsi="Times New Roman" w:cs="Times New Roman"/>
        </w:rPr>
        <w:t xml:space="preserve">f </w:t>
      </w:r>
      <w:r w:rsidR="00F740F8" w:rsidRPr="22DB2182">
        <w:rPr>
          <w:rFonts w:ascii="Times New Roman" w:hAnsi="Times New Roman" w:cs="Times New Roman"/>
        </w:rPr>
        <w:t>log-odds-transformed uniform distribution U(0,1)</w:t>
      </w:r>
      <w:proofErr w:type="spellStart"/>
      <w:r w:rsidRPr="22DB2182">
        <w:rPr>
          <w:rFonts w:ascii="Times New Roman" w:hAnsi="Times New Roman" w:cs="Times New Roman"/>
        </w:rPr>
        <w:t>tential</w:t>
      </w:r>
      <w:proofErr w:type="spellEnd"/>
      <w:r w:rsidRPr="22DB2182">
        <w:rPr>
          <w:rFonts w:ascii="Times New Roman" w:hAnsi="Times New Roman" w:cs="Times New Roman"/>
        </w:rPr>
        <w:t xml:space="preserve"> overestimation of rate precision </w:t>
      </w:r>
      <w:r w:rsidRPr="22DB2182">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{"citationID":"at5k065aeu","properties":{"unsorted":false,"formattedCitation":"(Lipsey &amp; Wilson, 2001)","plainCitation":"(Lipsey &amp; Wilson, 2001)","noteIndex":0},"citationItems":[{"id":17865,"uris":["http://zotero.org/users/8613739/items/EF34RU77"],"itemData":{"id":17865,"type":"book","abstract":"Meta-analysis can be understood as a form of survey research in which research reports, rather than people, are surveyed. But how does a researcher select relevant research studies, code their various characteristics and quantitative findings, and analyze and describe their collective results in a valid and useful manner? Through an emphasis on practical procedures and a consideration of choices for implementing them, the authors provide readers with an answer to this question in a user-friendly, state-of-the-art presentation of meta-analysis. The authors lay out each step of meta-analysis from problem formulation through statistical analysis and the interpretation of results. In addition, they offer (1) detailed advice about formatting coding forms, estimating effect sizes, and conducting statistical analysis; (2) coverage of meta-analysis with all the effect size statistics commonly used in different fields, plus some specialized ones; (3) macros that can be used with popular statistical programs to perform meta-analysis calculations; and (4) frequent examples to illustrate important points and procedures. (PsycINFO Database Record (c) 2016 APA, all rights reserved)","citation-key":"lipseyPracticalMetaanalysis2001","collection-title":"Practical meta-analysis","ISBN":"978-0-7619-2167-7","note":"page: ix, 247","number-of-pages":"ix, 247","publisher":"Sage Publications, Inc","publisher-place":"Thousand Oaks, CA, US","source":"APA PsycNet","title":"Practical meta-analysis","author":[{"family":"Lipsey","given":"Mark W."},{"family":"Wilson","given":"David B."}],"issued":{"date-parts":[["2001"]]}}}],"schema":"https://github.com/citation-style-language/schema/raw/master/csl-citation.json"} </w:instrText>
      </w:r>
      <w:r w:rsidRPr="22DB2182">
        <w:rPr>
          <w:rFonts w:ascii="Times New Roman" w:hAnsi="Times New Roman" w:cs="Times New Roman"/>
        </w:rPr>
        <w:fldChar w:fldCharType="separate"/>
      </w:r>
      <w:r w:rsidR="00B633EE" w:rsidRPr="00B633EE">
        <w:rPr>
          <w:rFonts w:ascii="Times New Roman" w:hAnsi="Times New Roman" w:cs="Times New Roman"/>
        </w:rPr>
        <w:t>(Lipsey &amp; Wilson, 2001)</w:t>
      </w:r>
      <w:r w:rsidRPr="22DB2182">
        <w:rPr>
          <w:rFonts w:ascii="Times New Roman" w:hAnsi="Times New Roman" w:cs="Times New Roman"/>
        </w:rPr>
        <w:fldChar w:fldCharType="end"/>
      </w:r>
      <w:r w:rsidRPr="22DB2182">
        <w:rPr>
          <w:rFonts w:ascii="Times New Roman" w:hAnsi="Times New Roman" w:cs="Times New Roman"/>
        </w:rPr>
        <w:t xml:space="preserve">. Therefore, we used the logit transformation of the raw probabilities, which follows an unbounded distribution. A benefit of this approach is that </w:t>
      </w:r>
      <w:r w:rsidR="00F740F8" w:rsidRPr="22DB2182">
        <w:rPr>
          <w:rFonts w:ascii="Times New Roman" w:hAnsi="Times New Roman" w:cs="Times New Roman"/>
        </w:rPr>
        <w:t>log odds</w:t>
      </w:r>
      <w:r w:rsidRPr="22DB2182">
        <w:rPr>
          <w:rFonts w:ascii="Times New Roman" w:hAnsi="Times New Roman" w:cs="Times New Roman"/>
        </w:rPr>
        <w:t xml:space="preserve"> and probabilities are interchangeable, and our posteriors could be expressed in either form. This improves model fit while retaining the </w:t>
      </w:r>
      <w:r w:rsidRPr="22DB2182">
        <w:rPr>
          <w:rFonts w:ascii="Times New Roman" w:hAnsi="Times New Roman" w:cs="Times New Roman"/>
        </w:rPr>
        <w:lastRenderedPageBreak/>
        <w:t>interpretability of the posterior parameters. The standard error of the logit-transformed rate was estimated as:</w:t>
      </w:r>
    </w:p>
    <w:p w14:paraId="671C4919" w14:textId="77777777" w:rsidR="008F5DA6" w:rsidRPr="00770EBE" w:rsidRDefault="00FB05D1">
      <w:pPr>
        <w:spacing w:line="360" w:lineRule="auto"/>
        <w:jc w:val="center"/>
        <w:rPr>
          <w:lang w:val="fr-BE"/>
        </w:rPr>
      </w:pPr>
      <m:oMathPara>
        <m:oMathParaPr>
          <m:jc m:val="center"/>
        </m:oMathParaPr>
        <m:oMath>
          <m:r>
            <w:rPr>
              <w:rFonts w:ascii="Cambria Math" w:hAnsi="Cambria Math"/>
            </w:rPr>
            <m:t>S</m:t>
          </m:r>
          <m:sSub>
            <m:sSubPr>
              <m:ctrlPr>
                <w:rPr>
                  <w:rFonts w:ascii="Cambria Math" w:hAnsi="Cambria Math"/>
                </w:rPr>
              </m:ctrlPr>
            </m:sSubPr>
            <m:e>
              <m:r>
                <w:rPr>
                  <w:rFonts w:ascii="Cambria Math" w:hAnsi="Cambria Math"/>
                </w:rPr>
                <m:t>E</m:t>
              </m:r>
            </m:e>
            <m:sub>
              <m:sSub>
                <m:sSubPr>
                  <m:ctrlPr>
                    <w:rPr>
                      <w:rFonts w:ascii="Cambria Math" w:hAnsi="Cambria Math"/>
                    </w:rPr>
                  </m:ctrlPr>
                </m:sSubPr>
                <m:e>
                  <m:r>
                    <w:rPr>
                      <w:rFonts w:ascii="Cambria Math" w:hAnsi="Cambria Math"/>
                    </w:rPr>
                    <m:t>p</m:t>
                  </m:r>
                </m:e>
                <m:sub>
                  <m:r>
                    <m:rPr>
                      <m:nor/>
                    </m:rPr>
                    <w:rPr>
                      <w:lang w:val="fr-BE"/>
                    </w:rPr>
                    <m:t>logit</m:t>
                  </m:r>
                </m:sub>
              </m:sSub>
            </m:sub>
          </m:sSub>
          <m:r>
            <w:rPr>
              <w:rFonts w:ascii="Cambria Math" w:hAnsi="Cambria Math"/>
              <w:lang w:val="fr-BE"/>
            </w:rPr>
            <m:t>=</m:t>
          </m:r>
          <m:rad>
            <m:radPr>
              <m:degHide m:val="1"/>
              <m:ctrlPr>
                <w:rPr>
                  <w:rFonts w:ascii="Cambria Math" w:hAnsi="Cambria Math"/>
                </w:rPr>
              </m:ctrlPr>
            </m:radPr>
            <m:deg/>
            <m:e>
              <m:f>
                <m:fPr>
                  <m:ctrlPr>
                    <w:rPr>
                      <w:rFonts w:ascii="Cambria Math" w:hAnsi="Cambria Math"/>
                    </w:rPr>
                  </m:ctrlPr>
                </m:fPr>
                <m:num>
                  <m:r>
                    <w:rPr>
                      <w:rFonts w:ascii="Cambria Math" w:hAnsi="Cambria Math"/>
                      <w:lang w:val="fr-BE"/>
                    </w:rPr>
                    <m:t>1</m:t>
                  </m:r>
                </m:num>
                <m:den>
                  <m:r>
                    <w:rPr>
                      <w:rFonts w:ascii="Cambria Math" w:hAnsi="Cambria Math"/>
                    </w:rPr>
                    <m:t>np</m:t>
                  </m:r>
                </m:den>
              </m:f>
              <m:r>
                <w:rPr>
                  <w:rFonts w:ascii="Cambria Math" w:hAnsi="Cambria Math"/>
                  <w:lang w:val="fr-BE"/>
                </w:rPr>
                <m:t>+</m:t>
              </m:r>
              <m:f>
                <m:fPr>
                  <m:ctrlPr>
                    <w:rPr>
                      <w:rFonts w:ascii="Cambria Math" w:hAnsi="Cambria Math"/>
                    </w:rPr>
                  </m:ctrlPr>
                </m:fPr>
                <m:num>
                  <m:r>
                    <w:rPr>
                      <w:rFonts w:ascii="Cambria Math" w:hAnsi="Cambria Math"/>
                      <w:lang w:val="fr-BE"/>
                    </w:rPr>
                    <m:t>1</m:t>
                  </m:r>
                </m:num>
                <m:den>
                  <m:r>
                    <w:rPr>
                      <w:rFonts w:ascii="Cambria Math" w:hAnsi="Cambria Math"/>
                    </w:rPr>
                    <m:t>n</m:t>
                  </m:r>
                  <m:d>
                    <m:dPr>
                      <m:ctrlPr>
                        <w:rPr>
                          <w:rFonts w:ascii="Cambria Math" w:hAnsi="Cambria Math"/>
                        </w:rPr>
                      </m:ctrlPr>
                    </m:dPr>
                    <m:e>
                      <m:r>
                        <w:rPr>
                          <w:rFonts w:ascii="Cambria Math" w:hAnsi="Cambria Math"/>
                          <w:lang w:val="fr-BE"/>
                        </w:rPr>
                        <m:t>1-</m:t>
                      </m:r>
                      <m:r>
                        <w:rPr>
                          <w:rFonts w:ascii="Cambria Math" w:hAnsi="Cambria Math"/>
                        </w:rPr>
                        <m:t>p</m:t>
                      </m:r>
                    </m:e>
                  </m:d>
                </m:den>
              </m:f>
            </m:e>
          </m:rad>
        </m:oMath>
      </m:oMathPara>
    </w:p>
    <w:p w14:paraId="432D3586" w14:textId="77777777" w:rsidR="008F5DA6" w:rsidRDefault="00FB05D1">
      <w:pPr>
        <w:spacing w:line="360" w:lineRule="auto"/>
        <w:jc w:val="both"/>
      </w:pPr>
      <w:r>
        <w:rPr>
          <w:rFonts w:ascii="Times New Roman" w:hAnsi="Times New Roman" w:cs="Times New Roman"/>
          <w:lang w:val="fr-BE"/>
        </w:rPr>
        <w:tab/>
      </w:r>
      <w:r>
        <w:rPr>
          <w:rFonts w:ascii="Times New Roman" w:hAnsi="Times New Roman" w:cs="Times New Roman"/>
          <w:lang w:val="en-GB"/>
        </w:rPr>
        <w:t>Heterogeneity was examined twofold. First, we estimated a Bayesian proxy of I</w:t>
      </w:r>
      <w:r>
        <w:rPr>
          <w:rFonts w:ascii="Times New Roman" w:hAnsi="Times New Roman" w:cs="Times New Roman"/>
          <w:vertAlign w:val="superscript"/>
        </w:rPr>
        <w:t xml:space="preserve">2 </w:t>
      </w:r>
      <w:r>
        <w:rPr>
          <w:rFonts w:ascii="Times New Roman" w:hAnsi="Times New Roman" w:cs="Times New Roman"/>
        </w:rPr>
        <w:t>as:</w:t>
      </w:r>
    </w:p>
    <w:p w14:paraId="386B2FAB" w14:textId="77777777" w:rsidR="008F5DA6" w:rsidRDefault="00000000">
      <w:pPr>
        <w:spacing w:line="360" w:lineRule="auto"/>
        <w:jc w:val="center"/>
      </w:pPr>
      <m:oMathPara>
        <m:oMathParaPr>
          <m:jc m:val="center"/>
        </m:oMathParaPr>
        <m:oMath>
          <m:sSup>
            <m:sSupPr>
              <m:ctrlPr>
                <w:rPr>
                  <w:rFonts w:ascii="Cambria Math" w:hAnsi="Cambria Math"/>
                </w:rPr>
              </m:ctrlPr>
            </m:sSupPr>
            <m:e>
              <m:r>
                <w:rPr>
                  <w:rFonts w:ascii="Cambria Math" w:hAnsi="Cambria Math"/>
                </w:rPr>
                <m:t>I</m:t>
              </m:r>
            </m:e>
            <m:sup>
              <m:r>
                <w:rPr>
                  <w:rFonts w:ascii="Cambria Math" w:hAnsi="Cambria Math"/>
                </w:rPr>
                <m:t>2</m:t>
              </m:r>
            </m:sup>
          </m:sSup>
          <m: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τ</m:t>
                  </m:r>
                </m:e>
                <m:sup>
                  <m:r>
                    <w:rPr>
                      <w:rFonts w:ascii="Cambria Math" w:hAnsi="Cambria Math"/>
                    </w:rPr>
                    <m:t>2</m:t>
                  </m:r>
                </m:sup>
              </m:sSup>
            </m:num>
            <m:den>
              <m:sSup>
                <m:sSupPr>
                  <m:ctrlPr>
                    <w:rPr>
                      <w:rFonts w:ascii="Cambria Math" w:hAnsi="Cambria Math"/>
                    </w:rPr>
                  </m:ctrlPr>
                </m:sSupPr>
                <m:e>
                  <m:r>
                    <m:rPr>
                      <m:sty m:val="p"/>
                    </m:rPr>
                    <w:rPr>
                      <w:rFonts w:ascii="Cambria Math" w:hAnsi="Cambria Math"/>
                    </w:rPr>
                    <m:t>τ</m:t>
                  </m:r>
                </m:e>
                <m:sup>
                  <m:r>
                    <w:rPr>
                      <w:rFonts w:ascii="Cambria Math" w:hAnsi="Cambria Math"/>
                    </w:rPr>
                    <m:t>2</m:t>
                  </m:r>
                </m:sup>
              </m:sSup>
              <m:r>
                <w:rPr>
                  <w:rFonts w:ascii="Cambria Math" w:hAnsi="Cambria Math"/>
                </w:rPr>
                <m:t>+</m:t>
              </m:r>
              <m:acc>
                <m:accPr>
                  <m:chr m:val="̅"/>
                  <m:ctrlPr>
                    <w:rPr>
                      <w:rFonts w:ascii="Cambria Math" w:hAnsi="Cambria Math"/>
                    </w:rPr>
                  </m:ctrlPr>
                </m:accPr>
                <m:e>
                  <m:r>
                    <w:rPr>
                      <w:rFonts w:ascii="Cambria Math" w:hAnsi="Cambria Math"/>
                    </w:rPr>
                    <m:t>S</m:t>
                  </m:r>
                  <m:sSup>
                    <m:sSupPr>
                      <m:ctrlPr>
                        <w:rPr>
                          <w:rFonts w:ascii="Cambria Math" w:hAnsi="Cambria Math"/>
                        </w:rPr>
                      </m:ctrlPr>
                    </m:sSupPr>
                    <m:e>
                      <m:r>
                        <w:rPr>
                          <w:rFonts w:ascii="Cambria Math" w:hAnsi="Cambria Math"/>
                        </w:rPr>
                        <m:t>E</m:t>
                      </m:r>
                    </m:e>
                    <m:sup>
                      <m:r>
                        <w:rPr>
                          <w:rFonts w:ascii="Cambria Math" w:hAnsi="Cambria Math"/>
                        </w:rPr>
                        <m:t>2</m:t>
                      </m:r>
                    </m:sup>
                  </m:sSup>
                </m:e>
              </m:acc>
            </m:den>
          </m:f>
        </m:oMath>
      </m:oMathPara>
    </w:p>
    <w:p w14:paraId="031092BC" w14:textId="101ED9C5" w:rsidR="008F5DA6" w:rsidRDefault="00FB05D1">
      <w:pPr>
        <w:spacing w:line="360" w:lineRule="auto"/>
        <w:jc w:val="both"/>
      </w:pPr>
      <w:r>
        <w:rPr>
          <w:rFonts w:ascii="Times New Roman" w:hAnsi="Times New Roman" w:cs="Times New Roman"/>
        </w:rPr>
        <w:t>where</w:t>
      </w:r>
      <m:oMath>
        <m:sSup>
          <m:sSupPr>
            <m:ctrlPr>
              <w:rPr>
                <w:rFonts w:ascii="Cambria Math" w:hAnsi="Cambria Math"/>
              </w:rPr>
            </m:ctrlPr>
          </m:sSupPr>
          <m:e>
            <m:r>
              <w:rPr>
                <w:rFonts w:ascii="Cambria Math" w:hAnsi="Cambria Math"/>
              </w:rPr>
              <m:t> τ</m:t>
            </m:r>
          </m:e>
          <m:sup>
            <m:r>
              <w:rPr>
                <w:rFonts w:ascii="Cambria Math" w:hAnsi="Cambria Math"/>
              </w:rPr>
              <m:t>2</m:t>
            </m:r>
          </m:sup>
        </m:sSup>
      </m:oMath>
      <w:r>
        <w:rPr>
          <w:rFonts w:ascii="Times New Roman" w:hAnsi="Times New Roman" w:cs="Times New Roman"/>
        </w:rPr>
        <w:t xml:space="preserve"> reflects heterogeneity and </w:t>
      </w:r>
      <m:oMath>
        <m:r>
          <w:rPr>
            <w:rFonts w:ascii="Cambria Math" w:hAnsi="Cambria Math"/>
          </w:rPr>
          <m:t>S</m:t>
        </m:r>
        <m:sSup>
          <m:sSupPr>
            <m:ctrlPr>
              <w:rPr>
                <w:rFonts w:ascii="Cambria Math" w:hAnsi="Cambria Math"/>
              </w:rPr>
            </m:ctrlPr>
          </m:sSupPr>
          <m:e>
            <m:r>
              <w:rPr>
                <w:rFonts w:ascii="Cambria Math" w:hAnsi="Cambria Math"/>
              </w:rPr>
              <m:t>E</m:t>
            </m:r>
          </m:e>
          <m:sup>
            <m:r>
              <w:rPr>
                <w:rFonts w:ascii="Cambria Math" w:hAnsi="Cambria Math"/>
              </w:rPr>
              <m:t>2</m:t>
            </m:r>
          </m:sup>
        </m:sSup>
      </m:oMath>
      <w:r>
        <w:rPr>
          <w:rFonts w:ascii="Times New Roman" w:hAnsi="Times New Roman" w:cs="Times New Roman"/>
        </w:rPr>
        <w:t xml:space="preserve"> reflects study variance. I</w:t>
      </w:r>
      <w:r>
        <w:rPr>
          <w:rFonts w:ascii="Times New Roman" w:hAnsi="Times New Roman" w:cs="Times New Roman"/>
          <w:vertAlign w:val="superscript"/>
        </w:rPr>
        <w:t>2</w:t>
      </w:r>
      <w:r>
        <w:rPr>
          <w:rFonts w:ascii="Times New Roman" w:hAnsi="Times New Roman" w:cs="Times New Roman"/>
        </w:rPr>
        <w:t xml:space="preserve"> is the percentage of total variation in study results that is due to real differences between studies, rather than random sampling </w:t>
      </w:r>
      <w:proofErr w:type="gramStart"/>
      <w:r>
        <w:rPr>
          <w:rFonts w:ascii="Times New Roman" w:hAnsi="Times New Roman" w:cs="Times New Roman"/>
        </w:rPr>
        <w:t>error</w:t>
      </w:r>
      <w:proofErr w:type="gramEnd"/>
      <w:r>
        <w:rPr>
          <w:rFonts w:ascii="Times New Roman" w:hAnsi="Times New Roman" w:cs="Times New Roman"/>
        </w:rPr>
        <w:t xml:space="preserve">. </w:t>
      </w:r>
      <w:r w:rsidR="001D7FDA">
        <w:rPr>
          <w:rFonts w:ascii="Times New Roman" w:hAnsi="Times New Roman" w:cs="Times New Roman"/>
        </w:rPr>
        <w:t xml:space="preserve"> Finally, w</w:t>
      </w:r>
      <w:r>
        <w:rPr>
          <w:rFonts w:ascii="Times New Roman" w:hAnsi="Times New Roman" w:cs="Times New Roman"/>
        </w:rPr>
        <w:t xml:space="preserve">e applied a leave-one-out approach to identify the studies that contributed most to the overall heterogeneity in the pooled estimate. Specifically, we iteratively generated subsets of the dataset, each excluding one study, and recalculated the between-study variance </w:t>
      </w:r>
      <m:oMath>
        <m:sSup>
          <m:sSupPr>
            <m:ctrlPr>
              <w:rPr>
                <w:rFonts w:ascii="Cambria Math" w:hAnsi="Cambria Math"/>
              </w:rPr>
            </m:ctrlPr>
          </m:sSupPr>
          <m:e>
            <m:r>
              <w:rPr>
                <w:rFonts w:ascii="Cambria Math" w:hAnsi="Cambria Math"/>
              </w:rPr>
              <m:t>τ</m:t>
            </m:r>
          </m:e>
          <m:sup>
            <m:r>
              <w:rPr>
                <w:rFonts w:ascii="Cambria Math" w:hAnsi="Cambria Math"/>
              </w:rPr>
              <m:t>2</m:t>
            </m:r>
          </m:sup>
        </m:sSup>
      </m:oMath>
      <w:r>
        <w:rPr>
          <w:rFonts w:ascii="Times New Roman" w:hAnsi="Times New Roman" w:cs="Times New Roman"/>
        </w:rPr>
        <w:t xml:space="preserve"> for each subset. The difference between the original </w:t>
      </w:r>
      <m:oMath>
        <m:sSup>
          <m:sSupPr>
            <m:ctrlPr>
              <w:rPr>
                <w:rFonts w:ascii="Cambria Math" w:hAnsi="Cambria Math"/>
              </w:rPr>
            </m:ctrlPr>
          </m:sSupPr>
          <m:e>
            <m:r>
              <w:rPr>
                <w:rFonts w:ascii="Cambria Math" w:hAnsi="Cambria Math"/>
              </w:rPr>
              <m:t>τ</m:t>
            </m:r>
          </m:e>
          <m:sup>
            <m:r>
              <w:rPr>
                <w:rFonts w:ascii="Cambria Math" w:hAnsi="Cambria Math"/>
              </w:rPr>
              <m:t>2</m:t>
            </m:r>
          </m:sup>
        </m:sSup>
      </m:oMath>
      <w:r>
        <w:rPr>
          <w:rFonts w:ascii="Times New Roman" w:hAnsi="Times New Roman" w:cs="Times New Roman"/>
        </w:rPr>
        <w:t xml:space="preserve"> and the recalculated </w:t>
      </w:r>
      <m:oMath>
        <m:sSup>
          <m:sSupPr>
            <m:ctrlPr>
              <w:rPr>
                <w:rFonts w:ascii="Cambria Math" w:hAnsi="Cambria Math"/>
              </w:rPr>
            </m:ctrlPr>
          </m:sSupPr>
          <m:e>
            <m:r>
              <w:rPr>
                <w:rFonts w:ascii="Cambria Math" w:hAnsi="Cambria Math"/>
              </w:rPr>
              <m:t>τ</m:t>
            </m:r>
          </m:e>
          <m:sup>
            <m:r>
              <w:rPr>
                <w:rFonts w:ascii="Cambria Math" w:hAnsi="Cambria Math"/>
              </w:rPr>
              <m:t>2</m:t>
            </m:r>
          </m:sup>
        </m:sSup>
      </m:oMath>
      <w:r>
        <w:rPr>
          <w:rFonts w:ascii="Times New Roman" w:hAnsi="Times New Roman" w:cs="Times New Roman"/>
        </w:rPr>
        <w:t xml:space="preserve"> for each subset provided a measure of each study’s influence on heterogeneity, allowing us to rank the studies according to their contribution.</w:t>
      </w:r>
    </w:p>
    <w:p w14:paraId="2DD9E115" w14:textId="6A5BDC6C" w:rsidR="008F5DA6" w:rsidRDefault="00FB05D1">
      <w:pPr>
        <w:spacing w:line="360" w:lineRule="auto"/>
        <w:ind w:firstLine="360"/>
        <w:jc w:val="both"/>
      </w:pPr>
      <w:r>
        <w:rPr>
          <w:rFonts w:ascii="Times New Roman" w:hAnsi="Times New Roman" w:cs="Times New Roman"/>
          <w:i/>
          <w:iCs/>
          <w:lang w:val="en-GB"/>
        </w:rPr>
        <w:t xml:space="preserve">Model fit. </w:t>
      </w:r>
      <w:r>
        <w:rPr>
          <w:rFonts w:ascii="Times New Roman" w:hAnsi="Times New Roman" w:cs="Times New Roman"/>
        </w:rPr>
        <w:t xml:space="preserve">We fit the models using a Markov Chain </w:t>
      </w:r>
      <w:r w:rsidR="00F740F8">
        <w:rPr>
          <w:rFonts w:ascii="Times New Roman" w:hAnsi="Times New Roman" w:cs="Times New Roman"/>
        </w:rPr>
        <w:t>Monte Carlo No-U-Turn</w:t>
      </w:r>
      <w:r>
        <w:rPr>
          <w:rFonts w:ascii="Times New Roman" w:hAnsi="Times New Roman" w:cs="Times New Roman"/>
        </w:rPr>
        <w:t xml:space="preserve"> Sampler (MCMC-NUTS). MCMC is a class of algorithms for sampling from an unknown posterior distribution. The sampler uses a stochastic, random-walk procedure to draw samples from a random variable and then approximates the desired distribution by integrating the sum of the drawn samples </w:t>
      </w:r>
      <w:r w:rsidR="0073226D">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{"citationID":"a1lm98fpepb","properties":{"unsorted":false,"formattedCitation":"(Harrison, 2010)","plainCitation":"(Harrison, 2010)","noteIndex":0},"citationItems":[{"id":17864,"uris":["http://zotero.org/users/8613739/items/AQN9WT6B"],"itemData":{"id":17864,"type":"article-journal","abstract":"This paper reviews the history and principles of Monte Carlo simulation, emphasizing techniques commonly used in the simulation of medical imaging.","citation-key":"harrisonIntroductionMonteCarlo2010","container-title":"AIP conference proceedings","DOI":"10.1063/1.3295638","ISSN":"0094-243X","journalAbbreviation":"AIP Conf Proc","language":"eng","page":"17-21","PMID":"20733932","PMCID":"PMC2924739","source":"PubMed","title":"Introduction To Monte Carlo Simulation","volume":"1204","author":[{"family":"Harrison","given":"Robert L."}],"issued":{"date-parts":[["2010",1,5]]}}}],"schema":"https://github.com/citation-style-language/schema/raw/master/csl-citation.json"} </w:instrText>
      </w:r>
      <w:r w:rsidR="0073226D">
        <w:rPr>
          <w:rFonts w:ascii="Times New Roman" w:hAnsi="Times New Roman" w:cs="Times New Roman"/>
        </w:rPr>
        <w:fldChar w:fldCharType="separate"/>
      </w:r>
      <w:r w:rsidR="00B633EE" w:rsidRPr="00B633EE">
        <w:rPr>
          <w:rFonts w:ascii="Times New Roman" w:hAnsi="Times New Roman" w:cs="Times New Roman"/>
        </w:rPr>
        <w:t>(Harrison, 2010)</w:t>
      </w:r>
      <w:r w:rsidR="0073226D">
        <w:rPr>
          <w:rFonts w:ascii="Times New Roman" w:hAnsi="Times New Roman" w:cs="Times New Roman"/>
        </w:rPr>
        <w:fldChar w:fldCharType="end"/>
      </w:r>
      <w:r>
        <w:rPr>
          <w:rFonts w:ascii="Times New Roman" w:hAnsi="Times New Roman" w:cs="Times New Roman"/>
        </w:rPr>
        <w:t xml:space="preserve">. The NUTS sampler is the mechanism of effective sample generation. As MCMC is sensitive to its tuning parameters, NUTS facilitates the sampling process by providing good candidate points in the distribution of the algorithm to sample </w:t>
      </w:r>
      <w:r w:rsidR="0073226D">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{"citationID":"a1hfjigi1ei","properties":{"unsorted":false,"formattedCitation":"(Hoffman &amp; Gelman, 2011)","plainCitation":"(Hoffman &amp; Gelman, 2011)","noteIndex":0},"citationItems":[{"id":17863,"uris":["http://zotero.org/users/8613739/items/9BKQSUIM"],"itemData":{"id":17863,"type":"article","abstract":"Hamiltonian Monte Carlo (HMC) is a Markov chain Monte Carlo (MCMC) algorithm that avoids the random walk behavior and sensitivity to correlated parameters that plague many MCMC methods by taking a series of steps informed by first-order gradient information. These features allow it to converge to high-dimensional target distributions much more quickly than simpler methods such as random walk Metropolis or Gibbs sampling. However, HMC's performance is highly sensitive to two user-specified parameters: a step size ε and a desired number of steps L. In particular, if L is too small then the algorithm exhibits undesirable random walk behavior, while if L is too large the algorithm wastes computation. We introduce the No-U-Turn Sampler (NUTS), an extension to HMC that eliminates the need to set a number of steps L. NUTS uses a recursive algorithm to build a set of likely candidate points that spans a wide swath of the target distribution, stopping automatically when it starts to double back and retrace its steps. Empirically, NUTS perform at least as efficiently as and sometimes more efficiently than a well tuned standard HMC method, without requiring user intervention or costly tuning runs. We also derive a method for adapting the step size parameter ε on the fly based on primal-dual averaging. NUTS can thus be used with no hand-tuning at all. NUTS is also suitable for applications such as BUGS-style automatic inference engines that require efficient \"turnkey\" sampling algorithms.","citation-key":"hoffmanNoUTurnSamplerAdaptively2011","DOI":"10.48550/arXiv.1111.4246","note":"arXiv:1111.4246 [stat]","number":"arXiv:1111.4246","publisher":"arXiv","source":"arXiv.org","title":"The No-U-Turn Sampler: Adaptively Setting Path Lengths in Hamiltonian Monte Carlo","title-short":"The No-U-Turn Sampler","URL":"http://arxiv.org/abs/1111.4246","author":[{"family":"Hoffman","given":"Matthew D."},{"family":"Gelman","given":"Andrew"}],"accessed":{"date-parts":[["2026",5,6]]},"issued":{"date-parts":[["2011",11,18]]}}}],"schema":"https://github.com/citation-style-language/schema/raw/master/csl-citation.json"} </w:instrText>
      </w:r>
      <w:r w:rsidR="0073226D">
        <w:rPr>
          <w:rFonts w:ascii="Times New Roman" w:hAnsi="Times New Roman" w:cs="Times New Roman"/>
        </w:rPr>
        <w:fldChar w:fldCharType="separate"/>
      </w:r>
      <w:r w:rsidR="00B633EE" w:rsidRPr="00B633EE">
        <w:rPr>
          <w:rFonts w:ascii="Times New Roman" w:hAnsi="Times New Roman" w:cs="Times New Roman"/>
        </w:rPr>
        <w:t>(Hoffman &amp; Gelman, 2011)</w:t>
      </w:r>
      <w:r w:rsidR="0073226D">
        <w:rPr>
          <w:rFonts w:ascii="Times New Roman" w:hAnsi="Times New Roman" w:cs="Times New Roman"/>
        </w:rPr>
        <w:fldChar w:fldCharType="end"/>
      </w:r>
      <w:r>
        <w:rPr>
          <w:rFonts w:ascii="Times New Roman" w:hAnsi="Times New Roman" w:cs="Times New Roman"/>
        </w:rPr>
        <w:t xml:space="preserve">. For each model, we sampled </w:t>
      </w:r>
      <w:r w:rsidR="00F740F8">
        <w:rPr>
          <w:rFonts w:ascii="Times New Roman" w:hAnsi="Times New Roman" w:cs="Times New Roman"/>
        </w:rPr>
        <w:t>10,000 posterior draws, with a 2,000-sample</w:t>
      </w:r>
      <w:r>
        <w:rPr>
          <w:rFonts w:ascii="Times New Roman" w:hAnsi="Times New Roman" w:cs="Times New Roman"/>
        </w:rPr>
        <w:t xml:space="preserve"> tuning period. To assess model convergence, we sampled the posterior from four independent chains. We visually inspected the trace plots to identify any points where the sampler became stuck and retained only models with a scale reduction factor below 1.01.</w:t>
      </w:r>
    </w:p>
    <w:p w14:paraId="1A9CB19C" w14:textId="1AAE2B42" w:rsidR="008F5DA6" w:rsidRDefault="00FB05D1">
      <w:pPr>
        <w:spacing w:line="360" w:lineRule="auto"/>
        <w:ind w:firstLine="360"/>
        <w:jc w:val="both"/>
      </w:pPr>
      <w:r>
        <w:rPr>
          <w:rFonts w:ascii="Times New Roman" w:hAnsi="Times New Roman" w:cs="Times New Roman"/>
          <w:i/>
          <w:iCs/>
        </w:rPr>
        <w:t>Sensitivity analysis.</w:t>
      </w:r>
      <w:r>
        <w:rPr>
          <w:rFonts w:ascii="Times New Roman" w:hAnsi="Times New Roman" w:cs="Times New Roman"/>
        </w:rPr>
        <w:t xml:space="preserve"> We performed two sensitivity analyses to establish the potential influence of priors on parameter estimation. Firstly, we used a Student’s T distribution as the likelihood function. The t-distribution has heavier tails and therefore assigns higher probability to extreme values. As a result, extreme data points exert less influence on parameter estimation because they are less surprising.  Since our goal is to examine robustness to outliers, we </w:t>
      </w:r>
      <w:proofErr w:type="spellStart"/>
      <w:r>
        <w:rPr>
          <w:rFonts w:ascii="Times New Roman" w:hAnsi="Times New Roman" w:cs="Times New Roman"/>
        </w:rPr>
        <w:t>utilised</w:t>
      </w:r>
      <w:proofErr w:type="spellEnd"/>
      <w:r>
        <w:rPr>
          <w:rFonts w:ascii="Times New Roman" w:hAnsi="Times New Roman" w:cs="Times New Roman"/>
        </w:rPr>
        <w:t xml:space="preserve"> a t-distribution with 2 degrees of freedom. </w:t>
      </w:r>
      <w:r>
        <w:rPr>
          <w:rFonts w:ascii="Times New Roman" w:hAnsi="Times New Roman" w:cs="Times New Roman"/>
        </w:rPr>
        <w:lastRenderedPageBreak/>
        <w:t xml:space="preserve">Secondly, we examined the influence of the theta parameter. The </w:t>
      </w:r>
      <w:proofErr w:type="spellStart"/>
      <w:r>
        <w:rPr>
          <w:rFonts w:ascii="Times New Roman" w:hAnsi="Times New Roman" w:cs="Times New Roman"/>
        </w:rPr>
        <w:t>parametrisation</w:t>
      </w:r>
      <w:proofErr w:type="spellEnd"/>
      <w:r>
        <w:rPr>
          <w:rFonts w:ascii="Times New Roman" w:hAnsi="Times New Roman" w:cs="Times New Roman"/>
        </w:rPr>
        <w:t xml:space="preserve"> focused on sampling from a </w:t>
      </w:r>
      <w:r w:rsidR="001D7FDA">
        <w:rPr>
          <w:rFonts w:ascii="Times New Roman" w:hAnsi="Times New Roman" w:cs="Times New Roman"/>
        </w:rPr>
        <w:t>logistic</w:t>
      </w:r>
      <w:r>
        <w:rPr>
          <w:rFonts w:ascii="Times New Roman" w:hAnsi="Times New Roman" w:cs="Times New Roman"/>
        </w:rPr>
        <w:t xml:space="preserve"> distribution </w:t>
      </w:r>
      <w:proofErr w:type="gramStart"/>
      <w:r w:rsidR="001D7FDA">
        <w:rPr>
          <w:rFonts w:ascii="Times New Roman" w:hAnsi="Times New Roman" w:cs="Times New Roman"/>
        </w:rPr>
        <w:t>L</w:t>
      </w:r>
      <w:r>
        <w:rPr>
          <w:rFonts w:ascii="Times New Roman" w:hAnsi="Times New Roman" w:cs="Times New Roman"/>
        </w:rPr>
        <w:t>(</w:t>
      </w:r>
      <w:proofErr w:type="gramEnd"/>
      <w:r>
        <w:rPr>
          <w:rFonts w:ascii="Times New Roman" w:hAnsi="Times New Roman" w:cs="Times New Roman"/>
        </w:rPr>
        <w:t>0,1</w:t>
      </w:r>
      <w:r w:rsidR="00B05C45">
        <w:rPr>
          <w:rFonts w:ascii="Times New Roman" w:hAnsi="Times New Roman" w:cs="Times New Roman"/>
        </w:rPr>
        <w:t xml:space="preserve">), which corresponds to a </w:t>
      </w:r>
      <w:r w:rsidR="00F740F8">
        <w:rPr>
          <w:rFonts w:ascii="Times New Roman" w:hAnsi="Times New Roman" w:cs="Times New Roman"/>
        </w:rPr>
        <w:t xml:space="preserve">log-odds-transformed uniform distribution </w:t>
      </w:r>
      <w:proofErr w:type="gramStart"/>
      <w:r w:rsidR="00F740F8">
        <w:rPr>
          <w:rFonts w:ascii="Times New Roman" w:hAnsi="Times New Roman" w:cs="Times New Roman"/>
        </w:rPr>
        <w:t>U(</w:t>
      </w:r>
      <w:proofErr w:type="gramEnd"/>
      <w:r w:rsidR="00F740F8">
        <w:rPr>
          <w:rFonts w:ascii="Times New Roman" w:hAnsi="Times New Roman" w:cs="Times New Roman"/>
        </w:rPr>
        <w:t>0,1)</w:t>
      </w:r>
      <w:r>
        <w:rPr>
          <w:rFonts w:ascii="Times New Roman" w:hAnsi="Times New Roman" w:cs="Times New Roman"/>
        </w:rPr>
        <w:t xml:space="preserve">. This places a realistic bound on what the model should anticipate as potential log-odds, </w:t>
      </w:r>
      <w:r w:rsidR="00F740F8">
        <w:rPr>
          <w:rFonts w:ascii="Times New Roman" w:hAnsi="Times New Roman" w:cs="Times New Roman"/>
        </w:rPr>
        <w:t>since MB rates are constrained to</w:t>
      </w:r>
      <w:r>
        <w:rPr>
          <w:rFonts w:ascii="Times New Roman" w:hAnsi="Times New Roman" w:cs="Times New Roman"/>
        </w:rPr>
        <w:t xml:space="preserve"> [0,1].  </w:t>
      </w:r>
    </w:p>
    <w:p w14:paraId="08566306" w14:textId="433EE6C5" w:rsidR="008F5DA6" w:rsidRDefault="00FB05D1">
      <w:pPr>
        <w:spacing w:line="360" w:lineRule="auto"/>
        <w:jc w:val="both"/>
        <w:rPr>
          <w:rFonts w:ascii="Times New Roman" w:hAnsi="Times New Roman" w:cs="Times New Roman"/>
        </w:rPr>
      </w:pPr>
      <w:r>
        <w:rPr>
          <w:rFonts w:ascii="Times New Roman" w:hAnsi="Times New Roman" w:cs="Times New Roman"/>
          <w:lang w:val="en-GB"/>
        </w:rPr>
        <w:tab/>
      </w:r>
      <w:r>
        <w:rPr>
          <w:rFonts w:ascii="Times New Roman" w:hAnsi="Times New Roman" w:cs="Times New Roman"/>
          <w:i/>
          <w:iCs/>
          <w:lang w:val="en-GB"/>
        </w:rPr>
        <w:t xml:space="preserve">Statistical Inference. </w:t>
      </w:r>
      <w:r>
        <w:rPr>
          <w:rFonts w:ascii="Times New Roman" w:hAnsi="Times New Roman" w:cs="Times New Roman"/>
          <w:lang w:val="en-GB"/>
        </w:rPr>
        <w:t>We performed statistical inference on the model's posterior distributions by examining whether the 89% highest-density intervals (HDI) contained</w:t>
      </w:r>
      <w:r w:rsidR="00104617">
        <w:rPr>
          <w:rFonts w:ascii="Times New Roman" w:hAnsi="Times New Roman" w:cs="Times New Roman"/>
          <w:lang w:val="en-GB"/>
        </w:rPr>
        <w:t xml:space="preserve"> zero</w:t>
      </w:r>
      <w:r>
        <w:rPr>
          <w:rFonts w:ascii="Times New Roman" w:hAnsi="Times New Roman" w:cs="Times New Roman"/>
          <w:lang w:val="en-GB"/>
        </w:rPr>
        <w:t xml:space="preserve"> </w:t>
      </w:r>
      <w:r w:rsidR="00104617">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{"citationID":"a17oldl7pd4","properties":{"unsorted":false,"formattedCitation":"(Kruschke, 2014; McElreath, 2020)","plainCitation":"(Kruschke, 2014; McElreath, 2020)","noteIndex":0},"citationItems":[{"id":17738,"uris":["http://zotero.org/users/8613739/items/TR32EX2E"],"itemData":{"id":17738,"type":"book","abstract":"Doing Bayesian Data Analysis: A Tutorial with R, JAGS, and Stan, Second Edition provides an accessible approach for conducting Bayesian data analysis, as material is explained clearly with concrete examples. Included are step-by-step instructions on how to carry out Bayesian data analyses in the popular and free software R and WinBugs, as well as new programs in JAGS and Stan. The new programs are designed to be much easier to use than the scripts in the first edition. In particular, there are now compact high-level scripts that make it easy to run the programs on your own data sets. The book is divided into three parts and begins with the basics: models, probability, Bayes' rule, and the R programming language. The discussion then moves to the fundamentals applied to inferring a binomial probability, before concluding with chapters on the generalized linear model. Topics include metric-predicted variable on one or two groups; metric-predicted variable with one metric predictor; metric-predicted variable with multiple metric predictors; metric-predicted variable with one nominal predictor; and metric-predicted variable with multiple nominal predictors. The exercises found in the text have explicit purposes and guidelines for accomplishment. This book is intended for first-year graduate students or advanced undergraduates in statistics, data analysis, psychology, cognitive science, social sciences, clinical sciences, and consumer sciences in business. - Accessible, including the basics of essential concepts of probability and random sampling - Examples with R programming language and JAGS software - Comprehensive coverage of all scenarios addressed by non-Bayesian textbooks: t-tests, analysis of variance (ANOVA) and comparisons in ANOVA, multiple regression, and chi-square (contingency table analysis) - Coverage of experiment planning - R and JAGS computer programming code on website - Exercises have explicit purposes and guidelines for accomplishment - Provides step-by-step instructions on how to conduct Bayesian data analyses in the popular and free software R and WinBugs","citation-key":"kruschkeDoingBayesianData2014","ISBN":"978-0-12-405916-0","language":"en","note":"Google-Books-ID: FzvLAwAAQBAJ","number-of-pages":"772","publisher":"Academic Press","source":"Google Books","title":"Doing Bayesian Data Analysis: A Tutorial with R, JAGS, and Stan","title-short":"Doing Bayesian Data Analysis","author":[{"family":"Kruschke","given":"John"}],"issued":{"date-parts":[["2014",11,11]]}}},{"id":17866,"uris":["http://zotero.org/users/8613739/items/BMB5GNS7"],"itemData":{"id":17866,"type":"book","abstract":"Winner of the 2024 De Groot Prize awarded by the International Society for Bayesian Analysis (ISBA)\nStatistical Rethinking: A Bayesian Course with Examples in R and Stan builds your knowledge of and confidence in making inferences from data. Reflecting the need for scripting in today's model-based statistics, the book pushes you to perform step-by-step calculations that are usually automated. This unique computational approach ensures that you understand enough of the details to make reasonable choices and interpretations in your own modeling work.\nThe text presents causal inference and generalized linear multilevel models from a simple Bayesian perspective that builds on information theory and maximum entropy. The core material ranges from the basics of regression to advanced multilevel models. It also presents measurement error, missing data, and Gaussian process models for spatial and phylogenetic confounding.\nThe second edition emphasizes the directed acyclic graph (DAG) approach to causal inference, integrating DAGs into many examples. The new edition also contains new material on the design of prior distributions, splines, ordered categorical predictors, social relations models, cross-validation, importance sampling, instrumental variables, and Hamiltonian Monte Carlo. It ends with an entirely new chapter that goes beyond generalized linear modeling, showing how domain-specific scientific models can be built into statistical analyses.\nFeatures\n\n\nIntegrates working code into the main text.\n\n\n\n\nIllustrates concepts through worked data analysis examples.\n\n\n\n\nEmphasizes understanding assumptions and how assumptions are reflected in code.\n\n\n\n\nOffers more detailed explanations of the mathematics in optional sections.\n\n\n\n\nPresents examples of using the dagitty R package to analyze causal graphs.\nProvides the rethinking R package on the author's website and on GitHub.","citation-key":"mcelreathStatisticalRethinkingBayesian2020","DOI":"10.1201/9780429029608","edition":"2","ISBN":"978-0-429-02960-8","number-of-pages":"612","publisher":"Chapman and Hall/CRC","publisher-place":"New York","title":"Statistical Rethinking: A Bayesian Course with Examples in R and STAN","title-short":"Statistical Rethinking","author":[{"family":"McElreath","given":"Richard"}],"issued":{"date-parts":[["2020",3,13]]}}}],"schema":"https://github.com/citation-style-language/schema/raw/master/csl-citation.json"} </w:instrText>
      </w:r>
      <w:r w:rsidR="00104617">
        <w:rPr>
          <w:rFonts w:ascii="Times New Roman" w:hAnsi="Times New Roman" w:cs="Times New Roman"/>
          <w:lang w:val="en-GB"/>
        </w:rPr>
        <w:fldChar w:fldCharType="separate"/>
      </w:r>
      <w:r w:rsidR="00B633EE" w:rsidRPr="00B633EE">
        <w:rPr>
          <w:rFonts w:ascii="Times New Roman" w:hAnsi="Times New Roman" w:cs="Times New Roman"/>
        </w:rPr>
        <w:t>(Kruschke, 2014; McElreath, 2020)</w:t>
      </w:r>
      <w:r w:rsidR="00104617">
        <w:rPr>
          <w:rFonts w:ascii="Times New Roman" w:hAnsi="Times New Roman" w:cs="Times New Roman"/>
          <w:lang w:val="en-GB"/>
        </w:rPr>
        <w:fldChar w:fldCharType="end"/>
      </w:r>
      <w:r>
        <w:rPr>
          <w:rFonts w:ascii="Times New Roman" w:hAnsi="Times New Roman" w:cs="Times New Roman"/>
          <w:lang w:val="en-GB"/>
        </w:rPr>
        <w:t>. To test the equivalence of covariates, we utilised the ROPE (region of practical equivalence) approach. In the original preregistration, we specified a ROPE of [-0.1, 0.1] as the equivalence range. However, since the posteriors represent differences in log-odds, a more appropriate range is [-0.18, 0.18]. To be consistent with our inference approach, we also utilised the 89% HDI posterior region that falls within the ROPE</w:t>
      </w:r>
      <w:r w:rsidR="00F740F8">
        <w:rPr>
          <w:rFonts w:ascii="Times New Roman" w:hAnsi="Times New Roman" w:cs="Times New Roman"/>
          <w:lang w:val="en-GB"/>
        </w:rPr>
        <w:t>, rather than</w:t>
      </w:r>
      <w:r>
        <w:rPr>
          <w:rFonts w:ascii="Times New Roman" w:hAnsi="Times New Roman" w:cs="Times New Roman"/>
          <w:lang w:val="en-GB"/>
        </w:rPr>
        <w:t xml:space="preserve"> the entire posterior. Therefore, if the 89% HDI posterior distribution lies entirely outside the ROPE, the parameter can be considered credibly different from the null, leading to a rejection of the null hypothesis. Conversely, if the posterior falls entirely within the ROPE, then the null hypothesis is accepted, as all the most plausible parameter values are deemed practically negligible. Finally, if the posterior </w:t>
      </w:r>
      <w:r w:rsidR="00F740F8">
        <w:rPr>
          <w:rFonts w:ascii="Times New Roman" w:hAnsi="Times New Roman" w:cs="Times New Roman"/>
          <w:lang w:val="en-GB"/>
        </w:rPr>
        <w:t>overlaps the ROPE, the evidence is inconclusive,</w:t>
      </w:r>
      <w:r>
        <w:rPr>
          <w:rFonts w:ascii="Times New Roman" w:hAnsi="Times New Roman" w:cs="Times New Roman"/>
          <w:lang w:val="en-GB"/>
        </w:rPr>
        <w:t xml:space="preserve"> and no clear decision about the null hypothesis can be made. While we perform statistical inference on the posterior rather than point estimates, we also provide two sets of information about the model. First, regarding the posterior distribution, we report the evidence ratio (ER) for a directional hypothesis</w:t>
      </w:r>
      <w:r w:rsidR="00B05C45">
        <w:rPr>
          <w:rFonts w:ascii="Times New Roman" w:hAnsi="Times New Roman" w:cs="Times New Roman"/>
          <w:lang w:val="en-GB"/>
        </w:rPr>
        <w:t xml:space="preserve"> in the case of contrasts and </w:t>
      </w:r>
      <w:r w:rsidR="00F740F8">
        <w:rPr>
          <w:rFonts w:ascii="Times New Roman" w:hAnsi="Times New Roman" w:cs="Times New Roman"/>
          <w:lang w:val="en-GB"/>
        </w:rPr>
        <w:t xml:space="preserve">a </w:t>
      </w:r>
      <w:r w:rsidR="00B05C45">
        <w:rPr>
          <w:rFonts w:ascii="Times New Roman" w:hAnsi="Times New Roman" w:cs="Times New Roman"/>
          <w:lang w:val="en-GB"/>
        </w:rPr>
        <w:t>non-directional hypothesis in the case of regression betas</w:t>
      </w:r>
      <w:r>
        <w:rPr>
          <w:rFonts w:ascii="Times New Roman" w:hAnsi="Times New Roman" w:cs="Times New Roman"/>
          <w:lang w:val="en-GB"/>
        </w:rPr>
        <w:t xml:space="preserve">, defined as the ratio of the posterior mass supporting </w:t>
      </w:r>
      <w:r w:rsidR="00B05C45">
        <w:rPr>
          <w:rFonts w:ascii="Times New Roman" w:hAnsi="Times New Roman" w:cs="Times New Roman"/>
          <w:lang w:val="en-GB"/>
        </w:rPr>
        <w:t>an effect</w:t>
      </w:r>
      <w:r>
        <w:rPr>
          <w:rFonts w:ascii="Times New Roman" w:hAnsi="Times New Roman" w:cs="Times New Roman"/>
          <w:lang w:val="en-GB"/>
        </w:rPr>
        <w:t xml:space="preserve">. </w:t>
      </w:r>
      <w:r>
        <w:rPr>
          <w:rFonts w:ascii="Times New Roman" w:hAnsi="Times New Roman" w:cs="Times New Roman"/>
        </w:rPr>
        <w:t>For example, an ER of 10 indicates that the posterior assigns 10 times as much probability mass to the predicted direction as to its alternative.</w:t>
      </w:r>
      <w:r>
        <w:rPr>
          <w:rFonts w:ascii="Times New Roman" w:hAnsi="Times New Roman" w:cs="Times New Roman"/>
          <w:lang w:val="en-GB"/>
        </w:rPr>
        <w:t xml:space="preserve"> We additionally report the posterior probability (p-value) associated with this directional hypothesis. Then, regarding the model's predictive capacity, we provide the Watanabe–Akaike information criterion and leave-one-out cross-validation</w:t>
      </w:r>
      <w:r>
        <w:rPr>
          <w:rFonts w:ascii="Times New Roman" w:hAnsi="Times New Roman" w:cs="Times New Roman"/>
        </w:rPr>
        <w:t xml:space="preserve"> scores. Both approximate the out-of-sample predictive accuracy </w:t>
      </w:r>
      <w:r w:rsidR="00B05C45">
        <w:rPr>
          <w:rFonts w:ascii="Times New Roman" w:hAnsi="Times New Roman" w:cs="Times New Roman"/>
        </w:rPr>
        <w:t>relative to</w:t>
      </w:r>
      <w:r>
        <w:rPr>
          <w:rFonts w:ascii="Times New Roman" w:hAnsi="Times New Roman" w:cs="Times New Roman"/>
        </w:rPr>
        <w:t xml:space="preserve"> a null model.</w:t>
      </w:r>
    </w:p>
    <w:p w14:paraId="15B2CF82" w14:textId="6A21EF84" w:rsidR="00534525" w:rsidRPr="00534525" w:rsidRDefault="00534525">
      <w:pPr>
        <w:spacing w:line="360" w:lineRule="auto"/>
        <w:jc w:val="both"/>
      </w:pPr>
      <w:r w:rsidRPr="00534525">
        <w:rPr>
          <w:rFonts w:ascii="Times New Roman" w:hAnsi="Times New Roman" w:cs="Times New Roman"/>
          <w:i/>
          <w:iCs/>
        </w:rPr>
        <w:tab/>
        <w:t xml:space="preserve">Analysis strategy. </w:t>
      </w:r>
      <w:r w:rsidR="00261279">
        <w:rPr>
          <w:rFonts w:ascii="Times New Roman" w:hAnsi="Times New Roman" w:cs="Times New Roman"/>
        </w:rPr>
        <w:t xml:space="preserve">We adopted a two-step analysis plan. First, we estimated a baseline, normative MB rate based on a subset of our database that did not introduce any manipulation that could potentially alter MB rates. </w:t>
      </w:r>
      <w:r w:rsidR="00261279" w:rsidRPr="00261279">
        <w:rPr>
          <w:rFonts w:ascii="Times New Roman" w:hAnsi="Times New Roman" w:cs="Times New Roman"/>
        </w:rPr>
        <w:t>Then, we added the target studies as covariates in the same model to test whether they differed from this baseline. Because of the random-effects structure, each study was treated as its own distribution. We assessed differences by comparing the posterior distributions of the target studies to the baseline.</w:t>
      </w:r>
    </w:p>
    <w:p w14:paraId="75219D3E" w14:textId="5FF20E68" w:rsidR="008F5DA6" w:rsidRPr="00372E94" w:rsidRDefault="00FB05D1" w:rsidP="00534525">
      <w:pPr>
        <w:spacing w:line="360" w:lineRule="auto"/>
        <w:ind w:firstLine="720"/>
        <w:jc w:val="both"/>
        <w:rPr>
          <w:rFonts w:ascii="Times New Roman" w:hAnsi="Times New Roman" w:cs="Times New Roman"/>
        </w:rPr>
      </w:pPr>
      <w:r>
        <w:rPr>
          <w:rFonts w:ascii="Times New Roman" w:hAnsi="Times New Roman" w:cs="Times New Roman"/>
          <w:i/>
          <w:iCs/>
        </w:rPr>
        <w:lastRenderedPageBreak/>
        <w:t xml:space="preserve">Power calculations. </w:t>
      </w:r>
      <w:r>
        <w:rPr>
          <w:rFonts w:ascii="Times New Roman" w:hAnsi="Times New Roman" w:cs="Times New Roman"/>
        </w:rPr>
        <w:t xml:space="preserve">To present how information from the posteriors could be informative for future study designs, we conducted simulation-based power calculations </w:t>
      </w:r>
      <w:r w:rsidR="00104617">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{"citationID":"a22s0v3kjjv","properties":{"unsorted":false,"formattedCitation":"(DeBruine &amp; Barr, 2021; Kumle et al., 2021)","plainCitation":"(DeBruine &amp; Barr, 2021; Kumle et al., 2021)","noteIndex":0},"citationItems":[{"id":3550,"uris":["http://zotero.org/users/8613739/items/L4B7ZQSX"],"itemData":{"id":3550,"type":"article-journal","abstract":"Experimental designs that sample both subjects and stimuli from a larger population need to account for random effects of both subjects and stimuli using mixed-effects models. However, much of this research is analyzed using analysis of variance on aggregated responses because researchers are not confident specifying and interpreting mixed-effects models. This Tutorial explains how to simulate data with random-effects structure and analyze the data using linear mixed-effects regression (with the lme4 R package), with a focus on interpreting the output in light of the simulated parameters. Data simulation not only can enhance understanding of how these models work, but also enables researchers to perform power calculations for complex designs. All materials associated with this article can be accessed at https://osf.io/3cz2e/.","citation-key":"debruineUnderstandingMixedEffectsModels2021","container-title":"Advances in Methods and Practices in Psychological Science","DOI":"10.1177/2515245920965119","ISSN":"2515-2459","issue":"1","language":"en","page":"2515245920965119","publisher":"SAGE Publications Inc","source":"SAGE Journals","title":"Understanding Mixed-Effects Models Through Data Simulation","volume":"4","author":[{"family":"DeBruine","given":"Lisa M."},{"family":"Barr","given":"Dale J."}],"issued":{"date-parts":[["2021",1,1]]}}},{"id":17651,"uris":["http://zotero.org/users/8613739/items/MHH6MXPU"],"itemData":{"id":17651,"type":"article-journal","abstract":"Mixed-effects models are a powerful tool for modeling fixed and random effects simultaneously, but do not offer a feasible analytic solution for estimating the probability that a test correctly rejects the null hypothesis. Being able to estimate this probability, however, is critical for sample size planning, as power is closely linked to the reliability and replicability of empirical findings. A flexible and very intuitive alternative to analytic power solutions are simulation-based power analyses. Although various tools for conducting simulation-based power analyses for mixed-effects models are available, there is lack of guidance on how to appropriately use them. In this tutorial, we discuss how to estimate power for mixed-effects models in different use cases: first, how to use models that were fit on available (e.g. published) data to determine sample size; second, how to determine the number of stimuli required for sufficient power; and finally, how to conduct sample size planning without available data. Our examples cover both linear and generalized linear models and we provide code and resources for performing simulation-based power analyses on openly accessible data sets. The present work therefore helps researchers to navigate sound research design when using mixed-effects models, by summarizing resources, collating available knowledge, providing solutions and tools, and applying them to real-world problems in sample sizing planning when sophisticated analysis procedures like mixed-effects models are outlined as inferential procedures.","citation-key":"kumleEstimatingPowerGeneralized2021","container-title":"Behavior Research Methods","DOI":"10.3758/s13428-021-01546-0","ISSN":"1554-351X","issue":"6","journalAbbreviation":"Behav Res Methods","page":"2528-2543","PMID":"33954914","PMCID":"PMC8613146","source":"PubMed Central","title":"Estimating power in (generalized) linear mixed models: An open introduction and tutorial in R","title-short":"Estimating power in (generalized) linear mixed models","volume":"53","author":[{"family":"Kumle","given":"Levi"},{"family":"Võ","given":"Melissa L.-H."},{"family":"Draschkow","given":"Dejan"}],"issued":{"date-parts":[["2021"]]}}}],"schema":"https://github.com/citation-style-language/schema/raw/master/csl-citation.json"} </w:instrText>
      </w:r>
      <w:r w:rsidR="00104617">
        <w:rPr>
          <w:rFonts w:ascii="Times New Roman" w:hAnsi="Times New Roman" w:cs="Times New Roman"/>
        </w:rPr>
        <w:fldChar w:fldCharType="separate"/>
      </w:r>
      <w:r w:rsidR="00B633EE" w:rsidRPr="00B633EE">
        <w:rPr>
          <w:rFonts w:ascii="Times New Roman" w:hAnsi="Times New Roman" w:cs="Times New Roman"/>
        </w:rPr>
        <w:t>(DeBruine &amp; Barr, 2021; Kumle et al., 2021)</w:t>
      </w:r>
      <w:r w:rsidR="00104617">
        <w:rPr>
          <w:rFonts w:ascii="Times New Roman" w:hAnsi="Times New Roman" w:cs="Times New Roman"/>
        </w:rPr>
        <w:fldChar w:fldCharType="end"/>
      </w:r>
      <w:r>
        <w:rPr>
          <w:rFonts w:ascii="Times New Roman" w:hAnsi="Times New Roman" w:cs="Times New Roman"/>
        </w:rPr>
        <w:t xml:space="preserve">. Specifically, we simulated a simple two-condition </w:t>
      </w:r>
      <w:proofErr w:type="spellStart"/>
      <w:r>
        <w:rPr>
          <w:rFonts w:ascii="Times New Roman" w:hAnsi="Times New Roman" w:cs="Times New Roman"/>
        </w:rPr>
        <w:t>within-subjects</w:t>
      </w:r>
      <w:proofErr w:type="spellEnd"/>
      <w:r>
        <w:rPr>
          <w:rFonts w:ascii="Times New Roman" w:hAnsi="Times New Roman" w:cs="Times New Roman"/>
        </w:rPr>
        <w:t xml:space="preserve"> design in which an experimental manipulation increased the MB report rate. </w:t>
      </w:r>
      <w:r w:rsidR="00372E94">
        <w:rPr>
          <w:rFonts w:ascii="Times New Roman" w:hAnsi="Times New Roman" w:cs="Times New Roman"/>
        </w:rPr>
        <w:t xml:space="preserve">We </w:t>
      </w:r>
      <w:r>
        <w:rPr>
          <w:rFonts w:ascii="Times New Roman" w:hAnsi="Times New Roman" w:cs="Times New Roman"/>
        </w:rPr>
        <w:t xml:space="preserve">simulated binomial datasets </w:t>
      </w:r>
      <w:r w:rsidR="00372E94">
        <w:rPr>
          <w:rFonts w:ascii="Times New Roman" w:hAnsi="Times New Roman" w:cs="Times New Roman"/>
        </w:rPr>
        <w:t xml:space="preserve">for sample sizes ranging from 10 to 200, for </w:t>
      </w:r>
      <w:proofErr w:type="gramStart"/>
      <w:r w:rsidR="00F740F8">
        <w:rPr>
          <w:rFonts w:ascii="Times New Roman" w:hAnsi="Times New Roman" w:cs="Times New Roman"/>
        </w:rPr>
        <w:t xml:space="preserve">a </w:t>
      </w:r>
      <w:r w:rsidR="00372E94">
        <w:rPr>
          <w:rFonts w:ascii="Times New Roman" w:hAnsi="Times New Roman" w:cs="Times New Roman"/>
        </w:rPr>
        <w:t>number of</w:t>
      </w:r>
      <w:proofErr w:type="gramEnd"/>
      <w:r w:rsidR="00372E94">
        <w:rPr>
          <w:rFonts w:ascii="Times New Roman" w:hAnsi="Times New Roman" w:cs="Times New Roman"/>
        </w:rPr>
        <w:t xml:space="preserve"> probes ranging from 30 to 50 and for effect sizes ranging from a log odds ratio of .35 to 1.85</w:t>
      </w:r>
      <w:r w:rsidR="00F740F8">
        <w:rPr>
          <w:rFonts w:ascii="Times New Roman" w:hAnsi="Times New Roman" w:cs="Times New Roman"/>
        </w:rPr>
        <w:t>,</w:t>
      </w:r>
      <w:r w:rsidR="00372E94">
        <w:rPr>
          <w:rFonts w:ascii="Times New Roman" w:hAnsi="Times New Roman" w:cs="Times New Roman"/>
        </w:rPr>
        <w:t xml:space="preserve"> </w:t>
      </w:r>
      <w:r>
        <w:rPr>
          <w:rFonts w:ascii="Times New Roman" w:hAnsi="Times New Roman" w:cs="Times New Roman"/>
        </w:rPr>
        <w:t>following the formula:</w:t>
      </w:r>
    </w:p>
    <w:p w14:paraId="259A38FA" w14:textId="77777777" w:rsidR="008F5DA6" w:rsidRDefault="00000000">
      <w:pPr>
        <w:spacing w:line="360" w:lineRule="auto"/>
        <w:ind w:firstLine="720"/>
        <w:jc w:val="center"/>
      </w:pPr>
      <m:oMathPara>
        <m:oMathParaPr>
          <m:jc m:val="center"/>
        </m:oMathParaPr>
        <m:oMath>
          <m:eqArr>
            <m:eqArrPr>
              <m:ctrlPr>
                <w:rPr>
                  <w:rFonts w:ascii="Cambria Math" w:hAnsi="Cambria Math"/>
                </w:rPr>
              </m:ctrlPr>
            </m:eqArrPr>
            <m:e>
              <m:sSub>
                <m:sSubPr>
                  <m:ctrlPr>
                    <w:rPr>
                      <w:rFonts w:ascii="Cambria Math" w:hAnsi="Cambria Math"/>
                    </w:rPr>
                  </m:ctrlPr>
                </m:sSubPr>
                <m:e>
                  <m:r>
                    <w:rPr>
                      <w:rFonts w:ascii="Cambria Math" w:hAnsi="Cambria Math"/>
                    </w:rPr>
                    <m:t>η</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Sup>
                <m:sSubSupPr>
                  <m:ctrlPr>
                    <w:rPr>
                      <w:rFonts w:ascii="Cambria Math" w:hAnsi="Cambria Math"/>
                    </w:rPr>
                  </m:ctrlPr>
                </m:sSubSupPr>
                <m:e>
                  <m:r>
                    <w:rPr>
                      <w:rFonts w:ascii="Cambria Math" w:hAnsi="Cambria Math"/>
                    </w:rPr>
                    <m:t>x</m:t>
                  </m:r>
                </m:e>
                <m:sub>
                  <m:r>
                    <w:rPr>
                      <w:rFonts w:ascii="Cambria Math" w:hAnsi="Cambria Math"/>
                    </w:rPr>
                    <m:t>ij</m:t>
                  </m:r>
                </m:sub>
                <m:sup>
                  <m:r>
                    <w:rPr>
                      <w:rFonts w:ascii="Cambria Math" w:hAnsi="Cambria Math"/>
                    </w:rPr>
                    <m:t>Tβ</m:t>
                  </m:r>
                </m:sup>
              </m:sSubSup>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0j</m:t>
                  </m:r>
                </m:sub>
              </m:sSub>
              <m:r>
                <w:rPr>
                  <w:rFonts w:ascii="Cambria Math" w:hAnsi="Cambria Math"/>
                </w:rPr>
                <m:t>+</m:t>
              </m:r>
              <m:sSubSup>
                <m:sSubSupPr>
                  <m:ctrlPr>
                    <w:rPr>
                      <w:rFonts w:ascii="Cambria Math" w:hAnsi="Cambria Math"/>
                    </w:rPr>
                  </m:ctrlPr>
                </m:sSubSupPr>
                <m:e>
                  <m:r>
                    <w:rPr>
                      <w:rFonts w:ascii="Cambria Math" w:hAnsi="Cambria Math"/>
                    </w:rPr>
                    <m:t>x</m:t>
                  </m:r>
                </m:e>
                <m:sub>
                  <m:r>
                    <w:rPr>
                      <w:rFonts w:ascii="Cambria Math" w:hAnsi="Cambria Math"/>
                    </w:rPr>
                    <m:t>ij</m:t>
                  </m:r>
                </m:sub>
                <m:sup>
                  <m:r>
                    <w:rPr>
                      <w:rFonts w:ascii="Cambria Math" w:hAnsi="Cambria Math"/>
                    </w:rPr>
                    <m:t>T</m:t>
                  </m:r>
                </m:sup>
              </m:sSubSup>
              <m:sSub>
                <m:sSubPr>
                  <m:ctrlPr>
                    <w:rPr>
                      <w:rFonts w:ascii="Cambria Math" w:hAnsi="Cambria Math"/>
                    </w:rPr>
                  </m:ctrlPr>
                </m:sSubPr>
                <m:e>
                  <m:r>
                    <w:rPr>
                      <w:rFonts w:ascii="Cambria Math" w:hAnsi="Cambria Math"/>
                    </w:rPr>
                    <m:t>b</m:t>
                  </m:r>
                </m:e>
                <m:sub>
                  <m:r>
                    <w:rPr>
                      <w:rFonts w:ascii="Cambria Math" w:hAnsi="Cambria Math"/>
                    </w:rPr>
                    <m:t>j</m:t>
                  </m:r>
                </m:sub>
              </m:sSub>
            </m:e>
            <m:e>
              <m:sSub>
                <m:sSubPr>
                  <m:ctrlPr>
                    <w:rPr>
                      <w:rFonts w:ascii="Cambria Math" w:hAnsi="Cambria Math"/>
                    </w:rPr>
                  </m:ctrlPr>
                </m:sSubPr>
                <m:e>
                  <m:r>
                    <w:rPr>
                      <w:rFonts w:ascii="Cambria Math" w:hAnsi="Cambria Math"/>
                    </w:rPr>
                    <m:t>p</m:t>
                  </m:r>
                </m:e>
                <m:sub>
                  <m:r>
                    <w:rPr>
                      <w:rFonts w:ascii="Cambria Math" w:hAnsi="Cambria Math"/>
                    </w:rPr>
                    <m:t>ij</m:t>
                  </m:r>
                </m:sub>
              </m:sSub>
              <m:r>
                <w:rPr>
                  <w:rFonts w:ascii="Cambria Math" w:hAnsi="Cambria Math"/>
                </w:rPr>
                <m:t>=logi</m:t>
              </m:r>
              <m:sSup>
                <m:sSupPr>
                  <m:ctrlPr>
                    <w:rPr>
                      <w:rFonts w:ascii="Cambria Math" w:hAnsi="Cambria Math"/>
                    </w:rPr>
                  </m:ctrlPr>
                </m:sSupPr>
                <m:e>
                  <m:r>
                    <w:rPr>
                      <w:rFonts w:ascii="Cambria Math" w:hAnsi="Cambria Math"/>
                    </w:rPr>
                    <m:t>t</m:t>
                  </m:r>
                </m:e>
                <m:sup>
                  <m:d>
                    <m:dPr>
                      <m:ctrlPr>
                        <w:rPr>
                          <w:rFonts w:ascii="Cambria Math" w:hAnsi="Cambria Math"/>
                        </w:rPr>
                      </m:ctrlPr>
                    </m:dPr>
                    <m:e>
                      <m:r>
                        <w:rPr>
                          <w:rFonts w:ascii="Cambria Math" w:hAnsi="Cambria Math"/>
                        </w:rPr>
                        <m:t>-1</m:t>
                      </m:r>
                    </m:e>
                  </m:d>
                  <m:d>
                    <m:dPr>
                      <m:ctrlPr>
                        <w:rPr>
                          <w:rFonts w:ascii="Cambria Math" w:hAnsi="Cambria Math"/>
                        </w:rPr>
                      </m:ctrlPr>
                    </m:dPr>
                    <m:e>
                      <m:sSub>
                        <m:sSubPr>
                          <m:ctrlPr>
                            <w:rPr>
                              <w:rFonts w:ascii="Cambria Math" w:hAnsi="Cambria Math"/>
                            </w:rPr>
                          </m:ctrlPr>
                        </m:sSubPr>
                        <m:e>
                          <m:r>
                            <w:rPr>
                              <w:rFonts w:ascii="Cambria Math" w:hAnsi="Cambria Math"/>
                            </w:rPr>
                            <m:t>η</m:t>
                          </m:r>
                        </m:e>
                        <m:sub>
                          <m:r>
                            <w:rPr>
                              <w:rFonts w:ascii="Cambria Math" w:hAnsi="Cambria Math"/>
                            </w:rPr>
                            <m:t>ij</m:t>
                          </m:r>
                        </m:sub>
                      </m:sSub>
                    </m:e>
                  </m:d>
                </m:sup>
              </m:sSu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m:t>
                  </m:r>
                  <m:sSup>
                    <m:sSupPr>
                      <m:ctrlPr>
                        <w:rPr>
                          <w:rFonts w:ascii="Cambria Math" w:hAnsi="Cambria Math"/>
                        </w:rPr>
                      </m:ctrlPr>
                    </m:sSupPr>
                    <m:e>
                      <m:r>
                        <w:rPr>
                          <w:rFonts w:ascii="Cambria Math" w:hAnsi="Cambria Math"/>
                        </w:rPr>
                        <m:t>e</m:t>
                      </m:r>
                    </m:e>
                    <m:sup>
                      <m: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ij</m:t>
                          </m:r>
                        </m:sub>
                      </m:sSub>
                    </m:sup>
                  </m:sSup>
                </m:den>
              </m:f>
            </m:e>
            <m:e>
              <m:sSub>
                <m:sSubPr>
                  <m:ctrlPr>
                    <w:rPr>
                      <w:rFonts w:ascii="Cambria Math" w:hAnsi="Cambria Math"/>
                    </w:rPr>
                  </m:ctrlPr>
                </m:sSubPr>
                <m:e>
                  <m:r>
                    <w:rPr>
                      <w:rFonts w:ascii="Cambria Math" w:hAnsi="Cambria Math"/>
                    </w:rPr>
                    <m:t>y</m:t>
                  </m:r>
                </m:e>
                <m:sub>
                  <m:r>
                    <w:rPr>
                      <w:rFonts w:ascii="Cambria Math" w:hAnsi="Cambria Math"/>
                    </w:rPr>
                    <m:t>ij</m:t>
                  </m:r>
                </m:sub>
              </m:sSub>
              <m:r>
                <w:rPr>
                  <w:rFonts w:ascii="Cambria Math" w:hAnsi="Cambria Math"/>
                </w:rPr>
                <m:t>~Bernoulli</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ij</m:t>
                      </m:r>
                    </m:sub>
                  </m:sSub>
                </m:e>
              </m:d>
            </m:e>
          </m:eqArr>
        </m:oMath>
      </m:oMathPara>
    </w:p>
    <w:p w14:paraId="2888A690" w14:textId="29CBC91D" w:rsidR="008F5DA6" w:rsidRDefault="00FB05D1">
      <w:pPr>
        <w:spacing w:line="360" w:lineRule="auto"/>
        <w:ind w:firstLine="720"/>
        <w:jc w:val="both"/>
      </w:pPr>
      <w:r>
        <w:rPr>
          <w:rFonts w:ascii="Times New Roman" w:hAnsi="Times New Roman" w:cs="Times New Roman"/>
        </w:rPr>
        <w:t xml:space="preserve">where </w:t>
      </w:r>
      <w:r>
        <w:rPr>
          <w:rFonts w:ascii="Times New Roman" w:hAnsi="Times New Roman" w:cs="Times New Roman"/>
          <w:i/>
          <w:iCs/>
        </w:rPr>
        <w:t>j</w:t>
      </w:r>
      <w:r>
        <w:rPr>
          <w:rFonts w:ascii="Times New Roman" w:hAnsi="Times New Roman" w:cs="Times New Roman"/>
        </w:rPr>
        <w:t xml:space="preserve"> denotes a subject and </w:t>
      </w:r>
      <w:proofErr w:type="spellStart"/>
      <w:r>
        <w:rPr>
          <w:rFonts w:ascii="Times New Roman" w:hAnsi="Times New Roman" w:cs="Times New Roman"/>
          <w:i/>
          <w:iCs/>
        </w:rPr>
        <w:t>i</w:t>
      </w:r>
      <w:proofErr w:type="spellEnd"/>
      <w:r>
        <w:rPr>
          <w:rFonts w:ascii="Times New Roman" w:hAnsi="Times New Roman" w:cs="Times New Roman"/>
        </w:rPr>
        <w:t xml:space="preserve"> denotes one experience-sampling probe. The random effects structure was approximated as </w:t>
      </w:r>
      <m:oMath>
        <m:r>
          <m:rPr>
            <m:scr m:val="script"/>
          </m:rPr>
          <w:rPr>
            <w:rFonts w:ascii="Cambria Math" w:hAnsi="Cambria Math"/>
          </w:rPr>
          <m:t>N</m:t>
        </m:r>
        <m:d>
          <m:dPr>
            <m:ctrlPr>
              <w:rPr>
                <w:rFonts w:ascii="Cambria Math" w:hAnsi="Cambria Math"/>
              </w:rPr>
            </m:ctrlPr>
          </m:dPr>
          <m:e>
            <m:r>
              <m:rPr>
                <m:sty m:val="p"/>
              </m:rPr>
              <w:rPr>
                <w:rFonts w:ascii="Cambria Math" w:hAnsi="Cambria Math"/>
              </w:rPr>
              <m:t>0,1</m:t>
            </m:r>
          </m:e>
        </m:d>
      </m:oMath>
      <w:r>
        <w:rPr>
          <w:rFonts w:ascii="Times New Roman" w:hAnsi="Times New Roman" w:cs="Times New Roman"/>
        </w:rPr>
        <w:t xml:space="preserve"> for both random intercepts and slopes, as present in Boulakis et al. </w:t>
      </w:r>
      <w:r w:rsidR="003617D9">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{"citationID":"a2nq32pu1vq","properties":{"unsorted":false,"formattedCitation":"(2025)","plainCitation":"(2025)","noteIndex":0},"citationItems":[{"id":17715,"uris":["http://zotero.org/users/8613739/items/5A4PNAM3"],"itemData":{"id":17715,"type":"article-journal","abstract":"Mind blanking (MB) is the inability to report mental events during unconstraint thinking. Previous work shows that MB is linked to decreased levels of cortical arousal, indicating dominance of cerebral mechanisms when reporting mental states. What remains inconclusive is whether MB can also ensue from autonomic arousal manipulations, pointing to the implication of peripheral physiology to mental events. Using experience sampling, neural, and physiological measurements in 26 participants, we first show that MB was reported more frequently in low arousal conditions, elicited by sleep deprivation. Also, there was partial evidence for a higher occurence of MB reports in high arousal conditions, elicited by intense physical exercise. Transition probabilities revealed that, after sleep deprivation, mind wandering was more likely to be followed by MB and less likely to be followed by more mind wandering reports. Using classification schemes, we found higher performance of a balanced random forest classifier trained on both neural and physiological markers in comparison to performance when solely neural or physiological were used. Collectively, we show that both cortical and autonomic arousal affect MB report occurrences. Our results establish that MB is supported by combined brain-body configurations, and, by linking mental and physiological states, they pave the way for novel embodied accounts of spontaneous thinking.","citation-key":"boulakisVariationsAutonomicArousal2025","container-title":"Scientific Reports","DOI":"10.1038/s41598-024-81618-1","ISSN":"2045-2322","issue":"1","journalAbbreviation":"Sci Rep","language":"en","license":"2025 The Author(s)","page":"4956","publisher":"Nature Publishing Group","source":"www.nature.com","title":"Variations of autonomic arousal mediate the reportability of mind blanking occurrences","volume":"15","author":[{"family":"Boulakis","given":"Paradeisios Alexandros"},{"family":"Simos","given":"Nicholas John"},{"family":"Zoi","given":"Stefania"},{"family":"Mortaheb","given":"Sepehr"},{"family":"Schmidt","given":"Christina"},{"family":"Raimondo","given":"Federico"},{"family":"Demertzi","given":"Athena"}],"issued":{"date-parts":[["2025",2,10]]}},"suppress-author":true}],"schema":"https://github.com/citation-style-language/schema/raw/master/csl-citation.json"} </w:instrText>
      </w:r>
      <w:r w:rsidR="003617D9">
        <w:rPr>
          <w:rFonts w:ascii="Times New Roman" w:hAnsi="Times New Roman" w:cs="Times New Roman"/>
        </w:rPr>
        <w:fldChar w:fldCharType="separate"/>
      </w:r>
      <w:r w:rsidR="00B633EE" w:rsidRPr="00B633EE">
        <w:rPr>
          <w:rFonts w:ascii="Times New Roman" w:hAnsi="Times New Roman" w:cs="Times New Roman"/>
        </w:rPr>
        <w:t>(2025)</w:t>
      </w:r>
      <w:r w:rsidR="003617D9">
        <w:rPr>
          <w:rFonts w:ascii="Times New Roman" w:hAnsi="Times New Roman" w:cs="Times New Roman"/>
        </w:rPr>
        <w:fldChar w:fldCharType="end"/>
      </w:r>
      <w:r>
        <w:rPr>
          <w:rFonts w:ascii="Times New Roman" w:hAnsi="Times New Roman" w:cs="Times New Roman"/>
        </w:rPr>
        <w:t xml:space="preserve">. The beta error was set at 0.05, consistent with registered report standards. The alpha error was set at 0.01, as p-values between 0.05 and 0.02 may provide evidence </w:t>
      </w:r>
      <w:proofErr w:type="spellStart"/>
      <w:r w:rsidR="00F740F8">
        <w:rPr>
          <w:rFonts w:ascii="Times New Roman" w:hAnsi="Times New Roman" w:cs="Times New Roman"/>
        </w:rPr>
        <w:t>favouring</w:t>
      </w:r>
      <w:proofErr w:type="spellEnd"/>
      <w:r>
        <w:rPr>
          <w:rFonts w:ascii="Times New Roman" w:hAnsi="Times New Roman" w:cs="Times New Roman"/>
        </w:rPr>
        <w:t xml:space="preserve"> the null hypothesis in high-powered studies, even when they indicate statistical</w:t>
      </w:r>
      <w:r w:rsidR="0075190F">
        <w:rPr>
          <w:rFonts w:ascii="Times New Roman" w:hAnsi="Times New Roman" w:cs="Times New Roman"/>
        </w:rPr>
        <w:t xml:space="preserve"> significance</w:t>
      </w:r>
      <w:r>
        <w:rPr>
          <w:rFonts w:ascii="Times New Roman" w:hAnsi="Times New Roman" w:cs="Times New Roman"/>
        </w:rPr>
        <w:t xml:space="preserve"> </w:t>
      </w:r>
      <w:r w:rsidR="00104617">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{"citationID":"a1pm2uuvkvi","properties":{"unsorted":false,"formattedCitation":"(Lindley, 1957; Maier &amp; Lakens, 2022)","plainCitation":"(Lindley, 1957; Maier &amp; Lakens, 2022)","noteIndex":0},"citationItems":[{"id":17646,"uris":["http://zotero.org/users/8613739/items/2MA76TR9"],"itemData":{"id":17646,"type":"article-journal","citation-key":"lindleyStatisticalParadox1957","container-title":"Biometrika","DOI":"10.2307/2333251","ISSN":"0006-3444","issue":"1/2","page":"187-192","publisher":"[Oxford University Press, Biometrika Trust]","source":"JSTOR","title":"A Statistical Paradox","volume":"44","author":[{"family":"Lindley","given":"D. V."}],"issued":{"date-parts":[["1957"]]}}},{"id":4606,"uris":["http://zotero.org/users/8613739/items/CDRUP9FE"],"itemData":{"id":4606,"type":"article-journal","abstract":"The default use of an alpha level of .05 is suboptimal for two reasons. First, decisions based on data can be made more efficiently by choosing an alpha level that minimizes the combined Type 1 and Type 2 error rate. Second, it is possible that in studies with very high statistical power, p values lower than the alpha level can be more likely when the null hypothesis is true than when the alternative hypothesis is true (i.e., Lindley’s paradox). In this article, we explain two approaches that can be used to justify a better choice of an alpha level than relying on the default threshold of .05. The first approach is based on the idea to either minimize or balance Type 1 and Type 2 error rates. The second approach lowers the alpha level as a function of the sample size to prevent Lindley’s paradox. An R package and Shiny app are provided to perform the required calculations. Both approaches have their limitations (e.g., the challenge of specifying relative costs and priors) but can offer an improvement to current practices, especially when sample sizes are large. The use of alpha levels that are better justified should improve statistical inferences and can increase the efficiency and informativeness of scientific research.","citation-key":"maierJustifyYourAlpha2022","container-title":"Advances in Methods and Practices in Psychological Science","DOI":"10.1177/25152459221080396","ISSN":"2515-2459","issue":"2","language":"en","page":"25152459221080396","publisher":"SAGE Publications Inc","source":"SAGE Journals","title":"Justify Your Alpha: A Primer on Two Practical Approaches","title-short":"Justify Your Alpha","volume":"5","author":[{"family":"Maier","given":"Maximilian"},{"family":"Lakens","given":"Daniël"}],"issued":{"date-parts":[["2022",4,1]]}}}],"schema":"https://github.com/citation-style-language/schema/raw/master/csl-citation.json"} </w:instrText>
      </w:r>
      <w:r w:rsidR="00104617">
        <w:rPr>
          <w:rFonts w:ascii="Times New Roman" w:hAnsi="Times New Roman" w:cs="Times New Roman"/>
        </w:rPr>
        <w:fldChar w:fldCharType="separate"/>
      </w:r>
      <w:r w:rsidR="00B633EE" w:rsidRPr="00B633EE">
        <w:rPr>
          <w:rFonts w:ascii="Times New Roman" w:hAnsi="Times New Roman" w:cs="Times New Roman"/>
        </w:rPr>
        <w:t>(Lindley, 1957; Maier &amp; Lakens, 2022)</w:t>
      </w:r>
      <w:r w:rsidR="00104617">
        <w:rPr>
          <w:rFonts w:ascii="Times New Roman" w:hAnsi="Times New Roman" w:cs="Times New Roman"/>
        </w:rPr>
        <w:fldChar w:fldCharType="end"/>
      </w:r>
      <w:r>
        <w:rPr>
          <w:rFonts w:ascii="Times New Roman" w:hAnsi="Times New Roman" w:cs="Times New Roman"/>
        </w:rPr>
        <w:t xml:space="preserve"> .</w:t>
      </w:r>
    </w:p>
    <w:p w14:paraId="1D6AB0B1" w14:textId="65FF6D15" w:rsidR="008F5DA6" w:rsidRDefault="00FB05D1">
      <w:pPr>
        <w:spacing w:line="360" w:lineRule="auto"/>
        <w:ind w:firstLine="720"/>
        <w:jc w:val="both"/>
      </w:pPr>
      <w:r>
        <w:rPr>
          <w:rFonts w:ascii="Times New Roman" w:hAnsi="Times New Roman" w:cs="Times New Roman"/>
          <w:i/>
          <w:iCs/>
        </w:rPr>
        <w:t>Software.</w:t>
      </w:r>
      <w:r>
        <w:rPr>
          <w:rFonts w:ascii="Times New Roman" w:hAnsi="Times New Roman" w:cs="Times New Roman"/>
        </w:rPr>
        <w:t xml:space="preserve"> Duplicate removal was automatically conducted using Zotero (</w:t>
      </w:r>
      <w:hyperlink r:id="rId15" w:history="1">
        <w:r w:rsidR="008F5DA6">
          <w:rPr>
            <w:rStyle w:val="Hyperlink"/>
            <w:rFonts w:ascii="Times New Roman" w:hAnsi="Times New Roman" w:cs="Times New Roman"/>
          </w:rPr>
          <w:t>https://www.zotero.org/</w:t>
        </w:r>
      </w:hyperlink>
      <w:r>
        <w:rPr>
          <w:rFonts w:ascii="Times New Roman" w:hAnsi="Times New Roman" w:cs="Times New Roman"/>
        </w:rPr>
        <w:t xml:space="preserve">). Extraction comparisons between PAB and AAD were conducted in Python using the </w:t>
      </w:r>
      <w:proofErr w:type="spellStart"/>
      <w:r>
        <w:rPr>
          <w:rFonts w:ascii="Times New Roman" w:hAnsi="Times New Roman" w:cs="Times New Roman"/>
          <w:i/>
          <w:iCs/>
        </w:rPr>
        <w:t>numpy</w:t>
      </w:r>
      <w:proofErr w:type="spellEnd"/>
      <w:r>
        <w:rPr>
          <w:rFonts w:ascii="Times New Roman" w:hAnsi="Times New Roman" w:cs="Times New Roman"/>
        </w:rPr>
        <w:t xml:space="preserve"> </w:t>
      </w:r>
      <w:r w:rsidR="00104617">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{"citationID":"a1gclsv224r","properties":{"unsorted":false,"formattedCitation":"(Harris et al., 2020)","plainCitation":"(Harris et al., 2020)","noteIndex":0},"citationItems":[{"id":17649,"uris":["http://zotero.org/users/8613739/items/HJFPY7DG"],"itemData":{"id":17649,"type":"article-journal","abstract":"Array programming provides a powerful, compact and expressive syntax for accessing, manipulating and operating on data in vectors, matrices and higher-dimensional arrays. NumPy is the primary array programming library for the Python language. It has an essential role in research analysis pipelines in fields as diverse as physics, chemistry, astronomy, geoscience, biology, psychology, materials science, engineering, finance and economics. For example, in astronomy, NumPy was an important part of the software stack used in the discovery of gravitational waves1 and in the first imaging of a black hole2. Here we review how a few fundamental array concepts lead to a simple and powerful programming paradigm for organizing, exploring and analysing scientific data. NumPy is the foundation upon which the scientific Python ecosystem is constructed. It is so pervasive that several projects, targeting audiences with specialized needs, have developed their own NumPy-like interfaces and array objects. Owing to its central position in the ecosystem, NumPy increasingly acts as an interoperability layer between such array computation libraries and, together with its application programming interface (API), provides a flexible framework to support the next decade of scientific and industrial analysis.","citation-key":"harrisArrayProgrammingNumPy2020","container-title":"Nature","DOI":"10.1038/s41586-020-2649-2","ISSN":"1476-4687","issue":"7825","language":"en","license":"2020 The Author(s)","page":"357-362","publisher":"Nature Publishing Group","source":"www.nature.com","title":"Array programming with NumPy","volume":"585","author":[{"family":"Harris","given":"Charles R."},{"family":"Millman","given":"K. Jarrod"},{"family":"Walt","given":"Stéfan J.","non-dropping-particle":"van der"},{"family":"Gommers","given":"Ralf"},{"family":"Virtanen","given":"Pauli"},{"family":"Cournapeau","given":"David"},{"family":"Wieser","given":"Eric"},{"family":"Taylor","given":"Julian"},{"family":"Berg","given":"Sebastian"},{"family":"Smith","given":"Nathaniel J."},{"family":"Kern","given":"Robert"},{"family":"Picus","given":"Matti"},{"family":"Hoyer","given":"Stephan"},{"family":"Kerkwijk","given":"Marten H.","non-dropping-particle":"van"},{"family":"Brett","given":"Matthew"},{"family":"Haldane","given":"Allan"},{"family":"Río","given":"Jaime Fernández","non-dropping-particle":"del"},{"family":"Wiebe","given":"Mark"},{"family":"Peterson","given":"Pearu"},{"family":"Gérard-Marchant","given":"Pierre"},{"family":"Sheppard","given":"Kevin"},{"family":"Reddy","given":"Tyler"},{"family":"Weckesser","given":"Warren"},{"family":"Abbasi","given":"Hameer"},{"family":"Gohlke","given":"Christoph"},{"family":"Oliphant","given":"Travis E."}],"issued":{"date-parts":[["2020",9]]}}}],"schema":"https://github.com/citation-style-language/schema/raw/master/csl-citation.json"} </w:instrText>
      </w:r>
      <w:r w:rsidR="00104617">
        <w:rPr>
          <w:rFonts w:ascii="Times New Roman" w:hAnsi="Times New Roman" w:cs="Times New Roman"/>
        </w:rPr>
        <w:fldChar w:fldCharType="separate"/>
      </w:r>
      <w:r w:rsidR="00B633EE" w:rsidRPr="00B633EE">
        <w:rPr>
          <w:rFonts w:ascii="Times New Roman" w:hAnsi="Times New Roman" w:cs="Times New Roman"/>
        </w:rPr>
        <w:t>(Harris et al., 2020)</w:t>
      </w:r>
      <w:r w:rsidR="00104617">
        <w:rPr>
          <w:rFonts w:ascii="Times New Roman" w:hAnsi="Times New Roman" w:cs="Times New Roman"/>
        </w:rPr>
        <w:fldChar w:fldCharType="end"/>
      </w:r>
      <w:r>
        <w:rPr>
          <w:rFonts w:ascii="Times New Roman" w:hAnsi="Times New Roman" w:cs="Times New Roman"/>
        </w:rPr>
        <w:t xml:space="preserve"> and </w:t>
      </w:r>
      <w:r>
        <w:rPr>
          <w:rFonts w:ascii="Times New Roman" w:hAnsi="Times New Roman" w:cs="Times New Roman"/>
          <w:i/>
          <w:iCs/>
        </w:rPr>
        <w:t>pandas</w:t>
      </w:r>
      <w:r>
        <w:rPr>
          <w:rFonts w:ascii="Times New Roman" w:hAnsi="Times New Roman" w:cs="Times New Roman"/>
        </w:rPr>
        <w:t xml:space="preserve"> </w:t>
      </w:r>
      <w:r w:rsidR="00104617">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{"citationID":"a12856iille","properties":{"unsorted":false,"formattedCitation":"(McKinney, 2010)","plainCitation":"(McKinney, 2010)","noteIndex":0},"citationItems":[{"id":17862,"uris":["http://zotero.org/users/8613739/items/NUIRLMTS"],"itemData":{"id":17862,"type":"paper-conference","citation-key":"mckinneyDataStructuresStatistical2010","container-title":"Proceedings of the 9th Python in Science Conference","DOI":"10.25080/Majora-92bf1922-00a","page":"56 - 61","title":"Data Structures for Statistical Computing in Python","author":[{"family":"McKinney","given":"Wes"}],"editor":[{"family":"Walt","given":"Stéfan","dropping-particle":"van der"},{"family":"Millman","given":"Jarrod"}],"issued":{"date-parts":[["2010"]]}}}],"schema":"https://github.com/citation-style-language/schema/raw/master/csl-citation.json"} </w:instrText>
      </w:r>
      <w:r w:rsidR="00104617">
        <w:rPr>
          <w:rFonts w:ascii="Times New Roman" w:hAnsi="Times New Roman" w:cs="Times New Roman"/>
        </w:rPr>
        <w:fldChar w:fldCharType="separate"/>
      </w:r>
      <w:r w:rsidR="00B633EE" w:rsidRPr="00B633EE">
        <w:rPr>
          <w:rFonts w:ascii="Times New Roman" w:hAnsi="Times New Roman" w:cs="Times New Roman"/>
        </w:rPr>
        <w:t>(McKinney, 2010)</w:t>
      </w:r>
      <w:r w:rsidR="00104617">
        <w:rPr>
          <w:rFonts w:ascii="Times New Roman" w:hAnsi="Times New Roman" w:cs="Times New Roman"/>
        </w:rPr>
        <w:fldChar w:fldCharType="end"/>
      </w:r>
      <w:r w:rsidR="00104617">
        <w:rPr>
          <w:rFonts w:ascii="Times New Roman" w:hAnsi="Times New Roman" w:cs="Times New Roman"/>
        </w:rPr>
        <w:t xml:space="preserve"> </w:t>
      </w:r>
      <w:r>
        <w:rPr>
          <w:rFonts w:ascii="Times New Roman" w:hAnsi="Times New Roman" w:cs="Times New Roman"/>
        </w:rPr>
        <w:t xml:space="preserve">libraries. All statistical analyses and </w:t>
      </w:r>
      <w:proofErr w:type="spellStart"/>
      <w:r>
        <w:rPr>
          <w:rFonts w:ascii="Times New Roman" w:hAnsi="Times New Roman" w:cs="Times New Roman"/>
        </w:rPr>
        <w:t>visualisations</w:t>
      </w:r>
      <w:proofErr w:type="spellEnd"/>
      <w:r>
        <w:rPr>
          <w:rFonts w:ascii="Times New Roman" w:hAnsi="Times New Roman" w:cs="Times New Roman"/>
        </w:rPr>
        <w:t xml:space="preserve"> were conducted in R </w:t>
      </w:r>
      <w:r w:rsidR="00104617">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{"citationID":"a1u0smhq9hh","properties":{"unsorted":false,"formattedCitation":"(R Core Team, 2025)","plainCitation":"(R Core Team, 2025)","noteIndex":0},"citationItems":[{"id":17655,"uris":["http://zotero.org/users/8613739/items/93VWJZQF"],"itemData":{"id":17655,"type":"book","citation-key":"rcoreteamLanguageEnvironmentStatistical2025","publisher":"R Foundation for Statistical Computing","publisher-place":"Vienna, Austria","title":"R: A Language and Environment for Statistical Computing","URL":"https://www.R-project.org/","author":[{"literal":"R Core Team"}],"issued":{"date-parts":[["2025"]]}}}],"schema":"https://github.com/citation-style-language/schema/raw/master/csl-citation.json"} </w:instrText>
      </w:r>
      <w:r w:rsidR="00104617">
        <w:rPr>
          <w:rFonts w:ascii="Times New Roman" w:hAnsi="Times New Roman" w:cs="Times New Roman"/>
        </w:rPr>
        <w:fldChar w:fldCharType="separate"/>
      </w:r>
      <w:r w:rsidR="00B633EE" w:rsidRPr="00B633EE">
        <w:rPr>
          <w:rFonts w:ascii="Times New Roman" w:hAnsi="Times New Roman" w:cs="Times New Roman"/>
        </w:rPr>
        <w:t>(R Core Team, 2025)</w:t>
      </w:r>
      <w:r w:rsidR="00104617">
        <w:rPr>
          <w:rFonts w:ascii="Times New Roman" w:hAnsi="Times New Roman" w:cs="Times New Roman"/>
        </w:rPr>
        <w:fldChar w:fldCharType="end"/>
      </w:r>
      <w:r>
        <w:rPr>
          <w:rFonts w:ascii="Times New Roman" w:hAnsi="Times New Roman" w:cs="Times New Roman"/>
        </w:rPr>
        <w:t xml:space="preserve">.  Models were fit using </w:t>
      </w:r>
      <w:r>
        <w:rPr>
          <w:rFonts w:ascii="Times New Roman" w:hAnsi="Times New Roman" w:cs="Times New Roman"/>
          <w:i/>
          <w:iCs/>
        </w:rPr>
        <w:t xml:space="preserve">brms </w:t>
      </w:r>
      <w:r w:rsidR="00104617">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{"citationID":"a1k0hdinqk4","properties":{"unsorted":false,"formattedCitation":"(B\\uc0\\u252{}rkner, 2017)","plainCitation":"(Bürkner, 2017)","noteIndex":0},"citationItems":[{"id":17654,"uris":["http://zotero.org/users/8613739/items/KGNR5JAK"],"itemData":{"id":17654,"type":"article-journal","abstract":"The brms package implements Bayesian multilevel models in R using the probabilistic programming language Stan. A wide range of distributions and link functions are supported, allowing users to fit  -  among others  -  linear, robust linear, binomial, Poisson, survival, ordinal, zero-inflated, hurdle, and even non-linear models all in a multilevel context. Further modeling options include autocorrelation of the response variable, user defined covariance structures, censored data, as well as meta-analytic standard errors. Prior specifications are flexible and explicitly encourage users to apply prior distributions that actually reflect their beliefs. In addition, model fit can easily be assessed and compared with the Watanabe-Akaike information criterion and leave-one-out cross-validation.","citation-key":"burknerBrmsPackageBayesian2017","container-title":"Journal of Statistical Software","DOI":"10.18637/jss.v080.i01","ISSN":"1548-7660","language":"en","license":"Copyright (c) 2017 Paul-Christian Bürkner","page":"1-28","source":"www.jstatsoft.org","title":"brms: An R Package for Bayesian Multilevel Models Using Stan","title-short":"brms","volume":"80","author":[{"family":"Bürkner","given":"Paul-Christian"}],"issued":{"date-parts":[["2017",8,29]]}}}],"schema":"https://github.com/citation-style-language/schema/raw/master/csl-citation.json"} </w:instrText>
      </w:r>
      <w:r w:rsidR="00104617">
        <w:rPr>
          <w:rFonts w:ascii="Times New Roman" w:hAnsi="Times New Roman" w:cs="Times New Roman"/>
        </w:rPr>
        <w:fldChar w:fldCharType="separate"/>
      </w:r>
      <w:r w:rsidR="00B633EE" w:rsidRPr="00B633EE">
        <w:rPr>
          <w:rFonts w:ascii="Times New Roman" w:hAnsi="Times New Roman" w:cs="Times New Roman"/>
        </w:rPr>
        <w:t>(Bürkner, 2017)</w:t>
      </w:r>
      <w:r w:rsidR="00104617">
        <w:rPr>
          <w:rFonts w:ascii="Times New Roman" w:hAnsi="Times New Roman" w:cs="Times New Roman"/>
        </w:rPr>
        <w:fldChar w:fldCharType="end"/>
      </w:r>
      <w:r>
        <w:rPr>
          <w:rFonts w:ascii="Times New Roman" w:hAnsi="Times New Roman" w:cs="Times New Roman"/>
        </w:rPr>
        <w:t xml:space="preserve">. Posteriors were compared using </w:t>
      </w:r>
      <w:r>
        <w:rPr>
          <w:rFonts w:ascii="Times New Roman" w:hAnsi="Times New Roman" w:cs="Times New Roman"/>
          <w:i/>
          <w:iCs/>
        </w:rPr>
        <w:t xml:space="preserve">emmeans </w:t>
      </w:r>
      <w:r w:rsidR="00104617">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{"citationID":"a282cd3dsdu","properties":{"unsorted":false,"formattedCitation":"(Lenth, 2025)","plainCitation":"(Lenth, 2025)","noteIndex":0},"citationItems":[{"id":5542,"uris":["http://zotero.org/users/8613739/items/YMMCVLYT"],"itemData":{"id":5542,"type":"report","citation-key":"lenthEmmeansEstimatedMarginal2025","genre":"manual","title":"emmeans: Estimated marginal means, aka least-squares means","URL":"https://rvlenth.github.io/emmeans/","author":[{"family":"Lenth","given":"Russell V."}],"issued":{"date-parts":[["2025"]]}}}],"schema":"https://github.com/citation-style-language/schema/raw/master/csl-citation.json"} </w:instrText>
      </w:r>
      <w:r w:rsidR="00104617">
        <w:rPr>
          <w:rFonts w:ascii="Times New Roman" w:hAnsi="Times New Roman" w:cs="Times New Roman"/>
        </w:rPr>
        <w:fldChar w:fldCharType="separate"/>
      </w:r>
      <w:r w:rsidR="00B633EE" w:rsidRPr="00B633EE">
        <w:rPr>
          <w:rFonts w:ascii="Times New Roman" w:hAnsi="Times New Roman" w:cs="Times New Roman"/>
        </w:rPr>
        <w:t>(Lenth, 2025)</w:t>
      </w:r>
      <w:r w:rsidR="00104617">
        <w:rPr>
          <w:rFonts w:ascii="Times New Roman" w:hAnsi="Times New Roman" w:cs="Times New Roman"/>
        </w:rPr>
        <w:fldChar w:fldCharType="end"/>
      </w:r>
      <w:r>
        <w:rPr>
          <w:rFonts w:ascii="Times New Roman" w:hAnsi="Times New Roman" w:cs="Times New Roman"/>
        </w:rPr>
        <w:t xml:space="preserve"> and </w:t>
      </w:r>
      <w:proofErr w:type="spellStart"/>
      <w:r>
        <w:rPr>
          <w:rFonts w:ascii="Times New Roman" w:hAnsi="Times New Roman" w:cs="Times New Roman"/>
          <w:i/>
          <w:iCs/>
        </w:rPr>
        <w:t>easystats</w:t>
      </w:r>
      <w:proofErr w:type="spellEnd"/>
      <w:r>
        <w:rPr>
          <w:rFonts w:ascii="Times New Roman" w:hAnsi="Times New Roman" w:cs="Times New Roman"/>
        </w:rPr>
        <w:t xml:space="preserve"> </w:t>
      </w:r>
      <w:r w:rsidR="00104617">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{"citationID":"a1j80mvrfrg","properties":{"unsorted":false,"formattedCitation":"(Lenth, 2025; L\\uc0\\u252{}decke et al., 2022)","plainCitation":"(Lenth, 2025; Lüdecke et al., 2022)","noteIndex":0},"citationItems":[{"id":5542,"uris":["http://zotero.org/users/8613739/items/YMMCVLYT"],"itemData":{"id":5542,"type":"report","citation-key":"lenthEmmeansEstimatedMarginal2025","genre":"manual","title":"emmeans: Estimated marginal means, aka least-squares means","URL":"https://rvlenth.github.io/emmeans/","author":[{"family":"Lenth","given":"Russell V."}],"issued":{"date-parts":[["2025"]]}}},{"id":17653,"uris":["http://zotero.org/users/8613739/items/9ZI47D9C"],"itemData":{"id":17653,"type":"article-journal","citation-key":"ludeckeEasystatsFrameworkEasy2022","container-title":"CRAN","DOI":"10.32614/CRAN.package.easystats","title":"easystats: Framework for Easy Statistical Modeling, Visualization, and Reporting","URL":"https://easystats.github.io/easystats/","author":[{"family":"Lüdecke","given":"Daniel"},{"family":"Ben-Shachar","given":"Mattan S."},{"family":"Patil","given":"Indrajeet"},{"family":"Wiernik","given":"Brenton M."},{"family":"Bacher","given":"Etienne"},{"family":"Thériault","given":"Rémi"},{"family":"Makowski","given":"Dominique"}],"issued":{"date-parts":[["2022"]]}}}],"schema":"https://github.com/citation-style-language/schema/raw/master/csl-citation.json"} </w:instrText>
      </w:r>
      <w:r w:rsidR="00104617">
        <w:rPr>
          <w:rFonts w:ascii="Times New Roman" w:hAnsi="Times New Roman" w:cs="Times New Roman"/>
        </w:rPr>
        <w:fldChar w:fldCharType="separate"/>
      </w:r>
      <w:r w:rsidR="00B633EE" w:rsidRPr="00B633EE">
        <w:rPr>
          <w:rFonts w:ascii="Times New Roman" w:hAnsi="Times New Roman" w:cs="Times New Roman"/>
        </w:rPr>
        <w:t xml:space="preserve">(Lenth, 2025; </w:t>
      </w:r>
      <w:proofErr w:type="spellStart"/>
      <w:r w:rsidR="00B633EE" w:rsidRPr="00B633EE">
        <w:rPr>
          <w:rFonts w:ascii="Times New Roman" w:hAnsi="Times New Roman" w:cs="Times New Roman"/>
        </w:rPr>
        <w:t>Lüdecke</w:t>
      </w:r>
      <w:proofErr w:type="spellEnd"/>
      <w:r w:rsidR="00B633EE" w:rsidRPr="00B633EE">
        <w:rPr>
          <w:rFonts w:ascii="Times New Roman" w:hAnsi="Times New Roman" w:cs="Times New Roman"/>
        </w:rPr>
        <w:t xml:space="preserve"> et al., 2022)</w:t>
      </w:r>
      <w:r w:rsidR="00104617">
        <w:rPr>
          <w:rFonts w:ascii="Times New Roman" w:hAnsi="Times New Roman" w:cs="Times New Roman"/>
        </w:rPr>
        <w:fldChar w:fldCharType="end"/>
      </w:r>
      <w:r>
        <w:rPr>
          <w:rFonts w:ascii="Times New Roman" w:hAnsi="Times New Roman" w:cs="Times New Roman"/>
        </w:rPr>
        <w:t xml:space="preserve">.  Model simulations for the power calculations were conducted using </w:t>
      </w:r>
      <w:r>
        <w:rPr>
          <w:rFonts w:ascii="Times New Roman" w:hAnsi="Times New Roman" w:cs="Times New Roman"/>
          <w:i/>
          <w:iCs/>
        </w:rPr>
        <w:t xml:space="preserve">lme4 </w:t>
      </w:r>
      <w:r w:rsidR="00104617">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{"citationID":"a904vob7a1","properties":{"unsorted":false,"formattedCitation":"(Bates et al., 2015)","plainCitation":"(Bates et al., 2015)","noteIndex":0},"citationItems":[{"id":211,"uris":["http://zotero.org/users/8613739/items/LVT8QGCS"],"itemData":{"id":211,"type":"article-journal","abstract":"Maximum likelihood or restricted maximum likelihood (REML) estimates of the parameters in linear mixed-effects models can be determined using the lmer function in the lme4 package for R. As for most model-fitting functions in R, the model is described in an lmer call by a formula, in this case including both fixed- and random-effects terms. The formula and data together determine a numerical representation of the model from which the profiled deviance or the profiled REML criterion can be evaluated as a function of some of the model parameters. The appropriate criterion is optimized, using one of the constrained optimization functions in R, to provide the parameter estimates. We describe the structure of the model, the steps in evaluating the profiled deviance or REML criterion, and the structure of classes or types that represents such a model. Sufficient detail is included to allow specialization of these structures by users who wish to write functions to fit specialized linear mixed models, such as models incorporating pedigrees or smoothing splines, that are not easily expressible in the formula language used by lmer.","citation-key":"batesFittingLinearMixedEffects2015","container-title":"Journal of Statistical Software","DOI":"10.18637/jss.v067.i01","ISSN":"1548-7660","language":"en","license":"Copyright (c) 2015 Douglas Bates, Martin Mächler, Ben Bolker, Steve Walker","page":"1-48","source":"www.jstatsoft.org","title":"Fitting Linear Mixed-Effects Models Using lme4","volume":"67","author":[{"family":"Bates","given":"Douglas"},{"family":"Mächler","given":"Martin"},{"family":"Bolker","given":"Ben"},{"family":"Walker","given":"Steve"}],"issued":{"date-parts":[["2015",10,7]]}}}],"schema":"https://github.com/citation-style-language/schema/raw/master/csl-citation.json"} </w:instrText>
      </w:r>
      <w:r w:rsidR="00104617">
        <w:rPr>
          <w:rFonts w:ascii="Times New Roman" w:hAnsi="Times New Roman" w:cs="Times New Roman"/>
        </w:rPr>
        <w:fldChar w:fldCharType="separate"/>
      </w:r>
      <w:r w:rsidR="00B633EE" w:rsidRPr="00B633EE">
        <w:rPr>
          <w:rFonts w:ascii="Times New Roman" w:hAnsi="Times New Roman" w:cs="Times New Roman"/>
        </w:rPr>
        <w:t>(Bates et al., 2015)</w:t>
      </w:r>
      <w:r w:rsidR="00104617">
        <w:rPr>
          <w:rFonts w:ascii="Times New Roman" w:hAnsi="Times New Roman" w:cs="Times New Roman"/>
        </w:rPr>
        <w:fldChar w:fldCharType="end"/>
      </w:r>
      <w:r>
        <w:rPr>
          <w:rFonts w:ascii="Times New Roman" w:hAnsi="Times New Roman" w:cs="Times New Roman"/>
        </w:rPr>
        <w:t>. The accompanying GitLab repository</w:t>
      </w:r>
      <w:r w:rsidR="00C5112B">
        <w:rPr>
          <w:rFonts w:ascii="Times New Roman" w:hAnsi="Times New Roman" w:cs="Times New Roman"/>
        </w:rPr>
        <w:t xml:space="preserve"> (</w:t>
      </w:r>
      <w:hyperlink r:id="rId16" w:history="1">
        <w:r w:rsidR="00C5112B" w:rsidRPr="00581C85">
          <w:rPr>
            <w:rStyle w:val="Hyperlink"/>
            <w:rFonts w:ascii="Times New Roman" w:hAnsi="Times New Roman" w:cs="Times New Roman"/>
          </w:rPr>
          <w:t>https://gitlab.uliege.be/poc/mb-meta-analysis</w:t>
        </w:r>
      </w:hyperlink>
      <w:r w:rsidR="00C5112B">
        <w:rPr>
          <w:rFonts w:ascii="Times New Roman" w:hAnsi="Times New Roman" w:cs="Times New Roman"/>
        </w:rPr>
        <w:t>)</w:t>
      </w:r>
      <w:r>
        <w:rPr>
          <w:rFonts w:ascii="Times New Roman" w:hAnsi="Times New Roman" w:cs="Times New Roman"/>
        </w:rPr>
        <w:t xml:space="preserve"> contains a reproducible </w:t>
      </w:r>
      <w:proofErr w:type="spellStart"/>
      <w:r>
        <w:rPr>
          <w:rFonts w:ascii="Times New Roman" w:hAnsi="Times New Roman" w:cs="Times New Roman"/>
          <w:i/>
          <w:iCs/>
        </w:rPr>
        <w:t>renv</w:t>
      </w:r>
      <w:proofErr w:type="spellEnd"/>
      <w:r>
        <w:rPr>
          <w:rFonts w:ascii="Times New Roman" w:hAnsi="Times New Roman" w:cs="Times New Roman"/>
        </w:rPr>
        <w:t xml:space="preserve"> </w:t>
      </w:r>
      <w:r w:rsidR="00104617">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{"citationID":"asm5aoqlmi","properties":{"unsorted":false,"formattedCitation":"(Ushey &amp; Wickham, 2026)","plainCitation":"(Ushey &amp; Wickham, 2026)","noteIndex":0},"citationItems":[{"id":17652,"uris":["http://zotero.org/users/8613739/items/HNXD2NXX"],"itemData":{"id":17652,"type":"book","citation-key":"usheyRenvProjectEnvironments2026","title":"renv: Project Environments","URL":"https://rstudio.github.io/renv/","author":[{"family":"Ushey","given":"Kevin"},{"family":"Wickham","given":"Hadley"}],"issued":{"date-parts":[["2026"]]}}}],"schema":"https://github.com/citation-style-language/schema/raw/master/csl-citation.json"} </w:instrText>
      </w:r>
      <w:r w:rsidR="00104617">
        <w:rPr>
          <w:rFonts w:ascii="Times New Roman" w:hAnsi="Times New Roman" w:cs="Times New Roman"/>
        </w:rPr>
        <w:fldChar w:fldCharType="separate"/>
      </w:r>
      <w:r w:rsidR="00B633EE" w:rsidRPr="00B633EE">
        <w:rPr>
          <w:rFonts w:ascii="Times New Roman" w:hAnsi="Times New Roman" w:cs="Times New Roman"/>
        </w:rPr>
        <w:t>(</w:t>
      </w:r>
      <w:proofErr w:type="spellStart"/>
      <w:r w:rsidR="00B633EE" w:rsidRPr="00B633EE">
        <w:rPr>
          <w:rFonts w:ascii="Times New Roman" w:hAnsi="Times New Roman" w:cs="Times New Roman"/>
        </w:rPr>
        <w:t>Ushey</w:t>
      </w:r>
      <w:proofErr w:type="spellEnd"/>
      <w:r w:rsidR="00B633EE" w:rsidRPr="00B633EE">
        <w:rPr>
          <w:rFonts w:ascii="Times New Roman" w:hAnsi="Times New Roman" w:cs="Times New Roman"/>
        </w:rPr>
        <w:t xml:space="preserve"> &amp; Wickham, 2026)</w:t>
      </w:r>
      <w:r w:rsidR="00104617">
        <w:rPr>
          <w:rFonts w:ascii="Times New Roman" w:hAnsi="Times New Roman" w:cs="Times New Roman"/>
        </w:rPr>
        <w:fldChar w:fldCharType="end"/>
      </w:r>
      <w:r>
        <w:rPr>
          <w:rFonts w:ascii="Times New Roman" w:hAnsi="Times New Roman" w:cs="Times New Roman"/>
        </w:rPr>
        <w:t xml:space="preserve"> environment with all the dependencies to automatically replicate our analyses.</w:t>
      </w:r>
    </w:p>
    <w:p w14:paraId="210929A1" w14:textId="77777777" w:rsidR="008F5DA6" w:rsidRDefault="00FB05D1">
      <w:pPr>
        <w:pStyle w:val="Heading1"/>
        <w:spacing w:line="360" w:lineRule="auto"/>
        <w:jc w:val="both"/>
      </w:pPr>
      <w:r>
        <w:rPr>
          <w:rFonts w:ascii="Times New Roman" w:hAnsi="Times New Roman"/>
          <w:color w:val="auto"/>
          <w:sz w:val="24"/>
          <w:u w:val="single"/>
        </w:rPr>
        <w:t>Results</w:t>
      </w:r>
    </w:p>
    <w:p w14:paraId="722FA37E" w14:textId="020F9821" w:rsidR="00C04D15" w:rsidRPr="00B05C45" w:rsidRDefault="00FB05D1" w:rsidP="00B05C45">
      <w:pPr>
        <w:spacing w:line="360" w:lineRule="auto"/>
        <w:jc w:val="both"/>
      </w:pPr>
      <w:r>
        <w:rPr>
          <w:rFonts w:ascii="Times New Roman" w:hAnsi="Times New Roman" w:cs="Times New Roman"/>
        </w:rPr>
        <w:tab/>
        <w:t>A full summary of the search strategy is shown in the PRISMA flow diagram in Figure 1. Database query for combinations of “mind blanking” and “experience-sampling” terms resulted in 1666 articles. After duplicate removal (n=399)</w:t>
      </w:r>
      <w:r w:rsidR="00B05C45" w:rsidRPr="00B05C45">
        <w:rPr>
          <w:rFonts w:ascii="Times New Roman" w:hAnsi="Times New Roman" w:cs="Times New Roman"/>
        </w:rPr>
        <w:t xml:space="preserve">, </w:t>
      </w:r>
      <w:r>
        <w:rPr>
          <w:rFonts w:ascii="Times New Roman" w:hAnsi="Times New Roman" w:cs="Times New Roman"/>
        </w:rPr>
        <w:t xml:space="preserve">through an iterative process of screening and discussion, two authors independently agreed on </w:t>
      </w:r>
      <w:r w:rsidR="00C04D15">
        <w:rPr>
          <w:rFonts w:ascii="Times New Roman" w:hAnsi="Times New Roman" w:cs="Times New Roman"/>
        </w:rPr>
        <w:t xml:space="preserve">63 articles for the systematic review and </w:t>
      </w:r>
      <w:r w:rsidR="00D06159">
        <w:rPr>
          <w:rFonts w:ascii="Times New Roman" w:hAnsi="Times New Roman" w:cs="Times New Roman"/>
        </w:rPr>
        <w:t>59</w:t>
      </w:r>
      <w:r>
        <w:rPr>
          <w:rFonts w:ascii="Times New Roman" w:hAnsi="Times New Roman" w:cs="Times New Roman"/>
        </w:rPr>
        <w:t xml:space="preserve"> articles</w:t>
      </w:r>
      <w:r w:rsidR="00C04D15">
        <w:rPr>
          <w:rFonts w:ascii="Times New Roman" w:hAnsi="Times New Roman" w:cs="Times New Roman"/>
        </w:rPr>
        <w:t xml:space="preserve"> for the meta-analysis</w:t>
      </w:r>
      <w:r>
        <w:rPr>
          <w:rFonts w:ascii="Times New Roman" w:hAnsi="Times New Roman" w:cs="Times New Roman"/>
        </w:rPr>
        <w:t xml:space="preserve"> based on their full content.</w:t>
      </w:r>
      <w:r w:rsidR="00263875">
        <w:rPr>
          <w:rFonts w:ascii="Times New Roman" w:hAnsi="Times New Roman" w:cs="Times New Roman"/>
        </w:rPr>
        <w:t xml:space="preserve"> The items included in the systematic review but not the meta-analysis were either re-</w:t>
      </w:r>
      <w:r w:rsidR="00263875">
        <w:rPr>
          <w:rFonts w:ascii="Times New Roman" w:hAnsi="Times New Roman" w:cs="Times New Roman"/>
        </w:rPr>
        <w:lastRenderedPageBreak/>
        <w:t xml:space="preserve">analysis </w:t>
      </w:r>
      <w:r w:rsidR="00263875">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{"citationID":"a51k9mu0vo","properties":{"unsorted":false,"formattedCitation":"(Boulakis et al., 2023; Mortaheb et al., 2022; Munoz-Musat et al., 2025)","plainCitation":"(Boulakis et al., 2023; Mortaheb et al., 2022; Munoz-Musat et al., 2025)","noteIndex":0},"citationItems":[{"id":16233,"uris":["http://zotero.org/groups/6160358/items/4JI4ULLD"],"itemData":{"id":16233,"type":"article-journal","abstract":"Mind-blanking (MB) is termed as the inability to report our immediate-past mental content. In contrast to mental states with reportable content, such as mind-wandering or sensory perceptions, the neural correlates of MB started getting elucidated only recently. A notable particularity that pertains to MB studies is the way MB is instructed for reporting, like by deliberately asking participants to \"empty their minds.\" Such instructions were shown to induce fMRI activations in frontal brain regions, typically associated with metacognition and self-evaluative processes, suggesting that MB may be a result of intentional mental content suppression. Here, we aim at examining this hypothesis by determining the neural correlates of MB without induction. Using fMRI combined with experience-sampling in 31 participants (22 female), univariate analysis of MB reports revealed deactivations in occipital, frontal, parietal, and thalamic areas, but no activations in prefrontal regions. These findings were confirmed using Bayesian region-of-interest analysis on areas previously shown to be implicated in induced MB, where we report evidence for frontal deactivations during MB reports compared with other mental states. Contrast analysis between reports of MB and content-oriented mental states also revealed deactivations in the left angular gyrus. We propose that these effects characterize a neuronal profile of MB, where key thalamocortical nodes are unable to communicate and formulate reportable content. Collectively, we show that study instructions for MB lead to differential neural activation. These results provide mechanistic insights linked to the phenomenology of MB and point to the possibility of MB being expressed in different forms.SIGNIFICANCE STATEMENT This study explores how brain activity changes when individuals report unidentifiable thoughts, a phenomenon known as mind-blanking (MB). It aims to detect changes in brain activations and deactivations when MB is reported spontaneously, as opposed to the neural responses that have been previously reported when MB is induced. By means of brain imaging and experience-sampling, the study points to reduced brain activity in a wide number of regions, including those mesio-frontally which were previously detected as activated during induced MB. These results enhance our understanding of the complexity of spontaneous thinking and contribute to broader discussions on consciousness and reportable experience.","citation-key":"boulakisWholeBrainDeactivationsPrecede2023a","container-title":"The Journal of neuroscience : the official journal of the Society for Neuroscience","DOI":"10.1523/JNEUROSCI.0696-23.2023","ISSN":"1529-2401 0270-6474","issue":"40","language":"eng","license":"Copyright © 2023 the authors.","page":"6807–6815","PMID":"37643862","PMCID":"PMC10552942","title":"Whole-Brain Deactivations Precede Uninduced Mind-Blanking Reports.","volume":"43","author":[{"family":"Boulakis","given":"Paradeisios Alexandros"},{"family":"Mortaheb","given":"Sepehr"},{"family":"Calster","given":"Laurens","non-dropping-particle":"van"},{"family":"Majerus","given":"Steve"},{"family":"Demertzi","given":"Athena"}],"issued":{"date-parts":[["2023",10]]}}},{"id":15027,"uris":["http://zotero.org/users/8613739/items/8TT9V8WL"],"itemData":{"id":15027,"type":"article-journal","abstract":"Mind blanking (MB) is a waking state during which we do not report any mental content. The phenomenology of MB challenges the view of a constantly thinking mind. Here, we comprehensively characterize the MB’s neurobehavioral profile with the aim to delineate its role during ongoing mentation. Using functional MRI experience sampling, we show that the reportability of MB is less frequent, faster, and with lower transitional dynamics than other mental states, pointing to its role as a transient mental relay. Regarding its neural underpinnings, we observed higher global signal amplitude during MB reports, indicating a distinct physiological state. Using the time-varying functional connectome, we show that MB reports can be classified with high accuracy, suggesting that MB has a unique neural composition. Indeed, a pattern of global positive-phase coherence shows the highest similarity to the connectivity patterns associated with MB reports. We interpret this pattern’s rigid signal architecture as hindering content reportability due to the brain’s inability to differentiate signals in an informative way. Collectively, we show that MB has a unique neurobehavioral profile, indicating that nonreportable mental events can happen during wakefulness. Our results add to the characterization of spontaneous mentation and pave the way for more mechanistic investigations of MB’s phenomenology.","citation-key":"mortahebMindBlankingDistinct2022","container-title":"Proceedings of the National Academy of Sciences","DOI":"10.1073/pnas.2200511119","issue":"41","journalAbbreviation":"Proc Natl Acad Sci U S A","page":"e2200511119","publisher":"Proceedings of the National Academy of Sciences","source":"pnas.org (Atypon)","title":"Mind blanking is a distinct mental state linked to a recurrent brain profile of globally positive connectivity during ongoing mentation","volume":"119","author":[{"family":"Mortaheb","given":"Sepehr"},{"family":"Van Calster","given":"Laurens"},{"family":"Raimondo","given":"Federico"},{"family":"Klados","given":"Manousos A."},{"family":"Boulakis","given":"Paradeisios Alexandros"},{"family":"Georgoula","given":"Kleio"},{"family":"Majerus","given":"Steve"},{"family":"Van De Ville","given":"Dimitri"},{"family":"Demertzi","given":"Athena"}],"issued":{"date-parts":[["2022",10,11]]}}},{"id":17626,"uris":["http://zotero.org/users/8613739/items/CGUZB2WI"],"itemData":{"id":17626,"type":"article-journal","abstract":"Does being awake necessarily mean being conscious of something? This study investigates the phenomenon of mind blanking (MB), characterized by an “emptiness of mind,” comparing it with mind wandering (MW) and on-task (ON) states. Using a sustained attention task and electroencephalogram monitoring, behavioral, and neurophysiological signatures of MB were examined in 62 participants. MB exhibited a specific pattern of behavioral lapses, as well as decreased fast oscillatory activity and complexity over posterior electrodes compared to MW. Functional connectivity analyses revealed decreased long-range interareal connectivity during MB, compared to both ON and MW states. Event-related potentials with source reconstruction and temporal decoding techniques indicated a significant disruption in visual processing during MB, starting from 200 ms post stimulus and echoing into the late-stage of visual processing, suggesting a disruption of conscious access to sensory information during MB. Electroencephalogram-derived markers allowed the prediction of mental states at the trial level, offering a finer view of conscious dynamics than subjective reports alone. Overall, these findings challenge the notion of the wakeful conscious mind as inherently content-oriented, suggesting that MB reflects genuine gaps in the stream of conscious thoughts, arising from disruptions in the generation or accessibility of thought content.","citation-key":"munoz-musatBehavioralExperientialPhysiological2025","container-title":"Proceedings of the National Academy of Sciences","DOI":"10.1073/pnas.2510262122","issue":"52","page":"e2510262122","publisher":"Proceedings of the National Academy of Sciences","source":"pnas.org (Atypon)","title":"Behavioral, experiential, and physiological signatures of mind blanking","volume":"122","author":[{"family":"Munoz-Musat","given":"Esteban"},{"family":"Le Coz","given":"Arthur"},{"family":"Corcoran","given":"Andrew W."},{"family":"Belloli","given":"Laouen"},{"family":"Naccache","given":"Lionel"},{"family":"Andrillon","given":"Thomas"}],"issued":{"date-parts":[["2025",12,30]]}}}],"schema":"https://github.com/citation-style-language/schema/raw/master/csl-citation.json"} </w:instrText>
      </w:r>
      <w:r w:rsidR="00263875">
        <w:rPr>
          <w:rFonts w:ascii="Times New Roman" w:hAnsi="Times New Roman" w:cs="Times New Roman"/>
        </w:rPr>
        <w:fldChar w:fldCharType="separate"/>
      </w:r>
      <w:r w:rsidR="00B633EE" w:rsidRPr="00B633EE">
        <w:rPr>
          <w:rFonts w:ascii="Times New Roman" w:hAnsi="Times New Roman" w:cs="Times New Roman"/>
        </w:rPr>
        <w:t>(Boulakis et al., 2023; Mortaheb et al., 2022; Munoz-Musat et al., 2025)</w:t>
      </w:r>
      <w:r w:rsidR="00263875">
        <w:rPr>
          <w:rFonts w:ascii="Times New Roman" w:hAnsi="Times New Roman" w:cs="Times New Roman"/>
        </w:rPr>
        <w:fldChar w:fldCharType="end"/>
      </w:r>
      <w:r w:rsidR="00263875">
        <w:rPr>
          <w:rFonts w:ascii="Times New Roman" w:hAnsi="Times New Roman" w:cs="Times New Roman"/>
        </w:rPr>
        <w:t xml:space="preserve"> or we could not estimate MB report rates </w:t>
      </w:r>
      <w:r w:rsidR="00263875">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{"citationID":"ag1a0lsf6l","properties":{"unsorted":false,"formattedCitation":"(Garg et al., 2025)","plainCitation":"(Garg et al., 2025)","noteIndex":0},"citationItems":[{"id":5556,"uris":["http://zotero.org/users/8613739/items/UAA36AW4"],"itemData":{"id":5556,"type":"article-journal","abstract":"Asking participants to Think Aloud is a common method for studying conscious experience, but it remains unclear whether this approach alters thought qualities—such as meta-awareness, rate of topic shifts, or the content of thoughts in task-absent conditions. To investigate this, we conducted two studies comparing thinking aloud to thinking silently. In Study 1, 111 participants alternated between 15-minute intervals of verbalizing and silently reflecting on their stream of consciousness in a counterbalanced design. A subset also reported topic shifts intermittently via self- and probe-catching methods. Results showed that the stream of consciousness was minimally reactive to the Think Aloud protocol, with no significant differences in meta-awareness and topic shifting rates. Moreover, among 21 thought qualities and 18 content topics analyzed, only three qualities (private thoughts, mind blanking, and session difficulty) and one topic (partner, intimacy, love, and sexual matters) differed between Think Aloud and Silent Think. In Study 2, 102 participants either did Think Aloud or Silent Think while responding to thought probes. Findings replicated the lack of differences in the frequency and meta-awareness of topic shifts between Think Aloud and Silent Think. Furthermore, no differences in reported cognitive load were observed between the two conditions. These results emphasize the value of the Think Aloud procedure for examining the stream of consciousness, demonstrating its reliability and minimal impact on the natural flow of thoughts. Thus, Think Aloud offers a robust model system for examining the otherwise unverbalized stream of consciousness in task-absent contexts.","citation-key":"gargOpeningBlackBox2025","container-title":"Consciousness and Cognition","DOI":"10.1016/j.concog.2025.103815","ISSN":"1053-8100","journalAbbreviation":"Consciousness and Cognition","page":"103815","source":"ScienceDirect","title":"Opening the black box: Think Aloud as a method to study the spontaneous stream of consciousness","title-short":"Opening the black box","volume":"128","author":[{"family":"Garg","given":"Anusha"},{"family":"Shelat","given":"Shivang"},{"family":"Gross","given":"Madeleine E."},{"family":"Smallwood","given":"Jonathan"},{"family":"Seli","given":"Paul"},{"family":"Taxali","given":"Aman"},{"family":"Sripada","given":"Chandra S."},{"family":"Schooler","given":"Jonathan W."}],"issued":{"date-parts":[["2025",2,1]]}}}],"schema":"https://github.com/citation-style-language/schema/raw/master/csl-citation.json"} </w:instrText>
      </w:r>
      <w:r w:rsidR="00263875">
        <w:rPr>
          <w:rFonts w:ascii="Times New Roman" w:hAnsi="Times New Roman" w:cs="Times New Roman"/>
        </w:rPr>
        <w:fldChar w:fldCharType="separate"/>
      </w:r>
      <w:r w:rsidR="00B633EE" w:rsidRPr="00B633EE">
        <w:rPr>
          <w:rFonts w:ascii="Times New Roman" w:hAnsi="Times New Roman" w:cs="Times New Roman"/>
        </w:rPr>
        <w:t>(Garg et al., 2025)</w:t>
      </w:r>
      <w:r w:rsidR="00263875">
        <w:rPr>
          <w:rFonts w:ascii="Times New Roman" w:hAnsi="Times New Roman" w:cs="Times New Roman"/>
        </w:rPr>
        <w:fldChar w:fldCharType="end"/>
      </w:r>
      <w:r w:rsidR="008039B7">
        <w:rPr>
          <w:rFonts w:ascii="Times New Roman" w:hAnsi="Times New Roman" w:cs="Times New Roman"/>
        </w:rPr>
        <w:t>.</w:t>
      </w:r>
    </w:p>
    <w:p w14:paraId="159AA0D3" w14:textId="77777777" w:rsidR="00C04D15" w:rsidRDefault="00C04D15" w:rsidP="00C04D15">
      <w:pPr>
        <w:pStyle w:val="Caption"/>
        <w:jc w:val="center"/>
      </w:pPr>
      <w:r>
        <w:rPr>
          <w:noProof/>
        </w:rPr>
        <w:drawing>
          <wp:inline distT="0" distB="0" distL="0" distR="0" wp14:anchorId="0BFEF7C0" wp14:editId="30CC0387">
            <wp:extent cx="4532734" cy="4741138"/>
            <wp:effectExtent l="0" t="0" r="1270" b="2540"/>
            <wp:docPr id="1895174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95883" name="Picture 49419588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60897" cy="4770595"/>
                    </a:xfrm>
                    <a:prstGeom prst="rect">
                      <a:avLst/>
                    </a:prstGeom>
                  </pic:spPr>
                </pic:pic>
              </a:graphicData>
            </a:graphic>
          </wp:inline>
        </w:drawing>
      </w:r>
    </w:p>
    <w:p w14:paraId="1C594DE2" w14:textId="066EFA13" w:rsidR="00C04D15" w:rsidRPr="00C04D15" w:rsidRDefault="00C04D15" w:rsidP="00C04D15">
      <w:pPr>
        <w:pStyle w:val="Caption"/>
        <w:spacing w:line="360" w:lineRule="auto"/>
        <w:jc w:val="center"/>
        <w:rPr>
          <w:rFonts w:ascii="Times New Roman" w:hAnsi="Times New Roman"/>
          <w:i w:val="0"/>
          <w:color w:val="000000"/>
          <w:sz w:val="20"/>
        </w:rPr>
      </w:pPr>
      <w:r>
        <w:rPr>
          <w:rFonts w:ascii="Times New Roman" w:hAnsi="Times New Roman"/>
          <w:b/>
          <w:i w:val="0"/>
          <w:color w:val="000000"/>
          <w:sz w:val="20"/>
        </w:rPr>
        <w:t xml:space="preserve">Figure </w:t>
      </w:r>
      <w:r>
        <w:rPr>
          <w:rFonts w:ascii="Times New Roman" w:hAnsi="Times New Roman" w:cs="Times New Roman"/>
          <w:b/>
          <w:bCs/>
          <w:i w:val="0"/>
          <w:iCs w:val="0"/>
          <w:color w:val="000000"/>
          <w:sz w:val="20"/>
          <w:szCs w:val="20"/>
        </w:rPr>
        <w:t>1.</w:t>
      </w:r>
      <w:r>
        <w:rPr>
          <w:rFonts w:ascii="Times New Roman" w:hAnsi="Times New Roman"/>
          <w:b/>
          <w:i w:val="0"/>
          <w:color w:val="000000"/>
          <w:sz w:val="20"/>
        </w:rPr>
        <w:t xml:space="preserve"> PRISMA flow diagram of literature search results. </w:t>
      </w:r>
      <w:r>
        <w:rPr>
          <w:rFonts w:ascii="Times New Roman" w:hAnsi="Times New Roman"/>
          <w:i w:val="0"/>
          <w:color w:val="000000"/>
          <w:sz w:val="20"/>
        </w:rPr>
        <w:t xml:space="preserve">We queried 6 databases (PubMed, Google Scholar, Scopus, PsycINFO, BioRxiv, </w:t>
      </w:r>
      <w:proofErr w:type="spellStart"/>
      <w:r>
        <w:rPr>
          <w:rFonts w:ascii="Times New Roman" w:hAnsi="Times New Roman"/>
          <w:i w:val="0"/>
          <w:color w:val="000000"/>
          <w:sz w:val="20"/>
        </w:rPr>
        <w:t>PsyArXiv</w:t>
      </w:r>
      <w:proofErr w:type="spellEnd"/>
      <w:r>
        <w:rPr>
          <w:rFonts w:ascii="Times New Roman" w:hAnsi="Times New Roman"/>
          <w:i w:val="0"/>
          <w:color w:val="000000"/>
          <w:sz w:val="20"/>
        </w:rPr>
        <w:t xml:space="preserve">) and the </w:t>
      </w:r>
      <w:r>
        <w:rPr>
          <w:rFonts w:ascii="Times New Roman" w:hAnsi="Times New Roman" w:cs="Times New Roman"/>
          <w:i w:val="0"/>
          <w:iCs w:val="0"/>
          <w:color w:val="000000"/>
          <w:sz w:val="20"/>
          <w:szCs w:val="20"/>
        </w:rPr>
        <w:t>ULiège</w:t>
      </w:r>
      <w:r>
        <w:rPr>
          <w:rFonts w:ascii="Times New Roman" w:hAnsi="Times New Roman"/>
          <w:i w:val="0"/>
          <w:color w:val="000000"/>
          <w:sz w:val="20"/>
        </w:rPr>
        <w:t xml:space="preserve"> library for articles containing mind</w:t>
      </w:r>
      <w:r w:rsidR="00A34FFE">
        <w:rPr>
          <w:rFonts w:ascii="Times New Roman" w:hAnsi="Times New Roman"/>
          <w:i w:val="0"/>
          <w:color w:val="000000"/>
          <w:sz w:val="20"/>
        </w:rPr>
        <w:t xml:space="preserve"> </w:t>
      </w:r>
      <w:r>
        <w:rPr>
          <w:rFonts w:ascii="Times New Roman" w:hAnsi="Times New Roman"/>
          <w:i w:val="0"/>
          <w:color w:val="000000"/>
          <w:sz w:val="20"/>
        </w:rPr>
        <w:t xml:space="preserve">blanking reports during experience-sampling. An initial search yielded 1666 articles. A total of 59 studies were deemed eligible and are included in the current meta-analysis. </w:t>
      </w:r>
      <w:r w:rsidRPr="009A715A">
        <w:rPr>
          <w:rFonts w:ascii="Times New Roman" w:hAnsi="Times New Roman"/>
          <w:i w:val="0"/>
          <w:color w:val="000000"/>
          <w:sz w:val="20"/>
        </w:rPr>
        <w:t>For the systematic review, we also included all manuscripts that employed MB probes, regardless of whether they represented re-analyses of prior MB studies or whether MB report rates could not be extracted (n = 6</w:t>
      </w:r>
      <w:r>
        <w:rPr>
          <w:rFonts w:ascii="Times New Roman" w:hAnsi="Times New Roman"/>
          <w:i w:val="0"/>
          <w:color w:val="000000"/>
          <w:sz w:val="20"/>
        </w:rPr>
        <w:t>3</w:t>
      </w:r>
      <w:r w:rsidRPr="009A715A">
        <w:rPr>
          <w:rFonts w:ascii="Times New Roman" w:hAnsi="Times New Roman"/>
          <w:i w:val="0"/>
          <w:color w:val="000000"/>
          <w:sz w:val="20"/>
        </w:rPr>
        <w:t>).</w:t>
      </w:r>
    </w:p>
    <w:p w14:paraId="3BCA7157" w14:textId="22018758" w:rsidR="008F5DA6" w:rsidRDefault="00FB05D1">
      <w:pPr>
        <w:spacing w:line="360" w:lineRule="auto"/>
        <w:ind w:firstLine="720"/>
        <w:jc w:val="both"/>
      </w:pPr>
      <w:r w:rsidRPr="22DB2182">
        <w:rPr>
          <w:rFonts w:ascii="Times New Roman" w:hAnsi="Times New Roman" w:cs="Times New Roman"/>
        </w:rPr>
        <w:t xml:space="preserve">In total, across all experiments, sessions, and conditions in these </w:t>
      </w:r>
      <w:r w:rsidR="00D06159" w:rsidRPr="22DB2182">
        <w:rPr>
          <w:rFonts w:ascii="Times New Roman" w:hAnsi="Times New Roman" w:cs="Times New Roman"/>
        </w:rPr>
        <w:t>59</w:t>
      </w:r>
      <w:r w:rsidRPr="22DB2182">
        <w:rPr>
          <w:rFonts w:ascii="Times New Roman" w:hAnsi="Times New Roman" w:cs="Times New Roman"/>
        </w:rPr>
        <w:t xml:space="preserve"> studies, we extracted </w:t>
      </w:r>
      <w:r w:rsidR="00D06159" w:rsidRPr="22DB2182">
        <w:rPr>
          <w:rFonts w:ascii="Times New Roman" w:hAnsi="Times New Roman" w:cs="Times New Roman"/>
        </w:rPr>
        <w:t>151</w:t>
      </w:r>
      <w:r w:rsidRPr="22DB2182">
        <w:rPr>
          <w:rFonts w:ascii="Times New Roman" w:hAnsi="Times New Roman" w:cs="Times New Roman"/>
        </w:rPr>
        <w:t xml:space="preserve"> MB rates, spanning </w:t>
      </w:r>
      <w:r w:rsidR="00D06159" w:rsidRPr="22DB2182">
        <w:rPr>
          <w:rFonts w:ascii="Times New Roman" w:hAnsi="Times New Roman" w:cs="Times New Roman"/>
        </w:rPr>
        <w:t>~</w:t>
      </w:r>
      <w:r w:rsidRPr="22DB2182">
        <w:rPr>
          <w:rFonts w:ascii="Times New Roman" w:hAnsi="Times New Roman" w:cs="Times New Roman"/>
        </w:rPr>
        <w:t>8</w:t>
      </w:r>
      <w:r w:rsidR="00D06159" w:rsidRPr="22DB2182">
        <w:rPr>
          <w:rFonts w:ascii="Times New Roman" w:hAnsi="Times New Roman" w:cs="Times New Roman"/>
        </w:rPr>
        <w:t>5</w:t>
      </w:r>
      <w:r w:rsidRPr="22DB2182">
        <w:rPr>
          <w:rFonts w:ascii="Times New Roman" w:hAnsi="Times New Roman" w:cs="Times New Roman"/>
        </w:rPr>
        <w:t xml:space="preserve">00 individuals and </w:t>
      </w:r>
      <w:r w:rsidR="00D06159" w:rsidRPr="22DB2182">
        <w:rPr>
          <w:rFonts w:ascii="Times New Roman" w:hAnsi="Times New Roman" w:cs="Times New Roman"/>
        </w:rPr>
        <w:t>~240000</w:t>
      </w:r>
      <w:r w:rsidRPr="22DB2182">
        <w:rPr>
          <w:rFonts w:ascii="Times New Roman" w:hAnsi="Times New Roman" w:cs="Times New Roman"/>
        </w:rPr>
        <w:t xml:space="preserve"> experience-sampling probes. Detailed characteristics of the meta-analytic database are presented in Table 1. Of the studies that defined MB or provided key MB characteristics, there was wide heterogeneity in how MB was defined, with “no reportable content” being the most frequent, </w:t>
      </w:r>
      <w:r w:rsidR="00D06159" w:rsidRPr="22DB2182">
        <w:rPr>
          <w:rFonts w:ascii="Times New Roman" w:hAnsi="Times New Roman" w:cs="Times New Roman"/>
        </w:rPr>
        <w:t>representing 21</w:t>
      </w:r>
      <w:r w:rsidRPr="22DB2182">
        <w:rPr>
          <w:rFonts w:ascii="Times New Roman" w:hAnsi="Times New Roman" w:cs="Times New Roman"/>
        </w:rPr>
        <w:t>% of the studies, followed by “absence of thought” (</w:t>
      </w:r>
      <w:r w:rsidR="00D06159" w:rsidRPr="22DB2182">
        <w:rPr>
          <w:rFonts w:ascii="Times New Roman" w:hAnsi="Times New Roman" w:cs="Times New Roman"/>
        </w:rPr>
        <w:t>19</w:t>
      </w:r>
      <w:r w:rsidRPr="22DB2182">
        <w:rPr>
          <w:rFonts w:ascii="Times New Roman" w:hAnsi="Times New Roman" w:cs="Times New Roman"/>
        </w:rPr>
        <w:t>%) and “lack of conscious awareness” (1</w:t>
      </w:r>
      <w:r w:rsidR="00D06159" w:rsidRPr="22DB2182">
        <w:rPr>
          <w:rFonts w:ascii="Times New Roman" w:hAnsi="Times New Roman" w:cs="Times New Roman"/>
        </w:rPr>
        <w:t>1</w:t>
      </w:r>
      <w:r w:rsidRPr="22DB2182">
        <w:rPr>
          <w:rFonts w:ascii="Times New Roman" w:hAnsi="Times New Roman" w:cs="Times New Roman"/>
        </w:rPr>
        <w:t xml:space="preserve">%) (Supplementary Figure S1a). While most definitions expressed some form </w:t>
      </w:r>
      <w:r w:rsidRPr="22DB2182">
        <w:rPr>
          <w:rFonts w:ascii="Times New Roman" w:hAnsi="Times New Roman" w:cs="Times New Roman"/>
        </w:rPr>
        <w:lastRenderedPageBreak/>
        <w:t>of absence of reportable content, a subset of them referred to MB as absence of attention (</w:t>
      </w:r>
      <w:r w:rsidR="007C602B" w:rsidRPr="22DB2182">
        <w:rPr>
          <w:rFonts w:ascii="Times New Roman" w:hAnsi="Times New Roman" w:cs="Times New Roman"/>
        </w:rPr>
        <w:t>“</w:t>
      </w:r>
      <w:r w:rsidRPr="22DB2182">
        <w:rPr>
          <w:rFonts w:ascii="Times New Roman" w:hAnsi="Times New Roman" w:cs="Times New Roman"/>
        </w:rPr>
        <w:t xml:space="preserve">not paying attention to anything” = 5%) or memory (“lack of memory” = </w:t>
      </w:r>
      <w:r w:rsidR="00D06159" w:rsidRPr="22DB2182">
        <w:rPr>
          <w:rFonts w:ascii="Times New Roman" w:hAnsi="Times New Roman" w:cs="Times New Roman"/>
        </w:rPr>
        <w:t>3</w:t>
      </w:r>
      <w:r w:rsidRPr="22DB2182">
        <w:rPr>
          <w:rFonts w:ascii="Times New Roman" w:hAnsi="Times New Roman" w:cs="Times New Roman"/>
        </w:rPr>
        <w:t xml:space="preserve">%). The way MB was explained to participants was less heterogeneous, with most presentations opting for “my mind was blank” (34%) (Supplementary Figure S1b). </w:t>
      </w:r>
      <w:proofErr w:type="gramStart"/>
      <w:r w:rsidRPr="22DB2182">
        <w:rPr>
          <w:rFonts w:ascii="Times New Roman" w:hAnsi="Times New Roman" w:cs="Times New Roman"/>
        </w:rPr>
        <w:t>Similar to</w:t>
      </w:r>
      <w:proofErr w:type="gramEnd"/>
      <w:r w:rsidRPr="22DB2182">
        <w:rPr>
          <w:rFonts w:ascii="Times New Roman" w:hAnsi="Times New Roman" w:cs="Times New Roman"/>
        </w:rPr>
        <w:t xml:space="preserve"> MB definitions, MB presentations extended past descriptions of no thought to attention (“I was not focused on the task” = 1</w:t>
      </w:r>
      <w:r w:rsidR="00DE4FB4" w:rsidRPr="22DB2182">
        <w:rPr>
          <w:rFonts w:ascii="Times New Roman" w:hAnsi="Times New Roman" w:cs="Times New Roman"/>
        </w:rPr>
        <w:t>1</w:t>
      </w:r>
      <w:r w:rsidRPr="22DB2182">
        <w:rPr>
          <w:rFonts w:ascii="Times New Roman" w:hAnsi="Times New Roman" w:cs="Times New Roman"/>
        </w:rPr>
        <w:t>%, “I zoned out” = 2.</w:t>
      </w:r>
      <w:r w:rsidR="00DE4FB4" w:rsidRPr="22DB2182">
        <w:rPr>
          <w:rFonts w:ascii="Times New Roman" w:hAnsi="Times New Roman" w:cs="Times New Roman"/>
        </w:rPr>
        <w:t>2</w:t>
      </w:r>
      <w:r w:rsidRPr="22DB2182">
        <w:rPr>
          <w:rFonts w:ascii="Times New Roman" w:hAnsi="Times New Roman" w:cs="Times New Roman"/>
        </w:rPr>
        <w:t>%), memory (“I don’t remember”</w:t>
      </w:r>
      <w:r w:rsidR="00DE4FB4" w:rsidRPr="22DB2182">
        <w:rPr>
          <w:rFonts w:ascii="Times New Roman" w:hAnsi="Times New Roman" w:cs="Times New Roman"/>
        </w:rPr>
        <w:t xml:space="preserve"> = 2.2</w:t>
      </w:r>
      <w:r w:rsidRPr="22DB2182">
        <w:rPr>
          <w:rFonts w:ascii="Times New Roman" w:hAnsi="Times New Roman" w:cs="Times New Roman"/>
        </w:rPr>
        <w:t>%) or sleepiness (“I’m drowsy” = 2.</w:t>
      </w:r>
      <w:r w:rsidR="00DE4FB4" w:rsidRPr="22DB2182">
        <w:rPr>
          <w:rFonts w:ascii="Times New Roman" w:hAnsi="Times New Roman" w:cs="Times New Roman"/>
        </w:rPr>
        <w:t>2</w:t>
      </w:r>
      <w:r w:rsidRPr="22DB2182">
        <w:rPr>
          <w:rFonts w:ascii="Times New Roman" w:hAnsi="Times New Roman" w:cs="Times New Roman"/>
        </w:rPr>
        <w:t xml:space="preserve">%). Finally, our meta-analysis spanned a wide range of experimental paradigms across tasks, task settings, and experience-sampling configurations. The database primarily contained studies in which participants performed a task </w:t>
      </w:r>
      <w:r w:rsidR="00D930E7" w:rsidRPr="22DB2182">
        <w:rPr>
          <w:rFonts w:ascii="Times New Roman" w:hAnsi="Times New Roman" w:cs="Times New Roman"/>
        </w:rPr>
        <w:t>(</w:t>
      </w:r>
      <w:r w:rsidR="007C602B" w:rsidRPr="22DB2182">
        <w:rPr>
          <w:rFonts w:ascii="Times New Roman" w:hAnsi="Times New Roman" w:cs="Times New Roman"/>
        </w:rPr>
        <w:t>85</w:t>
      </w:r>
      <w:r w:rsidRPr="22DB2182">
        <w:rPr>
          <w:rFonts w:ascii="Times New Roman" w:hAnsi="Times New Roman" w:cs="Times New Roman"/>
        </w:rPr>
        <w:t>%), with the remaining studies conducted either at rest in the laboratory (</w:t>
      </w:r>
      <w:r w:rsidR="007C602B" w:rsidRPr="22DB2182">
        <w:rPr>
          <w:rFonts w:ascii="Times New Roman" w:hAnsi="Times New Roman" w:cs="Times New Roman"/>
        </w:rPr>
        <w:t>6.6</w:t>
      </w:r>
      <w:r w:rsidRPr="22DB2182">
        <w:rPr>
          <w:rFonts w:ascii="Times New Roman" w:hAnsi="Times New Roman" w:cs="Times New Roman"/>
        </w:rPr>
        <w:t>%) or in ecological settings (</w:t>
      </w:r>
      <w:r w:rsidR="00DE4FB4" w:rsidRPr="22DB2182">
        <w:rPr>
          <w:rFonts w:ascii="Times New Roman" w:hAnsi="Times New Roman" w:cs="Times New Roman"/>
        </w:rPr>
        <w:t>8</w:t>
      </w:r>
      <w:r w:rsidRPr="22DB2182">
        <w:rPr>
          <w:rFonts w:ascii="Times New Roman" w:hAnsi="Times New Roman" w:cs="Times New Roman"/>
        </w:rPr>
        <w:t>.</w:t>
      </w:r>
      <w:r w:rsidR="007C602B" w:rsidRPr="22DB2182">
        <w:rPr>
          <w:rFonts w:ascii="Times New Roman" w:hAnsi="Times New Roman" w:cs="Times New Roman"/>
        </w:rPr>
        <w:t>3</w:t>
      </w:r>
      <w:r w:rsidRPr="22DB2182">
        <w:rPr>
          <w:rFonts w:ascii="Times New Roman" w:hAnsi="Times New Roman" w:cs="Times New Roman"/>
        </w:rPr>
        <w:t xml:space="preserve">%).  </w:t>
      </w:r>
    </w:p>
    <w:p w14:paraId="16996134" w14:textId="1A0CEC09" w:rsidR="008F5DA6" w:rsidRDefault="03EEAE50">
      <w:pPr>
        <w:pStyle w:val="Caption"/>
        <w:keepNext/>
      </w:pPr>
      <w:r w:rsidRPr="65E1DBF8">
        <w:rPr>
          <w:rFonts w:ascii="Times New Roman" w:hAnsi="Times New Roman"/>
          <w:b/>
          <w:bCs/>
          <w:i w:val="0"/>
          <w:iCs w:val="0"/>
          <w:color w:val="000000" w:themeColor="text1"/>
          <w:sz w:val="20"/>
          <w:szCs w:val="20"/>
        </w:rPr>
        <w:t xml:space="preserve">Table </w:t>
      </w:r>
      <w:r w:rsidRPr="65E1DBF8">
        <w:rPr>
          <w:rFonts w:ascii="Times New Roman" w:hAnsi="Times New Roman" w:cs="Times New Roman"/>
          <w:b/>
          <w:bCs/>
          <w:i w:val="0"/>
          <w:iCs w:val="0"/>
          <w:color w:val="000000" w:themeColor="text1"/>
          <w:sz w:val="20"/>
          <w:szCs w:val="20"/>
        </w:rPr>
        <w:t>1.</w:t>
      </w:r>
      <w:r w:rsidRPr="65E1DBF8">
        <w:rPr>
          <w:rFonts w:ascii="Times New Roman" w:hAnsi="Times New Roman"/>
          <w:b/>
          <w:bCs/>
          <w:i w:val="0"/>
          <w:iCs w:val="0"/>
          <w:color w:val="000000" w:themeColor="text1"/>
          <w:sz w:val="20"/>
          <w:szCs w:val="20"/>
        </w:rPr>
        <w:t xml:space="preserve"> MB report rate meta</w:t>
      </w:r>
      <w:r w:rsidR="7418F39B" w:rsidRPr="65E1DBF8">
        <w:rPr>
          <w:rFonts w:ascii="Times New Roman" w:hAnsi="Times New Roman"/>
          <w:b/>
          <w:bCs/>
          <w:i w:val="0"/>
          <w:iCs w:val="0"/>
          <w:color w:val="000000" w:themeColor="text1"/>
          <w:sz w:val="20"/>
          <w:szCs w:val="20"/>
        </w:rPr>
        <w:t>-a</w:t>
      </w:r>
      <w:r w:rsidRPr="65E1DBF8">
        <w:rPr>
          <w:rFonts w:ascii="Times New Roman" w:hAnsi="Times New Roman"/>
          <w:b/>
          <w:bCs/>
          <w:i w:val="0"/>
          <w:iCs w:val="0"/>
          <w:color w:val="000000" w:themeColor="text1"/>
          <w:sz w:val="20"/>
          <w:szCs w:val="20"/>
        </w:rPr>
        <w:t>nalytic database</w:t>
      </w:r>
    </w:p>
    <w:tbl>
      <w:tblPr>
        <w:tblW w:w="5000" w:type="pct"/>
        <w:tblCellMar>
          <w:left w:w="17" w:type="dxa"/>
          <w:right w:w="17" w:type="dxa"/>
        </w:tblCellMar>
        <w:tblLook w:val="04A0" w:firstRow="1" w:lastRow="0" w:firstColumn="1" w:lastColumn="0" w:noHBand="0" w:noVBand="1"/>
      </w:tblPr>
      <w:tblGrid>
        <w:gridCol w:w="909"/>
        <w:gridCol w:w="398"/>
        <w:gridCol w:w="1159"/>
        <w:gridCol w:w="1341"/>
        <w:gridCol w:w="466"/>
        <w:gridCol w:w="404"/>
        <w:gridCol w:w="410"/>
        <w:gridCol w:w="447"/>
        <w:gridCol w:w="658"/>
        <w:gridCol w:w="425"/>
        <w:gridCol w:w="858"/>
        <w:gridCol w:w="497"/>
        <w:gridCol w:w="355"/>
        <w:gridCol w:w="573"/>
        <w:gridCol w:w="679"/>
        <w:gridCol w:w="501"/>
      </w:tblGrid>
      <w:tr w:rsidR="0065213A" w:rsidRPr="0065213A" w14:paraId="01969098" w14:textId="77777777" w:rsidTr="22DB2182">
        <w:trPr>
          <w:trHeight w:val="20"/>
        </w:trPr>
        <w:tc>
          <w:tcPr>
            <w:tcW w:w="456" w:type="pct"/>
            <w:tcBorders>
              <w:top w:val="single" w:sz="4" w:space="0" w:color="auto"/>
              <w:left w:val="nil"/>
              <w:bottom w:val="single" w:sz="4" w:space="0" w:color="auto"/>
              <w:right w:val="nil"/>
            </w:tcBorders>
            <w:noWrap/>
            <w:vAlign w:val="center"/>
            <w:hideMark/>
          </w:tcPr>
          <w:p w14:paraId="13E6F6E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b/>
                <w:bCs/>
                <w:color w:val="000000"/>
                <w:sz w:val="8"/>
                <w:szCs w:val="8"/>
              </w:rPr>
            </w:pPr>
            <w:r w:rsidRPr="0065213A">
              <w:rPr>
                <w:rFonts w:ascii="Times New Roman" w:eastAsia="Times New Roman" w:hAnsi="Times New Roman" w:cs="Times New Roman"/>
                <w:b/>
                <w:bCs/>
                <w:color w:val="000000"/>
                <w:sz w:val="8"/>
                <w:szCs w:val="8"/>
              </w:rPr>
              <w:t>Article</w:t>
            </w:r>
          </w:p>
        </w:tc>
        <w:tc>
          <w:tcPr>
            <w:tcW w:w="193" w:type="pct"/>
            <w:tcBorders>
              <w:top w:val="single" w:sz="4" w:space="0" w:color="auto"/>
              <w:left w:val="nil"/>
              <w:bottom w:val="single" w:sz="4" w:space="0" w:color="auto"/>
              <w:right w:val="nil"/>
            </w:tcBorders>
            <w:shd w:val="clear" w:color="auto" w:fill="FFFFFF" w:themeFill="background1"/>
            <w:noWrap/>
            <w:vAlign w:val="center"/>
            <w:hideMark/>
          </w:tcPr>
          <w:p w14:paraId="1E9B3D76" w14:textId="1CD74CDD"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b/>
                <w:bCs/>
                <w:color w:val="000000"/>
                <w:sz w:val="8"/>
                <w:szCs w:val="8"/>
                <w:lang w:val="fr-FR" w:eastAsia="en-US"/>
              </w:rPr>
            </w:pPr>
            <w:proofErr w:type="spellStart"/>
            <w:r w:rsidRPr="22DB2182">
              <w:rPr>
                <w:rFonts w:ascii="Times New Roman" w:eastAsia="Times New Roman" w:hAnsi="Times New Roman" w:cs="Times New Roman"/>
                <w:b/>
                <w:bCs/>
                <w:color w:val="000000" w:themeColor="text1"/>
                <w:sz w:val="8"/>
                <w:szCs w:val="8"/>
                <w:lang w:val="fr-FR" w:eastAsia="en-US"/>
              </w:rPr>
              <w:t>Exp</w:t>
            </w:r>
            <w:proofErr w:type="spellEnd"/>
            <w:r w:rsidRPr="22DB2182">
              <w:rPr>
                <w:rFonts w:ascii="Times New Roman" w:eastAsia="Times New Roman" w:hAnsi="Times New Roman" w:cs="Times New Roman"/>
                <w:b/>
                <w:bCs/>
                <w:color w:val="000000" w:themeColor="text1"/>
                <w:sz w:val="8"/>
                <w:szCs w:val="8"/>
                <w:lang w:val="fr-FR" w:eastAsia="en-US"/>
              </w:rPr>
              <w:t>/Sess</w:t>
            </w:r>
            <w:r w:rsidR="00AE5F57" w:rsidRPr="22DB2182">
              <w:rPr>
                <w:rFonts w:ascii="Times New Roman" w:eastAsia="Times New Roman" w:hAnsi="Times New Roman" w:cs="Times New Roman"/>
                <w:b/>
                <w:bCs/>
                <w:color w:val="000000" w:themeColor="text1"/>
                <w:sz w:val="8"/>
                <w:szCs w:val="8"/>
                <w:lang w:val="fr-FR" w:eastAsia="en-US"/>
              </w:rPr>
              <w:t>.</w:t>
            </w:r>
          </w:p>
        </w:tc>
        <w:tc>
          <w:tcPr>
            <w:tcW w:w="585" w:type="pct"/>
            <w:tcBorders>
              <w:top w:val="single" w:sz="4" w:space="0" w:color="auto"/>
              <w:left w:val="nil"/>
              <w:bottom w:val="single" w:sz="4" w:space="0" w:color="auto"/>
              <w:right w:val="nil"/>
            </w:tcBorders>
            <w:shd w:val="clear" w:color="auto" w:fill="FFFFFF" w:themeFill="background1"/>
            <w:noWrap/>
            <w:vAlign w:val="center"/>
            <w:hideMark/>
          </w:tcPr>
          <w:p w14:paraId="4491922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b/>
                <w:bCs/>
                <w:color w:val="000000"/>
                <w:sz w:val="8"/>
                <w:szCs w:val="8"/>
                <w:lang w:val="fr-FR" w:eastAsia="en-US"/>
              </w:rPr>
            </w:pPr>
            <w:proofErr w:type="spellStart"/>
            <w:r w:rsidRPr="22DB2182">
              <w:rPr>
                <w:rFonts w:ascii="Times New Roman" w:eastAsia="Times New Roman" w:hAnsi="Times New Roman" w:cs="Times New Roman"/>
                <w:b/>
                <w:bCs/>
                <w:color w:val="000000" w:themeColor="text1"/>
                <w:sz w:val="8"/>
                <w:szCs w:val="8"/>
                <w:lang w:val="fr-FR" w:eastAsia="en-US"/>
              </w:rPr>
              <w:t>Definition</w:t>
            </w:r>
            <w:proofErr w:type="spellEnd"/>
          </w:p>
        </w:tc>
        <w:tc>
          <w:tcPr>
            <w:tcW w:w="679" w:type="pct"/>
            <w:tcBorders>
              <w:top w:val="single" w:sz="4" w:space="0" w:color="auto"/>
              <w:left w:val="nil"/>
              <w:bottom w:val="single" w:sz="4" w:space="0" w:color="auto"/>
              <w:right w:val="nil"/>
            </w:tcBorders>
            <w:shd w:val="clear" w:color="auto" w:fill="FFFFFF" w:themeFill="background1"/>
            <w:noWrap/>
            <w:vAlign w:val="center"/>
            <w:hideMark/>
          </w:tcPr>
          <w:p w14:paraId="1FA114E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b/>
                <w:bCs/>
                <w:color w:val="000000"/>
                <w:sz w:val="8"/>
                <w:szCs w:val="8"/>
                <w:lang w:val="fr-FR" w:eastAsia="en-US"/>
              </w:rPr>
            </w:pPr>
            <w:proofErr w:type="spellStart"/>
            <w:r w:rsidRPr="22DB2182">
              <w:rPr>
                <w:rFonts w:ascii="Times New Roman" w:eastAsia="Times New Roman" w:hAnsi="Times New Roman" w:cs="Times New Roman"/>
                <w:b/>
                <w:bCs/>
                <w:color w:val="000000" w:themeColor="text1"/>
                <w:sz w:val="8"/>
                <w:szCs w:val="8"/>
                <w:lang w:val="fr-FR" w:eastAsia="en-US"/>
              </w:rPr>
              <w:t>Presentation</w:t>
            </w:r>
            <w:proofErr w:type="spellEnd"/>
          </w:p>
        </w:tc>
        <w:tc>
          <w:tcPr>
            <w:tcW w:w="228" w:type="pct"/>
            <w:tcBorders>
              <w:top w:val="single" w:sz="4" w:space="0" w:color="auto"/>
              <w:left w:val="nil"/>
              <w:bottom w:val="single" w:sz="4" w:space="0" w:color="auto"/>
              <w:right w:val="nil"/>
            </w:tcBorders>
            <w:shd w:val="clear" w:color="auto" w:fill="FFFFFF" w:themeFill="background1"/>
            <w:noWrap/>
            <w:vAlign w:val="center"/>
            <w:hideMark/>
          </w:tcPr>
          <w:p w14:paraId="01AA910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b/>
                <w:bCs/>
                <w:color w:val="000000"/>
                <w:sz w:val="8"/>
                <w:szCs w:val="8"/>
                <w:lang w:val="fr-FR" w:eastAsia="en-US"/>
              </w:rPr>
            </w:pPr>
            <w:r w:rsidRPr="22DB2182">
              <w:rPr>
                <w:rFonts w:ascii="Times New Roman" w:eastAsia="Times New Roman" w:hAnsi="Times New Roman" w:cs="Times New Roman"/>
                <w:b/>
                <w:bCs/>
                <w:color w:val="000000" w:themeColor="text1"/>
                <w:sz w:val="8"/>
                <w:szCs w:val="8"/>
                <w:lang w:val="fr-FR" w:eastAsia="en-US"/>
              </w:rPr>
              <w:t>N Subjects</w:t>
            </w:r>
          </w:p>
        </w:tc>
        <w:tc>
          <w:tcPr>
            <w:tcW w:w="196" w:type="pct"/>
            <w:tcBorders>
              <w:top w:val="single" w:sz="4" w:space="0" w:color="auto"/>
              <w:left w:val="nil"/>
              <w:bottom w:val="single" w:sz="4" w:space="0" w:color="auto"/>
              <w:right w:val="nil"/>
            </w:tcBorders>
            <w:shd w:val="clear" w:color="auto" w:fill="FFFFFF" w:themeFill="background1"/>
            <w:noWrap/>
            <w:vAlign w:val="center"/>
            <w:hideMark/>
          </w:tcPr>
          <w:p w14:paraId="078A36C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b/>
                <w:bCs/>
                <w:color w:val="000000"/>
                <w:sz w:val="8"/>
                <w:szCs w:val="8"/>
              </w:rPr>
            </w:pPr>
            <w:r w:rsidRPr="0065213A">
              <w:rPr>
                <w:rFonts w:ascii="Times New Roman" w:eastAsia="Times New Roman" w:hAnsi="Times New Roman" w:cs="Times New Roman"/>
                <w:b/>
                <w:bCs/>
                <w:color w:val="000000"/>
                <w:sz w:val="8"/>
                <w:szCs w:val="8"/>
              </w:rPr>
              <w:t>MB Rate</w:t>
            </w:r>
          </w:p>
        </w:tc>
        <w:tc>
          <w:tcPr>
            <w:tcW w:w="199" w:type="pct"/>
            <w:tcBorders>
              <w:top w:val="single" w:sz="4" w:space="0" w:color="auto"/>
              <w:left w:val="nil"/>
              <w:bottom w:val="single" w:sz="4" w:space="0" w:color="auto"/>
              <w:right w:val="nil"/>
            </w:tcBorders>
            <w:shd w:val="clear" w:color="auto" w:fill="FFFFFF" w:themeFill="background1"/>
            <w:noWrap/>
            <w:vAlign w:val="center"/>
            <w:hideMark/>
          </w:tcPr>
          <w:p w14:paraId="5C64081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b/>
                <w:bCs/>
                <w:color w:val="000000"/>
                <w:sz w:val="8"/>
                <w:szCs w:val="8"/>
              </w:rPr>
            </w:pPr>
            <w:r w:rsidRPr="0065213A">
              <w:rPr>
                <w:rFonts w:ascii="Times New Roman" w:eastAsia="Times New Roman" w:hAnsi="Times New Roman" w:cs="Times New Roman"/>
                <w:b/>
                <w:bCs/>
                <w:color w:val="000000"/>
                <w:sz w:val="8"/>
                <w:szCs w:val="8"/>
              </w:rPr>
              <w:t>N Probes</w:t>
            </w:r>
          </w:p>
        </w:tc>
        <w:tc>
          <w:tcPr>
            <w:tcW w:w="218" w:type="pct"/>
            <w:tcBorders>
              <w:top w:val="single" w:sz="4" w:space="0" w:color="auto"/>
              <w:left w:val="nil"/>
              <w:bottom w:val="single" w:sz="4" w:space="0" w:color="auto"/>
              <w:right w:val="nil"/>
            </w:tcBorders>
            <w:shd w:val="clear" w:color="auto" w:fill="FFFFFF" w:themeFill="background1"/>
            <w:noWrap/>
            <w:vAlign w:val="center"/>
            <w:hideMark/>
          </w:tcPr>
          <w:p w14:paraId="049874F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b/>
                <w:bCs/>
                <w:color w:val="000000"/>
                <w:sz w:val="8"/>
                <w:szCs w:val="8"/>
              </w:rPr>
            </w:pPr>
            <w:r w:rsidRPr="0065213A">
              <w:rPr>
                <w:rFonts w:ascii="Times New Roman" w:eastAsia="Times New Roman" w:hAnsi="Times New Roman" w:cs="Times New Roman"/>
                <w:b/>
                <w:bCs/>
                <w:color w:val="000000"/>
                <w:sz w:val="8"/>
                <w:szCs w:val="8"/>
              </w:rPr>
              <w:t>N Options</w:t>
            </w:r>
          </w:p>
        </w:tc>
        <w:tc>
          <w:tcPr>
            <w:tcW w:w="327" w:type="pct"/>
            <w:tcBorders>
              <w:top w:val="single" w:sz="4" w:space="0" w:color="auto"/>
              <w:left w:val="nil"/>
              <w:bottom w:val="single" w:sz="4" w:space="0" w:color="auto"/>
              <w:right w:val="nil"/>
            </w:tcBorders>
            <w:shd w:val="clear" w:color="auto" w:fill="FFFFFF" w:themeFill="background1"/>
            <w:noWrap/>
            <w:vAlign w:val="center"/>
            <w:hideMark/>
          </w:tcPr>
          <w:p w14:paraId="67CB8E2E" w14:textId="16F5A5E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b/>
                <w:bCs/>
                <w:color w:val="000000"/>
                <w:sz w:val="8"/>
                <w:szCs w:val="8"/>
              </w:rPr>
            </w:pPr>
            <w:r w:rsidRPr="0065213A">
              <w:rPr>
                <w:rFonts w:ascii="Times New Roman" w:eastAsia="Times New Roman" w:hAnsi="Times New Roman" w:cs="Times New Roman"/>
                <w:b/>
                <w:bCs/>
                <w:color w:val="000000"/>
                <w:sz w:val="8"/>
                <w:szCs w:val="8"/>
              </w:rPr>
              <w:t>Duration (mins)</w:t>
            </w:r>
            <w:r w:rsidR="00AE5F57">
              <w:rPr>
                <w:rStyle w:val="FootnoteReference"/>
                <w:rFonts w:ascii="Times New Roman" w:eastAsia="Times New Roman" w:hAnsi="Times New Roman" w:cs="Times New Roman"/>
                <w:b/>
                <w:bCs/>
                <w:color w:val="000000"/>
                <w:sz w:val="8"/>
                <w:szCs w:val="8"/>
              </w:rPr>
              <w:footnoteReference w:id="1"/>
            </w:r>
          </w:p>
        </w:tc>
        <w:tc>
          <w:tcPr>
            <w:tcW w:w="207" w:type="pct"/>
            <w:tcBorders>
              <w:top w:val="single" w:sz="4" w:space="0" w:color="auto"/>
              <w:left w:val="nil"/>
              <w:bottom w:val="single" w:sz="4" w:space="0" w:color="auto"/>
              <w:right w:val="nil"/>
            </w:tcBorders>
            <w:shd w:val="clear" w:color="auto" w:fill="FFFFFF" w:themeFill="background1"/>
            <w:noWrap/>
            <w:vAlign w:val="center"/>
            <w:hideMark/>
          </w:tcPr>
          <w:p w14:paraId="071A56E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b/>
                <w:bCs/>
                <w:color w:val="000000"/>
                <w:sz w:val="8"/>
                <w:szCs w:val="8"/>
              </w:rPr>
            </w:pPr>
            <w:r w:rsidRPr="0065213A">
              <w:rPr>
                <w:rFonts w:ascii="Times New Roman" w:eastAsia="Times New Roman" w:hAnsi="Times New Roman" w:cs="Times New Roman"/>
                <w:b/>
                <w:bCs/>
                <w:color w:val="000000"/>
                <w:sz w:val="8"/>
                <w:szCs w:val="8"/>
              </w:rPr>
              <w:t>Setting</w:t>
            </w:r>
          </w:p>
        </w:tc>
        <w:tc>
          <w:tcPr>
            <w:tcW w:w="430" w:type="pct"/>
            <w:tcBorders>
              <w:top w:val="single" w:sz="4" w:space="0" w:color="auto"/>
              <w:left w:val="nil"/>
              <w:bottom w:val="single" w:sz="4" w:space="0" w:color="auto"/>
              <w:right w:val="nil"/>
            </w:tcBorders>
            <w:shd w:val="clear" w:color="auto" w:fill="FFFFFF" w:themeFill="background1"/>
            <w:noWrap/>
            <w:vAlign w:val="center"/>
            <w:hideMark/>
          </w:tcPr>
          <w:p w14:paraId="188392E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b/>
                <w:bCs/>
                <w:color w:val="000000"/>
                <w:sz w:val="8"/>
                <w:szCs w:val="8"/>
                <w:lang w:val="fr-FR" w:eastAsia="en-US"/>
              </w:rPr>
            </w:pPr>
            <w:proofErr w:type="spellStart"/>
            <w:r w:rsidRPr="22DB2182">
              <w:rPr>
                <w:rFonts w:ascii="Times New Roman" w:eastAsia="Times New Roman" w:hAnsi="Times New Roman" w:cs="Times New Roman"/>
                <w:b/>
                <w:bCs/>
                <w:color w:val="000000" w:themeColor="text1"/>
                <w:sz w:val="8"/>
                <w:szCs w:val="8"/>
                <w:lang w:val="fr-FR" w:eastAsia="en-US"/>
              </w:rPr>
              <w:t>Task</w:t>
            </w:r>
            <w:proofErr w:type="spellEnd"/>
          </w:p>
        </w:tc>
        <w:tc>
          <w:tcPr>
            <w:tcW w:w="244" w:type="pct"/>
            <w:tcBorders>
              <w:top w:val="single" w:sz="4" w:space="0" w:color="auto"/>
              <w:left w:val="nil"/>
              <w:bottom w:val="single" w:sz="4" w:space="0" w:color="auto"/>
              <w:right w:val="nil"/>
            </w:tcBorders>
            <w:shd w:val="clear" w:color="auto" w:fill="FFFFFF" w:themeFill="background1"/>
            <w:noWrap/>
            <w:vAlign w:val="center"/>
            <w:hideMark/>
          </w:tcPr>
          <w:p w14:paraId="0AA6DB3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b/>
                <w:bCs/>
                <w:color w:val="000000"/>
                <w:sz w:val="8"/>
                <w:szCs w:val="8"/>
                <w:lang w:val="fr-FR" w:eastAsia="en-US"/>
              </w:rPr>
            </w:pPr>
            <w:proofErr w:type="spellStart"/>
            <w:r w:rsidRPr="22DB2182">
              <w:rPr>
                <w:rFonts w:ascii="Times New Roman" w:eastAsia="Times New Roman" w:hAnsi="Times New Roman" w:cs="Times New Roman"/>
                <w:b/>
                <w:bCs/>
                <w:color w:val="000000" w:themeColor="text1"/>
                <w:sz w:val="8"/>
                <w:szCs w:val="8"/>
                <w:lang w:val="fr-FR" w:eastAsia="en-US"/>
              </w:rPr>
              <w:t>Complexity</w:t>
            </w:r>
            <w:proofErr w:type="spellEnd"/>
          </w:p>
        </w:tc>
        <w:tc>
          <w:tcPr>
            <w:tcW w:w="171" w:type="pct"/>
            <w:tcBorders>
              <w:top w:val="single" w:sz="4" w:space="0" w:color="auto"/>
              <w:left w:val="nil"/>
              <w:bottom w:val="single" w:sz="4" w:space="0" w:color="auto"/>
              <w:right w:val="nil"/>
            </w:tcBorders>
            <w:shd w:val="clear" w:color="auto" w:fill="FFFFFF" w:themeFill="background1"/>
            <w:noWrap/>
            <w:vAlign w:val="center"/>
            <w:hideMark/>
          </w:tcPr>
          <w:p w14:paraId="3E33C0A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b/>
                <w:bCs/>
                <w:color w:val="000000"/>
                <w:sz w:val="8"/>
                <w:szCs w:val="8"/>
              </w:rPr>
            </w:pPr>
            <w:r w:rsidRPr="0065213A">
              <w:rPr>
                <w:rFonts w:ascii="Times New Roman" w:eastAsia="Times New Roman" w:hAnsi="Times New Roman" w:cs="Times New Roman"/>
                <w:b/>
                <w:bCs/>
                <w:color w:val="000000"/>
                <w:sz w:val="8"/>
                <w:szCs w:val="8"/>
              </w:rPr>
              <w:t>Age</w:t>
            </w:r>
          </w:p>
        </w:tc>
        <w:tc>
          <w:tcPr>
            <w:tcW w:w="283" w:type="pct"/>
            <w:tcBorders>
              <w:top w:val="single" w:sz="4" w:space="0" w:color="auto"/>
              <w:left w:val="nil"/>
              <w:bottom w:val="single" w:sz="4" w:space="0" w:color="auto"/>
              <w:right w:val="nil"/>
            </w:tcBorders>
            <w:shd w:val="clear" w:color="auto" w:fill="FFFFFF" w:themeFill="background1"/>
            <w:noWrap/>
            <w:vAlign w:val="center"/>
            <w:hideMark/>
          </w:tcPr>
          <w:p w14:paraId="6272254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b/>
                <w:bCs/>
                <w:color w:val="000000"/>
                <w:sz w:val="8"/>
                <w:szCs w:val="8"/>
                <w:lang w:val="fr-FR" w:eastAsia="en-US"/>
              </w:rPr>
            </w:pPr>
            <w:proofErr w:type="spellStart"/>
            <w:r w:rsidRPr="22DB2182">
              <w:rPr>
                <w:rFonts w:ascii="Times New Roman" w:eastAsia="Times New Roman" w:hAnsi="Times New Roman" w:cs="Times New Roman"/>
                <w:b/>
                <w:bCs/>
                <w:color w:val="000000" w:themeColor="text1"/>
                <w:sz w:val="8"/>
                <w:szCs w:val="8"/>
                <w:lang w:val="fr-FR" w:eastAsia="en-US"/>
              </w:rPr>
              <w:t>Clinical</w:t>
            </w:r>
            <w:proofErr w:type="spellEnd"/>
          </w:p>
        </w:tc>
        <w:tc>
          <w:tcPr>
            <w:tcW w:w="338" w:type="pct"/>
            <w:tcBorders>
              <w:top w:val="single" w:sz="4" w:space="0" w:color="auto"/>
              <w:left w:val="nil"/>
              <w:bottom w:val="single" w:sz="4" w:space="0" w:color="auto"/>
              <w:right w:val="nil"/>
            </w:tcBorders>
            <w:shd w:val="clear" w:color="auto" w:fill="FFFFFF" w:themeFill="background1"/>
            <w:noWrap/>
            <w:vAlign w:val="center"/>
            <w:hideMark/>
          </w:tcPr>
          <w:p w14:paraId="500BE1A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b/>
                <w:bCs/>
                <w:color w:val="000000" w:themeColor="text1"/>
                <w:sz w:val="8"/>
                <w:szCs w:val="8"/>
              </w:rPr>
            </w:pPr>
            <w:r w:rsidRPr="0065213A">
              <w:rPr>
                <w:rFonts w:ascii="Times New Roman" w:eastAsia="Times New Roman" w:hAnsi="Times New Roman" w:cs="Times New Roman"/>
                <w:b/>
                <w:bCs/>
                <w:color w:val="000000" w:themeColor="text1"/>
                <w:sz w:val="8"/>
                <w:szCs w:val="8"/>
              </w:rPr>
              <w:t>Arousal</w:t>
            </w:r>
          </w:p>
        </w:tc>
        <w:tc>
          <w:tcPr>
            <w:tcW w:w="246" w:type="pct"/>
            <w:tcBorders>
              <w:top w:val="single" w:sz="4" w:space="0" w:color="auto"/>
              <w:left w:val="nil"/>
              <w:bottom w:val="single" w:sz="4" w:space="0" w:color="auto"/>
              <w:right w:val="nil"/>
            </w:tcBorders>
            <w:shd w:val="clear" w:color="auto" w:fill="FFFFFF" w:themeFill="background1"/>
            <w:noWrap/>
            <w:vAlign w:val="center"/>
            <w:hideMark/>
          </w:tcPr>
          <w:p w14:paraId="72DC1EC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b/>
                <w:bCs/>
                <w:color w:val="000000"/>
                <w:sz w:val="8"/>
                <w:szCs w:val="8"/>
              </w:rPr>
            </w:pPr>
            <w:r w:rsidRPr="0065213A">
              <w:rPr>
                <w:rFonts w:ascii="Times New Roman" w:eastAsia="Times New Roman" w:hAnsi="Times New Roman" w:cs="Times New Roman"/>
                <w:b/>
                <w:bCs/>
                <w:color w:val="000000"/>
                <w:sz w:val="8"/>
                <w:szCs w:val="8"/>
              </w:rPr>
              <w:t>Stimulation</w:t>
            </w:r>
          </w:p>
        </w:tc>
      </w:tr>
      <w:tr w:rsidR="0065213A" w:rsidRPr="0065213A" w14:paraId="26930060" w14:textId="77777777" w:rsidTr="22DB2182">
        <w:trPr>
          <w:trHeight w:val="20"/>
        </w:trPr>
        <w:tc>
          <w:tcPr>
            <w:tcW w:w="456" w:type="pct"/>
            <w:tcBorders>
              <w:top w:val="single" w:sz="4" w:space="0" w:color="auto"/>
              <w:left w:val="nil"/>
              <w:bottom w:val="nil"/>
              <w:right w:val="nil"/>
            </w:tcBorders>
            <w:noWrap/>
            <w:vAlign w:val="center"/>
            <w:hideMark/>
          </w:tcPr>
          <w:p w14:paraId="0835BCE9" w14:textId="1A35913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Aasen,</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{"citationID":"a8gnfthdhf","properties":{"unsorted":false,"formattedCitation":"(2025)","plainCitation":"(2025)","noteIndex":0},"citationItems":[{"id":17681,"uris":["http://zotero.org/users/8613739/items/873JPK5R"],"itemData":{"id":17681,"type":"article","abstract":"Insufficient sleep is a common occurrence in modern society and has severe consequences for our attention, executive functioning (EF), and affect. Mind wandering (MW) is a phenomenon where attention shifts from an external task to internal thoughts. These shifts can take on different characteristics, such as relating to specific mental content or not (mind blanking, MB), and can be engaged deliberately (D-MW) or spontaneously (S-MW). MW is related to impaired EF and worsened emotional states, yet it is unclear how these associations are influenced by sleep loss. We recruited 34 healthy adults to a partial sleep deprivation (PSD) protocol, where they slept on average 1.7 hours less, compared to a period of normal sleep (NS), for 3 consecutive nights. Participants engaged in the finger-tapping random sequence generation task that provided two objective measures of EF performance, the variability in the responses and the entropy of the generated sequences. We assessed participants’ momentary affect before and after the task, while subjective reports of attentional states (on-task, MW, MB, and S/D-MW) were assessed during the task. Results indicated that greater sleep loss resulted in more MW, MB, behavioural variability and negative affect, and reduced positive affect. Furthermore, MW episodes were preceded by reduced EF performance only following the PSD, but not after NS. Finally, we found that pre-task positive affect may ameliorate the unfavourable effects of sleep loss on objective and subjective measures of MW. These findings highlight the importance of sufficient sleep in maintaining sustained attention, optimal task performance, and good mood.","citation-key":"aasenEffectsPartialSleep2025","DOI":"10.31219/osf.io/kmqfz_v3","number":"kmqfz_v3","publisher":"OSF Preprints","source":"OSF Preprints","title":"The Effects of Partial Sleep Deprivation on Mind Wandering, Executive Performance and Affect","URL":"https://osf.io/kmqfz_v3/","author":[{"family":"Aasen","given":"Steffen R"},{"family":"Babiker","given":"Samy M E"},{"family":"Vangen","given":"Aurora M K"},{"family":"Haugan","given":"Silje B"},{"family":"Sandell","given":"Sanna A O"},{"family":"Saksvik-Lehouillier","given":"Ingvild"},{"family":"Kam","given":"Julia"},{"family":"Mittner","given":"Matthias"},{"family":"Csifcsák","given":"Gábor"}],"accessed":{"date-parts":[["2026",1,29]]},"issued":{"date-parts":[["2025",9,12]]}},"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AE5F57">
              <w:rPr>
                <w:rFonts w:ascii="Times New Roman" w:eastAsia="Times New Roman" w:hAnsi="Times New Roman" w:cs="Times New Roman"/>
                <w:color w:val="000000"/>
                <w:sz w:val="8"/>
                <w:szCs w:val="8"/>
              </w:rPr>
              <w:fldChar w:fldCharType="end"/>
            </w:r>
          </w:p>
        </w:tc>
        <w:tc>
          <w:tcPr>
            <w:tcW w:w="193" w:type="pct"/>
            <w:tcBorders>
              <w:top w:val="single" w:sz="4" w:space="0" w:color="auto"/>
              <w:left w:val="nil"/>
              <w:bottom w:val="nil"/>
              <w:right w:val="nil"/>
            </w:tcBorders>
            <w:noWrap/>
            <w:vAlign w:val="center"/>
            <w:hideMark/>
          </w:tcPr>
          <w:p w14:paraId="109CF82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single" w:sz="4" w:space="0" w:color="auto"/>
              <w:left w:val="nil"/>
              <w:bottom w:val="nil"/>
              <w:right w:val="nil"/>
            </w:tcBorders>
            <w:vAlign w:val="center"/>
            <w:hideMark/>
          </w:tcPr>
          <w:p w14:paraId="70E80C4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moments</w:t>
            </w:r>
            <w:proofErr w:type="gram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with</w:t>
            </w:r>
            <w:proofErr w:type="spellEnd"/>
            <w:r w:rsidRPr="22DB2182">
              <w:rPr>
                <w:rFonts w:ascii="Times New Roman" w:eastAsia="Times New Roman" w:hAnsi="Times New Roman" w:cs="Times New Roman"/>
                <w:color w:val="000000" w:themeColor="text1"/>
                <w:sz w:val="8"/>
                <w:szCs w:val="8"/>
                <w:lang w:val="fr-FR" w:eastAsia="en-US"/>
              </w:rPr>
              <w:t xml:space="preserve"> no content</w:t>
            </w:r>
          </w:p>
        </w:tc>
        <w:tc>
          <w:tcPr>
            <w:tcW w:w="679" w:type="pct"/>
            <w:tcBorders>
              <w:top w:val="single" w:sz="4" w:space="0" w:color="auto"/>
              <w:left w:val="nil"/>
              <w:bottom w:val="nil"/>
              <w:right w:val="nil"/>
            </w:tcBorders>
            <w:vAlign w:val="center"/>
            <w:hideMark/>
          </w:tcPr>
          <w:p w14:paraId="7379B4F2"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not focused on task</w:t>
            </w:r>
          </w:p>
          <w:p w14:paraId="112AD7EB" w14:textId="3FC4944A"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not thinking of anything</w:t>
            </w:r>
          </w:p>
        </w:tc>
        <w:tc>
          <w:tcPr>
            <w:tcW w:w="228" w:type="pct"/>
            <w:tcBorders>
              <w:top w:val="single" w:sz="4" w:space="0" w:color="auto"/>
              <w:left w:val="nil"/>
              <w:bottom w:val="nil"/>
              <w:right w:val="nil"/>
            </w:tcBorders>
            <w:noWrap/>
            <w:vAlign w:val="center"/>
            <w:hideMark/>
          </w:tcPr>
          <w:p w14:paraId="33AA1A6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34</w:t>
            </w:r>
          </w:p>
        </w:tc>
        <w:tc>
          <w:tcPr>
            <w:tcW w:w="196" w:type="pct"/>
            <w:tcBorders>
              <w:top w:val="single" w:sz="4" w:space="0" w:color="auto"/>
              <w:left w:val="nil"/>
              <w:bottom w:val="nil"/>
              <w:right w:val="nil"/>
            </w:tcBorders>
            <w:noWrap/>
            <w:vAlign w:val="center"/>
            <w:hideMark/>
          </w:tcPr>
          <w:p w14:paraId="1FC2C41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0.378</w:t>
            </w:r>
          </w:p>
        </w:tc>
        <w:tc>
          <w:tcPr>
            <w:tcW w:w="199" w:type="pct"/>
            <w:tcBorders>
              <w:top w:val="single" w:sz="4" w:space="0" w:color="auto"/>
              <w:left w:val="nil"/>
              <w:bottom w:val="nil"/>
              <w:right w:val="nil"/>
            </w:tcBorders>
            <w:noWrap/>
            <w:vAlign w:val="center"/>
            <w:hideMark/>
          </w:tcPr>
          <w:p w14:paraId="0DE8AF4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18" w:type="pct"/>
            <w:tcBorders>
              <w:top w:val="single" w:sz="4" w:space="0" w:color="auto"/>
              <w:left w:val="nil"/>
              <w:bottom w:val="nil"/>
              <w:right w:val="nil"/>
            </w:tcBorders>
            <w:noWrap/>
            <w:vAlign w:val="center"/>
            <w:hideMark/>
          </w:tcPr>
          <w:p w14:paraId="3299B866" w14:textId="0FCF6597" w:rsidR="0065213A" w:rsidRPr="0065213A" w:rsidRDefault="00884F5F"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scale</w:t>
            </w:r>
            <w:proofErr w:type="spellEnd"/>
            <w:proofErr w:type="gramEnd"/>
          </w:p>
        </w:tc>
        <w:tc>
          <w:tcPr>
            <w:tcW w:w="327" w:type="pct"/>
            <w:tcBorders>
              <w:top w:val="single" w:sz="4" w:space="0" w:color="auto"/>
              <w:left w:val="nil"/>
              <w:bottom w:val="nil"/>
              <w:right w:val="nil"/>
            </w:tcBorders>
            <w:noWrap/>
            <w:vAlign w:val="center"/>
            <w:hideMark/>
          </w:tcPr>
          <w:p w14:paraId="4E43E6F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single" w:sz="4" w:space="0" w:color="auto"/>
              <w:left w:val="nil"/>
              <w:bottom w:val="nil"/>
              <w:right w:val="nil"/>
            </w:tcBorders>
            <w:noWrap/>
            <w:vAlign w:val="center"/>
            <w:hideMark/>
          </w:tcPr>
          <w:p w14:paraId="1E00574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single" w:sz="4" w:space="0" w:color="auto"/>
              <w:left w:val="nil"/>
              <w:bottom w:val="nil"/>
              <w:right w:val="nil"/>
            </w:tcBorders>
            <w:noWrap/>
            <w:vAlign w:val="center"/>
            <w:hideMark/>
          </w:tcPr>
          <w:p w14:paraId="0E2094C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FT-RSGT</w:t>
            </w:r>
          </w:p>
        </w:tc>
        <w:tc>
          <w:tcPr>
            <w:tcW w:w="244" w:type="pct"/>
            <w:tcBorders>
              <w:top w:val="single" w:sz="4" w:space="0" w:color="auto"/>
              <w:left w:val="nil"/>
              <w:bottom w:val="nil"/>
              <w:right w:val="nil"/>
            </w:tcBorders>
            <w:noWrap/>
            <w:vAlign w:val="center"/>
            <w:hideMark/>
          </w:tcPr>
          <w:p w14:paraId="12F7B42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single" w:sz="4" w:space="0" w:color="auto"/>
              <w:left w:val="nil"/>
              <w:bottom w:val="nil"/>
              <w:right w:val="nil"/>
            </w:tcBorders>
            <w:noWrap/>
            <w:vAlign w:val="center"/>
            <w:hideMark/>
          </w:tcPr>
          <w:p w14:paraId="43C67E8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single" w:sz="4" w:space="0" w:color="auto"/>
              <w:left w:val="nil"/>
              <w:bottom w:val="nil"/>
              <w:right w:val="nil"/>
            </w:tcBorders>
            <w:noWrap/>
            <w:vAlign w:val="center"/>
            <w:hideMark/>
          </w:tcPr>
          <w:p w14:paraId="30EFE1E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single" w:sz="4" w:space="0" w:color="auto"/>
              <w:left w:val="nil"/>
              <w:bottom w:val="nil"/>
              <w:right w:val="nil"/>
            </w:tcBorders>
            <w:noWrap/>
            <w:vAlign w:val="center"/>
            <w:hideMark/>
          </w:tcPr>
          <w:p w14:paraId="7DB9EF85" w14:textId="6A2F405F"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sleep</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deprivation</w:t>
            </w:r>
            <w:proofErr w:type="spellEnd"/>
          </w:p>
        </w:tc>
        <w:tc>
          <w:tcPr>
            <w:tcW w:w="246" w:type="pct"/>
            <w:tcBorders>
              <w:top w:val="single" w:sz="4" w:space="0" w:color="auto"/>
              <w:left w:val="nil"/>
              <w:bottom w:val="nil"/>
              <w:right w:val="nil"/>
            </w:tcBorders>
            <w:noWrap/>
            <w:vAlign w:val="center"/>
            <w:hideMark/>
          </w:tcPr>
          <w:p w14:paraId="6126BFA5" w14:textId="60EDFB0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5660F58" w14:textId="77777777" w:rsidTr="22DB2182">
        <w:trPr>
          <w:trHeight w:val="20"/>
        </w:trPr>
        <w:tc>
          <w:tcPr>
            <w:tcW w:w="456" w:type="pct"/>
            <w:tcBorders>
              <w:top w:val="nil"/>
              <w:left w:val="nil"/>
              <w:bottom w:val="nil"/>
              <w:right w:val="nil"/>
            </w:tcBorders>
            <w:noWrap/>
            <w:vAlign w:val="center"/>
            <w:hideMark/>
          </w:tcPr>
          <w:p w14:paraId="708217C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49D6E9E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vAlign w:val="center"/>
            <w:hideMark/>
          </w:tcPr>
          <w:p w14:paraId="54D8678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vAlign w:val="center"/>
            <w:hideMark/>
          </w:tcPr>
          <w:p w14:paraId="0D08CF1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25FD2A1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34</w:t>
            </w:r>
          </w:p>
        </w:tc>
        <w:tc>
          <w:tcPr>
            <w:tcW w:w="196" w:type="pct"/>
            <w:tcBorders>
              <w:top w:val="nil"/>
              <w:left w:val="nil"/>
              <w:bottom w:val="nil"/>
              <w:right w:val="nil"/>
            </w:tcBorders>
            <w:noWrap/>
            <w:vAlign w:val="center"/>
            <w:hideMark/>
          </w:tcPr>
          <w:p w14:paraId="7C4405B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0.144</w:t>
            </w:r>
          </w:p>
        </w:tc>
        <w:tc>
          <w:tcPr>
            <w:tcW w:w="199" w:type="pct"/>
            <w:tcBorders>
              <w:top w:val="nil"/>
              <w:left w:val="nil"/>
              <w:bottom w:val="nil"/>
              <w:right w:val="nil"/>
            </w:tcBorders>
            <w:noWrap/>
            <w:vAlign w:val="center"/>
            <w:hideMark/>
          </w:tcPr>
          <w:p w14:paraId="589D715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18" w:type="pct"/>
            <w:tcBorders>
              <w:top w:val="nil"/>
              <w:left w:val="nil"/>
              <w:bottom w:val="nil"/>
              <w:right w:val="nil"/>
            </w:tcBorders>
            <w:noWrap/>
            <w:vAlign w:val="center"/>
            <w:hideMark/>
          </w:tcPr>
          <w:p w14:paraId="2B11E150" w14:textId="1A2164C8" w:rsidR="0065213A" w:rsidRPr="0065213A" w:rsidRDefault="00884F5F"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scale</w:t>
            </w:r>
            <w:proofErr w:type="spellEnd"/>
            <w:proofErr w:type="gramEnd"/>
          </w:p>
        </w:tc>
        <w:tc>
          <w:tcPr>
            <w:tcW w:w="327" w:type="pct"/>
            <w:tcBorders>
              <w:top w:val="nil"/>
              <w:left w:val="nil"/>
              <w:bottom w:val="nil"/>
              <w:right w:val="nil"/>
            </w:tcBorders>
            <w:noWrap/>
            <w:vAlign w:val="center"/>
            <w:hideMark/>
          </w:tcPr>
          <w:p w14:paraId="67FD713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00ECF27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D1EB4D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FT-RSGT</w:t>
            </w:r>
          </w:p>
        </w:tc>
        <w:tc>
          <w:tcPr>
            <w:tcW w:w="244" w:type="pct"/>
            <w:tcBorders>
              <w:top w:val="nil"/>
              <w:left w:val="nil"/>
              <w:bottom w:val="nil"/>
              <w:right w:val="nil"/>
            </w:tcBorders>
            <w:noWrap/>
            <w:vAlign w:val="center"/>
            <w:hideMark/>
          </w:tcPr>
          <w:p w14:paraId="3E0D893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285686F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A83C04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B74B092" w14:textId="24C45E1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6A6BB23" w14:textId="1C5964D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28EF9F7" w14:textId="77777777" w:rsidTr="22DB2182">
        <w:trPr>
          <w:trHeight w:val="20"/>
        </w:trPr>
        <w:tc>
          <w:tcPr>
            <w:tcW w:w="456" w:type="pct"/>
            <w:tcBorders>
              <w:top w:val="nil"/>
              <w:left w:val="nil"/>
              <w:bottom w:val="nil"/>
              <w:right w:val="nil"/>
            </w:tcBorders>
            <w:noWrap/>
            <w:vAlign w:val="center"/>
            <w:hideMark/>
          </w:tcPr>
          <w:p w14:paraId="476796CF" w14:textId="1D43DD5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Adam,</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v5tlfccqd","properties":{"unsorted":false,"formattedCitation":"(2020)","plainCitation":"(2020)","noteIndex":0},"citationItems":[{"id":15396,"uris":["http://zotero.org/groups/6160358/items/PSDMGGWT"],"itemData":{"id":15396,"type":"article-journal","abstract":"With the increasing prevalence of legal cannabis use and availability, there is an urgent need to identify cognitive impairments related to its use. It is widely believed that cannabis, or its main psychoactive component Δ9-tetrahydrocannabinol (THC), impairs working memory, i.e., the ability to temporarily hold information in mind. However, our review of the literature yielded surprisingly little empirical support for an effect of THC or cannabis on working memory. We thus conducted a study with three main goals: (1) quantify the effect of THC on visual working memory in a well-powered sample, (2) test the potential role of cognitive effects (mind wandering and metacognition) in disrupting working memory, and (3) demonstrate how insufficient sample size and task duration reduce the likelihood of detecting a drug effect. We conducted two double-blind, randomized crossover experiments in which healthy adults (N = 23, 23) performed a reliable and validated visual working memory task (the “Discrete Whole Report task”, 90 trials) after administration of THC (7.5 and/or 15 mg oral) or placebo. We also assessed self-reported “mind wandering” (Exp 1) and metacognitive accuracy about ongoing task performance (Exp 2). THC impaired working memory performance (d = 0.65), increased mind wandering (Exp 1), and decreased metacognitive accuracy about task performance (Exp 2). Thus, our findings indicate that THC does impair visual working memory, and that this impairment may be related to both increased mind wandering and decreased monitoring of task performance. Finally, we used a down-sampling procedure to illustrate the effects of task length and sample size on power to detect the acute effect of THC on working memory.","citation-key":"adamD9TetrahydrocannabinolTHCImpairs2020a","container-title":"Neuropsychopharmacology (New York, N.Y.)","ISSN":"0893-133X","issue":"11","language":"eng","license":"The Author(s), under exclusive licence to American College of Neuropsychopharmacology 2020.","page":"1807–1816","title":"Δ9-Tetrahydrocannabinol (THC) impairs visual working memory performance: a randomized crossover trial","volume":"45","author":[{"family":"Adam","given":"Kirsten C. S."},{"family":"Doss","given":"Manoj K."},{"family":"Pabon","given":"Elisa"},{"family":"Vogel","given":"Edward K."},{"family":"Wit","given":"Harriet","non-dropping-particle":"de"}],"issued":{"date-parts":[["2020",10]]}},"suppress-author":true}],"schema":"https://github.com/citation-style-language/schema/raw/master/csl-citation.json"}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(2020)</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6C1155F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701CE67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not</w:t>
            </w:r>
            <w:proofErr w:type="gram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focused</w:t>
            </w:r>
            <w:proofErr w:type="spellEnd"/>
            <w:r w:rsidRPr="22DB2182">
              <w:rPr>
                <w:rFonts w:ascii="Times New Roman" w:eastAsia="Times New Roman" w:hAnsi="Times New Roman" w:cs="Times New Roman"/>
                <w:color w:val="000000" w:themeColor="text1"/>
                <w:sz w:val="8"/>
                <w:szCs w:val="8"/>
                <w:lang w:val="fr-FR" w:eastAsia="en-US"/>
              </w:rPr>
              <w:t xml:space="preserve"> on </w:t>
            </w:r>
            <w:proofErr w:type="spellStart"/>
            <w:r w:rsidRPr="22DB2182">
              <w:rPr>
                <w:rFonts w:ascii="Times New Roman" w:eastAsia="Times New Roman" w:hAnsi="Times New Roman" w:cs="Times New Roman"/>
                <w:color w:val="000000" w:themeColor="text1"/>
                <w:sz w:val="8"/>
                <w:szCs w:val="8"/>
                <w:lang w:val="fr-FR" w:eastAsia="en-US"/>
              </w:rPr>
              <w:t>anything</w:t>
            </w:r>
            <w:proofErr w:type="spellEnd"/>
          </w:p>
        </w:tc>
        <w:tc>
          <w:tcPr>
            <w:tcW w:w="679" w:type="pct"/>
            <w:tcBorders>
              <w:top w:val="nil"/>
              <w:left w:val="nil"/>
              <w:bottom w:val="nil"/>
              <w:right w:val="nil"/>
            </w:tcBorders>
            <w:noWrap/>
            <w:vAlign w:val="center"/>
            <w:hideMark/>
          </w:tcPr>
          <w:p w14:paraId="1FC21A0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zoned</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out</w:t>
            </w:r>
          </w:p>
        </w:tc>
        <w:tc>
          <w:tcPr>
            <w:tcW w:w="228" w:type="pct"/>
            <w:tcBorders>
              <w:top w:val="nil"/>
              <w:left w:val="nil"/>
              <w:bottom w:val="nil"/>
              <w:right w:val="nil"/>
            </w:tcBorders>
            <w:noWrap/>
            <w:vAlign w:val="center"/>
            <w:hideMark/>
          </w:tcPr>
          <w:p w14:paraId="746C69C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23</w:t>
            </w:r>
          </w:p>
        </w:tc>
        <w:tc>
          <w:tcPr>
            <w:tcW w:w="196" w:type="pct"/>
            <w:tcBorders>
              <w:top w:val="nil"/>
              <w:left w:val="nil"/>
              <w:bottom w:val="nil"/>
              <w:right w:val="nil"/>
            </w:tcBorders>
            <w:noWrap/>
            <w:vAlign w:val="center"/>
            <w:hideMark/>
          </w:tcPr>
          <w:p w14:paraId="7E24150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0.193</w:t>
            </w:r>
          </w:p>
        </w:tc>
        <w:tc>
          <w:tcPr>
            <w:tcW w:w="199" w:type="pct"/>
            <w:tcBorders>
              <w:top w:val="nil"/>
              <w:left w:val="nil"/>
              <w:bottom w:val="nil"/>
              <w:right w:val="nil"/>
            </w:tcBorders>
            <w:noWrap/>
            <w:vAlign w:val="center"/>
            <w:hideMark/>
          </w:tcPr>
          <w:p w14:paraId="4948481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18</w:t>
            </w:r>
          </w:p>
        </w:tc>
        <w:tc>
          <w:tcPr>
            <w:tcW w:w="218" w:type="pct"/>
            <w:tcBorders>
              <w:top w:val="nil"/>
              <w:left w:val="nil"/>
              <w:bottom w:val="nil"/>
              <w:right w:val="nil"/>
            </w:tcBorders>
            <w:noWrap/>
            <w:vAlign w:val="center"/>
            <w:hideMark/>
          </w:tcPr>
          <w:p w14:paraId="7502BFB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w:t>
            </w:r>
          </w:p>
        </w:tc>
        <w:tc>
          <w:tcPr>
            <w:tcW w:w="327" w:type="pct"/>
            <w:tcBorders>
              <w:top w:val="nil"/>
              <w:left w:val="nil"/>
              <w:bottom w:val="nil"/>
              <w:right w:val="nil"/>
            </w:tcBorders>
            <w:noWrap/>
            <w:vAlign w:val="center"/>
            <w:hideMark/>
          </w:tcPr>
          <w:p w14:paraId="0581F17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26</w:t>
            </w:r>
          </w:p>
        </w:tc>
        <w:tc>
          <w:tcPr>
            <w:tcW w:w="207" w:type="pct"/>
            <w:tcBorders>
              <w:top w:val="nil"/>
              <w:left w:val="nil"/>
              <w:bottom w:val="nil"/>
              <w:right w:val="nil"/>
            </w:tcBorders>
            <w:noWrap/>
            <w:vAlign w:val="center"/>
            <w:hideMark/>
          </w:tcPr>
          <w:p w14:paraId="6519A41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3B81CB5" w14:textId="2C7DEAC4"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Discrete</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Whole</w:t>
            </w:r>
            <w:proofErr w:type="spellEnd"/>
            <w:r w:rsidRPr="22DB2182">
              <w:rPr>
                <w:rFonts w:ascii="Times New Roman" w:eastAsia="Times New Roman" w:hAnsi="Times New Roman" w:cs="Times New Roman"/>
                <w:color w:val="000000" w:themeColor="text1"/>
                <w:sz w:val="8"/>
                <w:szCs w:val="8"/>
                <w:lang w:val="fr-FR" w:eastAsia="en-US"/>
              </w:rPr>
              <w:t xml:space="preserve"> Report</w:t>
            </w:r>
          </w:p>
        </w:tc>
        <w:tc>
          <w:tcPr>
            <w:tcW w:w="244" w:type="pct"/>
            <w:tcBorders>
              <w:top w:val="nil"/>
              <w:left w:val="nil"/>
              <w:bottom w:val="nil"/>
              <w:right w:val="nil"/>
            </w:tcBorders>
            <w:noWrap/>
            <w:vAlign w:val="center"/>
            <w:hideMark/>
          </w:tcPr>
          <w:p w14:paraId="6932213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4332516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C694B8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6E848BCE" w14:textId="75A41B3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DF45C8A" w14:textId="33B43DA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166AE20" w14:textId="77777777" w:rsidTr="22DB2182">
        <w:trPr>
          <w:trHeight w:val="20"/>
        </w:trPr>
        <w:tc>
          <w:tcPr>
            <w:tcW w:w="456" w:type="pct"/>
            <w:tcBorders>
              <w:top w:val="nil"/>
              <w:left w:val="nil"/>
              <w:bottom w:val="nil"/>
              <w:right w:val="nil"/>
            </w:tcBorders>
            <w:noWrap/>
            <w:vAlign w:val="center"/>
            <w:hideMark/>
          </w:tcPr>
          <w:p w14:paraId="52185ED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0BFBE78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59ED019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746249B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9B26E6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23</w:t>
            </w:r>
          </w:p>
        </w:tc>
        <w:tc>
          <w:tcPr>
            <w:tcW w:w="196" w:type="pct"/>
            <w:tcBorders>
              <w:top w:val="nil"/>
              <w:left w:val="nil"/>
              <w:bottom w:val="nil"/>
              <w:right w:val="nil"/>
            </w:tcBorders>
            <w:noWrap/>
            <w:vAlign w:val="center"/>
            <w:hideMark/>
          </w:tcPr>
          <w:p w14:paraId="4D427AE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0.065</w:t>
            </w:r>
          </w:p>
        </w:tc>
        <w:tc>
          <w:tcPr>
            <w:tcW w:w="199" w:type="pct"/>
            <w:tcBorders>
              <w:top w:val="nil"/>
              <w:left w:val="nil"/>
              <w:bottom w:val="nil"/>
              <w:right w:val="nil"/>
            </w:tcBorders>
            <w:noWrap/>
            <w:vAlign w:val="center"/>
            <w:hideMark/>
          </w:tcPr>
          <w:p w14:paraId="0A71B1C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18</w:t>
            </w:r>
          </w:p>
        </w:tc>
        <w:tc>
          <w:tcPr>
            <w:tcW w:w="218" w:type="pct"/>
            <w:tcBorders>
              <w:top w:val="nil"/>
              <w:left w:val="nil"/>
              <w:bottom w:val="nil"/>
              <w:right w:val="nil"/>
            </w:tcBorders>
            <w:noWrap/>
            <w:vAlign w:val="center"/>
            <w:hideMark/>
          </w:tcPr>
          <w:p w14:paraId="46BE128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w:t>
            </w:r>
          </w:p>
        </w:tc>
        <w:tc>
          <w:tcPr>
            <w:tcW w:w="327" w:type="pct"/>
            <w:tcBorders>
              <w:top w:val="nil"/>
              <w:left w:val="nil"/>
              <w:bottom w:val="nil"/>
              <w:right w:val="nil"/>
            </w:tcBorders>
            <w:noWrap/>
            <w:vAlign w:val="center"/>
            <w:hideMark/>
          </w:tcPr>
          <w:p w14:paraId="04D9D33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26</w:t>
            </w:r>
          </w:p>
        </w:tc>
        <w:tc>
          <w:tcPr>
            <w:tcW w:w="207" w:type="pct"/>
            <w:tcBorders>
              <w:top w:val="nil"/>
              <w:left w:val="nil"/>
              <w:bottom w:val="nil"/>
              <w:right w:val="nil"/>
            </w:tcBorders>
            <w:noWrap/>
            <w:vAlign w:val="center"/>
            <w:hideMark/>
          </w:tcPr>
          <w:p w14:paraId="33877B8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6F99DE00" w14:textId="24AD3C0E"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Discrete</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Whole</w:t>
            </w:r>
            <w:proofErr w:type="spellEnd"/>
            <w:r w:rsidRPr="22DB2182">
              <w:rPr>
                <w:rFonts w:ascii="Times New Roman" w:eastAsia="Times New Roman" w:hAnsi="Times New Roman" w:cs="Times New Roman"/>
                <w:color w:val="000000" w:themeColor="text1"/>
                <w:sz w:val="8"/>
                <w:szCs w:val="8"/>
                <w:lang w:val="fr-FR" w:eastAsia="en-US"/>
              </w:rPr>
              <w:t xml:space="preserve"> Report</w:t>
            </w:r>
          </w:p>
        </w:tc>
        <w:tc>
          <w:tcPr>
            <w:tcW w:w="244" w:type="pct"/>
            <w:tcBorders>
              <w:top w:val="nil"/>
              <w:left w:val="nil"/>
              <w:bottom w:val="nil"/>
              <w:right w:val="nil"/>
            </w:tcBorders>
            <w:noWrap/>
            <w:vAlign w:val="center"/>
            <w:hideMark/>
          </w:tcPr>
          <w:p w14:paraId="7CE6938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34B72AE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1F630B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CB8CBC8" w14:textId="24E5B48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86E7AB8" w14:textId="1B4ACDC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3B9BC34" w14:textId="77777777" w:rsidTr="22DB2182">
        <w:trPr>
          <w:trHeight w:val="20"/>
        </w:trPr>
        <w:tc>
          <w:tcPr>
            <w:tcW w:w="456" w:type="pct"/>
            <w:tcBorders>
              <w:top w:val="nil"/>
              <w:left w:val="nil"/>
              <w:bottom w:val="nil"/>
              <w:right w:val="nil"/>
            </w:tcBorders>
            <w:noWrap/>
            <w:vAlign w:val="center"/>
            <w:hideMark/>
          </w:tcPr>
          <w:p w14:paraId="4B32CDD4" w14:textId="3219CFC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Alexandersen,</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{"citationID":"a1fp34620i3","properties":{"unsorted":false,"formattedCitation":"(2025)","plainCitation":"(2025)","noteIndex":0},"citationItems":[{"id":8283,"uris":["http://zotero.org/users/8613739/items/AJSHXK3B"],"itemData":{"id":8283,"type":"article-journal","abstract":"Mind wandering (MW) is a common mental phenomenon where attention shifts spontaneously from an external task to internal trains of thought. Recent studies propose that non-invasive brain stimulation methods hold potential for influencing attentional shifts between on-task and MW states. Exploratory analysis from a recent repetitive transcranial magnetic stimulation (rTMS) study reported that targeting the left angular gyrus (AG) with continuous theta-burst stimulation (cTBS) reduced MW compared to sham stimulation, without affecting executive performance (Drevland et al., 2025). The present study is a pre-registered, direct replication of the study by Drevland et al., but also expands their protocol by applying intermittent theta-burst stimulation (iTBS) targeting the same cortical area. Using a triple-blind crossover design, healthy participants completed four blocks of the Finger-Tapping Random Sequence Generation Task (FT-RSGT) in three sessions on separate days. Each session included three rounds of either real (cTBS or iTBS) or sham stimulation in an accelerated rTMS design. We successfully replicated the effect of cTBS in reducing MW propensity but failed to find the expected increase in MW post-iTBS. Furthermore, based on a joint analysis of the current data and that from Drevland et al., we found compelling evidence for cTBS being efficient both in reducing MW and improving executive performance. Our results provide evidence for the causal relationship between the left AG and shifts of attention during an executive task, highlighting the role of the default mode network in the generation and maintenance of MW episodes. © 2025 Elsevier B.V., All rights reserved.","archive":"Scopus","citation-key":"alexandersenEvidenceEfficacyThetaburst2025","container-title":"Cortex","DOI":"10.1016/j.cortex.2025.07.006","page":"25-40","title":"Evidence for the efficacy of theta-burst stimulation above the angular gyrus for reducing mind wandering propensity: A successful pre-registered study","volume":"191","author":[{"family":"Alexandersen","given":"A."},{"family":"Aasen","given":"S.R."},{"family":"Csifcsák","given":"G."},{"family":"Mittner","given":"M."}],"issued":{"date-parts":[["2025"]]}},"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770F0D7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17837036" w14:textId="1FC3EF2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vAlign w:val="center"/>
            <w:hideMark/>
          </w:tcPr>
          <w:p w14:paraId="1C937291"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not focused on task</w:t>
            </w:r>
          </w:p>
          <w:p w14:paraId="28747819" w14:textId="668F2536"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not thinking of anything</w:t>
            </w:r>
          </w:p>
        </w:tc>
        <w:tc>
          <w:tcPr>
            <w:tcW w:w="228" w:type="pct"/>
            <w:tcBorders>
              <w:top w:val="nil"/>
              <w:left w:val="nil"/>
              <w:bottom w:val="nil"/>
              <w:right w:val="nil"/>
            </w:tcBorders>
            <w:noWrap/>
            <w:vAlign w:val="center"/>
            <w:hideMark/>
          </w:tcPr>
          <w:p w14:paraId="17301E9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196" w:type="pct"/>
            <w:tcBorders>
              <w:top w:val="nil"/>
              <w:left w:val="nil"/>
              <w:bottom w:val="nil"/>
              <w:right w:val="nil"/>
            </w:tcBorders>
            <w:noWrap/>
            <w:vAlign w:val="center"/>
            <w:hideMark/>
          </w:tcPr>
          <w:p w14:paraId="2C115F1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0.086</w:t>
            </w:r>
          </w:p>
        </w:tc>
        <w:tc>
          <w:tcPr>
            <w:tcW w:w="199" w:type="pct"/>
            <w:tcBorders>
              <w:top w:val="nil"/>
              <w:left w:val="nil"/>
              <w:bottom w:val="nil"/>
              <w:right w:val="nil"/>
            </w:tcBorders>
            <w:noWrap/>
            <w:vAlign w:val="center"/>
            <w:hideMark/>
          </w:tcPr>
          <w:p w14:paraId="3179DAF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44</w:t>
            </w:r>
          </w:p>
        </w:tc>
        <w:tc>
          <w:tcPr>
            <w:tcW w:w="218" w:type="pct"/>
            <w:tcBorders>
              <w:top w:val="nil"/>
              <w:left w:val="nil"/>
              <w:bottom w:val="nil"/>
              <w:right w:val="nil"/>
            </w:tcBorders>
            <w:noWrap/>
            <w:vAlign w:val="center"/>
            <w:hideMark/>
          </w:tcPr>
          <w:p w14:paraId="2AD1CE89" w14:textId="1A78983C" w:rsidR="0065213A" w:rsidRPr="0065213A" w:rsidRDefault="00884F5F"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scale</w:t>
            </w:r>
            <w:proofErr w:type="spellEnd"/>
            <w:proofErr w:type="gramEnd"/>
          </w:p>
        </w:tc>
        <w:tc>
          <w:tcPr>
            <w:tcW w:w="327" w:type="pct"/>
            <w:tcBorders>
              <w:top w:val="nil"/>
              <w:left w:val="nil"/>
              <w:bottom w:val="nil"/>
              <w:right w:val="nil"/>
            </w:tcBorders>
            <w:noWrap/>
            <w:vAlign w:val="center"/>
            <w:hideMark/>
          </w:tcPr>
          <w:p w14:paraId="4DED15F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44</w:t>
            </w:r>
          </w:p>
        </w:tc>
        <w:tc>
          <w:tcPr>
            <w:tcW w:w="207" w:type="pct"/>
            <w:tcBorders>
              <w:top w:val="nil"/>
              <w:left w:val="nil"/>
              <w:bottom w:val="nil"/>
              <w:right w:val="nil"/>
            </w:tcBorders>
            <w:noWrap/>
            <w:vAlign w:val="center"/>
            <w:hideMark/>
          </w:tcPr>
          <w:p w14:paraId="1B70876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707A97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FT-RSGT</w:t>
            </w:r>
          </w:p>
        </w:tc>
        <w:tc>
          <w:tcPr>
            <w:tcW w:w="244" w:type="pct"/>
            <w:tcBorders>
              <w:top w:val="nil"/>
              <w:left w:val="nil"/>
              <w:bottom w:val="nil"/>
              <w:right w:val="nil"/>
            </w:tcBorders>
            <w:noWrap/>
            <w:vAlign w:val="center"/>
            <w:hideMark/>
          </w:tcPr>
          <w:p w14:paraId="0BFC869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71C4BC6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37BA77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9D33134" w14:textId="3ABA920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613769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proofErr w:type="spellStart"/>
            <w:r w:rsidRPr="22DB2182">
              <w:rPr>
                <w:rFonts w:ascii="Times New Roman" w:eastAsia="Times New Roman" w:hAnsi="Times New Roman" w:cs="Times New Roman"/>
                <w:color w:val="000000" w:themeColor="text1"/>
                <w:sz w:val="8"/>
                <w:szCs w:val="8"/>
                <w:lang w:eastAsia="en-US"/>
              </w:rPr>
              <w:t>rTMS</w:t>
            </w:r>
            <w:proofErr w:type="spellEnd"/>
            <w:r w:rsidRPr="22DB2182">
              <w:rPr>
                <w:rFonts w:ascii="Times New Roman" w:eastAsia="Times New Roman" w:hAnsi="Times New Roman" w:cs="Times New Roman"/>
                <w:color w:val="000000" w:themeColor="text1"/>
                <w:sz w:val="8"/>
                <w:szCs w:val="8"/>
                <w:lang w:eastAsia="en-US"/>
              </w:rPr>
              <w:t>-sham</w:t>
            </w:r>
          </w:p>
        </w:tc>
      </w:tr>
      <w:tr w:rsidR="0065213A" w:rsidRPr="0065213A" w14:paraId="221C3FF4" w14:textId="77777777" w:rsidTr="22DB2182">
        <w:trPr>
          <w:trHeight w:val="20"/>
        </w:trPr>
        <w:tc>
          <w:tcPr>
            <w:tcW w:w="456" w:type="pct"/>
            <w:tcBorders>
              <w:top w:val="nil"/>
              <w:left w:val="nil"/>
              <w:bottom w:val="nil"/>
              <w:right w:val="nil"/>
            </w:tcBorders>
            <w:noWrap/>
            <w:vAlign w:val="center"/>
            <w:hideMark/>
          </w:tcPr>
          <w:p w14:paraId="0775CA9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4CE9E96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44AD145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vAlign w:val="center"/>
            <w:hideMark/>
          </w:tcPr>
          <w:p w14:paraId="3EF2900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A8CDD8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196" w:type="pct"/>
            <w:tcBorders>
              <w:top w:val="nil"/>
              <w:left w:val="nil"/>
              <w:bottom w:val="nil"/>
              <w:right w:val="nil"/>
            </w:tcBorders>
            <w:noWrap/>
            <w:vAlign w:val="center"/>
            <w:hideMark/>
          </w:tcPr>
          <w:p w14:paraId="091C1EC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0.102</w:t>
            </w:r>
          </w:p>
        </w:tc>
        <w:tc>
          <w:tcPr>
            <w:tcW w:w="199" w:type="pct"/>
            <w:tcBorders>
              <w:top w:val="nil"/>
              <w:left w:val="nil"/>
              <w:bottom w:val="nil"/>
              <w:right w:val="nil"/>
            </w:tcBorders>
            <w:noWrap/>
            <w:vAlign w:val="center"/>
            <w:hideMark/>
          </w:tcPr>
          <w:p w14:paraId="16D46BF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44</w:t>
            </w:r>
          </w:p>
        </w:tc>
        <w:tc>
          <w:tcPr>
            <w:tcW w:w="218" w:type="pct"/>
            <w:tcBorders>
              <w:top w:val="nil"/>
              <w:left w:val="nil"/>
              <w:bottom w:val="nil"/>
              <w:right w:val="nil"/>
            </w:tcBorders>
            <w:noWrap/>
            <w:vAlign w:val="center"/>
            <w:hideMark/>
          </w:tcPr>
          <w:p w14:paraId="6E3EAFC1" w14:textId="66C66A54" w:rsidR="0065213A" w:rsidRPr="0065213A" w:rsidRDefault="00884F5F"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scale</w:t>
            </w:r>
            <w:proofErr w:type="spellEnd"/>
            <w:proofErr w:type="gramEnd"/>
          </w:p>
        </w:tc>
        <w:tc>
          <w:tcPr>
            <w:tcW w:w="327" w:type="pct"/>
            <w:tcBorders>
              <w:top w:val="nil"/>
              <w:left w:val="nil"/>
              <w:bottom w:val="nil"/>
              <w:right w:val="nil"/>
            </w:tcBorders>
            <w:noWrap/>
            <w:vAlign w:val="center"/>
            <w:hideMark/>
          </w:tcPr>
          <w:p w14:paraId="75E974D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44</w:t>
            </w:r>
          </w:p>
        </w:tc>
        <w:tc>
          <w:tcPr>
            <w:tcW w:w="207" w:type="pct"/>
            <w:tcBorders>
              <w:top w:val="nil"/>
              <w:left w:val="nil"/>
              <w:bottom w:val="nil"/>
              <w:right w:val="nil"/>
            </w:tcBorders>
            <w:noWrap/>
            <w:vAlign w:val="center"/>
            <w:hideMark/>
          </w:tcPr>
          <w:p w14:paraId="1833AA4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11847B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FT-RSGT</w:t>
            </w:r>
          </w:p>
        </w:tc>
        <w:tc>
          <w:tcPr>
            <w:tcW w:w="244" w:type="pct"/>
            <w:tcBorders>
              <w:top w:val="nil"/>
              <w:left w:val="nil"/>
              <w:bottom w:val="nil"/>
              <w:right w:val="nil"/>
            </w:tcBorders>
            <w:noWrap/>
            <w:vAlign w:val="center"/>
            <w:hideMark/>
          </w:tcPr>
          <w:p w14:paraId="6B846D8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526BC94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C14DFB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7D82BAE" w14:textId="228198E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B1079C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proofErr w:type="spellStart"/>
            <w:r w:rsidRPr="22DB2182">
              <w:rPr>
                <w:rFonts w:ascii="Times New Roman" w:eastAsia="Times New Roman" w:hAnsi="Times New Roman" w:cs="Times New Roman"/>
                <w:color w:val="000000" w:themeColor="text1"/>
                <w:sz w:val="8"/>
                <w:szCs w:val="8"/>
                <w:lang w:eastAsia="en-US"/>
              </w:rPr>
              <w:t>rTMS-iTBS</w:t>
            </w:r>
            <w:proofErr w:type="spellEnd"/>
          </w:p>
        </w:tc>
      </w:tr>
      <w:tr w:rsidR="0065213A" w:rsidRPr="0065213A" w14:paraId="082B2D32" w14:textId="77777777" w:rsidTr="22DB2182">
        <w:trPr>
          <w:trHeight w:val="20"/>
        </w:trPr>
        <w:tc>
          <w:tcPr>
            <w:tcW w:w="456" w:type="pct"/>
            <w:tcBorders>
              <w:top w:val="nil"/>
              <w:left w:val="nil"/>
              <w:bottom w:val="nil"/>
              <w:right w:val="nil"/>
            </w:tcBorders>
            <w:noWrap/>
            <w:vAlign w:val="center"/>
            <w:hideMark/>
          </w:tcPr>
          <w:p w14:paraId="30CE2EC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70E4AE6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1c</w:t>
            </w:r>
          </w:p>
        </w:tc>
        <w:tc>
          <w:tcPr>
            <w:tcW w:w="585" w:type="pct"/>
            <w:tcBorders>
              <w:top w:val="nil"/>
              <w:left w:val="nil"/>
              <w:bottom w:val="nil"/>
              <w:right w:val="nil"/>
            </w:tcBorders>
            <w:noWrap/>
            <w:vAlign w:val="center"/>
            <w:hideMark/>
          </w:tcPr>
          <w:p w14:paraId="10029A4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vAlign w:val="center"/>
            <w:hideMark/>
          </w:tcPr>
          <w:p w14:paraId="4EE563F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5137FFB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196" w:type="pct"/>
            <w:tcBorders>
              <w:top w:val="nil"/>
              <w:left w:val="nil"/>
              <w:bottom w:val="nil"/>
              <w:right w:val="nil"/>
            </w:tcBorders>
            <w:noWrap/>
            <w:vAlign w:val="center"/>
            <w:hideMark/>
          </w:tcPr>
          <w:p w14:paraId="6C59462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0.077</w:t>
            </w:r>
          </w:p>
        </w:tc>
        <w:tc>
          <w:tcPr>
            <w:tcW w:w="199" w:type="pct"/>
            <w:tcBorders>
              <w:top w:val="nil"/>
              <w:left w:val="nil"/>
              <w:bottom w:val="nil"/>
              <w:right w:val="nil"/>
            </w:tcBorders>
            <w:noWrap/>
            <w:vAlign w:val="center"/>
            <w:hideMark/>
          </w:tcPr>
          <w:p w14:paraId="37E41A2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44</w:t>
            </w:r>
          </w:p>
        </w:tc>
        <w:tc>
          <w:tcPr>
            <w:tcW w:w="218" w:type="pct"/>
            <w:tcBorders>
              <w:top w:val="nil"/>
              <w:left w:val="nil"/>
              <w:bottom w:val="nil"/>
              <w:right w:val="nil"/>
            </w:tcBorders>
            <w:noWrap/>
            <w:vAlign w:val="center"/>
            <w:hideMark/>
          </w:tcPr>
          <w:p w14:paraId="44CB6264" w14:textId="7FAFAB75" w:rsidR="0065213A" w:rsidRPr="0065213A" w:rsidRDefault="00884F5F"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scale</w:t>
            </w:r>
            <w:proofErr w:type="spellEnd"/>
            <w:proofErr w:type="gramEnd"/>
          </w:p>
        </w:tc>
        <w:tc>
          <w:tcPr>
            <w:tcW w:w="327" w:type="pct"/>
            <w:tcBorders>
              <w:top w:val="nil"/>
              <w:left w:val="nil"/>
              <w:bottom w:val="nil"/>
              <w:right w:val="nil"/>
            </w:tcBorders>
            <w:noWrap/>
            <w:vAlign w:val="center"/>
            <w:hideMark/>
          </w:tcPr>
          <w:p w14:paraId="498A809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44</w:t>
            </w:r>
          </w:p>
        </w:tc>
        <w:tc>
          <w:tcPr>
            <w:tcW w:w="207" w:type="pct"/>
            <w:tcBorders>
              <w:top w:val="nil"/>
              <w:left w:val="nil"/>
              <w:bottom w:val="nil"/>
              <w:right w:val="nil"/>
            </w:tcBorders>
            <w:noWrap/>
            <w:vAlign w:val="center"/>
            <w:hideMark/>
          </w:tcPr>
          <w:p w14:paraId="617376F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5A7F3B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FT-RSGT</w:t>
            </w:r>
          </w:p>
        </w:tc>
        <w:tc>
          <w:tcPr>
            <w:tcW w:w="244" w:type="pct"/>
            <w:tcBorders>
              <w:top w:val="nil"/>
              <w:left w:val="nil"/>
              <w:bottom w:val="nil"/>
              <w:right w:val="nil"/>
            </w:tcBorders>
            <w:noWrap/>
            <w:vAlign w:val="center"/>
            <w:hideMark/>
          </w:tcPr>
          <w:p w14:paraId="373CA0D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2BF36C9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49A9D5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2A924E46" w14:textId="60D36E6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9D1941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proofErr w:type="spellStart"/>
            <w:r w:rsidRPr="22DB2182">
              <w:rPr>
                <w:rFonts w:ascii="Times New Roman" w:eastAsia="Times New Roman" w:hAnsi="Times New Roman" w:cs="Times New Roman"/>
                <w:color w:val="000000" w:themeColor="text1"/>
                <w:sz w:val="8"/>
                <w:szCs w:val="8"/>
                <w:lang w:eastAsia="en-US"/>
              </w:rPr>
              <w:t>rTMS-cTBS</w:t>
            </w:r>
            <w:proofErr w:type="spellEnd"/>
          </w:p>
        </w:tc>
      </w:tr>
      <w:tr w:rsidR="0065213A" w:rsidRPr="0065213A" w14:paraId="73E7319D" w14:textId="77777777" w:rsidTr="22DB2182">
        <w:trPr>
          <w:trHeight w:val="20"/>
        </w:trPr>
        <w:tc>
          <w:tcPr>
            <w:tcW w:w="456" w:type="pct"/>
            <w:tcBorders>
              <w:top w:val="nil"/>
              <w:left w:val="nil"/>
              <w:bottom w:val="nil"/>
              <w:right w:val="nil"/>
            </w:tcBorders>
            <w:noWrap/>
            <w:vAlign w:val="center"/>
            <w:hideMark/>
          </w:tcPr>
          <w:p w14:paraId="7B718DC9" w14:textId="45FC063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Anderson,</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13jmtbs7ch","properties":{"unsorted":false,"formattedCitation":"(2019)","plainCitation":"(2019)","noteIndex":0},"citationItems":[{"id":5883,"uris":["http://zotero.org/users/8613739/items/EVDCMFL4"],"itemData":{"id":5883,"type":"article-journal","abstract":"Relatively little research has focused on how prospective memory (PM) operates outside of the laboratory, partially due to the methodological problems presented by naturalistic memory research in general and by the unique challenges of PM in particular. Experience sampling methods (ESM) offer a fruitful avenue for this type of research, as recent work from Gardner and Ascoli ( Psychology and Aging, 30, 209-219, 2015 ) has shown. They found that people thought about PM around 15 Journal of Applied Research in Memory and Cognition, 2, 222-234, 2013 ). Of those PM thoughts, participants reported that 61","citation-key":"andersonHeyBuddyWhy2019","container-title":"Memory &amp; cognition","ISSN":"0090-502X","issue":"1","language":"eng","note":"tex.copyright: The Psychonomic Society, Inc. 2018","page":"47-62","publisher":"Springer US","publisher-place":"New York","title":"Hey buddy, why don’t we take it outside: An experience sampling study of prospective memory","volume":"47","author":[{"family":"Anderson","given":"Francis T."},{"family":"McDaniel","given":"Mark A."}],"issued":{"date-parts":[["2019",1,1]]}},"suppress-author":true}],"schema":"https://github.com/citation-style-language/schema/raw/master/csl-citation.json"}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(2019)</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4E5941D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513EDB0C" w14:textId="2A3FE7E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7B4C2891"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not thinking of anything</w:t>
            </w:r>
          </w:p>
          <w:p w14:paraId="73663951" w14:textId="614DA8A8"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not focused on task</w:t>
            </w:r>
          </w:p>
        </w:tc>
        <w:tc>
          <w:tcPr>
            <w:tcW w:w="228" w:type="pct"/>
            <w:tcBorders>
              <w:top w:val="nil"/>
              <w:left w:val="nil"/>
              <w:bottom w:val="nil"/>
              <w:right w:val="nil"/>
            </w:tcBorders>
            <w:noWrap/>
            <w:vAlign w:val="center"/>
            <w:hideMark/>
          </w:tcPr>
          <w:p w14:paraId="33B1D01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61</w:t>
            </w:r>
          </w:p>
        </w:tc>
        <w:tc>
          <w:tcPr>
            <w:tcW w:w="196" w:type="pct"/>
            <w:tcBorders>
              <w:top w:val="nil"/>
              <w:left w:val="nil"/>
              <w:bottom w:val="nil"/>
              <w:right w:val="nil"/>
            </w:tcBorders>
            <w:noWrap/>
            <w:vAlign w:val="center"/>
            <w:hideMark/>
          </w:tcPr>
          <w:p w14:paraId="4788B8F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w:t>
            </w:r>
          </w:p>
        </w:tc>
        <w:tc>
          <w:tcPr>
            <w:tcW w:w="199" w:type="pct"/>
            <w:tcBorders>
              <w:top w:val="nil"/>
              <w:left w:val="nil"/>
              <w:bottom w:val="nil"/>
              <w:right w:val="nil"/>
            </w:tcBorders>
            <w:noWrap/>
            <w:vAlign w:val="center"/>
            <w:hideMark/>
          </w:tcPr>
          <w:p w14:paraId="632D389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58E1F18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7</w:t>
            </w:r>
          </w:p>
        </w:tc>
        <w:tc>
          <w:tcPr>
            <w:tcW w:w="327" w:type="pct"/>
            <w:tcBorders>
              <w:top w:val="nil"/>
              <w:left w:val="nil"/>
              <w:bottom w:val="nil"/>
              <w:right w:val="nil"/>
            </w:tcBorders>
            <w:noWrap/>
            <w:vAlign w:val="center"/>
            <w:hideMark/>
          </w:tcPr>
          <w:p w14:paraId="6EFB5946" w14:textId="70B1158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3B9CCA1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ecological</w:t>
            </w:r>
            <w:proofErr w:type="spellEnd"/>
            <w:proofErr w:type="gramEnd"/>
          </w:p>
        </w:tc>
        <w:tc>
          <w:tcPr>
            <w:tcW w:w="430" w:type="pct"/>
            <w:tcBorders>
              <w:top w:val="nil"/>
              <w:left w:val="nil"/>
              <w:bottom w:val="nil"/>
              <w:right w:val="nil"/>
            </w:tcBorders>
            <w:noWrap/>
            <w:vAlign w:val="center"/>
            <w:hideMark/>
          </w:tcPr>
          <w:p w14:paraId="0901B15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Ecological</w:t>
            </w:r>
            <w:proofErr w:type="spellEnd"/>
          </w:p>
        </w:tc>
        <w:tc>
          <w:tcPr>
            <w:tcW w:w="244" w:type="pct"/>
            <w:tcBorders>
              <w:top w:val="nil"/>
              <w:left w:val="nil"/>
              <w:bottom w:val="nil"/>
              <w:right w:val="nil"/>
            </w:tcBorders>
            <w:noWrap/>
            <w:vAlign w:val="center"/>
            <w:hideMark/>
          </w:tcPr>
          <w:p w14:paraId="20FD4068" w14:textId="5494099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2E9C9B8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907DB1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D6CF904" w14:textId="4E40405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899EB5D" w14:textId="11F03D3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F830432" w14:textId="77777777" w:rsidTr="22DB2182">
        <w:trPr>
          <w:trHeight w:val="20"/>
        </w:trPr>
        <w:tc>
          <w:tcPr>
            <w:tcW w:w="456" w:type="pct"/>
            <w:tcBorders>
              <w:top w:val="nil"/>
              <w:left w:val="nil"/>
              <w:bottom w:val="nil"/>
              <w:right w:val="nil"/>
            </w:tcBorders>
            <w:noWrap/>
            <w:vAlign w:val="center"/>
            <w:hideMark/>
          </w:tcPr>
          <w:p w14:paraId="0767444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FB3358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w:t>
            </w:r>
          </w:p>
        </w:tc>
        <w:tc>
          <w:tcPr>
            <w:tcW w:w="585" w:type="pct"/>
            <w:tcBorders>
              <w:top w:val="nil"/>
              <w:left w:val="nil"/>
              <w:bottom w:val="nil"/>
              <w:right w:val="nil"/>
            </w:tcBorders>
            <w:noWrap/>
            <w:vAlign w:val="center"/>
            <w:hideMark/>
          </w:tcPr>
          <w:p w14:paraId="39195EC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D56A16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1F7A0E4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122</w:t>
            </w:r>
          </w:p>
        </w:tc>
        <w:tc>
          <w:tcPr>
            <w:tcW w:w="196" w:type="pct"/>
            <w:tcBorders>
              <w:top w:val="nil"/>
              <w:left w:val="nil"/>
              <w:bottom w:val="nil"/>
              <w:right w:val="nil"/>
            </w:tcBorders>
            <w:noWrap/>
            <w:vAlign w:val="center"/>
            <w:hideMark/>
          </w:tcPr>
          <w:p w14:paraId="2883C12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w:t>
            </w:r>
          </w:p>
        </w:tc>
        <w:tc>
          <w:tcPr>
            <w:tcW w:w="199" w:type="pct"/>
            <w:tcBorders>
              <w:top w:val="nil"/>
              <w:left w:val="nil"/>
              <w:bottom w:val="nil"/>
              <w:right w:val="nil"/>
            </w:tcBorders>
            <w:noWrap/>
            <w:vAlign w:val="center"/>
            <w:hideMark/>
          </w:tcPr>
          <w:p w14:paraId="6195771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3E07891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7</w:t>
            </w:r>
          </w:p>
        </w:tc>
        <w:tc>
          <w:tcPr>
            <w:tcW w:w="327" w:type="pct"/>
            <w:tcBorders>
              <w:top w:val="nil"/>
              <w:left w:val="nil"/>
              <w:bottom w:val="nil"/>
              <w:right w:val="nil"/>
            </w:tcBorders>
            <w:noWrap/>
            <w:vAlign w:val="center"/>
            <w:hideMark/>
          </w:tcPr>
          <w:p w14:paraId="42235DB2" w14:textId="48684B8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61CE58C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ecological</w:t>
            </w:r>
            <w:proofErr w:type="spellEnd"/>
            <w:proofErr w:type="gramEnd"/>
          </w:p>
        </w:tc>
        <w:tc>
          <w:tcPr>
            <w:tcW w:w="430" w:type="pct"/>
            <w:tcBorders>
              <w:top w:val="nil"/>
              <w:left w:val="nil"/>
              <w:bottom w:val="nil"/>
              <w:right w:val="nil"/>
            </w:tcBorders>
            <w:noWrap/>
            <w:vAlign w:val="center"/>
            <w:hideMark/>
          </w:tcPr>
          <w:p w14:paraId="4431498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Ecological</w:t>
            </w:r>
            <w:proofErr w:type="spellEnd"/>
          </w:p>
        </w:tc>
        <w:tc>
          <w:tcPr>
            <w:tcW w:w="244" w:type="pct"/>
            <w:tcBorders>
              <w:top w:val="nil"/>
              <w:left w:val="nil"/>
              <w:bottom w:val="nil"/>
              <w:right w:val="nil"/>
            </w:tcBorders>
            <w:noWrap/>
            <w:vAlign w:val="center"/>
            <w:hideMark/>
          </w:tcPr>
          <w:p w14:paraId="31DD809A" w14:textId="6425715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199B6A4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A486FC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7F4B3D4" w14:textId="0B7B3DB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1A3AF26" w14:textId="11FBD7D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010D887" w14:textId="77777777" w:rsidTr="22DB2182">
        <w:trPr>
          <w:trHeight w:val="20"/>
        </w:trPr>
        <w:tc>
          <w:tcPr>
            <w:tcW w:w="456" w:type="pct"/>
            <w:tcBorders>
              <w:top w:val="nil"/>
              <w:left w:val="nil"/>
              <w:bottom w:val="nil"/>
              <w:right w:val="nil"/>
            </w:tcBorders>
            <w:noWrap/>
            <w:vAlign w:val="center"/>
            <w:hideMark/>
          </w:tcPr>
          <w:p w14:paraId="7044BF43" w14:textId="6822664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Andrillon,</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broja8l2f","properties":{"unsorted":false,"formattedCitation":"(2021)","plainCitation":"(2021)","noteIndex":0},"citationItems":[{"id":5757,"uris":["http://zotero.org/users/8613739/items/44AG6C8P"],"itemData":{"id":5757,"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(2021)</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186A6A0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1a</w:t>
            </w:r>
          </w:p>
        </w:tc>
        <w:tc>
          <w:tcPr>
            <w:tcW w:w="585" w:type="pct"/>
            <w:tcBorders>
              <w:top w:val="nil"/>
              <w:left w:val="nil"/>
              <w:bottom w:val="nil"/>
              <w:right w:val="nil"/>
            </w:tcBorders>
            <w:noWrap/>
            <w:vAlign w:val="center"/>
            <w:hideMark/>
          </w:tcPr>
          <w:p w14:paraId="3F524156"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sz w:val="8"/>
                <w:szCs w:val="8"/>
                <w:lang w:val="en-GB" w:eastAsia="en-US"/>
              </w:rPr>
            </w:pPr>
            <w:r w:rsidRPr="00F22D83">
              <w:rPr>
                <w:rFonts w:ascii="Times New Roman" w:eastAsia="Times New Roman" w:hAnsi="Times New Roman" w:cs="Times New Roman"/>
                <w:sz w:val="8"/>
                <w:szCs w:val="8"/>
                <w:lang w:val="en-GB" w:eastAsia="en-US"/>
              </w:rPr>
              <w:t>feeling of empty mind</w:t>
            </w:r>
          </w:p>
          <w:p w14:paraId="1FA77195"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sz w:val="8"/>
                <w:szCs w:val="8"/>
                <w:lang w:val="en-GB" w:eastAsia="en-US"/>
              </w:rPr>
            </w:pPr>
            <w:r w:rsidRPr="00F22D83">
              <w:rPr>
                <w:rFonts w:ascii="Times New Roman" w:eastAsia="Times New Roman" w:hAnsi="Times New Roman" w:cs="Times New Roman"/>
                <w:sz w:val="8"/>
                <w:szCs w:val="8"/>
                <w:lang w:val="en-GB" w:eastAsia="en-US"/>
              </w:rPr>
              <w:t>lack of conscious awareness</w:t>
            </w:r>
          </w:p>
          <w:p w14:paraId="4572253F" w14:textId="4F844066"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sz w:val="8"/>
                <w:szCs w:val="8"/>
                <w:lang w:val="fr-FR" w:eastAsia="en-US"/>
              </w:rPr>
            </w:pPr>
            <w:proofErr w:type="gramStart"/>
            <w:r w:rsidRPr="22DB2182">
              <w:rPr>
                <w:rFonts w:ascii="Times New Roman" w:eastAsia="Times New Roman" w:hAnsi="Times New Roman" w:cs="Times New Roman"/>
                <w:sz w:val="8"/>
                <w:szCs w:val="8"/>
                <w:lang w:val="fr-FR" w:eastAsia="en-US"/>
              </w:rPr>
              <w:t>absence</w:t>
            </w:r>
            <w:proofErr w:type="gramEnd"/>
            <w:r w:rsidRPr="22DB2182">
              <w:rPr>
                <w:rFonts w:ascii="Times New Roman" w:eastAsia="Times New Roman" w:hAnsi="Times New Roman" w:cs="Times New Roman"/>
                <w:sz w:val="8"/>
                <w:szCs w:val="8"/>
                <w:lang w:val="fr-FR" w:eastAsia="en-US"/>
              </w:rPr>
              <w:t xml:space="preserve"> of mental </w:t>
            </w:r>
            <w:proofErr w:type="spellStart"/>
            <w:r w:rsidRPr="22DB2182">
              <w:rPr>
                <w:rFonts w:ascii="Times New Roman" w:eastAsia="Times New Roman" w:hAnsi="Times New Roman" w:cs="Times New Roman"/>
                <w:sz w:val="8"/>
                <w:szCs w:val="8"/>
                <w:lang w:val="fr-FR" w:eastAsia="en-US"/>
              </w:rPr>
              <w:t>activity</w:t>
            </w:r>
            <w:proofErr w:type="spellEnd"/>
          </w:p>
        </w:tc>
        <w:tc>
          <w:tcPr>
            <w:tcW w:w="679" w:type="pct"/>
            <w:tcBorders>
              <w:top w:val="nil"/>
              <w:left w:val="nil"/>
              <w:bottom w:val="nil"/>
              <w:right w:val="nil"/>
            </w:tcBorders>
            <w:noWrap/>
            <w:vAlign w:val="center"/>
            <w:hideMark/>
          </w:tcPr>
          <w:p w14:paraId="470BBD2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sz w:val="8"/>
                <w:szCs w:val="8"/>
                <w:lang w:eastAsia="en-US"/>
              </w:rPr>
            </w:pPr>
            <w:r w:rsidRPr="22DB2182">
              <w:rPr>
                <w:rFonts w:ascii="Times New Roman" w:eastAsia="Times New Roman" w:hAnsi="Times New Roman" w:cs="Times New Roman"/>
                <w:sz w:val="8"/>
                <w:szCs w:val="8"/>
                <w:lang w:eastAsia="en-US"/>
              </w:rPr>
              <w:t>focusing on nothing, don’t remember</w:t>
            </w:r>
          </w:p>
        </w:tc>
        <w:tc>
          <w:tcPr>
            <w:tcW w:w="228" w:type="pct"/>
            <w:tcBorders>
              <w:top w:val="nil"/>
              <w:left w:val="nil"/>
              <w:bottom w:val="nil"/>
              <w:right w:val="nil"/>
            </w:tcBorders>
            <w:noWrap/>
            <w:vAlign w:val="center"/>
            <w:hideMark/>
          </w:tcPr>
          <w:p w14:paraId="28643DC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26</w:t>
            </w:r>
          </w:p>
        </w:tc>
        <w:tc>
          <w:tcPr>
            <w:tcW w:w="196" w:type="pct"/>
            <w:tcBorders>
              <w:top w:val="nil"/>
              <w:left w:val="nil"/>
              <w:bottom w:val="nil"/>
              <w:right w:val="nil"/>
            </w:tcBorders>
            <w:noWrap/>
            <w:vAlign w:val="center"/>
            <w:hideMark/>
          </w:tcPr>
          <w:p w14:paraId="28A31FD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0.127</w:t>
            </w:r>
          </w:p>
        </w:tc>
        <w:tc>
          <w:tcPr>
            <w:tcW w:w="199" w:type="pct"/>
            <w:tcBorders>
              <w:top w:val="nil"/>
              <w:left w:val="nil"/>
              <w:bottom w:val="nil"/>
              <w:right w:val="nil"/>
            </w:tcBorders>
            <w:noWrap/>
            <w:vAlign w:val="center"/>
            <w:hideMark/>
          </w:tcPr>
          <w:p w14:paraId="15092A1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30</w:t>
            </w:r>
          </w:p>
        </w:tc>
        <w:tc>
          <w:tcPr>
            <w:tcW w:w="218" w:type="pct"/>
            <w:tcBorders>
              <w:top w:val="nil"/>
              <w:left w:val="nil"/>
              <w:bottom w:val="nil"/>
              <w:right w:val="nil"/>
            </w:tcBorders>
            <w:noWrap/>
            <w:vAlign w:val="center"/>
            <w:hideMark/>
          </w:tcPr>
          <w:p w14:paraId="1BA0639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4</w:t>
            </w:r>
          </w:p>
        </w:tc>
        <w:tc>
          <w:tcPr>
            <w:tcW w:w="327" w:type="pct"/>
            <w:tcBorders>
              <w:top w:val="nil"/>
              <w:left w:val="nil"/>
              <w:bottom w:val="nil"/>
              <w:right w:val="nil"/>
            </w:tcBorders>
            <w:noWrap/>
            <w:vAlign w:val="center"/>
            <w:hideMark/>
          </w:tcPr>
          <w:p w14:paraId="73184F6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40.5</w:t>
            </w:r>
          </w:p>
        </w:tc>
        <w:tc>
          <w:tcPr>
            <w:tcW w:w="207" w:type="pct"/>
            <w:tcBorders>
              <w:top w:val="nil"/>
              <w:left w:val="nil"/>
              <w:bottom w:val="nil"/>
              <w:right w:val="nil"/>
            </w:tcBorders>
            <w:noWrap/>
            <w:vAlign w:val="center"/>
            <w:hideMark/>
          </w:tcPr>
          <w:p w14:paraId="06ABC05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sz w:val="8"/>
                <w:szCs w:val="8"/>
                <w:lang w:val="fr-FR" w:eastAsia="en-US"/>
              </w:rPr>
            </w:pPr>
            <w:proofErr w:type="spellStart"/>
            <w:proofErr w:type="gramStart"/>
            <w:r w:rsidRPr="22DB2182">
              <w:rPr>
                <w:rFonts w:ascii="Times New Roman" w:eastAsia="Times New Roman" w:hAnsi="Times New Roman" w:cs="Times New Roman"/>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05FECF3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SART</w:t>
            </w:r>
          </w:p>
        </w:tc>
        <w:tc>
          <w:tcPr>
            <w:tcW w:w="244" w:type="pct"/>
            <w:tcBorders>
              <w:top w:val="nil"/>
              <w:left w:val="nil"/>
              <w:bottom w:val="nil"/>
              <w:right w:val="nil"/>
            </w:tcBorders>
            <w:noWrap/>
            <w:vAlign w:val="center"/>
            <w:hideMark/>
          </w:tcPr>
          <w:p w14:paraId="1B5FD29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sz w:val="8"/>
                <w:szCs w:val="8"/>
                <w:lang w:val="fr-FR" w:eastAsia="en-US"/>
              </w:rPr>
            </w:pPr>
            <w:proofErr w:type="spellStart"/>
            <w:proofErr w:type="gramStart"/>
            <w:r w:rsidRPr="22DB2182">
              <w:rPr>
                <w:rFonts w:ascii="Times New Roman" w:eastAsia="Times New Roman" w:hAnsi="Times New Roman" w:cs="Times New Roman"/>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461D9B8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sz w:val="8"/>
                <w:szCs w:val="8"/>
                <w:lang w:val="fr-FR" w:eastAsia="en-US"/>
              </w:rPr>
            </w:pPr>
            <w:proofErr w:type="spellStart"/>
            <w:proofErr w:type="gramStart"/>
            <w:r w:rsidRPr="22DB2182">
              <w:rPr>
                <w:rFonts w:ascii="Times New Roman" w:eastAsia="Times New Roman" w:hAnsi="Times New Roman" w:cs="Times New Roman"/>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8E4733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sz w:val="8"/>
                <w:szCs w:val="8"/>
                <w:lang w:val="fr-FR" w:eastAsia="en-US"/>
              </w:rPr>
            </w:pPr>
            <w:proofErr w:type="spellStart"/>
            <w:proofErr w:type="gramStart"/>
            <w:r w:rsidRPr="22DB2182">
              <w:rPr>
                <w:rFonts w:ascii="Times New Roman" w:eastAsia="Times New Roman" w:hAnsi="Times New Roman" w:cs="Times New Roman"/>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6F25EC4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1CE59EFC" w14:textId="05945A0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r>
      <w:tr w:rsidR="0065213A" w:rsidRPr="0065213A" w14:paraId="21EB5F76" w14:textId="77777777" w:rsidTr="22DB2182">
        <w:trPr>
          <w:trHeight w:val="20"/>
        </w:trPr>
        <w:tc>
          <w:tcPr>
            <w:tcW w:w="456" w:type="pct"/>
            <w:tcBorders>
              <w:top w:val="nil"/>
              <w:left w:val="nil"/>
              <w:bottom w:val="nil"/>
              <w:right w:val="nil"/>
            </w:tcBorders>
            <w:noWrap/>
            <w:vAlign w:val="center"/>
            <w:hideMark/>
          </w:tcPr>
          <w:p w14:paraId="114F889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193" w:type="pct"/>
            <w:tcBorders>
              <w:top w:val="nil"/>
              <w:left w:val="nil"/>
              <w:bottom w:val="nil"/>
              <w:right w:val="nil"/>
            </w:tcBorders>
            <w:noWrap/>
            <w:vAlign w:val="center"/>
            <w:hideMark/>
          </w:tcPr>
          <w:p w14:paraId="3338B32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1b</w:t>
            </w:r>
          </w:p>
        </w:tc>
        <w:tc>
          <w:tcPr>
            <w:tcW w:w="585" w:type="pct"/>
            <w:tcBorders>
              <w:top w:val="nil"/>
              <w:left w:val="nil"/>
              <w:bottom w:val="nil"/>
              <w:right w:val="nil"/>
            </w:tcBorders>
            <w:noWrap/>
            <w:vAlign w:val="center"/>
            <w:hideMark/>
          </w:tcPr>
          <w:p w14:paraId="213D708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679" w:type="pct"/>
            <w:tcBorders>
              <w:top w:val="nil"/>
              <w:left w:val="nil"/>
              <w:bottom w:val="nil"/>
              <w:right w:val="nil"/>
            </w:tcBorders>
            <w:noWrap/>
            <w:vAlign w:val="center"/>
            <w:hideMark/>
          </w:tcPr>
          <w:p w14:paraId="4D13B07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07654D2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26</w:t>
            </w:r>
          </w:p>
        </w:tc>
        <w:tc>
          <w:tcPr>
            <w:tcW w:w="196" w:type="pct"/>
            <w:tcBorders>
              <w:top w:val="nil"/>
              <w:left w:val="nil"/>
              <w:bottom w:val="nil"/>
              <w:right w:val="nil"/>
            </w:tcBorders>
            <w:noWrap/>
            <w:vAlign w:val="center"/>
            <w:hideMark/>
          </w:tcPr>
          <w:p w14:paraId="544E749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0.119</w:t>
            </w:r>
          </w:p>
        </w:tc>
        <w:tc>
          <w:tcPr>
            <w:tcW w:w="199" w:type="pct"/>
            <w:tcBorders>
              <w:top w:val="nil"/>
              <w:left w:val="nil"/>
              <w:bottom w:val="nil"/>
              <w:right w:val="nil"/>
            </w:tcBorders>
            <w:noWrap/>
            <w:vAlign w:val="center"/>
            <w:hideMark/>
          </w:tcPr>
          <w:p w14:paraId="60DAA18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30</w:t>
            </w:r>
          </w:p>
        </w:tc>
        <w:tc>
          <w:tcPr>
            <w:tcW w:w="218" w:type="pct"/>
            <w:tcBorders>
              <w:top w:val="nil"/>
              <w:left w:val="nil"/>
              <w:bottom w:val="nil"/>
              <w:right w:val="nil"/>
            </w:tcBorders>
            <w:noWrap/>
            <w:vAlign w:val="center"/>
            <w:hideMark/>
          </w:tcPr>
          <w:p w14:paraId="3E72F95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4</w:t>
            </w:r>
          </w:p>
        </w:tc>
        <w:tc>
          <w:tcPr>
            <w:tcW w:w="327" w:type="pct"/>
            <w:tcBorders>
              <w:top w:val="nil"/>
              <w:left w:val="nil"/>
              <w:bottom w:val="nil"/>
              <w:right w:val="nil"/>
            </w:tcBorders>
            <w:noWrap/>
            <w:vAlign w:val="center"/>
            <w:hideMark/>
          </w:tcPr>
          <w:p w14:paraId="5BD3E41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40.5</w:t>
            </w:r>
          </w:p>
        </w:tc>
        <w:tc>
          <w:tcPr>
            <w:tcW w:w="207" w:type="pct"/>
            <w:tcBorders>
              <w:top w:val="nil"/>
              <w:left w:val="nil"/>
              <w:bottom w:val="nil"/>
              <w:right w:val="nil"/>
            </w:tcBorders>
            <w:noWrap/>
            <w:vAlign w:val="center"/>
            <w:hideMark/>
          </w:tcPr>
          <w:p w14:paraId="6AE1C7E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sz w:val="8"/>
                <w:szCs w:val="8"/>
                <w:lang w:val="fr-FR" w:eastAsia="en-US"/>
              </w:rPr>
            </w:pPr>
            <w:proofErr w:type="spellStart"/>
            <w:proofErr w:type="gramStart"/>
            <w:r w:rsidRPr="22DB2182">
              <w:rPr>
                <w:rFonts w:ascii="Times New Roman" w:eastAsia="Times New Roman" w:hAnsi="Times New Roman" w:cs="Times New Roman"/>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72BFC82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SART</w:t>
            </w:r>
          </w:p>
        </w:tc>
        <w:tc>
          <w:tcPr>
            <w:tcW w:w="244" w:type="pct"/>
            <w:tcBorders>
              <w:top w:val="nil"/>
              <w:left w:val="nil"/>
              <w:bottom w:val="nil"/>
              <w:right w:val="nil"/>
            </w:tcBorders>
            <w:noWrap/>
            <w:vAlign w:val="center"/>
            <w:hideMark/>
          </w:tcPr>
          <w:p w14:paraId="426F7AE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sz w:val="8"/>
                <w:szCs w:val="8"/>
                <w:lang w:val="fr-FR" w:eastAsia="en-US"/>
              </w:rPr>
            </w:pPr>
            <w:proofErr w:type="spellStart"/>
            <w:proofErr w:type="gramStart"/>
            <w:r w:rsidRPr="22DB2182">
              <w:rPr>
                <w:rFonts w:ascii="Times New Roman" w:eastAsia="Times New Roman" w:hAnsi="Times New Roman" w:cs="Times New Roman"/>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49CBDDC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sz w:val="8"/>
                <w:szCs w:val="8"/>
                <w:lang w:val="fr-FR" w:eastAsia="en-US"/>
              </w:rPr>
            </w:pPr>
            <w:proofErr w:type="spellStart"/>
            <w:proofErr w:type="gramStart"/>
            <w:r w:rsidRPr="22DB2182">
              <w:rPr>
                <w:rFonts w:ascii="Times New Roman" w:eastAsia="Times New Roman" w:hAnsi="Times New Roman" w:cs="Times New Roman"/>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D088CB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sz w:val="8"/>
                <w:szCs w:val="8"/>
                <w:lang w:val="fr-FR" w:eastAsia="en-US"/>
              </w:rPr>
            </w:pPr>
            <w:proofErr w:type="spellStart"/>
            <w:proofErr w:type="gramStart"/>
            <w:r w:rsidRPr="22DB2182">
              <w:rPr>
                <w:rFonts w:ascii="Times New Roman" w:eastAsia="Times New Roman" w:hAnsi="Times New Roman" w:cs="Times New Roman"/>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C0B056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0DDAE762" w14:textId="274F83B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r>
      <w:tr w:rsidR="0065213A" w:rsidRPr="0065213A" w14:paraId="1018C1F4" w14:textId="77777777" w:rsidTr="22DB2182">
        <w:trPr>
          <w:trHeight w:val="20"/>
        </w:trPr>
        <w:tc>
          <w:tcPr>
            <w:tcW w:w="456" w:type="pct"/>
            <w:tcBorders>
              <w:top w:val="nil"/>
              <w:left w:val="nil"/>
              <w:bottom w:val="nil"/>
              <w:right w:val="nil"/>
            </w:tcBorders>
            <w:noWrap/>
            <w:vAlign w:val="center"/>
            <w:hideMark/>
          </w:tcPr>
          <w:p w14:paraId="5DBA08EF" w14:textId="68FAD33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roofErr w:type="spellStart"/>
            <w:r w:rsidRPr="0065213A">
              <w:rPr>
                <w:rFonts w:ascii="Times New Roman" w:eastAsia="Times New Roman" w:hAnsi="Times New Roman" w:cs="Times New Roman"/>
                <w:color w:val="000000"/>
                <w:sz w:val="8"/>
                <w:szCs w:val="8"/>
              </w:rPr>
              <w:t>Beikmohamadi</w:t>
            </w:r>
            <w:proofErr w:type="spellEnd"/>
            <w:r w:rsidRPr="0065213A">
              <w:rPr>
                <w:rFonts w:ascii="Times New Roman" w:eastAsia="Times New Roman" w:hAnsi="Times New Roman" w:cs="Times New Roman"/>
                <w:color w:val="000000"/>
                <w:sz w:val="8"/>
                <w:szCs w:val="8"/>
              </w:rPr>
              <w:t>,</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{"citationID":"ald37fr133","properties":{"unsorted":false,"formattedCitation":"(2024)","plainCitation":"(2024)","noteIndex":0},"citationItems":[{"id":5881,"uris":["http://zotero.org/users/8613739/items/JQ74NKYA"],"itemData":{"id":5881,"type":"article-journal","abstract":"Van den Driessche et al. (2017) found that children and young adults with more attention-deficit/hyperactivity disorder (ADHD) symptoms report more mind blanking than those with fewer ADHD symptoms and that nonmedicated children with ADHD reported less mind wandering and more mind blanking than medicated children with ADHD. Van den Driessche et al. speculated that medication facilitated executive control and that executive resources support mind wandering (and on-task thought). Besides describing the conscious experience of those with ADHD symptomology, these findings bear on the theoretical debate of executive functions' role in conscious experience. Some argue that executive functions support mind wandering (Levinson et al., 2012; Smallwood, 2010, 2013), while others argue that mind wandering situationally results from a lack (or failure) of executive control (McVay &amp; Kane, 2010; Meier, 2019). Here, we conducted a study like Van den Driessche et al.'s study with young adults (Experiment 2, 2017) and tested the associations between ADHD symptomology and conscious experience. Rather than speculating about the effects of medication, we directly measured executive functioning (via complex span tasks). Like Van den Driessche et al., we observed a positive association between mind blanking and ADHD, but we detected no evidence supporting the claims that executive functions support (or reduce) mind wandering. We also assessed the relative associations between task performance metrics and reports of mind blanking and mind wandering. We did not detect differential performance associations between those thought reports. (Preregistration, data, analysis scripts, and output are available via the Open Science Framework: https://osf.io/z3awm/.)","citation-key":"beikmohamadiExaminingRelationsWorking2024","container-title":"Psychology of consciousness (Washington, D.C.)","ISSN":"2326-5523","issue":"2","language":"eng","note":"tex.copyright: 2021 American Psychological Association","page":"217-233","publisher":"Educational Publishing Foundation","title":"Examining the relations among working memory capacity, attention-deficit/hyperactivity disorder symptomology, and conscious experience","volume":"11","author":[{"family":"Beikmohamadi","given":"Leila A."},{"family":"Meier","given":"Matt E."}],"issued":{"date-parts":[["2024",6,1]]}},"suppress-author":true}],"schema":"https://github.com/citation-style-language/schema/raw/master/csl-citation.json"}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(2024)</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44F5953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1C6A110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no</w:t>
            </w:r>
            <w:proofErr w:type="gramEnd"/>
            <w:r w:rsidRPr="22DB2182">
              <w:rPr>
                <w:rFonts w:ascii="Times New Roman" w:eastAsia="Times New Roman" w:hAnsi="Times New Roman" w:cs="Times New Roman"/>
                <w:color w:val="000000" w:themeColor="text1"/>
                <w:sz w:val="8"/>
                <w:szCs w:val="8"/>
                <w:lang w:val="fr-FR" w:eastAsia="en-US"/>
              </w:rPr>
              <w:t xml:space="preserve"> reportable content</w:t>
            </w:r>
          </w:p>
        </w:tc>
        <w:tc>
          <w:tcPr>
            <w:tcW w:w="679" w:type="pct"/>
            <w:tcBorders>
              <w:top w:val="nil"/>
              <w:left w:val="nil"/>
              <w:bottom w:val="nil"/>
              <w:right w:val="nil"/>
            </w:tcBorders>
            <w:noWrap/>
            <w:vAlign w:val="center"/>
            <w:hideMark/>
          </w:tcPr>
          <w:p w14:paraId="2C1C46A2" w14:textId="307D831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28" w:type="pct"/>
            <w:tcBorders>
              <w:top w:val="nil"/>
              <w:left w:val="nil"/>
              <w:bottom w:val="nil"/>
              <w:right w:val="nil"/>
            </w:tcBorders>
            <w:noWrap/>
            <w:vAlign w:val="center"/>
            <w:hideMark/>
          </w:tcPr>
          <w:p w14:paraId="53CE8FD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292</w:t>
            </w:r>
          </w:p>
        </w:tc>
        <w:tc>
          <w:tcPr>
            <w:tcW w:w="196" w:type="pct"/>
            <w:tcBorders>
              <w:top w:val="nil"/>
              <w:left w:val="nil"/>
              <w:bottom w:val="nil"/>
              <w:right w:val="nil"/>
            </w:tcBorders>
            <w:noWrap/>
            <w:vAlign w:val="center"/>
            <w:hideMark/>
          </w:tcPr>
          <w:p w14:paraId="36700C0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0.11</w:t>
            </w:r>
          </w:p>
        </w:tc>
        <w:tc>
          <w:tcPr>
            <w:tcW w:w="199" w:type="pct"/>
            <w:tcBorders>
              <w:top w:val="nil"/>
              <w:left w:val="nil"/>
              <w:bottom w:val="nil"/>
              <w:right w:val="nil"/>
            </w:tcBorders>
            <w:noWrap/>
            <w:vAlign w:val="center"/>
            <w:hideMark/>
          </w:tcPr>
          <w:p w14:paraId="038A773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36</w:t>
            </w:r>
          </w:p>
        </w:tc>
        <w:tc>
          <w:tcPr>
            <w:tcW w:w="218" w:type="pct"/>
            <w:tcBorders>
              <w:top w:val="nil"/>
              <w:left w:val="nil"/>
              <w:bottom w:val="nil"/>
              <w:right w:val="nil"/>
            </w:tcBorders>
            <w:noWrap/>
            <w:vAlign w:val="center"/>
            <w:hideMark/>
          </w:tcPr>
          <w:p w14:paraId="720C001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516CA2B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07" w:type="pct"/>
            <w:tcBorders>
              <w:top w:val="nil"/>
              <w:left w:val="nil"/>
              <w:bottom w:val="nil"/>
              <w:right w:val="nil"/>
            </w:tcBorders>
            <w:noWrap/>
            <w:vAlign w:val="center"/>
            <w:hideMark/>
          </w:tcPr>
          <w:p w14:paraId="4FABF69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320C99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6BE2768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9EAF11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530C2F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6AB49156" w14:textId="5A19C66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C388A27" w14:textId="29DCD26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69677CF8" w14:textId="77777777" w:rsidTr="22DB2182">
        <w:trPr>
          <w:trHeight w:val="20"/>
        </w:trPr>
        <w:tc>
          <w:tcPr>
            <w:tcW w:w="456" w:type="pct"/>
            <w:tcBorders>
              <w:top w:val="nil"/>
              <w:left w:val="nil"/>
              <w:bottom w:val="nil"/>
              <w:right w:val="nil"/>
            </w:tcBorders>
            <w:noWrap/>
            <w:vAlign w:val="center"/>
            <w:hideMark/>
          </w:tcPr>
          <w:p w14:paraId="20D56191" w14:textId="76DC16B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Bertschi,</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{"citationID":"a1uhleo0dvo","properties":{"unsorted":false,"formattedCitation":"(2025)","plainCitation":"(2025)","noteIndex":0},"citationItems":[{"id":17881,"uris":["http://zotero.org/users/8613739/items/5GGUP5X5"],"itemData":{"id":17881,"type":"article","abstract":"Sustained attention fluctuates continuously between periods of low and high attentional engagement. Two major approaches have been used in the literature to capture these fluctuations. An objective approach, based on reaction time (RT) variability, identifies periods known as in-the-zone (stable and accurate) and out-of-the-zone (variable and error-prone). A subjective approach relies on participants’ self-reports regarding task-related and task-unrelated thoughts (TUTs). While both methods have proven effective in tracking attentional fluctuations, it remains unclear whether they capture the same type of fluctuations. In this study, we aimed to better characterize the subjective experience associated with objectively defined out-of-the-zone periods. Thirty participants completed a classic sustained attention task—the Continuous Performance Task (CPT)—in a go/no-go format. At several points during the task, participants were interrupted with subjective probes assessing their current mental state (task-focused, performance-focused, external distraction, daydreaming, and mind-blanking), as well as their perceived effort, opportunity cost, and arousal. Our results offer a nuanced view of the relationship between subjective and objective approaches. We found evidence for consistency: out-of-the-zone periods were more frequently associated with daydreaming than in-the-zone periods. However, inconsistencies also emerged. In-the-zone periods were marked by faster RTs, whereas subjective on-task periods were associated with slower responses. Arousal was reduced during TUT periods but did not differ between in- and out-of-the-zone periods. Together, these findings suggest that while RT variability reflects some aspects of subjective experience, subjective and objective approaches may diverge in how they capture performance dynamics and internal states such as arousal.","citation-key":"bertschiSubjectiveExperienceBeing2025","DOI":"10.31234/osf.io/fzqug_v1","number":"fzqug_v1","publisher":"PsyArXiv","source":"OSF Preprints","title":"The Subjective Experience of Being Out-of-the-Zone: Investigating Objective and Subjective Attention Fluctuations","title-short":"The Subjective Experience of Being Out-of-the-Zone","URL":"https://osf.io/preprints/psyarxiv/fzqug_v1/","author":[{"family":"Bertschi","given":"Samantha"},{"family":"Rosenberg","given":"Monica D"},{"family":"Vogel","given":"Edward K"},{"family":"Chidharom","given":"Matthieu"}],"accessed":{"date-parts":[["2026",5,6]]},"issued":{"date-parts":[["2025",8,18]]}},"suppress-author":true}],"schema":"https://github.com/citation-style-language/schema/raw/master/csl-citation.json"}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350CCCC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47196EC6" w14:textId="17809EB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35BB726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7320B66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196" w:type="pct"/>
            <w:tcBorders>
              <w:top w:val="nil"/>
              <w:left w:val="nil"/>
              <w:bottom w:val="nil"/>
              <w:right w:val="nil"/>
            </w:tcBorders>
            <w:noWrap/>
            <w:vAlign w:val="center"/>
            <w:hideMark/>
          </w:tcPr>
          <w:p w14:paraId="4902773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0.064</w:t>
            </w:r>
          </w:p>
        </w:tc>
        <w:tc>
          <w:tcPr>
            <w:tcW w:w="199" w:type="pct"/>
            <w:tcBorders>
              <w:top w:val="nil"/>
              <w:left w:val="nil"/>
              <w:bottom w:val="nil"/>
              <w:right w:val="nil"/>
            </w:tcBorders>
            <w:noWrap/>
            <w:vAlign w:val="center"/>
            <w:hideMark/>
          </w:tcPr>
          <w:p w14:paraId="7EA46519" w14:textId="3C55E8D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18" w:type="pct"/>
            <w:tcBorders>
              <w:top w:val="nil"/>
              <w:left w:val="nil"/>
              <w:bottom w:val="nil"/>
              <w:right w:val="nil"/>
            </w:tcBorders>
            <w:noWrap/>
            <w:vAlign w:val="center"/>
            <w:hideMark/>
          </w:tcPr>
          <w:p w14:paraId="03C7746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15C98B3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6FEF1AE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2E883F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CPT</w:t>
            </w:r>
          </w:p>
        </w:tc>
        <w:tc>
          <w:tcPr>
            <w:tcW w:w="244" w:type="pct"/>
            <w:tcBorders>
              <w:top w:val="nil"/>
              <w:left w:val="nil"/>
              <w:bottom w:val="nil"/>
              <w:right w:val="nil"/>
            </w:tcBorders>
            <w:noWrap/>
            <w:vAlign w:val="center"/>
            <w:hideMark/>
          </w:tcPr>
          <w:p w14:paraId="6D1B3F1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494F730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7FD879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2446E1A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4E4C8A6E" w14:textId="46D32EF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5B7BFF3" w14:textId="77777777" w:rsidTr="22DB2182">
        <w:trPr>
          <w:trHeight w:val="20"/>
        </w:trPr>
        <w:tc>
          <w:tcPr>
            <w:tcW w:w="456" w:type="pct"/>
            <w:tcBorders>
              <w:top w:val="nil"/>
              <w:left w:val="nil"/>
              <w:bottom w:val="nil"/>
              <w:right w:val="nil"/>
            </w:tcBorders>
            <w:noWrap/>
            <w:vAlign w:val="center"/>
            <w:hideMark/>
          </w:tcPr>
          <w:p w14:paraId="42321C39" w14:textId="3096630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Boulakis,</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{"citationID":"a1qro4ip6lv","properties":{"unsorted":false,"formattedCitation":"(2025)","plainCitation":"(2025)","noteIndex":0},"citationItems":[{"id":17569,"uris":["http://zotero.org/users/8613739/items/ALEP8YKX"],"itemData":{"id":17569,"type":"article","abstract":"Mind blanking (MB) is a mental state of seemingly no reportable thought content. The question of how we can entertain no thoughts while awake is challenging for the study of spontaneous thinking. By combining EEG-fMRI with experience sampling during task performance, we categorised changes in mental content and self-reported vigilance to map the neurophysiological signatures of MB. We demonstrate that fMRI connectivity around MB reports is characterised by a \"rich\" pattern of long and short-range signal anticorrelations. At the same time, sleepiness reports are linked to a \"simpler\" hyperconnected fMRI pattern, characterised by overall positive connectivity. Put together, an interaction appears: when people report being alert, connectomes around MB reports resemble the hyperconnected pattern, indicating that the neuronal correlates of MB depend on self-rated vigilance. The hyperconnected pattern also correlated with EEG slow wave activity, tying MB's topology to sleep-like electrophysiology during wakefulness. Collectively, we show that distinct cortical events underlie the shared phenomenology of a thought-free mind. We conclude that MB's neurophysiological correlates vary across perceived vigilance levels and that more refined characterisation of the neuronal correlates of thought-less mental states exist. Our findings build on the quest to bridge mental content and its absence with measurable brain activity and provide insights into how ongoing thinking is maintained during wakefulness.","citation-key":"boulakisDistinctCorticalProfiles2025","DOI":"10.1101/2025.10.14.681984","language":"en","license":"© 2025, Posted by Cold Spring Harbor Laboratory. This pre-print is available under a Creative Commons License (Attribution 4.0 International), CC BY 4.0, as described at http://creativecommons.org/licenses/by/4.0/","note":"ISSN: 2692-8205\npage: 2025.10.14.681984\nsection: New Results","publisher":"bioRxiv","source":"bioRxiv","title":"Distinct cortical profiles underlie the common reportability of thought-free experiences","URL":"https://www.biorxiv.org/content/10.1101/2025.10.14.681984v1","author":[{"family":"Boulakis","given":"Paradeisios Alexandros"},{"family":"Kusztor","given":"Anikó"},{"family":"Tsuchiya","given":"Naotsugu"},{"family":"Andrillon","given":"Thomas"},{"family":"Demertzi","given":"Athena"}],"accessed":{"date-parts":[["2025",10,15]]},"issued":{"date-parts":[["2025",10,15]]}},"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1771804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7853589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no</w:t>
            </w:r>
            <w:proofErr w:type="gramEnd"/>
            <w:r w:rsidRPr="22DB2182">
              <w:rPr>
                <w:rFonts w:ascii="Times New Roman" w:eastAsia="Times New Roman" w:hAnsi="Times New Roman" w:cs="Times New Roman"/>
                <w:color w:val="000000" w:themeColor="text1"/>
                <w:sz w:val="8"/>
                <w:szCs w:val="8"/>
                <w:lang w:val="fr-FR" w:eastAsia="en-US"/>
              </w:rPr>
              <w:t xml:space="preserve"> reportable content</w:t>
            </w:r>
          </w:p>
        </w:tc>
        <w:tc>
          <w:tcPr>
            <w:tcW w:w="679" w:type="pct"/>
            <w:tcBorders>
              <w:top w:val="nil"/>
              <w:left w:val="nil"/>
              <w:bottom w:val="nil"/>
              <w:right w:val="nil"/>
            </w:tcBorders>
            <w:noWrap/>
            <w:vAlign w:val="center"/>
            <w:hideMark/>
          </w:tcPr>
          <w:p w14:paraId="307AA48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not</w:t>
            </w:r>
            <w:proofErr w:type="gram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thinking</w:t>
            </w:r>
            <w:proofErr w:type="spellEnd"/>
            <w:r w:rsidRPr="22DB2182">
              <w:rPr>
                <w:rFonts w:ascii="Times New Roman" w:eastAsia="Times New Roman" w:hAnsi="Times New Roman" w:cs="Times New Roman"/>
                <w:color w:val="000000" w:themeColor="text1"/>
                <w:sz w:val="8"/>
                <w:szCs w:val="8"/>
                <w:lang w:val="fr-FR" w:eastAsia="en-US"/>
              </w:rPr>
              <w:t xml:space="preserve"> of </w:t>
            </w:r>
            <w:proofErr w:type="spellStart"/>
            <w:r w:rsidRPr="22DB2182">
              <w:rPr>
                <w:rFonts w:ascii="Times New Roman" w:eastAsia="Times New Roman" w:hAnsi="Times New Roman" w:cs="Times New Roman"/>
                <w:color w:val="000000" w:themeColor="text1"/>
                <w:sz w:val="8"/>
                <w:szCs w:val="8"/>
                <w:lang w:val="fr-FR" w:eastAsia="en-US"/>
              </w:rPr>
              <w:t>anything</w:t>
            </w:r>
            <w:proofErr w:type="spellEnd"/>
          </w:p>
        </w:tc>
        <w:tc>
          <w:tcPr>
            <w:tcW w:w="228" w:type="pct"/>
            <w:tcBorders>
              <w:top w:val="nil"/>
              <w:left w:val="nil"/>
              <w:bottom w:val="nil"/>
              <w:right w:val="nil"/>
            </w:tcBorders>
            <w:noWrap/>
            <w:vAlign w:val="center"/>
            <w:hideMark/>
          </w:tcPr>
          <w:p w14:paraId="6C06725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38</w:t>
            </w:r>
          </w:p>
        </w:tc>
        <w:tc>
          <w:tcPr>
            <w:tcW w:w="196" w:type="pct"/>
            <w:tcBorders>
              <w:top w:val="nil"/>
              <w:left w:val="nil"/>
              <w:bottom w:val="nil"/>
              <w:right w:val="nil"/>
            </w:tcBorders>
            <w:noWrap/>
            <w:vAlign w:val="center"/>
            <w:hideMark/>
          </w:tcPr>
          <w:p w14:paraId="4E5D15E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w:t>
            </w:r>
          </w:p>
        </w:tc>
        <w:tc>
          <w:tcPr>
            <w:tcW w:w="199" w:type="pct"/>
            <w:tcBorders>
              <w:top w:val="nil"/>
              <w:left w:val="nil"/>
              <w:bottom w:val="nil"/>
              <w:right w:val="nil"/>
            </w:tcBorders>
            <w:noWrap/>
            <w:vAlign w:val="center"/>
            <w:hideMark/>
          </w:tcPr>
          <w:p w14:paraId="641EE01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218" w:type="pct"/>
            <w:tcBorders>
              <w:top w:val="nil"/>
              <w:left w:val="nil"/>
              <w:bottom w:val="nil"/>
              <w:right w:val="nil"/>
            </w:tcBorders>
            <w:noWrap/>
            <w:vAlign w:val="center"/>
            <w:hideMark/>
          </w:tcPr>
          <w:p w14:paraId="0F86C42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401F7C5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50</w:t>
            </w:r>
          </w:p>
        </w:tc>
        <w:tc>
          <w:tcPr>
            <w:tcW w:w="207" w:type="pct"/>
            <w:tcBorders>
              <w:top w:val="nil"/>
              <w:left w:val="nil"/>
              <w:bottom w:val="nil"/>
              <w:right w:val="nil"/>
            </w:tcBorders>
            <w:noWrap/>
            <w:vAlign w:val="center"/>
            <w:hideMark/>
          </w:tcPr>
          <w:p w14:paraId="12F2A2C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015A649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03D28BB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F47AE0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BECE64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A4AD2D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7387398D" w14:textId="2EBD9AE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C84759D" w14:textId="77777777" w:rsidTr="22DB2182">
        <w:trPr>
          <w:trHeight w:val="20"/>
        </w:trPr>
        <w:tc>
          <w:tcPr>
            <w:tcW w:w="456" w:type="pct"/>
            <w:tcBorders>
              <w:top w:val="nil"/>
              <w:left w:val="nil"/>
              <w:bottom w:val="nil"/>
              <w:right w:val="nil"/>
            </w:tcBorders>
            <w:noWrap/>
            <w:vAlign w:val="center"/>
            <w:hideMark/>
          </w:tcPr>
          <w:p w14:paraId="154B8C25" w14:textId="0964C08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Boulakis,</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{"citationID":"a1b8s1qfk27","properties":{"unsorted":false,"formattedCitation":"(2025)","plainCitation":"(2025)","noteIndex":0},"citationItems":[{"id":17715,"uris":["http://zotero.org/users/8613739/items/5A4PNAM3"],"itemData":{"id":17715,"type":"article-journal","abstract":"Mind blanking (MB) is the inability to report mental events during unconstraint thinking. Previous work shows that MB is linked to decreased levels of cortical arousal, indicating dominance of cerebral mechanisms when reporting mental states. What remains inconclusive is whether MB can also ensue from autonomic arousal manipulations, pointing to the implication of peripheral physiology to mental events. Using experience sampling, neural, and physiological measurements in 26 participants, we first show that MB was reported more frequently in low arousal conditions, elicited by sleep deprivation. Also, there was partial evidence for a higher occurence of MB reports in high arousal conditions, elicited by intense physical exercise. Transition probabilities revealed that, after sleep deprivation, mind wandering was more likely to be followed by MB and less likely to be followed by more mind wandering reports. Using classification schemes, we found higher performance of a balanced random forest classifier trained on both neural and physiological markers in comparison to performance when solely neural or physiological were used. Collectively, we show that both cortical and autonomic arousal affect MB report occurrences. Our results establish that MB is supported by combined brain-body configurations, and, by linking mental and physiological states, they pave the way for novel embodied accounts of spontaneous thinking.","citation-key":"boulakisVariationsAutonomicArousal2025","container-title":"Scientific Reports","DOI":"10.1038/s41598-024-81618-1","ISSN":"2045-2322","issue":"1","journalAbbreviation":"Sci Rep","language":"en","license":"2025 The Author(s)","page":"4956","publisher":"Nature Publishing Group","source":"www.nature.com","title":"Variations of autonomic arousal mediate the reportability of mind blanking occurrences","volume":"15","author":[{"family":"Boulakis","given":"Paradeisios Alexandros"},{"family":"Simos","given":"Nicholas John"},{"family":"Zoi","given":"Stefania"},{"family":"Mortaheb","given":"Sepehr"},{"family":"Schmidt","given":"Christina"},{"family":"Raimondo","given":"Federico"},{"family":"Demertzi","given":"Athena"}],"issued":{"date-parts":[["2025",2,10]]}},"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0E4C2A2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1AF900C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thinking</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of </w:t>
            </w:r>
            <w:proofErr w:type="spellStart"/>
            <w:r w:rsidRPr="22DB2182">
              <w:rPr>
                <w:rFonts w:ascii="Times New Roman" w:eastAsia="Times New Roman" w:hAnsi="Times New Roman" w:cs="Times New Roman"/>
                <w:color w:val="000000" w:themeColor="text1"/>
                <w:sz w:val="8"/>
                <w:szCs w:val="8"/>
                <w:lang w:val="fr-FR" w:eastAsia="en-US"/>
              </w:rPr>
              <w:t>nothing</w:t>
            </w:r>
            <w:proofErr w:type="spellEnd"/>
          </w:p>
        </w:tc>
        <w:tc>
          <w:tcPr>
            <w:tcW w:w="679" w:type="pct"/>
            <w:tcBorders>
              <w:top w:val="nil"/>
              <w:left w:val="nil"/>
              <w:bottom w:val="nil"/>
              <w:right w:val="nil"/>
            </w:tcBorders>
            <w:noWrap/>
            <w:vAlign w:val="center"/>
            <w:hideMark/>
          </w:tcPr>
          <w:p w14:paraId="5DA0263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thinking</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of </w:t>
            </w:r>
            <w:proofErr w:type="spellStart"/>
            <w:r w:rsidRPr="22DB2182">
              <w:rPr>
                <w:rFonts w:ascii="Times New Roman" w:eastAsia="Times New Roman" w:hAnsi="Times New Roman" w:cs="Times New Roman"/>
                <w:color w:val="000000" w:themeColor="text1"/>
                <w:sz w:val="8"/>
                <w:szCs w:val="8"/>
                <w:lang w:val="fr-FR" w:eastAsia="en-US"/>
              </w:rPr>
              <w:t>nothing</w:t>
            </w:r>
            <w:proofErr w:type="spellEnd"/>
          </w:p>
        </w:tc>
        <w:tc>
          <w:tcPr>
            <w:tcW w:w="228" w:type="pct"/>
            <w:tcBorders>
              <w:top w:val="nil"/>
              <w:left w:val="nil"/>
              <w:bottom w:val="nil"/>
              <w:right w:val="nil"/>
            </w:tcBorders>
            <w:noWrap/>
            <w:vAlign w:val="center"/>
            <w:hideMark/>
          </w:tcPr>
          <w:p w14:paraId="63E5F35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26</w:t>
            </w:r>
          </w:p>
        </w:tc>
        <w:tc>
          <w:tcPr>
            <w:tcW w:w="196" w:type="pct"/>
            <w:tcBorders>
              <w:top w:val="nil"/>
              <w:left w:val="nil"/>
              <w:bottom w:val="nil"/>
              <w:right w:val="nil"/>
            </w:tcBorders>
            <w:noWrap/>
            <w:vAlign w:val="center"/>
            <w:hideMark/>
          </w:tcPr>
          <w:p w14:paraId="07B59D7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0.2</w:t>
            </w:r>
          </w:p>
        </w:tc>
        <w:tc>
          <w:tcPr>
            <w:tcW w:w="199" w:type="pct"/>
            <w:tcBorders>
              <w:top w:val="nil"/>
              <w:left w:val="nil"/>
              <w:bottom w:val="nil"/>
              <w:right w:val="nil"/>
            </w:tcBorders>
            <w:noWrap/>
            <w:vAlign w:val="center"/>
            <w:hideMark/>
          </w:tcPr>
          <w:p w14:paraId="5D66829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218" w:type="pct"/>
            <w:tcBorders>
              <w:top w:val="nil"/>
              <w:left w:val="nil"/>
              <w:bottom w:val="nil"/>
              <w:right w:val="nil"/>
            </w:tcBorders>
            <w:noWrap/>
            <w:vAlign w:val="center"/>
            <w:hideMark/>
          </w:tcPr>
          <w:p w14:paraId="40ABF88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206B071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80</w:t>
            </w:r>
          </w:p>
        </w:tc>
        <w:tc>
          <w:tcPr>
            <w:tcW w:w="207" w:type="pct"/>
            <w:tcBorders>
              <w:top w:val="nil"/>
              <w:left w:val="nil"/>
              <w:bottom w:val="nil"/>
              <w:right w:val="nil"/>
            </w:tcBorders>
            <w:noWrap/>
            <w:vAlign w:val="center"/>
            <w:hideMark/>
          </w:tcPr>
          <w:p w14:paraId="44FB332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rest</w:t>
            </w:r>
            <w:proofErr w:type="spellEnd"/>
            <w:proofErr w:type="gramEnd"/>
          </w:p>
        </w:tc>
        <w:tc>
          <w:tcPr>
            <w:tcW w:w="430" w:type="pct"/>
            <w:tcBorders>
              <w:top w:val="nil"/>
              <w:left w:val="nil"/>
              <w:bottom w:val="nil"/>
              <w:right w:val="nil"/>
            </w:tcBorders>
            <w:noWrap/>
            <w:vAlign w:val="center"/>
            <w:hideMark/>
          </w:tcPr>
          <w:p w14:paraId="73E725E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Rest</w:t>
            </w:r>
            <w:proofErr w:type="spellEnd"/>
          </w:p>
        </w:tc>
        <w:tc>
          <w:tcPr>
            <w:tcW w:w="244" w:type="pct"/>
            <w:tcBorders>
              <w:top w:val="nil"/>
              <w:left w:val="nil"/>
              <w:bottom w:val="nil"/>
              <w:right w:val="nil"/>
            </w:tcBorders>
            <w:noWrap/>
            <w:vAlign w:val="center"/>
            <w:hideMark/>
          </w:tcPr>
          <w:p w14:paraId="05A6FA79" w14:textId="3AECCD0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71E3B3B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77289C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01CCC3F" w14:textId="3C2A5755"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sleep</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deprivation</w:t>
            </w:r>
            <w:proofErr w:type="spellEnd"/>
          </w:p>
        </w:tc>
        <w:tc>
          <w:tcPr>
            <w:tcW w:w="246" w:type="pct"/>
            <w:tcBorders>
              <w:top w:val="nil"/>
              <w:left w:val="nil"/>
              <w:bottom w:val="nil"/>
              <w:right w:val="nil"/>
            </w:tcBorders>
            <w:noWrap/>
            <w:vAlign w:val="center"/>
            <w:hideMark/>
          </w:tcPr>
          <w:p w14:paraId="3BD459C4" w14:textId="2982BDC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C976F26" w14:textId="77777777" w:rsidTr="22DB2182">
        <w:trPr>
          <w:trHeight w:val="20"/>
        </w:trPr>
        <w:tc>
          <w:tcPr>
            <w:tcW w:w="456" w:type="pct"/>
            <w:tcBorders>
              <w:top w:val="nil"/>
              <w:left w:val="nil"/>
              <w:bottom w:val="nil"/>
              <w:right w:val="nil"/>
            </w:tcBorders>
            <w:noWrap/>
            <w:vAlign w:val="center"/>
            <w:hideMark/>
          </w:tcPr>
          <w:p w14:paraId="60A0F7D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A505A2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179F77B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BC0706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00A455B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26</w:t>
            </w:r>
          </w:p>
        </w:tc>
        <w:tc>
          <w:tcPr>
            <w:tcW w:w="196" w:type="pct"/>
            <w:tcBorders>
              <w:top w:val="nil"/>
              <w:left w:val="nil"/>
              <w:bottom w:val="nil"/>
              <w:right w:val="nil"/>
            </w:tcBorders>
            <w:noWrap/>
            <w:vAlign w:val="center"/>
            <w:hideMark/>
          </w:tcPr>
          <w:p w14:paraId="3B7824F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0.106</w:t>
            </w:r>
          </w:p>
        </w:tc>
        <w:tc>
          <w:tcPr>
            <w:tcW w:w="199" w:type="pct"/>
            <w:tcBorders>
              <w:top w:val="nil"/>
              <w:left w:val="nil"/>
              <w:bottom w:val="nil"/>
              <w:right w:val="nil"/>
            </w:tcBorders>
            <w:noWrap/>
            <w:vAlign w:val="center"/>
            <w:hideMark/>
          </w:tcPr>
          <w:p w14:paraId="0B2F046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218" w:type="pct"/>
            <w:tcBorders>
              <w:top w:val="nil"/>
              <w:left w:val="nil"/>
              <w:bottom w:val="nil"/>
              <w:right w:val="nil"/>
            </w:tcBorders>
            <w:noWrap/>
            <w:vAlign w:val="center"/>
            <w:hideMark/>
          </w:tcPr>
          <w:p w14:paraId="25C7CAB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7CB8A14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80</w:t>
            </w:r>
          </w:p>
        </w:tc>
        <w:tc>
          <w:tcPr>
            <w:tcW w:w="207" w:type="pct"/>
            <w:tcBorders>
              <w:top w:val="nil"/>
              <w:left w:val="nil"/>
              <w:bottom w:val="nil"/>
              <w:right w:val="nil"/>
            </w:tcBorders>
            <w:noWrap/>
            <w:vAlign w:val="center"/>
            <w:hideMark/>
          </w:tcPr>
          <w:p w14:paraId="520FEF9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rest</w:t>
            </w:r>
            <w:proofErr w:type="spellEnd"/>
            <w:proofErr w:type="gramEnd"/>
          </w:p>
        </w:tc>
        <w:tc>
          <w:tcPr>
            <w:tcW w:w="430" w:type="pct"/>
            <w:tcBorders>
              <w:top w:val="nil"/>
              <w:left w:val="nil"/>
              <w:bottom w:val="nil"/>
              <w:right w:val="nil"/>
            </w:tcBorders>
            <w:noWrap/>
            <w:vAlign w:val="center"/>
            <w:hideMark/>
          </w:tcPr>
          <w:p w14:paraId="48685D8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Rest</w:t>
            </w:r>
            <w:proofErr w:type="spellEnd"/>
          </w:p>
        </w:tc>
        <w:tc>
          <w:tcPr>
            <w:tcW w:w="244" w:type="pct"/>
            <w:tcBorders>
              <w:top w:val="nil"/>
              <w:left w:val="nil"/>
              <w:bottom w:val="nil"/>
              <w:right w:val="nil"/>
            </w:tcBorders>
            <w:noWrap/>
            <w:vAlign w:val="center"/>
            <w:hideMark/>
          </w:tcPr>
          <w:p w14:paraId="66D92224" w14:textId="17B7E15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32FFA2F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41B6FB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7B9989BB" w14:textId="2BDDF071"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post</w:t>
            </w:r>
            <w:proofErr w:type="gram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exercise</w:t>
            </w:r>
            <w:proofErr w:type="spellEnd"/>
          </w:p>
        </w:tc>
        <w:tc>
          <w:tcPr>
            <w:tcW w:w="246" w:type="pct"/>
            <w:tcBorders>
              <w:top w:val="nil"/>
              <w:left w:val="nil"/>
              <w:bottom w:val="nil"/>
              <w:right w:val="nil"/>
            </w:tcBorders>
            <w:noWrap/>
            <w:vAlign w:val="center"/>
            <w:hideMark/>
          </w:tcPr>
          <w:p w14:paraId="4C45CB5C" w14:textId="044BF90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CC01AEA" w14:textId="77777777" w:rsidTr="22DB2182">
        <w:trPr>
          <w:trHeight w:val="20"/>
        </w:trPr>
        <w:tc>
          <w:tcPr>
            <w:tcW w:w="456" w:type="pct"/>
            <w:tcBorders>
              <w:top w:val="nil"/>
              <w:left w:val="nil"/>
              <w:bottom w:val="nil"/>
              <w:right w:val="nil"/>
            </w:tcBorders>
            <w:noWrap/>
            <w:vAlign w:val="center"/>
            <w:hideMark/>
          </w:tcPr>
          <w:p w14:paraId="488FDFC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52884FA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1c</w:t>
            </w:r>
          </w:p>
        </w:tc>
        <w:tc>
          <w:tcPr>
            <w:tcW w:w="585" w:type="pct"/>
            <w:tcBorders>
              <w:top w:val="nil"/>
              <w:left w:val="nil"/>
              <w:bottom w:val="nil"/>
              <w:right w:val="nil"/>
            </w:tcBorders>
            <w:noWrap/>
            <w:vAlign w:val="center"/>
            <w:hideMark/>
          </w:tcPr>
          <w:p w14:paraId="526561C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6652FD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42EA14F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26</w:t>
            </w:r>
          </w:p>
        </w:tc>
        <w:tc>
          <w:tcPr>
            <w:tcW w:w="196" w:type="pct"/>
            <w:tcBorders>
              <w:top w:val="nil"/>
              <w:left w:val="nil"/>
              <w:bottom w:val="nil"/>
              <w:right w:val="nil"/>
            </w:tcBorders>
            <w:noWrap/>
            <w:vAlign w:val="center"/>
            <w:hideMark/>
          </w:tcPr>
          <w:p w14:paraId="29322B5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0.124</w:t>
            </w:r>
          </w:p>
        </w:tc>
        <w:tc>
          <w:tcPr>
            <w:tcW w:w="199" w:type="pct"/>
            <w:tcBorders>
              <w:top w:val="nil"/>
              <w:left w:val="nil"/>
              <w:bottom w:val="nil"/>
              <w:right w:val="nil"/>
            </w:tcBorders>
            <w:noWrap/>
            <w:vAlign w:val="center"/>
            <w:hideMark/>
          </w:tcPr>
          <w:p w14:paraId="04B618A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218" w:type="pct"/>
            <w:tcBorders>
              <w:top w:val="nil"/>
              <w:left w:val="nil"/>
              <w:bottom w:val="nil"/>
              <w:right w:val="nil"/>
            </w:tcBorders>
            <w:noWrap/>
            <w:vAlign w:val="center"/>
            <w:hideMark/>
          </w:tcPr>
          <w:p w14:paraId="58DD7DC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442F792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80</w:t>
            </w:r>
          </w:p>
        </w:tc>
        <w:tc>
          <w:tcPr>
            <w:tcW w:w="207" w:type="pct"/>
            <w:tcBorders>
              <w:top w:val="nil"/>
              <w:left w:val="nil"/>
              <w:bottom w:val="nil"/>
              <w:right w:val="nil"/>
            </w:tcBorders>
            <w:noWrap/>
            <w:vAlign w:val="center"/>
            <w:hideMark/>
          </w:tcPr>
          <w:p w14:paraId="6C47FE5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rest</w:t>
            </w:r>
            <w:proofErr w:type="spellEnd"/>
            <w:proofErr w:type="gramEnd"/>
          </w:p>
        </w:tc>
        <w:tc>
          <w:tcPr>
            <w:tcW w:w="430" w:type="pct"/>
            <w:tcBorders>
              <w:top w:val="nil"/>
              <w:left w:val="nil"/>
              <w:bottom w:val="nil"/>
              <w:right w:val="nil"/>
            </w:tcBorders>
            <w:noWrap/>
            <w:vAlign w:val="center"/>
            <w:hideMark/>
          </w:tcPr>
          <w:p w14:paraId="20F6729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Rest</w:t>
            </w:r>
            <w:proofErr w:type="spellEnd"/>
          </w:p>
        </w:tc>
        <w:tc>
          <w:tcPr>
            <w:tcW w:w="244" w:type="pct"/>
            <w:tcBorders>
              <w:top w:val="nil"/>
              <w:left w:val="nil"/>
              <w:bottom w:val="nil"/>
              <w:right w:val="nil"/>
            </w:tcBorders>
            <w:noWrap/>
            <w:vAlign w:val="center"/>
            <w:hideMark/>
          </w:tcPr>
          <w:p w14:paraId="299773F6" w14:textId="719E67F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32485B1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CDA659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177C6C5" w14:textId="6508A0A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B112B89" w14:textId="170788E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AC11074" w14:textId="77777777" w:rsidTr="22DB2182">
        <w:trPr>
          <w:trHeight w:val="20"/>
        </w:trPr>
        <w:tc>
          <w:tcPr>
            <w:tcW w:w="456" w:type="pct"/>
            <w:tcBorders>
              <w:top w:val="nil"/>
              <w:left w:val="nil"/>
              <w:bottom w:val="nil"/>
              <w:right w:val="nil"/>
            </w:tcBorders>
            <w:noWrap/>
            <w:vAlign w:val="center"/>
            <w:hideMark/>
          </w:tcPr>
          <w:p w14:paraId="40D5307D" w14:textId="4FA8884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Burdett,</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lfhi424ul","properties":{"unsorted":false,"formattedCitation":"(2018)","plainCitation":"(2018)","noteIndex":0},"citationItems":[{"id":16246,"uris":["http://zotero.org/groups/6160358/items/EE7DXMU4"],"itemData":{"id":16246,"type":"article-journal","abstract":"•We sampled eleven drivers’ thoughts as they drove between home and work.•Thoughts were categorised as driving or not, and triggered by the senses or not.•Participants reported mind wandering on 63% of thought samples.•Drivers were thinking about nothing in particular on 18% of samples. The aim of this study was to explore how frequently drivers report mind wandering during their daily commute, and to learn more about how conscious and unconscious processes combine during everyday driving. We recorded 587 thought samples across 110 drives by eleven female participants aged between 28 and 48 years who regularly drive between home and work. Using a probe-catch descriptive experience sampling procedure, thought samples were captured and categorised according to whether they were driving-related or not, and according to their trigger (sensory vs internal). We found that drivers on the daily commute reported mind wandering on 63% of reports, and were actively focused on the driving task for between 15% and 20% of samples. For the remaining one fifth of thought samples, drivers were not actively thinking about anything in particular. Over half of drivers’ mind wandering reports were related to things they saw or heard, suggesting that although they are not directly focused on driving all of the time, they frequently and habitually scan the road and roadside environment. When momentary driving task demands do not command attention, drivers’ minds wander towards personal current concerns. Mind wandering is often triggered by what drivers see or hear. These findings suggest that in familiar, undemanding situations, drivers are more likely to be found mind wandering than focusing on driving, however mind wandering is swiftly interrupted when driving task demands command effortful attention. The results have implications for research into mind wandering, implying that a baseline of sustained task focus is not the norm when driving the daily commute. Researchers and policy-makers ought to consider how to design road and traffic systems that align with drivers’ unconscious expectations.","citation-key":"burdettCommutingDriversWandering2018a","container-title":"Transportation research. Part F, Traffic psychology and behaviour","ISSN":"1369-8478","language":"eng","license":"2017 Elsevier Ltd","page":"59–74","title":"Inside the commuting driver’s wandering mind","volume":"57","author":[{"family":"Burdett","given":"Bridget R.D."},{"family":"Charlton","given":"Samuel G."},{"family":"Starkey","given":"Nicola J."}],"issued":{"date-parts":[["2018",8]]}},"suppress-author":true}],"schema":"https://github.com/citation-style-language/schema/raw/master/csl-citation.json"}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(2018)</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4DB20F1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42F8C8FB" w14:textId="171C9B4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D431BCD" w14:textId="3F7EC37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28" w:type="pct"/>
            <w:tcBorders>
              <w:top w:val="nil"/>
              <w:left w:val="nil"/>
              <w:bottom w:val="nil"/>
              <w:right w:val="nil"/>
            </w:tcBorders>
            <w:noWrap/>
            <w:vAlign w:val="center"/>
            <w:hideMark/>
          </w:tcPr>
          <w:p w14:paraId="728E606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11</w:t>
            </w:r>
          </w:p>
        </w:tc>
        <w:tc>
          <w:tcPr>
            <w:tcW w:w="196" w:type="pct"/>
            <w:tcBorders>
              <w:top w:val="nil"/>
              <w:left w:val="nil"/>
              <w:bottom w:val="nil"/>
              <w:right w:val="nil"/>
            </w:tcBorders>
            <w:noWrap/>
            <w:vAlign w:val="center"/>
            <w:hideMark/>
          </w:tcPr>
          <w:p w14:paraId="5B158D4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0.18</w:t>
            </w:r>
          </w:p>
        </w:tc>
        <w:tc>
          <w:tcPr>
            <w:tcW w:w="199" w:type="pct"/>
            <w:tcBorders>
              <w:top w:val="nil"/>
              <w:left w:val="nil"/>
              <w:bottom w:val="nil"/>
              <w:right w:val="nil"/>
            </w:tcBorders>
            <w:noWrap/>
            <w:vAlign w:val="center"/>
            <w:hideMark/>
          </w:tcPr>
          <w:p w14:paraId="64DA0E2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52</w:t>
            </w:r>
          </w:p>
        </w:tc>
        <w:tc>
          <w:tcPr>
            <w:tcW w:w="218" w:type="pct"/>
            <w:tcBorders>
              <w:top w:val="nil"/>
              <w:left w:val="nil"/>
              <w:bottom w:val="nil"/>
              <w:right w:val="nil"/>
            </w:tcBorders>
            <w:noWrap/>
            <w:vAlign w:val="center"/>
            <w:hideMark/>
          </w:tcPr>
          <w:p w14:paraId="1C5D9F79" w14:textId="7D1CCA8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327" w:type="pct"/>
            <w:tcBorders>
              <w:top w:val="nil"/>
              <w:left w:val="nil"/>
              <w:bottom w:val="nil"/>
              <w:right w:val="nil"/>
            </w:tcBorders>
            <w:noWrap/>
            <w:vAlign w:val="center"/>
            <w:hideMark/>
          </w:tcPr>
          <w:p w14:paraId="4EBBAC5D" w14:textId="549255E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10D0499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ecological</w:t>
            </w:r>
            <w:proofErr w:type="spellEnd"/>
            <w:proofErr w:type="gramEnd"/>
          </w:p>
        </w:tc>
        <w:tc>
          <w:tcPr>
            <w:tcW w:w="430" w:type="pct"/>
            <w:tcBorders>
              <w:top w:val="nil"/>
              <w:left w:val="nil"/>
              <w:bottom w:val="nil"/>
              <w:right w:val="nil"/>
            </w:tcBorders>
            <w:noWrap/>
            <w:vAlign w:val="center"/>
            <w:hideMark/>
          </w:tcPr>
          <w:p w14:paraId="21A435F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Ecological</w:t>
            </w:r>
            <w:proofErr w:type="spellEnd"/>
          </w:p>
        </w:tc>
        <w:tc>
          <w:tcPr>
            <w:tcW w:w="244" w:type="pct"/>
            <w:tcBorders>
              <w:top w:val="nil"/>
              <w:left w:val="nil"/>
              <w:bottom w:val="nil"/>
              <w:right w:val="nil"/>
            </w:tcBorders>
            <w:noWrap/>
            <w:vAlign w:val="center"/>
            <w:hideMark/>
          </w:tcPr>
          <w:p w14:paraId="33B643B4" w14:textId="0CF6C6C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7250327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9AD1CE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139C42C" w14:textId="72339E4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0279D0F" w14:textId="414CAEB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F461596" w14:textId="77777777" w:rsidTr="22DB2182">
        <w:trPr>
          <w:trHeight w:val="20"/>
        </w:trPr>
        <w:tc>
          <w:tcPr>
            <w:tcW w:w="456" w:type="pct"/>
            <w:tcBorders>
              <w:top w:val="nil"/>
              <w:left w:val="nil"/>
              <w:bottom w:val="nil"/>
              <w:right w:val="nil"/>
            </w:tcBorders>
            <w:noWrap/>
            <w:vAlign w:val="center"/>
            <w:hideMark/>
          </w:tcPr>
          <w:p w14:paraId="5BA12155" w14:textId="6B3CB29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Corcoran,</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18g9mqgejl","properties":{"unsorted":false,"formattedCitation":"(2025)","plainCitation":"(2025)","noteIndex":0},"citationItems":[{"id":17735,"uris":["http://zotero.org/users/8613739/items/VI2WSF4X"],"itemData":{"id":17735,"type":"article-journal","abstract":"Neuroscience is beginning to uncover the role of interoceptive feedback in perception, learning, and decision-making; however, the relation between spontaneous visceral and cognitive dynamics has received surprisingly little scrutiny. Here, we investigate how subjective, physiological, and behavioural indicators of arousal and attentional state vary in relation to ongoing cardiac activity and brain-heart coupling. Electroencephalogram, electrocardiogram, and pupillometric records were obtained from 65 adults during the performance of a sustained attention to response task (SART). Thought probes were intermittently administered during the SART to collect subjective reports of attentional state (on-task, mind-wandering, mind-blanking) and vigilance level (alertness vs. sleepiness). Mind-wandering and mind-blanking reports increased in frequency with time-on-task and were accompanied by decreases in alertness and pupil-linked arousal, but evinced distinct psychophysiological and behavioural profiles: While mind-wandering was associated with greater heart-rate variability and late modulation of the heartbeat-evoked potential, mind-blanking was characterised by more profound decreases in heart-rate, pupil size, and brain-heart coupling. Lower heart-rate predicted decreased vigilance and pupil size, in addition to slower, less-biased responses; increased heart-rate variability predicted more impulsive behaviour and pupil dilation. Together, these findings reveal that cardiac parameters and brain-heart connectivity measures afford complementary information about arousal states and attentional dynamics during task performance.","citation-key":"corcoranWhenYourHeart2025","container-title":"Communications Biology","DOI":"10.1038/s42003-025-09026-3","ISSN":"2399-3642","issue":"1","journalAbbreviation":"Commun Biol","language":"en","license":"2025 The Author(s)","page":"1646","publisher":"Nature Publishing Group","source":"www.nature.com","title":"When your heart isn’t in it anymore: cardiac correlates of task disengagement","title-short":"When your heart isn’t in it anymore","volume":"8","author":[{"family":"Corcoran","given":"Andrew W."},{"family":"Le Coz","given":"Arthur"},{"family":"Hohwy","given":"Jakob"},{"family":"Andrillon","given":"Thomas"}],"issued":{"date-parts":[["2025",11,24]]}},"suppress-author":true}],"schema":"https://github.com/citation-style-language/schema/raw/master/csl-citation.json"}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4F88A8F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48C826C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absence</w:t>
            </w:r>
            <w:proofErr w:type="gramEnd"/>
            <w:r w:rsidRPr="22DB2182">
              <w:rPr>
                <w:rFonts w:ascii="Times New Roman" w:eastAsia="Times New Roman" w:hAnsi="Times New Roman" w:cs="Times New Roman"/>
                <w:color w:val="000000" w:themeColor="text1"/>
                <w:sz w:val="8"/>
                <w:szCs w:val="8"/>
                <w:lang w:val="fr-FR" w:eastAsia="en-US"/>
              </w:rPr>
              <w:t xml:space="preserve"> of </w:t>
            </w:r>
            <w:proofErr w:type="spellStart"/>
            <w:r w:rsidRPr="22DB2182">
              <w:rPr>
                <w:rFonts w:ascii="Times New Roman" w:eastAsia="Times New Roman" w:hAnsi="Times New Roman" w:cs="Times New Roman"/>
                <w:color w:val="000000" w:themeColor="text1"/>
                <w:sz w:val="8"/>
                <w:szCs w:val="8"/>
                <w:lang w:val="fr-FR" w:eastAsia="en-US"/>
              </w:rPr>
              <w:t>thought</w:t>
            </w:r>
            <w:proofErr w:type="spellEnd"/>
          </w:p>
        </w:tc>
        <w:tc>
          <w:tcPr>
            <w:tcW w:w="679" w:type="pct"/>
            <w:tcBorders>
              <w:top w:val="nil"/>
              <w:left w:val="nil"/>
              <w:bottom w:val="nil"/>
              <w:right w:val="nil"/>
            </w:tcBorders>
            <w:noWrap/>
            <w:vAlign w:val="center"/>
            <w:hideMark/>
          </w:tcPr>
          <w:p w14:paraId="211B28A0"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focusing on nothing</w:t>
            </w:r>
          </w:p>
          <w:p w14:paraId="4184D94B" w14:textId="180C0B53"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r w:rsidRPr="22DB2182">
              <w:rPr>
                <w:rFonts w:ascii="Times New Roman" w:eastAsia="Times New Roman" w:hAnsi="Times New Roman" w:cs="Times New Roman"/>
                <w:color w:val="000000" w:themeColor="text1"/>
                <w:sz w:val="8"/>
                <w:szCs w:val="8"/>
                <w:lang w:eastAsia="en-US"/>
              </w:rPr>
              <w:t>don’t remember</w:t>
            </w:r>
          </w:p>
        </w:tc>
        <w:tc>
          <w:tcPr>
            <w:tcW w:w="228" w:type="pct"/>
            <w:tcBorders>
              <w:top w:val="nil"/>
              <w:left w:val="nil"/>
              <w:bottom w:val="nil"/>
              <w:right w:val="nil"/>
            </w:tcBorders>
            <w:noWrap/>
            <w:vAlign w:val="center"/>
            <w:hideMark/>
          </w:tcPr>
          <w:p w14:paraId="2090D7C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196" w:type="pct"/>
            <w:tcBorders>
              <w:top w:val="nil"/>
              <w:left w:val="nil"/>
              <w:bottom w:val="nil"/>
              <w:right w:val="nil"/>
            </w:tcBorders>
            <w:noWrap/>
            <w:vAlign w:val="center"/>
            <w:hideMark/>
          </w:tcPr>
          <w:p w14:paraId="6FB2DCB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0.139</w:t>
            </w:r>
          </w:p>
        </w:tc>
        <w:tc>
          <w:tcPr>
            <w:tcW w:w="199" w:type="pct"/>
            <w:tcBorders>
              <w:top w:val="nil"/>
              <w:left w:val="nil"/>
              <w:bottom w:val="nil"/>
              <w:right w:val="nil"/>
            </w:tcBorders>
            <w:noWrap/>
            <w:vAlign w:val="center"/>
            <w:hideMark/>
          </w:tcPr>
          <w:p w14:paraId="3BCA0FC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51CC213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1F23A96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40.5</w:t>
            </w:r>
          </w:p>
        </w:tc>
        <w:tc>
          <w:tcPr>
            <w:tcW w:w="207" w:type="pct"/>
            <w:tcBorders>
              <w:top w:val="nil"/>
              <w:left w:val="nil"/>
              <w:bottom w:val="nil"/>
              <w:right w:val="nil"/>
            </w:tcBorders>
            <w:noWrap/>
            <w:vAlign w:val="center"/>
            <w:hideMark/>
          </w:tcPr>
          <w:p w14:paraId="3626AD8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04DB2CF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6757F5C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47D10D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CFCB6E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601230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34AA2B26" w14:textId="35D6712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5097774" w14:textId="77777777" w:rsidTr="22DB2182">
        <w:trPr>
          <w:trHeight w:val="20"/>
        </w:trPr>
        <w:tc>
          <w:tcPr>
            <w:tcW w:w="456" w:type="pct"/>
            <w:tcBorders>
              <w:top w:val="nil"/>
              <w:left w:val="nil"/>
              <w:bottom w:val="nil"/>
              <w:right w:val="nil"/>
            </w:tcBorders>
            <w:noWrap/>
            <w:vAlign w:val="center"/>
            <w:hideMark/>
          </w:tcPr>
          <w:p w14:paraId="3EB711F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0389E3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671ACFB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A9F859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24D57B4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196" w:type="pct"/>
            <w:tcBorders>
              <w:top w:val="nil"/>
              <w:left w:val="nil"/>
              <w:bottom w:val="nil"/>
              <w:right w:val="nil"/>
            </w:tcBorders>
            <w:noWrap/>
            <w:vAlign w:val="center"/>
            <w:hideMark/>
          </w:tcPr>
          <w:p w14:paraId="2CE62E5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0.147</w:t>
            </w:r>
          </w:p>
        </w:tc>
        <w:tc>
          <w:tcPr>
            <w:tcW w:w="199" w:type="pct"/>
            <w:tcBorders>
              <w:top w:val="nil"/>
              <w:left w:val="nil"/>
              <w:bottom w:val="nil"/>
              <w:right w:val="nil"/>
            </w:tcBorders>
            <w:noWrap/>
            <w:vAlign w:val="center"/>
            <w:hideMark/>
          </w:tcPr>
          <w:p w14:paraId="158C0B7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38A0512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79565A9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r w:rsidRPr="0065213A">
              <w:rPr>
                <w:rFonts w:ascii="Times New Roman" w:eastAsia="Times New Roman" w:hAnsi="Times New Roman" w:cs="Times New Roman"/>
                <w:sz w:val="8"/>
                <w:szCs w:val="8"/>
              </w:rPr>
              <w:t>40.5</w:t>
            </w:r>
          </w:p>
        </w:tc>
        <w:tc>
          <w:tcPr>
            <w:tcW w:w="207" w:type="pct"/>
            <w:tcBorders>
              <w:top w:val="nil"/>
              <w:left w:val="nil"/>
              <w:bottom w:val="nil"/>
              <w:right w:val="nil"/>
            </w:tcBorders>
            <w:noWrap/>
            <w:vAlign w:val="center"/>
            <w:hideMark/>
          </w:tcPr>
          <w:p w14:paraId="00DD9A9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080369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61BB57B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B20B50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60CE04E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A9E8AF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0F456A3E" w14:textId="7EBEB4A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F31CEB2" w14:textId="77777777" w:rsidTr="22DB2182">
        <w:trPr>
          <w:trHeight w:val="20"/>
        </w:trPr>
        <w:tc>
          <w:tcPr>
            <w:tcW w:w="456" w:type="pct"/>
            <w:tcBorders>
              <w:top w:val="nil"/>
              <w:left w:val="nil"/>
              <w:bottom w:val="nil"/>
              <w:right w:val="nil"/>
            </w:tcBorders>
            <w:noWrap/>
            <w:vAlign w:val="center"/>
            <w:hideMark/>
          </w:tcPr>
          <w:p w14:paraId="0738A06B" w14:textId="261740C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Drevland,</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okjvgs57b","properties":{"unsorted":false,"formattedCitation":"(2025)","plainCitation":"(2025)","noteIndex":0},"citationItems":[{"id":16207,"uris":["http://zotero.org/groups/6160358/items/YXE7BHS4"],"itemData":{"id":16207,"type":"article-journal","abstract":"Background\nMind wandering (MW) involves an attentional drift away from an external task to internal thoughts and goals. In the last decade, a substantial number of studies have investigated the possibility of influencing MW using transcranial direct current stimulation (tDCS). One common target region of interest is the angular gyrus (AG), a core region of the default-mode network (DMN), which is believed to play a major role in the initiation and maintenance of MW episodes. However, the accumulated evidence suggests that tDCS may not be sufficiently strong to reliably affect MW propensity.\nHypothesis\nWe hypothesized that by using repetitive transcranial magnetic stimulation (rTMS) with continuous theta-burst stimulation (cTBS) protocol over the left AG would reduce MW during a demanding cognitive task.\nMethod\nWe applied cTBS over the left AG to interfere with MW propensity in healthy adults. In a triple-blind, crossover design, participants performed four blocks of the finger-tapping random-sequence generation task (FT-RSGT) with three interleaved bouts of real or sham cTBS.\nResults\nOur pre-registered statistical analysis found no support for our main hypotheses. However, in our secondary statistical analysis we found that real cTBS reduced both self-reported MW propensity and behavioural variability, an objective marker of MW, while maintaining comparable levels of executive task performance.","citation-key":"drevlandReducingMindWandering2025a","container-title":"Transcranial Magnetic Stimulation","page":"100181","title":"Reducing mind wandering using continuous theta burst stimulation","author":[{"family":"Drevland","given":"Ragnhild Nicolaisen"},{"family":"Aasen","given":"Steffen Rygg"},{"family":"Csifcsák","given":"Gábor"},{"family":"Mittner","given":"Matthias"}],"issued":{"date-parts":[["2025"]]}},"suppress-author":true}],"schema":"https://github.com/citation-style-language/schema/raw/master/csl-citation.json"}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226EE55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1361047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no</w:t>
            </w:r>
            <w:proofErr w:type="gramEnd"/>
            <w:r w:rsidRPr="22DB2182">
              <w:rPr>
                <w:rFonts w:ascii="Times New Roman" w:eastAsia="Times New Roman" w:hAnsi="Times New Roman" w:cs="Times New Roman"/>
                <w:color w:val="000000" w:themeColor="text1"/>
                <w:sz w:val="8"/>
                <w:szCs w:val="8"/>
                <w:lang w:val="fr-FR" w:eastAsia="en-US"/>
              </w:rPr>
              <w:t xml:space="preserve"> reportable content</w:t>
            </w:r>
          </w:p>
        </w:tc>
        <w:tc>
          <w:tcPr>
            <w:tcW w:w="679" w:type="pct"/>
            <w:tcBorders>
              <w:top w:val="nil"/>
              <w:left w:val="nil"/>
              <w:bottom w:val="nil"/>
              <w:right w:val="nil"/>
            </w:tcBorders>
            <w:noWrap/>
            <w:vAlign w:val="center"/>
            <w:hideMark/>
          </w:tcPr>
          <w:p w14:paraId="0BF5E6A3" w14:textId="7524AD2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28" w:type="pct"/>
            <w:tcBorders>
              <w:top w:val="nil"/>
              <w:left w:val="nil"/>
              <w:bottom w:val="nil"/>
              <w:right w:val="nil"/>
            </w:tcBorders>
            <w:noWrap/>
            <w:vAlign w:val="center"/>
            <w:hideMark/>
          </w:tcPr>
          <w:p w14:paraId="739DA9A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196" w:type="pct"/>
            <w:tcBorders>
              <w:top w:val="nil"/>
              <w:left w:val="nil"/>
              <w:bottom w:val="nil"/>
              <w:right w:val="nil"/>
            </w:tcBorders>
            <w:noWrap/>
            <w:vAlign w:val="center"/>
            <w:hideMark/>
          </w:tcPr>
          <w:p w14:paraId="0282F6A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0.314</w:t>
            </w:r>
          </w:p>
        </w:tc>
        <w:tc>
          <w:tcPr>
            <w:tcW w:w="199" w:type="pct"/>
            <w:tcBorders>
              <w:top w:val="nil"/>
              <w:left w:val="nil"/>
              <w:bottom w:val="nil"/>
              <w:right w:val="nil"/>
            </w:tcBorders>
            <w:noWrap/>
            <w:vAlign w:val="center"/>
            <w:hideMark/>
          </w:tcPr>
          <w:p w14:paraId="753CAC3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44</w:t>
            </w:r>
          </w:p>
        </w:tc>
        <w:tc>
          <w:tcPr>
            <w:tcW w:w="218" w:type="pct"/>
            <w:tcBorders>
              <w:top w:val="nil"/>
              <w:left w:val="nil"/>
              <w:bottom w:val="nil"/>
              <w:right w:val="nil"/>
            </w:tcBorders>
            <w:noWrap/>
            <w:vAlign w:val="center"/>
            <w:hideMark/>
          </w:tcPr>
          <w:p w14:paraId="33A8CF59" w14:textId="0481BDBE" w:rsidR="0065213A" w:rsidRPr="0065213A" w:rsidRDefault="00884F5F"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scale</w:t>
            </w:r>
            <w:proofErr w:type="spellEnd"/>
            <w:proofErr w:type="gramEnd"/>
          </w:p>
        </w:tc>
        <w:tc>
          <w:tcPr>
            <w:tcW w:w="327" w:type="pct"/>
            <w:tcBorders>
              <w:top w:val="nil"/>
              <w:left w:val="nil"/>
              <w:bottom w:val="nil"/>
              <w:right w:val="nil"/>
            </w:tcBorders>
            <w:noWrap/>
            <w:vAlign w:val="center"/>
            <w:hideMark/>
          </w:tcPr>
          <w:p w14:paraId="6E27477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44</w:t>
            </w:r>
          </w:p>
        </w:tc>
        <w:tc>
          <w:tcPr>
            <w:tcW w:w="207" w:type="pct"/>
            <w:tcBorders>
              <w:top w:val="nil"/>
              <w:left w:val="nil"/>
              <w:bottom w:val="nil"/>
              <w:right w:val="nil"/>
            </w:tcBorders>
            <w:noWrap/>
            <w:vAlign w:val="center"/>
            <w:hideMark/>
          </w:tcPr>
          <w:p w14:paraId="73ECD08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F07DAE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FT-RSGT</w:t>
            </w:r>
          </w:p>
        </w:tc>
        <w:tc>
          <w:tcPr>
            <w:tcW w:w="244" w:type="pct"/>
            <w:tcBorders>
              <w:top w:val="nil"/>
              <w:left w:val="nil"/>
              <w:bottom w:val="nil"/>
              <w:right w:val="nil"/>
            </w:tcBorders>
            <w:noWrap/>
            <w:vAlign w:val="center"/>
            <w:hideMark/>
          </w:tcPr>
          <w:p w14:paraId="4B64A08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E6E92F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308CB4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236A0EAC" w14:textId="1B13863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6C1ADB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proofErr w:type="spellStart"/>
            <w:r w:rsidRPr="22DB2182">
              <w:rPr>
                <w:rFonts w:ascii="Times New Roman" w:eastAsia="Times New Roman" w:hAnsi="Times New Roman" w:cs="Times New Roman"/>
                <w:color w:val="000000" w:themeColor="text1"/>
                <w:sz w:val="8"/>
                <w:szCs w:val="8"/>
                <w:lang w:eastAsia="en-US"/>
              </w:rPr>
              <w:t>rTMS</w:t>
            </w:r>
            <w:proofErr w:type="spellEnd"/>
            <w:r w:rsidRPr="22DB2182">
              <w:rPr>
                <w:rFonts w:ascii="Times New Roman" w:eastAsia="Times New Roman" w:hAnsi="Times New Roman" w:cs="Times New Roman"/>
                <w:color w:val="000000" w:themeColor="text1"/>
                <w:sz w:val="8"/>
                <w:szCs w:val="8"/>
                <w:lang w:eastAsia="en-US"/>
              </w:rPr>
              <w:t>-sham</w:t>
            </w:r>
          </w:p>
        </w:tc>
      </w:tr>
      <w:tr w:rsidR="0065213A" w:rsidRPr="0065213A" w14:paraId="443673B4" w14:textId="77777777" w:rsidTr="22DB2182">
        <w:trPr>
          <w:trHeight w:val="20"/>
        </w:trPr>
        <w:tc>
          <w:tcPr>
            <w:tcW w:w="456" w:type="pct"/>
            <w:tcBorders>
              <w:top w:val="nil"/>
              <w:left w:val="nil"/>
              <w:bottom w:val="nil"/>
              <w:right w:val="nil"/>
            </w:tcBorders>
            <w:noWrap/>
            <w:vAlign w:val="center"/>
            <w:hideMark/>
          </w:tcPr>
          <w:p w14:paraId="74D3699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6D879BE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0674CE1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A13858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9F73E5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196" w:type="pct"/>
            <w:tcBorders>
              <w:top w:val="nil"/>
              <w:left w:val="nil"/>
              <w:bottom w:val="nil"/>
              <w:right w:val="nil"/>
            </w:tcBorders>
            <w:noWrap/>
            <w:vAlign w:val="center"/>
            <w:hideMark/>
          </w:tcPr>
          <w:p w14:paraId="4D1FCB2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0.327</w:t>
            </w:r>
          </w:p>
        </w:tc>
        <w:tc>
          <w:tcPr>
            <w:tcW w:w="199" w:type="pct"/>
            <w:tcBorders>
              <w:top w:val="nil"/>
              <w:left w:val="nil"/>
              <w:bottom w:val="nil"/>
              <w:right w:val="nil"/>
            </w:tcBorders>
            <w:noWrap/>
            <w:vAlign w:val="center"/>
            <w:hideMark/>
          </w:tcPr>
          <w:p w14:paraId="57C1637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44</w:t>
            </w:r>
          </w:p>
        </w:tc>
        <w:tc>
          <w:tcPr>
            <w:tcW w:w="218" w:type="pct"/>
            <w:tcBorders>
              <w:top w:val="nil"/>
              <w:left w:val="nil"/>
              <w:bottom w:val="nil"/>
              <w:right w:val="nil"/>
            </w:tcBorders>
            <w:noWrap/>
            <w:vAlign w:val="center"/>
            <w:hideMark/>
          </w:tcPr>
          <w:p w14:paraId="3110E2CF" w14:textId="6CD7EC17" w:rsidR="0065213A" w:rsidRPr="0065213A" w:rsidRDefault="00884F5F"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scale</w:t>
            </w:r>
            <w:proofErr w:type="spellEnd"/>
            <w:proofErr w:type="gramEnd"/>
          </w:p>
        </w:tc>
        <w:tc>
          <w:tcPr>
            <w:tcW w:w="327" w:type="pct"/>
            <w:tcBorders>
              <w:top w:val="nil"/>
              <w:left w:val="nil"/>
              <w:bottom w:val="nil"/>
              <w:right w:val="nil"/>
            </w:tcBorders>
            <w:noWrap/>
            <w:vAlign w:val="center"/>
            <w:hideMark/>
          </w:tcPr>
          <w:p w14:paraId="6FD9E33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44</w:t>
            </w:r>
          </w:p>
        </w:tc>
        <w:tc>
          <w:tcPr>
            <w:tcW w:w="207" w:type="pct"/>
            <w:tcBorders>
              <w:top w:val="nil"/>
              <w:left w:val="nil"/>
              <w:bottom w:val="nil"/>
              <w:right w:val="nil"/>
            </w:tcBorders>
            <w:noWrap/>
            <w:vAlign w:val="center"/>
            <w:hideMark/>
          </w:tcPr>
          <w:p w14:paraId="14EF4BF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B41199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FT-RSGT</w:t>
            </w:r>
          </w:p>
        </w:tc>
        <w:tc>
          <w:tcPr>
            <w:tcW w:w="244" w:type="pct"/>
            <w:tcBorders>
              <w:top w:val="nil"/>
              <w:left w:val="nil"/>
              <w:bottom w:val="nil"/>
              <w:right w:val="nil"/>
            </w:tcBorders>
            <w:noWrap/>
            <w:vAlign w:val="center"/>
            <w:hideMark/>
          </w:tcPr>
          <w:p w14:paraId="4B809DA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202D3F6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2E51DB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2AB0E4A5" w14:textId="5710A5C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F40638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proofErr w:type="spellStart"/>
            <w:r w:rsidRPr="22DB2182">
              <w:rPr>
                <w:rFonts w:ascii="Times New Roman" w:eastAsia="Times New Roman" w:hAnsi="Times New Roman" w:cs="Times New Roman"/>
                <w:color w:val="000000" w:themeColor="text1"/>
                <w:sz w:val="8"/>
                <w:szCs w:val="8"/>
                <w:lang w:eastAsia="en-US"/>
              </w:rPr>
              <w:t>rTMS-cTBS</w:t>
            </w:r>
            <w:proofErr w:type="spellEnd"/>
          </w:p>
        </w:tc>
      </w:tr>
      <w:tr w:rsidR="0065213A" w:rsidRPr="0065213A" w14:paraId="2E6239F8" w14:textId="77777777" w:rsidTr="22DB2182">
        <w:trPr>
          <w:trHeight w:val="20"/>
        </w:trPr>
        <w:tc>
          <w:tcPr>
            <w:tcW w:w="456" w:type="pct"/>
            <w:tcBorders>
              <w:top w:val="nil"/>
              <w:left w:val="nil"/>
              <w:bottom w:val="nil"/>
              <w:right w:val="nil"/>
            </w:tcBorders>
            <w:noWrap/>
            <w:vAlign w:val="center"/>
            <w:hideMark/>
          </w:tcPr>
          <w:p w14:paraId="7801956E" w14:textId="7BF926B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Flicker,</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224raoamt5","properties":{"unsorted":false,"formattedCitation":"(2025)","plainCitation":"(2025)","noteIndex":0},"citationItems":[{"id":16224,"uris":["http://zotero.org/groups/6160358/items/H6YL5ANU"],"itemData":{"id":16224,"type":"article-journal","abstract":"Objectives Coloring mandalas has been consistently associated with reduced self-reported anxiety. While much of the literature attributes its anxiety-reducing properties to mindfulness, this has not yet been empirically tested. The current study examined mindfulness and other potential mechanisms of action, including flow, the undoing effect (through enjoyment), and distraction from anxious thoughts. Method Following an anxiety induction, 188 participants ( M = 21.14 years) colored mandalas for 20 min. Anxiety was measured before and after coloring. In-the-moment and retrospective reports of state mindfulness, flow, enjoyment, and other mind states were examined to identify which were most predictive of anxiety reduction. Results The strongest predictors of anxiety reduction were self-reported flow and enjoyment, followed by state mindfulness and anxious mind-wandering (in a negative direction). Conclusions By examining mindfulness, flow, enjoyment, and other mind states as predictors of change in anxiety during mandala coloring, the relevance and potentially even greater predictive validity of flow and enjoyment were identified. Additionally, anxious mind-wandering had not been previously examined in relation to mandala coloring; thus, this was the first time it was identified as a predictor of change in anxiety during mandala coloring. Moving away from focusing on mindfulness as the presumed mechanism of action to explore other factors, such as flow, enjoyment, and distraction from anxious thoughts, has the potential to yield unique insights into how mandala coloring relates to anxiety reduction and facilitate the development of empirically based instructions to increase the anxiety-reducing effect of mandala coloring, and potentially other art-making activities.","citation-key":"flickerMechanismsAnxietyReduction2025a","container-title":"Mindfulness","ISSN":"1868-8527","issue":"6","language":"eng","license":"The Author(s), under exclusive licence to Springer Science+Business Media, LLC, part of Springer Nature 2025 Springer Nature or its licensor (e.g. a society or other partner) holds exclusive rights to this article under a publishing agreement with the author(s) or other rightsholder(s); author self-archiving of the accepted manuscript version of this article is solely governed by the terms of such publishing agreement and applicable law.","page":"1693–1704","title":"Mechanisms of Anxiety Reduction During Adult Coloring: Mindfulness, Flow, Enjoyment, and Distraction","volume":"16","author":[{"family":"Flicker","given":"Sharon M."},{"family":"Sancier-Barbosa","given":"Flavia"},{"family":"Tang","given":"A. N."},{"family":"Ho","given":"Amanda"},{"family":"Zhong","given":"S."},{"family":"Alafranji","given":"R. R."},{"family":"Clemons-Castanos","given":"Channing R."}],"issued":{"date-parts":[["2025",6]]}},"suppress-author":true}],"schema":"https://github.com/citation-style-language/schema/raw/master/csl-citation.json"}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6FCEA36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655EBB58" w14:textId="34B3925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73D02ED" w14:textId="77777777" w:rsidR="0065213A" w:rsidRPr="00581C85" w:rsidRDefault="0065213A" w:rsidP="22DB2182">
            <w:pPr>
              <w:suppressAutoHyphens w:val="0"/>
              <w:autoSpaceDN/>
              <w:spacing w:after="0" w:line="240" w:lineRule="auto"/>
              <w:jc w:val="center"/>
              <w:textAlignment w:val="auto"/>
              <w:rPr>
                <w:rFonts w:ascii="Times New Roman" w:eastAsia="Times New Roman" w:hAnsi="Times New Roman" w:cs="Times New Roman"/>
                <w:color w:val="222222"/>
                <w:sz w:val="8"/>
                <w:szCs w:val="8"/>
                <w:lang w:eastAsia="en-US"/>
              </w:rPr>
            </w:pPr>
            <w:r w:rsidRPr="00581C85">
              <w:rPr>
                <w:rFonts w:ascii="Times New Roman" w:eastAsia="Times New Roman" w:hAnsi="Times New Roman" w:cs="Times New Roman"/>
                <w:color w:val="222222"/>
                <w:sz w:val="8"/>
                <w:szCs w:val="8"/>
                <w:lang w:eastAsia="en-US"/>
              </w:rPr>
              <w:t>my mind was blank</w:t>
            </w:r>
          </w:p>
          <w:p w14:paraId="7E460997" w14:textId="11AF2577" w:rsidR="0065213A" w:rsidRPr="00581C85" w:rsidRDefault="0065213A" w:rsidP="22DB2182">
            <w:pPr>
              <w:suppressAutoHyphens w:val="0"/>
              <w:autoSpaceDN/>
              <w:spacing w:after="0" w:line="240" w:lineRule="auto"/>
              <w:jc w:val="center"/>
              <w:textAlignment w:val="auto"/>
              <w:rPr>
                <w:rFonts w:ascii="Times New Roman" w:eastAsia="Times New Roman" w:hAnsi="Times New Roman" w:cs="Times New Roman"/>
                <w:color w:val="222222"/>
                <w:sz w:val="8"/>
                <w:szCs w:val="8"/>
                <w:lang w:eastAsia="en-US"/>
              </w:rPr>
            </w:pPr>
            <w:r w:rsidRPr="00581C85">
              <w:rPr>
                <w:rFonts w:ascii="Times New Roman" w:eastAsia="Times New Roman" w:hAnsi="Times New Roman" w:cs="Times New Roman"/>
                <w:color w:val="222222"/>
                <w:sz w:val="8"/>
                <w:szCs w:val="8"/>
                <w:lang w:eastAsia="en-US"/>
              </w:rPr>
              <w:t>not thinking of anything</w:t>
            </w:r>
          </w:p>
        </w:tc>
        <w:tc>
          <w:tcPr>
            <w:tcW w:w="228" w:type="pct"/>
            <w:tcBorders>
              <w:top w:val="nil"/>
              <w:left w:val="nil"/>
              <w:bottom w:val="nil"/>
              <w:right w:val="nil"/>
            </w:tcBorders>
            <w:noWrap/>
            <w:vAlign w:val="center"/>
            <w:hideMark/>
          </w:tcPr>
          <w:p w14:paraId="5FEAD1E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95</w:t>
            </w:r>
          </w:p>
        </w:tc>
        <w:tc>
          <w:tcPr>
            <w:tcW w:w="196" w:type="pct"/>
            <w:tcBorders>
              <w:top w:val="nil"/>
              <w:left w:val="nil"/>
              <w:bottom w:val="nil"/>
              <w:right w:val="nil"/>
            </w:tcBorders>
            <w:noWrap/>
            <w:vAlign w:val="center"/>
            <w:hideMark/>
          </w:tcPr>
          <w:p w14:paraId="4E83620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0.263</w:t>
            </w:r>
          </w:p>
        </w:tc>
        <w:tc>
          <w:tcPr>
            <w:tcW w:w="199" w:type="pct"/>
            <w:tcBorders>
              <w:top w:val="nil"/>
              <w:left w:val="nil"/>
              <w:bottom w:val="nil"/>
              <w:right w:val="nil"/>
            </w:tcBorders>
            <w:noWrap/>
            <w:vAlign w:val="center"/>
            <w:hideMark/>
          </w:tcPr>
          <w:p w14:paraId="2155BCC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218" w:type="pct"/>
            <w:tcBorders>
              <w:top w:val="nil"/>
              <w:left w:val="nil"/>
              <w:bottom w:val="nil"/>
              <w:right w:val="nil"/>
            </w:tcBorders>
            <w:noWrap/>
            <w:vAlign w:val="center"/>
            <w:hideMark/>
          </w:tcPr>
          <w:p w14:paraId="7138FF2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32A07C1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07" w:type="pct"/>
            <w:tcBorders>
              <w:top w:val="nil"/>
              <w:left w:val="nil"/>
              <w:bottom w:val="nil"/>
              <w:right w:val="nil"/>
            </w:tcBorders>
            <w:noWrap/>
            <w:vAlign w:val="center"/>
            <w:hideMark/>
          </w:tcPr>
          <w:p w14:paraId="51C555C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A794BF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proofErr w:type="spellStart"/>
            <w:r w:rsidRPr="22DB2182">
              <w:rPr>
                <w:rFonts w:ascii="Times New Roman" w:eastAsia="Times New Roman" w:hAnsi="Times New Roman" w:cs="Times New Roman"/>
                <w:color w:val="000000" w:themeColor="text1"/>
                <w:sz w:val="8"/>
                <w:szCs w:val="8"/>
                <w:lang w:eastAsia="en-US"/>
              </w:rPr>
              <w:t>Colouring</w:t>
            </w:r>
            <w:proofErr w:type="spellEnd"/>
          </w:p>
        </w:tc>
        <w:tc>
          <w:tcPr>
            <w:tcW w:w="244" w:type="pct"/>
            <w:tcBorders>
              <w:top w:val="nil"/>
              <w:left w:val="nil"/>
              <w:bottom w:val="nil"/>
              <w:right w:val="nil"/>
            </w:tcBorders>
            <w:noWrap/>
            <w:vAlign w:val="center"/>
            <w:hideMark/>
          </w:tcPr>
          <w:p w14:paraId="3A6479A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B9AFE1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41281B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506F64A" w14:textId="6800DF8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7234030" w14:textId="048D11E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6E782708" w14:textId="77777777" w:rsidTr="22DB2182">
        <w:trPr>
          <w:trHeight w:val="20"/>
        </w:trPr>
        <w:tc>
          <w:tcPr>
            <w:tcW w:w="456" w:type="pct"/>
            <w:tcBorders>
              <w:top w:val="nil"/>
              <w:left w:val="nil"/>
              <w:bottom w:val="nil"/>
              <w:right w:val="nil"/>
            </w:tcBorders>
            <w:noWrap/>
            <w:vAlign w:val="center"/>
            <w:hideMark/>
          </w:tcPr>
          <w:p w14:paraId="0956B258" w14:textId="63AA965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Huijser,</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11ao99rghg","properties":{"unsorted":false,"formattedCitation":"(2020)","plainCitation":"(2020)","noteIndex":0},"citationItems":[{"id":16093,"uris":["http://zotero.org/groups/6160358/items/FJBQP9UE"],"itemData":{"id":16093,"type":"article-journal","abstract":"Throughout the day, we may sometimes catch ourselves in patterns of thought that we experience as rigid and difficult to disengage from. Such “sticky” thinking can be highly disruptive to ongoing tasks, and when it turns into rumination constitutes a vulnerability for mental disorders such as depression and anxiety. The main goal of the present study was to explore the stickiness dimension of thought, by investigating how stickiness is reflected in task performance and pupil size. To measure spontaneous thought processes, we asked participants to perform a sustained attention to response task (SART), in which we embedded the participant’s concerns to potentially increase the probability of observing sticky thinking. The results indicated that sticky thinking was most frequently experienced when participants were disengaged from the task. Such episodes of sticky thought could be discriminated from neutral and non-sticky thought by an increase in errors on infrequent no-go trials. Furthermore, we found that sticky thought was associated with smaller pupil responses during correct responding. These results demonstrate that participants can report on the stickiness of their thought, and that stickiness can be investigated using pupillometry. In addition, the results suggest that sticky thought may limit attention and exertion of cognitive control to the task.","citation-key":"huijserCaptivatedThoughtSticky2020a","container-title":"PloS one","ISSN":"1932-6203","issue":"12","language":"eng","license":"Copyright 2020 Elsevier B.V., All rights reserved.","page":"e0243532–","title":"Captivated by thought: “Sticky” thinking leaves traces of perceptual decoupling in task-evoked pupil size","volume":"15","author":[{"family":"Huijser","given":"Stefan"},{"family":"Verkaik","given":"Mathanja"},{"family":"Vugt","given":"Marieke K.","non-dropping-particle":"van"},{"family":"Taatgen","given":"Niels A."}],"issued":{"date-parts":[["2020",12]]}},"suppress-author":true}],"schema":"https://github.com/citation-style-language/schema/raw/master/csl-citation.json"}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(2020)</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5E0485E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6E90CD25" w14:textId="32F53B3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0EA2936"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not paying attention</w:t>
            </w:r>
          </w:p>
          <w:p w14:paraId="441AFE6D" w14:textId="1A5BDAEB"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not thinking of anything</w:t>
            </w:r>
          </w:p>
        </w:tc>
        <w:tc>
          <w:tcPr>
            <w:tcW w:w="228" w:type="pct"/>
            <w:tcBorders>
              <w:top w:val="nil"/>
              <w:left w:val="nil"/>
              <w:bottom w:val="nil"/>
              <w:right w:val="nil"/>
            </w:tcBorders>
            <w:noWrap/>
            <w:vAlign w:val="center"/>
            <w:hideMark/>
          </w:tcPr>
          <w:p w14:paraId="5A9F6A5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34</w:t>
            </w:r>
          </w:p>
        </w:tc>
        <w:tc>
          <w:tcPr>
            <w:tcW w:w="196" w:type="pct"/>
            <w:tcBorders>
              <w:top w:val="nil"/>
              <w:left w:val="nil"/>
              <w:bottom w:val="nil"/>
              <w:right w:val="nil"/>
            </w:tcBorders>
            <w:noWrap/>
            <w:vAlign w:val="center"/>
            <w:hideMark/>
          </w:tcPr>
          <w:p w14:paraId="30BFAE8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0.023</w:t>
            </w:r>
          </w:p>
        </w:tc>
        <w:tc>
          <w:tcPr>
            <w:tcW w:w="199" w:type="pct"/>
            <w:tcBorders>
              <w:top w:val="nil"/>
              <w:left w:val="nil"/>
              <w:bottom w:val="nil"/>
              <w:right w:val="nil"/>
            </w:tcBorders>
            <w:noWrap/>
            <w:vAlign w:val="center"/>
            <w:hideMark/>
          </w:tcPr>
          <w:p w14:paraId="449639F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48</w:t>
            </w:r>
          </w:p>
        </w:tc>
        <w:tc>
          <w:tcPr>
            <w:tcW w:w="218" w:type="pct"/>
            <w:tcBorders>
              <w:top w:val="nil"/>
              <w:left w:val="nil"/>
              <w:bottom w:val="nil"/>
              <w:right w:val="nil"/>
            </w:tcBorders>
            <w:noWrap/>
            <w:vAlign w:val="center"/>
            <w:hideMark/>
          </w:tcPr>
          <w:p w14:paraId="523BA8C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55C6BC8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35</w:t>
            </w:r>
          </w:p>
        </w:tc>
        <w:tc>
          <w:tcPr>
            <w:tcW w:w="207" w:type="pct"/>
            <w:tcBorders>
              <w:top w:val="nil"/>
              <w:left w:val="nil"/>
              <w:bottom w:val="nil"/>
              <w:right w:val="nil"/>
            </w:tcBorders>
            <w:noWrap/>
            <w:vAlign w:val="center"/>
            <w:hideMark/>
          </w:tcPr>
          <w:p w14:paraId="443B3F8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001695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413266F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45A545C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072F60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55450DE" w14:textId="04ED74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0EAF19A9" w14:textId="2499B7A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10881D9" w14:textId="77777777" w:rsidTr="22DB2182">
        <w:trPr>
          <w:trHeight w:val="20"/>
        </w:trPr>
        <w:tc>
          <w:tcPr>
            <w:tcW w:w="456" w:type="pct"/>
            <w:tcBorders>
              <w:top w:val="nil"/>
              <w:left w:val="nil"/>
              <w:bottom w:val="nil"/>
              <w:right w:val="nil"/>
            </w:tcBorders>
            <w:noWrap/>
            <w:vAlign w:val="center"/>
            <w:hideMark/>
          </w:tcPr>
          <w:p w14:paraId="127E586B" w14:textId="277E814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Jin,</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g2rc1c2q0","properties":{"unsorted":false,"formattedCitation":"(2019)","plainCitation":"(2019)","noteIndex":0},"citationItems":[{"id":16098,"uris":["http://zotero.org/groups/6160358/items/CHI4QZ7M"],"itemData":{"id":16098,"type":"article-journal","abstract":"Mind-wandering refers to the process of thinking task-unrelated thoughts while performing a task. The dynamics of mind-wandering remain elusive because it is difficult to track when someone’s mind is wandering based only on behavior. The goal of this study is to develop a machine-learning classifier that can determine someone’s mind-wandering state online using electroencephalography (EEG) in a way that generalizes across tasks. In particular, we trained machine-learning models on EEG markers to classify the participants’ current state as either mind-wandering or on-task. To be able to examine the task generality of the classifier, two different paradigms were adopted in this study: a sustained attention to response task (SART) and a visual search task. In both tasks, probe questions asking for a self-report of the thoughts at that moment were inserted at random moments, and participants’ responses to the probes were used to create labels for the classifier. The 6 trials preceding an off-task response were labeled as mind-wandering, whereas the 6 trials predicting an on-task response were labeled as on-task. The EEG markers used as features for the classifier included single-trial P1, N1, and P3, the power and coherence in the theta (4–8 Hz) and alpha (8.5–12 Hz) bands at PO7, Pz, PO8, and Fz. We used a support vector machine as the training algorithm to learn the connection between EEG markers and the current mind-wandering state. We were able to distinguish between on-task and off-task thinking with an accuracy ranging from 0.50 to 0.85. Moreover, the classifiers were task-general: The average accuracy in across-task prediction was 60%, which was above chance level. Among all the extracted EEG markers, alpha power was most predictive of mind-wandering.","citation-key":"jinPredictingTaskgeneralMindwandering2019a","container-title":"Cognitive, affective, &amp; behavioral neuroscience","ISSN":"1530-7026","issue":"4","language":"eng","license":"The Author(s) 2019","page":"1059–1073","title":"Predicting task-general mind-wandering with EEG","volume":"19","author":[{"family":"Jin","given":"Christina Yi"},{"family":"Borst","given":"Jelmer P."},{"family":"Vugt","given":"Marieke K.","non-dropping-particle":"van"}],"issued":{"date-parts":[["2019",8]]}},"suppress-author":true}],"schema":"https://github.com/citation-style-language/schema/raw/master/csl-citation.json"}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(2019)</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1412B3C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2C868D0A" w14:textId="38271A8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2AE96ACE"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not paying attention</w:t>
            </w:r>
          </w:p>
          <w:p w14:paraId="40DD8CA1" w14:textId="3B9053BE"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not thinking of anything</w:t>
            </w:r>
          </w:p>
        </w:tc>
        <w:tc>
          <w:tcPr>
            <w:tcW w:w="228" w:type="pct"/>
            <w:tcBorders>
              <w:top w:val="nil"/>
              <w:left w:val="nil"/>
              <w:bottom w:val="nil"/>
              <w:right w:val="nil"/>
            </w:tcBorders>
            <w:noWrap/>
            <w:vAlign w:val="center"/>
            <w:hideMark/>
          </w:tcPr>
          <w:p w14:paraId="0E68C7B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18</w:t>
            </w:r>
          </w:p>
        </w:tc>
        <w:tc>
          <w:tcPr>
            <w:tcW w:w="196" w:type="pct"/>
            <w:tcBorders>
              <w:top w:val="nil"/>
              <w:left w:val="nil"/>
              <w:bottom w:val="nil"/>
              <w:right w:val="nil"/>
            </w:tcBorders>
            <w:noWrap/>
            <w:vAlign w:val="center"/>
            <w:hideMark/>
          </w:tcPr>
          <w:p w14:paraId="64C29F6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0.049</w:t>
            </w:r>
          </w:p>
        </w:tc>
        <w:tc>
          <w:tcPr>
            <w:tcW w:w="199" w:type="pct"/>
            <w:tcBorders>
              <w:top w:val="nil"/>
              <w:left w:val="nil"/>
              <w:bottom w:val="nil"/>
              <w:right w:val="nil"/>
            </w:tcBorders>
            <w:noWrap/>
            <w:vAlign w:val="center"/>
            <w:hideMark/>
          </w:tcPr>
          <w:p w14:paraId="196A302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54</w:t>
            </w:r>
          </w:p>
        </w:tc>
        <w:tc>
          <w:tcPr>
            <w:tcW w:w="218" w:type="pct"/>
            <w:tcBorders>
              <w:top w:val="nil"/>
              <w:left w:val="nil"/>
              <w:bottom w:val="nil"/>
              <w:right w:val="nil"/>
            </w:tcBorders>
            <w:noWrap/>
            <w:vAlign w:val="center"/>
            <w:hideMark/>
          </w:tcPr>
          <w:p w14:paraId="19C5F3B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5A230852" w14:textId="4F322C0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0D031A0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B09D85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Various</w:t>
            </w:r>
            <w:proofErr w:type="spellEnd"/>
          </w:p>
        </w:tc>
        <w:tc>
          <w:tcPr>
            <w:tcW w:w="244" w:type="pct"/>
            <w:tcBorders>
              <w:top w:val="nil"/>
              <w:left w:val="nil"/>
              <w:bottom w:val="nil"/>
              <w:right w:val="nil"/>
            </w:tcBorders>
            <w:noWrap/>
            <w:vAlign w:val="center"/>
            <w:hideMark/>
          </w:tcPr>
          <w:p w14:paraId="53BCF64A" w14:textId="52CFC0B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134164A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EC01AF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AD82318" w14:textId="0721F55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0C718A1" w14:textId="3CCDECE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0F75DA8" w14:textId="77777777" w:rsidTr="22DB2182">
        <w:trPr>
          <w:trHeight w:val="20"/>
        </w:trPr>
        <w:tc>
          <w:tcPr>
            <w:tcW w:w="456" w:type="pct"/>
            <w:tcBorders>
              <w:top w:val="nil"/>
              <w:left w:val="nil"/>
              <w:bottom w:val="nil"/>
              <w:right w:val="nil"/>
            </w:tcBorders>
            <w:noWrap/>
            <w:vAlign w:val="center"/>
            <w:hideMark/>
          </w:tcPr>
          <w:p w14:paraId="7E6A45DC" w14:textId="552B1BC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Kawagoe,</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bd7bg5djd","properties":{"unsorted":false,"formattedCitation":"(2019)","plainCitation":"(2019)","noteIndex":0},"citationItems":[{"id":16206,"uris":["http://zotero.org/groups/6160358/items/WBMX7CTM"],"itemData":{"id":16206,"type":"article-journal","abstract":"Mind blanking (MB) is the state where our minds are seemingly \"nowhere,\" and attention calls no perceptual input into conscious awareness. It is little investigated, perhaps partly because it is difficult to detect the mysterious periods of blanking. In this study, we found that our participants could intentionally produce a state of MB whose neural correlates were deactivation of Broca's area and parts of the default mode network (namely, the hippocampus) which would be active during mind wandering (MW), in addition to activity in another region in the default mode network (namely, anterior cingulate cortex). Because the behavioral finding replicates a previous report of ours, we suggest that the simple instructions that we used to induce MB should be effective. From the neuroimaging data, we conclude that we cannot define the content of our thoughts during MB because our inner speech system does not work at that time. Another possibility is that we actually think of nothing in the MB state. Although more sophisticated studies would be needed to uncover the mechanism of such a phenomenon, the present study provides a methodology and clues for understanding MB and related concepts such as MW, awareness, and metacognitive ability.","citation-key":"kawagoeNeuralCorrelatesMind2019a","container-title":"Human brain mapping","DOI":"10.1002/hbm.24748","ISSN":"1097-0193 1065-9471","issue":"17","language":"eng","license":"© 2019 Wiley Periodicals, Inc.","page":"4934–4940","PMID":"31389642","PMCID":"PMC6865483","title":"The neural correlates of \"mind blanking\": When the mind goes away.","volume":"40","author":[{"family":"Kawagoe","given":"Toshikazu"},{"family":"Onoda","given":"Keiichi"},{"family":"Yamaguchi","given":"Shuhei"}],"issued":{"date-parts":[["2019",12]]}},"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(2019)</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4E06F59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4DF778D9"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lack of conscious awareness</w:t>
            </w:r>
          </w:p>
          <w:p w14:paraId="3C4228AB"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not paying attention to anything</w:t>
            </w:r>
          </w:p>
          <w:p w14:paraId="7C07A433" w14:textId="78A064A6"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not</w:t>
            </w:r>
            <w:proofErr w:type="gram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aware</w:t>
            </w:r>
            <w:proofErr w:type="spellEnd"/>
            <w:r w:rsidRPr="22DB2182">
              <w:rPr>
                <w:rFonts w:ascii="Times New Roman" w:eastAsia="Times New Roman" w:hAnsi="Times New Roman" w:cs="Times New Roman"/>
                <w:color w:val="000000" w:themeColor="text1"/>
                <w:sz w:val="8"/>
                <w:szCs w:val="8"/>
                <w:lang w:val="fr-FR" w:eastAsia="en-US"/>
              </w:rPr>
              <w:t xml:space="preserve"> of stimuli</w:t>
            </w:r>
          </w:p>
        </w:tc>
        <w:tc>
          <w:tcPr>
            <w:tcW w:w="679" w:type="pct"/>
            <w:tcBorders>
              <w:top w:val="nil"/>
              <w:left w:val="nil"/>
              <w:bottom w:val="nil"/>
              <w:right w:val="nil"/>
            </w:tcBorders>
            <w:noWrap/>
            <w:vAlign w:val="center"/>
            <w:hideMark/>
          </w:tcPr>
          <w:p w14:paraId="4C33214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6090783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29</w:t>
            </w:r>
          </w:p>
        </w:tc>
        <w:tc>
          <w:tcPr>
            <w:tcW w:w="196" w:type="pct"/>
            <w:tcBorders>
              <w:top w:val="nil"/>
              <w:left w:val="nil"/>
              <w:bottom w:val="nil"/>
              <w:right w:val="nil"/>
            </w:tcBorders>
            <w:noWrap/>
            <w:vAlign w:val="center"/>
            <w:hideMark/>
          </w:tcPr>
          <w:p w14:paraId="21616EA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0.32</w:t>
            </w:r>
          </w:p>
        </w:tc>
        <w:tc>
          <w:tcPr>
            <w:tcW w:w="199" w:type="pct"/>
            <w:tcBorders>
              <w:top w:val="nil"/>
              <w:left w:val="nil"/>
              <w:bottom w:val="nil"/>
              <w:right w:val="nil"/>
            </w:tcBorders>
            <w:noWrap/>
            <w:vAlign w:val="center"/>
            <w:hideMark/>
          </w:tcPr>
          <w:p w14:paraId="31DF339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w:t>
            </w:r>
          </w:p>
        </w:tc>
        <w:tc>
          <w:tcPr>
            <w:tcW w:w="218" w:type="pct"/>
            <w:tcBorders>
              <w:top w:val="nil"/>
              <w:left w:val="nil"/>
              <w:bottom w:val="nil"/>
              <w:right w:val="nil"/>
            </w:tcBorders>
            <w:noWrap/>
            <w:vAlign w:val="center"/>
            <w:hideMark/>
          </w:tcPr>
          <w:p w14:paraId="5ACA2A4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18C4AF2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07" w:type="pct"/>
            <w:tcBorders>
              <w:top w:val="nil"/>
              <w:left w:val="nil"/>
              <w:bottom w:val="nil"/>
              <w:right w:val="nil"/>
            </w:tcBorders>
            <w:noWrap/>
            <w:vAlign w:val="center"/>
            <w:hideMark/>
          </w:tcPr>
          <w:p w14:paraId="4C8017F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69249D1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Thought</w:t>
            </w:r>
            <w:proofErr w:type="spellEnd"/>
            <w:r w:rsidRPr="22DB2182">
              <w:rPr>
                <w:rFonts w:ascii="Times New Roman" w:eastAsia="Times New Roman" w:hAnsi="Times New Roman" w:cs="Times New Roman"/>
                <w:color w:val="000000" w:themeColor="text1"/>
                <w:sz w:val="8"/>
                <w:szCs w:val="8"/>
                <w:lang w:val="fr-FR" w:eastAsia="en-US"/>
              </w:rPr>
              <w:t xml:space="preserve"> Silence</w:t>
            </w:r>
          </w:p>
        </w:tc>
        <w:tc>
          <w:tcPr>
            <w:tcW w:w="244" w:type="pct"/>
            <w:tcBorders>
              <w:top w:val="nil"/>
              <w:left w:val="nil"/>
              <w:bottom w:val="nil"/>
              <w:right w:val="nil"/>
            </w:tcBorders>
            <w:noWrap/>
            <w:vAlign w:val="center"/>
            <w:hideMark/>
          </w:tcPr>
          <w:p w14:paraId="3CAC9D2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4515DAC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276D69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4123D16" w14:textId="43068C7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ABE48B0" w14:textId="6D47D20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93057CF" w14:textId="77777777" w:rsidTr="22DB2182">
        <w:trPr>
          <w:trHeight w:val="20"/>
        </w:trPr>
        <w:tc>
          <w:tcPr>
            <w:tcW w:w="456" w:type="pct"/>
            <w:tcBorders>
              <w:top w:val="nil"/>
              <w:left w:val="nil"/>
              <w:bottom w:val="nil"/>
              <w:right w:val="nil"/>
            </w:tcBorders>
            <w:noWrap/>
            <w:vAlign w:val="center"/>
            <w:hideMark/>
          </w:tcPr>
          <w:p w14:paraId="3CD0C814" w14:textId="1326F8A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Kiss,</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1979epi0s5","properties":{"unsorted":false,"formattedCitation":"(2024)","plainCitation":"(2024)","noteIndex":0},"citationItems":[{"id":16283,"uris":["http://zotero.org/groups/6160358/items/CXPG9MAJ"],"itemData":{"id":16283,"type":"article-journal","abstract":"Across two online experiments, this study explored the effect of preferred background music on attentional state and performance, as well as on mood and arousal, during a vigilance task. It extended recent laboratory findings—showing an increase in task-focus and decrease in mind-wandering states with music—to environments with more distractions around participants. Participants—people who normally listen to background music during attention-demanding tasks—completed the vigilance task in their homes both with and without their chosen music and reported their attentional state, subjective arousal, and mood valence throughout the task. Experiment 1 compared music to relative silence and Experiment 2 compared music against the backdrop of continuous noise to continuous noise alone. In both experiments, music decreased mind-wandering and increased task-focus. Unlike in previous laboratory studies, in both experiments music also led to faster reaction times while increasing low-arousal external-distraction states. Importantly, mood and arousal increased with music and were shown to mediate its effects on reaction time and for the first time attentional state, both separately and together. Serial mediation effects were mostly confined to models where mood was entered first and arousal second and were consistent with the mood-arousal account of the impact of background music listening.","citation-key":"kissRoleMoodArousal2024a","container-title":"Scientific reports","ISSN":"2045-2322","issue":"1","language":"eng","license":"The Author(s) 2024. corrected publication 2024","page":"9485–19","title":"The role of mood and arousal in the effect of background music on attentional state and performance during a sustained attention task","volume":"14","author":[{"family":"Kiss","given":"Luca"},{"family":"Linnell","given":"Karina J."}],"issued":{"date-parts":[["2024",4]]}},"suppress-author":true}],"schema":"https://github.com/citation-style-language/schema/raw/master/csl-citation.json"}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(2024)</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30987D2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65056155" w14:textId="775128B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62E5792"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not alert</w:t>
            </w:r>
          </w:p>
          <w:p w14:paraId="1A73EDDF" w14:textId="3662C50D"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my mind was blank</w:t>
            </w:r>
          </w:p>
        </w:tc>
        <w:tc>
          <w:tcPr>
            <w:tcW w:w="228" w:type="pct"/>
            <w:tcBorders>
              <w:top w:val="nil"/>
              <w:left w:val="nil"/>
              <w:bottom w:val="nil"/>
              <w:right w:val="nil"/>
            </w:tcBorders>
            <w:noWrap/>
            <w:vAlign w:val="center"/>
            <w:hideMark/>
          </w:tcPr>
          <w:p w14:paraId="6C793E6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106</w:t>
            </w:r>
          </w:p>
        </w:tc>
        <w:tc>
          <w:tcPr>
            <w:tcW w:w="196" w:type="pct"/>
            <w:tcBorders>
              <w:top w:val="nil"/>
              <w:left w:val="nil"/>
              <w:bottom w:val="nil"/>
              <w:right w:val="nil"/>
            </w:tcBorders>
            <w:noWrap/>
            <w:vAlign w:val="center"/>
            <w:hideMark/>
          </w:tcPr>
          <w:p w14:paraId="025AFC3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0.042</w:t>
            </w:r>
          </w:p>
        </w:tc>
        <w:tc>
          <w:tcPr>
            <w:tcW w:w="199" w:type="pct"/>
            <w:tcBorders>
              <w:top w:val="nil"/>
              <w:left w:val="nil"/>
              <w:bottom w:val="nil"/>
              <w:right w:val="nil"/>
            </w:tcBorders>
            <w:noWrap/>
            <w:vAlign w:val="center"/>
            <w:hideMark/>
          </w:tcPr>
          <w:p w14:paraId="7789751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6F5E8B7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1918378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511823C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621069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5C06E0B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0EE8A59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E25D0D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BC9EEB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6CD8EE06" w14:textId="7F94BE8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80B6E18" w14:textId="77777777" w:rsidTr="22DB2182">
        <w:trPr>
          <w:trHeight w:val="20"/>
        </w:trPr>
        <w:tc>
          <w:tcPr>
            <w:tcW w:w="456" w:type="pct"/>
            <w:tcBorders>
              <w:top w:val="nil"/>
              <w:left w:val="nil"/>
              <w:bottom w:val="nil"/>
              <w:right w:val="nil"/>
            </w:tcBorders>
            <w:noWrap/>
            <w:vAlign w:val="center"/>
            <w:hideMark/>
          </w:tcPr>
          <w:p w14:paraId="2EA5955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215DF43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585" w:type="pct"/>
            <w:tcBorders>
              <w:top w:val="nil"/>
              <w:left w:val="nil"/>
              <w:bottom w:val="nil"/>
              <w:right w:val="nil"/>
            </w:tcBorders>
            <w:noWrap/>
            <w:vAlign w:val="center"/>
            <w:hideMark/>
          </w:tcPr>
          <w:p w14:paraId="2C6F50E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679" w:type="pct"/>
            <w:tcBorders>
              <w:top w:val="nil"/>
              <w:left w:val="nil"/>
              <w:bottom w:val="nil"/>
              <w:right w:val="nil"/>
            </w:tcBorders>
            <w:noWrap/>
            <w:vAlign w:val="center"/>
            <w:hideMark/>
          </w:tcPr>
          <w:p w14:paraId="4580779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C79312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106</w:t>
            </w:r>
          </w:p>
        </w:tc>
        <w:tc>
          <w:tcPr>
            <w:tcW w:w="196" w:type="pct"/>
            <w:tcBorders>
              <w:top w:val="nil"/>
              <w:left w:val="nil"/>
              <w:bottom w:val="nil"/>
              <w:right w:val="nil"/>
            </w:tcBorders>
            <w:noWrap/>
            <w:vAlign w:val="center"/>
            <w:hideMark/>
          </w:tcPr>
          <w:p w14:paraId="00606A3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0.061</w:t>
            </w:r>
          </w:p>
        </w:tc>
        <w:tc>
          <w:tcPr>
            <w:tcW w:w="199" w:type="pct"/>
            <w:tcBorders>
              <w:top w:val="nil"/>
              <w:left w:val="nil"/>
              <w:bottom w:val="nil"/>
              <w:right w:val="nil"/>
            </w:tcBorders>
            <w:noWrap/>
            <w:vAlign w:val="center"/>
            <w:hideMark/>
          </w:tcPr>
          <w:p w14:paraId="0DD74B9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177BE5F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0732954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3A95683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0CBE47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7907CCF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B50157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A549DB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6B328E3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0D873BBD" w14:textId="085E92E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2DD3EDD" w14:textId="77777777" w:rsidTr="22DB2182">
        <w:trPr>
          <w:trHeight w:val="20"/>
        </w:trPr>
        <w:tc>
          <w:tcPr>
            <w:tcW w:w="456" w:type="pct"/>
            <w:tcBorders>
              <w:top w:val="nil"/>
              <w:left w:val="nil"/>
              <w:bottom w:val="nil"/>
              <w:right w:val="nil"/>
            </w:tcBorders>
            <w:noWrap/>
            <w:vAlign w:val="center"/>
            <w:hideMark/>
          </w:tcPr>
          <w:p w14:paraId="098B5D8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42907AA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585" w:type="pct"/>
            <w:tcBorders>
              <w:top w:val="nil"/>
              <w:left w:val="nil"/>
              <w:bottom w:val="nil"/>
              <w:right w:val="nil"/>
            </w:tcBorders>
            <w:noWrap/>
            <w:vAlign w:val="center"/>
            <w:hideMark/>
          </w:tcPr>
          <w:p w14:paraId="3BBD6A3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679" w:type="pct"/>
            <w:tcBorders>
              <w:top w:val="nil"/>
              <w:left w:val="nil"/>
              <w:bottom w:val="nil"/>
              <w:right w:val="nil"/>
            </w:tcBorders>
            <w:noWrap/>
            <w:vAlign w:val="center"/>
            <w:hideMark/>
          </w:tcPr>
          <w:p w14:paraId="6CA0F09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53A893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77</w:t>
            </w:r>
          </w:p>
        </w:tc>
        <w:tc>
          <w:tcPr>
            <w:tcW w:w="196" w:type="pct"/>
            <w:tcBorders>
              <w:top w:val="nil"/>
              <w:left w:val="nil"/>
              <w:bottom w:val="nil"/>
              <w:right w:val="nil"/>
            </w:tcBorders>
            <w:noWrap/>
            <w:vAlign w:val="center"/>
            <w:hideMark/>
          </w:tcPr>
          <w:p w14:paraId="61AE5A2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0.051</w:t>
            </w:r>
          </w:p>
        </w:tc>
        <w:tc>
          <w:tcPr>
            <w:tcW w:w="199" w:type="pct"/>
            <w:tcBorders>
              <w:top w:val="nil"/>
              <w:left w:val="nil"/>
              <w:bottom w:val="nil"/>
              <w:right w:val="nil"/>
            </w:tcBorders>
            <w:noWrap/>
            <w:vAlign w:val="center"/>
            <w:hideMark/>
          </w:tcPr>
          <w:p w14:paraId="78C5179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3C26765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2A95A41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49C5F08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9AA79B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2C0D0EB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0BF97DA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D5587D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548403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4FD3FEA7" w14:textId="2F3712A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610BC30D" w14:textId="77777777" w:rsidTr="22DB2182">
        <w:trPr>
          <w:trHeight w:val="20"/>
        </w:trPr>
        <w:tc>
          <w:tcPr>
            <w:tcW w:w="456" w:type="pct"/>
            <w:tcBorders>
              <w:top w:val="nil"/>
              <w:left w:val="nil"/>
              <w:bottom w:val="nil"/>
              <w:right w:val="nil"/>
            </w:tcBorders>
            <w:noWrap/>
            <w:vAlign w:val="center"/>
            <w:hideMark/>
          </w:tcPr>
          <w:p w14:paraId="4CC150D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2F48316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585" w:type="pct"/>
            <w:tcBorders>
              <w:top w:val="nil"/>
              <w:left w:val="nil"/>
              <w:bottom w:val="nil"/>
              <w:right w:val="nil"/>
            </w:tcBorders>
            <w:noWrap/>
            <w:vAlign w:val="center"/>
            <w:hideMark/>
          </w:tcPr>
          <w:p w14:paraId="7F9C5E0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679" w:type="pct"/>
            <w:tcBorders>
              <w:top w:val="nil"/>
              <w:left w:val="nil"/>
              <w:bottom w:val="nil"/>
              <w:right w:val="nil"/>
            </w:tcBorders>
            <w:noWrap/>
            <w:vAlign w:val="center"/>
            <w:hideMark/>
          </w:tcPr>
          <w:p w14:paraId="2CD077C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548F03F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77</w:t>
            </w:r>
          </w:p>
        </w:tc>
        <w:tc>
          <w:tcPr>
            <w:tcW w:w="196" w:type="pct"/>
            <w:tcBorders>
              <w:top w:val="nil"/>
              <w:left w:val="nil"/>
              <w:bottom w:val="nil"/>
              <w:right w:val="nil"/>
            </w:tcBorders>
            <w:noWrap/>
            <w:vAlign w:val="center"/>
            <w:hideMark/>
          </w:tcPr>
          <w:p w14:paraId="0D975D2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0.058</w:t>
            </w:r>
          </w:p>
        </w:tc>
        <w:tc>
          <w:tcPr>
            <w:tcW w:w="199" w:type="pct"/>
            <w:tcBorders>
              <w:top w:val="nil"/>
              <w:left w:val="nil"/>
              <w:bottom w:val="nil"/>
              <w:right w:val="nil"/>
            </w:tcBorders>
            <w:noWrap/>
            <w:vAlign w:val="center"/>
            <w:hideMark/>
          </w:tcPr>
          <w:p w14:paraId="02DCFC1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72BF687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3417E8A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1445922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C04DE8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71DA8EC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8A4540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338E54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8C02F2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3FDECA82" w14:textId="6ED4070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5175130" w14:textId="77777777" w:rsidTr="22DB2182">
        <w:trPr>
          <w:trHeight w:val="20"/>
        </w:trPr>
        <w:tc>
          <w:tcPr>
            <w:tcW w:w="456" w:type="pct"/>
            <w:tcBorders>
              <w:top w:val="nil"/>
              <w:left w:val="nil"/>
              <w:bottom w:val="nil"/>
              <w:right w:val="nil"/>
            </w:tcBorders>
            <w:noWrap/>
            <w:vAlign w:val="center"/>
            <w:hideMark/>
          </w:tcPr>
          <w:p w14:paraId="1B46C428" w14:textId="099757E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Koroma,</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17cu8dd5uv","properties":{"unsorted":false,"formattedCitation":"(2023)","plainCitation":"(2023)","noteIndex":0},"citationItems":[{"id":5879,"uris":["http://zotero.org/users/8613739/items/7ZGTSIW5"],"itemData":{"id":5879,"type":"article-journal","abstract":"Spontaneous thinking significantly relies on attention and arousal. As these cognitive faculties change with age, we aimed at providing a comprehensive account to ongoing mental states in seniors, testing how these are influenced by attentional control and arousal. Using experience sampling at rest, 20 senior (65-75yrs) and 20 young participants (20-30yrs) were prompted to report mind-wandering (MW), sensory-related thoughts (S), and the newly introduced state of mind blanking (MB). Attentional control was assessed with the Attentional Style Questionnaire, and arousal with continuous monitoring of pupil diameter. Both age groups showed equally high occurrences of MW compared to MB or S. For young responders, we replicated that MW was more prevalent in easily-distracted participants and that it associated with higher arousal. In seniors, though, MB was more prevalent in easily-distracted participants, and it was associated with higher arousal, reversing the pattern found in young adults and focused seniors. Overall, our results show that attentional control and arousal jointly regulate ongoing mental states in an age-dependent manner and uncover the presence a specific profile of ongoing mental state regulation in healthy aging, being a potentially critical marker of age-associated diseases.","citation-key":"koromaElsewhereBlankedOngoing2023","container-title":"bioRxiv : the preprint server for biology","ISSN":"2692-8205","journalAbbreviation":"bioRxiv","language":"eng","note":"edition: 1.2\ntex.copyright: 2023, Posted by Cold Spring Harbor Laboratory","publisher":"Cold Spring Harbor Laboratory","title":"Elsewhere or Blanked? Ongoing mental states are regulated by pupil-linked arousal and attentional style in healthy ageing","author":[{"family":"Koroma","given":"Matthieu"},{"family":"Robert de Beauchamp","given":"Aurèle"},{"family":"Mortaheb","given":"Sepehr"},{"family":"Boulakis","given":"Paradeisios Alexandros"},{"family":"Bastin","given":"Christine"},{"family":"Demertzi","given":"Athena"}],"issued":{"date-parts":[["2023",4,24]]}},"suppress-author":true}],"schema":"https://github.com/citation-style-language/schema/raw/master/csl-citation.json"}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(2023)</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04E004B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vAlign w:val="center"/>
            <w:hideMark/>
          </w:tcPr>
          <w:p w14:paraId="75B26C96"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moments with no content</w:t>
            </w:r>
          </w:p>
          <w:p w14:paraId="74289676"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reduced awareness</w:t>
            </w:r>
          </w:p>
          <w:p w14:paraId="7FEF978D" w14:textId="77777777"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absence of thought</w:t>
            </w:r>
          </w:p>
          <w:p w14:paraId="21223761" w14:textId="4A001342" w:rsidR="0065213A" w:rsidRPr="00F22D83"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F22D83">
              <w:rPr>
                <w:rFonts w:ascii="Times New Roman" w:eastAsia="Times New Roman" w:hAnsi="Times New Roman" w:cs="Times New Roman"/>
                <w:color w:val="000000" w:themeColor="text1"/>
                <w:sz w:val="8"/>
                <w:szCs w:val="8"/>
                <w:lang w:val="en-GB" w:eastAsia="en-US"/>
              </w:rPr>
              <w:t>lack of memory</w:t>
            </w:r>
          </w:p>
        </w:tc>
        <w:tc>
          <w:tcPr>
            <w:tcW w:w="679" w:type="pct"/>
            <w:tcBorders>
              <w:top w:val="nil"/>
              <w:left w:val="nil"/>
              <w:bottom w:val="nil"/>
              <w:right w:val="nil"/>
            </w:tcBorders>
            <w:vAlign w:val="center"/>
            <w:hideMark/>
          </w:tcPr>
          <w:p w14:paraId="7F6F4F1C"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an empty mind</w:t>
            </w:r>
          </w:p>
          <w:p w14:paraId="76E50A97" w14:textId="018FA9BC"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thinking of nothing</w:t>
            </w:r>
          </w:p>
          <w:p w14:paraId="38B3359E" w14:textId="0B37CDF6"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no</w:t>
            </w:r>
            <w:proofErr w:type="gramEnd"/>
            <w:r w:rsidRPr="22DB2182">
              <w:rPr>
                <w:rFonts w:ascii="Times New Roman" w:eastAsia="Times New Roman" w:hAnsi="Times New Roman" w:cs="Times New Roman"/>
                <w:color w:val="000000" w:themeColor="text1"/>
                <w:sz w:val="8"/>
                <w:szCs w:val="8"/>
                <w:lang w:val="fr-FR" w:eastAsia="en-US"/>
              </w:rPr>
              <w:t xml:space="preserve"> memory of content</w:t>
            </w:r>
          </w:p>
        </w:tc>
        <w:tc>
          <w:tcPr>
            <w:tcW w:w="228" w:type="pct"/>
            <w:tcBorders>
              <w:top w:val="nil"/>
              <w:left w:val="nil"/>
              <w:bottom w:val="nil"/>
              <w:right w:val="nil"/>
            </w:tcBorders>
            <w:noWrap/>
            <w:vAlign w:val="center"/>
            <w:hideMark/>
          </w:tcPr>
          <w:p w14:paraId="4E1CBCC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196" w:type="pct"/>
            <w:tcBorders>
              <w:top w:val="nil"/>
              <w:left w:val="nil"/>
              <w:bottom w:val="nil"/>
              <w:right w:val="nil"/>
            </w:tcBorders>
            <w:noWrap/>
            <w:vAlign w:val="center"/>
            <w:hideMark/>
          </w:tcPr>
          <w:p w14:paraId="3F82D19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0.16</w:t>
            </w:r>
          </w:p>
        </w:tc>
        <w:tc>
          <w:tcPr>
            <w:tcW w:w="199" w:type="pct"/>
            <w:tcBorders>
              <w:top w:val="nil"/>
              <w:left w:val="nil"/>
              <w:bottom w:val="nil"/>
              <w:right w:val="nil"/>
            </w:tcBorders>
            <w:noWrap/>
            <w:vAlign w:val="center"/>
            <w:hideMark/>
          </w:tcPr>
          <w:p w14:paraId="18B0848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218" w:type="pct"/>
            <w:tcBorders>
              <w:top w:val="nil"/>
              <w:left w:val="nil"/>
              <w:bottom w:val="nil"/>
              <w:right w:val="nil"/>
            </w:tcBorders>
            <w:noWrap/>
            <w:vAlign w:val="center"/>
            <w:hideMark/>
          </w:tcPr>
          <w:p w14:paraId="46D7DDC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w:t>
            </w:r>
          </w:p>
        </w:tc>
        <w:tc>
          <w:tcPr>
            <w:tcW w:w="327" w:type="pct"/>
            <w:tcBorders>
              <w:top w:val="nil"/>
              <w:left w:val="nil"/>
              <w:bottom w:val="nil"/>
              <w:right w:val="nil"/>
            </w:tcBorders>
            <w:noWrap/>
            <w:vAlign w:val="center"/>
            <w:hideMark/>
          </w:tcPr>
          <w:p w14:paraId="62639C0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226624C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rest</w:t>
            </w:r>
            <w:proofErr w:type="spellEnd"/>
            <w:proofErr w:type="gramEnd"/>
          </w:p>
        </w:tc>
        <w:tc>
          <w:tcPr>
            <w:tcW w:w="430" w:type="pct"/>
            <w:tcBorders>
              <w:top w:val="nil"/>
              <w:left w:val="nil"/>
              <w:bottom w:val="nil"/>
              <w:right w:val="nil"/>
            </w:tcBorders>
            <w:noWrap/>
            <w:vAlign w:val="center"/>
            <w:hideMark/>
          </w:tcPr>
          <w:p w14:paraId="439E4E9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Rest</w:t>
            </w:r>
            <w:proofErr w:type="spellEnd"/>
          </w:p>
        </w:tc>
        <w:tc>
          <w:tcPr>
            <w:tcW w:w="244" w:type="pct"/>
            <w:tcBorders>
              <w:top w:val="nil"/>
              <w:left w:val="nil"/>
              <w:bottom w:val="nil"/>
              <w:right w:val="nil"/>
            </w:tcBorders>
            <w:noWrap/>
            <w:vAlign w:val="center"/>
            <w:hideMark/>
          </w:tcPr>
          <w:p w14:paraId="2B39142D" w14:textId="571EA0B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47C7D3B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senior</w:t>
            </w:r>
            <w:proofErr w:type="gramEnd"/>
          </w:p>
        </w:tc>
        <w:tc>
          <w:tcPr>
            <w:tcW w:w="283" w:type="pct"/>
            <w:tcBorders>
              <w:top w:val="nil"/>
              <w:left w:val="nil"/>
              <w:bottom w:val="nil"/>
              <w:right w:val="nil"/>
            </w:tcBorders>
            <w:noWrap/>
            <w:vAlign w:val="center"/>
            <w:hideMark/>
          </w:tcPr>
          <w:p w14:paraId="58121DB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A0B20EB" w14:textId="4D093C9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7FAA1A0" w14:textId="7667379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F144BA9" w14:textId="77777777" w:rsidTr="22DB2182">
        <w:trPr>
          <w:trHeight w:val="20"/>
        </w:trPr>
        <w:tc>
          <w:tcPr>
            <w:tcW w:w="456" w:type="pct"/>
            <w:tcBorders>
              <w:top w:val="nil"/>
              <w:left w:val="nil"/>
              <w:bottom w:val="nil"/>
              <w:right w:val="nil"/>
            </w:tcBorders>
            <w:noWrap/>
            <w:vAlign w:val="center"/>
            <w:hideMark/>
          </w:tcPr>
          <w:p w14:paraId="7A92850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6205B77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vAlign w:val="center"/>
            <w:hideMark/>
          </w:tcPr>
          <w:p w14:paraId="105CB90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vAlign w:val="center"/>
            <w:hideMark/>
          </w:tcPr>
          <w:p w14:paraId="50334F7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5B7C166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196" w:type="pct"/>
            <w:tcBorders>
              <w:top w:val="nil"/>
              <w:left w:val="nil"/>
              <w:bottom w:val="nil"/>
              <w:right w:val="nil"/>
            </w:tcBorders>
            <w:noWrap/>
            <w:vAlign w:val="center"/>
            <w:hideMark/>
          </w:tcPr>
          <w:p w14:paraId="4273E0D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0.21</w:t>
            </w:r>
          </w:p>
        </w:tc>
        <w:tc>
          <w:tcPr>
            <w:tcW w:w="199" w:type="pct"/>
            <w:tcBorders>
              <w:top w:val="nil"/>
              <w:left w:val="nil"/>
              <w:bottom w:val="nil"/>
              <w:right w:val="nil"/>
            </w:tcBorders>
            <w:noWrap/>
            <w:vAlign w:val="center"/>
            <w:hideMark/>
          </w:tcPr>
          <w:p w14:paraId="7285116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218" w:type="pct"/>
            <w:tcBorders>
              <w:top w:val="nil"/>
              <w:left w:val="nil"/>
              <w:bottom w:val="nil"/>
              <w:right w:val="nil"/>
            </w:tcBorders>
            <w:noWrap/>
            <w:vAlign w:val="center"/>
            <w:hideMark/>
          </w:tcPr>
          <w:p w14:paraId="75FAC92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w:t>
            </w:r>
          </w:p>
        </w:tc>
        <w:tc>
          <w:tcPr>
            <w:tcW w:w="327" w:type="pct"/>
            <w:tcBorders>
              <w:top w:val="nil"/>
              <w:left w:val="nil"/>
              <w:bottom w:val="nil"/>
              <w:right w:val="nil"/>
            </w:tcBorders>
            <w:noWrap/>
            <w:vAlign w:val="center"/>
            <w:hideMark/>
          </w:tcPr>
          <w:p w14:paraId="3103EAD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7E55BFF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rest</w:t>
            </w:r>
            <w:proofErr w:type="spellEnd"/>
            <w:proofErr w:type="gramEnd"/>
          </w:p>
        </w:tc>
        <w:tc>
          <w:tcPr>
            <w:tcW w:w="430" w:type="pct"/>
            <w:tcBorders>
              <w:top w:val="nil"/>
              <w:left w:val="nil"/>
              <w:bottom w:val="nil"/>
              <w:right w:val="nil"/>
            </w:tcBorders>
            <w:noWrap/>
            <w:vAlign w:val="center"/>
            <w:hideMark/>
          </w:tcPr>
          <w:p w14:paraId="3AB2D3A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Rest</w:t>
            </w:r>
            <w:proofErr w:type="spellEnd"/>
          </w:p>
        </w:tc>
        <w:tc>
          <w:tcPr>
            <w:tcW w:w="244" w:type="pct"/>
            <w:tcBorders>
              <w:top w:val="nil"/>
              <w:left w:val="nil"/>
              <w:bottom w:val="nil"/>
              <w:right w:val="nil"/>
            </w:tcBorders>
            <w:noWrap/>
            <w:vAlign w:val="center"/>
            <w:hideMark/>
          </w:tcPr>
          <w:p w14:paraId="796E94FE" w14:textId="70CC6C8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2256C09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528606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29079561" w14:textId="6D6D4F3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2FA802F" w14:textId="1583C8E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D2CD359" w14:textId="77777777" w:rsidTr="22DB2182">
        <w:trPr>
          <w:trHeight w:val="20"/>
        </w:trPr>
        <w:tc>
          <w:tcPr>
            <w:tcW w:w="456" w:type="pct"/>
            <w:tcBorders>
              <w:top w:val="nil"/>
              <w:left w:val="nil"/>
              <w:bottom w:val="nil"/>
              <w:right w:val="nil"/>
            </w:tcBorders>
            <w:noWrap/>
            <w:vAlign w:val="center"/>
            <w:hideMark/>
          </w:tcPr>
          <w:p w14:paraId="48A78243" w14:textId="6AAA792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roofErr w:type="spellStart"/>
            <w:r w:rsidRPr="0065213A">
              <w:rPr>
                <w:rFonts w:ascii="Times New Roman" w:eastAsia="Times New Roman" w:hAnsi="Times New Roman" w:cs="Times New Roman"/>
                <w:color w:val="000000"/>
                <w:sz w:val="8"/>
                <w:szCs w:val="8"/>
              </w:rPr>
              <w:t>Madiouni</w:t>
            </w:r>
            <w:proofErr w:type="spellEnd"/>
            <w:r w:rsidRPr="0065213A">
              <w:rPr>
                <w:rFonts w:ascii="Times New Roman" w:eastAsia="Times New Roman" w:hAnsi="Times New Roman" w:cs="Times New Roman"/>
                <w:color w:val="000000"/>
                <w:sz w:val="8"/>
                <w:szCs w:val="8"/>
              </w:rPr>
              <w:t>,</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179g49a9it","properties":{"unsorted":false,"formattedCitation":"(2020)","plainCitation":"(2020)","noteIndex":0},"citationItems":[{"id":136,"uris":["http://zotero.org/users/8613739/items/NJUUZZIQ"],"itemData":{"id":136,"type":"article-journal","abstract":"Sleepiness and mind-wandering are frequently experienced by patients with attention-deficit/hyperactivity disorder (ADHD), without ever having been jointly explored. We aimed to investigate the co-occurrence of these two phenomena in ADHD adults. Drug-free ADHD adults (n = 25) and healthy controls (n = 28) underwent an online experience sampling of mind-wandering episodes and subjective sleepiness. Participants completed self-reported measures of mind-wandering and sleepiness in daily life. Higher trait of mind-wandering was observed in ADHD patients compared to controls. On the whole sample, self-reported mind-wandering propensity was strongly associated with the severity of inattentive, impulsive and hyperactive symptoms. During the probes, patients reported more frequent episodes of mind-wandering and mind-blanking, and higher sleepiness. Their mind-wandering episodes were less intentional and belonged less frequently to a structured succession of thoughts. In both groups, mind-wandering and mind-blanking were associated with higher sleepiness. On the SART, patients were less accurate than controls. We provide first initial evidence for higher propensity of mind-wandering and mind-blanking using experience sampling in patients with formal ADHD diagnosis. This propensity was associated with sleepiness without negatively impacting attention performances. Mind-wandering and sleepiness have common determinants potentially involved in ADHD pathophysiology. Correlates of mind-blanking in ADHD adults remain to be characterized.","citation-key":"madiouniMindwanderingSleepinessAdults2020","container-title":"Psychiatry Research","DOI":"10.1016/j.psychres.2020.112901","ISSN":"1872-7123","journalAbbreviation":"Psychiatry Res","language":"eng","page":"112901","PMID":"32155443","source":"PubMed","title":"Mind-wandering and sleepiness in adults with attention-deficit/hyperactivity disorder","volume":"287","author":[{"family":"Madiouni","given":"Clarisse"},{"family":"Lopez","given":"Régis"},{"family":"Gély-Nargeot","given":"Marie-Christine"},{"family":"Lebrun","given":"Cindy"},{"family":"Bayard","given":"Sophie"}],"issued":{"date-parts":[["2020",5]]}},"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(2020)</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5D3D258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0DD54FB6" w14:textId="7BBFA92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570C7C1"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absence of thought content</w:t>
            </w:r>
          </w:p>
          <w:p w14:paraId="4B5FBE47" w14:textId="5108B0BB"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an empty mind</w:t>
            </w:r>
          </w:p>
        </w:tc>
        <w:tc>
          <w:tcPr>
            <w:tcW w:w="228" w:type="pct"/>
            <w:tcBorders>
              <w:top w:val="nil"/>
              <w:left w:val="nil"/>
              <w:bottom w:val="nil"/>
              <w:right w:val="nil"/>
            </w:tcBorders>
            <w:noWrap/>
            <w:vAlign w:val="center"/>
            <w:hideMark/>
          </w:tcPr>
          <w:p w14:paraId="3313765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196" w:type="pct"/>
            <w:tcBorders>
              <w:top w:val="nil"/>
              <w:left w:val="nil"/>
              <w:bottom w:val="nil"/>
              <w:right w:val="nil"/>
            </w:tcBorders>
            <w:noWrap/>
            <w:vAlign w:val="center"/>
            <w:hideMark/>
          </w:tcPr>
          <w:p w14:paraId="0CB0E66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0.094</w:t>
            </w:r>
          </w:p>
        </w:tc>
        <w:tc>
          <w:tcPr>
            <w:tcW w:w="199" w:type="pct"/>
            <w:tcBorders>
              <w:top w:val="nil"/>
              <w:left w:val="nil"/>
              <w:bottom w:val="nil"/>
              <w:right w:val="nil"/>
            </w:tcBorders>
            <w:noWrap/>
            <w:vAlign w:val="center"/>
            <w:hideMark/>
          </w:tcPr>
          <w:p w14:paraId="79844A6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6327E9D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0D440BB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0682676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3C6119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SART</w:t>
            </w:r>
          </w:p>
        </w:tc>
        <w:tc>
          <w:tcPr>
            <w:tcW w:w="244" w:type="pct"/>
            <w:tcBorders>
              <w:top w:val="nil"/>
              <w:left w:val="nil"/>
              <w:bottom w:val="nil"/>
              <w:right w:val="nil"/>
            </w:tcBorders>
            <w:noWrap/>
            <w:vAlign w:val="center"/>
            <w:hideMark/>
          </w:tcPr>
          <w:p w14:paraId="709EB88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1419327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5B1AD9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ADHD</w:t>
            </w:r>
          </w:p>
        </w:tc>
        <w:tc>
          <w:tcPr>
            <w:tcW w:w="338" w:type="pct"/>
            <w:tcBorders>
              <w:top w:val="nil"/>
              <w:left w:val="nil"/>
              <w:bottom w:val="nil"/>
              <w:right w:val="nil"/>
            </w:tcBorders>
            <w:noWrap/>
            <w:vAlign w:val="center"/>
            <w:hideMark/>
          </w:tcPr>
          <w:p w14:paraId="2C5E243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32A05D6C" w14:textId="02C9F9F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8DCF438" w14:textId="77777777" w:rsidTr="22DB2182">
        <w:trPr>
          <w:trHeight w:val="20"/>
        </w:trPr>
        <w:tc>
          <w:tcPr>
            <w:tcW w:w="456" w:type="pct"/>
            <w:tcBorders>
              <w:top w:val="nil"/>
              <w:left w:val="nil"/>
              <w:bottom w:val="nil"/>
              <w:right w:val="nil"/>
            </w:tcBorders>
            <w:noWrap/>
            <w:vAlign w:val="center"/>
            <w:hideMark/>
          </w:tcPr>
          <w:p w14:paraId="4BB4D26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72F78CE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1DE6816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2EFFC28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24D7B5E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28</w:t>
            </w:r>
          </w:p>
        </w:tc>
        <w:tc>
          <w:tcPr>
            <w:tcW w:w="196" w:type="pct"/>
            <w:tcBorders>
              <w:top w:val="nil"/>
              <w:left w:val="nil"/>
              <w:bottom w:val="nil"/>
              <w:right w:val="nil"/>
            </w:tcBorders>
            <w:noWrap/>
            <w:vAlign w:val="center"/>
            <w:hideMark/>
          </w:tcPr>
          <w:p w14:paraId="0269289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0.026</w:t>
            </w:r>
          </w:p>
        </w:tc>
        <w:tc>
          <w:tcPr>
            <w:tcW w:w="199" w:type="pct"/>
            <w:tcBorders>
              <w:top w:val="nil"/>
              <w:left w:val="nil"/>
              <w:bottom w:val="nil"/>
              <w:right w:val="nil"/>
            </w:tcBorders>
            <w:noWrap/>
            <w:vAlign w:val="center"/>
            <w:hideMark/>
          </w:tcPr>
          <w:p w14:paraId="174811D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42E2044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73CC1DF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78A59F2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04D8B90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SART</w:t>
            </w:r>
          </w:p>
        </w:tc>
        <w:tc>
          <w:tcPr>
            <w:tcW w:w="244" w:type="pct"/>
            <w:tcBorders>
              <w:top w:val="nil"/>
              <w:left w:val="nil"/>
              <w:bottom w:val="nil"/>
              <w:right w:val="nil"/>
            </w:tcBorders>
            <w:noWrap/>
            <w:vAlign w:val="center"/>
            <w:hideMark/>
          </w:tcPr>
          <w:p w14:paraId="093DF04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2837548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6DB32B4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D90AB1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01FFAEAE" w14:textId="198751A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DBD570C" w14:textId="77777777" w:rsidTr="22DB2182">
        <w:trPr>
          <w:trHeight w:val="20"/>
        </w:trPr>
        <w:tc>
          <w:tcPr>
            <w:tcW w:w="456" w:type="pct"/>
            <w:tcBorders>
              <w:top w:val="nil"/>
              <w:left w:val="nil"/>
              <w:bottom w:val="nil"/>
              <w:right w:val="nil"/>
            </w:tcBorders>
            <w:noWrap/>
            <w:vAlign w:val="center"/>
            <w:hideMark/>
          </w:tcPr>
          <w:p w14:paraId="5F91EC39" w14:textId="16988C2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McCormick,</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md3elheq7","properties":{"unsorted":false,"formattedCitation":"(2018)","plainCitation":"(2018)","noteIndex":0},"citationItems":[{"id":2247,"uris":["http://zotero.org/groups/4477283/items/8KX6EQQX"],"itemData":{"id":2247,"type":"article-journal","abstract":"Subjective inner experiences, such as mind-wandering, represent the fundaments of human cognition. Although the precise function of mind-wandering is still debated, it is increasingly acknowledged to have influence across cognition on processes such as future planning, creative thinking, and problem-solving and even on depressive rumination and other mental health disorders. Recently, there has been important progress in characterizing mind-wandering and identifying the associated neural networks. Two prominent features of mind-wandering are mental time travel and visuospatial imagery, which are often linked with the hippocampus. People with selective bilateral hippocampal damage cannot vividly recall events from their past, envision their future, or imagine fictitious scenes. This raises the question of whether the hippocampus plays a causal role in mind-wandering and, if so, in what way. Leveraging a unique opportunity to shadow people (all males) with bilateral hippocampal damage for several days, we examined, for the first time, what they thought about spontaneously, without direct task demands. We found that they engaged in as much mind-wandering as control participants. However, whereas controls thought about the past, present, and future, imagining vivid visual scenes, hippocampal damage resulted in thoughts primarily about the present comprising verbally mediated semantic knowledge. These findings expose the hippocampus as a key pillar in the neural architecture of mind-wandering and also reveal its impact beyond episodic memory, placing it at the heart of our mental life.\nSIGNIFICANCE STATEMENT Humans tend to mind-wander </w:instrText>
            </w:r>
            <w:r w:rsidR="00B633EE">
              <w:rPr>
                <w:rFonts w:ascii="Cambria Math" w:eastAsia="Times New Roman" w:hAnsi="Cambria Math" w:cs="Cambria Math"/>
                <w:color w:val="000000"/>
                <w:sz w:val="8"/>
                <w:szCs w:val="8"/>
              </w:rPr>
              <w:instrText>∼</w:instrText>
            </w:r>
            <w:r w:rsidR="00B633EE">
              <w:rPr>
                <w:rFonts w:ascii="Times New Roman" w:eastAsia="Times New Roman" w:hAnsi="Times New Roman" w:cs="Times New Roman"/>
                <w:color w:val="000000"/>
                <w:sz w:val="8"/>
                <w:szCs w:val="8"/>
              </w:rPr>
              <w:instrText xml:space="preserve">30–50% of their waking time. Two prominent features of this pervasive form of thought are mental time travel and visuospatial imagery, which are often associated with the hippocampus. To examine whether the hippocampus plays a causal role in mind-wandering, we examined the frequency and phenomenology of mind-wandering in patients with selective bilateral hippocampal damage. We found that they engaged in as much mind-wandering as controls. However, hippocampal damage changed the form and content of mind-wandering from flexible, episodic, and scene based to abstract, semanticized, and verbal. These findings expose the hippocampus as a key pillar in the neural architecture of mind-wandering and reveal its impact beyond episodic memory, placing it at the heart of our mental life.","citation-key":"mccormickMindWanderingPeopleHippocampal2018","container-title":"Journal of Neuroscience","DOI":"10.1523/JNEUROSCI.1812-17.2018","ISSN":"0270-6474, 1529-2401","issue":"11","journalAbbreviation":"J. Neurosci.","language":"en","license":"Copyright © 2018 McCormick et al.. This is an open-access article distributed under the terms of the Creative Commons Attribution License Creative Commons Attribution 4.0 International, which permits unrestricted use, distribution and reproduction in any medium provided that the original work is properly attributed.","page":"2745-2754","PMID":"29440532","publisher":"Society for Neuroscience","section":"Research Articles","source":"www.jneurosci.org","title":"Mind-Wandering in People with Hippocampal Damage","volume":"38","author":[{"family":"McCormick","given":"Cornelia"},{"family":"Rosenthal","given":"Clive R."},{"family":"Miller","given":"Thomas D."},{"family":"Maguire","given":"Eleanor A."}],"issued":{"date-parts":[["2018",3,14]]}},"suppress-author":true}],"schema":"https://github.com/citation-style-language/schema/raw/master/csl-citation.json"}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(2018)</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7C203C6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7BBABC6B" w14:textId="7754FE4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5DB5646" w14:textId="12AB4BD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28" w:type="pct"/>
            <w:tcBorders>
              <w:top w:val="nil"/>
              <w:left w:val="nil"/>
              <w:bottom w:val="nil"/>
              <w:right w:val="nil"/>
            </w:tcBorders>
            <w:noWrap/>
            <w:vAlign w:val="center"/>
            <w:hideMark/>
          </w:tcPr>
          <w:p w14:paraId="0A89899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196" w:type="pct"/>
            <w:tcBorders>
              <w:top w:val="nil"/>
              <w:left w:val="nil"/>
              <w:bottom w:val="nil"/>
              <w:right w:val="nil"/>
            </w:tcBorders>
            <w:noWrap/>
            <w:vAlign w:val="center"/>
            <w:hideMark/>
          </w:tcPr>
          <w:p w14:paraId="596FDDE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w:t>
            </w:r>
          </w:p>
        </w:tc>
        <w:tc>
          <w:tcPr>
            <w:tcW w:w="199" w:type="pct"/>
            <w:tcBorders>
              <w:top w:val="nil"/>
              <w:left w:val="nil"/>
              <w:bottom w:val="nil"/>
              <w:right w:val="nil"/>
            </w:tcBorders>
            <w:noWrap/>
            <w:vAlign w:val="center"/>
            <w:hideMark/>
          </w:tcPr>
          <w:p w14:paraId="33A12A1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48D92E51" w14:textId="50889E5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327" w:type="pct"/>
            <w:tcBorders>
              <w:top w:val="nil"/>
              <w:left w:val="nil"/>
              <w:bottom w:val="nil"/>
              <w:right w:val="nil"/>
            </w:tcBorders>
            <w:noWrap/>
            <w:vAlign w:val="center"/>
            <w:hideMark/>
          </w:tcPr>
          <w:p w14:paraId="4ED2B177" w14:textId="242E59E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03EF0C7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ecological</w:t>
            </w:r>
            <w:proofErr w:type="spellEnd"/>
            <w:proofErr w:type="gramEnd"/>
          </w:p>
        </w:tc>
        <w:tc>
          <w:tcPr>
            <w:tcW w:w="430" w:type="pct"/>
            <w:tcBorders>
              <w:top w:val="nil"/>
              <w:left w:val="nil"/>
              <w:bottom w:val="nil"/>
              <w:right w:val="nil"/>
            </w:tcBorders>
            <w:noWrap/>
            <w:vAlign w:val="center"/>
            <w:hideMark/>
          </w:tcPr>
          <w:p w14:paraId="04BE93E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Ecological</w:t>
            </w:r>
            <w:proofErr w:type="spellEnd"/>
          </w:p>
        </w:tc>
        <w:tc>
          <w:tcPr>
            <w:tcW w:w="244" w:type="pct"/>
            <w:tcBorders>
              <w:top w:val="nil"/>
              <w:left w:val="nil"/>
              <w:bottom w:val="nil"/>
              <w:right w:val="nil"/>
            </w:tcBorders>
            <w:noWrap/>
            <w:vAlign w:val="center"/>
            <w:hideMark/>
          </w:tcPr>
          <w:p w14:paraId="1E3C5710" w14:textId="213BA98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0BE4D45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64B3953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proofErr w:type="spellStart"/>
            <w:r w:rsidRPr="22DB2182">
              <w:rPr>
                <w:rFonts w:ascii="Times New Roman" w:eastAsia="Times New Roman" w:hAnsi="Times New Roman" w:cs="Times New Roman"/>
                <w:color w:val="000000" w:themeColor="text1"/>
                <w:sz w:val="8"/>
                <w:szCs w:val="8"/>
                <w:lang w:eastAsia="en-US"/>
              </w:rPr>
              <w:t>HippoDamage</w:t>
            </w:r>
            <w:proofErr w:type="spellEnd"/>
          </w:p>
        </w:tc>
        <w:tc>
          <w:tcPr>
            <w:tcW w:w="338" w:type="pct"/>
            <w:tcBorders>
              <w:top w:val="nil"/>
              <w:left w:val="nil"/>
              <w:bottom w:val="nil"/>
              <w:right w:val="nil"/>
            </w:tcBorders>
            <w:noWrap/>
            <w:vAlign w:val="center"/>
            <w:hideMark/>
          </w:tcPr>
          <w:p w14:paraId="586FC62E" w14:textId="08E3FCE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312A7D4" w14:textId="2D6B229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800D20F" w14:textId="77777777" w:rsidTr="22DB2182">
        <w:trPr>
          <w:trHeight w:val="20"/>
        </w:trPr>
        <w:tc>
          <w:tcPr>
            <w:tcW w:w="456" w:type="pct"/>
            <w:tcBorders>
              <w:top w:val="nil"/>
              <w:left w:val="nil"/>
              <w:bottom w:val="nil"/>
              <w:right w:val="nil"/>
            </w:tcBorders>
            <w:noWrap/>
            <w:vAlign w:val="center"/>
            <w:hideMark/>
          </w:tcPr>
          <w:p w14:paraId="33C1117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0C8059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648AE89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008C86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2BFE284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12</w:t>
            </w:r>
          </w:p>
        </w:tc>
        <w:tc>
          <w:tcPr>
            <w:tcW w:w="196" w:type="pct"/>
            <w:tcBorders>
              <w:top w:val="nil"/>
              <w:left w:val="nil"/>
              <w:bottom w:val="nil"/>
              <w:right w:val="nil"/>
            </w:tcBorders>
            <w:noWrap/>
            <w:vAlign w:val="center"/>
            <w:hideMark/>
          </w:tcPr>
          <w:p w14:paraId="505C49D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0.02</w:t>
            </w:r>
          </w:p>
        </w:tc>
        <w:tc>
          <w:tcPr>
            <w:tcW w:w="199" w:type="pct"/>
            <w:tcBorders>
              <w:top w:val="nil"/>
              <w:left w:val="nil"/>
              <w:bottom w:val="nil"/>
              <w:right w:val="nil"/>
            </w:tcBorders>
            <w:noWrap/>
            <w:vAlign w:val="center"/>
            <w:hideMark/>
          </w:tcPr>
          <w:p w14:paraId="7F88B3D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3A67FB93" w14:textId="021A8C1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327" w:type="pct"/>
            <w:tcBorders>
              <w:top w:val="nil"/>
              <w:left w:val="nil"/>
              <w:bottom w:val="nil"/>
              <w:right w:val="nil"/>
            </w:tcBorders>
            <w:noWrap/>
            <w:vAlign w:val="center"/>
            <w:hideMark/>
          </w:tcPr>
          <w:p w14:paraId="422B005B" w14:textId="4F7D1FA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06B9879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ecological</w:t>
            </w:r>
            <w:proofErr w:type="spellEnd"/>
            <w:proofErr w:type="gramEnd"/>
          </w:p>
        </w:tc>
        <w:tc>
          <w:tcPr>
            <w:tcW w:w="430" w:type="pct"/>
            <w:tcBorders>
              <w:top w:val="nil"/>
              <w:left w:val="nil"/>
              <w:bottom w:val="nil"/>
              <w:right w:val="nil"/>
            </w:tcBorders>
            <w:noWrap/>
            <w:vAlign w:val="center"/>
            <w:hideMark/>
          </w:tcPr>
          <w:p w14:paraId="169462B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Ecological</w:t>
            </w:r>
            <w:proofErr w:type="spellEnd"/>
          </w:p>
        </w:tc>
        <w:tc>
          <w:tcPr>
            <w:tcW w:w="244" w:type="pct"/>
            <w:tcBorders>
              <w:top w:val="nil"/>
              <w:left w:val="nil"/>
              <w:bottom w:val="nil"/>
              <w:right w:val="nil"/>
            </w:tcBorders>
            <w:noWrap/>
            <w:vAlign w:val="center"/>
            <w:hideMark/>
          </w:tcPr>
          <w:p w14:paraId="559C91D3" w14:textId="0E34269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7293291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29C1E3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A40DDB5" w14:textId="01B8F59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5863088" w14:textId="2FB2D5C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918F2B1" w14:textId="77777777" w:rsidTr="22DB2182">
        <w:trPr>
          <w:trHeight w:val="20"/>
        </w:trPr>
        <w:tc>
          <w:tcPr>
            <w:tcW w:w="456" w:type="pct"/>
            <w:tcBorders>
              <w:top w:val="nil"/>
              <w:left w:val="nil"/>
              <w:bottom w:val="nil"/>
              <w:right w:val="nil"/>
            </w:tcBorders>
            <w:noWrap/>
            <w:vAlign w:val="center"/>
            <w:hideMark/>
          </w:tcPr>
          <w:p w14:paraId="12875EA5" w14:textId="4564F39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Miller,</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{"citationID":"a1d1ltulgim","properties":{"unsorted":false,"formattedCitation":"(2025)","plainCitation":"(2025)","noteIndex":0},"citationItems":[{"id":5904,"uris":["http://zotero.org/users/8613739/items/4MUUP7P5"],"itemData":{"id":5904,"type":"article-journal","abstract":"The factors that trigger lapses of attention (e.g., mind-wandering) during new learning remain unclear. The present study investigated whether the likelihood of experiencing an attentional lapse depends on (a) the importance of the material being studied and (b) the learner's age. In two experiments, younger and older adults completed a delayed free recall task in which to-be-remembered words were paired with point values. Thought probes were embedded into the encoding phase of each list to provide an index of one's ability to maintain attention on task and prevent recurrent lapses of attention (i.e., the consistency of attention). Experiment 1 revealed all individuals better remembered high-value information at the expense of low-value information, and older adults were more frequently focused on the task than younger adults. Participants were also less likely to remember an item at test if they experienced an attentional lapse while learning said item, and they were more consistently focused on the task when studying high-value information than when studying low-value information. Age did not moderate either of these effects. Experiment 2 replicated the findings from Experiment 1 and further revealed that the positive association between age and attentional consistency was explained by age-related differences in affect, motivation, personality, and attention-deficit hyperactivity disorder symptomology. Once these factors were accounted for, older age was associated with increased attentional inconsistency (less on-task focus). While future replication of this finding is needed, implications for education and theories of both mind-wandering and aging are discussed. Public Significance Statement Discovering ways to help people stay focused while learning has posed a challenge for researchers. The present study shows that if an individual values the material they are learning, they are more likely to consistently pay attention to and remember said material, regardless of advancing age. Furthermore, while older adults generally do not remember information as well as younger adults, they are seemingly better able to stay focused on what they need to learn. However, when controlling for personality traits, attention-deficit hyperactivity disorder symptomology, affect, and task-specific motivation, the results suggest older adults may actually be more susceptible to various internal distractors (e.g., mind-wandering about an upcoming doctor's appointment or weekend plans) and external distractors (e.g., a stranger speaking loudly nearby) relative to younger adults. Overall, these findings highlight the multifaceted nature of one's ability to stay focused on what they are learning and offer insights for enhancing learning across different age groups.","citation-key":"millerMindwanderingWhenStudying2025","container-title":"Journal of experimental psychology. General","ISSN":"0096-3445","issue":"1","language":"eng","note":"tex.copyright: 2024 American Psychological Association","page":"190-227","publisher":"American Psychological Association","publisher-place":"United States","title":"Mind-wandering when studying valuable information: The roles of age, dispositional traits, and contextual factors","volume":"154","author":[{"family":"Miller","given":"Ashley L."},{"family":"Castel","given":"Alan D."}],"issued":{"date-parts":[["2025",1,1]]}},"suppress-author":true}],"schema":"https://github.com/citation-style-language/schema/raw/master/csl-citation.json"}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6E46A79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56E71454"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focused on anything</w:t>
            </w:r>
          </w:p>
          <w:p w14:paraId="27977EC2" w14:textId="71FB75E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absence of thought</w:t>
            </w:r>
          </w:p>
        </w:tc>
        <w:tc>
          <w:tcPr>
            <w:tcW w:w="679" w:type="pct"/>
            <w:tcBorders>
              <w:top w:val="nil"/>
              <w:left w:val="nil"/>
              <w:bottom w:val="nil"/>
              <w:right w:val="nil"/>
            </w:tcBorders>
            <w:noWrap/>
            <w:vAlign w:val="center"/>
            <w:hideMark/>
          </w:tcPr>
          <w:p w14:paraId="22CACCE7"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alert</w:t>
            </w:r>
          </w:p>
          <w:p w14:paraId="79E68F8C" w14:textId="11CA8E89"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my mind was blank</w:t>
            </w:r>
          </w:p>
        </w:tc>
        <w:tc>
          <w:tcPr>
            <w:tcW w:w="228" w:type="pct"/>
            <w:tcBorders>
              <w:top w:val="nil"/>
              <w:left w:val="nil"/>
              <w:bottom w:val="nil"/>
              <w:right w:val="nil"/>
            </w:tcBorders>
            <w:noWrap/>
            <w:vAlign w:val="center"/>
            <w:hideMark/>
          </w:tcPr>
          <w:p w14:paraId="1D1DDB1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63</w:t>
            </w:r>
          </w:p>
        </w:tc>
        <w:tc>
          <w:tcPr>
            <w:tcW w:w="196" w:type="pct"/>
            <w:tcBorders>
              <w:top w:val="nil"/>
              <w:left w:val="nil"/>
              <w:bottom w:val="nil"/>
              <w:right w:val="nil"/>
            </w:tcBorders>
            <w:noWrap/>
            <w:vAlign w:val="center"/>
            <w:hideMark/>
          </w:tcPr>
          <w:p w14:paraId="1D6B6E5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0.004</w:t>
            </w:r>
          </w:p>
        </w:tc>
        <w:tc>
          <w:tcPr>
            <w:tcW w:w="199" w:type="pct"/>
            <w:tcBorders>
              <w:top w:val="nil"/>
              <w:left w:val="nil"/>
              <w:bottom w:val="nil"/>
              <w:right w:val="nil"/>
            </w:tcBorders>
            <w:noWrap/>
            <w:vAlign w:val="center"/>
            <w:hideMark/>
          </w:tcPr>
          <w:p w14:paraId="3D7560D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18</w:t>
            </w:r>
          </w:p>
        </w:tc>
        <w:tc>
          <w:tcPr>
            <w:tcW w:w="218" w:type="pct"/>
            <w:tcBorders>
              <w:top w:val="nil"/>
              <w:left w:val="nil"/>
              <w:bottom w:val="nil"/>
              <w:right w:val="nil"/>
            </w:tcBorders>
            <w:noWrap/>
            <w:vAlign w:val="center"/>
            <w:hideMark/>
          </w:tcPr>
          <w:p w14:paraId="5B10F26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342FE1D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16</w:t>
            </w:r>
          </w:p>
        </w:tc>
        <w:tc>
          <w:tcPr>
            <w:tcW w:w="207" w:type="pct"/>
            <w:tcBorders>
              <w:top w:val="nil"/>
              <w:left w:val="nil"/>
              <w:bottom w:val="nil"/>
              <w:right w:val="nil"/>
            </w:tcBorders>
            <w:noWrap/>
            <w:vAlign w:val="center"/>
            <w:hideMark/>
          </w:tcPr>
          <w:p w14:paraId="2BF6A93A"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30C6E68B"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Delayed Free Recall</w:t>
            </w:r>
          </w:p>
        </w:tc>
        <w:tc>
          <w:tcPr>
            <w:tcW w:w="244" w:type="pct"/>
            <w:tcBorders>
              <w:top w:val="nil"/>
              <w:left w:val="nil"/>
              <w:bottom w:val="nil"/>
              <w:right w:val="nil"/>
            </w:tcBorders>
            <w:noWrap/>
            <w:vAlign w:val="center"/>
            <w:hideMark/>
          </w:tcPr>
          <w:p w14:paraId="59873F7B"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more</w:t>
            </w:r>
          </w:p>
        </w:tc>
        <w:tc>
          <w:tcPr>
            <w:tcW w:w="171" w:type="pct"/>
            <w:tcBorders>
              <w:top w:val="nil"/>
              <w:left w:val="nil"/>
              <w:bottom w:val="nil"/>
              <w:right w:val="nil"/>
            </w:tcBorders>
            <w:noWrap/>
            <w:vAlign w:val="center"/>
            <w:hideMark/>
          </w:tcPr>
          <w:p w14:paraId="349B3B7C"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4245C9CE"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0A5BC1CD" w14:textId="7ABF51E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D268067" w14:textId="18B55D3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326199D" w14:textId="77777777" w:rsidTr="22DB2182">
        <w:trPr>
          <w:trHeight w:val="20"/>
        </w:trPr>
        <w:tc>
          <w:tcPr>
            <w:tcW w:w="456" w:type="pct"/>
            <w:tcBorders>
              <w:top w:val="nil"/>
              <w:left w:val="nil"/>
              <w:bottom w:val="nil"/>
              <w:right w:val="nil"/>
            </w:tcBorders>
            <w:noWrap/>
            <w:vAlign w:val="center"/>
            <w:hideMark/>
          </w:tcPr>
          <w:p w14:paraId="5D23532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2F39093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3A23FA0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13B66A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2EDD465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61</w:t>
            </w:r>
          </w:p>
        </w:tc>
        <w:tc>
          <w:tcPr>
            <w:tcW w:w="196" w:type="pct"/>
            <w:tcBorders>
              <w:top w:val="nil"/>
              <w:left w:val="nil"/>
              <w:bottom w:val="nil"/>
              <w:right w:val="nil"/>
            </w:tcBorders>
            <w:noWrap/>
            <w:vAlign w:val="center"/>
            <w:hideMark/>
          </w:tcPr>
          <w:p w14:paraId="79E1651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0.01</w:t>
            </w:r>
          </w:p>
        </w:tc>
        <w:tc>
          <w:tcPr>
            <w:tcW w:w="199" w:type="pct"/>
            <w:tcBorders>
              <w:top w:val="nil"/>
              <w:left w:val="nil"/>
              <w:bottom w:val="nil"/>
              <w:right w:val="nil"/>
            </w:tcBorders>
            <w:noWrap/>
            <w:vAlign w:val="center"/>
            <w:hideMark/>
          </w:tcPr>
          <w:p w14:paraId="56F0984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18</w:t>
            </w:r>
          </w:p>
        </w:tc>
        <w:tc>
          <w:tcPr>
            <w:tcW w:w="218" w:type="pct"/>
            <w:tcBorders>
              <w:top w:val="nil"/>
              <w:left w:val="nil"/>
              <w:bottom w:val="nil"/>
              <w:right w:val="nil"/>
            </w:tcBorders>
            <w:noWrap/>
            <w:vAlign w:val="center"/>
            <w:hideMark/>
          </w:tcPr>
          <w:p w14:paraId="670F6D3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55DD5CA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16</w:t>
            </w:r>
          </w:p>
        </w:tc>
        <w:tc>
          <w:tcPr>
            <w:tcW w:w="207" w:type="pct"/>
            <w:tcBorders>
              <w:top w:val="nil"/>
              <w:left w:val="nil"/>
              <w:bottom w:val="nil"/>
              <w:right w:val="nil"/>
            </w:tcBorders>
            <w:noWrap/>
            <w:vAlign w:val="center"/>
            <w:hideMark/>
          </w:tcPr>
          <w:p w14:paraId="28392B32"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343AE88B"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Delayed Free Recall</w:t>
            </w:r>
          </w:p>
        </w:tc>
        <w:tc>
          <w:tcPr>
            <w:tcW w:w="244" w:type="pct"/>
            <w:tcBorders>
              <w:top w:val="nil"/>
              <w:left w:val="nil"/>
              <w:bottom w:val="nil"/>
              <w:right w:val="nil"/>
            </w:tcBorders>
            <w:noWrap/>
            <w:vAlign w:val="center"/>
            <w:hideMark/>
          </w:tcPr>
          <w:p w14:paraId="52F7EBFF"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more</w:t>
            </w:r>
          </w:p>
        </w:tc>
        <w:tc>
          <w:tcPr>
            <w:tcW w:w="171" w:type="pct"/>
            <w:tcBorders>
              <w:top w:val="nil"/>
              <w:left w:val="nil"/>
              <w:bottom w:val="nil"/>
              <w:right w:val="nil"/>
            </w:tcBorders>
            <w:noWrap/>
            <w:vAlign w:val="center"/>
            <w:hideMark/>
          </w:tcPr>
          <w:p w14:paraId="0C2564C4"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senior</w:t>
            </w:r>
          </w:p>
        </w:tc>
        <w:tc>
          <w:tcPr>
            <w:tcW w:w="283" w:type="pct"/>
            <w:tcBorders>
              <w:top w:val="nil"/>
              <w:left w:val="nil"/>
              <w:bottom w:val="nil"/>
              <w:right w:val="nil"/>
            </w:tcBorders>
            <w:noWrap/>
            <w:vAlign w:val="center"/>
            <w:hideMark/>
          </w:tcPr>
          <w:p w14:paraId="11975F7D"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7736FF4C" w14:textId="00C5C24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3ECEBFE" w14:textId="3DB9DEB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93E41AB" w14:textId="77777777" w:rsidTr="22DB2182">
        <w:trPr>
          <w:trHeight w:val="20"/>
        </w:trPr>
        <w:tc>
          <w:tcPr>
            <w:tcW w:w="456" w:type="pct"/>
            <w:tcBorders>
              <w:top w:val="nil"/>
              <w:left w:val="nil"/>
              <w:bottom w:val="nil"/>
              <w:right w:val="nil"/>
            </w:tcBorders>
            <w:noWrap/>
            <w:vAlign w:val="center"/>
            <w:hideMark/>
          </w:tcPr>
          <w:p w14:paraId="67B1413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61F1EF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2a</w:t>
            </w:r>
          </w:p>
        </w:tc>
        <w:tc>
          <w:tcPr>
            <w:tcW w:w="585" w:type="pct"/>
            <w:tcBorders>
              <w:top w:val="nil"/>
              <w:left w:val="nil"/>
              <w:bottom w:val="nil"/>
              <w:right w:val="nil"/>
            </w:tcBorders>
            <w:noWrap/>
            <w:vAlign w:val="center"/>
            <w:hideMark/>
          </w:tcPr>
          <w:p w14:paraId="42F3C79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D3DC2B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5643A9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108</w:t>
            </w:r>
          </w:p>
        </w:tc>
        <w:tc>
          <w:tcPr>
            <w:tcW w:w="196" w:type="pct"/>
            <w:tcBorders>
              <w:top w:val="nil"/>
              <w:left w:val="nil"/>
              <w:bottom w:val="nil"/>
              <w:right w:val="nil"/>
            </w:tcBorders>
            <w:noWrap/>
            <w:vAlign w:val="center"/>
            <w:hideMark/>
          </w:tcPr>
          <w:p w14:paraId="5129086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0.045</w:t>
            </w:r>
          </w:p>
        </w:tc>
        <w:tc>
          <w:tcPr>
            <w:tcW w:w="199" w:type="pct"/>
            <w:tcBorders>
              <w:top w:val="nil"/>
              <w:left w:val="nil"/>
              <w:bottom w:val="nil"/>
              <w:right w:val="nil"/>
            </w:tcBorders>
            <w:noWrap/>
            <w:vAlign w:val="center"/>
            <w:hideMark/>
          </w:tcPr>
          <w:p w14:paraId="2E3424D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27</w:t>
            </w:r>
          </w:p>
        </w:tc>
        <w:tc>
          <w:tcPr>
            <w:tcW w:w="218" w:type="pct"/>
            <w:tcBorders>
              <w:top w:val="nil"/>
              <w:left w:val="nil"/>
              <w:bottom w:val="nil"/>
              <w:right w:val="nil"/>
            </w:tcBorders>
            <w:noWrap/>
            <w:vAlign w:val="center"/>
            <w:hideMark/>
          </w:tcPr>
          <w:p w14:paraId="2175581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2DC249D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1197C03C"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05B66C55"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Delayed Free Recall</w:t>
            </w:r>
          </w:p>
        </w:tc>
        <w:tc>
          <w:tcPr>
            <w:tcW w:w="244" w:type="pct"/>
            <w:tcBorders>
              <w:top w:val="nil"/>
              <w:left w:val="nil"/>
              <w:bottom w:val="nil"/>
              <w:right w:val="nil"/>
            </w:tcBorders>
            <w:noWrap/>
            <w:vAlign w:val="center"/>
            <w:hideMark/>
          </w:tcPr>
          <w:p w14:paraId="4266A4A3"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more</w:t>
            </w:r>
          </w:p>
        </w:tc>
        <w:tc>
          <w:tcPr>
            <w:tcW w:w="171" w:type="pct"/>
            <w:tcBorders>
              <w:top w:val="nil"/>
              <w:left w:val="nil"/>
              <w:bottom w:val="nil"/>
              <w:right w:val="nil"/>
            </w:tcBorders>
            <w:noWrap/>
            <w:vAlign w:val="center"/>
            <w:hideMark/>
          </w:tcPr>
          <w:p w14:paraId="76C6DE0C"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46417496"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58226CA4" w14:textId="1EA2585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BAEBABA" w14:textId="5524E87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65970726" w14:textId="77777777" w:rsidTr="22DB2182">
        <w:trPr>
          <w:trHeight w:val="20"/>
        </w:trPr>
        <w:tc>
          <w:tcPr>
            <w:tcW w:w="456" w:type="pct"/>
            <w:tcBorders>
              <w:top w:val="nil"/>
              <w:left w:val="nil"/>
              <w:bottom w:val="nil"/>
              <w:right w:val="nil"/>
            </w:tcBorders>
            <w:noWrap/>
            <w:vAlign w:val="center"/>
            <w:hideMark/>
          </w:tcPr>
          <w:p w14:paraId="246A1DA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5FF818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2b</w:t>
            </w:r>
          </w:p>
        </w:tc>
        <w:tc>
          <w:tcPr>
            <w:tcW w:w="585" w:type="pct"/>
            <w:tcBorders>
              <w:top w:val="nil"/>
              <w:left w:val="nil"/>
              <w:bottom w:val="nil"/>
              <w:right w:val="nil"/>
            </w:tcBorders>
            <w:noWrap/>
            <w:vAlign w:val="center"/>
            <w:hideMark/>
          </w:tcPr>
          <w:p w14:paraId="0619024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879C07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41D8E76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108</w:t>
            </w:r>
          </w:p>
        </w:tc>
        <w:tc>
          <w:tcPr>
            <w:tcW w:w="196" w:type="pct"/>
            <w:tcBorders>
              <w:top w:val="nil"/>
              <w:left w:val="nil"/>
              <w:bottom w:val="nil"/>
              <w:right w:val="nil"/>
            </w:tcBorders>
            <w:noWrap/>
            <w:vAlign w:val="center"/>
            <w:hideMark/>
          </w:tcPr>
          <w:p w14:paraId="3931216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0.02</w:t>
            </w:r>
          </w:p>
        </w:tc>
        <w:tc>
          <w:tcPr>
            <w:tcW w:w="199" w:type="pct"/>
            <w:tcBorders>
              <w:top w:val="nil"/>
              <w:left w:val="nil"/>
              <w:bottom w:val="nil"/>
              <w:right w:val="nil"/>
            </w:tcBorders>
            <w:noWrap/>
            <w:vAlign w:val="center"/>
            <w:hideMark/>
          </w:tcPr>
          <w:p w14:paraId="2CDBF40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27</w:t>
            </w:r>
          </w:p>
        </w:tc>
        <w:tc>
          <w:tcPr>
            <w:tcW w:w="218" w:type="pct"/>
            <w:tcBorders>
              <w:top w:val="nil"/>
              <w:left w:val="nil"/>
              <w:bottom w:val="nil"/>
              <w:right w:val="nil"/>
            </w:tcBorders>
            <w:noWrap/>
            <w:vAlign w:val="center"/>
            <w:hideMark/>
          </w:tcPr>
          <w:p w14:paraId="0D2D17B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15F4A92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6609B11A"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1CDC2949"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Delayed Free Recall</w:t>
            </w:r>
          </w:p>
        </w:tc>
        <w:tc>
          <w:tcPr>
            <w:tcW w:w="244" w:type="pct"/>
            <w:tcBorders>
              <w:top w:val="nil"/>
              <w:left w:val="nil"/>
              <w:bottom w:val="nil"/>
              <w:right w:val="nil"/>
            </w:tcBorders>
            <w:noWrap/>
            <w:vAlign w:val="center"/>
            <w:hideMark/>
          </w:tcPr>
          <w:p w14:paraId="45288C24"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more</w:t>
            </w:r>
          </w:p>
        </w:tc>
        <w:tc>
          <w:tcPr>
            <w:tcW w:w="171" w:type="pct"/>
            <w:tcBorders>
              <w:top w:val="nil"/>
              <w:left w:val="nil"/>
              <w:bottom w:val="nil"/>
              <w:right w:val="nil"/>
            </w:tcBorders>
            <w:noWrap/>
            <w:vAlign w:val="center"/>
            <w:hideMark/>
          </w:tcPr>
          <w:p w14:paraId="3F952AE1"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senior</w:t>
            </w:r>
          </w:p>
        </w:tc>
        <w:tc>
          <w:tcPr>
            <w:tcW w:w="283" w:type="pct"/>
            <w:tcBorders>
              <w:top w:val="nil"/>
              <w:left w:val="nil"/>
              <w:bottom w:val="nil"/>
              <w:right w:val="nil"/>
            </w:tcBorders>
            <w:noWrap/>
            <w:vAlign w:val="center"/>
            <w:hideMark/>
          </w:tcPr>
          <w:p w14:paraId="589ABF7F"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43B14919" w14:textId="03F5E5C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034E1562" w14:textId="0B7DF6D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A80DABA" w14:textId="77777777" w:rsidTr="22DB2182">
        <w:trPr>
          <w:trHeight w:val="20"/>
        </w:trPr>
        <w:tc>
          <w:tcPr>
            <w:tcW w:w="456" w:type="pct"/>
            <w:tcBorders>
              <w:top w:val="nil"/>
              <w:left w:val="nil"/>
              <w:bottom w:val="nil"/>
              <w:right w:val="nil"/>
            </w:tcBorders>
            <w:noWrap/>
            <w:vAlign w:val="center"/>
            <w:hideMark/>
          </w:tcPr>
          <w:p w14:paraId="6DFA1FA3" w14:textId="335963F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Ortega,</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n9rlaj50c","properties":{"unsorted":false,"formattedCitation":"(2025)","plainCitation":"(2025)","noteIndex":0},"citationItems":[{"id":8594,"uris":["http://zotero.org/users/8613739/items/NRLLSLG6"],"itemData":{"id":8594,"type":"article-journal","citation-key":"ortegaWhenLifeDream2025","container-title":"Philosophy and the Mind Sciences","title":"When life is but a dream: Does transliminality predict continuity of thought across the sleep-wake cycle?","volume":"6","author":[{"family":"Ortega","given":"Joshua R"},{"family":"Gross","given":"Madeleine E"},{"family":"Schooler","given":"Jonathan W"}],"issued":{"date-parts":[["2025"]]}},"suppress-author":true}],"schema":"https://github.com/citation-style-language/schema/raw/master/csl-citation.json"}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2F9C911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247740AE"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lack of conscious awareness</w:t>
            </w:r>
          </w:p>
        </w:tc>
        <w:tc>
          <w:tcPr>
            <w:tcW w:w="679" w:type="pct"/>
            <w:tcBorders>
              <w:top w:val="nil"/>
              <w:left w:val="nil"/>
              <w:bottom w:val="nil"/>
              <w:right w:val="nil"/>
            </w:tcBorders>
            <w:noWrap/>
            <w:vAlign w:val="center"/>
            <w:hideMark/>
          </w:tcPr>
          <w:p w14:paraId="0DF90976"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thinking of anything</w:t>
            </w:r>
          </w:p>
        </w:tc>
        <w:tc>
          <w:tcPr>
            <w:tcW w:w="228" w:type="pct"/>
            <w:tcBorders>
              <w:top w:val="nil"/>
              <w:left w:val="nil"/>
              <w:bottom w:val="nil"/>
              <w:right w:val="nil"/>
            </w:tcBorders>
            <w:noWrap/>
            <w:vAlign w:val="center"/>
            <w:hideMark/>
          </w:tcPr>
          <w:p w14:paraId="25ECBAD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116</w:t>
            </w:r>
          </w:p>
        </w:tc>
        <w:tc>
          <w:tcPr>
            <w:tcW w:w="196" w:type="pct"/>
            <w:tcBorders>
              <w:top w:val="nil"/>
              <w:left w:val="nil"/>
              <w:bottom w:val="nil"/>
              <w:right w:val="nil"/>
            </w:tcBorders>
            <w:noWrap/>
            <w:vAlign w:val="center"/>
            <w:hideMark/>
          </w:tcPr>
          <w:p w14:paraId="05C80B0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0.076</w:t>
            </w:r>
          </w:p>
        </w:tc>
        <w:tc>
          <w:tcPr>
            <w:tcW w:w="199" w:type="pct"/>
            <w:tcBorders>
              <w:top w:val="nil"/>
              <w:left w:val="nil"/>
              <w:bottom w:val="nil"/>
              <w:right w:val="nil"/>
            </w:tcBorders>
            <w:noWrap/>
            <w:vAlign w:val="center"/>
            <w:hideMark/>
          </w:tcPr>
          <w:p w14:paraId="665B748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42</w:t>
            </w:r>
          </w:p>
        </w:tc>
        <w:tc>
          <w:tcPr>
            <w:tcW w:w="218" w:type="pct"/>
            <w:tcBorders>
              <w:top w:val="nil"/>
              <w:left w:val="nil"/>
              <w:bottom w:val="nil"/>
              <w:right w:val="nil"/>
            </w:tcBorders>
            <w:noWrap/>
            <w:vAlign w:val="center"/>
            <w:hideMark/>
          </w:tcPr>
          <w:p w14:paraId="5D92B50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w:t>
            </w:r>
          </w:p>
        </w:tc>
        <w:tc>
          <w:tcPr>
            <w:tcW w:w="327" w:type="pct"/>
            <w:tcBorders>
              <w:top w:val="nil"/>
              <w:left w:val="nil"/>
              <w:bottom w:val="nil"/>
              <w:right w:val="nil"/>
            </w:tcBorders>
            <w:noWrap/>
            <w:vAlign w:val="center"/>
            <w:hideMark/>
          </w:tcPr>
          <w:p w14:paraId="6038117B" w14:textId="7A744CC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62037525"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ecological</w:t>
            </w:r>
          </w:p>
        </w:tc>
        <w:tc>
          <w:tcPr>
            <w:tcW w:w="430" w:type="pct"/>
            <w:tcBorders>
              <w:top w:val="nil"/>
              <w:left w:val="nil"/>
              <w:bottom w:val="nil"/>
              <w:right w:val="nil"/>
            </w:tcBorders>
            <w:noWrap/>
            <w:vAlign w:val="center"/>
            <w:hideMark/>
          </w:tcPr>
          <w:p w14:paraId="39B20800"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Ecological</w:t>
            </w:r>
          </w:p>
        </w:tc>
        <w:tc>
          <w:tcPr>
            <w:tcW w:w="244" w:type="pct"/>
            <w:tcBorders>
              <w:top w:val="nil"/>
              <w:left w:val="nil"/>
              <w:bottom w:val="nil"/>
              <w:right w:val="nil"/>
            </w:tcBorders>
            <w:noWrap/>
            <w:vAlign w:val="center"/>
            <w:hideMark/>
          </w:tcPr>
          <w:p w14:paraId="7DE9AFA1" w14:textId="5AB18B7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0903A635"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6C0BF653"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21F5BB66" w14:textId="684017B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B230B99" w14:textId="7DDBA0B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AAAD73E" w14:textId="77777777" w:rsidTr="22DB2182">
        <w:trPr>
          <w:trHeight w:val="20"/>
        </w:trPr>
        <w:tc>
          <w:tcPr>
            <w:tcW w:w="456" w:type="pct"/>
            <w:tcBorders>
              <w:top w:val="nil"/>
              <w:left w:val="nil"/>
              <w:bottom w:val="nil"/>
              <w:right w:val="nil"/>
            </w:tcBorders>
            <w:noWrap/>
            <w:vAlign w:val="center"/>
            <w:hideMark/>
          </w:tcPr>
          <w:p w14:paraId="7C53EC01" w14:textId="1EA0D0B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roofErr w:type="spellStart"/>
            <w:r w:rsidRPr="0065213A">
              <w:rPr>
                <w:rFonts w:ascii="Times New Roman" w:eastAsia="Times New Roman" w:hAnsi="Times New Roman" w:cs="Times New Roman"/>
                <w:color w:val="000000"/>
                <w:sz w:val="8"/>
                <w:szCs w:val="8"/>
              </w:rPr>
              <w:t>Pinggal</w:t>
            </w:r>
            <w:proofErr w:type="spellEnd"/>
            <w:r w:rsidRPr="0065213A">
              <w:rPr>
                <w:rFonts w:ascii="Times New Roman" w:eastAsia="Times New Roman" w:hAnsi="Times New Roman" w:cs="Times New Roman"/>
                <w:color w:val="000000"/>
                <w:sz w:val="8"/>
                <w:szCs w:val="8"/>
              </w:rPr>
              <w:t>,</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24j86qbb46","properties":{"unsorted":false,"formattedCitation":"(2026)","plainCitation":"(2026)","noteIndex":0},"citationItems":[{"id":17883,"uris":["http://zotero.org/users/8613739/items/Y55WJEAJ"],"itemData":{"id":17883,"type":"article-journal","abstract":"Attention-deficit/hyperactivity disorder (ADHD) is characterized by behavioral variability and heightened inattention associated with increased mind wandering (MW) and mind blanking (MB). Individuals with ADHD frequently experience sleep disorders and excessive daytime sleepiness, suggesting interactions between attention and arousal systems. Research examining brain activity using electroencephalography (EEG) has demonstrated that sleep-like slow waves (SWs) during wakefulness are linked to inattention in neurotypical individuals following sleep deprivation, yet their role in ADHD remains unclear. This study investigated whether individuals with ADHD present with altered waking SW distribution compared with neurotypical controls and whether SWs explain attentional difficulties in ADHD. Adults with (n = 32) and without ADHD (n = 31) completed a sustained attention task while EEG recorded brain activity. Mental state probes (on-task, MW, MB) were embedded within the task. Sleep-like SWs reflect cortical slowing and were detected from EEG activity. Omission/commission errors, reaction time (RT), RT variability, mental state reports, and subjective sleepiness were analyzed. Mediation analysis examined whether SW density explained ADHD-related performance differences. Individuals with ADHD exhibited more commission errors, MW and MB, more theta oscillations over frontotemporal electrodes, and higher SW density (SW/minute) over parietotemporal electrodes. Increased SW density correlated with higher omission errors, slower RTs, greater RT variability, and elevated sleepiness ratings. On-task reports were negatively correlated with SW density. Mediation analysis revealed that SW density significantly accounted for ADHD-related attentional difficulties. Wake SW may explain attentional difficulties in ADHD, providing a potential mechanistic link between sleep disturbances and attentional fluctuations.","citation-key":"pinggalSleepLikeSlowWaves2026","container-title":"The Journal of Neuroscience: The Official Journal of the Society for Neuroscience","DOI":"10.1523/JNEUROSCI.1694-25.2025","ISSN":"1529-2401","issue":"15","journalAbbreviation":"J Neurosci","language":"eng","page":"e1694252025","PMID":"41839570","PMCID":"PMC13086247","source":"PubMed","title":"Sleep-Like Slow Waves during Wakefulness Mediate Attention and Vigilance Difficulties in Adult Attention-Deficit/Hyperactivity Disorder","volume":"46","author":[{"family":"Pinggal","given":"Elaine"},{"family":"Jackson","given":"James"},{"family":"Kusztor","given":"Anikó"},{"family":"Chapman","given":"David"},{"family":"Windt","given":"Jennifer"},{"family":"Drummond","given":"Sean P. A."},{"family":"Silk","given":"Tim J."},{"family":"Bellgrove","given":"Mark A."},{"family":"Andrillon","given":"Thomas"}],"issued":{"date-parts":[["2026",4,15]]}},"suppress-author":true}],"schema":"https://github.com/citation-style-language/schema/raw/master/csl-citation.json"}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(2026)</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3A91EBC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5262793C" w14:textId="6FE6098A"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 xml:space="preserve">absence of </w:t>
            </w:r>
            <w:r w:rsidR="0075190F" w:rsidRPr="00C142D5">
              <w:rPr>
                <w:rFonts w:ascii="Times New Roman" w:eastAsia="Times New Roman" w:hAnsi="Times New Roman" w:cs="Times New Roman"/>
                <w:color w:val="000000" w:themeColor="text1"/>
                <w:sz w:val="8"/>
                <w:szCs w:val="8"/>
                <w:lang w:val="en-GB" w:eastAsia="en-US"/>
              </w:rPr>
              <w:t>thought</w:t>
            </w:r>
          </w:p>
          <w:p w14:paraId="0B0F3698" w14:textId="3BEB7133"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thinking of nothing</w:t>
            </w:r>
          </w:p>
        </w:tc>
        <w:tc>
          <w:tcPr>
            <w:tcW w:w="679" w:type="pct"/>
            <w:tcBorders>
              <w:top w:val="nil"/>
              <w:left w:val="nil"/>
              <w:bottom w:val="nil"/>
              <w:right w:val="nil"/>
            </w:tcBorders>
            <w:noWrap/>
            <w:vAlign w:val="center"/>
            <w:hideMark/>
          </w:tcPr>
          <w:p w14:paraId="61AE1E03"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thinking of nothing</w:t>
            </w:r>
          </w:p>
        </w:tc>
        <w:tc>
          <w:tcPr>
            <w:tcW w:w="228" w:type="pct"/>
            <w:tcBorders>
              <w:top w:val="nil"/>
              <w:left w:val="nil"/>
              <w:bottom w:val="nil"/>
              <w:right w:val="nil"/>
            </w:tcBorders>
            <w:noWrap/>
            <w:vAlign w:val="center"/>
            <w:hideMark/>
          </w:tcPr>
          <w:p w14:paraId="6FC24D2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31</w:t>
            </w:r>
          </w:p>
        </w:tc>
        <w:tc>
          <w:tcPr>
            <w:tcW w:w="196" w:type="pct"/>
            <w:tcBorders>
              <w:top w:val="nil"/>
              <w:left w:val="nil"/>
              <w:bottom w:val="nil"/>
              <w:right w:val="nil"/>
            </w:tcBorders>
            <w:noWrap/>
            <w:vAlign w:val="center"/>
            <w:hideMark/>
          </w:tcPr>
          <w:p w14:paraId="0C16B8D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0.106</w:t>
            </w:r>
          </w:p>
        </w:tc>
        <w:tc>
          <w:tcPr>
            <w:tcW w:w="199" w:type="pct"/>
            <w:tcBorders>
              <w:top w:val="nil"/>
              <w:left w:val="nil"/>
              <w:bottom w:val="nil"/>
              <w:right w:val="nil"/>
            </w:tcBorders>
            <w:noWrap/>
            <w:vAlign w:val="center"/>
            <w:hideMark/>
          </w:tcPr>
          <w:p w14:paraId="5EBF057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218" w:type="pct"/>
            <w:tcBorders>
              <w:top w:val="nil"/>
              <w:left w:val="nil"/>
              <w:bottom w:val="nil"/>
              <w:right w:val="nil"/>
            </w:tcBorders>
            <w:noWrap/>
            <w:vAlign w:val="center"/>
            <w:hideMark/>
          </w:tcPr>
          <w:p w14:paraId="6141D13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3504182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52</w:t>
            </w:r>
          </w:p>
        </w:tc>
        <w:tc>
          <w:tcPr>
            <w:tcW w:w="207" w:type="pct"/>
            <w:tcBorders>
              <w:top w:val="nil"/>
              <w:left w:val="nil"/>
              <w:bottom w:val="nil"/>
              <w:right w:val="nil"/>
            </w:tcBorders>
            <w:noWrap/>
            <w:vAlign w:val="center"/>
            <w:hideMark/>
          </w:tcPr>
          <w:p w14:paraId="791F5C97"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4330178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27043818"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67E8A936"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63B07B2B"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047218CF"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en-GB" w:eastAsia="en-US"/>
              </w:rPr>
            </w:pPr>
            <w:r w:rsidRPr="00C142D5">
              <w:rPr>
                <w:rFonts w:ascii="Times New Roman" w:eastAsia="Times New Roman" w:hAnsi="Times New Roman" w:cs="Times New Roman"/>
                <w:color w:val="000000" w:themeColor="text1"/>
                <w:sz w:val="8"/>
                <w:szCs w:val="8"/>
                <w:lang w:val="en-GB" w:eastAsia="en-US"/>
              </w:rPr>
              <w:t>vigilance</w:t>
            </w:r>
          </w:p>
        </w:tc>
        <w:tc>
          <w:tcPr>
            <w:tcW w:w="246" w:type="pct"/>
            <w:tcBorders>
              <w:top w:val="nil"/>
              <w:left w:val="nil"/>
              <w:bottom w:val="nil"/>
              <w:right w:val="nil"/>
            </w:tcBorders>
            <w:noWrap/>
            <w:vAlign w:val="center"/>
            <w:hideMark/>
          </w:tcPr>
          <w:p w14:paraId="282E7E2A" w14:textId="6DB2BF9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70677E1" w14:textId="77777777" w:rsidTr="22DB2182">
        <w:trPr>
          <w:trHeight w:val="20"/>
        </w:trPr>
        <w:tc>
          <w:tcPr>
            <w:tcW w:w="456" w:type="pct"/>
            <w:tcBorders>
              <w:top w:val="nil"/>
              <w:left w:val="nil"/>
              <w:bottom w:val="nil"/>
              <w:right w:val="nil"/>
            </w:tcBorders>
            <w:noWrap/>
            <w:vAlign w:val="center"/>
            <w:hideMark/>
          </w:tcPr>
          <w:p w14:paraId="2710320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335BFB7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6ACB555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5965C5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4460B51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w:t>
            </w:r>
          </w:p>
        </w:tc>
        <w:tc>
          <w:tcPr>
            <w:tcW w:w="196" w:type="pct"/>
            <w:tcBorders>
              <w:top w:val="nil"/>
              <w:left w:val="nil"/>
              <w:bottom w:val="nil"/>
              <w:right w:val="nil"/>
            </w:tcBorders>
            <w:noWrap/>
            <w:vAlign w:val="center"/>
            <w:hideMark/>
          </w:tcPr>
          <w:p w14:paraId="4D10247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0.182</w:t>
            </w:r>
          </w:p>
        </w:tc>
        <w:tc>
          <w:tcPr>
            <w:tcW w:w="199" w:type="pct"/>
            <w:tcBorders>
              <w:top w:val="nil"/>
              <w:left w:val="nil"/>
              <w:bottom w:val="nil"/>
              <w:right w:val="nil"/>
            </w:tcBorders>
            <w:noWrap/>
            <w:vAlign w:val="center"/>
            <w:hideMark/>
          </w:tcPr>
          <w:p w14:paraId="7F55009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218" w:type="pct"/>
            <w:tcBorders>
              <w:top w:val="nil"/>
              <w:left w:val="nil"/>
              <w:bottom w:val="nil"/>
              <w:right w:val="nil"/>
            </w:tcBorders>
            <w:noWrap/>
            <w:vAlign w:val="center"/>
            <w:hideMark/>
          </w:tcPr>
          <w:p w14:paraId="7B05772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1BB7FCA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52</w:t>
            </w:r>
          </w:p>
        </w:tc>
        <w:tc>
          <w:tcPr>
            <w:tcW w:w="207" w:type="pct"/>
            <w:tcBorders>
              <w:top w:val="nil"/>
              <w:left w:val="nil"/>
              <w:bottom w:val="nil"/>
              <w:right w:val="nil"/>
            </w:tcBorders>
            <w:noWrap/>
            <w:vAlign w:val="center"/>
            <w:hideMark/>
          </w:tcPr>
          <w:p w14:paraId="7C63D659"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1D230C1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6492CC34"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6EB0D389"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10B0172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ADHD</w:t>
            </w:r>
          </w:p>
        </w:tc>
        <w:tc>
          <w:tcPr>
            <w:tcW w:w="338" w:type="pct"/>
            <w:tcBorders>
              <w:top w:val="nil"/>
              <w:left w:val="nil"/>
              <w:bottom w:val="nil"/>
              <w:right w:val="nil"/>
            </w:tcBorders>
            <w:noWrap/>
            <w:vAlign w:val="center"/>
            <w:hideMark/>
          </w:tcPr>
          <w:p w14:paraId="4E74C154"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en-GB" w:eastAsia="en-US"/>
              </w:rPr>
            </w:pPr>
            <w:r w:rsidRPr="00C142D5">
              <w:rPr>
                <w:rFonts w:ascii="Times New Roman" w:eastAsia="Times New Roman" w:hAnsi="Times New Roman" w:cs="Times New Roman"/>
                <w:color w:val="000000" w:themeColor="text1"/>
                <w:sz w:val="8"/>
                <w:szCs w:val="8"/>
                <w:lang w:val="en-GB" w:eastAsia="en-US"/>
              </w:rPr>
              <w:t>vigilance</w:t>
            </w:r>
          </w:p>
        </w:tc>
        <w:tc>
          <w:tcPr>
            <w:tcW w:w="246" w:type="pct"/>
            <w:tcBorders>
              <w:top w:val="nil"/>
              <w:left w:val="nil"/>
              <w:bottom w:val="nil"/>
              <w:right w:val="nil"/>
            </w:tcBorders>
            <w:noWrap/>
            <w:vAlign w:val="center"/>
            <w:hideMark/>
          </w:tcPr>
          <w:p w14:paraId="70299A04" w14:textId="7D6CD59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F96782C" w14:textId="77777777" w:rsidTr="22DB2182">
        <w:trPr>
          <w:trHeight w:val="20"/>
        </w:trPr>
        <w:tc>
          <w:tcPr>
            <w:tcW w:w="456" w:type="pct"/>
            <w:tcBorders>
              <w:top w:val="nil"/>
              <w:left w:val="nil"/>
              <w:bottom w:val="nil"/>
              <w:right w:val="nil"/>
            </w:tcBorders>
            <w:noWrap/>
            <w:vAlign w:val="center"/>
            <w:hideMark/>
          </w:tcPr>
          <w:p w14:paraId="1E319FEC" w14:textId="7F5BB85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Robison,</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{"citationID":"a16rtmrp9bt","properties":{"unsorted":false,"formattedCitation":"(2017)","plainCitation":"(2017)","noteIndex":0},"citationItems":[{"id":5983,"uris":["http://zotero.org/users/8613739/items/XAE3FWJ9"],"itemData":{"id":5983,"type":"article-journal","abstract":"Across two experiments we examined individual differences in the use of precues and retrocues to guide the selective encoding and maintenance of information in visual working memory (WM). In Experiment 1 , we used spatial cues to indicate which item would be tested either before or after the presentation of a memory array. Regression analyses allowed us to separate variance due to visual WM capacity and attention control differences. In Experiment 2 , we used categorical cues to indicate from which subset of items the tested item would be drawn, and we measured attention control with two independent tasks. Collectively, the results supported the idea that an element of individual differences in WM is the ability to flexibly allocate attention to encode only relevant information and subsequently select relevant information during maintenance stages.","citation-key":"robisonVariationUseCues2017","container-title":"Attention, perception &amp; psychophysics","ISSN":"1943-3921","issue":"6","language":"eng","note":"tex.copyright: The Psychonomic Society, Inc. 2017","page":"1652-1665","publisher":"Springer US","publisher-place":"New York","title":"Variation in the use of cues to guide visual working memory","volume":"79","author":[{"family":"Robison","given":"Matthew K."},{"family":"Unsworth","given":"Nash"}],"issued":{"date-parts":[["2017",8]]}},"suppress-author":true}],"schema":"https://github.com/citation-style-language/schema/raw/master/csl-citation.json"}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(2017)</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70D0E88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2a</w:t>
            </w:r>
          </w:p>
        </w:tc>
        <w:tc>
          <w:tcPr>
            <w:tcW w:w="585" w:type="pct"/>
            <w:tcBorders>
              <w:top w:val="nil"/>
              <w:left w:val="nil"/>
              <w:bottom w:val="nil"/>
              <w:right w:val="nil"/>
            </w:tcBorders>
            <w:noWrap/>
            <w:vAlign w:val="center"/>
            <w:hideMark/>
          </w:tcPr>
          <w:p w14:paraId="1974EA3F" w14:textId="534B556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8A57495" w14:textId="68E944DE"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alert</w:t>
            </w:r>
          </w:p>
          <w:p w14:paraId="354B21B8" w14:textId="72F3A8F3"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my mind was blank</w:t>
            </w:r>
          </w:p>
        </w:tc>
        <w:tc>
          <w:tcPr>
            <w:tcW w:w="228" w:type="pct"/>
            <w:tcBorders>
              <w:top w:val="nil"/>
              <w:left w:val="nil"/>
              <w:bottom w:val="nil"/>
              <w:right w:val="nil"/>
            </w:tcBorders>
            <w:noWrap/>
            <w:vAlign w:val="center"/>
            <w:hideMark/>
          </w:tcPr>
          <w:p w14:paraId="1E59577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171</w:t>
            </w:r>
          </w:p>
        </w:tc>
        <w:tc>
          <w:tcPr>
            <w:tcW w:w="196" w:type="pct"/>
            <w:tcBorders>
              <w:top w:val="nil"/>
              <w:left w:val="nil"/>
              <w:bottom w:val="nil"/>
              <w:right w:val="nil"/>
            </w:tcBorders>
            <w:noWrap/>
            <w:vAlign w:val="center"/>
            <w:hideMark/>
          </w:tcPr>
          <w:p w14:paraId="647DAFA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0.117</w:t>
            </w:r>
          </w:p>
        </w:tc>
        <w:tc>
          <w:tcPr>
            <w:tcW w:w="199" w:type="pct"/>
            <w:tcBorders>
              <w:top w:val="nil"/>
              <w:left w:val="nil"/>
              <w:bottom w:val="nil"/>
              <w:right w:val="nil"/>
            </w:tcBorders>
            <w:noWrap/>
            <w:vAlign w:val="center"/>
            <w:hideMark/>
          </w:tcPr>
          <w:p w14:paraId="44C936D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18" w:type="pct"/>
            <w:tcBorders>
              <w:top w:val="nil"/>
              <w:left w:val="nil"/>
              <w:bottom w:val="nil"/>
              <w:right w:val="nil"/>
            </w:tcBorders>
            <w:noWrap/>
            <w:vAlign w:val="center"/>
            <w:hideMark/>
          </w:tcPr>
          <w:p w14:paraId="7649E2B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0B8C90E8" w14:textId="0C173B6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2A9FCDC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FA524CD" w14:textId="724E13F0"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proofErr w:type="spellStart"/>
            <w:r w:rsidRPr="22DB2182">
              <w:rPr>
                <w:rFonts w:ascii="Times New Roman" w:eastAsia="Times New Roman" w:hAnsi="Times New Roman" w:cs="Times New Roman"/>
                <w:color w:val="000000" w:themeColor="text1"/>
                <w:sz w:val="8"/>
                <w:szCs w:val="8"/>
                <w:lang w:eastAsia="en-US"/>
              </w:rPr>
              <w:t>Antisaccade</w:t>
            </w:r>
            <w:proofErr w:type="spellEnd"/>
          </w:p>
        </w:tc>
        <w:tc>
          <w:tcPr>
            <w:tcW w:w="244" w:type="pct"/>
            <w:tcBorders>
              <w:top w:val="nil"/>
              <w:left w:val="nil"/>
              <w:bottom w:val="nil"/>
              <w:right w:val="nil"/>
            </w:tcBorders>
            <w:noWrap/>
            <w:vAlign w:val="center"/>
            <w:hideMark/>
          </w:tcPr>
          <w:p w14:paraId="0D81B57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441AC29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51A8BF9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1CB441F" w14:textId="385FC94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E01368B" w14:textId="4DB8D88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8D70712" w14:textId="77777777" w:rsidTr="22DB2182">
        <w:trPr>
          <w:trHeight w:val="20"/>
        </w:trPr>
        <w:tc>
          <w:tcPr>
            <w:tcW w:w="456" w:type="pct"/>
            <w:tcBorders>
              <w:top w:val="nil"/>
              <w:left w:val="nil"/>
              <w:bottom w:val="nil"/>
              <w:right w:val="nil"/>
            </w:tcBorders>
            <w:noWrap/>
            <w:vAlign w:val="center"/>
            <w:hideMark/>
          </w:tcPr>
          <w:p w14:paraId="1A8CE54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2A43F47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2b</w:t>
            </w:r>
          </w:p>
        </w:tc>
        <w:tc>
          <w:tcPr>
            <w:tcW w:w="585" w:type="pct"/>
            <w:tcBorders>
              <w:top w:val="nil"/>
              <w:left w:val="nil"/>
              <w:bottom w:val="nil"/>
              <w:right w:val="nil"/>
            </w:tcBorders>
            <w:noWrap/>
            <w:vAlign w:val="center"/>
            <w:hideMark/>
          </w:tcPr>
          <w:p w14:paraId="0C052FE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3E0B61C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55B2ACE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171</w:t>
            </w:r>
          </w:p>
        </w:tc>
        <w:tc>
          <w:tcPr>
            <w:tcW w:w="196" w:type="pct"/>
            <w:tcBorders>
              <w:top w:val="nil"/>
              <w:left w:val="nil"/>
              <w:bottom w:val="nil"/>
              <w:right w:val="nil"/>
            </w:tcBorders>
            <w:noWrap/>
            <w:vAlign w:val="center"/>
            <w:hideMark/>
          </w:tcPr>
          <w:p w14:paraId="429F770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0.085</w:t>
            </w:r>
          </w:p>
        </w:tc>
        <w:tc>
          <w:tcPr>
            <w:tcW w:w="199" w:type="pct"/>
            <w:tcBorders>
              <w:top w:val="nil"/>
              <w:left w:val="nil"/>
              <w:bottom w:val="nil"/>
              <w:right w:val="nil"/>
            </w:tcBorders>
            <w:noWrap/>
            <w:vAlign w:val="center"/>
            <w:hideMark/>
          </w:tcPr>
          <w:p w14:paraId="7AA5227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w:t>
            </w:r>
          </w:p>
        </w:tc>
        <w:tc>
          <w:tcPr>
            <w:tcW w:w="218" w:type="pct"/>
            <w:tcBorders>
              <w:top w:val="nil"/>
              <w:left w:val="nil"/>
              <w:bottom w:val="nil"/>
              <w:right w:val="nil"/>
            </w:tcBorders>
            <w:noWrap/>
            <w:vAlign w:val="center"/>
            <w:hideMark/>
          </w:tcPr>
          <w:p w14:paraId="2C28763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274CECC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07" w:type="pct"/>
            <w:tcBorders>
              <w:top w:val="nil"/>
              <w:left w:val="nil"/>
              <w:bottom w:val="nil"/>
              <w:right w:val="nil"/>
            </w:tcBorders>
            <w:noWrap/>
            <w:vAlign w:val="center"/>
            <w:hideMark/>
          </w:tcPr>
          <w:p w14:paraId="4D24A0B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135F06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5D53B50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F545D5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28E2C0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733CA6FE" w14:textId="4758381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8DF47EB" w14:textId="1E6CC44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15CDAE0" w14:textId="77777777" w:rsidTr="22DB2182">
        <w:trPr>
          <w:trHeight w:val="20"/>
        </w:trPr>
        <w:tc>
          <w:tcPr>
            <w:tcW w:w="456" w:type="pct"/>
            <w:tcBorders>
              <w:top w:val="nil"/>
              <w:left w:val="nil"/>
              <w:bottom w:val="nil"/>
              <w:right w:val="nil"/>
            </w:tcBorders>
            <w:noWrap/>
            <w:vAlign w:val="center"/>
            <w:hideMark/>
          </w:tcPr>
          <w:p w14:paraId="5C370B63" w14:textId="532C76F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Robison,</w:t>
            </w:r>
            <w:r w:rsidR="00AE5F57">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fbrin4kem","properties":{"unsorted":false,"formattedCitation":"(2018)","plainCitation":"(2018)","noteIndex":0},"citationItems":[{"id":5950,"uris":["http://zotero.org/users/8613739/items/33BASMLQ"],"itemData":{"id":5950,"type":"article-journal","abstract":"Individuals with greater cognitive abilities generally show reduced rates of mind-wandering when completing relatively demanding tasks (Randall, Oswald, &amp; Beier, 2014). However, it is yet unclear whether elevated rates of mind-wandering among low-ability individuals are manifestations of deliberate, intentional episodes of mind-wandering because of task disengagement or lack of motivation, or to spontaneous, unintentional failures to maintain task-oriented attention. The present study examined this issue by measuring working memory capacity (WMC), mind-wandering during 3 relatively demanding attention control tasks, and contextual variables (e.g., motivation, alertness, perceptions of task unpleasantness). Results indicated that the relationship between WMC and mind-wandering was primarily driven by spontaneous episodes. Lack of alertness also uniquely predicted more frequent spontaneous mind-wandering independently of WMC. Deliberate mind-wandering was primarily driven by a lack of motivation. Thus, cognitive and contextual factors can have distinct relationships with spontaneous and deliberate mind-wandering.","citation-key":"robisonCognitiveContextualCorrelates2018","container-title":"Journal of experimental psychology. Learning, memory, and cognition","ISSN":"0278-7393","issue":"1","language":"eng","note":"tex.copyright: 2017 American Psychological Association","page":"85-98","publisher":"American Psychological Association","publisher-place":"United States","title":"Cognitive and contextual correlates of spontaneous and deliberate mind-wandering","volume":"44","author":[{"family":"Robison","given":"Matthew K."},{"family":"Unsworth","given":"Nash"}],"issued":{"date-parts":[["2018",1]]}},"suppress-author":true}],"schema":"https://github.com/citation-style-language/schema/raw/master/csl-citation.json"} </w:instrText>
            </w:r>
            <w:r w:rsidR="00AE5F57">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(2018)</w:t>
            </w:r>
            <w:r w:rsidR="00AE5F57">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46BCCA9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53B55687" w14:textId="4DB22C7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6092081"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alert</w:t>
            </w:r>
          </w:p>
          <w:p w14:paraId="6EC5580D" w14:textId="606D23F4"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my mind was blank</w:t>
            </w:r>
          </w:p>
        </w:tc>
        <w:tc>
          <w:tcPr>
            <w:tcW w:w="228" w:type="pct"/>
            <w:tcBorders>
              <w:top w:val="nil"/>
              <w:left w:val="nil"/>
              <w:bottom w:val="nil"/>
              <w:right w:val="nil"/>
            </w:tcBorders>
            <w:noWrap/>
            <w:vAlign w:val="center"/>
            <w:hideMark/>
          </w:tcPr>
          <w:p w14:paraId="23CFD0D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205</w:t>
            </w:r>
          </w:p>
        </w:tc>
        <w:tc>
          <w:tcPr>
            <w:tcW w:w="196" w:type="pct"/>
            <w:tcBorders>
              <w:top w:val="nil"/>
              <w:left w:val="nil"/>
              <w:bottom w:val="nil"/>
              <w:right w:val="nil"/>
            </w:tcBorders>
            <w:noWrap/>
            <w:vAlign w:val="center"/>
            <w:hideMark/>
          </w:tcPr>
          <w:p w14:paraId="768C04D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0.12</w:t>
            </w:r>
          </w:p>
        </w:tc>
        <w:tc>
          <w:tcPr>
            <w:tcW w:w="199" w:type="pct"/>
            <w:tcBorders>
              <w:top w:val="nil"/>
              <w:left w:val="nil"/>
              <w:bottom w:val="nil"/>
              <w:right w:val="nil"/>
            </w:tcBorders>
            <w:noWrap/>
            <w:vAlign w:val="center"/>
            <w:hideMark/>
          </w:tcPr>
          <w:p w14:paraId="74A2E7D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11</w:t>
            </w:r>
          </w:p>
        </w:tc>
        <w:tc>
          <w:tcPr>
            <w:tcW w:w="218" w:type="pct"/>
            <w:tcBorders>
              <w:top w:val="nil"/>
              <w:left w:val="nil"/>
              <w:bottom w:val="nil"/>
              <w:right w:val="nil"/>
            </w:tcBorders>
            <w:noWrap/>
            <w:vAlign w:val="center"/>
            <w:hideMark/>
          </w:tcPr>
          <w:p w14:paraId="28A65DB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1165C0CC" w14:textId="47616B5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07A2160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7032A0D7" w14:textId="7F5F975B"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proofErr w:type="spellStart"/>
            <w:r w:rsidRPr="22DB2182">
              <w:rPr>
                <w:rFonts w:ascii="Times New Roman" w:eastAsia="Times New Roman" w:hAnsi="Times New Roman" w:cs="Times New Roman"/>
                <w:color w:val="000000" w:themeColor="text1"/>
                <w:sz w:val="8"/>
                <w:szCs w:val="8"/>
                <w:lang w:eastAsia="en-US"/>
              </w:rPr>
              <w:t>Antisaccade</w:t>
            </w:r>
            <w:proofErr w:type="spellEnd"/>
          </w:p>
        </w:tc>
        <w:tc>
          <w:tcPr>
            <w:tcW w:w="244" w:type="pct"/>
            <w:tcBorders>
              <w:top w:val="nil"/>
              <w:left w:val="nil"/>
              <w:bottom w:val="nil"/>
              <w:right w:val="nil"/>
            </w:tcBorders>
            <w:noWrap/>
            <w:vAlign w:val="center"/>
            <w:hideMark/>
          </w:tcPr>
          <w:p w14:paraId="615143B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059F23F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53275F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BE48562" w14:textId="113E8B7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8DDD5B8" w14:textId="27788B5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E2C6838" w14:textId="77777777" w:rsidTr="22DB2182">
        <w:trPr>
          <w:trHeight w:val="20"/>
        </w:trPr>
        <w:tc>
          <w:tcPr>
            <w:tcW w:w="456" w:type="pct"/>
            <w:tcBorders>
              <w:top w:val="nil"/>
              <w:left w:val="nil"/>
              <w:bottom w:val="nil"/>
              <w:right w:val="nil"/>
            </w:tcBorders>
            <w:noWrap/>
            <w:vAlign w:val="center"/>
            <w:hideMark/>
          </w:tcPr>
          <w:p w14:paraId="62456D7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C860B0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1c</w:t>
            </w:r>
          </w:p>
        </w:tc>
        <w:tc>
          <w:tcPr>
            <w:tcW w:w="585" w:type="pct"/>
            <w:tcBorders>
              <w:top w:val="nil"/>
              <w:left w:val="nil"/>
              <w:bottom w:val="nil"/>
              <w:right w:val="nil"/>
            </w:tcBorders>
            <w:noWrap/>
            <w:vAlign w:val="center"/>
            <w:hideMark/>
          </w:tcPr>
          <w:p w14:paraId="5D62272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98580B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31A82CD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203</w:t>
            </w:r>
          </w:p>
        </w:tc>
        <w:tc>
          <w:tcPr>
            <w:tcW w:w="196" w:type="pct"/>
            <w:tcBorders>
              <w:top w:val="nil"/>
              <w:left w:val="nil"/>
              <w:bottom w:val="nil"/>
              <w:right w:val="nil"/>
            </w:tcBorders>
            <w:noWrap/>
            <w:vAlign w:val="center"/>
            <w:hideMark/>
          </w:tcPr>
          <w:p w14:paraId="1BCC588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w:t>
            </w:r>
          </w:p>
        </w:tc>
        <w:tc>
          <w:tcPr>
            <w:tcW w:w="199" w:type="pct"/>
            <w:tcBorders>
              <w:top w:val="nil"/>
              <w:left w:val="nil"/>
              <w:bottom w:val="nil"/>
              <w:right w:val="nil"/>
            </w:tcBorders>
            <w:noWrap/>
            <w:vAlign w:val="center"/>
            <w:hideMark/>
          </w:tcPr>
          <w:p w14:paraId="096DA7B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21</w:t>
            </w:r>
          </w:p>
        </w:tc>
        <w:tc>
          <w:tcPr>
            <w:tcW w:w="218" w:type="pct"/>
            <w:tcBorders>
              <w:top w:val="nil"/>
              <w:left w:val="nil"/>
              <w:bottom w:val="nil"/>
              <w:right w:val="nil"/>
            </w:tcBorders>
            <w:noWrap/>
            <w:vAlign w:val="center"/>
            <w:hideMark/>
          </w:tcPr>
          <w:p w14:paraId="4EC6C09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39D7166E" w14:textId="5685D31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0B844EE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6DD4D98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Stroop</w:t>
            </w:r>
          </w:p>
        </w:tc>
        <w:tc>
          <w:tcPr>
            <w:tcW w:w="244" w:type="pct"/>
            <w:tcBorders>
              <w:top w:val="nil"/>
              <w:left w:val="nil"/>
              <w:bottom w:val="nil"/>
              <w:right w:val="nil"/>
            </w:tcBorders>
            <w:noWrap/>
            <w:vAlign w:val="center"/>
            <w:hideMark/>
          </w:tcPr>
          <w:p w14:paraId="19AACEF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48D1A96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E5D851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4C718DF" w14:textId="6700987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511FD39" w14:textId="1CE6B98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C55D355" w14:textId="77777777" w:rsidTr="22DB2182">
        <w:trPr>
          <w:trHeight w:val="20"/>
        </w:trPr>
        <w:tc>
          <w:tcPr>
            <w:tcW w:w="456" w:type="pct"/>
            <w:tcBorders>
              <w:top w:val="nil"/>
              <w:left w:val="nil"/>
              <w:bottom w:val="nil"/>
              <w:right w:val="nil"/>
            </w:tcBorders>
            <w:noWrap/>
            <w:vAlign w:val="center"/>
            <w:hideMark/>
          </w:tcPr>
          <w:p w14:paraId="18A71792" w14:textId="6F39203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Robison,</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{"citationID":"a144m91jg9","properties":{"unsorted":false,"formattedCitation":"(2019)","plainCitation":"(2019)","noteIndex":0},"citationItems":[{"id":16154,"uris":["http://zotero.org/groups/6160358/items/5MA49RST"],"itemData":{"id":16154,"type":"article-journal","abstract":"A recent surge of interest in the empirical measurement of mind-wandering has led to an increase in the use of thought-probing to measure attentional states, which has led to large variation in methodologies across studies (Weinstein in Behavior Research Methods, 50, 642-661, 2018). Three sources of variation in methodology include the frequency of thought probes during a task, the number of response options provided for each probe, and the way in which various attentional states are framed during the task instructions. Method variation can potentially affect behavioral performance on the tasks in which thought probes are embedded, the experience of various attentional states within those tasks, and/or response biases to the thought probes. Therefore, such variation can be problematic, both pragmatically and theoretically. Across three experiments, we examined how manipulating probe frequency, response options, and framing affected behavioral performance and responses to thought probes. Probe frequency and framing did not affect behavioral performance or probe responses. But, in light of the present results, we argue that thought probes need at least three responses, corresponding to on-task, off-task, and task-related interference. When researchers are specifically investigating mind-wandering, the probe responses should also distinguish between mind-wandering, external distraction, and mind-blanking.","citation-key":"robisonExaminingEffectsProbe2019a","container-title":"Behavior research methods","DOI":"10.3758/s13428-019-01212-6","ISSN":"1554-3528 1554-351X","issue":"1","language":"eng","page":"398–408","PMID":"30788799","title":"Examining the effects of probe frequency, response options, and framing within the thought-probe method.","volume":"51","author":[{"family":"Robison","given":"Matthew K."},{"family":"Miller","given":"Ashley L."},{"family":"Unsworth","given":"Nash"}],"issued":{"date-parts":[["2019",2]]}},"suppress-author":true}],"schema":"https://github.com/citation-style-language/schema/raw/master/csl-citation.json"}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(2019)</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5D3FECB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786A1168" w14:textId="5A68E3E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7570D5E"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focused on task</w:t>
            </w:r>
          </w:p>
          <w:p w14:paraId="3F1A578F"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thinking of anything</w:t>
            </w:r>
          </w:p>
          <w:p w14:paraId="663D370F"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zoned out</w:t>
            </w:r>
          </w:p>
          <w:p w14:paraId="182AC190" w14:textId="2039D8C1"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my mind was blank</w:t>
            </w:r>
          </w:p>
        </w:tc>
        <w:tc>
          <w:tcPr>
            <w:tcW w:w="228" w:type="pct"/>
            <w:tcBorders>
              <w:top w:val="nil"/>
              <w:left w:val="nil"/>
              <w:bottom w:val="nil"/>
              <w:right w:val="nil"/>
            </w:tcBorders>
            <w:noWrap/>
            <w:vAlign w:val="center"/>
            <w:hideMark/>
          </w:tcPr>
          <w:p w14:paraId="3B5071A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29</w:t>
            </w:r>
          </w:p>
        </w:tc>
        <w:tc>
          <w:tcPr>
            <w:tcW w:w="196" w:type="pct"/>
            <w:tcBorders>
              <w:top w:val="nil"/>
              <w:left w:val="nil"/>
              <w:bottom w:val="nil"/>
              <w:right w:val="nil"/>
            </w:tcBorders>
            <w:noWrap/>
            <w:vAlign w:val="center"/>
            <w:hideMark/>
          </w:tcPr>
          <w:p w14:paraId="1825D4D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w:t>
            </w:r>
          </w:p>
        </w:tc>
        <w:tc>
          <w:tcPr>
            <w:tcW w:w="199" w:type="pct"/>
            <w:tcBorders>
              <w:top w:val="nil"/>
              <w:left w:val="nil"/>
              <w:bottom w:val="nil"/>
              <w:right w:val="nil"/>
            </w:tcBorders>
            <w:noWrap/>
            <w:vAlign w:val="center"/>
            <w:hideMark/>
          </w:tcPr>
          <w:p w14:paraId="7E61F6A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45</w:t>
            </w:r>
          </w:p>
        </w:tc>
        <w:tc>
          <w:tcPr>
            <w:tcW w:w="218" w:type="pct"/>
            <w:tcBorders>
              <w:top w:val="nil"/>
              <w:left w:val="nil"/>
              <w:bottom w:val="nil"/>
              <w:right w:val="nil"/>
            </w:tcBorders>
            <w:noWrap/>
            <w:vAlign w:val="center"/>
            <w:hideMark/>
          </w:tcPr>
          <w:p w14:paraId="0F40E66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47D4911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40CE8FE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F741A8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342AF6C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F48FCB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5E12DD1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4B82CE6" w14:textId="04FD2AE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89F24DB" w14:textId="7F62D88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BCBD190" w14:textId="77777777" w:rsidTr="22DB2182">
        <w:trPr>
          <w:trHeight w:val="20"/>
        </w:trPr>
        <w:tc>
          <w:tcPr>
            <w:tcW w:w="456" w:type="pct"/>
            <w:tcBorders>
              <w:top w:val="nil"/>
              <w:left w:val="nil"/>
              <w:bottom w:val="nil"/>
              <w:right w:val="nil"/>
            </w:tcBorders>
            <w:noWrap/>
            <w:vAlign w:val="center"/>
            <w:hideMark/>
          </w:tcPr>
          <w:p w14:paraId="53991B6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33BD08B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7605686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883B35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F836B1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34</w:t>
            </w:r>
          </w:p>
        </w:tc>
        <w:tc>
          <w:tcPr>
            <w:tcW w:w="196" w:type="pct"/>
            <w:tcBorders>
              <w:top w:val="nil"/>
              <w:left w:val="nil"/>
              <w:bottom w:val="nil"/>
              <w:right w:val="nil"/>
            </w:tcBorders>
            <w:noWrap/>
            <w:vAlign w:val="center"/>
            <w:hideMark/>
          </w:tcPr>
          <w:p w14:paraId="6FAF44F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w:t>
            </w:r>
          </w:p>
        </w:tc>
        <w:tc>
          <w:tcPr>
            <w:tcW w:w="199" w:type="pct"/>
            <w:tcBorders>
              <w:top w:val="nil"/>
              <w:left w:val="nil"/>
              <w:bottom w:val="nil"/>
              <w:right w:val="nil"/>
            </w:tcBorders>
            <w:noWrap/>
            <w:vAlign w:val="center"/>
            <w:hideMark/>
          </w:tcPr>
          <w:p w14:paraId="31F49C6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90</w:t>
            </w:r>
          </w:p>
        </w:tc>
        <w:tc>
          <w:tcPr>
            <w:tcW w:w="218" w:type="pct"/>
            <w:tcBorders>
              <w:top w:val="nil"/>
              <w:left w:val="nil"/>
              <w:bottom w:val="nil"/>
              <w:right w:val="nil"/>
            </w:tcBorders>
            <w:noWrap/>
            <w:vAlign w:val="center"/>
            <w:hideMark/>
          </w:tcPr>
          <w:p w14:paraId="102106F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5E14182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43EE75E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E2D85B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2370A2A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31D290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0BBC02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DC713AC" w14:textId="0E195DE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94A8B39" w14:textId="7E343CD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6CF970FE" w14:textId="77777777" w:rsidTr="22DB2182">
        <w:trPr>
          <w:trHeight w:val="20"/>
        </w:trPr>
        <w:tc>
          <w:tcPr>
            <w:tcW w:w="456" w:type="pct"/>
            <w:tcBorders>
              <w:top w:val="nil"/>
              <w:left w:val="nil"/>
              <w:bottom w:val="nil"/>
              <w:right w:val="nil"/>
            </w:tcBorders>
            <w:noWrap/>
            <w:vAlign w:val="center"/>
            <w:hideMark/>
          </w:tcPr>
          <w:p w14:paraId="3533629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0F594C0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w:t>
            </w:r>
          </w:p>
        </w:tc>
        <w:tc>
          <w:tcPr>
            <w:tcW w:w="585" w:type="pct"/>
            <w:tcBorders>
              <w:top w:val="nil"/>
              <w:left w:val="nil"/>
              <w:bottom w:val="nil"/>
              <w:right w:val="nil"/>
            </w:tcBorders>
            <w:noWrap/>
            <w:vAlign w:val="center"/>
            <w:hideMark/>
          </w:tcPr>
          <w:p w14:paraId="6FC6DCA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3B0C7F7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981B42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29</w:t>
            </w:r>
          </w:p>
        </w:tc>
        <w:tc>
          <w:tcPr>
            <w:tcW w:w="196" w:type="pct"/>
            <w:tcBorders>
              <w:top w:val="nil"/>
              <w:left w:val="nil"/>
              <w:bottom w:val="nil"/>
              <w:right w:val="nil"/>
            </w:tcBorders>
            <w:noWrap/>
            <w:vAlign w:val="center"/>
            <w:hideMark/>
          </w:tcPr>
          <w:p w14:paraId="2FE8BBB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w:t>
            </w:r>
          </w:p>
        </w:tc>
        <w:tc>
          <w:tcPr>
            <w:tcW w:w="199" w:type="pct"/>
            <w:tcBorders>
              <w:top w:val="nil"/>
              <w:left w:val="nil"/>
              <w:bottom w:val="nil"/>
              <w:right w:val="nil"/>
            </w:tcBorders>
            <w:noWrap/>
            <w:vAlign w:val="center"/>
            <w:hideMark/>
          </w:tcPr>
          <w:p w14:paraId="0E76583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45</w:t>
            </w:r>
          </w:p>
        </w:tc>
        <w:tc>
          <w:tcPr>
            <w:tcW w:w="218" w:type="pct"/>
            <w:tcBorders>
              <w:top w:val="nil"/>
              <w:left w:val="nil"/>
              <w:bottom w:val="nil"/>
              <w:right w:val="nil"/>
            </w:tcBorders>
            <w:noWrap/>
            <w:vAlign w:val="center"/>
            <w:hideMark/>
          </w:tcPr>
          <w:p w14:paraId="6D23E03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145CB54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43A454C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254BE7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581BBE3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B5CF56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84078A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C620DB0" w14:textId="350FAAE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8B40390" w14:textId="351B1D0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593BE81" w14:textId="77777777" w:rsidTr="22DB2182">
        <w:trPr>
          <w:trHeight w:val="20"/>
        </w:trPr>
        <w:tc>
          <w:tcPr>
            <w:tcW w:w="456" w:type="pct"/>
            <w:tcBorders>
              <w:top w:val="nil"/>
              <w:left w:val="nil"/>
              <w:bottom w:val="nil"/>
              <w:right w:val="nil"/>
            </w:tcBorders>
            <w:noWrap/>
            <w:vAlign w:val="center"/>
            <w:hideMark/>
          </w:tcPr>
          <w:p w14:paraId="3870BDA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58279EF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3a</w:t>
            </w:r>
          </w:p>
        </w:tc>
        <w:tc>
          <w:tcPr>
            <w:tcW w:w="585" w:type="pct"/>
            <w:tcBorders>
              <w:top w:val="nil"/>
              <w:left w:val="nil"/>
              <w:bottom w:val="nil"/>
              <w:right w:val="nil"/>
            </w:tcBorders>
            <w:noWrap/>
            <w:vAlign w:val="center"/>
            <w:hideMark/>
          </w:tcPr>
          <w:p w14:paraId="030AE6B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440D02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557EE07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29</w:t>
            </w:r>
          </w:p>
        </w:tc>
        <w:tc>
          <w:tcPr>
            <w:tcW w:w="196" w:type="pct"/>
            <w:tcBorders>
              <w:top w:val="nil"/>
              <w:left w:val="nil"/>
              <w:bottom w:val="nil"/>
              <w:right w:val="nil"/>
            </w:tcBorders>
            <w:noWrap/>
            <w:vAlign w:val="center"/>
            <w:hideMark/>
          </w:tcPr>
          <w:p w14:paraId="7F76BDE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0.04</w:t>
            </w:r>
          </w:p>
        </w:tc>
        <w:tc>
          <w:tcPr>
            <w:tcW w:w="199" w:type="pct"/>
            <w:tcBorders>
              <w:top w:val="nil"/>
              <w:left w:val="nil"/>
              <w:bottom w:val="nil"/>
              <w:right w:val="nil"/>
            </w:tcBorders>
            <w:noWrap/>
            <w:vAlign w:val="center"/>
            <w:hideMark/>
          </w:tcPr>
          <w:p w14:paraId="095F297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75</w:t>
            </w:r>
          </w:p>
        </w:tc>
        <w:tc>
          <w:tcPr>
            <w:tcW w:w="218" w:type="pct"/>
            <w:tcBorders>
              <w:top w:val="nil"/>
              <w:left w:val="nil"/>
              <w:bottom w:val="nil"/>
              <w:right w:val="nil"/>
            </w:tcBorders>
            <w:noWrap/>
            <w:vAlign w:val="center"/>
            <w:hideMark/>
          </w:tcPr>
          <w:p w14:paraId="22C7AF0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61915FE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2117FC2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0312D9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69AF20B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7E87206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0F2653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E227E99" w14:textId="6C35849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C5F7837" w14:textId="5C2C4FA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E7EF384" w14:textId="77777777" w:rsidTr="22DB2182">
        <w:trPr>
          <w:trHeight w:val="20"/>
        </w:trPr>
        <w:tc>
          <w:tcPr>
            <w:tcW w:w="456" w:type="pct"/>
            <w:tcBorders>
              <w:top w:val="nil"/>
              <w:left w:val="nil"/>
              <w:bottom w:val="nil"/>
              <w:right w:val="nil"/>
            </w:tcBorders>
            <w:noWrap/>
            <w:vAlign w:val="center"/>
            <w:hideMark/>
          </w:tcPr>
          <w:p w14:paraId="2000439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452EB55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3b</w:t>
            </w:r>
          </w:p>
        </w:tc>
        <w:tc>
          <w:tcPr>
            <w:tcW w:w="585" w:type="pct"/>
            <w:tcBorders>
              <w:top w:val="nil"/>
              <w:left w:val="nil"/>
              <w:bottom w:val="nil"/>
              <w:right w:val="nil"/>
            </w:tcBorders>
            <w:noWrap/>
            <w:vAlign w:val="center"/>
            <w:hideMark/>
          </w:tcPr>
          <w:p w14:paraId="2BEF227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0093B7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4D3B2C1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196" w:type="pct"/>
            <w:tcBorders>
              <w:top w:val="nil"/>
              <w:left w:val="nil"/>
              <w:bottom w:val="nil"/>
              <w:right w:val="nil"/>
            </w:tcBorders>
            <w:noWrap/>
            <w:vAlign w:val="center"/>
            <w:hideMark/>
          </w:tcPr>
          <w:p w14:paraId="7216F20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w:t>
            </w:r>
          </w:p>
        </w:tc>
        <w:tc>
          <w:tcPr>
            <w:tcW w:w="199" w:type="pct"/>
            <w:tcBorders>
              <w:top w:val="nil"/>
              <w:left w:val="nil"/>
              <w:bottom w:val="nil"/>
              <w:right w:val="nil"/>
            </w:tcBorders>
            <w:noWrap/>
            <w:vAlign w:val="center"/>
            <w:hideMark/>
          </w:tcPr>
          <w:p w14:paraId="754FCC8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75</w:t>
            </w:r>
          </w:p>
        </w:tc>
        <w:tc>
          <w:tcPr>
            <w:tcW w:w="218" w:type="pct"/>
            <w:tcBorders>
              <w:top w:val="nil"/>
              <w:left w:val="nil"/>
              <w:bottom w:val="nil"/>
              <w:right w:val="nil"/>
            </w:tcBorders>
            <w:noWrap/>
            <w:vAlign w:val="center"/>
            <w:hideMark/>
          </w:tcPr>
          <w:p w14:paraId="116777D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496E6B7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2C1DC30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0CD05EC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30D0D3B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5656914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5211534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7DB47A85" w14:textId="2AF969F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0FCD3535" w14:textId="3D6281C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3852009" w14:textId="77777777" w:rsidTr="22DB2182">
        <w:trPr>
          <w:trHeight w:val="20"/>
        </w:trPr>
        <w:tc>
          <w:tcPr>
            <w:tcW w:w="456" w:type="pct"/>
            <w:tcBorders>
              <w:top w:val="nil"/>
              <w:left w:val="nil"/>
              <w:bottom w:val="nil"/>
              <w:right w:val="nil"/>
            </w:tcBorders>
            <w:noWrap/>
            <w:vAlign w:val="center"/>
            <w:hideMark/>
          </w:tcPr>
          <w:p w14:paraId="7750F0C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7733179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3c</w:t>
            </w:r>
          </w:p>
        </w:tc>
        <w:tc>
          <w:tcPr>
            <w:tcW w:w="585" w:type="pct"/>
            <w:tcBorders>
              <w:top w:val="nil"/>
              <w:left w:val="nil"/>
              <w:bottom w:val="nil"/>
              <w:right w:val="nil"/>
            </w:tcBorders>
            <w:noWrap/>
            <w:vAlign w:val="center"/>
            <w:hideMark/>
          </w:tcPr>
          <w:p w14:paraId="7E1C75A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24D9C53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516F57B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29</w:t>
            </w:r>
          </w:p>
        </w:tc>
        <w:tc>
          <w:tcPr>
            <w:tcW w:w="196" w:type="pct"/>
            <w:tcBorders>
              <w:top w:val="nil"/>
              <w:left w:val="nil"/>
              <w:bottom w:val="nil"/>
              <w:right w:val="nil"/>
            </w:tcBorders>
            <w:noWrap/>
            <w:vAlign w:val="center"/>
            <w:hideMark/>
          </w:tcPr>
          <w:p w14:paraId="37861DE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0.07</w:t>
            </w:r>
          </w:p>
        </w:tc>
        <w:tc>
          <w:tcPr>
            <w:tcW w:w="199" w:type="pct"/>
            <w:tcBorders>
              <w:top w:val="nil"/>
              <w:left w:val="nil"/>
              <w:bottom w:val="nil"/>
              <w:right w:val="nil"/>
            </w:tcBorders>
            <w:noWrap/>
            <w:vAlign w:val="center"/>
            <w:hideMark/>
          </w:tcPr>
          <w:p w14:paraId="2F35960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75</w:t>
            </w:r>
          </w:p>
        </w:tc>
        <w:tc>
          <w:tcPr>
            <w:tcW w:w="218" w:type="pct"/>
            <w:tcBorders>
              <w:top w:val="nil"/>
              <w:left w:val="nil"/>
              <w:bottom w:val="nil"/>
              <w:right w:val="nil"/>
            </w:tcBorders>
            <w:noWrap/>
            <w:vAlign w:val="center"/>
            <w:hideMark/>
          </w:tcPr>
          <w:p w14:paraId="35CA9C4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38DB5AE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523AAEA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04AFDA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47F0F5D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0213DF4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F6838D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6C58AE53" w14:textId="07192B0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124956C" w14:textId="6B94517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B06B870" w14:textId="77777777" w:rsidTr="22DB2182">
        <w:trPr>
          <w:trHeight w:val="20"/>
        </w:trPr>
        <w:tc>
          <w:tcPr>
            <w:tcW w:w="456" w:type="pct"/>
            <w:tcBorders>
              <w:top w:val="nil"/>
              <w:left w:val="nil"/>
              <w:bottom w:val="nil"/>
              <w:right w:val="nil"/>
            </w:tcBorders>
            <w:noWrap/>
            <w:vAlign w:val="center"/>
            <w:hideMark/>
          </w:tcPr>
          <w:p w14:paraId="752ABDE7" w14:textId="4DA0F69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Robison,</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{"citationID":"a28b892k4cj","properties":{"unsorted":false,"formattedCitation":"(2019)","plainCitation":"(2019)","noteIndex":0},"citationItems":[{"id":5940,"uris":["http://zotero.org/users/8613739/items/RV356WUP"],"itemData":{"id":5940,"type":"article-journal","abstract":"In 3 experiments, we examined fluctuations in working memory (WM) performance and associated changes in pretrial and task-evoked pupil diameter. Additionally, we examined whether particularly poor trials were accompanied by self-reports of off-task attentional states. The results demonstrated that task-evoked pupillary responses can be used to measure moment-to-moment fluctuations in the success of WM maintenance during delay intervals. Further, when individuals reported being in an off-task attentional state, their WM performance suffered. Additionally, when probed directly after a particularly poor trial, participants reported being in an off-task attentional state more often than at random intervals throughout the task. So behavioral, subjective, and physiological data converged when people experienced WM failures. Although pretrial pupil diameter did not consistently differentiate between successful and unsuccessful trials, variability in pretrial pupil diameter accounted for a significant portion of variance in WM task performance. This effect persisted after controlling for mean task-evoked pupillary response and variability in task-evoked pupillary responses. Thus, one of the major reasons people varied in the consistency with which they utilized their WM system was variability in arousal. Such variability in arousal is potentially due to variation in the functioning of the locus coeruleus-norepinephrine (LC-NE) neuromodulatory system, and thus may underlie individual differences in WM capacity and attention control.","citation-key":"robisonPupillometryTracksFluctuations2019","container-title":"Attention, perception &amp; psychophysics","ISSN":"1943-3921","issue":"2","language":"eng","note":"tex.copyright: The Psychonomic Society, Inc. 2018","page":"407-419","publisher":"Springer US","publisher-place":"New York","title":"Pupillometry tracks fluctuations in working memory performance","volume":"81","author":[{"family":"Robison","given":"Matthew K."},{"family":"Unsworth","given":"Nash"}],"issued":{"date-parts":[["2019",2,1]]}},"suppress-author":true}],"schema":"https://github.com/citation-style-language/schema/raw/master/csl-citation.json"}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(2019)</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03C42F7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w:t>
            </w:r>
          </w:p>
        </w:tc>
        <w:tc>
          <w:tcPr>
            <w:tcW w:w="585" w:type="pct"/>
            <w:tcBorders>
              <w:top w:val="nil"/>
              <w:left w:val="nil"/>
              <w:bottom w:val="nil"/>
              <w:right w:val="nil"/>
            </w:tcBorders>
            <w:noWrap/>
            <w:vAlign w:val="center"/>
            <w:hideMark/>
          </w:tcPr>
          <w:p w14:paraId="185CEAE1" w14:textId="3405CBE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3FAB71A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2F33410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33</w:t>
            </w:r>
          </w:p>
        </w:tc>
        <w:tc>
          <w:tcPr>
            <w:tcW w:w="196" w:type="pct"/>
            <w:tcBorders>
              <w:top w:val="nil"/>
              <w:left w:val="nil"/>
              <w:bottom w:val="nil"/>
              <w:right w:val="nil"/>
            </w:tcBorders>
            <w:noWrap/>
            <w:vAlign w:val="center"/>
            <w:hideMark/>
          </w:tcPr>
          <w:p w14:paraId="5C524F9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0.07</w:t>
            </w:r>
          </w:p>
        </w:tc>
        <w:tc>
          <w:tcPr>
            <w:tcW w:w="199" w:type="pct"/>
            <w:tcBorders>
              <w:top w:val="nil"/>
              <w:left w:val="nil"/>
              <w:bottom w:val="nil"/>
              <w:right w:val="nil"/>
            </w:tcBorders>
            <w:noWrap/>
            <w:vAlign w:val="center"/>
            <w:hideMark/>
          </w:tcPr>
          <w:p w14:paraId="5CC4D1A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8</w:t>
            </w:r>
          </w:p>
        </w:tc>
        <w:tc>
          <w:tcPr>
            <w:tcW w:w="218" w:type="pct"/>
            <w:tcBorders>
              <w:top w:val="nil"/>
              <w:left w:val="nil"/>
              <w:bottom w:val="nil"/>
              <w:right w:val="nil"/>
            </w:tcBorders>
            <w:noWrap/>
            <w:vAlign w:val="center"/>
            <w:hideMark/>
          </w:tcPr>
          <w:p w14:paraId="05AB3C6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1537E06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1BA8ABB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0D0F662" w14:textId="5D6BFAAA"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Discrete</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Whole</w:t>
            </w:r>
            <w:proofErr w:type="spellEnd"/>
            <w:r w:rsidRPr="22DB2182">
              <w:rPr>
                <w:rFonts w:ascii="Times New Roman" w:eastAsia="Times New Roman" w:hAnsi="Times New Roman" w:cs="Times New Roman"/>
                <w:color w:val="000000" w:themeColor="text1"/>
                <w:sz w:val="8"/>
                <w:szCs w:val="8"/>
                <w:lang w:val="fr-FR" w:eastAsia="en-US"/>
              </w:rPr>
              <w:t xml:space="preserve"> Report</w:t>
            </w:r>
          </w:p>
        </w:tc>
        <w:tc>
          <w:tcPr>
            <w:tcW w:w="244" w:type="pct"/>
            <w:tcBorders>
              <w:top w:val="nil"/>
              <w:left w:val="nil"/>
              <w:bottom w:val="nil"/>
              <w:right w:val="nil"/>
            </w:tcBorders>
            <w:noWrap/>
            <w:vAlign w:val="center"/>
            <w:hideMark/>
          </w:tcPr>
          <w:p w14:paraId="5B88D21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2AF0709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651BCEC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76D7BF04" w14:textId="127C29D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DC7F4CA" w14:textId="405F08E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A5F128E" w14:textId="77777777" w:rsidTr="22DB2182">
        <w:trPr>
          <w:trHeight w:val="20"/>
        </w:trPr>
        <w:tc>
          <w:tcPr>
            <w:tcW w:w="456" w:type="pct"/>
            <w:tcBorders>
              <w:top w:val="nil"/>
              <w:left w:val="nil"/>
              <w:bottom w:val="nil"/>
              <w:right w:val="nil"/>
            </w:tcBorders>
            <w:noWrap/>
            <w:vAlign w:val="center"/>
            <w:hideMark/>
          </w:tcPr>
          <w:p w14:paraId="1BDE460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3930595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3a</w:t>
            </w:r>
          </w:p>
        </w:tc>
        <w:tc>
          <w:tcPr>
            <w:tcW w:w="585" w:type="pct"/>
            <w:tcBorders>
              <w:top w:val="nil"/>
              <w:left w:val="nil"/>
              <w:bottom w:val="nil"/>
              <w:right w:val="nil"/>
            </w:tcBorders>
            <w:noWrap/>
            <w:vAlign w:val="center"/>
            <w:hideMark/>
          </w:tcPr>
          <w:p w14:paraId="0EE1768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7A8C7A1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A34EA3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38</w:t>
            </w:r>
          </w:p>
        </w:tc>
        <w:tc>
          <w:tcPr>
            <w:tcW w:w="196" w:type="pct"/>
            <w:tcBorders>
              <w:top w:val="nil"/>
              <w:left w:val="nil"/>
              <w:bottom w:val="nil"/>
              <w:right w:val="nil"/>
            </w:tcBorders>
            <w:noWrap/>
            <w:vAlign w:val="center"/>
            <w:hideMark/>
          </w:tcPr>
          <w:p w14:paraId="5B0B52B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0.18</w:t>
            </w:r>
          </w:p>
        </w:tc>
        <w:tc>
          <w:tcPr>
            <w:tcW w:w="199" w:type="pct"/>
            <w:tcBorders>
              <w:top w:val="nil"/>
              <w:left w:val="nil"/>
              <w:bottom w:val="nil"/>
              <w:right w:val="nil"/>
            </w:tcBorders>
            <w:noWrap/>
            <w:vAlign w:val="center"/>
            <w:hideMark/>
          </w:tcPr>
          <w:p w14:paraId="5C7142F8" w14:textId="18E49AC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18" w:type="pct"/>
            <w:tcBorders>
              <w:top w:val="nil"/>
              <w:left w:val="nil"/>
              <w:bottom w:val="nil"/>
              <w:right w:val="nil"/>
            </w:tcBorders>
            <w:noWrap/>
            <w:vAlign w:val="center"/>
            <w:hideMark/>
          </w:tcPr>
          <w:p w14:paraId="0023140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5CC4855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7A3C664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7A2C6378" w14:textId="15125B26"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Discrete</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Whole</w:t>
            </w:r>
            <w:proofErr w:type="spellEnd"/>
            <w:r w:rsidRPr="22DB2182">
              <w:rPr>
                <w:rFonts w:ascii="Times New Roman" w:eastAsia="Times New Roman" w:hAnsi="Times New Roman" w:cs="Times New Roman"/>
                <w:color w:val="000000" w:themeColor="text1"/>
                <w:sz w:val="8"/>
                <w:szCs w:val="8"/>
                <w:lang w:val="fr-FR" w:eastAsia="en-US"/>
              </w:rPr>
              <w:t xml:space="preserve"> Report</w:t>
            </w:r>
          </w:p>
        </w:tc>
        <w:tc>
          <w:tcPr>
            <w:tcW w:w="244" w:type="pct"/>
            <w:tcBorders>
              <w:top w:val="nil"/>
              <w:left w:val="nil"/>
              <w:bottom w:val="nil"/>
              <w:right w:val="nil"/>
            </w:tcBorders>
            <w:noWrap/>
            <w:vAlign w:val="center"/>
            <w:hideMark/>
          </w:tcPr>
          <w:p w14:paraId="13F0DCE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1A57F39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B29E2D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0F04844" w14:textId="7C3F83A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D1143B4" w14:textId="2BAA055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14F0DE9" w14:textId="77777777" w:rsidTr="22DB2182">
        <w:trPr>
          <w:trHeight w:val="20"/>
        </w:trPr>
        <w:tc>
          <w:tcPr>
            <w:tcW w:w="456" w:type="pct"/>
            <w:tcBorders>
              <w:top w:val="nil"/>
              <w:left w:val="nil"/>
              <w:bottom w:val="nil"/>
              <w:right w:val="nil"/>
            </w:tcBorders>
            <w:noWrap/>
            <w:vAlign w:val="center"/>
            <w:hideMark/>
          </w:tcPr>
          <w:p w14:paraId="7C5793F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46D48EC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3b</w:t>
            </w:r>
          </w:p>
        </w:tc>
        <w:tc>
          <w:tcPr>
            <w:tcW w:w="585" w:type="pct"/>
            <w:tcBorders>
              <w:top w:val="nil"/>
              <w:left w:val="nil"/>
              <w:bottom w:val="nil"/>
              <w:right w:val="nil"/>
            </w:tcBorders>
            <w:noWrap/>
            <w:vAlign w:val="center"/>
            <w:hideMark/>
          </w:tcPr>
          <w:p w14:paraId="637526C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205C8D2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199F351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38</w:t>
            </w:r>
          </w:p>
        </w:tc>
        <w:tc>
          <w:tcPr>
            <w:tcW w:w="196" w:type="pct"/>
            <w:tcBorders>
              <w:top w:val="nil"/>
              <w:left w:val="nil"/>
              <w:bottom w:val="nil"/>
              <w:right w:val="nil"/>
            </w:tcBorders>
            <w:noWrap/>
            <w:vAlign w:val="center"/>
            <w:hideMark/>
          </w:tcPr>
          <w:p w14:paraId="0BC4376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0.13</w:t>
            </w:r>
          </w:p>
        </w:tc>
        <w:tc>
          <w:tcPr>
            <w:tcW w:w="199" w:type="pct"/>
            <w:tcBorders>
              <w:top w:val="nil"/>
              <w:left w:val="nil"/>
              <w:bottom w:val="nil"/>
              <w:right w:val="nil"/>
            </w:tcBorders>
            <w:noWrap/>
            <w:vAlign w:val="center"/>
            <w:hideMark/>
          </w:tcPr>
          <w:p w14:paraId="018E3CE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8</w:t>
            </w:r>
          </w:p>
        </w:tc>
        <w:tc>
          <w:tcPr>
            <w:tcW w:w="218" w:type="pct"/>
            <w:tcBorders>
              <w:top w:val="nil"/>
              <w:left w:val="nil"/>
              <w:bottom w:val="nil"/>
              <w:right w:val="nil"/>
            </w:tcBorders>
            <w:noWrap/>
            <w:vAlign w:val="center"/>
            <w:hideMark/>
          </w:tcPr>
          <w:p w14:paraId="48C3B65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1736556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1A77787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7455F0A1" w14:textId="349ACD11"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Discrete</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Whole</w:t>
            </w:r>
            <w:proofErr w:type="spellEnd"/>
            <w:r w:rsidRPr="22DB2182">
              <w:rPr>
                <w:rFonts w:ascii="Times New Roman" w:eastAsia="Times New Roman" w:hAnsi="Times New Roman" w:cs="Times New Roman"/>
                <w:color w:val="000000" w:themeColor="text1"/>
                <w:sz w:val="8"/>
                <w:szCs w:val="8"/>
                <w:lang w:val="fr-FR" w:eastAsia="en-US"/>
              </w:rPr>
              <w:t xml:space="preserve"> Report</w:t>
            </w:r>
          </w:p>
        </w:tc>
        <w:tc>
          <w:tcPr>
            <w:tcW w:w="244" w:type="pct"/>
            <w:tcBorders>
              <w:top w:val="nil"/>
              <w:left w:val="nil"/>
              <w:bottom w:val="nil"/>
              <w:right w:val="nil"/>
            </w:tcBorders>
            <w:noWrap/>
            <w:vAlign w:val="center"/>
            <w:hideMark/>
          </w:tcPr>
          <w:p w14:paraId="1FFD4A8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5321B2A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ECF89A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AE1D053" w14:textId="31B9DA7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401BA26" w14:textId="41FE160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3B21D64" w14:textId="77777777" w:rsidTr="22DB2182">
        <w:trPr>
          <w:trHeight w:val="20"/>
        </w:trPr>
        <w:tc>
          <w:tcPr>
            <w:tcW w:w="456" w:type="pct"/>
            <w:tcBorders>
              <w:top w:val="nil"/>
              <w:left w:val="nil"/>
              <w:bottom w:val="nil"/>
              <w:right w:val="nil"/>
            </w:tcBorders>
            <w:noWrap/>
            <w:vAlign w:val="center"/>
            <w:hideMark/>
          </w:tcPr>
          <w:p w14:paraId="70D56FC5" w14:textId="4F5689A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Robison,</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{"citationID":"ao9va0vont","properties":{"unsorted":false,"formattedCitation":"(2020)","plainCitation":"(2020)","noteIndex":0},"citationItems":[{"id":15801,"uris":["http://zotero.org/groups/6160358/items/VKJD4UGJ"],"itemData":{"id":15801,"type":"article-journal","abstract":"The present study examined a multi-faceted approach to individual differences in mind-wandering. Further, the influence of task demands as a moderator of inter-individual relationships and the distinction between intentional and unintentional mind-wandering was also examined. A large sample (N = 332) of participants completed a battery of tasks during which mind-wandering was measured with periodic thought probes. One set of tasks placed relatively high demands on attention, whereas another set of tasks placed relatively low demands on attention. We also measured individual differences in working memory capacity and attention control, along with measures of state variables like motivation, alertness, and mood. Finally, participants completed a series of questionnaires to measure various personality traits. Overall, the results reinforced the importance of taking a multi-faceted approach to mind-wandering – one that address individual differences at the cognitive, contextual, and dispositional levels, as well as the distinction between intentional and unintentional mind-wandering. © 2020 Elsevier B.V., All rights reserved.","citation-key":"robisonMultifacetedApproachUnderstanding2020a","container-title":"Cognition","DOI":"10.1016/j.cognition.2019.104078","title":"A multi-faceted approach to understanding individual differences in mind-wandering","URL":"https://www.scopus.com/inward/record.uri?eid=2-s2.0-85079179825&amp;doi=10.1016%2Fj.cognition.2019.104078&amp;partnerID=40&amp;md5=9034022a37864592297b14c2681c4ba9","volume":"198","author":[{"family":"Robison","given":"M.K."},{"family":"Miller","given":"A.L."},{"family":"Unsworth","given":"N."}],"issued":{"date-parts":[["2020"]]}},"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(2020)</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472DC76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6FF09F0E"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242424"/>
                <w:sz w:val="8"/>
                <w:szCs w:val="8"/>
                <w:lang w:val="en-GB" w:eastAsia="en-US"/>
              </w:rPr>
            </w:pPr>
            <w:r w:rsidRPr="00C142D5">
              <w:rPr>
                <w:rFonts w:ascii="Times New Roman" w:eastAsia="Times New Roman" w:hAnsi="Times New Roman" w:cs="Times New Roman"/>
                <w:color w:val="242424"/>
                <w:sz w:val="8"/>
                <w:szCs w:val="8"/>
                <w:lang w:val="en-GB" w:eastAsia="en-US"/>
              </w:rPr>
              <w:t>not paying attention to anything</w:t>
            </w:r>
          </w:p>
          <w:p w14:paraId="7F2F9C3E"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242424"/>
                <w:sz w:val="8"/>
                <w:szCs w:val="8"/>
                <w:lang w:val="en-GB" w:eastAsia="en-US"/>
              </w:rPr>
            </w:pPr>
            <w:r w:rsidRPr="00C142D5">
              <w:rPr>
                <w:rFonts w:ascii="Times New Roman" w:eastAsia="Times New Roman" w:hAnsi="Times New Roman" w:cs="Times New Roman"/>
                <w:color w:val="242424"/>
                <w:sz w:val="8"/>
                <w:szCs w:val="8"/>
                <w:lang w:val="en-GB" w:eastAsia="en-US"/>
              </w:rPr>
              <w:t>absence of thought</w:t>
            </w:r>
          </w:p>
          <w:p w14:paraId="4246ED51" w14:textId="5BC712F8"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242424"/>
                <w:sz w:val="8"/>
                <w:szCs w:val="8"/>
                <w:lang w:val="fr-FR" w:eastAsia="en-US"/>
              </w:rPr>
            </w:pPr>
            <w:proofErr w:type="gramStart"/>
            <w:r w:rsidRPr="22DB2182">
              <w:rPr>
                <w:rFonts w:ascii="Times New Roman" w:eastAsia="Times New Roman" w:hAnsi="Times New Roman" w:cs="Times New Roman"/>
                <w:color w:val="242424"/>
                <w:sz w:val="8"/>
                <w:szCs w:val="8"/>
                <w:lang w:val="fr-FR" w:eastAsia="en-US"/>
              </w:rPr>
              <w:t>not</w:t>
            </w:r>
            <w:proofErr w:type="gramEnd"/>
            <w:r w:rsidRPr="22DB2182">
              <w:rPr>
                <w:rFonts w:ascii="Times New Roman" w:eastAsia="Times New Roman" w:hAnsi="Times New Roman" w:cs="Times New Roman"/>
                <w:color w:val="242424"/>
                <w:sz w:val="8"/>
                <w:szCs w:val="8"/>
                <w:lang w:val="fr-FR" w:eastAsia="en-US"/>
              </w:rPr>
              <w:t xml:space="preserve"> </w:t>
            </w:r>
            <w:proofErr w:type="spellStart"/>
            <w:r w:rsidRPr="22DB2182">
              <w:rPr>
                <w:rFonts w:ascii="Times New Roman" w:eastAsia="Times New Roman" w:hAnsi="Times New Roman" w:cs="Times New Roman"/>
                <w:color w:val="242424"/>
                <w:sz w:val="8"/>
                <w:szCs w:val="8"/>
                <w:lang w:val="fr-FR" w:eastAsia="en-US"/>
              </w:rPr>
              <w:t>aware</w:t>
            </w:r>
            <w:proofErr w:type="spellEnd"/>
            <w:r w:rsidRPr="22DB2182">
              <w:rPr>
                <w:rFonts w:ascii="Times New Roman" w:eastAsia="Times New Roman" w:hAnsi="Times New Roman" w:cs="Times New Roman"/>
                <w:color w:val="242424"/>
                <w:sz w:val="8"/>
                <w:szCs w:val="8"/>
                <w:lang w:val="fr-FR" w:eastAsia="en-US"/>
              </w:rPr>
              <w:t xml:space="preserve"> of stimuli</w:t>
            </w:r>
          </w:p>
        </w:tc>
        <w:tc>
          <w:tcPr>
            <w:tcW w:w="679" w:type="pct"/>
            <w:tcBorders>
              <w:top w:val="nil"/>
              <w:left w:val="nil"/>
              <w:bottom w:val="nil"/>
              <w:right w:val="nil"/>
            </w:tcBorders>
            <w:noWrap/>
            <w:vAlign w:val="center"/>
            <w:hideMark/>
          </w:tcPr>
          <w:p w14:paraId="360B19C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62E91A4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305</w:t>
            </w:r>
          </w:p>
        </w:tc>
        <w:tc>
          <w:tcPr>
            <w:tcW w:w="196" w:type="pct"/>
            <w:tcBorders>
              <w:top w:val="nil"/>
              <w:left w:val="nil"/>
              <w:bottom w:val="nil"/>
              <w:right w:val="nil"/>
            </w:tcBorders>
            <w:noWrap/>
            <w:vAlign w:val="center"/>
            <w:hideMark/>
          </w:tcPr>
          <w:p w14:paraId="23A2AD2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w:t>
            </w:r>
          </w:p>
        </w:tc>
        <w:tc>
          <w:tcPr>
            <w:tcW w:w="199" w:type="pct"/>
            <w:tcBorders>
              <w:top w:val="nil"/>
              <w:left w:val="nil"/>
              <w:bottom w:val="nil"/>
              <w:right w:val="nil"/>
            </w:tcBorders>
            <w:noWrap/>
            <w:vAlign w:val="center"/>
            <w:hideMark/>
          </w:tcPr>
          <w:p w14:paraId="32D8847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18" w:type="pct"/>
            <w:tcBorders>
              <w:top w:val="nil"/>
              <w:left w:val="nil"/>
              <w:bottom w:val="nil"/>
              <w:right w:val="nil"/>
            </w:tcBorders>
            <w:noWrap/>
            <w:vAlign w:val="center"/>
            <w:hideMark/>
          </w:tcPr>
          <w:p w14:paraId="375E628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3AF7CA9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8</w:t>
            </w:r>
          </w:p>
        </w:tc>
        <w:tc>
          <w:tcPr>
            <w:tcW w:w="207" w:type="pct"/>
            <w:tcBorders>
              <w:top w:val="nil"/>
              <w:left w:val="nil"/>
              <w:bottom w:val="nil"/>
              <w:right w:val="nil"/>
            </w:tcBorders>
            <w:noWrap/>
            <w:vAlign w:val="center"/>
            <w:hideMark/>
          </w:tcPr>
          <w:p w14:paraId="4F22BC2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0298BC6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1F1F1F"/>
                <w:sz w:val="8"/>
                <w:szCs w:val="8"/>
                <w:lang w:val="fr-FR" w:eastAsia="en-US"/>
              </w:rPr>
            </w:pPr>
            <w:r w:rsidRPr="22DB2182">
              <w:rPr>
                <w:rFonts w:ascii="Times New Roman" w:eastAsia="Times New Roman" w:hAnsi="Times New Roman" w:cs="Times New Roman"/>
                <w:color w:val="1F1F1F"/>
                <w:sz w:val="8"/>
                <w:szCs w:val="8"/>
                <w:lang w:val="fr-FR" w:eastAsia="en-US"/>
              </w:rPr>
              <w:t xml:space="preserve">Digit </w:t>
            </w:r>
            <w:proofErr w:type="spellStart"/>
            <w:r w:rsidRPr="22DB2182">
              <w:rPr>
                <w:rFonts w:ascii="Times New Roman" w:eastAsia="Times New Roman" w:hAnsi="Times New Roman" w:cs="Times New Roman"/>
                <w:color w:val="1F1F1F"/>
                <w:sz w:val="8"/>
                <w:szCs w:val="8"/>
                <w:lang w:val="fr-FR" w:eastAsia="en-US"/>
              </w:rPr>
              <w:t>React</w:t>
            </w:r>
            <w:proofErr w:type="spellEnd"/>
          </w:p>
        </w:tc>
        <w:tc>
          <w:tcPr>
            <w:tcW w:w="244" w:type="pct"/>
            <w:tcBorders>
              <w:top w:val="nil"/>
              <w:left w:val="nil"/>
              <w:bottom w:val="nil"/>
              <w:right w:val="nil"/>
            </w:tcBorders>
            <w:noWrap/>
            <w:vAlign w:val="center"/>
            <w:hideMark/>
          </w:tcPr>
          <w:p w14:paraId="387F55B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08071E3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41F670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3BFFD64" w14:textId="4B9F5FA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7689F3F" w14:textId="3C269A4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674CE65" w14:textId="77777777" w:rsidTr="22DB2182">
        <w:trPr>
          <w:trHeight w:val="20"/>
        </w:trPr>
        <w:tc>
          <w:tcPr>
            <w:tcW w:w="456" w:type="pct"/>
            <w:tcBorders>
              <w:top w:val="nil"/>
              <w:left w:val="nil"/>
              <w:bottom w:val="nil"/>
              <w:right w:val="nil"/>
            </w:tcBorders>
            <w:noWrap/>
            <w:vAlign w:val="center"/>
            <w:hideMark/>
          </w:tcPr>
          <w:p w14:paraId="331E2F3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2806191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0CFC4A9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5C72DA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052FE1A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313</w:t>
            </w:r>
          </w:p>
        </w:tc>
        <w:tc>
          <w:tcPr>
            <w:tcW w:w="196" w:type="pct"/>
            <w:tcBorders>
              <w:top w:val="nil"/>
              <w:left w:val="nil"/>
              <w:bottom w:val="nil"/>
              <w:right w:val="nil"/>
            </w:tcBorders>
            <w:noWrap/>
            <w:vAlign w:val="center"/>
            <w:hideMark/>
          </w:tcPr>
          <w:p w14:paraId="18F05FB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0.13</w:t>
            </w:r>
          </w:p>
        </w:tc>
        <w:tc>
          <w:tcPr>
            <w:tcW w:w="199" w:type="pct"/>
            <w:tcBorders>
              <w:top w:val="nil"/>
              <w:left w:val="nil"/>
              <w:bottom w:val="nil"/>
              <w:right w:val="nil"/>
            </w:tcBorders>
            <w:noWrap/>
            <w:vAlign w:val="center"/>
            <w:hideMark/>
          </w:tcPr>
          <w:p w14:paraId="5893E09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218" w:type="pct"/>
            <w:tcBorders>
              <w:top w:val="nil"/>
              <w:left w:val="nil"/>
              <w:bottom w:val="nil"/>
              <w:right w:val="nil"/>
            </w:tcBorders>
            <w:noWrap/>
            <w:vAlign w:val="center"/>
            <w:hideMark/>
          </w:tcPr>
          <w:p w14:paraId="3C1BF22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172567D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9</w:t>
            </w:r>
          </w:p>
        </w:tc>
        <w:tc>
          <w:tcPr>
            <w:tcW w:w="207" w:type="pct"/>
            <w:tcBorders>
              <w:top w:val="nil"/>
              <w:left w:val="nil"/>
              <w:bottom w:val="nil"/>
              <w:right w:val="nil"/>
            </w:tcBorders>
            <w:noWrap/>
            <w:vAlign w:val="center"/>
            <w:hideMark/>
          </w:tcPr>
          <w:p w14:paraId="110E246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6697A08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Breath Count</w:t>
            </w:r>
          </w:p>
        </w:tc>
        <w:tc>
          <w:tcPr>
            <w:tcW w:w="244" w:type="pct"/>
            <w:tcBorders>
              <w:top w:val="nil"/>
              <w:left w:val="nil"/>
              <w:bottom w:val="nil"/>
              <w:right w:val="nil"/>
            </w:tcBorders>
            <w:noWrap/>
            <w:vAlign w:val="center"/>
            <w:hideMark/>
          </w:tcPr>
          <w:p w14:paraId="61F6CA8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53C3F18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F14F3F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1E078F1" w14:textId="2FFAAB7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B8C7518" w14:textId="3E906A6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6646C71" w14:textId="77777777" w:rsidTr="22DB2182">
        <w:trPr>
          <w:trHeight w:val="20"/>
        </w:trPr>
        <w:tc>
          <w:tcPr>
            <w:tcW w:w="456" w:type="pct"/>
            <w:tcBorders>
              <w:top w:val="nil"/>
              <w:left w:val="nil"/>
              <w:bottom w:val="nil"/>
              <w:right w:val="nil"/>
            </w:tcBorders>
            <w:noWrap/>
            <w:vAlign w:val="center"/>
            <w:hideMark/>
          </w:tcPr>
          <w:p w14:paraId="7A1EDDC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0D2EA9C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1c</w:t>
            </w:r>
          </w:p>
        </w:tc>
        <w:tc>
          <w:tcPr>
            <w:tcW w:w="585" w:type="pct"/>
            <w:tcBorders>
              <w:top w:val="nil"/>
              <w:left w:val="nil"/>
              <w:bottom w:val="nil"/>
              <w:right w:val="nil"/>
            </w:tcBorders>
            <w:noWrap/>
            <w:vAlign w:val="center"/>
            <w:hideMark/>
          </w:tcPr>
          <w:p w14:paraId="52332D3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059E07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303D32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332</w:t>
            </w:r>
          </w:p>
        </w:tc>
        <w:tc>
          <w:tcPr>
            <w:tcW w:w="196" w:type="pct"/>
            <w:tcBorders>
              <w:top w:val="nil"/>
              <w:left w:val="nil"/>
              <w:bottom w:val="nil"/>
              <w:right w:val="nil"/>
            </w:tcBorders>
            <w:noWrap/>
            <w:vAlign w:val="center"/>
            <w:hideMark/>
          </w:tcPr>
          <w:p w14:paraId="24C9187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w:t>
            </w:r>
          </w:p>
        </w:tc>
        <w:tc>
          <w:tcPr>
            <w:tcW w:w="199" w:type="pct"/>
            <w:tcBorders>
              <w:top w:val="nil"/>
              <w:left w:val="nil"/>
              <w:bottom w:val="nil"/>
              <w:right w:val="nil"/>
            </w:tcBorders>
            <w:noWrap/>
            <w:vAlign w:val="center"/>
            <w:hideMark/>
          </w:tcPr>
          <w:p w14:paraId="51BBC8F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w:t>
            </w:r>
          </w:p>
        </w:tc>
        <w:tc>
          <w:tcPr>
            <w:tcW w:w="218" w:type="pct"/>
            <w:tcBorders>
              <w:top w:val="nil"/>
              <w:left w:val="nil"/>
              <w:bottom w:val="nil"/>
              <w:right w:val="nil"/>
            </w:tcBorders>
            <w:noWrap/>
            <w:vAlign w:val="center"/>
            <w:hideMark/>
          </w:tcPr>
          <w:p w14:paraId="2C19C01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72EAFEB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07" w:type="pct"/>
            <w:tcBorders>
              <w:top w:val="nil"/>
              <w:left w:val="nil"/>
              <w:bottom w:val="nil"/>
              <w:right w:val="nil"/>
            </w:tcBorders>
            <w:noWrap/>
            <w:vAlign w:val="center"/>
            <w:hideMark/>
          </w:tcPr>
          <w:p w14:paraId="3C3A431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22D95F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49DEE3D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06D6C6E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8988C8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F546C11" w14:textId="454F463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4C28B3D" w14:textId="0D45806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13C9F9C" w14:textId="77777777" w:rsidTr="22DB2182">
        <w:trPr>
          <w:trHeight w:val="20"/>
        </w:trPr>
        <w:tc>
          <w:tcPr>
            <w:tcW w:w="456" w:type="pct"/>
            <w:tcBorders>
              <w:top w:val="nil"/>
              <w:left w:val="nil"/>
              <w:bottom w:val="nil"/>
              <w:right w:val="nil"/>
            </w:tcBorders>
            <w:noWrap/>
            <w:vAlign w:val="center"/>
            <w:hideMark/>
          </w:tcPr>
          <w:p w14:paraId="75A0F74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3B3A480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1d</w:t>
            </w:r>
          </w:p>
        </w:tc>
        <w:tc>
          <w:tcPr>
            <w:tcW w:w="585" w:type="pct"/>
            <w:tcBorders>
              <w:top w:val="nil"/>
              <w:left w:val="nil"/>
              <w:bottom w:val="nil"/>
              <w:right w:val="nil"/>
            </w:tcBorders>
            <w:noWrap/>
            <w:vAlign w:val="center"/>
            <w:hideMark/>
          </w:tcPr>
          <w:p w14:paraId="45EA6FC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DCF6F2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29E7EBA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331</w:t>
            </w:r>
          </w:p>
        </w:tc>
        <w:tc>
          <w:tcPr>
            <w:tcW w:w="196" w:type="pct"/>
            <w:tcBorders>
              <w:top w:val="nil"/>
              <w:left w:val="nil"/>
              <w:bottom w:val="nil"/>
              <w:right w:val="nil"/>
            </w:tcBorders>
            <w:noWrap/>
            <w:vAlign w:val="center"/>
            <w:hideMark/>
          </w:tcPr>
          <w:p w14:paraId="41495B1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0.04</w:t>
            </w:r>
          </w:p>
        </w:tc>
        <w:tc>
          <w:tcPr>
            <w:tcW w:w="199" w:type="pct"/>
            <w:tcBorders>
              <w:top w:val="nil"/>
              <w:left w:val="nil"/>
              <w:bottom w:val="nil"/>
              <w:right w:val="nil"/>
            </w:tcBorders>
            <w:noWrap/>
            <w:vAlign w:val="center"/>
            <w:hideMark/>
          </w:tcPr>
          <w:p w14:paraId="3639266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218" w:type="pct"/>
            <w:tcBorders>
              <w:top w:val="nil"/>
              <w:left w:val="nil"/>
              <w:bottom w:val="nil"/>
              <w:right w:val="nil"/>
            </w:tcBorders>
            <w:noWrap/>
            <w:vAlign w:val="center"/>
            <w:hideMark/>
          </w:tcPr>
          <w:p w14:paraId="4983001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41A7D89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12</w:t>
            </w:r>
          </w:p>
        </w:tc>
        <w:tc>
          <w:tcPr>
            <w:tcW w:w="207" w:type="pct"/>
            <w:tcBorders>
              <w:top w:val="nil"/>
              <w:left w:val="nil"/>
              <w:bottom w:val="nil"/>
              <w:right w:val="nil"/>
            </w:tcBorders>
            <w:noWrap/>
            <w:vAlign w:val="center"/>
            <w:hideMark/>
          </w:tcPr>
          <w:p w14:paraId="5F2DB97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7831713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Reading Span</w:t>
            </w:r>
          </w:p>
        </w:tc>
        <w:tc>
          <w:tcPr>
            <w:tcW w:w="244" w:type="pct"/>
            <w:tcBorders>
              <w:top w:val="nil"/>
              <w:left w:val="nil"/>
              <w:bottom w:val="nil"/>
              <w:right w:val="nil"/>
            </w:tcBorders>
            <w:noWrap/>
            <w:vAlign w:val="center"/>
            <w:hideMark/>
          </w:tcPr>
          <w:p w14:paraId="1BD1E49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5E3A332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9C9BDB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B7F8E5D" w14:textId="3E5CA44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78555E1" w14:textId="0316E0A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9217478" w14:textId="77777777" w:rsidTr="22DB2182">
        <w:trPr>
          <w:trHeight w:val="20"/>
        </w:trPr>
        <w:tc>
          <w:tcPr>
            <w:tcW w:w="456" w:type="pct"/>
            <w:tcBorders>
              <w:top w:val="nil"/>
              <w:left w:val="nil"/>
              <w:bottom w:val="nil"/>
              <w:right w:val="nil"/>
            </w:tcBorders>
            <w:noWrap/>
            <w:vAlign w:val="center"/>
            <w:hideMark/>
          </w:tcPr>
          <w:p w14:paraId="1DC3FBB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029C5F5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1e</w:t>
            </w:r>
          </w:p>
        </w:tc>
        <w:tc>
          <w:tcPr>
            <w:tcW w:w="585" w:type="pct"/>
            <w:tcBorders>
              <w:top w:val="nil"/>
              <w:left w:val="nil"/>
              <w:bottom w:val="nil"/>
              <w:right w:val="nil"/>
            </w:tcBorders>
            <w:noWrap/>
            <w:vAlign w:val="center"/>
            <w:hideMark/>
          </w:tcPr>
          <w:p w14:paraId="4403625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0E1024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321E1C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328</w:t>
            </w:r>
          </w:p>
        </w:tc>
        <w:tc>
          <w:tcPr>
            <w:tcW w:w="196" w:type="pct"/>
            <w:tcBorders>
              <w:top w:val="nil"/>
              <w:left w:val="nil"/>
              <w:bottom w:val="nil"/>
              <w:right w:val="nil"/>
            </w:tcBorders>
            <w:noWrap/>
            <w:vAlign w:val="center"/>
            <w:hideMark/>
          </w:tcPr>
          <w:p w14:paraId="25E00DD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0.12</w:t>
            </w:r>
          </w:p>
        </w:tc>
        <w:tc>
          <w:tcPr>
            <w:tcW w:w="199" w:type="pct"/>
            <w:tcBorders>
              <w:top w:val="nil"/>
              <w:left w:val="nil"/>
              <w:bottom w:val="nil"/>
              <w:right w:val="nil"/>
            </w:tcBorders>
            <w:noWrap/>
            <w:vAlign w:val="center"/>
            <w:hideMark/>
          </w:tcPr>
          <w:p w14:paraId="1F7F32C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218" w:type="pct"/>
            <w:tcBorders>
              <w:top w:val="nil"/>
              <w:left w:val="nil"/>
              <w:bottom w:val="nil"/>
              <w:right w:val="nil"/>
            </w:tcBorders>
            <w:noWrap/>
            <w:vAlign w:val="center"/>
            <w:hideMark/>
          </w:tcPr>
          <w:p w14:paraId="6DCB5E3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2DEB76F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7.5</w:t>
            </w:r>
          </w:p>
        </w:tc>
        <w:tc>
          <w:tcPr>
            <w:tcW w:w="207" w:type="pct"/>
            <w:tcBorders>
              <w:top w:val="nil"/>
              <w:left w:val="nil"/>
              <w:bottom w:val="nil"/>
              <w:right w:val="nil"/>
            </w:tcBorders>
            <w:noWrap/>
            <w:vAlign w:val="center"/>
            <w:hideMark/>
          </w:tcPr>
          <w:p w14:paraId="3D3EF6A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389759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1F1F1F"/>
                <w:sz w:val="8"/>
                <w:szCs w:val="8"/>
                <w:lang w:val="fr-FR" w:eastAsia="en-US"/>
              </w:rPr>
            </w:pPr>
            <w:proofErr w:type="gramStart"/>
            <w:r w:rsidRPr="22DB2182">
              <w:rPr>
                <w:rFonts w:ascii="Times New Roman" w:eastAsia="Times New Roman" w:hAnsi="Times New Roman" w:cs="Times New Roman"/>
                <w:color w:val="1F1F1F"/>
                <w:sz w:val="8"/>
                <w:szCs w:val="8"/>
                <w:lang w:val="fr-FR" w:eastAsia="en-US"/>
              </w:rPr>
              <w:t>n</w:t>
            </w:r>
            <w:proofErr w:type="gramEnd"/>
            <w:r w:rsidRPr="22DB2182">
              <w:rPr>
                <w:rFonts w:ascii="Times New Roman" w:eastAsia="Times New Roman" w:hAnsi="Times New Roman" w:cs="Times New Roman"/>
                <w:color w:val="1F1F1F"/>
                <w:sz w:val="8"/>
                <w:szCs w:val="8"/>
                <w:lang w:val="fr-FR" w:eastAsia="en-US"/>
              </w:rPr>
              <w:t>-back (1)</w:t>
            </w:r>
          </w:p>
        </w:tc>
        <w:tc>
          <w:tcPr>
            <w:tcW w:w="244" w:type="pct"/>
            <w:tcBorders>
              <w:top w:val="nil"/>
              <w:left w:val="nil"/>
              <w:bottom w:val="nil"/>
              <w:right w:val="nil"/>
            </w:tcBorders>
            <w:noWrap/>
            <w:vAlign w:val="center"/>
            <w:hideMark/>
          </w:tcPr>
          <w:p w14:paraId="3B7093D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8E4A09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5F1492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490FD0B" w14:textId="1FB45A1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9486397" w14:textId="64F17A9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866DC47" w14:textId="77777777" w:rsidTr="22DB2182">
        <w:trPr>
          <w:trHeight w:val="20"/>
        </w:trPr>
        <w:tc>
          <w:tcPr>
            <w:tcW w:w="456" w:type="pct"/>
            <w:tcBorders>
              <w:top w:val="nil"/>
              <w:left w:val="nil"/>
              <w:bottom w:val="nil"/>
              <w:right w:val="nil"/>
            </w:tcBorders>
            <w:noWrap/>
            <w:vAlign w:val="center"/>
            <w:hideMark/>
          </w:tcPr>
          <w:p w14:paraId="037DE68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002899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1f</w:t>
            </w:r>
          </w:p>
        </w:tc>
        <w:tc>
          <w:tcPr>
            <w:tcW w:w="585" w:type="pct"/>
            <w:tcBorders>
              <w:top w:val="nil"/>
              <w:left w:val="nil"/>
              <w:bottom w:val="nil"/>
              <w:right w:val="nil"/>
            </w:tcBorders>
            <w:noWrap/>
            <w:vAlign w:val="center"/>
            <w:hideMark/>
          </w:tcPr>
          <w:p w14:paraId="4C651B9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DDFDFA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0949A5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328</w:t>
            </w:r>
          </w:p>
        </w:tc>
        <w:tc>
          <w:tcPr>
            <w:tcW w:w="196" w:type="pct"/>
            <w:tcBorders>
              <w:top w:val="nil"/>
              <w:left w:val="nil"/>
              <w:bottom w:val="nil"/>
              <w:right w:val="nil"/>
            </w:tcBorders>
            <w:noWrap/>
            <w:vAlign w:val="center"/>
            <w:hideMark/>
          </w:tcPr>
          <w:p w14:paraId="0FF1885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0.16</w:t>
            </w:r>
          </w:p>
        </w:tc>
        <w:tc>
          <w:tcPr>
            <w:tcW w:w="199" w:type="pct"/>
            <w:tcBorders>
              <w:top w:val="nil"/>
              <w:left w:val="nil"/>
              <w:bottom w:val="nil"/>
              <w:right w:val="nil"/>
            </w:tcBorders>
            <w:noWrap/>
            <w:vAlign w:val="center"/>
            <w:hideMark/>
          </w:tcPr>
          <w:p w14:paraId="40086D5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218" w:type="pct"/>
            <w:tcBorders>
              <w:top w:val="nil"/>
              <w:left w:val="nil"/>
              <w:bottom w:val="nil"/>
              <w:right w:val="nil"/>
            </w:tcBorders>
            <w:noWrap/>
            <w:vAlign w:val="center"/>
            <w:hideMark/>
          </w:tcPr>
          <w:p w14:paraId="1E566BA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746BE9F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7.5</w:t>
            </w:r>
          </w:p>
        </w:tc>
        <w:tc>
          <w:tcPr>
            <w:tcW w:w="207" w:type="pct"/>
            <w:tcBorders>
              <w:top w:val="nil"/>
              <w:left w:val="nil"/>
              <w:bottom w:val="nil"/>
              <w:right w:val="nil"/>
            </w:tcBorders>
            <w:noWrap/>
            <w:vAlign w:val="center"/>
            <w:hideMark/>
          </w:tcPr>
          <w:p w14:paraId="6AFB607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8B1078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1F1F1F"/>
                <w:sz w:val="8"/>
                <w:szCs w:val="8"/>
                <w:lang w:val="fr-FR" w:eastAsia="en-US"/>
              </w:rPr>
            </w:pPr>
            <w:proofErr w:type="gramStart"/>
            <w:r w:rsidRPr="22DB2182">
              <w:rPr>
                <w:rFonts w:ascii="Times New Roman" w:eastAsia="Times New Roman" w:hAnsi="Times New Roman" w:cs="Times New Roman"/>
                <w:color w:val="1F1F1F"/>
                <w:sz w:val="8"/>
                <w:szCs w:val="8"/>
                <w:lang w:val="fr-FR" w:eastAsia="en-US"/>
              </w:rPr>
              <w:t>n</w:t>
            </w:r>
            <w:proofErr w:type="gramEnd"/>
            <w:r w:rsidRPr="22DB2182">
              <w:rPr>
                <w:rFonts w:ascii="Times New Roman" w:eastAsia="Times New Roman" w:hAnsi="Times New Roman" w:cs="Times New Roman"/>
                <w:color w:val="1F1F1F"/>
                <w:sz w:val="8"/>
                <w:szCs w:val="8"/>
                <w:lang w:val="fr-FR" w:eastAsia="en-US"/>
              </w:rPr>
              <w:t>-back (3)</w:t>
            </w:r>
          </w:p>
        </w:tc>
        <w:tc>
          <w:tcPr>
            <w:tcW w:w="244" w:type="pct"/>
            <w:tcBorders>
              <w:top w:val="nil"/>
              <w:left w:val="nil"/>
              <w:bottom w:val="nil"/>
              <w:right w:val="nil"/>
            </w:tcBorders>
            <w:noWrap/>
            <w:vAlign w:val="center"/>
            <w:hideMark/>
          </w:tcPr>
          <w:p w14:paraId="4A7BA75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04CF2C1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ADA46E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2DE73F1" w14:textId="1EF8562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B12B998" w14:textId="380E26E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1119844" w14:textId="77777777" w:rsidTr="22DB2182">
        <w:trPr>
          <w:trHeight w:val="20"/>
        </w:trPr>
        <w:tc>
          <w:tcPr>
            <w:tcW w:w="456" w:type="pct"/>
            <w:tcBorders>
              <w:top w:val="nil"/>
              <w:left w:val="nil"/>
              <w:bottom w:val="nil"/>
              <w:right w:val="nil"/>
            </w:tcBorders>
            <w:noWrap/>
            <w:vAlign w:val="center"/>
            <w:hideMark/>
          </w:tcPr>
          <w:p w14:paraId="2D1D648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5BA6C65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1g</w:t>
            </w:r>
          </w:p>
        </w:tc>
        <w:tc>
          <w:tcPr>
            <w:tcW w:w="585" w:type="pct"/>
            <w:tcBorders>
              <w:top w:val="nil"/>
              <w:left w:val="nil"/>
              <w:bottom w:val="nil"/>
              <w:right w:val="nil"/>
            </w:tcBorders>
            <w:noWrap/>
            <w:vAlign w:val="center"/>
            <w:hideMark/>
          </w:tcPr>
          <w:p w14:paraId="2812F68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7A878DF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3D5E84D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324</w:t>
            </w:r>
          </w:p>
        </w:tc>
        <w:tc>
          <w:tcPr>
            <w:tcW w:w="196" w:type="pct"/>
            <w:tcBorders>
              <w:top w:val="nil"/>
              <w:left w:val="nil"/>
              <w:bottom w:val="nil"/>
              <w:right w:val="nil"/>
            </w:tcBorders>
            <w:noWrap/>
            <w:vAlign w:val="center"/>
            <w:hideMark/>
          </w:tcPr>
          <w:p w14:paraId="6E1BF26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0.15</w:t>
            </w:r>
          </w:p>
        </w:tc>
        <w:tc>
          <w:tcPr>
            <w:tcW w:w="199" w:type="pct"/>
            <w:tcBorders>
              <w:top w:val="nil"/>
              <w:left w:val="nil"/>
              <w:bottom w:val="nil"/>
              <w:right w:val="nil"/>
            </w:tcBorders>
            <w:noWrap/>
            <w:vAlign w:val="center"/>
            <w:hideMark/>
          </w:tcPr>
          <w:p w14:paraId="412FCE6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w:t>
            </w:r>
          </w:p>
        </w:tc>
        <w:tc>
          <w:tcPr>
            <w:tcW w:w="218" w:type="pct"/>
            <w:tcBorders>
              <w:top w:val="nil"/>
              <w:left w:val="nil"/>
              <w:bottom w:val="nil"/>
              <w:right w:val="nil"/>
            </w:tcBorders>
            <w:noWrap/>
            <w:vAlign w:val="center"/>
            <w:hideMark/>
          </w:tcPr>
          <w:p w14:paraId="620F50F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00A1E90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7.5</w:t>
            </w:r>
          </w:p>
        </w:tc>
        <w:tc>
          <w:tcPr>
            <w:tcW w:w="207" w:type="pct"/>
            <w:tcBorders>
              <w:top w:val="nil"/>
              <w:left w:val="nil"/>
              <w:bottom w:val="nil"/>
              <w:right w:val="nil"/>
            </w:tcBorders>
            <w:noWrap/>
            <w:vAlign w:val="center"/>
            <w:hideMark/>
          </w:tcPr>
          <w:p w14:paraId="5E74739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483A32E" w14:textId="3959375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Visual Search</w:t>
            </w:r>
          </w:p>
        </w:tc>
        <w:tc>
          <w:tcPr>
            <w:tcW w:w="244" w:type="pct"/>
            <w:tcBorders>
              <w:top w:val="nil"/>
              <w:left w:val="nil"/>
              <w:bottom w:val="nil"/>
              <w:right w:val="nil"/>
            </w:tcBorders>
            <w:noWrap/>
            <w:vAlign w:val="center"/>
            <w:hideMark/>
          </w:tcPr>
          <w:p w14:paraId="3917DE8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63C17B9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0AF752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62E011B" w14:textId="11F84F9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DED3B88" w14:textId="7E12AA4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73FC138" w14:textId="77777777" w:rsidTr="22DB2182">
        <w:trPr>
          <w:trHeight w:val="20"/>
        </w:trPr>
        <w:tc>
          <w:tcPr>
            <w:tcW w:w="456" w:type="pct"/>
            <w:tcBorders>
              <w:top w:val="nil"/>
              <w:left w:val="nil"/>
              <w:bottom w:val="nil"/>
              <w:right w:val="nil"/>
            </w:tcBorders>
            <w:noWrap/>
            <w:vAlign w:val="center"/>
            <w:hideMark/>
          </w:tcPr>
          <w:p w14:paraId="0B0B239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4561759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1h</w:t>
            </w:r>
          </w:p>
        </w:tc>
        <w:tc>
          <w:tcPr>
            <w:tcW w:w="585" w:type="pct"/>
            <w:tcBorders>
              <w:top w:val="nil"/>
              <w:left w:val="nil"/>
              <w:bottom w:val="nil"/>
              <w:right w:val="nil"/>
            </w:tcBorders>
            <w:noWrap/>
            <w:vAlign w:val="center"/>
            <w:hideMark/>
          </w:tcPr>
          <w:p w14:paraId="46E8962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63D5BC9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19B01BC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324</w:t>
            </w:r>
          </w:p>
        </w:tc>
        <w:tc>
          <w:tcPr>
            <w:tcW w:w="196" w:type="pct"/>
            <w:tcBorders>
              <w:top w:val="nil"/>
              <w:left w:val="nil"/>
              <w:bottom w:val="nil"/>
              <w:right w:val="nil"/>
            </w:tcBorders>
            <w:noWrap/>
            <w:vAlign w:val="center"/>
            <w:hideMark/>
          </w:tcPr>
          <w:p w14:paraId="1426B35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0.14</w:t>
            </w:r>
          </w:p>
        </w:tc>
        <w:tc>
          <w:tcPr>
            <w:tcW w:w="199" w:type="pct"/>
            <w:tcBorders>
              <w:top w:val="nil"/>
              <w:left w:val="nil"/>
              <w:bottom w:val="nil"/>
              <w:right w:val="nil"/>
            </w:tcBorders>
            <w:noWrap/>
            <w:vAlign w:val="center"/>
            <w:hideMark/>
          </w:tcPr>
          <w:p w14:paraId="2BBA780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w:t>
            </w:r>
          </w:p>
        </w:tc>
        <w:tc>
          <w:tcPr>
            <w:tcW w:w="218" w:type="pct"/>
            <w:tcBorders>
              <w:top w:val="nil"/>
              <w:left w:val="nil"/>
              <w:bottom w:val="nil"/>
              <w:right w:val="nil"/>
            </w:tcBorders>
            <w:noWrap/>
            <w:vAlign w:val="center"/>
            <w:hideMark/>
          </w:tcPr>
          <w:p w14:paraId="2B9B8E9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09B92B5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7.5</w:t>
            </w:r>
          </w:p>
        </w:tc>
        <w:tc>
          <w:tcPr>
            <w:tcW w:w="207" w:type="pct"/>
            <w:tcBorders>
              <w:top w:val="nil"/>
              <w:left w:val="nil"/>
              <w:bottom w:val="nil"/>
              <w:right w:val="nil"/>
            </w:tcBorders>
            <w:noWrap/>
            <w:vAlign w:val="center"/>
            <w:hideMark/>
          </w:tcPr>
          <w:p w14:paraId="1FC07A3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61CEF50" w14:textId="341A6B0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Visual Search</w:t>
            </w:r>
          </w:p>
        </w:tc>
        <w:tc>
          <w:tcPr>
            <w:tcW w:w="244" w:type="pct"/>
            <w:tcBorders>
              <w:top w:val="nil"/>
              <w:left w:val="nil"/>
              <w:bottom w:val="nil"/>
              <w:right w:val="nil"/>
            </w:tcBorders>
            <w:noWrap/>
            <w:vAlign w:val="center"/>
            <w:hideMark/>
          </w:tcPr>
          <w:p w14:paraId="0F15A26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4C04618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5F1E212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21EBB0D6" w14:textId="2D1C204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9EBD463" w14:textId="2B0EB7E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43FA29E" w14:textId="77777777" w:rsidTr="22DB2182">
        <w:trPr>
          <w:trHeight w:val="20"/>
        </w:trPr>
        <w:tc>
          <w:tcPr>
            <w:tcW w:w="456" w:type="pct"/>
            <w:tcBorders>
              <w:top w:val="nil"/>
              <w:left w:val="nil"/>
              <w:bottom w:val="nil"/>
              <w:right w:val="nil"/>
            </w:tcBorders>
            <w:noWrap/>
            <w:vAlign w:val="center"/>
            <w:hideMark/>
          </w:tcPr>
          <w:p w14:paraId="03E4405D" w14:textId="69980B3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Robison,</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ou9s0bv24","properties":{"unsorted":false,"formattedCitation":"(2021)","plainCitation":"(2021)","noteIndex":0},"citationItems":[{"id":16155,"uris":["http://zotero.org/groups/6160358/items/68M3EXHJ"],"itemData":{"id":16155,"type":"article-journal","abstract":"Pain affects the lives of many individuals by creating physical, psychological, and economic burdens. A critical psychological factor negatively affected by pain is one's ability to sustain attention. In order to better understand the effect of pain on sustained attention we conducted three experiments utilizing the psychomotor vigilance task, thought probes, and pupillometry. In Experiment 1, participants in acute pain exhibited overall poorer task performance. However, this effect was localized to the relative frequency and duration of the participants' slowest responses with their faster responses being equivalent to a no-pain control group. In Experiment 2, we replicated the procedure and included periodic thought probes to overtly measure subjective experiences during the task. Participants in pain reported fewer \"on-task\" thoughts and more thoughts directed toward the source of their pain. In Experiment 3, we replicated the procedure while simultaneously tracking pupillary dynamics using an eye-tracker. Participants in pain had smaller task-evoked pupillary responses, which is thought to be an indicator of task engagement. However, the behavioral effects of pain from Experiments 1 and 2 were not replicated in Experiment 3. Taken together, pain led to poorer performance in the form of an increase in the relative frequency and extremeness of slow responses, increases in off-task thoughts, and reductions in a physiological indicator of task engagement. These data speak to theories of how pain competes with task goals for attention and negatively impacts behavior. The broader implications of this work are the identification of a low-level mechanism by which pain can interfere with normal cognitive functioning. Public Significance Statement Given the fact that many people deal with either acute or chronic pain on a daily basis, it is important to understand the impact of pain on cognitive functioning. In the present study, we examined the effect of acute pain on sustained attention, and the findings indicated that pain can occasionally interrupt ongoing cognitive operations, manifesting in impaired cognitive performance. These attentional deviations could be extremely important in professions that require sustaining attention to important, continual streams of information like aviation (e.g., transportation security, air traffic control, piloting), health care professions (surgery, nursing), and safety monitoring (e.g., lifeguards, naval watchkeeping).","citation-key":"robisonAcutePainImpairs2021a","container-title":"Journal of experimental psychology. Applied","ISSN":"1076-898X","issue":"3","language":"eng","license":"2021 American Psychological Association","page":"563–577","title":"Acute Pain Impairs Sustained Attention","volume":"27","author":[{"family":"Robison","given":"Matthew K."},{"family":"Ellis","given":"Derek M."},{"family":"Pitaes","given":"Margarida M."},{"family":"Karoly","given":"Paul"},{"family":"Brewer","given":"Gene A."}],"issued":{"date-parts":[["2021",9]]}},"suppress-author":true}],"schema":"https://github.com/citation-style-language/schema/raw/master/csl-citation.json"}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(2021)</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6685DA0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2a</w:t>
            </w:r>
          </w:p>
        </w:tc>
        <w:tc>
          <w:tcPr>
            <w:tcW w:w="585" w:type="pct"/>
            <w:tcBorders>
              <w:top w:val="nil"/>
              <w:left w:val="nil"/>
              <w:bottom w:val="nil"/>
              <w:right w:val="nil"/>
            </w:tcBorders>
            <w:noWrap/>
            <w:vAlign w:val="center"/>
            <w:hideMark/>
          </w:tcPr>
          <w:p w14:paraId="380AC2EB" w14:textId="6EB1112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FE492E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4EE57AF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88</w:t>
            </w:r>
          </w:p>
        </w:tc>
        <w:tc>
          <w:tcPr>
            <w:tcW w:w="196" w:type="pct"/>
            <w:tcBorders>
              <w:top w:val="nil"/>
              <w:left w:val="nil"/>
              <w:bottom w:val="nil"/>
              <w:right w:val="nil"/>
            </w:tcBorders>
            <w:noWrap/>
            <w:vAlign w:val="center"/>
            <w:hideMark/>
          </w:tcPr>
          <w:p w14:paraId="54AB530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0.135</w:t>
            </w:r>
          </w:p>
        </w:tc>
        <w:tc>
          <w:tcPr>
            <w:tcW w:w="199" w:type="pct"/>
            <w:tcBorders>
              <w:top w:val="nil"/>
              <w:left w:val="nil"/>
              <w:bottom w:val="nil"/>
              <w:right w:val="nil"/>
            </w:tcBorders>
            <w:noWrap/>
            <w:vAlign w:val="center"/>
            <w:hideMark/>
          </w:tcPr>
          <w:p w14:paraId="4B9C688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4A6356C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6005695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16</w:t>
            </w:r>
          </w:p>
        </w:tc>
        <w:tc>
          <w:tcPr>
            <w:tcW w:w="207" w:type="pct"/>
            <w:tcBorders>
              <w:top w:val="nil"/>
              <w:left w:val="nil"/>
              <w:bottom w:val="nil"/>
              <w:right w:val="nil"/>
            </w:tcBorders>
            <w:noWrap/>
            <w:vAlign w:val="center"/>
            <w:hideMark/>
          </w:tcPr>
          <w:p w14:paraId="4AA7D06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2F3D5E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7F62568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7A9FA30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593D75B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25D8EBC8" w14:textId="19EBB38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0DDA2164" w14:textId="0253EC7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FD7F993" w14:textId="77777777" w:rsidTr="22DB2182">
        <w:trPr>
          <w:trHeight w:val="20"/>
        </w:trPr>
        <w:tc>
          <w:tcPr>
            <w:tcW w:w="456" w:type="pct"/>
            <w:tcBorders>
              <w:top w:val="nil"/>
              <w:left w:val="nil"/>
              <w:bottom w:val="nil"/>
              <w:right w:val="nil"/>
            </w:tcBorders>
            <w:noWrap/>
            <w:vAlign w:val="center"/>
            <w:hideMark/>
          </w:tcPr>
          <w:p w14:paraId="184E3E1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0CB10F7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2b</w:t>
            </w:r>
          </w:p>
        </w:tc>
        <w:tc>
          <w:tcPr>
            <w:tcW w:w="585" w:type="pct"/>
            <w:tcBorders>
              <w:top w:val="nil"/>
              <w:left w:val="nil"/>
              <w:bottom w:val="nil"/>
              <w:right w:val="nil"/>
            </w:tcBorders>
            <w:noWrap/>
            <w:vAlign w:val="center"/>
            <w:hideMark/>
          </w:tcPr>
          <w:p w14:paraId="7FABF00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224DAB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5AE6AC8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85</w:t>
            </w:r>
          </w:p>
        </w:tc>
        <w:tc>
          <w:tcPr>
            <w:tcW w:w="196" w:type="pct"/>
            <w:tcBorders>
              <w:top w:val="nil"/>
              <w:left w:val="nil"/>
              <w:bottom w:val="nil"/>
              <w:right w:val="nil"/>
            </w:tcBorders>
            <w:noWrap/>
            <w:vAlign w:val="center"/>
            <w:hideMark/>
          </w:tcPr>
          <w:p w14:paraId="5E75133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0.093</w:t>
            </w:r>
          </w:p>
        </w:tc>
        <w:tc>
          <w:tcPr>
            <w:tcW w:w="199" w:type="pct"/>
            <w:tcBorders>
              <w:top w:val="nil"/>
              <w:left w:val="nil"/>
              <w:bottom w:val="nil"/>
              <w:right w:val="nil"/>
            </w:tcBorders>
            <w:noWrap/>
            <w:vAlign w:val="center"/>
            <w:hideMark/>
          </w:tcPr>
          <w:p w14:paraId="4C6F8FA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6EE6F5F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2D77386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16</w:t>
            </w:r>
          </w:p>
        </w:tc>
        <w:tc>
          <w:tcPr>
            <w:tcW w:w="207" w:type="pct"/>
            <w:tcBorders>
              <w:top w:val="nil"/>
              <w:left w:val="nil"/>
              <w:bottom w:val="nil"/>
              <w:right w:val="nil"/>
            </w:tcBorders>
            <w:noWrap/>
            <w:vAlign w:val="center"/>
            <w:hideMark/>
          </w:tcPr>
          <w:p w14:paraId="51BBDDC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F38CA2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30B01B5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F1615B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D4C45B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pain</w:t>
            </w:r>
            <w:proofErr w:type="gramEnd"/>
          </w:p>
        </w:tc>
        <w:tc>
          <w:tcPr>
            <w:tcW w:w="338" w:type="pct"/>
            <w:tcBorders>
              <w:top w:val="nil"/>
              <w:left w:val="nil"/>
              <w:bottom w:val="nil"/>
              <w:right w:val="nil"/>
            </w:tcBorders>
            <w:noWrap/>
            <w:vAlign w:val="center"/>
            <w:hideMark/>
          </w:tcPr>
          <w:p w14:paraId="321BE396" w14:textId="68A416B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2F6C45C" w14:textId="7A08DAE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BFBE315" w14:textId="77777777" w:rsidTr="22DB2182">
        <w:trPr>
          <w:trHeight w:val="20"/>
        </w:trPr>
        <w:tc>
          <w:tcPr>
            <w:tcW w:w="456" w:type="pct"/>
            <w:tcBorders>
              <w:top w:val="nil"/>
              <w:left w:val="nil"/>
              <w:bottom w:val="nil"/>
              <w:right w:val="nil"/>
            </w:tcBorders>
            <w:noWrap/>
            <w:vAlign w:val="center"/>
            <w:hideMark/>
          </w:tcPr>
          <w:p w14:paraId="1B8E7BDC" w14:textId="47BF492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Robison,</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{"citationID":"a1sme3sgfo0","properties":{"unsorted":false,"formattedCitation":"(2021)","plainCitation":"(2021)","noteIndex":0},"citationItems":[{"id":5949,"uris":["http://zotero.org/users/8613739/items/EZGHMG58"],"itemData":{"id":5949,"type":"article-journal","abstract":"Across four experiments we examined the effects of goal-setting, feedback, and incentivizing manipulations on sustained attention. In addition to measuring task performance, we measured subjective attentional states and momentary feelings of motivation and alertness. Experiment 1 compared two specific goal conditions-one difficult and one easy-with a standard set of instructions. The specific goal conditions both reduced RTs and attenuated the vigilance decrement but did not impact task engagement (motivation or task-unrelated thoughts). Experiment 2 manipulated both goal-setting and feedback across conditions. The combination of a specific goal and feedback had strong effects on both task performance and task engagement. Additionally, feedback increased task engagement (higher motivation and fewer task-unrelated thoughts) regardless of whether or not it was paired with a specific goal. Experiment 3 examined the effect of pairing goals with a reward. Participants in one reward condition (time-based incentive) reported higher motivation but did not show better task performance. Offering a cash incentive to meet a goal did not have an effect on any dependent variables. Finally, in an effort to examine whether more moderately-difficult goals might lead to optimal performance, Experiment 4 examined a broader range of goals. However, we did not see an effect of a moderately-difficult goal on any of the dependent variables. Although some of the experimental manipulations were effective in mitigating the vigilance decrement, none eliminated it. We discuss the theoretical implications of the results with regard to goal-setting theory and theories of vigilance. Public Significance StatementAlmost everyone can recognize that sustaining attention, even to important tasks like driving, reading, and listening in meetings, can be quite difficult. An active debate exists as to why this is the case. Some groundbreaking studies in the middle of the 20th century, combined with some recent experimentation, have shown promising avenues for improving our ability to sustain attention. These experiments have called into question longstanding theoretical arguments for why sustaining attention is so difficult. In the present study, we seek to extend this work to test theoretical stances regarding sustained attention, and perhaps find practically useful ways of making sustained attention situations more engaging.","citation-key":"robisonExaminingEffectsGoalsetting2021","container-title":"Journal of experimental psychology. Human perception and performance","ISSN":"0096-1523","issue":"6","language":"eng","note":"tex.copyright: 2021 American Psychological Association","page":"869-891","publisher":"American Psychological Association","publisher-place":"Washington","title":"Examining the effects of goal-setting, feedback, and incentives on sustained attention","volume":"47","author":[{"family":"Robison","given":"Matthew K."},{"family":"Unsworth","given":"Nash"},{"family":"Brewer","given":"Gene A."}],"issued":{"date-parts":[["2021",6,1]]}},"suppress-author":true}],"schema":"https://github.com/citation-style-language/schema/raw/master/csl-citation.json"}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(2021)</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4432595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5A9A8E89" w14:textId="40C3A28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765B0A7D"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my mind was blank</w:t>
            </w:r>
          </w:p>
        </w:tc>
        <w:tc>
          <w:tcPr>
            <w:tcW w:w="228" w:type="pct"/>
            <w:tcBorders>
              <w:top w:val="nil"/>
              <w:left w:val="nil"/>
              <w:bottom w:val="nil"/>
              <w:right w:val="nil"/>
            </w:tcBorders>
            <w:noWrap/>
            <w:vAlign w:val="center"/>
            <w:hideMark/>
          </w:tcPr>
          <w:p w14:paraId="1DAE4CC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35</w:t>
            </w:r>
          </w:p>
        </w:tc>
        <w:tc>
          <w:tcPr>
            <w:tcW w:w="196" w:type="pct"/>
            <w:tcBorders>
              <w:top w:val="nil"/>
              <w:left w:val="nil"/>
              <w:bottom w:val="nil"/>
              <w:right w:val="nil"/>
            </w:tcBorders>
            <w:noWrap/>
            <w:vAlign w:val="center"/>
            <w:hideMark/>
          </w:tcPr>
          <w:p w14:paraId="42C35EF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0.106</w:t>
            </w:r>
          </w:p>
        </w:tc>
        <w:tc>
          <w:tcPr>
            <w:tcW w:w="199" w:type="pct"/>
            <w:tcBorders>
              <w:top w:val="nil"/>
              <w:left w:val="nil"/>
              <w:bottom w:val="nil"/>
              <w:right w:val="nil"/>
            </w:tcBorders>
            <w:noWrap/>
            <w:vAlign w:val="center"/>
            <w:hideMark/>
          </w:tcPr>
          <w:p w14:paraId="5C1EA47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1E990DD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70B43D4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4D9ECC24"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600A5FB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0906B2C5"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6104E763"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142DA72C"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3672ED2B" w14:textId="2C3E9BD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2016E93" w14:textId="78EE351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770AF13" w14:textId="77777777" w:rsidTr="22DB2182">
        <w:trPr>
          <w:trHeight w:val="20"/>
        </w:trPr>
        <w:tc>
          <w:tcPr>
            <w:tcW w:w="456" w:type="pct"/>
            <w:tcBorders>
              <w:top w:val="nil"/>
              <w:left w:val="nil"/>
              <w:bottom w:val="nil"/>
              <w:right w:val="nil"/>
            </w:tcBorders>
            <w:noWrap/>
            <w:vAlign w:val="center"/>
            <w:hideMark/>
          </w:tcPr>
          <w:p w14:paraId="494362D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39338D2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09BAC9B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DDA36D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1775E3F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34</w:t>
            </w:r>
          </w:p>
        </w:tc>
        <w:tc>
          <w:tcPr>
            <w:tcW w:w="196" w:type="pct"/>
            <w:tcBorders>
              <w:top w:val="nil"/>
              <w:left w:val="nil"/>
              <w:bottom w:val="nil"/>
              <w:right w:val="nil"/>
            </w:tcBorders>
            <w:noWrap/>
            <w:vAlign w:val="center"/>
            <w:hideMark/>
          </w:tcPr>
          <w:p w14:paraId="20B8489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0.093</w:t>
            </w:r>
          </w:p>
        </w:tc>
        <w:tc>
          <w:tcPr>
            <w:tcW w:w="199" w:type="pct"/>
            <w:tcBorders>
              <w:top w:val="nil"/>
              <w:left w:val="nil"/>
              <w:bottom w:val="nil"/>
              <w:right w:val="nil"/>
            </w:tcBorders>
            <w:noWrap/>
            <w:vAlign w:val="center"/>
            <w:hideMark/>
          </w:tcPr>
          <w:p w14:paraId="58C6717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4FFCF36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361256D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789B28B5"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7375B272" w14:textId="6670BC3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054BA1A6"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418515E0"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29A51189"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3C9E8279" w14:textId="6576A77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8001D4C" w14:textId="1403556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F2FA769" w14:textId="77777777" w:rsidTr="22DB2182">
        <w:trPr>
          <w:trHeight w:val="20"/>
        </w:trPr>
        <w:tc>
          <w:tcPr>
            <w:tcW w:w="456" w:type="pct"/>
            <w:tcBorders>
              <w:top w:val="nil"/>
              <w:left w:val="nil"/>
              <w:bottom w:val="nil"/>
              <w:right w:val="nil"/>
            </w:tcBorders>
            <w:noWrap/>
            <w:vAlign w:val="center"/>
            <w:hideMark/>
          </w:tcPr>
          <w:p w14:paraId="28F923C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78DF364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1c</w:t>
            </w:r>
          </w:p>
        </w:tc>
        <w:tc>
          <w:tcPr>
            <w:tcW w:w="585" w:type="pct"/>
            <w:tcBorders>
              <w:top w:val="nil"/>
              <w:left w:val="nil"/>
              <w:bottom w:val="nil"/>
              <w:right w:val="nil"/>
            </w:tcBorders>
            <w:noWrap/>
            <w:vAlign w:val="center"/>
            <w:hideMark/>
          </w:tcPr>
          <w:p w14:paraId="2632349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6F181C7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0B0896A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35</w:t>
            </w:r>
          </w:p>
        </w:tc>
        <w:tc>
          <w:tcPr>
            <w:tcW w:w="196" w:type="pct"/>
            <w:tcBorders>
              <w:top w:val="nil"/>
              <w:left w:val="nil"/>
              <w:bottom w:val="nil"/>
              <w:right w:val="nil"/>
            </w:tcBorders>
            <w:noWrap/>
            <w:vAlign w:val="center"/>
            <w:hideMark/>
          </w:tcPr>
          <w:p w14:paraId="6388A96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0.094</w:t>
            </w:r>
          </w:p>
        </w:tc>
        <w:tc>
          <w:tcPr>
            <w:tcW w:w="199" w:type="pct"/>
            <w:tcBorders>
              <w:top w:val="nil"/>
              <w:left w:val="nil"/>
              <w:bottom w:val="nil"/>
              <w:right w:val="nil"/>
            </w:tcBorders>
            <w:noWrap/>
            <w:vAlign w:val="center"/>
            <w:hideMark/>
          </w:tcPr>
          <w:p w14:paraId="0CD8F19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79B85D9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30EBEEE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66390DD3"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35D445CC" w14:textId="2B3495C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2B867D66"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6185872C"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5A9F8A02"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357E6590" w14:textId="5EF0FE3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D0B224C" w14:textId="5E55E9C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4A7A868" w14:textId="77777777" w:rsidTr="22DB2182">
        <w:trPr>
          <w:trHeight w:val="20"/>
        </w:trPr>
        <w:tc>
          <w:tcPr>
            <w:tcW w:w="456" w:type="pct"/>
            <w:tcBorders>
              <w:top w:val="nil"/>
              <w:left w:val="nil"/>
              <w:bottom w:val="nil"/>
              <w:right w:val="nil"/>
            </w:tcBorders>
            <w:noWrap/>
            <w:vAlign w:val="center"/>
            <w:hideMark/>
          </w:tcPr>
          <w:p w14:paraId="22362CE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36577E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2a</w:t>
            </w:r>
          </w:p>
        </w:tc>
        <w:tc>
          <w:tcPr>
            <w:tcW w:w="585" w:type="pct"/>
            <w:tcBorders>
              <w:top w:val="nil"/>
              <w:left w:val="nil"/>
              <w:bottom w:val="nil"/>
              <w:right w:val="nil"/>
            </w:tcBorders>
            <w:noWrap/>
            <w:vAlign w:val="center"/>
            <w:hideMark/>
          </w:tcPr>
          <w:p w14:paraId="36B4C40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FD16A2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2FE3498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35</w:t>
            </w:r>
          </w:p>
        </w:tc>
        <w:tc>
          <w:tcPr>
            <w:tcW w:w="196" w:type="pct"/>
            <w:tcBorders>
              <w:top w:val="nil"/>
              <w:left w:val="nil"/>
              <w:bottom w:val="nil"/>
              <w:right w:val="nil"/>
            </w:tcBorders>
            <w:noWrap/>
            <w:vAlign w:val="center"/>
            <w:hideMark/>
          </w:tcPr>
          <w:p w14:paraId="3D89236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0.061</w:t>
            </w:r>
          </w:p>
        </w:tc>
        <w:tc>
          <w:tcPr>
            <w:tcW w:w="199" w:type="pct"/>
            <w:tcBorders>
              <w:top w:val="nil"/>
              <w:left w:val="nil"/>
              <w:bottom w:val="nil"/>
              <w:right w:val="nil"/>
            </w:tcBorders>
            <w:noWrap/>
            <w:vAlign w:val="center"/>
            <w:hideMark/>
          </w:tcPr>
          <w:p w14:paraId="511EF77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2C083EB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5359B11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32EBA050"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1471F88E" w14:textId="3E2420C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73590ABE"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39FE0CD7"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623F6AA5"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35EB3447" w14:textId="20F6A16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B4156B2" w14:textId="3099EC8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346376C" w14:textId="77777777" w:rsidTr="22DB2182">
        <w:trPr>
          <w:trHeight w:val="20"/>
        </w:trPr>
        <w:tc>
          <w:tcPr>
            <w:tcW w:w="456" w:type="pct"/>
            <w:tcBorders>
              <w:top w:val="nil"/>
              <w:left w:val="nil"/>
              <w:bottom w:val="nil"/>
              <w:right w:val="nil"/>
            </w:tcBorders>
            <w:noWrap/>
            <w:vAlign w:val="center"/>
            <w:hideMark/>
          </w:tcPr>
          <w:p w14:paraId="1EF46B0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21BAF62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2b</w:t>
            </w:r>
          </w:p>
        </w:tc>
        <w:tc>
          <w:tcPr>
            <w:tcW w:w="585" w:type="pct"/>
            <w:tcBorders>
              <w:top w:val="nil"/>
              <w:left w:val="nil"/>
              <w:bottom w:val="nil"/>
              <w:right w:val="nil"/>
            </w:tcBorders>
            <w:noWrap/>
            <w:vAlign w:val="center"/>
            <w:hideMark/>
          </w:tcPr>
          <w:p w14:paraId="1C825E1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06027A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13DD9A8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37</w:t>
            </w:r>
          </w:p>
        </w:tc>
        <w:tc>
          <w:tcPr>
            <w:tcW w:w="196" w:type="pct"/>
            <w:tcBorders>
              <w:top w:val="nil"/>
              <w:left w:val="nil"/>
              <w:bottom w:val="nil"/>
              <w:right w:val="nil"/>
            </w:tcBorders>
            <w:noWrap/>
            <w:vAlign w:val="center"/>
            <w:hideMark/>
          </w:tcPr>
          <w:p w14:paraId="377D8EE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0.112</w:t>
            </w:r>
          </w:p>
        </w:tc>
        <w:tc>
          <w:tcPr>
            <w:tcW w:w="199" w:type="pct"/>
            <w:tcBorders>
              <w:top w:val="nil"/>
              <w:left w:val="nil"/>
              <w:bottom w:val="nil"/>
              <w:right w:val="nil"/>
            </w:tcBorders>
            <w:noWrap/>
            <w:vAlign w:val="center"/>
            <w:hideMark/>
          </w:tcPr>
          <w:p w14:paraId="66E0CCD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591E935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0508596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2C59F572"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1229DF06" w14:textId="5304351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6B5D9D07"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015E0A10"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0FB4A650"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205CFBC5" w14:textId="1C135B7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A337618" w14:textId="2DA8EA6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9214D0C" w14:textId="77777777" w:rsidTr="22DB2182">
        <w:trPr>
          <w:trHeight w:val="20"/>
        </w:trPr>
        <w:tc>
          <w:tcPr>
            <w:tcW w:w="456" w:type="pct"/>
            <w:tcBorders>
              <w:top w:val="nil"/>
              <w:left w:val="nil"/>
              <w:bottom w:val="nil"/>
              <w:right w:val="nil"/>
            </w:tcBorders>
            <w:noWrap/>
            <w:vAlign w:val="center"/>
            <w:hideMark/>
          </w:tcPr>
          <w:p w14:paraId="07C8EB0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41EC99D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2c</w:t>
            </w:r>
          </w:p>
        </w:tc>
        <w:tc>
          <w:tcPr>
            <w:tcW w:w="585" w:type="pct"/>
            <w:tcBorders>
              <w:top w:val="nil"/>
              <w:left w:val="nil"/>
              <w:bottom w:val="nil"/>
              <w:right w:val="nil"/>
            </w:tcBorders>
            <w:noWrap/>
            <w:vAlign w:val="center"/>
            <w:hideMark/>
          </w:tcPr>
          <w:p w14:paraId="2CD66A5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38BB5C2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06CC4E3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34</w:t>
            </w:r>
          </w:p>
        </w:tc>
        <w:tc>
          <w:tcPr>
            <w:tcW w:w="196" w:type="pct"/>
            <w:tcBorders>
              <w:top w:val="nil"/>
              <w:left w:val="nil"/>
              <w:bottom w:val="nil"/>
              <w:right w:val="nil"/>
            </w:tcBorders>
            <w:noWrap/>
            <w:vAlign w:val="center"/>
            <w:hideMark/>
          </w:tcPr>
          <w:p w14:paraId="66E1775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0.103</w:t>
            </w:r>
          </w:p>
        </w:tc>
        <w:tc>
          <w:tcPr>
            <w:tcW w:w="199" w:type="pct"/>
            <w:tcBorders>
              <w:top w:val="nil"/>
              <w:left w:val="nil"/>
              <w:bottom w:val="nil"/>
              <w:right w:val="nil"/>
            </w:tcBorders>
            <w:noWrap/>
            <w:vAlign w:val="center"/>
            <w:hideMark/>
          </w:tcPr>
          <w:p w14:paraId="72ABF28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498458D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75523A7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6E994D01"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0A2C09B1" w14:textId="7716104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567C752F"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7FA87A84"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7D71101D"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7584139B" w14:textId="44363DA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6F110E0" w14:textId="6FE7F24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C7881DC" w14:textId="77777777" w:rsidTr="22DB2182">
        <w:trPr>
          <w:trHeight w:val="20"/>
        </w:trPr>
        <w:tc>
          <w:tcPr>
            <w:tcW w:w="456" w:type="pct"/>
            <w:tcBorders>
              <w:top w:val="nil"/>
              <w:left w:val="nil"/>
              <w:bottom w:val="nil"/>
              <w:right w:val="nil"/>
            </w:tcBorders>
            <w:noWrap/>
            <w:vAlign w:val="center"/>
            <w:hideMark/>
          </w:tcPr>
          <w:p w14:paraId="1D959FE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023180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2d</w:t>
            </w:r>
          </w:p>
        </w:tc>
        <w:tc>
          <w:tcPr>
            <w:tcW w:w="585" w:type="pct"/>
            <w:tcBorders>
              <w:top w:val="nil"/>
              <w:left w:val="nil"/>
              <w:bottom w:val="nil"/>
              <w:right w:val="nil"/>
            </w:tcBorders>
            <w:noWrap/>
            <w:vAlign w:val="center"/>
            <w:hideMark/>
          </w:tcPr>
          <w:p w14:paraId="2D5DEBE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731016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E105EA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33</w:t>
            </w:r>
          </w:p>
        </w:tc>
        <w:tc>
          <w:tcPr>
            <w:tcW w:w="196" w:type="pct"/>
            <w:tcBorders>
              <w:top w:val="nil"/>
              <w:left w:val="nil"/>
              <w:bottom w:val="nil"/>
              <w:right w:val="nil"/>
            </w:tcBorders>
            <w:noWrap/>
            <w:vAlign w:val="center"/>
            <w:hideMark/>
          </w:tcPr>
          <w:p w14:paraId="550C256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0.091</w:t>
            </w:r>
          </w:p>
        </w:tc>
        <w:tc>
          <w:tcPr>
            <w:tcW w:w="199" w:type="pct"/>
            <w:tcBorders>
              <w:top w:val="nil"/>
              <w:left w:val="nil"/>
              <w:bottom w:val="nil"/>
              <w:right w:val="nil"/>
            </w:tcBorders>
            <w:noWrap/>
            <w:vAlign w:val="center"/>
            <w:hideMark/>
          </w:tcPr>
          <w:p w14:paraId="4E02C5B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5B66EDC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16BC699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552AD90F"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67D5F82D" w14:textId="17E27B0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169ECD7D"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653DE08A"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11DC0DD0"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420AABD2" w14:textId="304679F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E6E672A" w14:textId="1AC2C3D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6FAE2B58" w14:textId="77777777" w:rsidTr="22DB2182">
        <w:trPr>
          <w:trHeight w:val="20"/>
        </w:trPr>
        <w:tc>
          <w:tcPr>
            <w:tcW w:w="456" w:type="pct"/>
            <w:tcBorders>
              <w:top w:val="nil"/>
              <w:left w:val="nil"/>
              <w:bottom w:val="nil"/>
              <w:right w:val="nil"/>
            </w:tcBorders>
            <w:noWrap/>
            <w:vAlign w:val="center"/>
            <w:hideMark/>
          </w:tcPr>
          <w:p w14:paraId="161AB95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A448E4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3a</w:t>
            </w:r>
          </w:p>
        </w:tc>
        <w:tc>
          <w:tcPr>
            <w:tcW w:w="585" w:type="pct"/>
            <w:tcBorders>
              <w:top w:val="nil"/>
              <w:left w:val="nil"/>
              <w:bottom w:val="nil"/>
              <w:right w:val="nil"/>
            </w:tcBorders>
            <w:noWrap/>
            <w:vAlign w:val="center"/>
            <w:hideMark/>
          </w:tcPr>
          <w:p w14:paraId="53130D9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CFC2A0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10E40FE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38</w:t>
            </w:r>
          </w:p>
        </w:tc>
        <w:tc>
          <w:tcPr>
            <w:tcW w:w="196" w:type="pct"/>
            <w:tcBorders>
              <w:top w:val="nil"/>
              <w:left w:val="nil"/>
              <w:bottom w:val="nil"/>
              <w:right w:val="nil"/>
            </w:tcBorders>
            <w:noWrap/>
            <w:vAlign w:val="center"/>
            <w:hideMark/>
          </w:tcPr>
          <w:p w14:paraId="1843CD5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0.065</w:t>
            </w:r>
          </w:p>
        </w:tc>
        <w:tc>
          <w:tcPr>
            <w:tcW w:w="199" w:type="pct"/>
            <w:tcBorders>
              <w:top w:val="nil"/>
              <w:left w:val="nil"/>
              <w:bottom w:val="nil"/>
              <w:right w:val="nil"/>
            </w:tcBorders>
            <w:noWrap/>
            <w:vAlign w:val="center"/>
            <w:hideMark/>
          </w:tcPr>
          <w:p w14:paraId="7C295F1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5A30EE8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223CC6A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109CF0CC"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6FCE8192" w14:textId="432B57D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604DB878"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20AACC4E"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536C97B7"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080516FC" w14:textId="3CDFDC4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64F6A4F" w14:textId="7312937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D704B5C" w14:textId="77777777" w:rsidTr="22DB2182">
        <w:trPr>
          <w:trHeight w:val="20"/>
        </w:trPr>
        <w:tc>
          <w:tcPr>
            <w:tcW w:w="456" w:type="pct"/>
            <w:tcBorders>
              <w:top w:val="nil"/>
              <w:left w:val="nil"/>
              <w:bottom w:val="nil"/>
              <w:right w:val="nil"/>
            </w:tcBorders>
            <w:noWrap/>
            <w:vAlign w:val="center"/>
            <w:hideMark/>
          </w:tcPr>
          <w:p w14:paraId="07C1B63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2D7867D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3b</w:t>
            </w:r>
          </w:p>
        </w:tc>
        <w:tc>
          <w:tcPr>
            <w:tcW w:w="585" w:type="pct"/>
            <w:tcBorders>
              <w:top w:val="nil"/>
              <w:left w:val="nil"/>
              <w:bottom w:val="nil"/>
              <w:right w:val="nil"/>
            </w:tcBorders>
            <w:noWrap/>
            <w:vAlign w:val="center"/>
            <w:hideMark/>
          </w:tcPr>
          <w:p w14:paraId="7F35B49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A5D27B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2C9A03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37</w:t>
            </w:r>
          </w:p>
        </w:tc>
        <w:tc>
          <w:tcPr>
            <w:tcW w:w="196" w:type="pct"/>
            <w:tcBorders>
              <w:top w:val="nil"/>
              <w:left w:val="nil"/>
              <w:bottom w:val="nil"/>
              <w:right w:val="nil"/>
            </w:tcBorders>
            <w:noWrap/>
            <w:vAlign w:val="center"/>
            <w:hideMark/>
          </w:tcPr>
          <w:p w14:paraId="3C14978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0.076</w:t>
            </w:r>
          </w:p>
        </w:tc>
        <w:tc>
          <w:tcPr>
            <w:tcW w:w="199" w:type="pct"/>
            <w:tcBorders>
              <w:top w:val="nil"/>
              <w:left w:val="nil"/>
              <w:bottom w:val="nil"/>
              <w:right w:val="nil"/>
            </w:tcBorders>
            <w:noWrap/>
            <w:vAlign w:val="center"/>
            <w:hideMark/>
          </w:tcPr>
          <w:p w14:paraId="7D04FFC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43D6A12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1BF075C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72E37117"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1A766DBA" w14:textId="4DEE8D6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4C5C417A"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0A48B50C"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22564B07"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638911D3" w14:textId="2AAF355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C7DB408" w14:textId="1E9EE61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0D643A4" w14:textId="77777777" w:rsidTr="22DB2182">
        <w:trPr>
          <w:trHeight w:val="20"/>
        </w:trPr>
        <w:tc>
          <w:tcPr>
            <w:tcW w:w="456" w:type="pct"/>
            <w:tcBorders>
              <w:top w:val="nil"/>
              <w:left w:val="nil"/>
              <w:bottom w:val="nil"/>
              <w:right w:val="nil"/>
            </w:tcBorders>
            <w:noWrap/>
            <w:vAlign w:val="center"/>
            <w:hideMark/>
          </w:tcPr>
          <w:p w14:paraId="7807C19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5C9AAE6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3c</w:t>
            </w:r>
          </w:p>
        </w:tc>
        <w:tc>
          <w:tcPr>
            <w:tcW w:w="585" w:type="pct"/>
            <w:tcBorders>
              <w:top w:val="nil"/>
              <w:left w:val="nil"/>
              <w:bottom w:val="nil"/>
              <w:right w:val="nil"/>
            </w:tcBorders>
            <w:noWrap/>
            <w:vAlign w:val="center"/>
            <w:hideMark/>
          </w:tcPr>
          <w:p w14:paraId="3521524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A5F263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0F4B034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36</w:t>
            </w:r>
          </w:p>
        </w:tc>
        <w:tc>
          <w:tcPr>
            <w:tcW w:w="196" w:type="pct"/>
            <w:tcBorders>
              <w:top w:val="nil"/>
              <w:left w:val="nil"/>
              <w:bottom w:val="nil"/>
              <w:right w:val="nil"/>
            </w:tcBorders>
            <w:noWrap/>
            <w:vAlign w:val="center"/>
            <w:hideMark/>
          </w:tcPr>
          <w:p w14:paraId="4BCA4E3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0.075</w:t>
            </w:r>
          </w:p>
        </w:tc>
        <w:tc>
          <w:tcPr>
            <w:tcW w:w="199" w:type="pct"/>
            <w:tcBorders>
              <w:top w:val="nil"/>
              <w:left w:val="nil"/>
              <w:bottom w:val="nil"/>
              <w:right w:val="nil"/>
            </w:tcBorders>
            <w:noWrap/>
            <w:vAlign w:val="center"/>
            <w:hideMark/>
          </w:tcPr>
          <w:p w14:paraId="2B27FC2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38026D3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5025B90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5237B1F5"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3DB2E63C" w14:textId="17D8309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13376AA9"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50038739"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32676788"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43FB8D5F" w14:textId="50ECACE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46B3B7F" w14:textId="22B229D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842AB07" w14:textId="77777777" w:rsidTr="22DB2182">
        <w:trPr>
          <w:trHeight w:val="20"/>
        </w:trPr>
        <w:tc>
          <w:tcPr>
            <w:tcW w:w="456" w:type="pct"/>
            <w:tcBorders>
              <w:top w:val="nil"/>
              <w:left w:val="nil"/>
              <w:bottom w:val="nil"/>
              <w:right w:val="nil"/>
            </w:tcBorders>
            <w:noWrap/>
            <w:vAlign w:val="center"/>
            <w:hideMark/>
          </w:tcPr>
          <w:p w14:paraId="76EDAF8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77312A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4a</w:t>
            </w:r>
          </w:p>
        </w:tc>
        <w:tc>
          <w:tcPr>
            <w:tcW w:w="585" w:type="pct"/>
            <w:tcBorders>
              <w:top w:val="nil"/>
              <w:left w:val="nil"/>
              <w:bottom w:val="nil"/>
              <w:right w:val="nil"/>
            </w:tcBorders>
            <w:noWrap/>
            <w:vAlign w:val="center"/>
            <w:hideMark/>
          </w:tcPr>
          <w:p w14:paraId="349E5C7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3A4E20F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25468F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31</w:t>
            </w:r>
          </w:p>
        </w:tc>
        <w:tc>
          <w:tcPr>
            <w:tcW w:w="196" w:type="pct"/>
            <w:tcBorders>
              <w:top w:val="nil"/>
              <w:left w:val="nil"/>
              <w:bottom w:val="nil"/>
              <w:right w:val="nil"/>
            </w:tcBorders>
            <w:noWrap/>
            <w:vAlign w:val="center"/>
            <w:hideMark/>
          </w:tcPr>
          <w:p w14:paraId="5B4CC55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0.123</w:t>
            </w:r>
          </w:p>
        </w:tc>
        <w:tc>
          <w:tcPr>
            <w:tcW w:w="199" w:type="pct"/>
            <w:tcBorders>
              <w:top w:val="nil"/>
              <w:left w:val="nil"/>
              <w:bottom w:val="nil"/>
              <w:right w:val="nil"/>
            </w:tcBorders>
            <w:noWrap/>
            <w:vAlign w:val="center"/>
            <w:hideMark/>
          </w:tcPr>
          <w:p w14:paraId="2B3C92F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4DDF1C8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0356E24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37339935"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518950CF" w14:textId="7214E85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1BEDE4C7"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106E5607"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73E6F2B4"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7DF9CB03" w14:textId="27FC8DC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2EE3A62" w14:textId="1ED7CF4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1E4A7C6" w14:textId="77777777" w:rsidTr="22DB2182">
        <w:trPr>
          <w:trHeight w:val="20"/>
        </w:trPr>
        <w:tc>
          <w:tcPr>
            <w:tcW w:w="456" w:type="pct"/>
            <w:tcBorders>
              <w:top w:val="nil"/>
              <w:left w:val="nil"/>
              <w:bottom w:val="nil"/>
              <w:right w:val="nil"/>
            </w:tcBorders>
            <w:noWrap/>
            <w:vAlign w:val="center"/>
            <w:hideMark/>
          </w:tcPr>
          <w:p w14:paraId="70A7F4E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766AEEB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4b</w:t>
            </w:r>
          </w:p>
        </w:tc>
        <w:tc>
          <w:tcPr>
            <w:tcW w:w="585" w:type="pct"/>
            <w:tcBorders>
              <w:top w:val="nil"/>
              <w:left w:val="nil"/>
              <w:bottom w:val="nil"/>
              <w:right w:val="nil"/>
            </w:tcBorders>
            <w:noWrap/>
            <w:vAlign w:val="center"/>
            <w:hideMark/>
          </w:tcPr>
          <w:p w14:paraId="7F55210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7FE0B9B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B41C04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28</w:t>
            </w:r>
          </w:p>
        </w:tc>
        <w:tc>
          <w:tcPr>
            <w:tcW w:w="196" w:type="pct"/>
            <w:tcBorders>
              <w:top w:val="nil"/>
              <w:left w:val="nil"/>
              <w:bottom w:val="nil"/>
              <w:right w:val="nil"/>
            </w:tcBorders>
            <w:noWrap/>
            <w:vAlign w:val="center"/>
            <w:hideMark/>
          </w:tcPr>
          <w:p w14:paraId="5479538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0.088</w:t>
            </w:r>
          </w:p>
        </w:tc>
        <w:tc>
          <w:tcPr>
            <w:tcW w:w="199" w:type="pct"/>
            <w:tcBorders>
              <w:top w:val="nil"/>
              <w:left w:val="nil"/>
              <w:bottom w:val="nil"/>
              <w:right w:val="nil"/>
            </w:tcBorders>
            <w:noWrap/>
            <w:vAlign w:val="center"/>
            <w:hideMark/>
          </w:tcPr>
          <w:p w14:paraId="4D87559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5BEC388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1040B03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1CB4F16B"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649E5BA1" w14:textId="051213C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2A2E0D73"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43C6C613"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3BA9A3D0"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75FE4564" w14:textId="5836C0C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6B8FD92" w14:textId="478EC67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DC1FB65" w14:textId="77777777" w:rsidTr="22DB2182">
        <w:trPr>
          <w:trHeight w:val="20"/>
        </w:trPr>
        <w:tc>
          <w:tcPr>
            <w:tcW w:w="456" w:type="pct"/>
            <w:tcBorders>
              <w:top w:val="nil"/>
              <w:left w:val="nil"/>
              <w:bottom w:val="nil"/>
              <w:right w:val="nil"/>
            </w:tcBorders>
            <w:noWrap/>
            <w:vAlign w:val="center"/>
            <w:hideMark/>
          </w:tcPr>
          <w:p w14:paraId="6C0539A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F82D80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4c</w:t>
            </w:r>
          </w:p>
        </w:tc>
        <w:tc>
          <w:tcPr>
            <w:tcW w:w="585" w:type="pct"/>
            <w:tcBorders>
              <w:top w:val="nil"/>
              <w:left w:val="nil"/>
              <w:bottom w:val="nil"/>
              <w:right w:val="nil"/>
            </w:tcBorders>
            <w:noWrap/>
            <w:vAlign w:val="center"/>
            <w:hideMark/>
          </w:tcPr>
          <w:p w14:paraId="79A5415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3C9133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3F389E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31</w:t>
            </w:r>
          </w:p>
        </w:tc>
        <w:tc>
          <w:tcPr>
            <w:tcW w:w="196" w:type="pct"/>
            <w:tcBorders>
              <w:top w:val="nil"/>
              <w:left w:val="nil"/>
              <w:bottom w:val="nil"/>
              <w:right w:val="nil"/>
            </w:tcBorders>
            <w:noWrap/>
            <w:vAlign w:val="center"/>
            <w:hideMark/>
          </w:tcPr>
          <w:p w14:paraId="10FD9FE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0.097</w:t>
            </w:r>
          </w:p>
        </w:tc>
        <w:tc>
          <w:tcPr>
            <w:tcW w:w="199" w:type="pct"/>
            <w:tcBorders>
              <w:top w:val="nil"/>
              <w:left w:val="nil"/>
              <w:bottom w:val="nil"/>
              <w:right w:val="nil"/>
            </w:tcBorders>
            <w:noWrap/>
            <w:vAlign w:val="center"/>
            <w:hideMark/>
          </w:tcPr>
          <w:p w14:paraId="6CED5ED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695BBE0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7F9642F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429527C6"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6F23A993" w14:textId="46C6D37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462D53A7"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53EF1332"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15C043BA"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0BF2F2E4" w14:textId="4B61CA0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025CD0C6" w14:textId="019165B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214D39A" w14:textId="77777777" w:rsidTr="22DB2182">
        <w:trPr>
          <w:trHeight w:val="20"/>
        </w:trPr>
        <w:tc>
          <w:tcPr>
            <w:tcW w:w="456" w:type="pct"/>
            <w:tcBorders>
              <w:top w:val="nil"/>
              <w:left w:val="nil"/>
              <w:bottom w:val="nil"/>
              <w:right w:val="nil"/>
            </w:tcBorders>
            <w:noWrap/>
            <w:vAlign w:val="center"/>
            <w:hideMark/>
          </w:tcPr>
          <w:p w14:paraId="55D625C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373930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4d</w:t>
            </w:r>
          </w:p>
        </w:tc>
        <w:tc>
          <w:tcPr>
            <w:tcW w:w="585" w:type="pct"/>
            <w:tcBorders>
              <w:top w:val="nil"/>
              <w:left w:val="nil"/>
              <w:bottom w:val="nil"/>
              <w:right w:val="nil"/>
            </w:tcBorders>
            <w:noWrap/>
            <w:vAlign w:val="center"/>
            <w:hideMark/>
          </w:tcPr>
          <w:p w14:paraId="53DCC15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6F3321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4AD4F79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31</w:t>
            </w:r>
          </w:p>
        </w:tc>
        <w:tc>
          <w:tcPr>
            <w:tcW w:w="196" w:type="pct"/>
            <w:tcBorders>
              <w:top w:val="nil"/>
              <w:left w:val="nil"/>
              <w:bottom w:val="nil"/>
              <w:right w:val="nil"/>
            </w:tcBorders>
            <w:noWrap/>
            <w:vAlign w:val="center"/>
            <w:hideMark/>
          </w:tcPr>
          <w:p w14:paraId="672A486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0.121</w:t>
            </w:r>
          </w:p>
        </w:tc>
        <w:tc>
          <w:tcPr>
            <w:tcW w:w="199" w:type="pct"/>
            <w:tcBorders>
              <w:top w:val="nil"/>
              <w:left w:val="nil"/>
              <w:bottom w:val="nil"/>
              <w:right w:val="nil"/>
            </w:tcBorders>
            <w:noWrap/>
            <w:vAlign w:val="center"/>
            <w:hideMark/>
          </w:tcPr>
          <w:p w14:paraId="5C2838E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0E1C23E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689A25E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7CAD6968"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23B1AE19" w14:textId="280F40F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7270BD89"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6A242368"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076F49B1"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536AB6E8" w14:textId="41F7BCC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FF7D78B" w14:textId="5812DB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B15649A" w14:textId="77777777" w:rsidTr="22DB2182">
        <w:trPr>
          <w:trHeight w:val="20"/>
        </w:trPr>
        <w:tc>
          <w:tcPr>
            <w:tcW w:w="456" w:type="pct"/>
            <w:tcBorders>
              <w:top w:val="nil"/>
              <w:left w:val="nil"/>
              <w:bottom w:val="nil"/>
              <w:right w:val="nil"/>
            </w:tcBorders>
            <w:noWrap/>
            <w:vAlign w:val="center"/>
            <w:hideMark/>
          </w:tcPr>
          <w:p w14:paraId="1406883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59A3CA6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4e</w:t>
            </w:r>
          </w:p>
        </w:tc>
        <w:tc>
          <w:tcPr>
            <w:tcW w:w="585" w:type="pct"/>
            <w:tcBorders>
              <w:top w:val="nil"/>
              <w:left w:val="nil"/>
              <w:bottom w:val="nil"/>
              <w:right w:val="nil"/>
            </w:tcBorders>
            <w:noWrap/>
            <w:vAlign w:val="center"/>
            <w:hideMark/>
          </w:tcPr>
          <w:p w14:paraId="7B99460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221897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1BA34FC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35</w:t>
            </w:r>
          </w:p>
        </w:tc>
        <w:tc>
          <w:tcPr>
            <w:tcW w:w="196" w:type="pct"/>
            <w:tcBorders>
              <w:top w:val="nil"/>
              <w:left w:val="nil"/>
              <w:bottom w:val="nil"/>
              <w:right w:val="nil"/>
            </w:tcBorders>
            <w:noWrap/>
            <w:vAlign w:val="center"/>
            <w:hideMark/>
          </w:tcPr>
          <w:p w14:paraId="633966C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0.114</w:t>
            </w:r>
          </w:p>
        </w:tc>
        <w:tc>
          <w:tcPr>
            <w:tcW w:w="199" w:type="pct"/>
            <w:tcBorders>
              <w:top w:val="nil"/>
              <w:left w:val="nil"/>
              <w:bottom w:val="nil"/>
              <w:right w:val="nil"/>
            </w:tcBorders>
            <w:noWrap/>
            <w:vAlign w:val="center"/>
            <w:hideMark/>
          </w:tcPr>
          <w:p w14:paraId="2C29C5E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599AEDD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27A220C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11D122F4"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task</w:t>
            </w:r>
          </w:p>
        </w:tc>
        <w:tc>
          <w:tcPr>
            <w:tcW w:w="430" w:type="pct"/>
            <w:tcBorders>
              <w:top w:val="nil"/>
              <w:left w:val="nil"/>
              <w:bottom w:val="nil"/>
              <w:right w:val="nil"/>
            </w:tcBorders>
            <w:noWrap/>
            <w:vAlign w:val="center"/>
            <w:hideMark/>
          </w:tcPr>
          <w:p w14:paraId="1F36B340" w14:textId="50993FA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1087521B"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less</w:t>
            </w:r>
          </w:p>
        </w:tc>
        <w:tc>
          <w:tcPr>
            <w:tcW w:w="171" w:type="pct"/>
            <w:tcBorders>
              <w:top w:val="nil"/>
              <w:left w:val="nil"/>
              <w:bottom w:val="nil"/>
              <w:right w:val="nil"/>
            </w:tcBorders>
            <w:noWrap/>
            <w:vAlign w:val="center"/>
            <w:hideMark/>
          </w:tcPr>
          <w:p w14:paraId="32657D99"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adult</w:t>
            </w:r>
          </w:p>
        </w:tc>
        <w:tc>
          <w:tcPr>
            <w:tcW w:w="283" w:type="pct"/>
            <w:tcBorders>
              <w:top w:val="nil"/>
              <w:left w:val="nil"/>
              <w:bottom w:val="nil"/>
              <w:right w:val="nil"/>
            </w:tcBorders>
            <w:noWrap/>
            <w:vAlign w:val="center"/>
            <w:hideMark/>
          </w:tcPr>
          <w:p w14:paraId="7A901B5D"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neurotypical</w:t>
            </w:r>
          </w:p>
        </w:tc>
        <w:tc>
          <w:tcPr>
            <w:tcW w:w="338" w:type="pct"/>
            <w:tcBorders>
              <w:top w:val="nil"/>
              <w:left w:val="nil"/>
              <w:bottom w:val="nil"/>
              <w:right w:val="nil"/>
            </w:tcBorders>
            <w:noWrap/>
            <w:vAlign w:val="center"/>
            <w:hideMark/>
          </w:tcPr>
          <w:p w14:paraId="0576B540" w14:textId="667A451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6141278" w14:textId="7BBA3E0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6DA8810" w14:textId="77777777" w:rsidTr="22DB2182">
        <w:trPr>
          <w:trHeight w:val="20"/>
        </w:trPr>
        <w:tc>
          <w:tcPr>
            <w:tcW w:w="456" w:type="pct"/>
            <w:tcBorders>
              <w:top w:val="nil"/>
              <w:left w:val="nil"/>
              <w:bottom w:val="nil"/>
              <w:right w:val="nil"/>
            </w:tcBorders>
            <w:noWrap/>
            <w:vAlign w:val="center"/>
            <w:hideMark/>
          </w:tcPr>
          <w:p w14:paraId="3EC14E13" w14:textId="0CCC6DD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Robison,</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26t2fp05or","properties":{"unsorted":false,"formattedCitation":"(2022)","plainCitation":"(2022)","noteIndex":0},"citationItems":[{"id":5919,"uris":["http://zotero.org/users/8613739/items/9VFTLBFJ"],"itemData":{"id":5919,"type":"article-journal","abstract":"Age-related cognitive decline has been attributed to processing speed differences, as well as differences in executive control and response inhibition. However, recent research has shown that healthy older adults have intact, if not superior, sustained attention abilities compared to younger adults. The present study used a combination of reaction time (RT), thought probes, and pupillometry to measure sustained attention in samples of younger and older adults. The RT data revealed that, while slightly slower overall, older adults sustained their attention to the task better than younger adults, and did not show a vigilance decrement. Older adults also reported fewer instances of task-unrelated thoughts and reported feeling more motivated and alert than younger adults, despite finding the task more demanding. Additionally, older adults showed larger, albeit later-peaking, task-evoked pupillary responses (TEPRs), corroborating the behavioral and self-report data. Finally, older adults did not show a shallowing of TEPRs across time, corroborating the finding that their RTs also did not change across time. The present findings are interpreted in light of processing speed theory, resource-depletion theories of vigilance, and recent neurological theories of cognitive aging.","citation-key":"cdi_crossref_citationtrail_10_1037_pag0000687","container-title":"Psychology and aging","ISSN":"0882-7974","issue":"3","language":"eng","note":"tex.copyright: 2022 American Psychological Association\ncitation-key: cdi_crossref_citationtrail_10_1037_pag0000687","page":"307-325","publisher":"American Psychological Association","publisher-place":"United States","title":"A multimodal analysis of sustained attention in younger and older adults","volume":"37","author":[{"family":"Robison","given":"Matthew K."},{"family":"Diede","given":"Nathaniel T."},{"family":"Nicosia","given":"Jessica"},{"family":"Ball","given":"B. Hunter"},{"family":"Bugg","given":"Julie M."}],"issued":{"date-parts":[["2022",5,1]]}},"suppress-author":true}],"schema":"https://github.com/citation-style-language/schema/raw/master/csl-citation.json"}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(2022)</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18DCF87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70356EC2" w14:textId="32EB74B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92C7D36"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alert</w:t>
            </w:r>
          </w:p>
          <w:p w14:paraId="6C3DCEFF" w14:textId="600A60B2"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my mind was blank</w:t>
            </w:r>
          </w:p>
          <w:p w14:paraId="4CE6EDC7" w14:textId="1F827E8E"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proofErr w:type="spellStart"/>
            <w:r w:rsidRPr="22DB2182">
              <w:rPr>
                <w:rFonts w:ascii="Times New Roman" w:eastAsia="Times New Roman" w:hAnsi="Times New Roman" w:cs="Times New Roman"/>
                <w:color w:val="000000" w:themeColor="text1"/>
                <w:sz w:val="8"/>
                <w:szCs w:val="8"/>
                <w:lang w:eastAsia="en-US"/>
              </w:rPr>
              <w:t>i'm</w:t>
            </w:r>
            <w:proofErr w:type="spellEnd"/>
            <w:r w:rsidRPr="22DB2182">
              <w:rPr>
                <w:rFonts w:ascii="Times New Roman" w:eastAsia="Times New Roman" w:hAnsi="Times New Roman" w:cs="Times New Roman"/>
                <w:color w:val="000000" w:themeColor="text1"/>
                <w:sz w:val="8"/>
                <w:szCs w:val="8"/>
                <w:lang w:eastAsia="en-US"/>
              </w:rPr>
              <w:t xml:space="preserve"> drowsy</w:t>
            </w:r>
          </w:p>
        </w:tc>
        <w:tc>
          <w:tcPr>
            <w:tcW w:w="228" w:type="pct"/>
            <w:tcBorders>
              <w:top w:val="nil"/>
              <w:left w:val="nil"/>
              <w:bottom w:val="nil"/>
              <w:right w:val="nil"/>
            </w:tcBorders>
            <w:noWrap/>
            <w:vAlign w:val="center"/>
            <w:hideMark/>
          </w:tcPr>
          <w:p w14:paraId="523CDB4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60</w:t>
            </w:r>
          </w:p>
        </w:tc>
        <w:tc>
          <w:tcPr>
            <w:tcW w:w="196" w:type="pct"/>
            <w:tcBorders>
              <w:top w:val="nil"/>
              <w:left w:val="nil"/>
              <w:bottom w:val="nil"/>
              <w:right w:val="nil"/>
            </w:tcBorders>
            <w:noWrap/>
            <w:vAlign w:val="center"/>
            <w:hideMark/>
          </w:tcPr>
          <w:p w14:paraId="03B654B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0.172</w:t>
            </w:r>
          </w:p>
        </w:tc>
        <w:tc>
          <w:tcPr>
            <w:tcW w:w="199" w:type="pct"/>
            <w:tcBorders>
              <w:top w:val="nil"/>
              <w:left w:val="nil"/>
              <w:bottom w:val="nil"/>
              <w:right w:val="nil"/>
            </w:tcBorders>
            <w:noWrap/>
            <w:vAlign w:val="center"/>
            <w:hideMark/>
          </w:tcPr>
          <w:p w14:paraId="04DDDE3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4EA2614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467AF2A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75BCC9C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66961648" w14:textId="2C5E929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26E1C88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ED602D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3379CE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778AA5CD" w14:textId="0DE9F51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D07948C" w14:textId="636C2DF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55F63ED" w14:textId="77777777" w:rsidTr="22DB2182">
        <w:trPr>
          <w:trHeight w:val="20"/>
        </w:trPr>
        <w:tc>
          <w:tcPr>
            <w:tcW w:w="456" w:type="pct"/>
            <w:tcBorders>
              <w:top w:val="nil"/>
              <w:left w:val="nil"/>
              <w:bottom w:val="nil"/>
              <w:right w:val="nil"/>
            </w:tcBorders>
            <w:noWrap/>
            <w:vAlign w:val="center"/>
            <w:hideMark/>
          </w:tcPr>
          <w:p w14:paraId="48A2B96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25AFC4B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6319821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64A039E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1DAC17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62</w:t>
            </w:r>
          </w:p>
        </w:tc>
        <w:tc>
          <w:tcPr>
            <w:tcW w:w="196" w:type="pct"/>
            <w:tcBorders>
              <w:top w:val="nil"/>
              <w:left w:val="nil"/>
              <w:bottom w:val="nil"/>
              <w:right w:val="nil"/>
            </w:tcBorders>
            <w:noWrap/>
            <w:vAlign w:val="center"/>
            <w:hideMark/>
          </w:tcPr>
          <w:p w14:paraId="703DBF6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0.046</w:t>
            </w:r>
          </w:p>
        </w:tc>
        <w:tc>
          <w:tcPr>
            <w:tcW w:w="199" w:type="pct"/>
            <w:tcBorders>
              <w:top w:val="nil"/>
              <w:left w:val="nil"/>
              <w:bottom w:val="nil"/>
              <w:right w:val="nil"/>
            </w:tcBorders>
            <w:noWrap/>
            <w:vAlign w:val="center"/>
            <w:hideMark/>
          </w:tcPr>
          <w:p w14:paraId="0BE5FC3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110A6DD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5824244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7D915FF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D1C215C" w14:textId="487AD6B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4B38A5F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5743722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senior</w:t>
            </w:r>
            <w:proofErr w:type="gramEnd"/>
          </w:p>
        </w:tc>
        <w:tc>
          <w:tcPr>
            <w:tcW w:w="283" w:type="pct"/>
            <w:tcBorders>
              <w:top w:val="nil"/>
              <w:left w:val="nil"/>
              <w:bottom w:val="nil"/>
              <w:right w:val="nil"/>
            </w:tcBorders>
            <w:noWrap/>
            <w:vAlign w:val="center"/>
            <w:hideMark/>
          </w:tcPr>
          <w:p w14:paraId="5180482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15D8452" w14:textId="482B9EC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BAA0A71" w14:textId="4C7696B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E61A4FD" w14:textId="77777777" w:rsidTr="22DB2182">
        <w:trPr>
          <w:trHeight w:val="20"/>
        </w:trPr>
        <w:tc>
          <w:tcPr>
            <w:tcW w:w="456" w:type="pct"/>
            <w:tcBorders>
              <w:top w:val="nil"/>
              <w:left w:val="nil"/>
              <w:bottom w:val="nil"/>
              <w:right w:val="nil"/>
            </w:tcBorders>
            <w:noWrap/>
            <w:vAlign w:val="center"/>
            <w:hideMark/>
          </w:tcPr>
          <w:p w14:paraId="37892A87" w14:textId="168686B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Robison,</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{"citationID":"a1q9mkirl0r","properties":{"unsorted":false,"formattedCitation":"(2022)","plainCitation":"(2022)","noteIndex":0},"citationItems":[{"id":5906,"uris":["http://zotero.org/users/8613739/items/GBE5C3NH"],"itemData":{"id":5906,"type":"article-journal","abstract":"The present study examined individual differences in 3 cognitive abilities: attention control (AC), working memory capacity (WMC), and fluid intelligence (gF) as they relate the tendency to experience task-unrelated thoughts (TUTs) and the regulation of arousal. Cognitive abilities were measured with a battery of 9 laboratory tasks, TUTs were measured via thought probes inserted into 2 tasks, and arousal regulation was measured via pupillometry. Recent theorizing (Unsworth &amp; Robison, 2017b) suggests that 1 reason why some people experience relatively frequent TUTs and relatively poor cognitive performance-especially AC and WMC-is that they exhibit dysregulated arousal. Here, we examined how arousal regulation might predict both AC and WMC, but also higher-order cognitive abilities like gF. Further, we examine direct and indirect associations with these abilities via a mediating influence of TUT. Participants who reported more TUTs also tended to exhibit poorer AC, lower WMC, and lower gF. Arousal dysregulation correlated with more TUTs and lower AC. However, there was no direct correlation between arousal regulation and WMC, nor between arousal regulation and gF. The association between arousal regulation and gF was indirect via TUT. We discuss the implications of the results in light of the arousal regulation theory of individual differences and directions for future research.","citation-key":"robisonIndividualDifferencesWorking2022","container-title":"Journal of experimental psychology. Learning, memory, and cognition","ISSN":"0278-7393","issue":"9","language":"eng","note":"tex.copyright: 2022 American Psychological Association","page":"1296-1310","publisher":"American Psychological Association","publisher-place":"United States","title":"Individual differences in working memory capacity, attention control, fluid intelligence, and pupillary measures of arousal","volume":"48","author":[{"family":"Robison","given":"Matthew K."},{"family":"Brewer","given":"Gene A."}],"issued":{"date-parts":[["2022",9,1]]}},"suppress-author":true}],"schema":"https://github.com/citation-style-language/schema/raw/master/csl-citation.json"}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(2022)</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2431560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13BF4F33" w14:textId="7C81290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2D4E118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27030BC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256</w:t>
            </w:r>
          </w:p>
        </w:tc>
        <w:tc>
          <w:tcPr>
            <w:tcW w:w="196" w:type="pct"/>
            <w:tcBorders>
              <w:top w:val="nil"/>
              <w:left w:val="nil"/>
              <w:bottom w:val="nil"/>
              <w:right w:val="nil"/>
            </w:tcBorders>
            <w:noWrap/>
            <w:vAlign w:val="center"/>
            <w:hideMark/>
          </w:tcPr>
          <w:p w14:paraId="3AE7EA2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0.112</w:t>
            </w:r>
          </w:p>
        </w:tc>
        <w:tc>
          <w:tcPr>
            <w:tcW w:w="199" w:type="pct"/>
            <w:tcBorders>
              <w:top w:val="nil"/>
              <w:left w:val="nil"/>
              <w:bottom w:val="nil"/>
              <w:right w:val="nil"/>
            </w:tcBorders>
            <w:noWrap/>
            <w:vAlign w:val="center"/>
            <w:hideMark/>
          </w:tcPr>
          <w:p w14:paraId="6E0E7C4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16</w:t>
            </w:r>
          </w:p>
        </w:tc>
        <w:tc>
          <w:tcPr>
            <w:tcW w:w="218" w:type="pct"/>
            <w:tcBorders>
              <w:top w:val="nil"/>
              <w:left w:val="nil"/>
              <w:bottom w:val="nil"/>
              <w:right w:val="nil"/>
            </w:tcBorders>
            <w:noWrap/>
            <w:vAlign w:val="center"/>
            <w:hideMark/>
          </w:tcPr>
          <w:p w14:paraId="3CC1E29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751F9DF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07" w:type="pct"/>
            <w:tcBorders>
              <w:top w:val="nil"/>
              <w:left w:val="nil"/>
              <w:bottom w:val="nil"/>
              <w:right w:val="nil"/>
            </w:tcBorders>
            <w:noWrap/>
            <w:vAlign w:val="center"/>
            <w:hideMark/>
          </w:tcPr>
          <w:p w14:paraId="58FAF88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F1CFBB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r w:rsidRPr="22DB2182">
              <w:rPr>
                <w:rFonts w:ascii="Times New Roman" w:eastAsia="Times New Roman" w:hAnsi="Times New Roman" w:cs="Times New Roman"/>
                <w:color w:val="000000" w:themeColor="text1"/>
                <w:sz w:val="8"/>
                <w:szCs w:val="8"/>
                <w:lang w:val="fr-FR" w:eastAsia="en-US"/>
              </w:rPr>
              <w:t xml:space="preserve">Change </w:t>
            </w:r>
            <w:proofErr w:type="spellStart"/>
            <w:r w:rsidRPr="22DB2182">
              <w:rPr>
                <w:rFonts w:ascii="Times New Roman" w:eastAsia="Times New Roman" w:hAnsi="Times New Roman" w:cs="Times New Roman"/>
                <w:color w:val="000000" w:themeColor="text1"/>
                <w:sz w:val="8"/>
                <w:szCs w:val="8"/>
                <w:lang w:val="fr-FR" w:eastAsia="en-US"/>
              </w:rPr>
              <w:t>Detection</w:t>
            </w:r>
            <w:proofErr w:type="spellEnd"/>
          </w:p>
        </w:tc>
        <w:tc>
          <w:tcPr>
            <w:tcW w:w="244" w:type="pct"/>
            <w:tcBorders>
              <w:top w:val="nil"/>
              <w:left w:val="nil"/>
              <w:bottom w:val="nil"/>
              <w:right w:val="nil"/>
            </w:tcBorders>
            <w:noWrap/>
            <w:vAlign w:val="center"/>
            <w:hideMark/>
          </w:tcPr>
          <w:p w14:paraId="05F2009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00E4C0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F88270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54CFF26" w14:textId="020FA1A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5E5079B" w14:textId="2CB9287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6F0808F" w14:textId="77777777" w:rsidTr="22DB2182">
        <w:trPr>
          <w:trHeight w:val="20"/>
        </w:trPr>
        <w:tc>
          <w:tcPr>
            <w:tcW w:w="456" w:type="pct"/>
            <w:tcBorders>
              <w:top w:val="nil"/>
              <w:left w:val="nil"/>
              <w:bottom w:val="nil"/>
              <w:right w:val="nil"/>
            </w:tcBorders>
            <w:noWrap/>
            <w:vAlign w:val="center"/>
            <w:hideMark/>
          </w:tcPr>
          <w:p w14:paraId="03037C6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37C7D32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07FD772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21D13C8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30B0E2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257</w:t>
            </w:r>
          </w:p>
        </w:tc>
        <w:tc>
          <w:tcPr>
            <w:tcW w:w="196" w:type="pct"/>
            <w:tcBorders>
              <w:top w:val="nil"/>
              <w:left w:val="nil"/>
              <w:bottom w:val="nil"/>
              <w:right w:val="nil"/>
            </w:tcBorders>
            <w:noWrap/>
            <w:vAlign w:val="center"/>
            <w:hideMark/>
          </w:tcPr>
          <w:p w14:paraId="0A2BFB7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0.119</w:t>
            </w:r>
          </w:p>
        </w:tc>
        <w:tc>
          <w:tcPr>
            <w:tcW w:w="199" w:type="pct"/>
            <w:tcBorders>
              <w:top w:val="nil"/>
              <w:left w:val="nil"/>
              <w:bottom w:val="nil"/>
              <w:right w:val="nil"/>
            </w:tcBorders>
            <w:noWrap/>
            <w:vAlign w:val="center"/>
            <w:hideMark/>
          </w:tcPr>
          <w:p w14:paraId="5459D3E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16</w:t>
            </w:r>
          </w:p>
        </w:tc>
        <w:tc>
          <w:tcPr>
            <w:tcW w:w="218" w:type="pct"/>
            <w:tcBorders>
              <w:top w:val="nil"/>
              <w:left w:val="nil"/>
              <w:bottom w:val="nil"/>
              <w:right w:val="nil"/>
            </w:tcBorders>
            <w:noWrap/>
            <w:vAlign w:val="center"/>
            <w:hideMark/>
          </w:tcPr>
          <w:p w14:paraId="1523F59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1F90F76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w:t>
            </w:r>
          </w:p>
        </w:tc>
        <w:tc>
          <w:tcPr>
            <w:tcW w:w="207" w:type="pct"/>
            <w:tcBorders>
              <w:top w:val="nil"/>
              <w:left w:val="nil"/>
              <w:bottom w:val="nil"/>
              <w:right w:val="nil"/>
            </w:tcBorders>
            <w:noWrap/>
            <w:vAlign w:val="center"/>
            <w:hideMark/>
          </w:tcPr>
          <w:p w14:paraId="176ED1B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1709AB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27EC6FF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491335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16CA40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7FDD2BDB" w14:textId="5651F17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2E85ACE" w14:textId="20A92E5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07EB31B" w14:textId="77777777" w:rsidTr="22DB2182">
        <w:trPr>
          <w:trHeight w:val="20"/>
        </w:trPr>
        <w:tc>
          <w:tcPr>
            <w:tcW w:w="456" w:type="pct"/>
            <w:tcBorders>
              <w:top w:val="nil"/>
              <w:left w:val="nil"/>
              <w:bottom w:val="nil"/>
              <w:right w:val="nil"/>
            </w:tcBorders>
            <w:noWrap/>
            <w:vAlign w:val="center"/>
            <w:hideMark/>
          </w:tcPr>
          <w:p w14:paraId="53809AC1" w14:textId="527E5F7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Robison,</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lcnm8d0a3","properties":{"unsorted":false,"formattedCitation":"(2022)","plainCitation":"(2022)","noteIndex":0},"citationItems":[{"id":16159,"uris":["http://zotero.org/groups/6160358/items/ER7NUKXY"],"itemData":{"id":16159,"type":"article-journal","abstract":"Binaural beats have been used as a way of modifying cognition via auditory stimulation. A recent meta-analysis suggests that binaural beat stimulation can have a positive effect on attention (Garcia-Argibay et al., Psychologische Forschung 83:1124–1136, 2019a, Psychological Research Psychologische Forschung 83:357–372, 2019b), with the sample-weighted average effect size being about .58. This is an intriguing and potentially useful finding, both theoretically and practically. In this study, we focus on sustained attention. We delivered beta-frequency (16 Hz) binaural beat stimulation during a sustained attention task. In “Experiment 1 ”, reaction times were faster under beat stimulation than control stimulation in a between-subjects design. However, the effect was modest in magnitude, and model comparisons using Bayes Factors were indiscriminate between including and excluding the effect from the model. We followed this initial experiment with two concurrently administered follow-up experiments. In “Experiment 2 ”, we added thought probes to measure any changes in task engagement associated with binaural beat stimulation. “Experiment 2 ” revealed a different effect from “Experiment 1 ”: participants in the binaural beat condition exhibited a shallower vigilance decrement. However, the beat stimulation did not affect the thought probes responses. Combining data across the two experiments indicated rather strong evidence against the hypothesis that beta-frequency binaural beats can augment sustained attention, either via a general speeding of responding or a mitigation of the vigilance decrement. Finally, in “Experiment 3 ”, we investigated whether pupillary measures of arousal and/or task engagement would be affected by binaural beat stimulation. There was no evidence for such effects. Overall, we did not observe any consistent evidence that binaural beat stimulation can augment sustained attention or its subjective and physiological correlates.","citation-key":"robisonEffectBinauralBeat2022a","container-title":"Psychological research","ISSN":"0340-0727","issue":"3","language":"eng","license":"The Author(s), under exclusive licence to Springer-Verlag GmbH Germany, part of Springer Nature 2021","page":"808–822","title":"The effect of binaural beat stimulation on sustained attention","volume":"86","author":[{"family":"Robison","given":"Matthew K."},{"family":"Obulasetty","given":"Mohitha"},{"family":"Blais","given":"Chris"},{"family":"Wingert","given":"Kimberly M."},{"family":"Brewer","given":"Gene A."}],"issued":{"date-parts":[["2022",4]]}},"suppress-author":true}],"schema":"https://github.com/citation-style-language/schema/raw/master/csl-citation.json"}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(2022)</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07BDCFC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2a</w:t>
            </w:r>
          </w:p>
        </w:tc>
        <w:tc>
          <w:tcPr>
            <w:tcW w:w="585" w:type="pct"/>
            <w:tcBorders>
              <w:top w:val="nil"/>
              <w:left w:val="nil"/>
              <w:bottom w:val="nil"/>
              <w:right w:val="nil"/>
            </w:tcBorders>
            <w:noWrap/>
            <w:vAlign w:val="center"/>
            <w:hideMark/>
          </w:tcPr>
          <w:p w14:paraId="17D8F431" w14:textId="156447E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791CA8A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5B8013D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151</w:t>
            </w:r>
          </w:p>
        </w:tc>
        <w:tc>
          <w:tcPr>
            <w:tcW w:w="196" w:type="pct"/>
            <w:tcBorders>
              <w:top w:val="nil"/>
              <w:left w:val="nil"/>
              <w:bottom w:val="nil"/>
              <w:right w:val="nil"/>
            </w:tcBorders>
            <w:noWrap/>
            <w:vAlign w:val="center"/>
            <w:hideMark/>
          </w:tcPr>
          <w:p w14:paraId="5B86306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0.122</w:t>
            </w:r>
          </w:p>
        </w:tc>
        <w:tc>
          <w:tcPr>
            <w:tcW w:w="199" w:type="pct"/>
            <w:tcBorders>
              <w:top w:val="nil"/>
              <w:left w:val="nil"/>
              <w:bottom w:val="nil"/>
              <w:right w:val="nil"/>
            </w:tcBorders>
            <w:noWrap/>
            <w:vAlign w:val="center"/>
            <w:hideMark/>
          </w:tcPr>
          <w:p w14:paraId="45FB4DE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18</w:t>
            </w:r>
          </w:p>
        </w:tc>
        <w:tc>
          <w:tcPr>
            <w:tcW w:w="218" w:type="pct"/>
            <w:tcBorders>
              <w:top w:val="nil"/>
              <w:left w:val="nil"/>
              <w:bottom w:val="nil"/>
              <w:right w:val="nil"/>
            </w:tcBorders>
            <w:noWrap/>
            <w:vAlign w:val="center"/>
            <w:hideMark/>
          </w:tcPr>
          <w:p w14:paraId="54E7C3F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5A55FE5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07" w:type="pct"/>
            <w:tcBorders>
              <w:top w:val="nil"/>
              <w:left w:val="nil"/>
              <w:bottom w:val="nil"/>
              <w:right w:val="nil"/>
            </w:tcBorders>
            <w:noWrap/>
            <w:vAlign w:val="center"/>
            <w:hideMark/>
          </w:tcPr>
          <w:p w14:paraId="300C775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694A8BC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6BE26A2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810225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E02C70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B99A2A4" w14:textId="43264F0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00164A4" w14:textId="2FB222D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13C15C3" w14:textId="77777777" w:rsidTr="22DB2182">
        <w:trPr>
          <w:trHeight w:val="20"/>
        </w:trPr>
        <w:tc>
          <w:tcPr>
            <w:tcW w:w="456" w:type="pct"/>
            <w:tcBorders>
              <w:top w:val="nil"/>
              <w:left w:val="nil"/>
              <w:bottom w:val="nil"/>
              <w:right w:val="nil"/>
            </w:tcBorders>
            <w:noWrap/>
            <w:vAlign w:val="center"/>
            <w:hideMark/>
          </w:tcPr>
          <w:p w14:paraId="57A9F03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2D7267C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2b</w:t>
            </w:r>
          </w:p>
        </w:tc>
        <w:tc>
          <w:tcPr>
            <w:tcW w:w="585" w:type="pct"/>
            <w:tcBorders>
              <w:top w:val="nil"/>
              <w:left w:val="nil"/>
              <w:bottom w:val="nil"/>
              <w:right w:val="nil"/>
            </w:tcBorders>
            <w:noWrap/>
            <w:vAlign w:val="center"/>
            <w:hideMark/>
          </w:tcPr>
          <w:p w14:paraId="1903C3F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081949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462DADE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151</w:t>
            </w:r>
          </w:p>
        </w:tc>
        <w:tc>
          <w:tcPr>
            <w:tcW w:w="196" w:type="pct"/>
            <w:tcBorders>
              <w:top w:val="nil"/>
              <w:left w:val="nil"/>
              <w:bottom w:val="nil"/>
              <w:right w:val="nil"/>
            </w:tcBorders>
            <w:noWrap/>
            <w:vAlign w:val="center"/>
            <w:hideMark/>
          </w:tcPr>
          <w:p w14:paraId="61767E3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0.108</w:t>
            </w:r>
          </w:p>
        </w:tc>
        <w:tc>
          <w:tcPr>
            <w:tcW w:w="199" w:type="pct"/>
            <w:tcBorders>
              <w:top w:val="nil"/>
              <w:left w:val="nil"/>
              <w:bottom w:val="nil"/>
              <w:right w:val="nil"/>
            </w:tcBorders>
            <w:noWrap/>
            <w:vAlign w:val="center"/>
            <w:hideMark/>
          </w:tcPr>
          <w:p w14:paraId="19D40BE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18</w:t>
            </w:r>
          </w:p>
        </w:tc>
        <w:tc>
          <w:tcPr>
            <w:tcW w:w="218" w:type="pct"/>
            <w:tcBorders>
              <w:top w:val="nil"/>
              <w:left w:val="nil"/>
              <w:bottom w:val="nil"/>
              <w:right w:val="nil"/>
            </w:tcBorders>
            <w:noWrap/>
            <w:vAlign w:val="center"/>
            <w:hideMark/>
          </w:tcPr>
          <w:p w14:paraId="76D83D5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60B5BF1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07" w:type="pct"/>
            <w:tcBorders>
              <w:top w:val="nil"/>
              <w:left w:val="nil"/>
              <w:bottom w:val="nil"/>
              <w:right w:val="nil"/>
            </w:tcBorders>
            <w:noWrap/>
            <w:vAlign w:val="center"/>
            <w:hideMark/>
          </w:tcPr>
          <w:p w14:paraId="3771C8A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32A7D17" w14:textId="150FC5B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300DA27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161E712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8E8527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73B082E2" w14:textId="5FEFA2D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59A0845" w14:textId="0747F5C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1270193" w14:textId="77777777" w:rsidTr="22DB2182">
        <w:trPr>
          <w:trHeight w:val="20"/>
        </w:trPr>
        <w:tc>
          <w:tcPr>
            <w:tcW w:w="456" w:type="pct"/>
            <w:tcBorders>
              <w:top w:val="nil"/>
              <w:left w:val="nil"/>
              <w:bottom w:val="nil"/>
              <w:right w:val="nil"/>
            </w:tcBorders>
            <w:noWrap/>
            <w:vAlign w:val="center"/>
            <w:hideMark/>
          </w:tcPr>
          <w:p w14:paraId="491B9362" w14:textId="56F5694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Sakuragi,</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{"citationID":"a265ttc2tnt","properties":{"unsorted":false,"formattedCitation":"(2024)","plainCitation":"(2024)","noteIndex":0},"citationItems":[{"id":17885,"uris":["http://zotero.org/users/8613739/items/GFKVFHWZ"],"itemData":{"id":17885,"type":"article-journal","abstract":"Our thought states change without intention. This study verified that the transition of thought states varies with fluctuations in autonomic nervous activity, and that this effect is modulated by interoceptive accuracy. The participants completed the heartbeat counting task (HCT) and vigilance task. We assessed the participants' interoceptive accuracy based on their performance on the HCT. The vigilance task is a simple attention task, and during this task, we asked the participants to report the content and contemplation of their thoughts. Consequently, participants with accurate interoception were more likely to remain in a highly contemplative thought state when parasympathetic activity was suppressed. In contrast, the dominance of parasympathetic activity facilitated transitions to different thought states or experiences of less contemplative thought states in them. The results suggest that even subtle changes in bodily responses at rest can affect thought transitions in people with accurate interoception.","citation-key":"sakuragiBodyMirroringThought2024a","container-title":"Consciousness and Cognition","DOI":"10.1016/j.concog.2024.103770","ISSN":"1090-2376","journalAbbreviation":"Conscious Cogn","language":"eng","page":"103770","PMID":"39423474","source":"PubMed","title":"The body mirroring thought: The relationship between thought transitions and fluctuations in autonomic nervous activity mediated by interoception","title-short":"The body mirroring thought","volume":"125","author":[{"family":"Sakuragi","given":"Mai"},{"family":"Shinagawa","given":"Kazushi"},{"family":"Terasawa","given":"Yuri"},{"family":"Umeda","given":"Satoshi"}],"issued":{"date-parts":[["2024",10]]}},"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(2024)</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41F2039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58EDBA59" w14:textId="541D9088"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thinking of nothing</w:t>
            </w:r>
          </w:p>
          <w:p w14:paraId="599C7660"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 reportable content</w:t>
            </w:r>
          </w:p>
          <w:p w14:paraId="7C81CF9D" w14:textId="6E0BE6A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not</w:t>
            </w:r>
            <w:proofErr w:type="gram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aware</w:t>
            </w:r>
            <w:proofErr w:type="spellEnd"/>
            <w:r w:rsidRPr="22DB2182">
              <w:rPr>
                <w:rFonts w:ascii="Times New Roman" w:eastAsia="Times New Roman" w:hAnsi="Times New Roman" w:cs="Times New Roman"/>
                <w:color w:val="000000" w:themeColor="text1"/>
                <w:sz w:val="8"/>
                <w:szCs w:val="8"/>
                <w:lang w:val="fr-FR" w:eastAsia="en-US"/>
              </w:rPr>
              <w:t xml:space="preserve"> of stimuli</w:t>
            </w:r>
          </w:p>
        </w:tc>
        <w:tc>
          <w:tcPr>
            <w:tcW w:w="679" w:type="pct"/>
            <w:tcBorders>
              <w:top w:val="nil"/>
              <w:left w:val="nil"/>
              <w:bottom w:val="nil"/>
              <w:right w:val="nil"/>
            </w:tcBorders>
            <w:noWrap/>
            <w:vAlign w:val="center"/>
            <w:hideMark/>
          </w:tcPr>
          <w:p w14:paraId="1B06A69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thinking</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of </w:t>
            </w:r>
            <w:proofErr w:type="spellStart"/>
            <w:r w:rsidRPr="22DB2182">
              <w:rPr>
                <w:rFonts w:ascii="Times New Roman" w:eastAsia="Times New Roman" w:hAnsi="Times New Roman" w:cs="Times New Roman"/>
                <w:color w:val="000000" w:themeColor="text1"/>
                <w:sz w:val="8"/>
                <w:szCs w:val="8"/>
                <w:lang w:val="fr-FR" w:eastAsia="en-US"/>
              </w:rPr>
              <w:t>nothing</w:t>
            </w:r>
            <w:proofErr w:type="spellEnd"/>
          </w:p>
        </w:tc>
        <w:tc>
          <w:tcPr>
            <w:tcW w:w="228" w:type="pct"/>
            <w:tcBorders>
              <w:top w:val="nil"/>
              <w:left w:val="nil"/>
              <w:bottom w:val="nil"/>
              <w:right w:val="nil"/>
            </w:tcBorders>
            <w:noWrap/>
            <w:vAlign w:val="center"/>
            <w:hideMark/>
          </w:tcPr>
          <w:p w14:paraId="693269C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96</w:t>
            </w:r>
          </w:p>
        </w:tc>
        <w:tc>
          <w:tcPr>
            <w:tcW w:w="196" w:type="pct"/>
            <w:tcBorders>
              <w:top w:val="nil"/>
              <w:left w:val="nil"/>
              <w:bottom w:val="nil"/>
              <w:right w:val="nil"/>
            </w:tcBorders>
            <w:noWrap/>
            <w:vAlign w:val="center"/>
            <w:hideMark/>
          </w:tcPr>
          <w:p w14:paraId="4E11504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0.066</w:t>
            </w:r>
          </w:p>
        </w:tc>
        <w:tc>
          <w:tcPr>
            <w:tcW w:w="199" w:type="pct"/>
            <w:tcBorders>
              <w:top w:val="nil"/>
              <w:left w:val="nil"/>
              <w:bottom w:val="nil"/>
              <w:right w:val="nil"/>
            </w:tcBorders>
            <w:noWrap/>
            <w:vAlign w:val="center"/>
            <w:hideMark/>
          </w:tcPr>
          <w:p w14:paraId="0941DB9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218" w:type="pct"/>
            <w:tcBorders>
              <w:top w:val="nil"/>
              <w:left w:val="nil"/>
              <w:bottom w:val="nil"/>
              <w:right w:val="nil"/>
            </w:tcBorders>
            <w:noWrap/>
            <w:vAlign w:val="center"/>
            <w:hideMark/>
          </w:tcPr>
          <w:p w14:paraId="3E90CB0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53C9895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75A762A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1800DB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Vigilance</w:t>
            </w:r>
          </w:p>
        </w:tc>
        <w:tc>
          <w:tcPr>
            <w:tcW w:w="244" w:type="pct"/>
            <w:tcBorders>
              <w:top w:val="nil"/>
              <w:left w:val="nil"/>
              <w:bottom w:val="nil"/>
              <w:right w:val="nil"/>
            </w:tcBorders>
            <w:noWrap/>
            <w:vAlign w:val="center"/>
            <w:hideMark/>
          </w:tcPr>
          <w:p w14:paraId="189ADAC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07C6FD9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7FAB39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67C96540" w14:textId="6EAD29B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43E3293" w14:textId="04270BF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EEF34E7" w14:textId="77777777" w:rsidTr="22DB2182">
        <w:trPr>
          <w:trHeight w:val="20"/>
        </w:trPr>
        <w:tc>
          <w:tcPr>
            <w:tcW w:w="456" w:type="pct"/>
            <w:tcBorders>
              <w:top w:val="nil"/>
              <w:left w:val="nil"/>
              <w:bottom w:val="nil"/>
              <w:right w:val="nil"/>
            </w:tcBorders>
            <w:noWrap/>
            <w:vAlign w:val="center"/>
            <w:hideMark/>
          </w:tcPr>
          <w:p w14:paraId="60744BE0" w14:textId="4B1D8D5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Sakuragi,</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{"citationID":"addndp2t1u","properties":{"unsorted":false,"formattedCitation":"(2025)","plainCitation":"(2025)","noteIndex":0},"citationItems":[{"id":17887,"uris":["http://zotero.org/users/8613739/items/N8YDNBSG"],"itemData":{"id":17887,"type":"article-journal","abstract":"Our thoughts often drift away from the tasks at hand. Various factors influence this phenomenon, including changes in the external environment, individual cognitive characteristics, and fluctuations in bodily reactions. This study investigated the relationship between fluctuations in cardiac activity and thought state transitions, focusing on individual differences such as cardiac interoception. First, the heartbeat counting task was conducted as an index of interoceptive accuracy. Participants then completed an auditory attention task with simultaneous electrocardiogram monitoring, during which they periodically reported on their thoughts. We estimated trial-by-trial thought states in a data-driven manner and examined the interplay among the current thought state, cardiac activity, and individual cardiac interoceptive accuracy. The results revealed that for individuals with high cardiac interoceptive accuracy, the persistence of self-related thought states was associated with concurrent heart rate acceleration. Furthermore, participants with higher depressive tendencies and interoceptive accuracy exhibited an increased likelihood of transitioning to self-related states when experiencing decreased heart rate during task-focused states. These findings suggest that interoception plays a dynamic role in shaping consciousness; the accurate detection of physiological arousal co-occurring with a specific thought might amplify that thought's salience, thereby influencing its persistence. This study provides new insights into the cognitive and physiological mechanisms underlying the dynamics of spontaneous thought.","citation-key":"sakuragiHowHeartShapes2025a","container-title":"Acta Psychologica","DOI":"10.1016/j.actpsy.2025.105931","ISSN":"0001-6918","journalAbbreviation":"Acta Psychologica","page":"105931","source":"ScienceDirect","title":"How the heart shapes the mind: The role of cardiac interoception in the interaction between bodily reactions and self-related thoughts","title-short":"How the heart shapes the mind","volume":"261","author":[{"family":"Sakuragi","given":"Mai"},{"family":"Umeda","given":"Satoshi"}],"issued":{"date-parts":[["2025",11,1]]}},"suppress-author":true}],"schema":"https://github.com/citation-style-language/schema/raw/master/csl-citation.json"}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688FCAA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6F5E79A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absence</w:t>
            </w:r>
            <w:proofErr w:type="gramEnd"/>
            <w:r w:rsidRPr="22DB2182">
              <w:rPr>
                <w:rFonts w:ascii="Times New Roman" w:eastAsia="Times New Roman" w:hAnsi="Times New Roman" w:cs="Times New Roman"/>
                <w:color w:val="000000" w:themeColor="text1"/>
                <w:sz w:val="8"/>
                <w:szCs w:val="8"/>
                <w:lang w:val="fr-FR" w:eastAsia="en-US"/>
              </w:rPr>
              <w:t xml:space="preserve"> of </w:t>
            </w:r>
            <w:proofErr w:type="spellStart"/>
            <w:r w:rsidRPr="22DB2182">
              <w:rPr>
                <w:rFonts w:ascii="Times New Roman" w:eastAsia="Times New Roman" w:hAnsi="Times New Roman" w:cs="Times New Roman"/>
                <w:color w:val="000000" w:themeColor="text1"/>
                <w:sz w:val="8"/>
                <w:szCs w:val="8"/>
                <w:lang w:val="fr-FR" w:eastAsia="en-US"/>
              </w:rPr>
              <w:t>thought</w:t>
            </w:r>
            <w:proofErr w:type="spellEnd"/>
          </w:p>
        </w:tc>
        <w:tc>
          <w:tcPr>
            <w:tcW w:w="679" w:type="pct"/>
            <w:tcBorders>
              <w:top w:val="nil"/>
              <w:left w:val="nil"/>
              <w:bottom w:val="nil"/>
              <w:right w:val="nil"/>
            </w:tcBorders>
            <w:noWrap/>
            <w:vAlign w:val="center"/>
            <w:hideMark/>
          </w:tcPr>
          <w:p w14:paraId="166DE7B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absence</w:t>
            </w:r>
            <w:proofErr w:type="gramEnd"/>
            <w:r w:rsidRPr="22DB2182">
              <w:rPr>
                <w:rFonts w:ascii="Times New Roman" w:eastAsia="Times New Roman" w:hAnsi="Times New Roman" w:cs="Times New Roman"/>
                <w:color w:val="000000" w:themeColor="text1"/>
                <w:sz w:val="8"/>
                <w:szCs w:val="8"/>
                <w:lang w:val="fr-FR" w:eastAsia="en-US"/>
              </w:rPr>
              <w:t xml:space="preserve"> of </w:t>
            </w:r>
            <w:proofErr w:type="spellStart"/>
            <w:r w:rsidRPr="22DB2182">
              <w:rPr>
                <w:rFonts w:ascii="Times New Roman" w:eastAsia="Times New Roman" w:hAnsi="Times New Roman" w:cs="Times New Roman"/>
                <w:color w:val="000000" w:themeColor="text1"/>
                <w:sz w:val="8"/>
                <w:szCs w:val="8"/>
                <w:lang w:val="fr-FR" w:eastAsia="en-US"/>
              </w:rPr>
              <w:t>thought</w:t>
            </w:r>
            <w:proofErr w:type="spellEnd"/>
            <w:r w:rsidRPr="22DB2182">
              <w:rPr>
                <w:rFonts w:ascii="Times New Roman" w:eastAsia="Times New Roman" w:hAnsi="Times New Roman" w:cs="Times New Roman"/>
                <w:color w:val="000000" w:themeColor="text1"/>
                <w:sz w:val="8"/>
                <w:szCs w:val="8"/>
                <w:lang w:val="fr-FR" w:eastAsia="en-US"/>
              </w:rPr>
              <w:t xml:space="preserve"> content</w:t>
            </w:r>
          </w:p>
        </w:tc>
        <w:tc>
          <w:tcPr>
            <w:tcW w:w="228" w:type="pct"/>
            <w:tcBorders>
              <w:top w:val="nil"/>
              <w:left w:val="nil"/>
              <w:bottom w:val="nil"/>
              <w:right w:val="nil"/>
            </w:tcBorders>
            <w:noWrap/>
            <w:vAlign w:val="center"/>
            <w:hideMark/>
          </w:tcPr>
          <w:p w14:paraId="115F2EA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w:t>
            </w:r>
          </w:p>
        </w:tc>
        <w:tc>
          <w:tcPr>
            <w:tcW w:w="196" w:type="pct"/>
            <w:tcBorders>
              <w:top w:val="nil"/>
              <w:left w:val="nil"/>
              <w:bottom w:val="nil"/>
              <w:right w:val="nil"/>
            </w:tcBorders>
            <w:noWrap/>
            <w:vAlign w:val="center"/>
            <w:hideMark/>
          </w:tcPr>
          <w:p w14:paraId="0B8C6D1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0.162</w:t>
            </w:r>
          </w:p>
        </w:tc>
        <w:tc>
          <w:tcPr>
            <w:tcW w:w="199" w:type="pct"/>
            <w:tcBorders>
              <w:top w:val="nil"/>
              <w:left w:val="nil"/>
              <w:bottom w:val="nil"/>
              <w:right w:val="nil"/>
            </w:tcBorders>
            <w:noWrap/>
            <w:vAlign w:val="center"/>
            <w:hideMark/>
          </w:tcPr>
          <w:p w14:paraId="2542EC3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w:t>
            </w:r>
          </w:p>
        </w:tc>
        <w:tc>
          <w:tcPr>
            <w:tcW w:w="218" w:type="pct"/>
            <w:tcBorders>
              <w:top w:val="nil"/>
              <w:left w:val="nil"/>
              <w:bottom w:val="nil"/>
              <w:right w:val="nil"/>
            </w:tcBorders>
            <w:noWrap/>
            <w:vAlign w:val="center"/>
            <w:hideMark/>
          </w:tcPr>
          <w:p w14:paraId="136BFAE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8</w:t>
            </w:r>
          </w:p>
        </w:tc>
        <w:tc>
          <w:tcPr>
            <w:tcW w:w="327" w:type="pct"/>
            <w:tcBorders>
              <w:top w:val="nil"/>
              <w:left w:val="nil"/>
              <w:bottom w:val="nil"/>
              <w:right w:val="nil"/>
            </w:tcBorders>
            <w:noWrap/>
            <w:vAlign w:val="center"/>
            <w:hideMark/>
          </w:tcPr>
          <w:p w14:paraId="3085475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27.5</w:t>
            </w:r>
          </w:p>
        </w:tc>
        <w:tc>
          <w:tcPr>
            <w:tcW w:w="207" w:type="pct"/>
            <w:tcBorders>
              <w:top w:val="nil"/>
              <w:left w:val="nil"/>
              <w:bottom w:val="nil"/>
              <w:right w:val="nil"/>
            </w:tcBorders>
            <w:noWrap/>
            <w:vAlign w:val="center"/>
            <w:hideMark/>
          </w:tcPr>
          <w:p w14:paraId="040F6D4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EE073B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Sound Attention</w:t>
            </w:r>
          </w:p>
        </w:tc>
        <w:tc>
          <w:tcPr>
            <w:tcW w:w="244" w:type="pct"/>
            <w:tcBorders>
              <w:top w:val="nil"/>
              <w:left w:val="nil"/>
              <w:bottom w:val="nil"/>
              <w:right w:val="nil"/>
            </w:tcBorders>
            <w:noWrap/>
            <w:vAlign w:val="center"/>
            <w:hideMark/>
          </w:tcPr>
          <w:p w14:paraId="63C335E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52F7A84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1FF589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BF6D740" w14:textId="690276D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07AC7AC9" w14:textId="1E950E5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FD41C59" w14:textId="77777777" w:rsidTr="22DB2182">
        <w:trPr>
          <w:trHeight w:val="20"/>
        </w:trPr>
        <w:tc>
          <w:tcPr>
            <w:tcW w:w="456" w:type="pct"/>
            <w:tcBorders>
              <w:top w:val="nil"/>
              <w:left w:val="nil"/>
              <w:bottom w:val="nil"/>
              <w:right w:val="nil"/>
            </w:tcBorders>
            <w:noWrap/>
            <w:vAlign w:val="center"/>
            <w:hideMark/>
          </w:tcPr>
          <w:p w14:paraId="39CD717D" w14:textId="16F33CB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Shi</w:t>
            </w:r>
            <w:r w:rsidR="001115B8">
              <w:rPr>
                <w:rFonts w:ascii="Times New Roman" w:eastAsia="Times New Roman" w:hAnsi="Times New Roman" w:cs="Times New Roman"/>
                <w:color w:val="000000"/>
                <w:sz w:val="8"/>
                <w:szCs w:val="8"/>
              </w:rPr>
              <w:t>na</w:t>
            </w:r>
            <w:r w:rsidRPr="0065213A">
              <w:rPr>
                <w:rFonts w:ascii="Times New Roman" w:eastAsia="Times New Roman" w:hAnsi="Times New Roman" w:cs="Times New Roman"/>
                <w:color w:val="000000"/>
                <w:sz w:val="8"/>
                <w:szCs w:val="8"/>
              </w:rPr>
              <w:t>gawa,</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{"citationID":"a1vos9j6tgj","properties":{"unsorted":false,"formattedCitation":"(2023)","plainCitation":"(2023)","noteIndex":0},"citationItems":[{"id":6,"uris":["http://zotero.org/users/8613739/items/Z5SMS4VB"],"itemData":{"id":6,"type":"article-journal","abstract":"Some studies have asked participants about attentional state on a scale from on-task to off-task, which set the middle option as attention focused on both, including the possibility of the coexistence of thoughts. In addition, studies using multidimensional probes explicitly assumed coexistence within spontaneous thoughts and task-focus dimensions. Although several studies have assumed the coexistence of some thought dimensions, none has explored whether these are different types of thoughts (task-focus, mind-wandering, task-related, external stimuli-related). To examine whether this coexistence of thought types occurred, we used thought probes to determine the degree of immersion in each. The participants responded to probes presented at random during a sustained attention task. The results revealed a mixture of thought types in many self-reports. In addition, the state of attentional allocation behind self-reports was estimated using the hidden Markov model. We observed the following attentional states: task-focused, task-unrelated, task-related, external stimuli-focused, and task-focused—but also focused on other thoughts. These results suggest that individuals can simultaneously allocate attention to thought types and discriminate between reporting. In some cases, probe options should also be considered for this coexistence. We also examined the relationship between self-reports and behavioral indexes, and discussed the necessity of separately measuring the degree of immersion for each thought type.","citation-key":"shinagawaCoexistenceThoughtTypes2023","container-title":"Scientific Reports","DOI":"10.1038/s41598-023-28690-1","ISSN":"2045-2322","issue":"1","journalAbbreviation":"Sci Rep","language":"en","license":"2023 The Author(s)","note":"number: 1","page":"1581","publisher":"Nature Publishing Group","source":"www.nature.com","title":"Coexistence of thought types as an attentional state during a sustained attention task","volume":"13","author":[{"family":"Shinagawa","given":"Kazushi"},{"family":"Itagaki","given":"Yu"},{"family":"Umeda","given":"Satoshi"}],"issued":{"date-parts":[["2023",1,28]]}},"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(2023)</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19878DB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0054A65D" w14:textId="5753CDF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A7EDB1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222222"/>
                <w:sz w:val="8"/>
                <w:szCs w:val="8"/>
                <w:lang w:val="fr-FR" w:eastAsia="en-US"/>
              </w:rPr>
            </w:pPr>
            <w:proofErr w:type="gramStart"/>
            <w:r w:rsidRPr="22DB2182">
              <w:rPr>
                <w:rFonts w:ascii="Times New Roman" w:eastAsia="Times New Roman" w:hAnsi="Times New Roman" w:cs="Times New Roman"/>
                <w:color w:val="222222"/>
                <w:sz w:val="8"/>
                <w:szCs w:val="8"/>
                <w:lang w:val="fr-FR" w:eastAsia="en-US"/>
              </w:rPr>
              <w:t>not</w:t>
            </w:r>
            <w:proofErr w:type="gramEnd"/>
            <w:r w:rsidRPr="22DB2182">
              <w:rPr>
                <w:rFonts w:ascii="Times New Roman" w:eastAsia="Times New Roman" w:hAnsi="Times New Roman" w:cs="Times New Roman"/>
                <w:color w:val="222222"/>
                <w:sz w:val="8"/>
                <w:szCs w:val="8"/>
                <w:lang w:val="fr-FR" w:eastAsia="en-US"/>
              </w:rPr>
              <w:t xml:space="preserve"> </w:t>
            </w:r>
            <w:proofErr w:type="spellStart"/>
            <w:r w:rsidRPr="22DB2182">
              <w:rPr>
                <w:rFonts w:ascii="Times New Roman" w:eastAsia="Times New Roman" w:hAnsi="Times New Roman" w:cs="Times New Roman"/>
                <w:color w:val="222222"/>
                <w:sz w:val="8"/>
                <w:szCs w:val="8"/>
                <w:lang w:val="fr-FR" w:eastAsia="en-US"/>
              </w:rPr>
              <w:t>concentrating</w:t>
            </w:r>
            <w:proofErr w:type="spellEnd"/>
            <w:r w:rsidRPr="22DB2182">
              <w:rPr>
                <w:rFonts w:ascii="Times New Roman" w:eastAsia="Times New Roman" w:hAnsi="Times New Roman" w:cs="Times New Roman"/>
                <w:color w:val="222222"/>
                <w:sz w:val="8"/>
                <w:szCs w:val="8"/>
                <w:lang w:val="fr-FR" w:eastAsia="en-US"/>
              </w:rPr>
              <w:t xml:space="preserve"> on </w:t>
            </w:r>
            <w:proofErr w:type="spellStart"/>
            <w:r w:rsidRPr="22DB2182">
              <w:rPr>
                <w:rFonts w:ascii="Times New Roman" w:eastAsia="Times New Roman" w:hAnsi="Times New Roman" w:cs="Times New Roman"/>
                <w:color w:val="222222"/>
                <w:sz w:val="8"/>
                <w:szCs w:val="8"/>
                <w:lang w:val="fr-FR" w:eastAsia="en-US"/>
              </w:rPr>
              <w:t>thoughts</w:t>
            </w:r>
            <w:proofErr w:type="spellEnd"/>
          </w:p>
        </w:tc>
        <w:tc>
          <w:tcPr>
            <w:tcW w:w="228" w:type="pct"/>
            <w:tcBorders>
              <w:top w:val="nil"/>
              <w:left w:val="nil"/>
              <w:bottom w:val="nil"/>
              <w:right w:val="nil"/>
            </w:tcBorders>
            <w:noWrap/>
            <w:vAlign w:val="center"/>
            <w:hideMark/>
          </w:tcPr>
          <w:p w14:paraId="7FA78F4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28</w:t>
            </w:r>
          </w:p>
        </w:tc>
        <w:tc>
          <w:tcPr>
            <w:tcW w:w="196" w:type="pct"/>
            <w:tcBorders>
              <w:top w:val="nil"/>
              <w:left w:val="nil"/>
              <w:bottom w:val="nil"/>
              <w:right w:val="nil"/>
            </w:tcBorders>
            <w:noWrap/>
            <w:vAlign w:val="center"/>
            <w:hideMark/>
          </w:tcPr>
          <w:p w14:paraId="5A31103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0.036</w:t>
            </w:r>
          </w:p>
        </w:tc>
        <w:tc>
          <w:tcPr>
            <w:tcW w:w="199" w:type="pct"/>
            <w:tcBorders>
              <w:top w:val="nil"/>
              <w:left w:val="nil"/>
              <w:bottom w:val="nil"/>
              <w:right w:val="nil"/>
            </w:tcBorders>
            <w:noWrap/>
            <w:vAlign w:val="center"/>
            <w:hideMark/>
          </w:tcPr>
          <w:p w14:paraId="2748752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21C2810E" w14:textId="4512271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327" w:type="pct"/>
            <w:tcBorders>
              <w:top w:val="nil"/>
              <w:left w:val="nil"/>
              <w:bottom w:val="nil"/>
              <w:right w:val="nil"/>
            </w:tcBorders>
            <w:noWrap/>
            <w:vAlign w:val="center"/>
            <w:hideMark/>
          </w:tcPr>
          <w:p w14:paraId="3DDDB88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22.5</w:t>
            </w:r>
          </w:p>
        </w:tc>
        <w:tc>
          <w:tcPr>
            <w:tcW w:w="207" w:type="pct"/>
            <w:tcBorders>
              <w:top w:val="nil"/>
              <w:left w:val="nil"/>
              <w:bottom w:val="nil"/>
              <w:right w:val="nil"/>
            </w:tcBorders>
            <w:noWrap/>
            <w:vAlign w:val="center"/>
            <w:hideMark/>
          </w:tcPr>
          <w:p w14:paraId="7DFDB11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0880B91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4D48B40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792FCEE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A225E7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390067A" w14:textId="6472A8C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7555614" w14:textId="1DC2753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1559AE9" w14:textId="77777777" w:rsidTr="22DB2182">
        <w:trPr>
          <w:trHeight w:val="20"/>
        </w:trPr>
        <w:tc>
          <w:tcPr>
            <w:tcW w:w="456" w:type="pct"/>
            <w:tcBorders>
              <w:top w:val="nil"/>
              <w:left w:val="nil"/>
              <w:bottom w:val="nil"/>
              <w:right w:val="nil"/>
            </w:tcBorders>
            <w:noWrap/>
            <w:vAlign w:val="center"/>
            <w:hideMark/>
          </w:tcPr>
          <w:p w14:paraId="07506F6E" w14:textId="6F7CE93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Simor,</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{"citationID":"a1eutrcph1u","properties":{"unsorted":false,"formattedCitation":"(2025)","plainCitation":"(2025)","noteIndex":0},"citationItems":[{"id":17890,"uris":["http://zotero.org/users/8613739/items/N6MPH7TZ"],"itemData":{"id":17890,"type":"article-journal","abstract":"Mind wandering, occupying 30-50% of our waking time, remains an enigmatic phenomenon in cognitive neuroscience. A large number of studies showed a negative association between mind wandering and attention-demanding (model-based) tasks in both natural settings and laboratory conditions. Mind wandering, however, does not seem to be detrimental for all cognitive domains and was observed to benefit creativity and problem-solving. We examined if mind wandering may facilitate model-free processes, such as probabilistic learning, which relies on the automatic acquisition of statistical regularities with minimal attentional demands. We administered a well-established implicit probabilistic learning task combined with thought probes in healthy adults (N = 37, 30 females). To explore the neural correlates of mind wandering and probabilistic learning, participants were fitted with high-density electroencephalography. Our findings indicate that probabilistic learning was not only immune to periods of mind wandering but was positively associated with it. Spontaneous, as opposed to deliberate mind wandering, was particularly beneficial for extracting the probabilistic patterns hidden in the visual stream. Cortical oscillatory activity in the low-frequency (slow and delta) range, indicative of covert sleep-like states, was associated with both mind wandering and improved probabilistic learning, particularly in the early stages of the task. Given the importance of probabilistic implicit learning in predictive processing, our findings provide novel insights into the potential cognitive benefits of task-unrelated thoughts in addition to shedding light on its neural mechanisms.","citation-key":"simorMindWanderingImplicit2025","container-title":"The Journal of Neuroscience: The Official Journal of the Society for Neuroscience","DOI":"10.1523/JNEUROSCI.1421-24.2025","ISSN":"1529-2401","issue":"19","journalAbbreviation":"J Neurosci","language":"eng","page":"e1421242025","PMID":"40194844","PMCID":"PMC12060634","source":"PubMed","title":"Mind Wandering during Implicit Learning Is Associated with Increased Periodic EEG Activity and Improved Extraction of Hidden Probabilistic Patterns","volume":"45","author":[{"family":"Simor","given":"Péter"},{"family":"Vékony","given":"Teodóra"},{"family":"Farkas","given":"Bence C."},{"family":"Szalárdy","given":"Orsolya"},{"family":"Bogdány","given":"Tamás"},{"family":"Brezóczki","given":"Bianka"},{"family":"Csifcsák","given":"Gábor"},{"family":"Németh","given":"Dezső"}],"issued":{"date-parts":[["2025",5,7]]}},"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33CF946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3D7DB552" w14:textId="4817E0C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vAlign w:val="center"/>
            <w:hideMark/>
          </w:tcPr>
          <w:p w14:paraId="4E1FB358" w14:textId="77777777" w:rsidR="0065213A" w:rsidRPr="00581C8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r w:rsidRPr="00581C85">
              <w:rPr>
                <w:rFonts w:ascii="Times New Roman" w:eastAsia="Times New Roman" w:hAnsi="Times New Roman" w:cs="Times New Roman"/>
                <w:color w:val="000000" w:themeColor="text1"/>
                <w:sz w:val="8"/>
                <w:szCs w:val="8"/>
                <w:lang w:eastAsia="en-US"/>
              </w:rPr>
              <w:t xml:space="preserve">not focused on </w:t>
            </w:r>
            <w:proofErr w:type="gramStart"/>
            <w:r w:rsidRPr="00581C85">
              <w:rPr>
                <w:rFonts w:ascii="Times New Roman" w:eastAsia="Times New Roman" w:hAnsi="Times New Roman" w:cs="Times New Roman"/>
                <w:color w:val="000000" w:themeColor="text1"/>
                <w:sz w:val="8"/>
                <w:szCs w:val="8"/>
                <w:lang w:eastAsia="en-US"/>
              </w:rPr>
              <w:t>task</w:t>
            </w:r>
            <w:proofErr w:type="gramEnd"/>
          </w:p>
          <w:p w14:paraId="1AA1EC93" w14:textId="1CC50A0F" w:rsidR="0065213A" w:rsidRPr="00581C8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r w:rsidRPr="00581C85">
              <w:rPr>
                <w:rFonts w:ascii="Times New Roman" w:eastAsia="Times New Roman" w:hAnsi="Times New Roman" w:cs="Times New Roman"/>
                <w:color w:val="000000" w:themeColor="text1"/>
                <w:sz w:val="8"/>
                <w:szCs w:val="8"/>
                <w:lang w:eastAsia="en-US"/>
              </w:rPr>
              <w:t>not thinking of anything</w:t>
            </w:r>
          </w:p>
        </w:tc>
        <w:tc>
          <w:tcPr>
            <w:tcW w:w="228" w:type="pct"/>
            <w:tcBorders>
              <w:top w:val="nil"/>
              <w:left w:val="nil"/>
              <w:bottom w:val="nil"/>
              <w:right w:val="nil"/>
            </w:tcBorders>
            <w:noWrap/>
            <w:vAlign w:val="center"/>
            <w:hideMark/>
          </w:tcPr>
          <w:p w14:paraId="50FD787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37</w:t>
            </w:r>
          </w:p>
        </w:tc>
        <w:tc>
          <w:tcPr>
            <w:tcW w:w="196" w:type="pct"/>
            <w:tcBorders>
              <w:top w:val="nil"/>
              <w:left w:val="nil"/>
              <w:bottom w:val="nil"/>
              <w:right w:val="nil"/>
            </w:tcBorders>
            <w:noWrap/>
            <w:vAlign w:val="center"/>
            <w:hideMark/>
          </w:tcPr>
          <w:p w14:paraId="2702C4B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0.14</w:t>
            </w:r>
          </w:p>
        </w:tc>
        <w:tc>
          <w:tcPr>
            <w:tcW w:w="199" w:type="pct"/>
            <w:tcBorders>
              <w:top w:val="nil"/>
              <w:left w:val="nil"/>
              <w:bottom w:val="nil"/>
              <w:right w:val="nil"/>
            </w:tcBorders>
            <w:noWrap/>
            <w:vAlign w:val="center"/>
            <w:hideMark/>
          </w:tcPr>
          <w:p w14:paraId="3040B03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3CB5EA41" w14:textId="5E8F8FAC" w:rsidR="0065213A" w:rsidRPr="0065213A" w:rsidRDefault="00884F5F"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scale</w:t>
            </w:r>
            <w:proofErr w:type="spellEnd"/>
            <w:proofErr w:type="gramEnd"/>
          </w:p>
        </w:tc>
        <w:tc>
          <w:tcPr>
            <w:tcW w:w="327" w:type="pct"/>
            <w:tcBorders>
              <w:top w:val="nil"/>
              <w:left w:val="nil"/>
              <w:bottom w:val="nil"/>
              <w:right w:val="nil"/>
            </w:tcBorders>
            <w:noWrap/>
            <w:vAlign w:val="center"/>
            <w:hideMark/>
          </w:tcPr>
          <w:p w14:paraId="29E88E24" w14:textId="571605C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59A1BC5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CC3377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ASRT</w:t>
            </w:r>
          </w:p>
        </w:tc>
        <w:tc>
          <w:tcPr>
            <w:tcW w:w="244" w:type="pct"/>
            <w:tcBorders>
              <w:top w:val="nil"/>
              <w:left w:val="nil"/>
              <w:bottom w:val="nil"/>
              <w:right w:val="nil"/>
            </w:tcBorders>
            <w:noWrap/>
            <w:vAlign w:val="center"/>
            <w:hideMark/>
          </w:tcPr>
          <w:p w14:paraId="58338C3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4C9839A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6E9BE8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03EED40" w14:textId="02E9AAC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9209089" w14:textId="594A0A5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5D967CA" w14:textId="77777777" w:rsidTr="22DB2182">
        <w:trPr>
          <w:trHeight w:val="20"/>
        </w:trPr>
        <w:tc>
          <w:tcPr>
            <w:tcW w:w="456" w:type="pct"/>
            <w:tcBorders>
              <w:top w:val="nil"/>
              <w:left w:val="nil"/>
              <w:bottom w:val="nil"/>
              <w:right w:val="nil"/>
            </w:tcBorders>
            <w:noWrap/>
            <w:vAlign w:val="center"/>
            <w:hideMark/>
          </w:tcPr>
          <w:p w14:paraId="1C248688" w14:textId="63698B4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Stawarcyzk,</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hqdllvmf4","properties":{"unsorted":false,"formattedCitation":"(2016)","plainCitation":"(2016)","noteIndex":0},"citationItems":[{"id":5855,"uris":["http://zotero.org/users/8613739/items/3BCE4U3Y"],"itemData":{"id":5855,"type":"article-journal","citation-key":"stawarczykConjointInfluenceMindwandering2016","language":"eng","note":"authority: Psychology and Neuroscience of Cognition Research Unit\ntex.copyright: Unrestricted online access","publisher":"American Psychological Association","title":"Conjoint influence of mind-wandering and sleepiness on task performance","author":[{"family":"Stawarczyk","given":"David"},{"family":"D'Argembeau","given":"Arnaud"}],"issued":{"date-parts":[["2016"]]}},"suppress-author":true}],"schema":"https://github.com/citation-style-language/schema/raw/master/csl-citation.json"}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(2016)</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4049D77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6BDCA635" w14:textId="087C326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4EF3EFC" w14:textId="77777777" w:rsidR="0065213A" w:rsidRPr="00581C8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r w:rsidRPr="00581C85">
              <w:rPr>
                <w:rFonts w:ascii="Times New Roman" w:eastAsia="Times New Roman" w:hAnsi="Times New Roman" w:cs="Times New Roman"/>
                <w:color w:val="000000" w:themeColor="text1"/>
                <w:sz w:val="8"/>
                <w:szCs w:val="8"/>
                <w:lang w:eastAsia="en-US"/>
              </w:rPr>
              <w:t>not thinking of anything</w:t>
            </w:r>
          </w:p>
          <w:p w14:paraId="00941DE7" w14:textId="77777777" w:rsidR="0065213A" w:rsidRPr="00581C8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r w:rsidRPr="00581C85">
              <w:rPr>
                <w:rFonts w:ascii="Times New Roman" w:eastAsia="Times New Roman" w:hAnsi="Times New Roman" w:cs="Times New Roman"/>
                <w:color w:val="000000" w:themeColor="text1"/>
                <w:sz w:val="8"/>
                <w:szCs w:val="8"/>
                <w:lang w:eastAsia="en-US"/>
              </w:rPr>
              <w:t xml:space="preserve">not focused on </w:t>
            </w:r>
            <w:proofErr w:type="gramStart"/>
            <w:r w:rsidRPr="00581C85">
              <w:rPr>
                <w:rFonts w:ascii="Times New Roman" w:eastAsia="Times New Roman" w:hAnsi="Times New Roman" w:cs="Times New Roman"/>
                <w:color w:val="000000" w:themeColor="text1"/>
                <w:sz w:val="8"/>
                <w:szCs w:val="8"/>
                <w:lang w:eastAsia="en-US"/>
              </w:rPr>
              <w:t>task</w:t>
            </w:r>
            <w:proofErr w:type="gramEnd"/>
          </w:p>
          <w:p w14:paraId="11AF4F54" w14:textId="77777777" w:rsidR="0065213A" w:rsidRPr="00581C8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r w:rsidRPr="00581C85">
              <w:rPr>
                <w:rFonts w:ascii="Times New Roman" w:eastAsia="Times New Roman" w:hAnsi="Times New Roman" w:cs="Times New Roman"/>
                <w:color w:val="000000" w:themeColor="text1"/>
                <w:sz w:val="8"/>
                <w:szCs w:val="8"/>
                <w:lang w:eastAsia="en-US"/>
              </w:rPr>
              <w:t>my mind was blank</w:t>
            </w:r>
          </w:p>
          <w:p w14:paraId="0AE12A41" w14:textId="76ED890B" w:rsidR="0065213A" w:rsidRPr="00581C8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r w:rsidRPr="00581C85">
              <w:rPr>
                <w:rFonts w:ascii="Times New Roman" w:eastAsia="Times New Roman" w:hAnsi="Times New Roman" w:cs="Times New Roman"/>
                <w:color w:val="000000" w:themeColor="text1"/>
                <w:sz w:val="8"/>
                <w:szCs w:val="8"/>
                <w:lang w:eastAsia="en-US"/>
              </w:rPr>
              <w:t>absence</w:t>
            </w:r>
          </w:p>
        </w:tc>
        <w:tc>
          <w:tcPr>
            <w:tcW w:w="228" w:type="pct"/>
            <w:tcBorders>
              <w:top w:val="nil"/>
              <w:left w:val="nil"/>
              <w:bottom w:val="nil"/>
              <w:right w:val="nil"/>
            </w:tcBorders>
            <w:noWrap/>
            <w:vAlign w:val="center"/>
            <w:hideMark/>
          </w:tcPr>
          <w:p w14:paraId="7B1EC1C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95</w:t>
            </w:r>
          </w:p>
        </w:tc>
        <w:tc>
          <w:tcPr>
            <w:tcW w:w="196" w:type="pct"/>
            <w:tcBorders>
              <w:top w:val="nil"/>
              <w:left w:val="nil"/>
              <w:bottom w:val="nil"/>
              <w:right w:val="nil"/>
            </w:tcBorders>
            <w:noWrap/>
            <w:vAlign w:val="center"/>
            <w:hideMark/>
          </w:tcPr>
          <w:p w14:paraId="65FCB1A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0.035</w:t>
            </w:r>
          </w:p>
        </w:tc>
        <w:tc>
          <w:tcPr>
            <w:tcW w:w="199" w:type="pct"/>
            <w:tcBorders>
              <w:top w:val="nil"/>
              <w:left w:val="nil"/>
              <w:bottom w:val="nil"/>
              <w:right w:val="nil"/>
            </w:tcBorders>
            <w:noWrap/>
            <w:vAlign w:val="center"/>
            <w:hideMark/>
          </w:tcPr>
          <w:p w14:paraId="2A3937A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28</w:t>
            </w:r>
          </w:p>
        </w:tc>
        <w:tc>
          <w:tcPr>
            <w:tcW w:w="218" w:type="pct"/>
            <w:tcBorders>
              <w:top w:val="nil"/>
              <w:left w:val="nil"/>
              <w:bottom w:val="nil"/>
              <w:right w:val="nil"/>
            </w:tcBorders>
            <w:noWrap/>
            <w:vAlign w:val="center"/>
            <w:hideMark/>
          </w:tcPr>
          <w:p w14:paraId="7018DA8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04847D9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23.5</w:t>
            </w:r>
          </w:p>
        </w:tc>
        <w:tc>
          <w:tcPr>
            <w:tcW w:w="207" w:type="pct"/>
            <w:tcBorders>
              <w:top w:val="nil"/>
              <w:left w:val="nil"/>
              <w:bottom w:val="nil"/>
              <w:right w:val="nil"/>
            </w:tcBorders>
            <w:noWrap/>
            <w:vAlign w:val="center"/>
            <w:hideMark/>
          </w:tcPr>
          <w:p w14:paraId="69D27F7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B6FE26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1E4C4BE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70098EC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9B72D4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351C80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337475D6" w14:textId="1FA5A49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3E9BBA8" w14:textId="77777777" w:rsidTr="22DB2182">
        <w:trPr>
          <w:trHeight w:val="20"/>
        </w:trPr>
        <w:tc>
          <w:tcPr>
            <w:tcW w:w="456" w:type="pct"/>
            <w:tcBorders>
              <w:top w:val="nil"/>
              <w:left w:val="nil"/>
              <w:bottom w:val="nil"/>
              <w:right w:val="nil"/>
            </w:tcBorders>
            <w:noWrap/>
            <w:vAlign w:val="center"/>
            <w:hideMark/>
          </w:tcPr>
          <w:p w14:paraId="506F6A14" w14:textId="640D0A1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Stawarcyzk,</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{"citationID":"a6f1moku8g","properties":{"unsorted":false,"formattedCitation":"(2020)","plainCitation":"(2020)","noteIndex":0},"citationItems":[{"id":4191,"uris":["http://zotero.org/users/8613739/items/XPGXBMFW"],"itemData":{"id":4191,"type":"article-journal","abstract":"Two independent lines of evidence suggest that drowsiness and mind-wandering share common neurocognitive processes indexed by ocular parameters (e.g., eyeblink frequency and pupil dynamics). Mind-wandering and drowsiness frequently co-occur, however, such that it remains unclear whether observed oculometric variations are related to mind-wandering, drowsiness, or a mix of both. To address this issue, we assessed fluctuations in mind-wandering and sleepiness during a sustained attention task while ocular parameters were recorded. Results showed that oculometric variations during mind-wandering were fully explained by increased sleepiness. However, mind-wandering and sleepiness had additive deleterious effects on performance that were not fully explained by ocular parameters. These findings suggest that oculometric variations during task performance reflect increased drowsiness rather than processes specifically involved in mind-wandering, and that the neurocognitive processes indexed by oculometric parameters (e.g., regulatory processes of the locus coeruleus norepinephrine system) do not fully explain how mind-wandering and sleepiness cause attentional lapses.","citation-key":"stawarczykDrowsinessMindwanderingFluctuations2020","container-title":"Biological Psychology","DOI":"10.1016/j.biopsycho.2020.107950","ISSN":"0301-0511","journalAbbreviation":"Biological Psychology","page":"107950","source":"ScienceDirect","title":"Drowsiness or mind-wandering? Fluctuations in ocular parameters during attentional lapses","title-short":"Drowsiness or mind-wandering?","volume":"156","author":[{"family":"Stawarczyk","given":"David"},{"family":"François","given":"Clémentine"},{"family":"Wertz","given":"Jérôme"},{"family":"D'Argembeau","given":"Arnaud"}],"issued":{"date-parts":[["2020",10,1]]}},"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(2020)</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5D4555D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47FBB588" w14:textId="30A8A15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7C15753F"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thinking of anything</w:t>
            </w:r>
          </w:p>
          <w:p w14:paraId="0E141074"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focused on task</w:t>
            </w:r>
          </w:p>
          <w:p w14:paraId="106F5236" w14:textId="3EF6D8C1"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 xml:space="preserve">my mind was </w:t>
            </w:r>
            <w:r w:rsidR="0075190F" w:rsidRPr="00C142D5">
              <w:rPr>
                <w:rFonts w:ascii="Times New Roman" w:eastAsia="Times New Roman" w:hAnsi="Times New Roman" w:cs="Times New Roman"/>
                <w:color w:val="000000" w:themeColor="text1"/>
                <w:sz w:val="8"/>
                <w:szCs w:val="8"/>
                <w:lang w:val="en-GB" w:eastAsia="en-US"/>
              </w:rPr>
              <w:t>blank</w:t>
            </w:r>
          </w:p>
          <w:p w14:paraId="1E700FBB" w14:textId="47CCA1FD"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absence</w:t>
            </w:r>
          </w:p>
        </w:tc>
        <w:tc>
          <w:tcPr>
            <w:tcW w:w="228" w:type="pct"/>
            <w:tcBorders>
              <w:top w:val="nil"/>
              <w:left w:val="nil"/>
              <w:bottom w:val="nil"/>
              <w:right w:val="nil"/>
            </w:tcBorders>
            <w:noWrap/>
            <w:vAlign w:val="center"/>
            <w:hideMark/>
          </w:tcPr>
          <w:p w14:paraId="4C182CE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33</w:t>
            </w:r>
          </w:p>
        </w:tc>
        <w:tc>
          <w:tcPr>
            <w:tcW w:w="196" w:type="pct"/>
            <w:tcBorders>
              <w:top w:val="nil"/>
              <w:left w:val="nil"/>
              <w:bottom w:val="nil"/>
              <w:right w:val="nil"/>
            </w:tcBorders>
            <w:noWrap/>
            <w:vAlign w:val="center"/>
            <w:hideMark/>
          </w:tcPr>
          <w:p w14:paraId="5680A8E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0.044</w:t>
            </w:r>
          </w:p>
        </w:tc>
        <w:tc>
          <w:tcPr>
            <w:tcW w:w="199" w:type="pct"/>
            <w:tcBorders>
              <w:top w:val="nil"/>
              <w:left w:val="nil"/>
              <w:bottom w:val="nil"/>
              <w:right w:val="nil"/>
            </w:tcBorders>
            <w:noWrap/>
            <w:vAlign w:val="center"/>
            <w:hideMark/>
          </w:tcPr>
          <w:p w14:paraId="20DCD58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52F9531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41F4B30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6384028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A62EF9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208DF37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00C2930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38FF34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4749BF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vigilance</w:t>
            </w:r>
            <w:proofErr w:type="gramEnd"/>
          </w:p>
        </w:tc>
        <w:tc>
          <w:tcPr>
            <w:tcW w:w="246" w:type="pct"/>
            <w:tcBorders>
              <w:top w:val="nil"/>
              <w:left w:val="nil"/>
              <w:bottom w:val="nil"/>
              <w:right w:val="nil"/>
            </w:tcBorders>
            <w:noWrap/>
            <w:vAlign w:val="center"/>
            <w:hideMark/>
          </w:tcPr>
          <w:p w14:paraId="088F7E37" w14:textId="5041F73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E241EEF" w14:textId="77777777" w:rsidTr="22DB2182">
        <w:trPr>
          <w:trHeight w:val="20"/>
        </w:trPr>
        <w:tc>
          <w:tcPr>
            <w:tcW w:w="456" w:type="pct"/>
            <w:tcBorders>
              <w:top w:val="nil"/>
              <w:left w:val="nil"/>
              <w:bottom w:val="nil"/>
              <w:right w:val="nil"/>
            </w:tcBorders>
            <w:noWrap/>
            <w:vAlign w:val="center"/>
            <w:hideMark/>
          </w:tcPr>
          <w:p w14:paraId="38D0CDEF" w14:textId="63015FA9" w:rsidR="0065213A" w:rsidRPr="001115B8"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lang w:val="el-GR"/>
              </w:rPr>
            </w:pPr>
            <w:r w:rsidRPr="0065213A">
              <w:rPr>
                <w:rFonts w:ascii="Times New Roman" w:eastAsia="Times New Roman" w:hAnsi="Times New Roman" w:cs="Times New Roman"/>
                <w:color w:val="000000"/>
                <w:sz w:val="8"/>
                <w:szCs w:val="8"/>
              </w:rPr>
              <w:t>Torres,</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{"citationID":"a3eavj8f23","properties":{"unsorted":false,"formattedCitation":"(2024)","plainCitation":"(2024)","noteIndex":0},"citationItems":[{"id":16045,"uris":["http://zotero.org/groups/6160358/items/77UGQGLJ"],"itemData":{"id":16045,"type":"article-journal","abstract":"One mechanism by which transcranial direct current stimulation (tDCS) has been proposed to improve attention is by transcutaneous stimulation of cranial nerves, thereby activating the locus coeruleus (LC). Specifically, placement of the electrodes over the frontal bone and mastoid is thought to facilitate current flow across the face as a path of least resistance. The face is innervated by the trigeminal nerve, and the trigeminal nerve is interconnected with the LC. In this study, we tested whether stimulating the trigeminal nerve impacts indices of LC activity and performance on a sustained attention task. We replicated previous research that shows deterioration in task performance, increases in the rate of task-unrelated thoughts, and reduced pupil responses due to time on task irrespective of tDCS condition (sham, anodal, and cathodal stimulation). Importantly, tDCS did not influence pupil dynamics (pretrial or stimulus-evoked), self-reported attention state, nor task performance in active versus sham stimulation conditions. The findings reported here are consistent with theories about arousal centered on a hypothesized link between LC activity indexed by pupil size, task performance, and self-reported attention state but fail to support hypotheses that tDCS over the trigeminal nerve influences indices of LC function.","citation-key":"torresInfluenceTranscranialDirect2024a","container-title":"Cognitive, affective, &amp; behavioral neuroscience","ISSN":"1530-7026","issue":"5","language":"eng","license":"The Psychonomic Society, Inc. 2024. Springer Nature or its licensor (e.g. a society or other partner) holds exclusive rights to this article under a publishing agreement with the author(s) or other rightsholder(s); author self-archiving of the accepted manuscript version of this article is solely governed by the terms of such publishing agreement and applicable law.","page":"860–880","title":"The influence of transcranial direct current stimulation to the trigeminal nerve on attention and arousal","volume":"24","author":[{"family":"Torres","given":"Alexis S."},{"family":"Robison","given":"Matthew K."},{"family":"McClure","given":"Samuel M."},{"family":"Brewer","given":"Gene A."}],"issued":{"date-parts":[["2024",10]]}},"suppress-author":true}],"schema":"https://github.com/citation-style-language/schema/raw/master/csl-citation.json"}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(2024)</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3D79229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6B31C43D" w14:textId="0DB6FCA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6F4244E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5C595B2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67</w:t>
            </w:r>
          </w:p>
        </w:tc>
        <w:tc>
          <w:tcPr>
            <w:tcW w:w="196" w:type="pct"/>
            <w:tcBorders>
              <w:top w:val="nil"/>
              <w:left w:val="nil"/>
              <w:bottom w:val="nil"/>
              <w:right w:val="nil"/>
            </w:tcBorders>
            <w:noWrap/>
            <w:vAlign w:val="center"/>
            <w:hideMark/>
          </w:tcPr>
          <w:p w14:paraId="6B0AEB4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0.082</w:t>
            </w:r>
          </w:p>
        </w:tc>
        <w:tc>
          <w:tcPr>
            <w:tcW w:w="199" w:type="pct"/>
            <w:tcBorders>
              <w:top w:val="nil"/>
              <w:left w:val="nil"/>
              <w:bottom w:val="nil"/>
              <w:right w:val="nil"/>
            </w:tcBorders>
            <w:noWrap/>
            <w:vAlign w:val="center"/>
            <w:hideMark/>
          </w:tcPr>
          <w:p w14:paraId="1CF0727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24</w:t>
            </w:r>
          </w:p>
        </w:tc>
        <w:tc>
          <w:tcPr>
            <w:tcW w:w="218" w:type="pct"/>
            <w:tcBorders>
              <w:top w:val="nil"/>
              <w:left w:val="nil"/>
              <w:bottom w:val="nil"/>
              <w:right w:val="nil"/>
            </w:tcBorders>
            <w:noWrap/>
            <w:vAlign w:val="center"/>
            <w:hideMark/>
          </w:tcPr>
          <w:p w14:paraId="4F63DBE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44F902B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1FEAFF3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54E237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71B4874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5B71F0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D2D9D1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69F1585F" w14:textId="4007B1E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AD8117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TDCS-A</w:t>
            </w:r>
          </w:p>
        </w:tc>
      </w:tr>
      <w:tr w:rsidR="0065213A" w:rsidRPr="0065213A" w14:paraId="0375D90A" w14:textId="77777777" w:rsidTr="22DB2182">
        <w:trPr>
          <w:trHeight w:val="20"/>
        </w:trPr>
        <w:tc>
          <w:tcPr>
            <w:tcW w:w="456" w:type="pct"/>
            <w:tcBorders>
              <w:top w:val="nil"/>
              <w:left w:val="nil"/>
              <w:bottom w:val="nil"/>
              <w:right w:val="nil"/>
            </w:tcBorders>
            <w:noWrap/>
            <w:vAlign w:val="center"/>
            <w:hideMark/>
          </w:tcPr>
          <w:p w14:paraId="4AC3A2F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4E4EFBF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4724718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C24BA4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080B65B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67</w:t>
            </w:r>
          </w:p>
        </w:tc>
        <w:tc>
          <w:tcPr>
            <w:tcW w:w="196" w:type="pct"/>
            <w:tcBorders>
              <w:top w:val="nil"/>
              <w:left w:val="nil"/>
              <w:bottom w:val="nil"/>
              <w:right w:val="nil"/>
            </w:tcBorders>
            <w:noWrap/>
            <w:vAlign w:val="center"/>
            <w:hideMark/>
          </w:tcPr>
          <w:p w14:paraId="384A56E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0.085</w:t>
            </w:r>
          </w:p>
        </w:tc>
        <w:tc>
          <w:tcPr>
            <w:tcW w:w="199" w:type="pct"/>
            <w:tcBorders>
              <w:top w:val="nil"/>
              <w:left w:val="nil"/>
              <w:bottom w:val="nil"/>
              <w:right w:val="nil"/>
            </w:tcBorders>
            <w:noWrap/>
            <w:vAlign w:val="center"/>
            <w:hideMark/>
          </w:tcPr>
          <w:p w14:paraId="16F5B17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24</w:t>
            </w:r>
          </w:p>
        </w:tc>
        <w:tc>
          <w:tcPr>
            <w:tcW w:w="218" w:type="pct"/>
            <w:tcBorders>
              <w:top w:val="nil"/>
              <w:left w:val="nil"/>
              <w:bottom w:val="nil"/>
              <w:right w:val="nil"/>
            </w:tcBorders>
            <w:noWrap/>
            <w:vAlign w:val="center"/>
            <w:hideMark/>
          </w:tcPr>
          <w:p w14:paraId="6AA512B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59CCE2E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242AB17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4E7A08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1506945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875AF0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5C7E50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0A9F657" w14:textId="0240512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035C354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TDCS-C</w:t>
            </w:r>
          </w:p>
        </w:tc>
      </w:tr>
      <w:tr w:rsidR="0065213A" w:rsidRPr="0065213A" w14:paraId="523657CF" w14:textId="77777777" w:rsidTr="22DB2182">
        <w:trPr>
          <w:trHeight w:val="20"/>
        </w:trPr>
        <w:tc>
          <w:tcPr>
            <w:tcW w:w="456" w:type="pct"/>
            <w:tcBorders>
              <w:top w:val="nil"/>
              <w:left w:val="nil"/>
              <w:bottom w:val="nil"/>
              <w:right w:val="nil"/>
            </w:tcBorders>
            <w:noWrap/>
            <w:vAlign w:val="center"/>
            <w:hideMark/>
          </w:tcPr>
          <w:p w14:paraId="5B14171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2CC6D1F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1c</w:t>
            </w:r>
          </w:p>
        </w:tc>
        <w:tc>
          <w:tcPr>
            <w:tcW w:w="585" w:type="pct"/>
            <w:tcBorders>
              <w:top w:val="nil"/>
              <w:left w:val="nil"/>
              <w:bottom w:val="nil"/>
              <w:right w:val="nil"/>
            </w:tcBorders>
            <w:noWrap/>
            <w:vAlign w:val="center"/>
            <w:hideMark/>
          </w:tcPr>
          <w:p w14:paraId="627250F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699ECB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A1A735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67</w:t>
            </w:r>
          </w:p>
        </w:tc>
        <w:tc>
          <w:tcPr>
            <w:tcW w:w="196" w:type="pct"/>
            <w:tcBorders>
              <w:top w:val="nil"/>
              <w:left w:val="nil"/>
              <w:bottom w:val="nil"/>
              <w:right w:val="nil"/>
            </w:tcBorders>
            <w:noWrap/>
            <w:vAlign w:val="center"/>
            <w:hideMark/>
          </w:tcPr>
          <w:p w14:paraId="13C84C3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0.075</w:t>
            </w:r>
          </w:p>
        </w:tc>
        <w:tc>
          <w:tcPr>
            <w:tcW w:w="199" w:type="pct"/>
            <w:tcBorders>
              <w:top w:val="nil"/>
              <w:left w:val="nil"/>
              <w:bottom w:val="nil"/>
              <w:right w:val="nil"/>
            </w:tcBorders>
            <w:noWrap/>
            <w:vAlign w:val="center"/>
            <w:hideMark/>
          </w:tcPr>
          <w:p w14:paraId="0620B1E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24</w:t>
            </w:r>
          </w:p>
        </w:tc>
        <w:tc>
          <w:tcPr>
            <w:tcW w:w="218" w:type="pct"/>
            <w:tcBorders>
              <w:top w:val="nil"/>
              <w:left w:val="nil"/>
              <w:bottom w:val="nil"/>
              <w:right w:val="nil"/>
            </w:tcBorders>
            <w:noWrap/>
            <w:vAlign w:val="center"/>
            <w:hideMark/>
          </w:tcPr>
          <w:p w14:paraId="2F54945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5ACB059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39A2A96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04ABB8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3E09DAD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1B1DB3B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5D852BA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8E7B4C0" w14:textId="7875BFB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C0E0DD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r w:rsidRPr="22DB2182">
              <w:rPr>
                <w:rFonts w:ascii="Times New Roman" w:eastAsia="Times New Roman" w:hAnsi="Times New Roman" w:cs="Times New Roman"/>
                <w:color w:val="000000" w:themeColor="text1"/>
                <w:sz w:val="8"/>
                <w:szCs w:val="8"/>
                <w:lang w:val="fr-FR" w:eastAsia="en-US"/>
              </w:rPr>
              <w:t>TDCS-</w:t>
            </w:r>
            <w:proofErr w:type="spellStart"/>
            <w:r w:rsidRPr="22DB2182">
              <w:rPr>
                <w:rFonts w:ascii="Times New Roman" w:eastAsia="Times New Roman" w:hAnsi="Times New Roman" w:cs="Times New Roman"/>
                <w:color w:val="000000" w:themeColor="text1"/>
                <w:sz w:val="8"/>
                <w:szCs w:val="8"/>
                <w:lang w:val="fr-FR" w:eastAsia="en-US"/>
              </w:rPr>
              <w:t>sham</w:t>
            </w:r>
            <w:proofErr w:type="spellEnd"/>
          </w:p>
        </w:tc>
      </w:tr>
      <w:tr w:rsidR="0065213A" w:rsidRPr="0065213A" w14:paraId="03C8C7CD" w14:textId="77777777" w:rsidTr="22DB2182">
        <w:trPr>
          <w:trHeight w:val="20"/>
        </w:trPr>
        <w:tc>
          <w:tcPr>
            <w:tcW w:w="456" w:type="pct"/>
            <w:tcBorders>
              <w:top w:val="nil"/>
              <w:left w:val="nil"/>
              <w:bottom w:val="nil"/>
              <w:right w:val="nil"/>
            </w:tcBorders>
            <w:noWrap/>
            <w:vAlign w:val="center"/>
            <w:hideMark/>
          </w:tcPr>
          <w:p w14:paraId="09D3847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28D315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2a</w:t>
            </w:r>
          </w:p>
        </w:tc>
        <w:tc>
          <w:tcPr>
            <w:tcW w:w="585" w:type="pct"/>
            <w:tcBorders>
              <w:top w:val="nil"/>
              <w:left w:val="nil"/>
              <w:bottom w:val="nil"/>
              <w:right w:val="nil"/>
            </w:tcBorders>
            <w:noWrap/>
            <w:vAlign w:val="center"/>
            <w:hideMark/>
          </w:tcPr>
          <w:p w14:paraId="4DAA3F8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753F9F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0BA9E72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196" w:type="pct"/>
            <w:tcBorders>
              <w:top w:val="nil"/>
              <w:left w:val="nil"/>
              <w:bottom w:val="nil"/>
              <w:right w:val="nil"/>
            </w:tcBorders>
            <w:noWrap/>
            <w:vAlign w:val="center"/>
            <w:hideMark/>
          </w:tcPr>
          <w:p w14:paraId="10159C4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0.144</w:t>
            </w:r>
          </w:p>
        </w:tc>
        <w:tc>
          <w:tcPr>
            <w:tcW w:w="199" w:type="pct"/>
            <w:tcBorders>
              <w:top w:val="nil"/>
              <w:left w:val="nil"/>
              <w:bottom w:val="nil"/>
              <w:right w:val="nil"/>
            </w:tcBorders>
            <w:noWrap/>
            <w:vAlign w:val="center"/>
            <w:hideMark/>
          </w:tcPr>
          <w:p w14:paraId="281868B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24</w:t>
            </w:r>
          </w:p>
        </w:tc>
        <w:tc>
          <w:tcPr>
            <w:tcW w:w="218" w:type="pct"/>
            <w:tcBorders>
              <w:top w:val="nil"/>
              <w:left w:val="nil"/>
              <w:bottom w:val="nil"/>
              <w:right w:val="nil"/>
            </w:tcBorders>
            <w:noWrap/>
            <w:vAlign w:val="center"/>
            <w:hideMark/>
          </w:tcPr>
          <w:p w14:paraId="4B752A8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68EDBA9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031CE1A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06092AC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28BB7BE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B8D025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B9F550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A8DBD1F" w14:textId="584805E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A9CFDF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TDCS-A</w:t>
            </w:r>
          </w:p>
        </w:tc>
      </w:tr>
      <w:tr w:rsidR="0065213A" w:rsidRPr="0065213A" w14:paraId="2E1EC675" w14:textId="77777777" w:rsidTr="22DB2182">
        <w:trPr>
          <w:trHeight w:val="20"/>
        </w:trPr>
        <w:tc>
          <w:tcPr>
            <w:tcW w:w="456" w:type="pct"/>
            <w:tcBorders>
              <w:top w:val="nil"/>
              <w:left w:val="nil"/>
              <w:bottom w:val="nil"/>
              <w:right w:val="nil"/>
            </w:tcBorders>
            <w:noWrap/>
            <w:vAlign w:val="center"/>
            <w:hideMark/>
          </w:tcPr>
          <w:p w14:paraId="48A5C4B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A79422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2b</w:t>
            </w:r>
          </w:p>
        </w:tc>
        <w:tc>
          <w:tcPr>
            <w:tcW w:w="585" w:type="pct"/>
            <w:tcBorders>
              <w:top w:val="nil"/>
              <w:left w:val="nil"/>
              <w:bottom w:val="nil"/>
              <w:right w:val="nil"/>
            </w:tcBorders>
            <w:noWrap/>
            <w:vAlign w:val="center"/>
            <w:hideMark/>
          </w:tcPr>
          <w:p w14:paraId="38EBB48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57A4BA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FB53BF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196" w:type="pct"/>
            <w:tcBorders>
              <w:top w:val="nil"/>
              <w:left w:val="nil"/>
              <w:bottom w:val="nil"/>
              <w:right w:val="nil"/>
            </w:tcBorders>
            <w:noWrap/>
            <w:vAlign w:val="center"/>
            <w:hideMark/>
          </w:tcPr>
          <w:p w14:paraId="66CADEC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0.165</w:t>
            </w:r>
          </w:p>
        </w:tc>
        <w:tc>
          <w:tcPr>
            <w:tcW w:w="199" w:type="pct"/>
            <w:tcBorders>
              <w:top w:val="nil"/>
              <w:left w:val="nil"/>
              <w:bottom w:val="nil"/>
              <w:right w:val="nil"/>
            </w:tcBorders>
            <w:noWrap/>
            <w:vAlign w:val="center"/>
            <w:hideMark/>
          </w:tcPr>
          <w:p w14:paraId="0FD0728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24</w:t>
            </w:r>
          </w:p>
        </w:tc>
        <w:tc>
          <w:tcPr>
            <w:tcW w:w="218" w:type="pct"/>
            <w:tcBorders>
              <w:top w:val="nil"/>
              <w:left w:val="nil"/>
              <w:bottom w:val="nil"/>
              <w:right w:val="nil"/>
            </w:tcBorders>
            <w:noWrap/>
            <w:vAlign w:val="center"/>
            <w:hideMark/>
          </w:tcPr>
          <w:p w14:paraId="4AC735E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576CD9D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05ED893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04B5A56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479615A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3C9E0A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52BCC5A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2EF78716" w14:textId="5E17519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90634A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r w:rsidRPr="22DB2182">
              <w:rPr>
                <w:rFonts w:ascii="Times New Roman" w:eastAsia="Times New Roman" w:hAnsi="Times New Roman" w:cs="Times New Roman"/>
                <w:color w:val="000000" w:themeColor="text1"/>
                <w:sz w:val="8"/>
                <w:szCs w:val="8"/>
                <w:lang w:val="fr-FR" w:eastAsia="en-US"/>
              </w:rPr>
              <w:t>TDCS-</w:t>
            </w:r>
            <w:proofErr w:type="spellStart"/>
            <w:r w:rsidRPr="22DB2182">
              <w:rPr>
                <w:rFonts w:ascii="Times New Roman" w:eastAsia="Times New Roman" w:hAnsi="Times New Roman" w:cs="Times New Roman"/>
                <w:color w:val="000000" w:themeColor="text1"/>
                <w:sz w:val="8"/>
                <w:szCs w:val="8"/>
                <w:lang w:val="fr-FR" w:eastAsia="en-US"/>
              </w:rPr>
              <w:t>sham</w:t>
            </w:r>
            <w:proofErr w:type="spellEnd"/>
          </w:p>
        </w:tc>
      </w:tr>
      <w:tr w:rsidR="0065213A" w:rsidRPr="0065213A" w14:paraId="316313C0" w14:textId="77777777" w:rsidTr="22DB2182">
        <w:trPr>
          <w:trHeight w:val="20"/>
        </w:trPr>
        <w:tc>
          <w:tcPr>
            <w:tcW w:w="456" w:type="pct"/>
            <w:tcBorders>
              <w:top w:val="nil"/>
              <w:left w:val="nil"/>
              <w:bottom w:val="nil"/>
              <w:right w:val="nil"/>
            </w:tcBorders>
            <w:noWrap/>
            <w:vAlign w:val="center"/>
            <w:hideMark/>
          </w:tcPr>
          <w:p w14:paraId="6DB03D8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D35921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3a</w:t>
            </w:r>
          </w:p>
        </w:tc>
        <w:tc>
          <w:tcPr>
            <w:tcW w:w="585" w:type="pct"/>
            <w:tcBorders>
              <w:top w:val="nil"/>
              <w:left w:val="nil"/>
              <w:bottom w:val="nil"/>
              <w:right w:val="nil"/>
            </w:tcBorders>
            <w:noWrap/>
            <w:vAlign w:val="center"/>
            <w:hideMark/>
          </w:tcPr>
          <w:p w14:paraId="2B32C77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61BCA4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032C8ED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196" w:type="pct"/>
            <w:tcBorders>
              <w:top w:val="nil"/>
              <w:left w:val="nil"/>
              <w:bottom w:val="nil"/>
              <w:right w:val="nil"/>
            </w:tcBorders>
            <w:noWrap/>
            <w:vAlign w:val="center"/>
            <w:hideMark/>
          </w:tcPr>
          <w:p w14:paraId="5F6FAD2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0.075</w:t>
            </w:r>
          </w:p>
        </w:tc>
        <w:tc>
          <w:tcPr>
            <w:tcW w:w="199" w:type="pct"/>
            <w:tcBorders>
              <w:top w:val="nil"/>
              <w:left w:val="nil"/>
              <w:bottom w:val="nil"/>
              <w:right w:val="nil"/>
            </w:tcBorders>
            <w:noWrap/>
            <w:vAlign w:val="center"/>
            <w:hideMark/>
          </w:tcPr>
          <w:p w14:paraId="5A52D17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24</w:t>
            </w:r>
          </w:p>
        </w:tc>
        <w:tc>
          <w:tcPr>
            <w:tcW w:w="218" w:type="pct"/>
            <w:tcBorders>
              <w:top w:val="nil"/>
              <w:left w:val="nil"/>
              <w:bottom w:val="nil"/>
              <w:right w:val="nil"/>
            </w:tcBorders>
            <w:noWrap/>
            <w:vAlign w:val="center"/>
            <w:hideMark/>
          </w:tcPr>
          <w:p w14:paraId="3639BAD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5FC174F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1BB0FDA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7000966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6198103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21B208F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60F759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A1E73EC" w14:textId="3FA23CE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D5217A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TDCS-C</w:t>
            </w:r>
          </w:p>
        </w:tc>
      </w:tr>
      <w:tr w:rsidR="0065213A" w:rsidRPr="0065213A" w14:paraId="0CDB1F67" w14:textId="77777777" w:rsidTr="22DB2182">
        <w:trPr>
          <w:trHeight w:val="20"/>
        </w:trPr>
        <w:tc>
          <w:tcPr>
            <w:tcW w:w="456" w:type="pct"/>
            <w:tcBorders>
              <w:top w:val="nil"/>
              <w:left w:val="nil"/>
              <w:bottom w:val="nil"/>
              <w:right w:val="nil"/>
            </w:tcBorders>
            <w:noWrap/>
            <w:vAlign w:val="center"/>
            <w:hideMark/>
          </w:tcPr>
          <w:p w14:paraId="40F986A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3FB0006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3b</w:t>
            </w:r>
          </w:p>
        </w:tc>
        <w:tc>
          <w:tcPr>
            <w:tcW w:w="585" w:type="pct"/>
            <w:tcBorders>
              <w:top w:val="nil"/>
              <w:left w:val="nil"/>
              <w:bottom w:val="nil"/>
              <w:right w:val="nil"/>
            </w:tcBorders>
            <w:noWrap/>
            <w:vAlign w:val="center"/>
            <w:hideMark/>
          </w:tcPr>
          <w:p w14:paraId="5E0C1E5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1F424C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5E32C85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196" w:type="pct"/>
            <w:tcBorders>
              <w:top w:val="nil"/>
              <w:left w:val="nil"/>
              <w:bottom w:val="nil"/>
              <w:right w:val="nil"/>
            </w:tcBorders>
            <w:noWrap/>
            <w:vAlign w:val="center"/>
            <w:hideMark/>
          </w:tcPr>
          <w:p w14:paraId="5D3CB5B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0.058</w:t>
            </w:r>
          </w:p>
        </w:tc>
        <w:tc>
          <w:tcPr>
            <w:tcW w:w="199" w:type="pct"/>
            <w:tcBorders>
              <w:top w:val="nil"/>
              <w:left w:val="nil"/>
              <w:bottom w:val="nil"/>
              <w:right w:val="nil"/>
            </w:tcBorders>
            <w:noWrap/>
            <w:vAlign w:val="center"/>
            <w:hideMark/>
          </w:tcPr>
          <w:p w14:paraId="7D139D2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24</w:t>
            </w:r>
          </w:p>
        </w:tc>
        <w:tc>
          <w:tcPr>
            <w:tcW w:w="218" w:type="pct"/>
            <w:tcBorders>
              <w:top w:val="nil"/>
              <w:left w:val="nil"/>
              <w:bottom w:val="nil"/>
              <w:right w:val="nil"/>
            </w:tcBorders>
            <w:noWrap/>
            <w:vAlign w:val="center"/>
            <w:hideMark/>
          </w:tcPr>
          <w:p w14:paraId="74807DB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0063B74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0C7A60D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DE1768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5D8D65F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148D771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21F913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6011CFBA" w14:textId="4E06B64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65B04F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r w:rsidRPr="22DB2182">
              <w:rPr>
                <w:rFonts w:ascii="Times New Roman" w:eastAsia="Times New Roman" w:hAnsi="Times New Roman" w:cs="Times New Roman"/>
                <w:color w:val="000000" w:themeColor="text1"/>
                <w:sz w:val="8"/>
                <w:szCs w:val="8"/>
                <w:lang w:val="fr-FR" w:eastAsia="en-US"/>
              </w:rPr>
              <w:t>TDCS-</w:t>
            </w:r>
            <w:proofErr w:type="spellStart"/>
            <w:r w:rsidRPr="22DB2182">
              <w:rPr>
                <w:rFonts w:ascii="Times New Roman" w:eastAsia="Times New Roman" w:hAnsi="Times New Roman" w:cs="Times New Roman"/>
                <w:color w:val="000000" w:themeColor="text1"/>
                <w:sz w:val="8"/>
                <w:szCs w:val="8"/>
                <w:lang w:val="fr-FR" w:eastAsia="en-US"/>
              </w:rPr>
              <w:t>sham</w:t>
            </w:r>
            <w:proofErr w:type="spellEnd"/>
          </w:p>
        </w:tc>
      </w:tr>
      <w:tr w:rsidR="0065213A" w:rsidRPr="0065213A" w14:paraId="66E79DCE" w14:textId="77777777" w:rsidTr="22DB2182">
        <w:trPr>
          <w:trHeight w:val="20"/>
        </w:trPr>
        <w:tc>
          <w:tcPr>
            <w:tcW w:w="456" w:type="pct"/>
            <w:tcBorders>
              <w:top w:val="nil"/>
              <w:left w:val="nil"/>
              <w:bottom w:val="nil"/>
              <w:right w:val="nil"/>
            </w:tcBorders>
            <w:noWrap/>
            <w:vAlign w:val="center"/>
            <w:hideMark/>
          </w:tcPr>
          <w:p w14:paraId="4D505C7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EF7A42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4a</w:t>
            </w:r>
          </w:p>
        </w:tc>
        <w:tc>
          <w:tcPr>
            <w:tcW w:w="585" w:type="pct"/>
            <w:tcBorders>
              <w:top w:val="nil"/>
              <w:left w:val="nil"/>
              <w:bottom w:val="nil"/>
              <w:right w:val="nil"/>
            </w:tcBorders>
            <w:noWrap/>
            <w:vAlign w:val="center"/>
            <w:hideMark/>
          </w:tcPr>
          <w:p w14:paraId="1D61807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089A78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BECA12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196" w:type="pct"/>
            <w:tcBorders>
              <w:top w:val="nil"/>
              <w:left w:val="nil"/>
              <w:bottom w:val="nil"/>
              <w:right w:val="nil"/>
            </w:tcBorders>
            <w:noWrap/>
            <w:vAlign w:val="center"/>
            <w:hideMark/>
          </w:tcPr>
          <w:p w14:paraId="3FEF87C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0.108</w:t>
            </w:r>
          </w:p>
        </w:tc>
        <w:tc>
          <w:tcPr>
            <w:tcW w:w="199" w:type="pct"/>
            <w:tcBorders>
              <w:top w:val="nil"/>
              <w:left w:val="nil"/>
              <w:bottom w:val="nil"/>
              <w:right w:val="nil"/>
            </w:tcBorders>
            <w:noWrap/>
            <w:vAlign w:val="center"/>
            <w:hideMark/>
          </w:tcPr>
          <w:p w14:paraId="6339782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24</w:t>
            </w:r>
          </w:p>
        </w:tc>
        <w:tc>
          <w:tcPr>
            <w:tcW w:w="218" w:type="pct"/>
            <w:tcBorders>
              <w:top w:val="nil"/>
              <w:left w:val="nil"/>
              <w:bottom w:val="nil"/>
              <w:right w:val="nil"/>
            </w:tcBorders>
            <w:noWrap/>
            <w:vAlign w:val="center"/>
            <w:hideMark/>
          </w:tcPr>
          <w:p w14:paraId="2EC317E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0D77F6E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4E48699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B07A5F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7F77B67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2EA0187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ED6BB2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ED7D7E3" w14:textId="728C2F5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981E2D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TDCS-A</w:t>
            </w:r>
          </w:p>
        </w:tc>
      </w:tr>
      <w:tr w:rsidR="0065213A" w:rsidRPr="0065213A" w14:paraId="0F7F7412" w14:textId="77777777" w:rsidTr="22DB2182">
        <w:trPr>
          <w:trHeight w:val="20"/>
        </w:trPr>
        <w:tc>
          <w:tcPr>
            <w:tcW w:w="456" w:type="pct"/>
            <w:tcBorders>
              <w:top w:val="nil"/>
              <w:left w:val="nil"/>
              <w:bottom w:val="nil"/>
              <w:right w:val="nil"/>
            </w:tcBorders>
            <w:noWrap/>
            <w:vAlign w:val="center"/>
            <w:hideMark/>
          </w:tcPr>
          <w:p w14:paraId="5E9DC9E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66580D4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4c</w:t>
            </w:r>
          </w:p>
        </w:tc>
        <w:tc>
          <w:tcPr>
            <w:tcW w:w="585" w:type="pct"/>
            <w:tcBorders>
              <w:top w:val="nil"/>
              <w:left w:val="nil"/>
              <w:bottom w:val="nil"/>
              <w:right w:val="nil"/>
            </w:tcBorders>
            <w:noWrap/>
            <w:vAlign w:val="center"/>
            <w:hideMark/>
          </w:tcPr>
          <w:p w14:paraId="5B02D6AD" w14:textId="070008A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6F2A24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7548928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196" w:type="pct"/>
            <w:tcBorders>
              <w:top w:val="nil"/>
              <w:left w:val="nil"/>
              <w:bottom w:val="nil"/>
              <w:right w:val="nil"/>
            </w:tcBorders>
            <w:noWrap/>
            <w:vAlign w:val="center"/>
            <w:hideMark/>
          </w:tcPr>
          <w:p w14:paraId="7C2A0DD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0.098</w:t>
            </w:r>
          </w:p>
        </w:tc>
        <w:tc>
          <w:tcPr>
            <w:tcW w:w="199" w:type="pct"/>
            <w:tcBorders>
              <w:top w:val="nil"/>
              <w:left w:val="nil"/>
              <w:bottom w:val="nil"/>
              <w:right w:val="nil"/>
            </w:tcBorders>
            <w:noWrap/>
            <w:vAlign w:val="center"/>
            <w:hideMark/>
          </w:tcPr>
          <w:p w14:paraId="7463132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24</w:t>
            </w:r>
          </w:p>
        </w:tc>
        <w:tc>
          <w:tcPr>
            <w:tcW w:w="218" w:type="pct"/>
            <w:tcBorders>
              <w:top w:val="nil"/>
              <w:left w:val="nil"/>
              <w:bottom w:val="nil"/>
              <w:right w:val="nil"/>
            </w:tcBorders>
            <w:noWrap/>
            <w:vAlign w:val="center"/>
            <w:hideMark/>
          </w:tcPr>
          <w:p w14:paraId="17E1C13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4ABE27E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07" w:type="pct"/>
            <w:tcBorders>
              <w:top w:val="nil"/>
              <w:left w:val="nil"/>
              <w:bottom w:val="nil"/>
              <w:right w:val="nil"/>
            </w:tcBorders>
            <w:noWrap/>
            <w:vAlign w:val="center"/>
            <w:hideMark/>
          </w:tcPr>
          <w:p w14:paraId="7C0EC43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D89EA9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0EF870E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C10188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08A896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DC60678" w14:textId="27579FA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0F2D91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TDCS-C</w:t>
            </w:r>
          </w:p>
        </w:tc>
      </w:tr>
      <w:tr w:rsidR="0065213A" w:rsidRPr="0065213A" w14:paraId="6C86DEA7" w14:textId="77777777" w:rsidTr="22DB2182">
        <w:trPr>
          <w:trHeight w:val="20"/>
        </w:trPr>
        <w:tc>
          <w:tcPr>
            <w:tcW w:w="456" w:type="pct"/>
            <w:tcBorders>
              <w:top w:val="nil"/>
              <w:left w:val="nil"/>
              <w:bottom w:val="nil"/>
              <w:right w:val="nil"/>
            </w:tcBorders>
            <w:noWrap/>
            <w:vAlign w:val="center"/>
            <w:hideMark/>
          </w:tcPr>
          <w:p w14:paraId="27947DCE" w14:textId="143477E3" w:rsidR="0065213A" w:rsidRPr="001115B8"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Unsworth,</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{"citationID":"a2gqab8qeg5","properties":{"unsorted":false,"formattedCitation":"(2016)","plainCitation":"(2016)","noteIndex":0},"citationItems":[{"id":5907,"uris":["http://zotero.org/users/8613739/items/JXRL6LGH"],"itemData":{"id":5907,"type":"article-journal","abstract":"The current study examined the extent to which pupillary responses (both pretrial baseline and phasic responses) would accurately track lapses of attention as predicted by theories of locus coeruleus norepinephrine (LC-NE) functioning. Participants performed a sustained attention task while pupil responses were continuously recorded. Periodically during the task, participants were presented with thought probes to determine if they were on or off task. The results suggested the pupillary responses accurately distinguished on from off-task states. Importantly, pretrial baseline pupil responses distinguished different types of lapses of attention, with inattentive and mind-wandering states being associated with small pretrial baseline pupil diameters on average and distracted states being associated with larger pretrial baseline pupil diameters on average compared to focused states. These results support the notion that pupil diameter is sensitive to different types of lapses of attention which may be associated with different LC-NE modes.","citation-key":"unsworthPupillaryCorrelatesLapses2016","container-title":"Cognitive, affective, &amp; behavioral neuroscience","ISSN":"1530-7026","issue":"4","language":"eng","note":"tex.copyright: Psychonomic Society, Inc. 2016","page":"601-615","publisher":"Springer US","publisher-place":"New York","title":"Pupillary correlates of lapses of sustained attention","volume":"16","author":[{"family":"Unsworth","given":"Nash"},{"family":"Robison","given":"Matthew K."}],"issued":{"date-parts":[["2016",8]]}},"suppress-author":true}],"schema":"https://github.com/citation-style-language/schema/raw/master/csl-citation.json"}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(2016)</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06AB023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698071D6" w14:textId="6794354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73523A55"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alert</w:t>
            </w:r>
          </w:p>
          <w:p w14:paraId="40843B67" w14:textId="5B3AA17E"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my mind was blank</w:t>
            </w:r>
          </w:p>
          <w:p w14:paraId="7F9BFCA0" w14:textId="55E154EF"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proofErr w:type="spellStart"/>
            <w:r w:rsidRPr="22DB2182">
              <w:rPr>
                <w:rFonts w:ascii="Times New Roman" w:eastAsia="Times New Roman" w:hAnsi="Times New Roman" w:cs="Times New Roman"/>
                <w:color w:val="000000" w:themeColor="text1"/>
                <w:sz w:val="8"/>
                <w:szCs w:val="8"/>
                <w:lang w:eastAsia="en-US"/>
              </w:rPr>
              <w:t>i'm</w:t>
            </w:r>
            <w:proofErr w:type="spellEnd"/>
            <w:r w:rsidRPr="22DB2182">
              <w:rPr>
                <w:rFonts w:ascii="Times New Roman" w:eastAsia="Times New Roman" w:hAnsi="Times New Roman" w:cs="Times New Roman"/>
                <w:color w:val="000000" w:themeColor="text1"/>
                <w:sz w:val="8"/>
                <w:szCs w:val="8"/>
                <w:lang w:eastAsia="en-US"/>
              </w:rPr>
              <w:t xml:space="preserve"> drowsy</w:t>
            </w:r>
          </w:p>
        </w:tc>
        <w:tc>
          <w:tcPr>
            <w:tcW w:w="228" w:type="pct"/>
            <w:tcBorders>
              <w:top w:val="nil"/>
              <w:left w:val="nil"/>
              <w:bottom w:val="nil"/>
              <w:right w:val="nil"/>
            </w:tcBorders>
            <w:noWrap/>
            <w:vAlign w:val="center"/>
            <w:hideMark/>
          </w:tcPr>
          <w:p w14:paraId="1E3776D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37</w:t>
            </w:r>
          </w:p>
        </w:tc>
        <w:tc>
          <w:tcPr>
            <w:tcW w:w="196" w:type="pct"/>
            <w:tcBorders>
              <w:top w:val="nil"/>
              <w:left w:val="nil"/>
              <w:bottom w:val="nil"/>
              <w:right w:val="nil"/>
            </w:tcBorders>
            <w:noWrap/>
            <w:vAlign w:val="center"/>
            <w:hideMark/>
          </w:tcPr>
          <w:p w14:paraId="50D610F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0.2</w:t>
            </w:r>
          </w:p>
        </w:tc>
        <w:tc>
          <w:tcPr>
            <w:tcW w:w="199" w:type="pct"/>
            <w:tcBorders>
              <w:top w:val="nil"/>
              <w:left w:val="nil"/>
              <w:bottom w:val="nil"/>
              <w:right w:val="nil"/>
            </w:tcBorders>
            <w:noWrap/>
            <w:vAlign w:val="center"/>
            <w:hideMark/>
          </w:tcPr>
          <w:p w14:paraId="3F55697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4ABBA14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1B269FE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33D0E72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7040067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PVT</w:t>
            </w:r>
          </w:p>
        </w:tc>
        <w:tc>
          <w:tcPr>
            <w:tcW w:w="244" w:type="pct"/>
            <w:tcBorders>
              <w:top w:val="nil"/>
              <w:left w:val="nil"/>
              <w:bottom w:val="nil"/>
              <w:right w:val="nil"/>
            </w:tcBorders>
            <w:noWrap/>
            <w:vAlign w:val="center"/>
            <w:hideMark/>
          </w:tcPr>
          <w:p w14:paraId="63454B3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74634F2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0E1552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7F8C90E8" w14:textId="3BCD222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EA00905" w14:textId="47A372C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65EE0FC1" w14:textId="77777777" w:rsidTr="22DB2182">
        <w:trPr>
          <w:trHeight w:val="20"/>
        </w:trPr>
        <w:tc>
          <w:tcPr>
            <w:tcW w:w="456" w:type="pct"/>
            <w:tcBorders>
              <w:top w:val="nil"/>
              <w:left w:val="nil"/>
              <w:bottom w:val="nil"/>
              <w:right w:val="nil"/>
            </w:tcBorders>
            <w:noWrap/>
            <w:vAlign w:val="center"/>
            <w:hideMark/>
          </w:tcPr>
          <w:p w14:paraId="0D18A4B5" w14:textId="259DB9A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Unsworth,</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{"citationID":"a1lsn4gj3k6","properties":{"unsorted":false,"formattedCitation":"(2018)","plainCitation":"(2018)","noteIndex":0},"citationItems":[{"id":5985,"uris":["http://zotero.org/users/8613739/items/NJLVBJED"],"itemData":{"id":5985,"type":"article-journal","abstract":"The current study examined pupillary correlates of fluctuations and lapses of sustained attention. Participants performed a sustained attention task with either a varied ISI or a fixed ISI (fixed at 2 or 8 sec) while pupil responses were continuously recorded. The results indicated that performance was worse when the ISI was varied or fixed at 8 sec compared with when the ISI was fixed at 2 sec, suggesting that varied or long ISI conditions require greater intrinsic alertness compared with constant short ISIs. In terms of pupillary responses, the results demonstrated that slow responses (indicative of lapses) were associated with greater variability in tonic pupil diameter, smaller dilation responses during the ISI, and subsequently smaller dilation responses to stimulus onset. These results suggest that lapses of attention are associated with lower intrinsic alertness, resulting in a lowered intensity of attention to task-relevant stimuli. Following a lapse of attention, performance, tonic pupil diameter, and phasic pupillary responses, all increased, suggesting that attention was reoriented to the task. These results are consistent with the notion that pupillary responses track fluctuations in sustained attention.","citation-key":"unsworthPupillaryCorrelatesFluctuations2018","container-title":"Journal of cognitive neuroscience","ISSN":"0898-929X","issue":"9","language":"eng","note":"tex.copyright: Copyright 2019 Elsevier B.V., All rights reserved.","page":"1241-1253","publisher":"MIT Press","publisher-place":"One Rogers Street, Cambridge, MA 02142-1209, USA","title":"Pupillary correlates of fluctuations in sustained attention","volume":"30","author":[{"family":"Unsworth","given":"Nash"},{"family":"Robison","given":"Matthew K."},{"family":"Miller","given":"Ashley L."}],"issued":{"date-parts":[["2018",9,1]]}},"suppress-author":true}],"schema":"https://github.com/citation-style-language/schema/raw/master/csl-citation.json"}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(2018)</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057366E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374094A0" w14:textId="647722D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39281A3" w14:textId="4981920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28" w:type="pct"/>
            <w:tcBorders>
              <w:top w:val="nil"/>
              <w:left w:val="nil"/>
              <w:bottom w:val="nil"/>
              <w:right w:val="nil"/>
            </w:tcBorders>
            <w:noWrap/>
            <w:vAlign w:val="center"/>
            <w:hideMark/>
          </w:tcPr>
          <w:p w14:paraId="668416F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35</w:t>
            </w:r>
          </w:p>
        </w:tc>
        <w:tc>
          <w:tcPr>
            <w:tcW w:w="196" w:type="pct"/>
            <w:tcBorders>
              <w:top w:val="nil"/>
              <w:left w:val="nil"/>
              <w:bottom w:val="nil"/>
              <w:right w:val="nil"/>
            </w:tcBorders>
            <w:noWrap/>
            <w:vAlign w:val="center"/>
            <w:hideMark/>
          </w:tcPr>
          <w:p w14:paraId="7470F56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0.21</w:t>
            </w:r>
          </w:p>
        </w:tc>
        <w:tc>
          <w:tcPr>
            <w:tcW w:w="199" w:type="pct"/>
            <w:tcBorders>
              <w:top w:val="nil"/>
              <w:left w:val="nil"/>
              <w:bottom w:val="nil"/>
              <w:right w:val="nil"/>
            </w:tcBorders>
            <w:noWrap/>
            <w:vAlign w:val="center"/>
            <w:hideMark/>
          </w:tcPr>
          <w:p w14:paraId="2C82CF0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314C0C8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4D89E64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3E54B51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2B532FD" w14:textId="618CFEA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0C71EDC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09BAB06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5A0EF89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B64E05B" w14:textId="0ACC58F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7FFA873" w14:textId="5C7E7CB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58B89E9" w14:textId="77777777" w:rsidTr="22DB2182">
        <w:trPr>
          <w:trHeight w:val="20"/>
        </w:trPr>
        <w:tc>
          <w:tcPr>
            <w:tcW w:w="456" w:type="pct"/>
            <w:tcBorders>
              <w:top w:val="nil"/>
              <w:left w:val="nil"/>
              <w:bottom w:val="nil"/>
              <w:right w:val="nil"/>
            </w:tcBorders>
            <w:noWrap/>
            <w:vAlign w:val="center"/>
            <w:hideMark/>
          </w:tcPr>
          <w:p w14:paraId="78DF3FFE" w14:textId="23A4B92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Unsworth,</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{"citationID":"a21robqrun4","properties":{"unsorted":false,"formattedCitation":"(2018)","plainCitation":"(2018)","noteIndex":0},"citationItems":[{"id":126,"uris":["http://zotero.org/users/8613739/items/GAGYGTQS"],"itemData":{"id":126,"type":"article-journal","abstract":"In four experiments, the association between arousal state and different mind-wandering states was examined. Participants performed a sustained attention task while pupil responses were continuously recorded. Periodically during the task, participants were presented with thought probes to determine if they were on task or mind wandering. Across the four experiments, the results suggested that in situations that promoted on-task behaviors and focused external attention, mind wandering was associated with lowered arousal, as seen by smaller tonic pupil diameters and smaller phasic pupillary responses. However, in situations that promoted a more internal focus of attention, there were no differences between on-task states and mind wandering in tonic pupil diameter (although differences emerged for phasic pupillary responses), suggesting similar arousal levels. Furthermore, across the four experiments, mind blanking and mind wandering dissociated in terms of whether the situation promoted focused external attention or focused internal attention. These results are broadly consistent with the notion that mind wandering is a heterogeneous construct, with different forms of mind wandering being associated with different arousal states, and suggest that a combination of behavioral and pupillary measures can be used to track these various states.","citation-key":"unsworthTrackingArousalState2018","container-title":"Cognitive, Affective &amp; Behavioral Neuroscience","DOI":"10.3758/s13415-018-0594-4","ISSN":"1531-135X","issue":"4","journalAbbreviation":"Cogn. Affect. Behav. Neurosci.","language":"eng","page":"638-664","PMID":"29654476","source":"PubMed","title":"Tracking arousal state and mind wandering with pupillometry","volume":"18","author":[{"family":"Unsworth","given":"Nash"},{"family":"Robison","given":"Matthew K."}],"issued":{"date-parts":[["2018",8]]}},"suppress-author":true}],"schema":"https://github.com/citation-style-language/schema/raw/master/csl-citation.json"}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(2018)</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27A6EE2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4A0B4A2D" w14:textId="7B84132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2E296B6D"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alert, my mind was blank</w:t>
            </w:r>
          </w:p>
        </w:tc>
        <w:tc>
          <w:tcPr>
            <w:tcW w:w="228" w:type="pct"/>
            <w:tcBorders>
              <w:top w:val="nil"/>
              <w:left w:val="nil"/>
              <w:bottom w:val="nil"/>
              <w:right w:val="nil"/>
            </w:tcBorders>
            <w:noWrap/>
            <w:vAlign w:val="center"/>
            <w:hideMark/>
          </w:tcPr>
          <w:p w14:paraId="060B0E9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152</w:t>
            </w:r>
          </w:p>
        </w:tc>
        <w:tc>
          <w:tcPr>
            <w:tcW w:w="196" w:type="pct"/>
            <w:tcBorders>
              <w:top w:val="nil"/>
              <w:left w:val="nil"/>
              <w:bottom w:val="nil"/>
              <w:right w:val="nil"/>
            </w:tcBorders>
            <w:noWrap/>
            <w:vAlign w:val="center"/>
            <w:hideMark/>
          </w:tcPr>
          <w:p w14:paraId="713B701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0.12</w:t>
            </w:r>
          </w:p>
        </w:tc>
        <w:tc>
          <w:tcPr>
            <w:tcW w:w="199" w:type="pct"/>
            <w:tcBorders>
              <w:top w:val="nil"/>
              <w:left w:val="nil"/>
              <w:bottom w:val="nil"/>
              <w:right w:val="nil"/>
            </w:tcBorders>
            <w:noWrap/>
            <w:vAlign w:val="center"/>
            <w:hideMark/>
          </w:tcPr>
          <w:p w14:paraId="1048669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w:t>
            </w:r>
          </w:p>
        </w:tc>
        <w:tc>
          <w:tcPr>
            <w:tcW w:w="218" w:type="pct"/>
            <w:tcBorders>
              <w:top w:val="nil"/>
              <w:left w:val="nil"/>
              <w:bottom w:val="nil"/>
              <w:right w:val="nil"/>
            </w:tcBorders>
            <w:noWrap/>
            <w:vAlign w:val="center"/>
            <w:hideMark/>
          </w:tcPr>
          <w:p w14:paraId="4494A44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156EB6B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07" w:type="pct"/>
            <w:tcBorders>
              <w:top w:val="nil"/>
              <w:left w:val="nil"/>
              <w:bottom w:val="nil"/>
              <w:right w:val="nil"/>
            </w:tcBorders>
            <w:noWrap/>
            <w:vAlign w:val="center"/>
            <w:hideMark/>
          </w:tcPr>
          <w:p w14:paraId="5365826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784841B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070D1DD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1D3D677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57B61A5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01D4F9B" w14:textId="14E0D89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F83922B" w14:textId="10E16BD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671F596" w14:textId="77777777" w:rsidTr="22DB2182">
        <w:trPr>
          <w:trHeight w:val="20"/>
        </w:trPr>
        <w:tc>
          <w:tcPr>
            <w:tcW w:w="456" w:type="pct"/>
            <w:tcBorders>
              <w:top w:val="nil"/>
              <w:left w:val="nil"/>
              <w:bottom w:val="nil"/>
              <w:right w:val="nil"/>
            </w:tcBorders>
            <w:noWrap/>
            <w:vAlign w:val="center"/>
            <w:hideMark/>
          </w:tcPr>
          <w:p w14:paraId="0536957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A11171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1CB0199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2AD3555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087E5C2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157</w:t>
            </w:r>
          </w:p>
        </w:tc>
        <w:tc>
          <w:tcPr>
            <w:tcW w:w="196" w:type="pct"/>
            <w:tcBorders>
              <w:top w:val="nil"/>
              <w:left w:val="nil"/>
              <w:bottom w:val="nil"/>
              <w:right w:val="nil"/>
            </w:tcBorders>
            <w:noWrap/>
            <w:vAlign w:val="center"/>
            <w:hideMark/>
          </w:tcPr>
          <w:p w14:paraId="72A2F53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0.17</w:t>
            </w:r>
          </w:p>
        </w:tc>
        <w:tc>
          <w:tcPr>
            <w:tcW w:w="199" w:type="pct"/>
            <w:tcBorders>
              <w:top w:val="nil"/>
              <w:left w:val="nil"/>
              <w:bottom w:val="nil"/>
              <w:right w:val="nil"/>
            </w:tcBorders>
            <w:noWrap/>
            <w:vAlign w:val="center"/>
            <w:hideMark/>
          </w:tcPr>
          <w:p w14:paraId="70A590F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12</w:t>
            </w:r>
          </w:p>
        </w:tc>
        <w:tc>
          <w:tcPr>
            <w:tcW w:w="218" w:type="pct"/>
            <w:tcBorders>
              <w:top w:val="nil"/>
              <w:left w:val="nil"/>
              <w:bottom w:val="nil"/>
              <w:right w:val="nil"/>
            </w:tcBorders>
            <w:noWrap/>
            <w:vAlign w:val="center"/>
            <w:hideMark/>
          </w:tcPr>
          <w:p w14:paraId="1AB78C9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0E98E7CE" w14:textId="32F2512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1B017BB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2F4DA7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Stroop</w:t>
            </w:r>
          </w:p>
        </w:tc>
        <w:tc>
          <w:tcPr>
            <w:tcW w:w="244" w:type="pct"/>
            <w:tcBorders>
              <w:top w:val="nil"/>
              <w:left w:val="nil"/>
              <w:bottom w:val="nil"/>
              <w:right w:val="nil"/>
            </w:tcBorders>
            <w:noWrap/>
            <w:vAlign w:val="center"/>
            <w:hideMark/>
          </w:tcPr>
          <w:p w14:paraId="266D50F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4AC899E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CC5224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1C03B09" w14:textId="151EF97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6A581D0" w14:textId="60541C1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CE657E5" w14:textId="77777777" w:rsidTr="22DB2182">
        <w:trPr>
          <w:trHeight w:val="20"/>
        </w:trPr>
        <w:tc>
          <w:tcPr>
            <w:tcW w:w="456" w:type="pct"/>
            <w:tcBorders>
              <w:top w:val="nil"/>
              <w:left w:val="nil"/>
              <w:bottom w:val="nil"/>
              <w:right w:val="nil"/>
            </w:tcBorders>
            <w:noWrap/>
            <w:vAlign w:val="center"/>
            <w:hideMark/>
          </w:tcPr>
          <w:p w14:paraId="6CE750F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011AB70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w:t>
            </w:r>
          </w:p>
        </w:tc>
        <w:tc>
          <w:tcPr>
            <w:tcW w:w="585" w:type="pct"/>
            <w:tcBorders>
              <w:top w:val="nil"/>
              <w:left w:val="nil"/>
              <w:bottom w:val="nil"/>
              <w:right w:val="nil"/>
            </w:tcBorders>
            <w:noWrap/>
            <w:vAlign w:val="center"/>
            <w:hideMark/>
          </w:tcPr>
          <w:p w14:paraId="78ED4FF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321228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9356C3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28</w:t>
            </w:r>
          </w:p>
        </w:tc>
        <w:tc>
          <w:tcPr>
            <w:tcW w:w="196" w:type="pct"/>
            <w:tcBorders>
              <w:top w:val="nil"/>
              <w:left w:val="nil"/>
              <w:bottom w:val="nil"/>
              <w:right w:val="nil"/>
            </w:tcBorders>
            <w:noWrap/>
            <w:vAlign w:val="center"/>
            <w:hideMark/>
          </w:tcPr>
          <w:p w14:paraId="4185E43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0.18</w:t>
            </w:r>
          </w:p>
        </w:tc>
        <w:tc>
          <w:tcPr>
            <w:tcW w:w="199" w:type="pct"/>
            <w:tcBorders>
              <w:top w:val="nil"/>
              <w:left w:val="nil"/>
              <w:bottom w:val="nil"/>
              <w:right w:val="nil"/>
            </w:tcBorders>
            <w:noWrap/>
            <w:vAlign w:val="center"/>
            <w:hideMark/>
          </w:tcPr>
          <w:p w14:paraId="489097C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6E1A7A1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08C9A57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3ADC634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3D9470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3185AB4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7008D2A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D86474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3695D50" w14:textId="15C6BFD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C2D9CD4" w14:textId="04B9EC3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985414F" w14:textId="77777777" w:rsidTr="22DB2182">
        <w:trPr>
          <w:trHeight w:val="20"/>
        </w:trPr>
        <w:tc>
          <w:tcPr>
            <w:tcW w:w="456" w:type="pct"/>
            <w:tcBorders>
              <w:top w:val="nil"/>
              <w:left w:val="nil"/>
              <w:bottom w:val="nil"/>
              <w:right w:val="nil"/>
            </w:tcBorders>
            <w:noWrap/>
            <w:vAlign w:val="center"/>
            <w:hideMark/>
          </w:tcPr>
          <w:p w14:paraId="6BC6AEB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4029FAC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w:t>
            </w:r>
          </w:p>
        </w:tc>
        <w:tc>
          <w:tcPr>
            <w:tcW w:w="585" w:type="pct"/>
            <w:tcBorders>
              <w:top w:val="nil"/>
              <w:left w:val="nil"/>
              <w:bottom w:val="nil"/>
              <w:right w:val="nil"/>
            </w:tcBorders>
            <w:noWrap/>
            <w:vAlign w:val="center"/>
            <w:hideMark/>
          </w:tcPr>
          <w:p w14:paraId="25874D3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2AACA9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D29F95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71</w:t>
            </w:r>
          </w:p>
        </w:tc>
        <w:tc>
          <w:tcPr>
            <w:tcW w:w="196" w:type="pct"/>
            <w:tcBorders>
              <w:top w:val="nil"/>
              <w:left w:val="nil"/>
              <w:bottom w:val="nil"/>
              <w:right w:val="nil"/>
            </w:tcBorders>
            <w:noWrap/>
            <w:vAlign w:val="center"/>
            <w:hideMark/>
          </w:tcPr>
          <w:p w14:paraId="4E5032B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0.14</w:t>
            </w:r>
          </w:p>
        </w:tc>
        <w:tc>
          <w:tcPr>
            <w:tcW w:w="199" w:type="pct"/>
            <w:tcBorders>
              <w:top w:val="nil"/>
              <w:left w:val="nil"/>
              <w:bottom w:val="nil"/>
              <w:right w:val="nil"/>
            </w:tcBorders>
            <w:noWrap/>
            <w:vAlign w:val="center"/>
            <w:hideMark/>
          </w:tcPr>
          <w:p w14:paraId="75B6465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6CB613E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7</w:t>
            </w:r>
          </w:p>
        </w:tc>
        <w:tc>
          <w:tcPr>
            <w:tcW w:w="327" w:type="pct"/>
            <w:tcBorders>
              <w:top w:val="nil"/>
              <w:left w:val="nil"/>
              <w:bottom w:val="nil"/>
              <w:right w:val="nil"/>
            </w:tcBorders>
            <w:noWrap/>
            <w:vAlign w:val="center"/>
            <w:hideMark/>
          </w:tcPr>
          <w:p w14:paraId="2025A4A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5F29CB7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616F94A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10A6D79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BAA48B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EB3CA5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267AC80" w14:textId="6BA7459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E518C6E" w14:textId="0B26266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D1B5036" w14:textId="77777777" w:rsidTr="22DB2182">
        <w:trPr>
          <w:trHeight w:val="20"/>
        </w:trPr>
        <w:tc>
          <w:tcPr>
            <w:tcW w:w="456" w:type="pct"/>
            <w:tcBorders>
              <w:top w:val="nil"/>
              <w:left w:val="nil"/>
              <w:bottom w:val="nil"/>
              <w:right w:val="nil"/>
            </w:tcBorders>
            <w:noWrap/>
            <w:vAlign w:val="center"/>
            <w:hideMark/>
          </w:tcPr>
          <w:p w14:paraId="18275C8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39155EF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4a</w:t>
            </w:r>
          </w:p>
        </w:tc>
        <w:tc>
          <w:tcPr>
            <w:tcW w:w="585" w:type="pct"/>
            <w:tcBorders>
              <w:top w:val="nil"/>
              <w:left w:val="nil"/>
              <w:bottom w:val="nil"/>
              <w:right w:val="nil"/>
            </w:tcBorders>
            <w:noWrap/>
            <w:vAlign w:val="center"/>
            <w:hideMark/>
          </w:tcPr>
          <w:p w14:paraId="03E80A5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77E237D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3C85642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39</w:t>
            </w:r>
          </w:p>
        </w:tc>
        <w:tc>
          <w:tcPr>
            <w:tcW w:w="196" w:type="pct"/>
            <w:tcBorders>
              <w:top w:val="nil"/>
              <w:left w:val="nil"/>
              <w:bottom w:val="nil"/>
              <w:right w:val="nil"/>
            </w:tcBorders>
            <w:noWrap/>
            <w:vAlign w:val="center"/>
            <w:hideMark/>
          </w:tcPr>
          <w:p w14:paraId="64605B2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w:t>
            </w:r>
          </w:p>
        </w:tc>
        <w:tc>
          <w:tcPr>
            <w:tcW w:w="199" w:type="pct"/>
            <w:tcBorders>
              <w:top w:val="nil"/>
              <w:left w:val="nil"/>
              <w:bottom w:val="nil"/>
              <w:right w:val="nil"/>
            </w:tcBorders>
            <w:noWrap/>
            <w:vAlign w:val="center"/>
            <w:hideMark/>
          </w:tcPr>
          <w:p w14:paraId="5F94B97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23</w:t>
            </w:r>
          </w:p>
        </w:tc>
        <w:tc>
          <w:tcPr>
            <w:tcW w:w="218" w:type="pct"/>
            <w:tcBorders>
              <w:top w:val="nil"/>
              <w:left w:val="nil"/>
              <w:bottom w:val="nil"/>
              <w:right w:val="nil"/>
            </w:tcBorders>
            <w:noWrap/>
            <w:vAlign w:val="center"/>
            <w:hideMark/>
          </w:tcPr>
          <w:p w14:paraId="679CA23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7F08CFF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101FB78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BCFE2A6" w14:textId="0D3952F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6136CDC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0E810C1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7BA463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024A717" w14:textId="519CD24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92AE18A" w14:textId="083BCDD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AABE75F" w14:textId="77777777" w:rsidTr="22DB2182">
        <w:trPr>
          <w:trHeight w:val="20"/>
        </w:trPr>
        <w:tc>
          <w:tcPr>
            <w:tcW w:w="456" w:type="pct"/>
            <w:tcBorders>
              <w:top w:val="nil"/>
              <w:left w:val="nil"/>
              <w:bottom w:val="nil"/>
              <w:right w:val="nil"/>
            </w:tcBorders>
            <w:noWrap/>
            <w:vAlign w:val="center"/>
            <w:hideMark/>
          </w:tcPr>
          <w:p w14:paraId="0BE102B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523294F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4b</w:t>
            </w:r>
          </w:p>
        </w:tc>
        <w:tc>
          <w:tcPr>
            <w:tcW w:w="585" w:type="pct"/>
            <w:tcBorders>
              <w:top w:val="nil"/>
              <w:left w:val="nil"/>
              <w:bottom w:val="nil"/>
              <w:right w:val="nil"/>
            </w:tcBorders>
            <w:noWrap/>
            <w:vAlign w:val="center"/>
            <w:hideMark/>
          </w:tcPr>
          <w:p w14:paraId="798A1AE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235FE5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2C6ADF9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42</w:t>
            </w:r>
          </w:p>
        </w:tc>
        <w:tc>
          <w:tcPr>
            <w:tcW w:w="196" w:type="pct"/>
            <w:tcBorders>
              <w:top w:val="nil"/>
              <w:left w:val="nil"/>
              <w:bottom w:val="nil"/>
              <w:right w:val="nil"/>
            </w:tcBorders>
            <w:noWrap/>
            <w:vAlign w:val="center"/>
            <w:hideMark/>
          </w:tcPr>
          <w:p w14:paraId="1B0F8B9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0.16</w:t>
            </w:r>
          </w:p>
        </w:tc>
        <w:tc>
          <w:tcPr>
            <w:tcW w:w="199" w:type="pct"/>
            <w:tcBorders>
              <w:top w:val="nil"/>
              <w:left w:val="nil"/>
              <w:bottom w:val="nil"/>
              <w:right w:val="nil"/>
            </w:tcBorders>
            <w:noWrap/>
            <w:vAlign w:val="center"/>
            <w:hideMark/>
          </w:tcPr>
          <w:p w14:paraId="3E6B693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23</w:t>
            </w:r>
          </w:p>
        </w:tc>
        <w:tc>
          <w:tcPr>
            <w:tcW w:w="218" w:type="pct"/>
            <w:tcBorders>
              <w:top w:val="nil"/>
              <w:left w:val="nil"/>
              <w:bottom w:val="nil"/>
              <w:right w:val="nil"/>
            </w:tcBorders>
            <w:noWrap/>
            <w:vAlign w:val="center"/>
            <w:hideMark/>
          </w:tcPr>
          <w:p w14:paraId="39AF32E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114080F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729F59C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66449C15" w14:textId="2D4BE96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7124BBA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293FD05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0281EA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6E2BC07B" w14:textId="7954F8C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F841F27" w14:textId="4BD939F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6AE2E00" w14:textId="77777777" w:rsidTr="22DB2182">
        <w:trPr>
          <w:trHeight w:val="20"/>
        </w:trPr>
        <w:tc>
          <w:tcPr>
            <w:tcW w:w="456" w:type="pct"/>
            <w:tcBorders>
              <w:top w:val="nil"/>
              <w:left w:val="nil"/>
              <w:bottom w:val="nil"/>
              <w:right w:val="nil"/>
            </w:tcBorders>
            <w:noWrap/>
            <w:vAlign w:val="center"/>
            <w:hideMark/>
          </w:tcPr>
          <w:p w14:paraId="1FD7F6F0" w14:textId="619DC21D" w:rsidR="0065213A" w:rsidRPr="009B1684"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lang w:val="el-GR"/>
              </w:rPr>
            </w:pPr>
            <w:r w:rsidRPr="0065213A">
              <w:rPr>
                <w:rFonts w:ascii="Times New Roman" w:eastAsia="Times New Roman" w:hAnsi="Times New Roman" w:cs="Times New Roman"/>
                <w:color w:val="000000"/>
                <w:sz w:val="8"/>
                <w:szCs w:val="8"/>
              </w:rPr>
              <w:t>Unsworth,</w:t>
            </w:r>
            <w:r w:rsidR="001115B8">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26htbo976t","properties":{"unsorted":false,"formattedCitation":"(2019)","plainCitation":"(2019)","noteIndex":0},"citationItems":[{"id":16178,"uris":["http://zotero.org/groups/6160358/items/2YKBJZ6B"],"itemData":{"id":16178,"type":"article-journal","abstract":"Individual differences in baseline oculometrics (baseline pupil diameter, spontaneous eye blink rate, fixation stability), and their relation with cognitive abilities, personality traits, and self-report assessments were examined. Participants performed a baseline eye measure in which they were instructed to stare at a fixation point onscreen for 5 min. Following the baseline eye measure, participants completed a questionnaire asking what they were thinking about during the baseline eye measure. Participants also completed various cognitive ability measures assessing working memory capacity, attention control, and off-task thinking. Finally, participants completed a number of questionnaires assessing personality, Attention Deficit/Hyperactivity Disorder symptomology, mind wandering, and morningness-eveningness. Overall, the vast majority of correlations with the baseline eye measures were weak and nonsignificant, suggesting that these associations may not be very robust. The results also demonstrated the importance of examining what participants are thinking about during the baseline measure. These results add to the growing body of findings suggesting inconsistent relations between different baseline eye measures and various individual differences constructs.","citation-key":"unsworthIndividualDifferencesBaseline2019a","container-title":"Cognitive, affective, &amp; behavioral neuroscience","ISSN":"1530-7026","issue":"4","language":"eng","license":"The Psychonomic Society, Inc. 2019","page":"1074–1093","title":"Individual differences in baseline oculometrics: Examining variation in baseline pupil diameter, spontaneous eye blink rate, and fixation stability","volume":"19","author":[{"family":"Unsworth","given":"Nash"},{"family":"Robison","given":"Matthew K."},{"family":"Miller","given":"Ashley L."}],"issued":{"date-parts":[["2019",8]]}},"suppress-author":true}],"schema":"https://github.com/citation-style-language/schema/raw/master/csl-citation.json"} </w:instrText>
            </w:r>
            <w:r w:rsidR="001115B8">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(2019)</w:t>
            </w:r>
            <w:r w:rsidR="001115B8">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3B291D5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33578FBD" w14:textId="6792B29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132062C"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alert, my mind was blank</w:t>
            </w:r>
          </w:p>
        </w:tc>
        <w:tc>
          <w:tcPr>
            <w:tcW w:w="228" w:type="pct"/>
            <w:tcBorders>
              <w:top w:val="nil"/>
              <w:left w:val="nil"/>
              <w:bottom w:val="nil"/>
              <w:right w:val="nil"/>
            </w:tcBorders>
            <w:noWrap/>
            <w:vAlign w:val="center"/>
            <w:hideMark/>
          </w:tcPr>
          <w:p w14:paraId="3723AEE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204</w:t>
            </w:r>
          </w:p>
        </w:tc>
        <w:tc>
          <w:tcPr>
            <w:tcW w:w="196" w:type="pct"/>
            <w:tcBorders>
              <w:top w:val="nil"/>
              <w:left w:val="nil"/>
              <w:bottom w:val="nil"/>
              <w:right w:val="nil"/>
            </w:tcBorders>
            <w:noWrap/>
            <w:vAlign w:val="center"/>
            <w:hideMark/>
          </w:tcPr>
          <w:p w14:paraId="6EF8F95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0.12</w:t>
            </w:r>
          </w:p>
        </w:tc>
        <w:tc>
          <w:tcPr>
            <w:tcW w:w="199" w:type="pct"/>
            <w:tcBorders>
              <w:top w:val="nil"/>
              <w:left w:val="nil"/>
              <w:bottom w:val="nil"/>
              <w:right w:val="nil"/>
            </w:tcBorders>
            <w:noWrap/>
            <w:vAlign w:val="center"/>
            <w:hideMark/>
          </w:tcPr>
          <w:p w14:paraId="6081F49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11</w:t>
            </w:r>
          </w:p>
        </w:tc>
        <w:tc>
          <w:tcPr>
            <w:tcW w:w="218" w:type="pct"/>
            <w:tcBorders>
              <w:top w:val="nil"/>
              <w:left w:val="nil"/>
              <w:bottom w:val="nil"/>
              <w:right w:val="nil"/>
            </w:tcBorders>
            <w:noWrap/>
            <w:vAlign w:val="center"/>
            <w:hideMark/>
          </w:tcPr>
          <w:p w14:paraId="74902BA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59E687DE" w14:textId="01DA4B9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7BF73B7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6B1530B" w14:textId="2E926F38"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1F1F1F"/>
                <w:sz w:val="8"/>
                <w:szCs w:val="8"/>
                <w:lang w:eastAsia="en-US"/>
              </w:rPr>
            </w:pPr>
            <w:proofErr w:type="spellStart"/>
            <w:r w:rsidRPr="22DB2182">
              <w:rPr>
                <w:rFonts w:ascii="Times New Roman" w:eastAsia="Times New Roman" w:hAnsi="Times New Roman" w:cs="Times New Roman"/>
                <w:color w:val="1F1F1F"/>
                <w:sz w:val="8"/>
                <w:szCs w:val="8"/>
                <w:lang w:eastAsia="en-US"/>
              </w:rPr>
              <w:t>Antisaccade</w:t>
            </w:r>
            <w:proofErr w:type="spellEnd"/>
          </w:p>
        </w:tc>
        <w:tc>
          <w:tcPr>
            <w:tcW w:w="244" w:type="pct"/>
            <w:tcBorders>
              <w:top w:val="nil"/>
              <w:left w:val="nil"/>
              <w:bottom w:val="nil"/>
              <w:right w:val="nil"/>
            </w:tcBorders>
            <w:noWrap/>
            <w:vAlign w:val="center"/>
            <w:hideMark/>
          </w:tcPr>
          <w:p w14:paraId="6BCBAEE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0002A37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045353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7A18436B" w14:textId="42C173E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0FDF5AE1" w14:textId="1287B35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94B177F" w14:textId="77777777" w:rsidTr="22DB2182">
        <w:trPr>
          <w:trHeight w:val="20"/>
        </w:trPr>
        <w:tc>
          <w:tcPr>
            <w:tcW w:w="456" w:type="pct"/>
            <w:tcBorders>
              <w:top w:val="nil"/>
              <w:left w:val="nil"/>
              <w:bottom w:val="nil"/>
              <w:right w:val="nil"/>
            </w:tcBorders>
            <w:noWrap/>
            <w:vAlign w:val="center"/>
            <w:hideMark/>
          </w:tcPr>
          <w:p w14:paraId="63277BA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7CC0BF9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0981F31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957BC4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15DDEFF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204</w:t>
            </w:r>
          </w:p>
        </w:tc>
        <w:tc>
          <w:tcPr>
            <w:tcW w:w="196" w:type="pct"/>
            <w:tcBorders>
              <w:top w:val="nil"/>
              <w:left w:val="nil"/>
              <w:bottom w:val="nil"/>
              <w:right w:val="nil"/>
            </w:tcBorders>
            <w:noWrap/>
            <w:vAlign w:val="center"/>
            <w:hideMark/>
          </w:tcPr>
          <w:p w14:paraId="7E4BB53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w:t>
            </w:r>
          </w:p>
        </w:tc>
        <w:tc>
          <w:tcPr>
            <w:tcW w:w="199" w:type="pct"/>
            <w:tcBorders>
              <w:top w:val="nil"/>
              <w:left w:val="nil"/>
              <w:bottom w:val="nil"/>
              <w:right w:val="nil"/>
            </w:tcBorders>
            <w:noWrap/>
            <w:vAlign w:val="center"/>
            <w:hideMark/>
          </w:tcPr>
          <w:p w14:paraId="3973DAB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12</w:t>
            </w:r>
          </w:p>
        </w:tc>
        <w:tc>
          <w:tcPr>
            <w:tcW w:w="218" w:type="pct"/>
            <w:tcBorders>
              <w:top w:val="nil"/>
              <w:left w:val="nil"/>
              <w:bottom w:val="nil"/>
              <w:right w:val="nil"/>
            </w:tcBorders>
            <w:noWrap/>
            <w:vAlign w:val="center"/>
            <w:hideMark/>
          </w:tcPr>
          <w:p w14:paraId="2C999EB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1C6B2B0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07" w:type="pct"/>
            <w:tcBorders>
              <w:top w:val="nil"/>
              <w:left w:val="nil"/>
              <w:bottom w:val="nil"/>
              <w:right w:val="nil"/>
            </w:tcBorders>
            <w:noWrap/>
            <w:vAlign w:val="center"/>
            <w:hideMark/>
          </w:tcPr>
          <w:p w14:paraId="565E5CC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7D19D85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638E701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A6E98B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FE4879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6D322B54" w14:textId="7AF6FAD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8B52B4E" w14:textId="700146A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30C92C4" w14:textId="77777777" w:rsidTr="22DB2182">
        <w:trPr>
          <w:trHeight w:val="20"/>
        </w:trPr>
        <w:tc>
          <w:tcPr>
            <w:tcW w:w="456" w:type="pct"/>
            <w:tcBorders>
              <w:top w:val="nil"/>
              <w:left w:val="nil"/>
              <w:bottom w:val="nil"/>
              <w:right w:val="nil"/>
            </w:tcBorders>
            <w:noWrap/>
            <w:vAlign w:val="center"/>
            <w:hideMark/>
          </w:tcPr>
          <w:p w14:paraId="70D1138A" w14:textId="109235E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Unsworth,</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i3f39haks","properties":{"unsorted":false,"formattedCitation":"(2021)","plainCitation":"(2021)","noteIndex":0},"citationItems":[{"id":5938,"uris":["http://zotero.org/users/8613739/items/WKTV692U"],"itemData":{"id":5938,"type":"article-journal","abstract":"Individual differences in lapses of attention were examined in the present study. Participants performed various attention control, working memory, and reaction time (RT) tasks to assess lapses of attention. Task-unrelated thoughts, task-specific motivation, alertness, and trait factors were also assessed. Behavioral indicators of lapses of attention correlated and loaded on the same general lapse of attention factor. The lapse of attention factor correlated with, but was distinct from, attention control and task-unrelated thoughts factors. The lapses of attention factor further related to working memory capacity, speed of processing, motivation, alertness, boredom proneness, and self-reports of everyday cognitive failures. Structural equation modeling suggested that attention control, task-unrelated thoughts, variance shared across task unrelated thoughts, motivation, and alertness, and boredom proneness all accounted for unique variance in lapses of attention. These results provide important evidence for the general tendency to experience lapses of attention in a variety of tasks and situations and further suggest that multiple factors contribute to variation in lapses of attention.","citation-key":"unsworthIndividualDifferencesLapses2021","container-title":"Journal of experimental psychology. General","ISSN":"0096-3445","issue":"7","language":"eng","note":"tex.copyright: 2020 American Psychological Association","page":"1303-1331","publisher":"American Psychological Association","publisher-place":"United States","title":"Individual differences in lapses of attention: a latent variable analysis","volume":"150","author":[{"family":"Unsworth","given":"Nash"},{"family":"Robison","given":"Matthew K."},{"family":"Miller","given":"Ashley L."}],"issued":{"date-parts":[["2021",7,1]]}},"suppress-author":true}],"schema":"https://github.com/citation-style-language/schema/raw/master/csl-citation.json"}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(2021)</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1FE77C0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0E8D41B4" w14:textId="7C00FC0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C1E5C3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13C4DBA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356</w:t>
            </w:r>
          </w:p>
        </w:tc>
        <w:tc>
          <w:tcPr>
            <w:tcW w:w="196" w:type="pct"/>
            <w:tcBorders>
              <w:top w:val="nil"/>
              <w:left w:val="nil"/>
              <w:bottom w:val="nil"/>
              <w:right w:val="nil"/>
            </w:tcBorders>
            <w:noWrap/>
            <w:vAlign w:val="center"/>
            <w:hideMark/>
          </w:tcPr>
          <w:p w14:paraId="022AC96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w:t>
            </w:r>
          </w:p>
        </w:tc>
        <w:tc>
          <w:tcPr>
            <w:tcW w:w="199" w:type="pct"/>
            <w:tcBorders>
              <w:top w:val="nil"/>
              <w:left w:val="nil"/>
              <w:bottom w:val="nil"/>
              <w:right w:val="nil"/>
            </w:tcBorders>
            <w:noWrap/>
            <w:vAlign w:val="center"/>
            <w:hideMark/>
          </w:tcPr>
          <w:p w14:paraId="3E7CDE9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w:t>
            </w:r>
          </w:p>
        </w:tc>
        <w:tc>
          <w:tcPr>
            <w:tcW w:w="218" w:type="pct"/>
            <w:tcBorders>
              <w:top w:val="nil"/>
              <w:left w:val="nil"/>
              <w:bottom w:val="nil"/>
              <w:right w:val="nil"/>
            </w:tcBorders>
            <w:noWrap/>
            <w:vAlign w:val="center"/>
            <w:hideMark/>
          </w:tcPr>
          <w:p w14:paraId="57750C5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40677E9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07" w:type="pct"/>
            <w:tcBorders>
              <w:top w:val="nil"/>
              <w:left w:val="nil"/>
              <w:bottom w:val="nil"/>
              <w:right w:val="nil"/>
            </w:tcBorders>
            <w:noWrap/>
            <w:vAlign w:val="center"/>
            <w:hideMark/>
          </w:tcPr>
          <w:p w14:paraId="5D70FD1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2A9393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4104A3C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A0B2CD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9C3BBA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75039C95" w14:textId="4CD1F77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69AFDEF" w14:textId="2E0F05A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698782E4" w14:textId="77777777" w:rsidTr="22DB2182">
        <w:trPr>
          <w:trHeight w:val="20"/>
        </w:trPr>
        <w:tc>
          <w:tcPr>
            <w:tcW w:w="456" w:type="pct"/>
            <w:tcBorders>
              <w:top w:val="nil"/>
              <w:left w:val="nil"/>
              <w:bottom w:val="nil"/>
              <w:right w:val="nil"/>
            </w:tcBorders>
            <w:noWrap/>
            <w:vAlign w:val="center"/>
            <w:hideMark/>
          </w:tcPr>
          <w:p w14:paraId="346733F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764208A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5E532B7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37B82A0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2F325E8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328</w:t>
            </w:r>
          </w:p>
        </w:tc>
        <w:tc>
          <w:tcPr>
            <w:tcW w:w="196" w:type="pct"/>
            <w:tcBorders>
              <w:top w:val="nil"/>
              <w:left w:val="nil"/>
              <w:bottom w:val="nil"/>
              <w:right w:val="nil"/>
            </w:tcBorders>
            <w:noWrap/>
            <w:vAlign w:val="center"/>
            <w:hideMark/>
          </w:tcPr>
          <w:p w14:paraId="3A6091F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0.2</w:t>
            </w:r>
          </w:p>
        </w:tc>
        <w:tc>
          <w:tcPr>
            <w:tcW w:w="199" w:type="pct"/>
            <w:tcBorders>
              <w:top w:val="nil"/>
              <w:left w:val="nil"/>
              <w:bottom w:val="nil"/>
              <w:right w:val="nil"/>
            </w:tcBorders>
            <w:noWrap/>
            <w:vAlign w:val="center"/>
            <w:hideMark/>
          </w:tcPr>
          <w:p w14:paraId="25CDA54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8</w:t>
            </w:r>
          </w:p>
        </w:tc>
        <w:tc>
          <w:tcPr>
            <w:tcW w:w="218" w:type="pct"/>
            <w:tcBorders>
              <w:top w:val="nil"/>
              <w:left w:val="nil"/>
              <w:bottom w:val="nil"/>
              <w:right w:val="nil"/>
            </w:tcBorders>
            <w:noWrap/>
            <w:vAlign w:val="center"/>
            <w:hideMark/>
          </w:tcPr>
          <w:p w14:paraId="5D4A4CC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066FC8FC" w14:textId="1159338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097E0D7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3D8591D" w14:textId="2619D985"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Discrete</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Whole</w:t>
            </w:r>
            <w:proofErr w:type="spellEnd"/>
            <w:r w:rsidRPr="22DB2182">
              <w:rPr>
                <w:rFonts w:ascii="Times New Roman" w:eastAsia="Times New Roman" w:hAnsi="Times New Roman" w:cs="Times New Roman"/>
                <w:color w:val="000000" w:themeColor="text1"/>
                <w:sz w:val="8"/>
                <w:szCs w:val="8"/>
                <w:lang w:val="fr-FR" w:eastAsia="en-US"/>
              </w:rPr>
              <w:t xml:space="preserve"> Report</w:t>
            </w:r>
          </w:p>
        </w:tc>
        <w:tc>
          <w:tcPr>
            <w:tcW w:w="244" w:type="pct"/>
            <w:tcBorders>
              <w:top w:val="nil"/>
              <w:left w:val="nil"/>
              <w:bottom w:val="nil"/>
              <w:right w:val="nil"/>
            </w:tcBorders>
            <w:noWrap/>
            <w:vAlign w:val="center"/>
            <w:hideMark/>
          </w:tcPr>
          <w:p w14:paraId="5DDF8C2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6411374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382304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481ED74" w14:textId="48BA8E3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77F4BAF" w14:textId="37EFD2F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CB7430C" w14:textId="77777777" w:rsidTr="22DB2182">
        <w:trPr>
          <w:trHeight w:val="20"/>
        </w:trPr>
        <w:tc>
          <w:tcPr>
            <w:tcW w:w="456" w:type="pct"/>
            <w:tcBorders>
              <w:top w:val="nil"/>
              <w:left w:val="nil"/>
              <w:bottom w:val="nil"/>
              <w:right w:val="nil"/>
            </w:tcBorders>
            <w:noWrap/>
            <w:vAlign w:val="center"/>
            <w:hideMark/>
          </w:tcPr>
          <w:p w14:paraId="0EB54AA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5BFDE31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1c</w:t>
            </w:r>
          </w:p>
        </w:tc>
        <w:tc>
          <w:tcPr>
            <w:tcW w:w="585" w:type="pct"/>
            <w:tcBorders>
              <w:top w:val="nil"/>
              <w:left w:val="nil"/>
              <w:bottom w:val="nil"/>
              <w:right w:val="nil"/>
            </w:tcBorders>
            <w:noWrap/>
            <w:vAlign w:val="center"/>
            <w:hideMark/>
          </w:tcPr>
          <w:p w14:paraId="35FE2EA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73502D6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5E9E05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357</w:t>
            </w:r>
          </w:p>
        </w:tc>
        <w:tc>
          <w:tcPr>
            <w:tcW w:w="196" w:type="pct"/>
            <w:tcBorders>
              <w:top w:val="nil"/>
              <w:left w:val="nil"/>
              <w:bottom w:val="nil"/>
              <w:right w:val="nil"/>
            </w:tcBorders>
            <w:noWrap/>
            <w:vAlign w:val="center"/>
            <w:hideMark/>
          </w:tcPr>
          <w:p w14:paraId="58505E6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0.05</w:t>
            </w:r>
          </w:p>
        </w:tc>
        <w:tc>
          <w:tcPr>
            <w:tcW w:w="199" w:type="pct"/>
            <w:tcBorders>
              <w:top w:val="nil"/>
              <w:left w:val="nil"/>
              <w:bottom w:val="nil"/>
              <w:right w:val="nil"/>
            </w:tcBorders>
            <w:noWrap/>
            <w:vAlign w:val="center"/>
            <w:hideMark/>
          </w:tcPr>
          <w:p w14:paraId="1E430F8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12</w:t>
            </w:r>
          </w:p>
        </w:tc>
        <w:tc>
          <w:tcPr>
            <w:tcW w:w="218" w:type="pct"/>
            <w:tcBorders>
              <w:top w:val="nil"/>
              <w:left w:val="nil"/>
              <w:bottom w:val="nil"/>
              <w:right w:val="nil"/>
            </w:tcBorders>
            <w:noWrap/>
            <w:vAlign w:val="center"/>
            <w:hideMark/>
          </w:tcPr>
          <w:p w14:paraId="0DB7940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56B665D2" w14:textId="067C290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2E6D199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A7C33D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Stroop</w:t>
            </w:r>
          </w:p>
        </w:tc>
        <w:tc>
          <w:tcPr>
            <w:tcW w:w="244" w:type="pct"/>
            <w:tcBorders>
              <w:top w:val="nil"/>
              <w:left w:val="nil"/>
              <w:bottom w:val="nil"/>
              <w:right w:val="nil"/>
            </w:tcBorders>
            <w:noWrap/>
            <w:vAlign w:val="center"/>
            <w:hideMark/>
          </w:tcPr>
          <w:p w14:paraId="79DE75F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661101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4B2865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FD87E7D" w14:textId="643F350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F7954CE" w14:textId="67E249E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BB00480" w14:textId="77777777" w:rsidTr="22DB2182">
        <w:trPr>
          <w:trHeight w:val="20"/>
        </w:trPr>
        <w:tc>
          <w:tcPr>
            <w:tcW w:w="456" w:type="pct"/>
            <w:tcBorders>
              <w:top w:val="nil"/>
              <w:left w:val="nil"/>
              <w:bottom w:val="nil"/>
              <w:right w:val="nil"/>
            </w:tcBorders>
            <w:noWrap/>
            <w:vAlign w:val="center"/>
            <w:hideMark/>
          </w:tcPr>
          <w:p w14:paraId="3D93DF8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6CF3126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1d</w:t>
            </w:r>
          </w:p>
        </w:tc>
        <w:tc>
          <w:tcPr>
            <w:tcW w:w="585" w:type="pct"/>
            <w:tcBorders>
              <w:top w:val="nil"/>
              <w:left w:val="nil"/>
              <w:bottom w:val="nil"/>
              <w:right w:val="nil"/>
            </w:tcBorders>
            <w:noWrap/>
            <w:vAlign w:val="center"/>
            <w:hideMark/>
          </w:tcPr>
          <w:p w14:paraId="4416343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22DDF56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381B441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341</w:t>
            </w:r>
          </w:p>
        </w:tc>
        <w:tc>
          <w:tcPr>
            <w:tcW w:w="196" w:type="pct"/>
            <w:tcBorders>
              <w:top w:val="nil"/>
              <w:left w:val="nil"/>
              <w:bottom w:val="nil"/>
              <w:right w:val="nil"/>
            </w:tcBorders>
            <w:noWrap/>
            <w:vAlign w:val="center"/>
            <w:hideMark/>
          </w:tcPr>
          <w:p w14:paraId="090FBC2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0.16</w:t>
            </w:r>
          </w:p>
        </w:tc>
        <w:tc>
          <w:tcPr>
            <w:tcW w:w="199" w:type="pct"/>
            <w:tcBorders>
              <w:top w:val="nil"/>
              <w:left w:val="nil"/>
              <w:bottom w:val="nil"/>
              <w:right w:val="nil"/>
            </w:tcBorders>
            <w:noWrap/>
            <w:vAlign w:val="center"/>
            <w:hideMark/>
          </w:tcPr>
          <w:p w14:paraId="3BB2454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21</w:t>
            </w:r>
          </w:p>
        </w:tc>
        <w:tc>
          <w:tcPr>
            <w:tcW w:w="218" w:type="pct"/>
            <w:tcBorders>
              <w:top w:val="nil"/>
              <w:left w:val="nil"/>
              <w:bottom w:val="nil"/>
              <w:right w:val="nil"/>
            </w:tcBorders>
            <w:noWrap/>
            <w:vAlign w:val="center"/>
            <w:hideMark/>
          </w:tcPr>
          <w:p w14:paraId="4118096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522DD47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207" w:type="pct"/>
            <w:tcBorders>
              <w:top w:val="nil"/>
              <w:left w:val="nil"/>
              <w:bottom w:val="nil"/>
              <w:right w:val="nil"/>
            </w:tcBorders>
            <w:noWrap/>
            <w:vAlign w:val="center"/>
            <w:hideMark/>
          </w:tcPr>
          <w:p w14:paraId="433CB27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0A978C4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SART</w:t>
            </w:r>
          </w:p>
        </w:tc>
        <w:tc>
          <w:tcPr>
            <w:tcW w:w="244" w:type="pct"/>
            <w:tcBorders>
              <w:top w:val="nil"/>
              <w:left w:val="nil"/>
              <w:bottom w:val="nil"/>
              <w:right w:val="nil"/>
            </w:tcBorders>
            <w:noWrap/>
            <w:vAlign w:val="center"/>
            <w:hideMark/>
          </w:tcPr>
          <w:p w14:paraId="72EC20E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7B6495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5728037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518DD6B" w14:textId="6F3AD0A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5F323C5" w14:textId="3E63826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34B1212" w14:textId="77777777" w:rsidTr="22DB2182">
        <w:trPr>
          <w:trHeight w:val="20"/>
        </w:trPr>
        <w:tc>
          <w:tcPr>
            <w:tcW w:w="456" w:type="pct"/>
            <w:tcBorders>
              <w:top w:val="nil"/>
              <w:left w:val="nil"/>
              <w:bottom w:val="nil"/>
              <w:right w:val="nil"/>
            </w:tcBorders>
            <w:noWrap/>
            <w:vAlign w:val="center"/>
            <w:hideMark/>
          </w:tcPr>
          <w:p w14:paraId="1AA9645D" w14:textId="6F767B5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Unsworth,</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{"citationID":"a219p289v17","properties":{"unsorted":false,"formattedCitation":"(2021)","plainCitation":"(2021)","noteIndex":0},"citationItems":[{"id":5992,"uris":["http://zotero.org/users/8613739/items/CYYBMPV7"],"itemData":{"id":5992,"type":"article-journal","abstract":"The relation between working memory capacity (WMC) and baseline pupil diameter was examined. Participants ( N = 341) performed several WMC tasks and baseline pupil diameter was measured in a dark room with a black background screen. The results indicated a weak and non-significant correlation between WMC and baseline pupil diameter consistent with some prior research. A meta-analysis of available studies ( k = 26; N = 4356) similarly indicated a weak and non-significant correlation between WMC and baseline pupil diameter. Moderator analyses indicated that the primary moderator responsible for heterogeneity across studies was where the study was conducted. Studies from one laboratory tend to demonstrate a significant positive correlation, whereas other laboratories have yet to demonstrate the correlation. Broadly, the results suggest that the correlation between WMC and baseline pupil diameter is weak and not particularly robust.","citation-key":"cdi_springer_journals_10_3758_s13423_020_01817_5","container-title":"Psychonomic bulletin &amp; review","ISSN":"1069-9384","issue":"1","language":"eng","note":"tex.copyright: The Psychonomic Society, Inc. 2020\ncitation-key: cdi_springer_journals_10_3758_s13423_020_01817_5","page":"228-237","publisher":"Springer US","publisher-place":"New York","title":"Is working memory capacity related to baseline pupil diameter?","volume":"28","author":[{"family":"Unsworth","given":"Nash"},{"family":"Miller","given":"Ashley L."},{"family":"Robison","given":"Matthew K."}],"issued":{"date-parts":[["2021",2,1]]}},"suppress-author":true}],"schema":"https://github.com/citation-style-language/schema/raw/master/csl-citation.json"}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(2021)</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6F7C10A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05980B2D" w14:textId="0A8EFE2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34F1607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2B0F7C8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169</w:t>
            </w:r>
          </w:p>
        </w:tc>
        <w:tc>
          <w:tcPr>
            <w:tcW w:w="196" w:type="pct"/>
            <w:tcBorders>
              <w:top w:val="nil"/>
              <w:left w:val="nil"/>
              <w:bottom w:val="nil"/>
              <w:right w:val="nil"/>
            </w:tcBorders>
            <w:noWrap/>
            <w:vAlign w:val="center"/>
            <w:hideMark/>
          </w:tcPr>
          <w:p w14:paraId="0C28BD6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w:t>
            </w:r>
          </w:p>
        </w:tc>
        <w:tc>
          <w:tcPr>
            <w:tcW w:w="199" w:type="pct"/>
            <w:tcBorders>
              <w:top w:val="nil"/>
              <w:left w:val="nil"/>
              <w:bottom w:val="nil"/>
              <w:right w:val="nil"/>
            </w:tcBorders>
            <w:noWrap/>
            <w:vAlign w:val="center"/>
            <w:hideMark/>
          </w:tcPr>
          <w:p w14:paraId="11F5FB8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218" w:type="pct"/>
            <w:tcBorders>
              <w:top w:val="nil"/>
              <w:left w:val="nil"/>
              <w:bottom w:val="nil"/>
              <w:right w:val="nil"/>
            </w:tcBorders>
            <w:noWrap/>
            <w:vAlign w:val="center"/>
            <w:hideMark/>
          </w:tcPr>
          <w:p w14:paraId="24BEE98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4B1162B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0.5</w:t>
            </w:r>
          </w:p>
        </w:tc>
        <w:tc>
          <w:tcPr>
            <w:tcW w:w="207" w:type="pct"/>
            <w:tcBorders>
              <w:top w:val="nil"/>
              <w:left w:val="nil"/>
              <w:bottom w:val="nil"/>
              <w:right w:val="nil"/>
            </w:tcBorders>
            <w:noWrap/>
            <w:vAlign w:val="center"/>
            <w:hideMark/>
          </w:tcPr>
          <w:p w14:paraId="7505DB2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rest</w:t>
            </w:r>
            <w:proofErr w:type="spellEnd"/>
            <w:proofErr w:type="gramEnd"/>
          </w:p>
        </w:tc>
        <w:tc>
          <w:tcPr>
            <w:tcW w:w="430" w:type="pct"/>
            <w:tcBorders>
              <w:top w:val="nil"/>
              <w:left w:val="nil"/>
              <w:bottom w:val="nil"/>
              <w:right w:val="nil"/>
            </w:tcBorders>
            <w:noWrap/>
            <w:vAlign w:val="center"/>
            <w:hideMark/>
          </w:tcPr>
          <w:p w14:paraId="7CB64A7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Rest</w:t>
            </w:r>
            <w:proofErr w:type="spellEnd"/>
          </w:p>
        </w:tc>
        <w:tc>
          <w:tcPr>
            <w:tcW w:w="244" w:type="pct"/>
            <w:tcBorders>
              <w:top w:val="nil"/>
              <w:left w:val="nil"/>
              <w:bottom w:val="nil"/>
              <w:right w:val="nil"/>
            </w:tcBorders>
            <w:noWrap/>
            <w:vAlign w:val="center"/>
            <w:hideMark/>
          </w:tcPr>
          <w:p w14:paraId="78541158" w14:textId="2AB8788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4C2A53E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EE0C2C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F9CC5D9" w14:textId="01F5B26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C5EFE36" w14:textId="49C9286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5EA32B5" w14:textId="77777777" w:rsidTr="22DB2182">
        <w:trPr>
          <w:trHeight w:val="20"/>
        </w:trPr>
        <w:tc>
          <w:tcPr>
            <w:tcW w:w="456" w:type="pct"/>
            <w:tcBorders>
              <w:top w:val="nil"/>
              <w:left w:val="nil"/>
              <w:bottom w:val="nil"/>
              <w:right w:val="nil"/>
            </w:tcBorders>
            <w:noWrap/>
            <w:vAlign w:val="center"/>
            <w:hideMark/>
          </w:tcPr>
          <w:p w14:paraId="7200F5B5" w14:textId="04A1BB49" w:rsidR="0065213A" w:rsidRPr="009B1684"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Unsworth,</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{"citationID":"a1a39djv15i","properties":{"unsorted":false,"formattedCitation":"(2022)","plainCitation":"(2022)","noteIndex":0},"citationItems":[{"id":5908,"uris":["http://zotero.org/users/8613739/items/N7SHYSGN"],"itemData":{"id":5908,"type":"article-journal","abstract":"The current study examined whether effort mobilization would enhance sustained attention and reduce lapses of attention. Participants performed a sustained attention task and were randomly assigned to either an effort condition where they were instructed to “Try Hard” on a subset of trials or were assigned to a control condition with no “Try Hard” instructions. Pupillary responses were continuously recorded, and periodically during the task participants were presented with thought probes to determine whether they were on or off task. The results suggested within the effort condition there were no behavioral differences between Try Hard and “Standard” trials. Preparatory pupil responses were increased in Try Hard trials, but there were no differences for phasic pupillary responses to stimulus onset. In contrast, examining differences between the effort and control conditions suggested that participants who received the Try Hard instructions demonstrated faster overall performance, a reduction in very long reaction times, and reported fewer off-task thoughts compared with participants in the control condition. Participants in the effort condition also demonstrated a larger ramp-up in pupillary responses during the preparatory interval and a larger phasic response to stimulus onset compared with participants in the control condition. These results are consistent with attention allocation models suggesting that participants in the effort condition mobilized more attentional effort than participants in the control condition, resulting in enhanced sustained attention and a reduction in lapses of attention. These results also are consistent with recent theories, which suggest that the locus coeruleus norepinephrine system is associated with effort mobilization.","citation-key":"unsworthEffortMobilizationLapses2022","container-title":"Cognitive, affective, &amp; behavioral neuroscience","ISSN":"1530-7026","issue":"1","language":"eng","note":"tex.copyright: The Psychonomic Society, Inc. 2021","page":"42-56","publisher":"Springer US","publisher-place":"New York","title":"Effort mobilization and lapses of sustained attention","volume":"22","author":[{"family":"Unsworth","given":"Nash"},{"family":"Miller","given":"Ashley L."},{"family":"Aghel","given":"Shadee"}],"issued":{"date-parts":[["2022",2]]}},"suppress-author":true}],"schema":"https://github.com/citation-style-language/schema/raw/master/csl-citation.json"}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(2022)</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29DF114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6DA77AC8" w14:textId="4520BAB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D1E334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1AA1345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82</w:t>
            </w:r>
          </w:p>
        </w:tc>
        <w:tc>
          <w:tcPr>
            <w:tcW w:w="196" w:type="pct"/>
            <w:tcBorders>
              <w:top w:val="nil"/>
              <w:left w:val="nil"/>
              <w:bottom w:val="nil"/>
              <w:right w:val="nil"/>
            </w:tcBorders>
            <w:noWrap/>
            <w:vAlign w:val="center"/>
            <w:hideMark/>
          </w:tcPr>
          <w:p w14:paraId="3561740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w:t>
            </w:r>
          </w:p>
        </w:tc>
        <w:tc>
          <w:tcPr>
            <w:tcW w:w="199" w:type="pct"/>
            <w:tcBorders>
              <w:top w:val="nil"/>
              <w:left w:val="nil"/>
              <w:bottom w:val="nil"/>
              <w:right w:val="nil"/>
            </w:tcBorders>
            <w:noWrap/>
            <w:vAlign w:val="center"/>
            <w:hideMark/>
          </w:tcPr>
          <w:p w14:paraId="76ADE20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218" w:type="pct"/>
            <w:tcBorders>
              <w:top w:val="nil"/>
              <w:left w:val="nil"/>
              <w:bottom w:val="nil"/>
              <w:right w:val="nil"/>
            </w:tcBorders>
            <w:noWrap/>
            <w:vAlign w:val="center"/>
            <w:hideMark/>
          </w:tcPr>
          <w:p w14:paraId="07C4EF1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29147F2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125EA71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43C6EA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2D6EB67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0B5AE85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9904E2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70126A35" w14:textId="13A8A6A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0D8156C3" w14:textId="480EEF4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A6239D2" w14:textId="77777777" w:rsidTr="22DB2182">
        <w:trPr>
          <w:trHeight w:val="20"/>
        </w:trPr>
        <w:tc>
          <w:tcPr>
            <w:tcW w:w="456" w:type="pct"/>
            <w:tcBorders>
              <w:top w:val="nil"/>
              <w:left w:val="nil"/>
              <w:bottom w:val="nil"/>
              <w:right w:val="nil"/>
            </w:tcBorders>
            <w:noWrap/>
            <w:vAlign w:val="center"/>
            <w:hideMark/>
          </w:tcPr>
          <w:p w14:paraId="74A8289C" w14:textId="7F99CA2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Unsworth,</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ph820rfks","properties":{"unsorted":false,"formattedCitation":"(2024)","plainCitation":"(2024)","noteIndex":0},"citationItems":[{"id":5987,"uris":["http://zotero.org/users/8613739/items/XX3DJ7YN"],"itemData":{"id":5987,"type":"article-journal","abstract":"Relations between conative factors (task-specific motivation, attention self-efficacy, and self-set goals) and individual differences in attention control (AC) performance were investigated in two latent variable studies. Participants performed AC tasks along with measures of working memory and processing speed. During the AC tasks, participants self-reported their motivation, self-efficacy, and self-set goals for the tasks. Task-unrelated thoughts were also assessed. Confirmatory factor analyses demonstrated that latent factors for the constructs could be formed and the conative factors were each related to the AC factor. Structural equation modeling further suggested that the conative factors tended to account for unique variance in attention, even after accounting for shared variance with working memory and processing speed. These results provide evidence that conative factors are important for individual differences in AC and further suggest that multiple factors likely contribute to variation in performance on AC tasks.","citation-key":"unsworthImportanceConativeFactors2024","container-title":"Journal of experimental psychology. Learning, memory, and cognition","ISSN":"0278-7393","issue":"9","language":"eng","note":"tex.copyright: 2024 American Psychological Association","page":"1361-1384","publisher":"American Psychological Association","publisher-place":"United States","title":"The importance of conative factors for individual differences in attention control","volume":"50","author":[{"family":"Unsworth","given":"Nash"},{"family":"Miller","given":"Ashley L."}],"issued":{"date-parts":[["2024",9,1]]}},"suppress-author":true}],"schema":"https://github.com/citation-style-language/schema/raw/master/csl-citation.json"}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(2024)</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722AE73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72F56DF7" w14:textId="7FFF162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C888B1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2D4D2D5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175</w:t>
            </w:r>
          </w:p>
        </w:tc>
        <w:tc>
          <w:tcPr>
            <w:tcW w:w="196" w:type="pct"/>
            <w:tcBorders>
              <w:top w:val="nil"/>
              <w:left w:val="nil"/>
              <w:bottom w:val="nil"/>
              <w:right w:val="nil"/>
            </w:tcBorders>
            <w:noWrap/>
            <w:vAlign w:val="center"/>
            <w:hideMark/>
          </w:tcPr>
          <w:p w14:paraId="04D1A56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0.14</w:t>
            </w:r>
          </w:p>
        </w:tc>
        <w:tc>
          <w:tcPr>
            <w:tcW w:w="199" w:type="pct"/>
            <w:tcBorders>
              <w:top w:val="nil"/>
              <w:left w:val="nil"/>
              <w:bottom w:val="nil"/>
              <w:right w:val="nil"/>
            </w:tcBorders>
            <w:noWrap/>
            <w:vAlign w:val="center"/>
            <w:hideMark/>
          </w:tcPr>
          <w:p w14:paraId="79C3DDE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11</w:t>
            </w:r>
          </w:p>
        </w:tc>
        <w:tc>
          <w:tcPr>
            <w:tcW w:w="218" w:type="pct"/>
            <w:tcBorders>
              <w:top w:val="nil"/>
              <w:left w:val="nil"/>
              <w:bottom w:val="nil"/>
              <w:right w:val="nil"/>
            </w:tcBorders>
            <w:noWrap/>
            <w:vAlign w:val="center"/>
            <w:hideMark/>
          </w:tcPr>
          <w:p w14:paraId="6A24AD3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1C15660E" w14:textId="7801539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7BF8E97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7219E40" w14:textId="65F1CE01"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proofErr w:type="spellStart"/>
            <w:r w:rsidRPr="22DB2182">
              <w:rPr>
                <w:rFonts w:ascii="Times New Roman" w:eastAsia="Times New Roman" w:hAnsi="Times New Roman" w:cs="Times New Roman"/>
                <w:color w:val="000000" w:themeColor="text1"/>
                <w:sz w:val="8"/>
                <w:szCs w:val="8"/>
                <w:lang w:eastAsia="en-US"/>
              </w:rPr>
              <w:t>Antisaccade</w:t>
            </w:r>
            <w:proofErr w:type="spellEnd"/>
          </w:p>
        </w:tc>
        <w:tc>
          <w:tcPr>
            <w:tcW w:w="244" w:type="pct"/>
            <w:tcBorders>
              <w:top w:val="nil"/>
              <w:left w:val="nil"/>
              <w:bottom w:val="nil"/>
              <w:right w:val="nil"/>
            </w:tcBorders>
            <w:noWrap/>
            <w:vAlign w:val="center"/>
            <w:hideMark/>
          </w:tcPr>
          <w:p w14:paraId="7FC0C84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21CF38A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5BC829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BEA5EE7" w14:textId="0878F51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9479669" w14:textId="235EA54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FCF0EBD" w14:textId="77777777" w:rsidTr="22DB2182">
        <w:trPr>
          <w:trHeight w:val="20"/>
        </w:trPr>
        <w:tc>
          <w:tcPr>
            <w:tcW w:w="456" w:type="pct"/>
            <w:tcBorders>
              <w:top w:val="nil"/>
              <w:left w:val="nil"/>
              <w:bottom w:val="nil"/>
              <w:right w:val="nil"/>
            </w:tcBorders>
            <w:noWrap/>
            <w:vAlign w:val="center"/>
            <w:hideMark/>
          </w:tcPr>
          <w:p w14:paraId="35511AE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03822C8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33F2B5E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139DCC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23D7810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175</w:t>
            </w:r>
          </w:p>
        </w:tc>
        <w:tc>
          <w:tcPr>
            <w:tcW w:w="196" w:type="pct"/>
            <w:tcBorders>
              <w:top w:val="nil"/>
              <w:left w:val="nil"/>
              <w:bottom w:val="nil"/>
              <w:right w:val="nil"/>
            </w:tcBorders>
            <w:noWrap/>
            <w:vAlign w:val="center"/>
            <w:hideMark/>
          </w:tcPr>
          <w:p w14:paraId="1D7EC9D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0.12</w:t>
            </w:r>
          </w:p>
        </w:tc>
        <w:tc>
          <w:tcPr>
            <w:tcW w:w="199" w:type="pct"/>
            <w:tcBorders>
              <w:top w:val="nil"/>
              <w:left w:val="nil"/>
              <w:bottom w:val="nil"/>
              <w:right w:val="nil"/>
            </w:tcBorders>
            <w:noWrap/>
            <w:vAlign w:val="center"/>
            <w:hideMark/>
          </w:tcPr>
          <w:p w14:paraId="2412BEC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12</w:t>
            </w:r>
          </w:p>
        </w:tc>
        <w:tc>
          <w:tcPr>
            <w:tcW w:w="218" w:type="pct"/>
            <w:tcBorders>
              <w:top w:val="nil"/>
              <w:left w:val="nil"/>
              <w:bottom w:val="nil"/>
              <w:right w:val="nil"/>
            </w:tcBorders>
            <w:noWrap/>
            <w:vAlign w:val="center"/>
            <w:hideMark/>
          </w:tcPr>
          <w:p w14:paraId="7E2C81F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0C82910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w:t>
            </w:r>
          </w:p>
        </w:tc>
        <w:tc>
          <w:tcPr>
            <w:tcW w:w="207" w:type="pct"/>
            <w:tcBorders>
              <w:top w:val="nil"/>
              <w:left w:val="nil"/>
              <w:bottom w:val="nil"/>
              <w:right w:val="nil"/>
            </w:tcBorders>
            <w:noWrap/>
            <w:vAlign w:val="center"/>
            <w:hideMark/>
          </w:tcPr>
          <w:p w14:paraId="08025C8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DA4C6F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Flanker</w:t>
            </w:r>
            <w:proofErr w:type="spellEnd"/>
          </w:p>
        </w:tc>
        <w:tc>
          <w:tcPr>
            <w:tcW w:w="244" w:type="pct"/>
            <w:tcBorders>
              <w:top w:val="nil"/>
              <w:left w:val="nil"/>
              <w:bottom w:val="nil"/>
              <w:right w:val="nil"/>
            </w:tcBorders>
            <w:noWrap/>
            <w:vAlign w:val="center"/>
            <w:hideMark/>
          </w:tcPr>
          <w:p w14:paraId="1570D6D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24EF581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D133D9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62F0F38" w14:textId="00F78AA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6679BC1" w14:textId="338F1E2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6CFB610" w14:textId="77777777" w:rsidTr="22DB2182">
        <w:trPr>
          <w:trHeight w:val="20"/>
        </w:trPr>
        <w:tc>
          <w:tcPr>
            <w:tcW w:w="456" w:type="pct"/>
            <w:tcBorders>
              <w:top w:val="nil"/>
              <w:left w:val="nil"/>
              <w:bottom w:val="nil"/>
              <w:right w:val="nil"/>
            </w:tcBorders>
            <w:noWrap/>
            <w:vAlign w:val="center"/>
            <w:hideMark/>
          </w:tcPr>
          <w:p w14:paraId="1575110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471BCF8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2a</w:t>
            </w:r>
          </w:p>
        </w:tc>
        <w:tc>
          <w:tcPr>
            <w:tcW w:w="585" w:type="pct"/>
            <w:tcBorders>
              <w:top w:val="nil"/>
              <w:left w:val="nil"/>
              <w:bottom w:val="nil"/>
              <w:right w:val="nil"/>
            </w:tcBorders>
            <w:noWrap/>
            <w:vAlign w:val="center"/>
            <w:hideMark/>
          </w:tcPr>
          <w:p w14:paraId="10F5438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2C2CC24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4C25D9A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320</w:t>
            </w:r>
          </w:p>
        </w:tc>
        <w:tc>
          <w:tcPr>
            <w:tcW w:w="196" w:type="pct"/>
            <w:tcBorders>
              <w:top w:val="nil"/>
              <w:left w:val="nil"/>
              <w:bottom w:val="nil"/>
              <w:right w:val="nil"/>
            </w:tcBorders>
            <w:noWrap/>
            <w:vAlign w:val="center"/>
            <w:hideMark/>
          </w:tcPr>
          <w:p w14:paraId="631C074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0.12</w:t>
            </w:r>
          </w:p>
        </w:tc>
        <w:tc>
          <w:tcPr>
            <w:tcW w:w="199" w:type="pct"/>
            <w:tcBorders>
              <w:top w:val="nil"/>
              <w:left w:val="nil"/>
              <w:bottom w:val="nil"/>
              <w:right w:val="nil"/>
            </w:tcBorders>
            <w:noWrap/>
            <w:vAlign w:val="center"/>
            <w:hideMark/>
          </w:tcPr>
          <w:p w14:paraId="454F20C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11</w:t>
            </w:r>
          </w:p>
        </w:tc>
        <w:tc>
          <w:tcPr>
            <w:tcW w:w="218" w:type="pct"/>
            <w:tcBorders>
              <w:top w:val="nil"/>
              <w:left w:val="nil"/>
              <w:bottom w:val="nil"/>
              <w:right w:val="nil"/>
            </w:tcBorders>
            <w:noWrap/>
            <w:vAlign w:val="center"/>
            <w:hideMark/>
          </w:tcPr>
          <w:p w14:paraId="07AA50A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2BE5245C" w14:textId="1484B72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10B0A36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63799948" w14:textId="42742C1A"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eastAsia="en-US"/>
              </w:rPr>
            </w:pPr>
            <w:proofErr w:type="spellStart"/>
            <w:r w:rsidRPr="22DB2182">
              <w:rPr>
                <w:rFonts w:ascii="Times New Roman" w:eastAsia="Times New Roman" w:hAnsi="Times New Roman" w:cs="Times New Roman"/>
                <w:color w:val="000000" w:themeColor="text1"/>
                <w:sz w:val="8"/>
                <w:szCs w:val="8"/>
                <w:lang w:eastAsia="en-US"/>
              </w:rPr>
              <w:t>Antisaccade</w:t>
            </w:r>
            <w:proofErr w:type="spellEnd"/>
          </w:p>
        </w:tc>
        <w:tc>
          <w:tcPr>
            <w:tcW w:w="244" w:type="pct"/>
            <w:tcBorders>
              <w:top w:val="nil"/>
              <w:left w:val="nil"/>
              <w:bottom w:val="nil"/>
              <w:right w:val="nil"/>
            </w:tcBorders>
            <w:noWrap/>
            <w:vAlign w:val="center"/>
            <w:hideMark/>
          </w:tcPr>
          <w:p w14:paraId="4AFA4A7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7F07222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FB6F09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38398FFA" w14:textId="7DCCAF1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355349A" w14:textId="3066963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77F7F83" w14:textId="77777777" w:rsidTr="22DB2182">
        <w:trPr>
          <w:trHeight w:val="20"/>
        </w:trPr>
        <w:tc>
          <w:tcPr>
            <w:tcW w:w="456" w:type="pct"/>
            <w:tcBorders>
              <w:top w:val="nil"/>
              <w:left w:val="nil"/>
              <w:bottom w:val="nil"/>
              <w:right w:val="nil"/>
            </w:tcBorders>
            <w:noWrap/>
            <w:vAlign w:val="center"/>
            <w:hideMark/>
          </w:tcPr>
          <w:p w14:paraId="29884D8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6D139D2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2b</w:t>
            </w:r>
          </w:p>
        </w:tc>
        <w:tc>
          <w:tcPr>
            <w:tcW w:w="585" w:type="pct"/>
            <w:tcBorders>
              <w:top w:val="nil"/>
              <w:left w:val="nil"/>
              <w:bottom w:val="nil"/>
              <w:right w:val="nil"/>
            </w:tcBorders>
            <w:noWrap/>
            <w:vAlign w:val="center"/>
            <w:hideMark/>
          </w:tcPr>
          <w:p w14:paraId="2480718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6E8F2C6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05A7D47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320</w:t>
            </w:r>
          </w:p>
        </w:tc>
        <w:tc>
          <w:tcPr>
            <w:tcW w:w="196" w:type="pct"/>
            <w:tcBorders>
              <w:top w:val="nil"/>
              <w:left w:val="nil"/>
              <w:bottom w:val="nil"/>
              <w:right w:val="nil"/>
            </w:tcBorders>
            <w:noWrap/>
            <w:vAlign w:val="center"/>
            <w:hideMark/>
          </w:tcPr>
          <w:p w14:paraId="128DEFA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w:t>
            </w:r>
          </w:p>
        </w:tc>
        <w:tc>
          <w:tcPr>
            <w:tcW w:w="199" w:type="pct"/>
            <w:tcBorders>
              <w:top w:val="nil"/>
              <w:left w:val="nil"/>
              <w:bottom w:val="nil"/>
              <w:right w:val="nil"/>
            </w:tcBorders>
            <w:noWrap/>
            <w:vAlign w:val="center"/>
            <w:hideMark/>
          </w:tcPr>
          <w:p w14:paraId="6A2FDC7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12</w:t>
            </w:r>
          </w:p>
        </w:tc>
        <w:tc>
          <w:tcPr>
            <w:tcW w:w="218" w:type="pct"/>
            <w:tcBorders>
              <w:top w:val="nil"/>
              <w:left w:val="nil"/>
              <w:bottom w:val="nil"/>
              <w:right w:val="nil"/>
            </w:tcBorders>
            <w:noWrap/>
            <w:vAlign w:val="center"/>
            <w:hideMark/>
          </w:tcPr>
          <w:p w14:paraId="492AAD2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0541BA2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w:t>
            </w:r>
          </w:p>
        </w:tc>
        <w:tc>
          <w:tcPr>
            <w:tcW w:w="207" w:type="pct"/>
            <w:tcBorders>
              <w:top w:val="nil"/>
              <w:left w:val="nil"/>
              <w:bottom w:val="nil"/>
              <w:right w:val="nil"/>
            </w:tcBorders>
            <w:noWrap/>
            <w:vAlign w:val="center"/>
            <w:hideMark/>
          </w:tcPr>
          <w:p w14:paraId="458EAC0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0D6B58A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Flanker</w:t>
            </w:r>
            <w:proofErr w:type="spellEnd"/>
          </w:p>
        </w:tc>
        <w:tc>
          <w:tcPr>
            <w:tcW w:w="244" w:type="pct"/>
            <w:tcBorders>
              <w:top w:val="nil"/>
              <w:left w:val="nil"/>
              <w:bottom w:val="nil"/>
              <w:right w:val="nil"/>
            </w:tcBorders>
            <w:noWrap/>
            <w:vAlign w:val="center"/>
            <w:hideMark/>
          </w:tcPr>
          <w:p w14:paraId="6A35922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2435C46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DBD820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2A315C99" w14:textId="6A9EB70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42BA1334" w14:textId="65E0F7C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F1A5E8E" w14:textId="77777777" w:rsidTr="22DB2182">
        <w:trPr>
          <w:trHeight w:val="20"/>
        </w:trPr>
        <w:tc>
          <w:tcPr>
            <w:tcW w:w="456" w:type="pct"/>
            <w:tcBorders>
              <w:top w:val="nil"/>
              <w:left w:val="nil"/>
              <w:bottom w:val="nil"/>
              <w:right w:val="nil"/>
            </w:tcBorders>
            <w:noWrap/>
            <w:vAlign w:val="center"/>
            <w:hideMark/>
          </w:tcPr>
          <w:p w14:paraId="714BCBAF" w14:textId="6EEE5DB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Unsworth,</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{"citationID":"a26eu47tm48","properties":{"unsorted":false,"formattedCitation":"(2025)","plainCitation":"(2025)","noteIndex":0},"citationItems":[{"id":5582,"uris":["http://zotero.org/users/8613739/items/9QETPVGX"],"itemData":{"id":5582,"type":"article-journal","abstract":"Three experiments examined if deep processing would aid in reducing off-task thoughts during learning. In each experiment, participants learned words or pairs of words under deep or shallow conditions. During learning, participants were periodically presented with thought-probes to examine if they were experiencing off-task thoughts (mind wandering, external distraction, mind blanking). Levels of processing was manipulated both within (Experiment 1) and between subjects (Experiments 2 and 3) using structural, rhyme, and semantic judgements and testing memory with cued-recall (Experiments 1 and 2) or recognition (Experiment 3). All three experiments demonstrated a levels of processing effect on memory with better performance in deep compared to shallow conditions. Importantly, in all three experiments rates of off-task thinking (and mind wandering more specifically) were the same across conditions and Bayes factors suggested moderate evidence in favour of the null hypothesis. The results suggest that deep processing does not necessarily protect against mind wandering and other lapses of attention.","citation-key":"unsworthDoesDeepProcessing2025","container-title":"Memory","DOI":"10.1080/09658211.2024.2413162","ISSN":"0965-8211","issue":"2","note":"_eprint: https://doi.org/10.1080/09658211.2024.2413162","page":"157-165","PMID":"39442004","publisher":"Routledge","source":"Taylor and Francis+NEJM","title":"Does deep processing protect against mind wandering and other lapses of attention during learning?","volume":"33","author":[{"family":"Unsworth","given":"Nash"},{"family":"Miller","given":"Ashley L."},{"family":"Strayer","given":"Deanna L."}],"issued":{"date-parts":[["2025",2,7]]}},"suppress-author":true}],"schema":"https://github.com/citation-style-language/schema/raw/master/csl-citation.json"}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03D1E59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2661DD26" w14:textId="028DDAB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36DC7F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759DC57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333333"/>
                <w:sz w:val="8"/>
                <w:szCs w:val="8"/>
              </w:rPr>
            </w:pPr>
            <w:r w:rsidRPr="0065213A">
              <w:rPr>
                <w:rFonts w:ascii="Times New Roman" w:eastAsia="Times New Roman" w:hAnsi="Times New Roman" w:cs="Times New Roman"/>
                <w:color w:val="333333"/>
                <w:sz w:val="8"/>
                <w:szCs w:val="8"/>
              </w:rPr>
              <w:t>45</w:t>
            </w:r>
          </w:p>
        </w:tc>
        <w:tc>
          <w:tcPr>
            <w:tcW w:w="196" w:type="pct"/>
            <w:tcBorders>
              <w:top w:val="nil"/>
              <w:left w:val="nil"/>
              <w:bottom w:val="nil"/>
              <w:right w:val="nil"/>
            </w:tcBorders>
            <w:noWrap/>
            <w:vAlign w:val="center"/>
            <w:hideMark/>
          </w:tcPr>
          <w:p w14:paraId="40AD6BE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0.07</w:t>
            </w:r>
          </w:p>
        </w:tc>
        <w:tc>
          <w:tcPr>
            <w:tcW w:w="199" w:type="pct"/>
            <w:tcBorders>
              <w:top w:val="nil"/>
              <w:left w:val="nil"/>
              <w:bottom w:val="nil"/>
              <w:right w:val="nil"/>
            </w:tcBorders>
            <w:noWrap/>
            <w:vAlign w:val="center"/>
            <w:hideMark/>
          </w:tcPr>
          <w:p w14:paraId="5811588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218" w:type="pct"/>
            <w:tcBorders>
              <w:top w:val="nil"/>
              <w:left w:val="nil"/>
              <w:bottom w:val="nil"/>
              <w:right w:val="nil"/>
            </w:tcBorders>
            <w:noWrap/>
            <w:vAlign w:val="center"/>
            <w:hideMark/>
          </w:tcPr>
          <w:p w14:paraId="2C7F1F0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23D6D29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w:t>
            </w:r>
          </w:p>
        </w:tc>
        <w:tc>
          <w:tcPr>
            <w:tcW w:w="207" w:type="pct"/>
            <w:tcBorders>
              <w:top w:val="nil"/>
              <w:left w:val="nil"/>
              <w:bottom w:val="nil"/>
              <w:right w:val="nil"/>
            </w:tcBorders>
            <w:noWrap/>
            <w:vAlign w:val="center"/>
            <w:hideMark/>
          </w:tcPr>
          <w:p w14:paraId="0359024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08B861F1" w14:textId="1B6B8279"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r w:rsidRPr="22DB2182">
              <w:rPr>
                <w:rFonts w:ascii="Times New Roman" w:eastAsia="Times New Roman" w:hAnsi="Times New Roman" w:cs="Times New Roman"/>
                <w:color w:val="000000" w:themeColor="text1"/>
                <w:sz w:val="8"/>
                <w:szCs w:val="8"/>
                <w:lang w:val="fr-FR" w:eastAsia="en-US"/>
              </w:rPr>
              <w:t xml:space="preserve">Cue </w:t>
            </w:r>
            <w:proofErr w:type="spellStart"/>
            <w:r w:rsidRPr="22DB2182">
              <w:rPr>
                <w:rFonts w:ascii="Times New Roman" w:eastAsia="Times New Roman" w:hAnsi="Times New Roman" w:cs="Times New Roman"/>
                <w:color w:val="000000" w:themeColor="text1"/>
                <w:sz w:val="8"/>
                <w:szCs w:val="8"/>
                <w:lang w:val="fr-FR" w:eastAsia="en-US"/>
              </w:rPr>
              <w:t>Recall</w:t>
            </w:r>
            <w:proofErr w:type="spellEnd"/>
          </w:p>
        </w:tc>
        <w:tc>
          <w:tcPr>
            <w:tcW w:w="244" w:type="pct"/>
            <w:tcBorders>
              <w:top w:val="nil"/>
              <w:left w:val="nil"/>
              <w:bottom w:val="nil"/>
              <w:right w:val="nil"/>
            </w:tcBorders>
            <w:noWrap/>
            <w:vAlign w:val="center"/>
            <w:hideMark/>
          </w:tcPr>
          <w:p w14:paraId="2492045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10BE24E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699A5F7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624D8F94" w14:textId="170C876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48A0CD0" w14:textId="56B2797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D7BA8D4" w14:textId="77777777" w:rsidTr="22DB2182">
        <w:trPr>
          <w:trHeight w:val="20"/>
        </w:trPr>
        <w:tc>
          <w:tcPr>
            <w:tcW w:w="456" w:type="pct"/>
            <w:tcBorders>
              <w:top w:val="nil"/>
              <w:left w:val="nil"/>
              <w:bottom w:val="nil"/>
              <w:right w:val="nil"/>
            </w:tcBorders>
            <w:noWrap/>
            <w:vAlign w:val="center"/>
            <w:hideMark/>
          </w:tcPr>
          <w:p w14:paraId="41AA430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3BD959E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1C5AB2E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E8E4CC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1423D6E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333333"/>
                <w:sz w:val="8"/>
                <w:szCs w:val="8"/>
              </w:rPr>
            </w:pPr>
            <w:r w:rsidRPr="0065213A">
              <w:rPr>
                <w:rFonts w:ascii="Times New Roman" w:eastAsia="Times New Roman" w:hAnsi="Times New Roman" w:cs="Times New Roman"/>
                <w:color w:val="333333"/>
                <w:sz w:val="8"/>
                <w:szCs w:val="8"/>
              </w:rPr>
              <w:t>45</w:t>
            </w:r>
          </w:p>
        </w:tc>
        <w:tc>
          <w:tcPr>
            <w:tcW w:w="196" w:type="pct"/>
            <w:tcBorders>
              <w:top w:val="nil"/>
              <w:left w:val="nil"/>
              <w:bottom w:val="nil"/>
              <w:right w:val="nil"/>
            </w:tcBorders>
            <w:noWrap/>
            <w:vAlign w:val="center"/>
            <w:hideMark/>
          </w:tcPr>
          <w:p w14:paraId="3DF8B56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0.04</w:t>
            </w:r>
          </w:p>
        </w:tc>
        <w:tc>
          <w:tcPr>
            <w:tcW w:w="199" w:type="pct"/>
            <w:tcBorders>
              <w:top w:val="nil"/>
              <w:left w:val="nil"/>
              <w:bottom w:val="nil"/>
              <w:right w:val="nil"/>
            </w:tcBorders>
            <w:noWrap/>
            <w:vAlign w:val="center"/>
            <w:hideMark/>
          </w:tcPr>
          <w:p w14:paraId="095548C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218" w:type="pct"/>
            <w:tcBorders>
              <w:top w:val="nil"/>
              <w:left w:val="nil"/>
              <w:bottom w:val="nil"/>
              <w:right w:val="nil"/>
            </w:tcBorders>
            <w:noWrap/>
            <w:vAlign w:val="center"/>
            <w:hideMark/>
          </w:tcPr>
          <w:p w14:paraId="27D5D1E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50E1B1E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w:t>
            </w:r>
          </w:p>
        </w:tc>
        <w:tc>
          <w:tcPr>
            <w:tcW w:w="207" w:type="pct"/>
            <w:tcBorders>
              <w:top w:val="nil"/>
              <w:left w:val="nil"/>
              <w:bottom w:val="nil"/>
              <w:right w:val="nil"/>
            </w:tcBorders>
            <w:noWrap/>
            <w:vAlign w:val="center"/>
            <w:hideMark/>
          </w:tcPr>
          <w:p w14:paraId="7D72CCD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8298A2F" w14:textId="71E0F27D"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r w:rsidRPr="22DB2182">
              <w:rPr>
                <w:rFonts w:ascii="Times New Roman" w:eastAsia="Times New Roman" w:hAnsi="Times New Roman" w:cs="Times New Roman"/>
                <w:color w:val="000000" w:themeColor="text1"/>
                <w:sz w:val="8"/>
                <w:szCs w:val="8"/>
                <w:lang w:val="fr-FR" w:eastAsia="en-US"/>
              </w:rPr>
              <w:t xml:space="preserve">Cue </w:t>
            </w:r>
            <w:proofErr w:type="spellStart"/>
            <w:r w:rsidRPr="22DB2182">
              <w:rPr>
                <w:rFonts w:ascii="Times New Roman" w:eastAsia="Times New Roman" w:hAnsi="Times New Roman" w:cs="Times New Roman"/>
                <w:color w:val="000000" w:themeColor="text1"/>
                <w:sz w:val="8"/>
                <w:szCs w:val="8"/>
                <w:lang w:val="fr-FR" w:eastAsia="en-US"/>
              </w:rPr>
              <w:t>Recall</w:t>
            </w:r>
            <w:proofErr w:type="spellEnd"/>
          </w:p>
        </w:tc>
        <w:tc>
          <w:tcPr>
            <w:tcW w:w="244" w:type="pct"/>
            <w:tcBorders>
              <w:top w:val="nil"/>
              <w:left w:val="nil"/>
              <w:bottom w:val="nil"/>
              <w:right w:val="nil"/>
            </w:tcBorders>
            <w:noWrap/>
            <w:vAlign w:val="center"/>
            <w:hideMark/>
          </w:tcPr>
          <w:p w14:paraId="2CA6EF8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1B40390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9D8AEB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8B36EE8" w14:textId="17EACA4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6B29E9B" w14:textId="255F164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50551F7" w14:textId="77777777" w:rsidTr="22DB2182">
        <w:trPr>
          <w:trHeight w:val="20"/>
        </w:trPr>
        <w:tc>
          <w:tcPr>
            <w:tcW w:w="456" w:type="pct"/>
            <w:tcBorders>
              <w:top w:val="nil"/>
              <w:left w:val="nil"/>
              <w:bottom w:val="nil"/>
              <w:right w:val="nil"/>
            </w:tcBorders>
            <w:noWrap/>
            <w:vAlign w:val="center"/>
            <w:hideMark/>
          </w:tcPr>
          <w:p w14:paraId="4C08A50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02B0F45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2a</w:t>
            </w:r>
          </w:p>
        </w:tc>
        <w:tc>
          <w:tcPr>
            <w:tcW w:w="585" w:type="pct"/>
            <w:tcBorders>
              <w:top w:val="nil"/>
              <w:left w:val="nil"/>
              <w:bottom w:val="nil"/>
              <w:right w:val="nil"/>
            </w:tcBorders>
            <w:noWrap/>
            <w:vAlign w:val="center"/>
            <w:hideMark/>
          </w:tcPr>
          <w:p w14:paraId="599A507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00D110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0528AA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333333"/>
                <w:sz w:val="8"/>
                <w:szCs w:val="8"/>
              </w:rPr>
            </w:pPr>
            <w:r w:rsidRPr="0065213A">
              <w:rPr>
                <w:rFonts w:ascii="Times New Roman" w:eastAsia="Times New Roman" w:hAnsi="Times New Roman" w:cs="Times New Roman"/>
                <w:color w:val="333333"/>
                <w:sz w:val="8"/>
                <w:szCs w:val="8"/>
              </w:rPr>
              <w:t>65</w:t>
            </w:r>
          </w:p>
        </w:tc>
        <w:tc>
          <w:tcPr>
            <w:tcW w:w="196" w:type="pct"/>
            <w:tcBorders>
              <w:top w:val="nil"/>
              <w:left w:val="nil"/>
              <w:bottom w:val="nil"/>
              <w:right w:val="nil"/>
            </w:tcBorders>
            <w:noWrap/>
            <w:vAlign w:val="center"/>
            <w:hideMark/>
          </w:tcPr>
          <w:p w14:paraId="599D744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0.05</w:t>
            </w:r>
          </w:p>
        </w:tc>
        <w:tc>
          <w:tcPr>
            <w:tcW w:w="199" w:type="pct"/>
            <w:tcBorders>
              <w:top w:val="nil"/>
              <w:left w:val="nil"/>
              <w:bottom w:val="nil"/>
              <w:right w:val="nil"/>
            </w:tcBorders>
            <w:noWrap/>
            <w:vAlign w:val="center"/>
            <w:hideMark/>
          </w:tcPr>
          <w:p w14:paraId="08833C5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218" w:type="pct"/>
            <w:tcBorders>
              <w:top w:val="nil"/>
              <w:left w:val="nil"/>
              <w:bottom w:val="nil"/>
              <w:right w:val="nil"/>
            </w:tcBorders>
            <w:noWrap/>
            <w:vAlign w:val="center"/>
            <w:hideMark/>
          </w:tcPr>
          <w:p w14:paraId="2DAF6A7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3D94374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w:t>
            </w:r>
          </w:p>
        </w:tc>
        <w:tc>
          <w:tcPr>
            <w:tcW w:w="207" w:type="pct"/>
            <w:tcBorders>
              <w:top w:val="nil"/>
              <w:left w:val="nil"/>
              <w:bottom w:val="nil"/>
              <w:right w:val="nil"/>
            </w:tcBorders>
            <w:noWrap/>
            <w:vAlign w:val="center"/>
            <w:hideMark/>
          </w:tcPr>
          <w:p w14:paraId="7A19E67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EABB2EE" w14:textId="321D732B"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r w:rsidRPr="22DB2182">
              <w:rPr>
                <w:rFonts w:ascii="Times New Roman" w:eastAsia="Times New Roman" w:hAnsi="Times New Roman" w:cs="Times New Roman"/>
                <w:color w:val="000000" w:themeColor="text1"/>
                <w:sz w:val="8"/>
                <w:szCs w:val="8"/>
                <w:lang w:val="fr-FR" w:eastAsia="en-US"/>
              </w:rPr>
              <w:t xml:space="preserve">Cue </w:t>
            </w:r>
            <w:proofErr w:type="spellStart"/>
            <w:r w:rsidRPr="22DB2182">
              <w:rPr>
                <w:rFonts w:ascii="Times New Roman" w:eastAsia="Times New Roman" w:hAnsi="Times New Roman" w:cs="Times New Roman"/>
                <w:color w:val="000000" w:themeColor="text1"/>
                <w:sz w:val="8"/>
                <w:szCs w:val="8"/>
                <w:lang w:val="fr-FR" w:eastAsia="en-US"/>
              </w:rPr>
              <w:t>Recall</w:t>
            </w:r>
            <w:proofErr w:type="spellEnd"/>
          </w:p>
        </w:tc>
        <w:tc>
          <w:tcPr>
            <w:tcW w:w="244" w:type="pct"/>
            <w:tcBorders>
              <w:top w:val="nil"/>
              <w:left w:val="nil"/>
              <w:bottom w:val="nil"/>
              <w:right w:val="nil"/>
            </w:tcBorders>
            <w:noWrap/>
            <w:vAlign w:val="center"/>
            <w:hideMark/>
          </w:tcPr>
          <w:p w14:paraId="2BFC41C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0774700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8FA4BE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53EBFD3" w14:textId="4BE59D3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351D280" w14:textId="42CE475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30EDC58" w14:textId="77777777" w:rsidTr="22DB2182">
        <w:trPr>
          <w:trHeight w:val="20"/>
        </w:trPr>
        <w:tc>
          <w:tcPr>
            <w:tcW w:w="456" w:type="pct"/>
            <w:tcBorders>
              <w:top w:val="nil"/>
              <w:left w:val="nil"/>
              <w:bottom w:val="nil"/>
              <w:right w:val="nil"/>
            </w:tcBorders>
            <w:noWrap/>
            <w:vAlign w:val="center"/>
            <w:hideMark/>
          </w:tcPr>
          <w:p w14:paraId="482645E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7F555CB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2b</w:t>
            </w:r>
          </w:p>
        </w:tc>
        <w:tc>
          <w:tcPr>
            <w:tcW w:w="585" w:type="pct"/>
            <w:tcBorders>
              <w:top w:val="nil"/>
              <w:left w:val="nil"/>
              <w:bottom w:val="nil"/>
              <w:right w:val="nil"/>
            </w:tcBorders>
            <w:noWrap/>
            <w:vAlign w:val="center"/>
            <w:hideMark/>
          </w:tcPr>
          <w:p w14:paraId="08D33E4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2B0953F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1FE6A4E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333333"/>
                <w:sz w:val="8"/>
                <w:szCs w:val="8"/>
              </w:rPr>
            </w:pPr>
            <w:r w:rsidRPr="0065213A">
              <w:rPr>
                <w:rFonts w:ascii="Times New Roman" w:eastAsia="Times New Roman" w:hAnsi="Times New Roman" w:cs="Times New Roman"/>
                <w:color w:val="333333"/>
                <w:sz w:val="8"/>
                <w:szCs w:val="8"/>
              </w:rPr>
              <w:t>66</w:t>
            </w:r>
          </w:p>
        </w:tc>
        <w:tc>
          <w:tcPr>
            <w:tcW w:w="196" w:type="pct"/>
            <w:tcBorders>
              <w:top w:val="nil"/>
              <w:left w:val="nil"/>
              <w:bottom w:val="nil"/>
              <w:right w:val="nil"/>
            </w:tcBorders>
            <w:noWrap/>
            <w:vAlign w:val="center"/>
            <w:hideMark/>
          </w:tcPr>
          <w:p w14:paraId="6E506BD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0.07</w:t>
            </w:r>
          </w:p>
        </w:tc>
        <w:tc>
          <w:tcPr>
            <w:tcW w:w="199" w:type="pct"/>
            <w:tcBorders>
              <w:top w:val="nil"/>
              <w:left w:val="nil"/>
              <w:bottom w:val="nil"/>
              <w:right w:val="nil"/>
            </w:tcBorders>
            <w:noWrap/>
            <w:vAlign w:val="center"/>
            <w:hideMark/>
          </w:tcPr>
          <w:p w14:paraId="1E46B72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218" w:type="pct"/>
            <w:tcBorders>
              <w:top w:val="nil"/>
              <w:left w:val="nil"/>
              <w:bottom w:val="nil"/>
              <w:right w:val="nil"/>
            </w:tcBorders>
            <w:noWrap/>
            <w:vAlign w:val="center"/>
            <w:hideMark/>
          </w:tcPr>
          <w:p w14:paraId="19EC4F8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19B375B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w:t>
            </w:r>
          </w:p>
        </w:tc>
        <w:tc>
          <w:tcPr>
            <w:tcW w:w="207" w:type="pct"/>
            <w:tcBorders>
              <w:top w:val="nil"/>
              <w:left w:val="nil"/>
              <w:bottom w:val="nil"/>
              <w:right w:val="nil"/>
            </w:tcBorders>
            <w:noWrap/>
            <w:vAlign w:val="center"/>
            <w:hideMark/>
          </w:tcPr>
          <w:p w14:paraId="14B6A8A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E709543" w14:textId="2FAB48AC"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r w:rsidRPr="22DB2182">
              <w:rPr>
                <w:rFonts w:ascii="Times New Roman" w:eastAsia="Times New Roman" w:hAnsi="Times New Roman" w:cs="Times New Roman"/>
                <w:color w:val="000000" w:themeColor="text1"/>
                <w:sz w:val="8"/>
                <w:szCs w:val="8"/>
                <w:lang w:val="fr-FR" w:eastAsia="en-US"/>
              </w:rPr>
              <w:t xml:space="preserve">Cue </w:t>
            </w:r>
            <w:proofErr w:type="spellStart"/>
            <w:r w:rsidRPr="22DB2182">
              <w:rPr>
                <w:rFonts w:ascii="Times New Roman" w:eastAsia="Times New Roman" w:hAnsi="Times New Roman" w:cs="Times New Roman"/>
                <w:color w:val="000000" w:themeColor="text1"/>
                <w:sz w:val="8"/>
                <w:szCs w:val="8"/>
                <w:lang w:val="fr-FR" w:eastAsia="en-US"/>
              </w:rPr>
              <w:t>Recall</w:t>
            </w:r>
            <w:proofErr w:type="spellEnd"/>
          </w:p>
        </w:tc>
        <w:tc>
          <w:tcPr>
            <w:tcW w:w="244" w:type="pct"/>
            <w:tcBorders>
              <w:top w:val="nil"/>
              <w:left w:val="nil"/>
              <w:bottom w:val="nil"/>
              <w:right w:val="nil"/>
            </w:tcBorders>
            <w:noWrap/>
            <w:vAlign w:val="center"/>
            <w:hideMark/>
          </w:tcPr>
          <w:p w14:paraId="001B049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278B886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EFD44D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547D243" w14:textId="7E948D9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F5A3778" w14:textId="24085BF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8AE2AB9" w14:textId="77777777" w:rsidTr="22DB2182">
        <w:trPr>
          <w:trHeight w:val="20"/>
        </w:trPr>
        <w:tc>
          <w:tcPr>
            <w:tcW w:w="456" w:type="pct"/>
            <w:tcBorders>
              <w:top w:val="nil"/>
              <w:left w:val="nil"/>
              <w:bottom w:val="nil"/>
              <w:right w:val="nil"/>
            </w:tcBorders>
            <w:noWrap/>
            <w:vAlign w:val="center"/>
            <w:hideMark/>
          </w:tcPr>
          <w:p w14:paraId="1C280F9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47EAAB7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3a</w:t>
            </w:r>
          </w:p>
        </w:tc>
        <w:tc>
          <w:tcPr>
            <w:tcW w:w="585" w:type="pct"/>
            <w:tcBorders>
              <w:top w:val="nil"/>
              <w:left w:val="nil"/>
              <w:bottom w:val="nil"/>
              <w:right w:val="nil"/>
            </w:tcBorders>
            <w:noWrap/>
            <w:vAlign w:val="center"/>
            <w:hideMark/>
          </w:tcPr>
          <w:p w14:paraId="10C089A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56DF04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25A7FCD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333333"/>
                <w:sz w:val="8"/>
                <w:szCs w:val="8"/>
              </w:rPr>
            </w:pPr>
            <w:r w:rsidRPr="0065213A">
              <w:rPr>
                <w:rFonts w:ascii="Times New Roman" w:eastAsia="Times New Roman" w:hAnsi="Times New Roman" w:cs="Times New Roman"/>
                <w:color w:val="333333"/>
                <w:sz w:val="8"/>
                <w:szCs w:val="8"/>
              </w:rPr>
              <w:t>41</w:t>
            </w:r>
          </w:p>
        </w:tc>
        <w:tc>
          <w:tcPr>
            <w:tcW w:w="196" w:type="pct"/>
            <w:tcBorders>
              <w:top w:val="nil"/>
              <w:left w:val="nil"/>
              <w:bottom w:val="nil"/>
              <w:right w:val="nil"/>
            </w:tcBorders>
            <w:noWrap/>
            <w:vAlign w:val="center"/>
            <w:hideMark/>
          </w:tcPr>
          <w:p w14:paraId="389B48D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0.01</w:t>
            </w:r>
          </w:p>
        </w:tc>
        <w:tc>
          <w:tcPr>
            <w:tcW w:w="199" w:type="pct"/>
            <w:tcBorders>
              <w:top w:val="nil"/>
              <w:left w:val="nil"/>
              <w:bottom w:val="nil"/>
              <w:right w:val="nil"/>
            </w:tcBorders>
            <w:noWrap/>
            <w:vAlign w:val="center"/>
            <w:hideMark/>
          </w:tcPr>
          <w:p w14:paraId="3845B18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218" w:type="pct"/>
            <w:tcBorders>
              <w:top w:val="nil"/>
              <w:left w:val="nil"/>
              <w:bottom w:val="nil"/>
              <w:right w:val="nil"/>
            </w:tcBorders>
            <w:noWrap/>
            <w:vAlign w:val="center"/>
            <w:hideMark/>
          </w:tcPr>
          <w:p w14:paraId="64B7561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686E7AF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w:t>
            </w:r>
          </w:p>
        </w:tc>
        <w:tc>
          <w:tcPr>
            <w:tcW w:w="207" w:type="pct"/>
            <w:tcBorders>
              <w:top w:val="nil"/>
              <w:left w:val="nil"/>
              <w:bottom w:val="nil"/>
              <w:right w:val="nil"/>
            </w:tcBorders>
            <w:noWrap/>
            <w:vAlign w:val="center"/>
            <w:hideMark/>
          </w:tcPr>
          <w:p w14:paraId="7170EC1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41E0054" w14:textId="27A5336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Recognition</w:t>
            </w:r>
          </w:p>
        </w:tc>
        <w:tc>
          <w:tcPr>
            <w:tcW w:w="244" w:type="pct"/>
            <w:tcBorders>
              <w:top w:val="nil"/>
              <w:left w:val="nil"/>
              <w:bottom w:val="nil"/>
              <w:right w:val="nil"/>
            </w:tcBorders>
            <w:noWrap/>
            <w:vAlign w:val="center"/>
            <w:hideMark/>
          </w:tcPr>
          <w:p w14:paraId="5DFF659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29E8375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CA0631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005682E" w14:textId="6FBC7CC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A7A80DB" w14:textId="2D0BAFA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033168C" w14:textId="77777777" w:rsidTr="22DB2182">
        <w:trPr>
          <w:trHeight w:val="20"/>
        </w:trPr>
        <w:tc>
          <w:tcPr>
            <w:tcW w:w="456" w:type="pct"/>
            <w:tcBorders>
              <w:top w:val="nil"/>
              <w:left w:val="nil"/>
              <w:bottom w:val="nil"/>
              <w:right w:val="nil"/>
            </w:tcBorders>
            <w:noWrap/>
            <w:vAlign w:val="center"/>
            <w:hideMark/>
          </w:tcPr>
          <w:p w14:paraId="0CA9DAE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6B3F34F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3b</w:t>
            </w:r>
          </w:p>
        </w:tc>
        <w:tc>
          <w:tcPr>
            <w:tcW w:w="585" w:type="pct"/>
            <w:tcBorders>
              <w:top w:val="nil"/>
              <w:left w:val="nil"/>
              <w:bottom w:val="nil"/>
              <w:right w:val="nil"/>
            </w:tcBorders>
            <w:noWrap/>
            <w:vAlign w:val="center"/>
            <w:hideMark/>
          </w:tcPr>
          <w:p w14:paraId="72DEF2C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6E1434B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1837903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333333"/>
                <w:sz w:val="8"/>
                <w:szCs w:val="8"/>
              </w:rPr>
            </w:pPr>
            <w:r w:rsidRPr="0065213A">
              <w:rPr>
                <w:rFonts w:ascii="Times New Roman" w:eastAsia="Times New Roman" w:hAnsi="Times New Roman" w:cs="Times New Roman"/>
                <w:color w:val="333333"/>
                <w:sz w:val="8"/>
                <w:szCs w:val="8"/>
              </w:rPr>
              <w:t>41</w:t>
            </w:r>
          </w:p>
        </w:tc>
        <w:tc>
          <w:tcPr>
            <w:tcW w:w="196" w:type="pct"/>
            <w:tcBorders>
              <w:top w:val="nil"/>
              <w:left w:val="nil"/>
              <w:bottom w:val="nil"/>
              <w:right w:val="nil"/>
            </w:tcBorders>
            <w:noWrap/>
            <w:vAlign w:val="center"/>
            <w:hideMark/>
          </w:tcPr>
          <w:p w14:paraId="26A4ADA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0.02</w:t>
            </w:r>
          </w:p>
        </w:tc>
        <w:tc>
          <w:tcPr>
            <w:tcW w:w="199" w:type="pct"/>
            <w:tcBorders>
              <w:top w:val="nil"/>
              <w:left w:val="nil"/>
              <w:bottom w:val="nil"/>
              <w:right w:val="nil"/>
            </w:tcBorders>
            <w:noWrap/>
            <w:vAlign w:val="center"/>
            <w:hideMark/>
          </w:tcPr>
          <w:p w14:paraId="16A6BC6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218" w:type="pct"/>
            <w:tcBorders>
              <w:top w:val="nil"/>
              <w:left w:val="nil"/>
              <w:bottom w:val="nil"/>
              <w:right w:val="nil"/>
            </w:tcBorders>
            <w:noWrap/>
            <w:vAlign w:val="center"/>
            <w:hideMark/>
          </w:tcPr>
          <w:p w14:paraId="15979CD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74694FA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w:t>
            </w:r>
          </w:p>
        </w:tc>
        <w:tc>
          <w:tcPr>
            <w:tcW w:w="207" w:type="pct"/>
            <w:tcBorders>
              <w:top w:val="nil"/>
              <w:left w:val="nil"/>
              <w:bottom w:val="nil"/>
              <w:right w:val="nil"/>
            </w:tcBorders>
            <w:noWrap/>
            <w:vAlign w:val="center"/>
            <w:hideMark/>
          </w:tcPr>
          <w:p w14:paraId="0722A30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6D5DF4C" w14:textId="6A39847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Recognition</w:t>
            </w:r>
          </w:p>
        </w:tc>
        <w:tc>
          <w:tcPr>
            <w:tcW w:w="244" w:type="pct"/>
            <w:tcBorders>
              <w:top w:val="nil"/>
              <w:left w:val="nil"/>
              <w:bottom w:val="nil"/>
              <w:right w:val="nil"/>
            </w:tcBorders>
            <w:noWrap/>
            <w:vAlign w:val="center"/>
            <w:hideMark/>
          </w:tcPr>
          <w:p w14:paraId="65E43B9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7FCE75D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E8C2B4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264F8AA" w14:textId="345EF0C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06A4829B" w14:textId="39483BA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1D270EE" w14:textId="77777777" w:rsidTr="22DB2182">
        <w:trPr>
          <w:trHeight w:val="20"/>
        </w:trPr>
        <w:tc>
          <w:tcPr>
            <w:tcW w:w="456" w:type="pct"/>
            <w:tcBorders>
              <w:top w:val="nil"/>
              <w:left w:val="nil"/>
              <w:bottom w:val="nil"/>
              <w:right w:val="nil"/>
            </w:tcBorders>
            <w:noWrap/>
            <w:vAlign w:val="center"/>
            <w:hideMark/>
          </w:tcPr>
          <w:p w14:paraId="72F4F96F" w14:textId="278DA8E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Unsworth,</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{"citationID":"ar102dq8k2","properties":{"unsorted":false,"formattedCitation":"(2025)","plainCitation":"(2025)","noteIndex":0},"citationItems":[{"id":5953,"uris":["http://zotero.org/users/8613739/items/QQKKMVQY"],"itemData":{"id":5953,"type":"article-journal","abstract":"Three experiments with the psychomotor vigilance task examined whether presenting content-free cues, feedback, and points would reduce lapses of sustained attention. In all three experiments, behavioral lapses of attention (particularly slow reaction times) were reduced with the motivation manipulations compared with control conditions, but self-reports of off-task thinking (e.g., mind-wandering) were unaffected. Pupillary responses (preparatory and phasic) also tended to be larger with the different manipulations compared to control conditions. Collectively, the results are consistent with attentional effort models, suggesting that sustained attention was improved and lapses of attention reduced owing to participants in the motivation conditions mobilizing more attentional effort than participants in the control conditions. These results are consistent with recent research, which suggests that the locus coeruleus norepinephrine system is associated with the mobilization of effort.","citation-key":"unsworthMobilizingEffortReduce2025","container-title":"Cognitive, affective, &amp; behavioral neuroscience","ISSN":"1530-7026","issue":"3","language":"eng","note":"tex.copyright: The Psychonomic Society, Inc. 2024 Springer Nature or its licensor (e.g. a society or other partner) holds exclusive rights to this article under a publishing agreement with the author(s) or other rightsholder(s); author self-archiving of the accepted manuscript version of this article is solely governed by the terms of such publishing agreement and applicable law.","page":"631-649","publisher":"Springer US","publisher-place":"New York","title":"Mobilizing effort to reduce lapses of sustained attention: examining the effects of content-free cues, feedback, and points","volume":"25","author":[{"family":"Unsworth","given":"Nash"},{"family":"Robison","given":"Matthew K."},{"family":"Miller","given":"Ashley L."}],"issued":{"date-parts":[["2025",6,1]]}},"suppress-author":true}],"schema":"https://github.com/citation-style-language/schema/raw/master/csl-citation.json"}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3B120BD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3E5CFBF7" w14:textId="2325D12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03B09C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43F3B37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39</w:t>
            </w:r>
          </w:p>
        </w:tc>
        <w:tc>
          <w:tcPr>
            <w:tcW w:w="196" w:type="pct"/>
            <w:tcBorders>
              <w:top w:val="nil"/>
              <w:left w:val="nil"/>
              <w:bottom w:val="nil"/>
              <w:right w:val="nil"/>
            </w:tcBorders>
            <w:noWrap/>
            <w:vAlign w:val="center"/>
            <w:hideMark/>
          </w:tcPr>
          <w:p w14:paraId="7739E78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0.12</w:t>
            </w:r>
          </w:p>
        </w:tc>
        <w:tc>
          <w:tcPr>
            <w:tcW w:w="199" w:type="pct"/>
            <w:tcBorders>
              <w:top w:val="nil"/>
              <w:left w:val="nil"/>
              <w:bottom w:val="nil"/>
              <w:right w:val="nil"/>
            </w:tcBorders>
            <w:noWrap/>
            <w:vAlign w:val="center"/>
            <w:hideMark/>
          </w:tcPr>
          <w:p w14:paraId="0374F2F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18" w:type="pct"/>
            <w:tcBorders>
              <w:top w:val="nil"/>
              <w:left w:val="nil"/>
              <w:bottom w:val="nil"/>
              <w:right w:val="nil"/>
            </w:tcBorders>
            <w:noWrap/>
            <w:vAlign w:val="center"/>
            <w:hideMark/>
          </w:tcPr>
          <w:p w14:paraId="38992F5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67B9048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3FEE86A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CB1956E" w14:textId="7A72D39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03BE7D1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DD1DD4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722EBA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1B706A3" w14:textId="7CD4E02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586720E" w14:textId="0DA88AC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96AB1EB" w14:textId="77777777" w:rsidTr="22DB2182">
        <w:trPr>
          <w:trHeight w:val="20"/>
        </w:trPr>
        <w:tc>
          <w:tcPr>
            <w:tcW w:w="456" w:type="pct"/>
            <w:tcBorders>
              <w:top w:val="nil"/>
              <w:left w:val="nil"/>
              <w:bottom w:val="nil"/>
              <w:right w:val="nil"/>
            </w:tcBorders>
            <w:noWrap/>
            <w:vAlign w:val="center"/>
            <w:hideMark/>
          </w:tcPr>
          <w:p w14:paraId="41433F6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4BE3AC8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785DAE2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3CEEC71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2F597F2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196" w:type="pct"/>
            <w:tcBorders>
              <w:top w:val="nil"/>
              <w:left w:val="nil"/>
              <w:bottom w:val="nil"/>
              <w:right w:val="nil"/>
            </w:tcBorders>
            <w:noWrap/>
            <w:vAlign w:val="center"/>
            <w:hideMark/>
          </w:tcPr>
          <w:p w14:paraId="17709A7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w:t>
            </w:r>
          </w:p>
        </w:tc>
        <w:tc>
          <w:tcPr>
            <w:tcW w:w="199" w:type="pct"/>
            <w:tcBorders>
              <w:top w:val="nil"/>
              <w:left w:val="nil"/>
              <w:bottom w:val="nil"/>
              <w:right w:val="nil"/>
            </w:tcBorders>
            <w:noWrap/>
            <w:vAlign w:val="center"/>
            <w:hideMark/>
          </w:tcPr>
          <w:p w14:paraId="55E1CAA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18" w:type="pct"/>
            <w:tcBorders>
              <w:top w:val="nil"/>
              <w:left w:val="nil"/>
              <w:bottom w:val="nil"/>
              <w:right w:val="nil"/>
            </w:tcBorders>
            <w:noWrap/>
            <w:vAlign w:val="center"/>
            <w:hideMark/>
          </w:tcPr>
          <w:p w14:paraId="5227335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44E97AE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4C1DCCA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E404A54" w14:textId="03CD1FE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73704C6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63128F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6FCB80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782D0F3A" w14:textId="15E1580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73AE1BBA" w14:textId="00F9D21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48293C4" w14:textId="77777777" w:rsidTr="22DB2182">
        <w:trPr>
          <w:trHeight w:val="20"/>
        </w:trPr>
        <w:tc>
          <w:tcPr>
            <w:tcW w:w="456" w:type="pct"/>
            <w:tcBorders>
              <w:top w:val="nil"/>
              <w:left w:val="nil"/>
              <w:bottom w:val="nil"/>
              <w:right w:val="nil"/>
            </w:tcBorders>
            <w:noWrap/>
            <w:vAlign w:val="center"/>
            <w:hideMark/>
          </w:tcPr>
          <w:p w14:paraId="0D386E4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48EA33B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2a</w:t>
            </w:r>
          </w:p>
        </w:tc>
        <w:tc>
          <w:tcPr>
            <w:tcW w:w="585" w:type="pct"/>
            <w:tcBorders>
              <w:top w:val="nil"/>
              <w:left w:val="nil"/>
              <w:bottom w:val="nil"/>
              <w:right w:val="nil"/>
            </w:tcBorders>
            <w:noWrap/>
            <w:vAlign w:val="center"/>
            <w:hideMark/>
          </w:tcPr>
          <w:p w14:paraId="5BCDC7B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074B7F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18C14BF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37</w:t>
            </w:r>
          </w:p>
        </w:tc>
        <w:tc>
          <w:tcPr>
            <w:tcW w:w="196" w:type="pct"/>
            <w:tcBorders>
              <w:top w:val="nil"/>
              <w:left w:val="nil"/>
              <w:bottom w:val="nil"/>
              <w:right w:val="nil"/>
            </w:tcBorders>
            <w:noWrap/>
            <w:vAlign w:val="center"/>
            <w:hideMark/>
          </w:tcPr>
          <w:p w14:paraId="4A8B9A5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0.14</w:t>
            </w:r>
          </w:p>
        </w:tc>
        <w:tc>
          <w:tcPr>
            <w:tcW w:w="199" w:type="pct"/>
            <w:tcBorders>
              <w:top w:val="nil"/>
              <w:left w:val="nil"/>
              <w:bottom w:val="nil"/>
              <w:right w:val="nil"/>
            </w:tcBorders>
            <w:noWrap/>
            <w:vAlign w:val="center"/>
            <w:hideMark/>
          </w:tcPr>
          <w:p w14:paraId="68AD0AF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518B1BA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60B06853" w14:textId="0AFC966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6A9F1AC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74D25FD0" w14:textId="242ADC0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45B2988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F91AD6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42B75EF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0FC38D24" w14:textId="1722475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C0A5C44" w14:textId="191848E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1DFCAF8" w14:textId="77777777" w:rsidTr="22DB2182">
        <w:trPr>
          <w:trHeight w:val="20"/>
        </w:trPr>
        <w:tc>
          <w:tcPr>
            <w:tcW w:w="456" w:type="pct"/>
            <w:tcBorders>
              <w:top w:val="nil"/>
              <w:left w:val="nil"/>
              <w:bottom w:val="nil"/>
              <w:right w:val="nil"/>
            </w:tcBorders>
            <w:noWrap/>
            <w:vAlign w:val="center"/>
            <w:hideMark/>
          </w:tcPr>
          <w:p w14:paraId="706B91B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69C2905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2b</w:t>
            </w:r>
          </w:p>
        </w:tc>
        <w:tc>
          <w:tcPr>
            <w:tcW w:w="585" w:type="pct"/>
            <w:tcBorders>
              <w:top w:val="nil"/>
              <w:left w:val="nil"/>
              <w:bottom w:val="nil"/>
              <w:right w:val="nil"/>
            </w:tcBorders>
            <w:noWrap/>
            <w:vAlign w:val="center"/>
            <w:hideMark/>
          </w:tcPr>
          <w:p w14:paraId="6829537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1473FCF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40BC1F1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42</w:t>
            </w:r>
          </w:p>
        </w:tc>
        <w:tc>
          <w:tcPr>
            <w:tcW w:w="196" w:type="pct"/>
            <w:tcBorders>
              <w:top w:val="nil"/>
              <w:left w:val="nil"/>
              <w:bottom w:val="nil"/>
              <w:right w:val="nil"/>
            </w:tcBorders>
            <w:noWrap/>
            <w:vAlign w:val="center"/>
            <w:hideMark/>
          </w:tcPr>
          <w:p w14:paraId="0C01984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w:t>
            </w:r>
          </w:p>
        </w:tc>
        <w:tc>
          <w:tcPr>
            <w:tcW w:w="199" w:type="pct"/>
            <w:tcBorders>
              <w:top w:val="nil"/>
              <w:left w:val="nil"/>
              <w:bottom w:val="nil"/>
              <w:right w:val="nil"/>
            </w:tcBorders>
            <w:noWrap/>
            <w:vAlign w:val="center"/>
            <w:hideMark/>
          </w:tcPr>
          <w:p w14:paraId="343B133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595BF1E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375C001D" w14:textId="53B1E27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5F7D202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E47DDF9" w14:textId="4C79250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061B76D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6AA163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2622A06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970959E" w14:textId="6A4A63F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0F288E17" w14:textId="42EA8DD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97F115A" w14:textId="77777777" w:rsidTr="22DB2182">
        <w:trPr>
          <w:trHeight w:val="20"/>
        </w:trPr>
        <w:tc>
          <w:tcPr>
            <w:tcW w:w="456" w:type="pct"/>
            <w:tcBorders>
              <w:top w:val="nil"/>
              <w:left w:val="nil"/>
              <w:bottom w:val="nil"/>
              <w:right w:val="nil"/>
            </w:tcBorders>
            <w:noWrap/>
            <w:vAlign w:val="center"/>
            <w:hideMark/>
          </w:tcPr>
          <w:p w14:paraId="217A51E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6CA5D60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3a</w:t>
            </w:r>
          </w:p>
        </w:tc>
        <w:tc>
          <w:tcPr>
            <w:tcW w:w="585" w:type="pct"/>
            <w:tcBorders>
              <w:top w:val="nil"/>
              <w:left w:val="nil"/>
              <w:bottom w:val="nil"/>
              <w:right w:val="nil"/>
            </w:tcBorders>
            <w:noWrap/>
            <w:vAlign w:val="center"/>
            <w:hideMark/>
          </w:tcPr>
          <w:p w14:paraId="311097B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64994B4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7E9D00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36</w:t>
            </w:r>
          </w:p>
        </w:tc>
        <w:tc>
          <w:tcPr>
            <w:tcW w:w="196" w:type="pct"/>
            <w:tcBorders>
              <w:top w:val="nil"/>
              <w:left w:val="nil"/>
              <w:bottom w:val="nil"/>
              <w:right w:val="nil"/>
            </w:tcBorders>
            <w:noWrap/>
            <w:vAlign w:val="center"/>
            <w:hideMark/>
          </w:tcPr>
          <w:p w14:paraId="0FDEE30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0.14</w:t>
            </w:r>
          </w:p>
        </w:tc>
        <w:tc>
          <w:tcPr>
            <w:tcW w:w="199" w:type="pct"/>
            <w:tcBorders>
              <w:top w:val="nil"/>
              <w:left w:val="nil"/>
              <w:bottom w:val="nil"/>
              <w:right w:val="nil"/>
            </w:tcBorders>
            <w:noWrap/>
            <w:vAlign w:val="center"/>
            <w:hideMark/>
          </w:tcPr>
          <w:p w14:paraId="74B863B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60D79F4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4B06619A" w14:textId="3B5156E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4EDB1F9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758E5F6" w14:textId="2972B92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387AE7F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5E226B5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697BC1D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BC73C07" w14:textId="3A7F291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556AEDD" w14:textId="3B5937E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15E6DA7" w14:textId="77777777" w:rsidTr="22DB2182">
        <w:trPr>
          <w:trHeight w:val="20"/>
        </w:trPr>
        <w:tc>
          <w:tcPr>
            <w:tcW w:w="456" w:type="pct"/>
            <w:tcBorders>
              <w:top w:val="nil"/>
              <w:left w:val="nil"/>
              <w:bottom w:val="nil"/>
              <w:right w:val="nil"/>
            </w:tcBorders>
            <w:noWrap/>
            <w:vAlign w:val="center"/>
            <w:hideMark/>
          </w:tcPr>
          <w:p w14:paraId="7AC984F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1FFE8DF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3b</w:t>
            </w:r>
          </w:p>
        </w:tc>
        <w:tc>
          <w:tcPr>
            <w:tcW w:w="585" w:type="pct"/>
            <w:tcBorders>
              <w:top w:val="nil"/>
              <w:left w:val="nil"/>
              <w:bottom w:val="nil"/>
              <w:right w:val="nil"/>
            </w:tcBorders>
            <w:noWrap/>
            <w:vAlign w:val="center"/>
            <w:hideMark/>
          </w:tcPr>
          <w:p w14:paraId="0399D47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3F77A90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C9B367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38</w:t>
            </w:r>
          </w:p>
        </w:tc>
        <w:tc>
          <w:tcPr>
            <w:tcW w:w="196" w:type="pct"/>
            <w:tcBorders>
              <w:top w:val="nil"/>
              <w:left w:val="nil"/>
              <w:bottom w:val="nil"/>
              <w:right w:val="nil"/>
            </w:tcBorders>
            <w:noWrap/>
            <w:vAlign w:val="center"/>
            <w:hideMark/>
          </w:tcPr>
          <w:p w14:paraId="19849E4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0.17</w:t>
            </w:r>
          </w:p>
        </w:tc>
        <w:tc>
          <w:tcPr>
            <w:tcW w:w="199" w:type="pct"/>
            <w:tcBorders>
              <w:top w:val="nil"/>
              <w:left w:val="nil"/>
              <w:bottom w:val="nil"/>
              <w:right w:val="nil"/>
            </w:tcBorders>
            <w:noWrap/>
            <w:vAlign w:val="center"/>
            <w:hideMark/>
          </w:tcPr>
          <w:p w14:paraId="0FB84B1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2C2516D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25E9B7AE" w14:textId="68C2176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123860E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7EB78AF" w14:textId="2075A49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3F818C7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7F6A89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CAE904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FE100ED" w14:textId="79094BC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05ED72EC" w14:textId="74ADA87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5AB4662" w14:textId="77777777" w:rsidTr="22DB2182">
        <w:trPr>
          <w:trHeight w:val="20"/>
        </w:trPr>
        <w:tc>
          <w:tcPr>
            <w:tcW w:w="456" w:type="pct"/>
            <w:tcBorders>
              <w:top w:val="nil"/>
              <w:left w:val="nil"/>
              <w:bottom w:val="nil"/>
              <w:right w:val="nil"/>
            </w:tcBorders>
            <w:noWrap/>
            <w:vAlign w:val="center"/>
            <w:hideMark/>
          </w:tcPr>
          <w:p w14:paraId="1EA14FB3" w14:textId="11E9133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Unsworth,</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{"citationID":"ada7bkv6rf","properties":{"unsorted":false,"formattedCitation":"(2020)","plainCitation":"(2020)","noteIndex":0},"citationItems":[{"id":8404,"uris":["http://zotero.org/users/8613739/items/7NH4QB5H"],"itemData":{"id":8404,"type":"article-journal","abstract":"A cognitive-energetic account of individual differences in working memory capacity (WMC) and sustained attention performance is proposed suggesting that variation in the voluntary control of the intensity of attention (intrinsic alertness) is critical for the relation between WMC and attention control. Four experiments examining individual differences were conducted to test this account. The results suggested that WMC was consistently related to the slowest reaction times in conditions where the interstimulus interval (ISI) was varied or was fixed at a long interval. Variation in WMC was not related to performance when the ISI was fixed at a short interval which is thought to decrease demands on intrinsic alertness. The current results are consistent with the hypothesis that normal variation in WMC and sustained attention performance are partially the result of individual differences in intrinsic alertness whereby low WMC individuals are less able to consistently control the intensity of attention than high WMC individuals. Other possible reasons for the relation between WMC and sustained attention performance such as differences in goal activation, speed of goal activation, goal maintenance during a trial, or sustaining goal maintenance across the duration of the task were associated with weaker and inconsistent evidence. Collectively we suggest that the current cognitive-energetic account can be used to understand individual differences in WMC and attention control and their relations with other cognitive abilities. © 2020 Elsevier B.V., All rights reserved.","archive":"Scopus","citation-key":"unsworthWorkingMemoryCapacity2020","container-title":"Journal of Experimental Psychology: Learning Memory and Cognition","DOI":"10.1037/xlm0000712","issue":"1","page":"77-103","title":"Working memory capacity and sustained attention: A cognitive-energetic perspective","volume":"46","author":[{"family":"Unsworth","given":"N."},{"family":"Robison","given":"M.K."}],"issued":{"date-parts":[["2020"]]}},"suppress-author":true}],"schema":"https://github.com/citation-style-language/schema/raw/master/csl-citation.json"}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(2020)</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2D7B4A1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6DD52A74" w14:textId="3CA4461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25CA962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67EEDE2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319</w:t>
            </w:r>
          </w:p>
        </w:tc>
        <w:tc>
          <w:tcPr>
            <w:tcW w:w="196" w:type="pct"/>
            <w:tcBorders>
              <w:top w:val="nil"/>
              <w:left w:val="nil"/>
              <w:bottom w:val="nil"/>
              <w:right w:val="nil"/>
            </w:tcBorders>
            <w:noWrap/>
            <w:vAlign w:val="center"/>
            <w:hideMark/>
          </w:tcPr>
          <w:p w14:paraId="51CE9B9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0.09</w:t>
            </w:r>
          </w:p>
        </w:tc>
        <w:tc>
          <w:tcPr>
            <w:tcW w:w="199" w:type="pct"/>
            <w:tcBorders>
              <w:top w:val="nil"/>
              <w:left w:val="nil"/>
              <w:bottom w:val="nil"/>
              <w:right w:val="nil"/>
            </w:tcBorders>
            <w:noWrap/>
            <w:vAlign w:val="center"/>
            <w:hideMark/>
          </w:tcPr>
          <w:p w14:paraId="7E3507D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w:t>
            </w:r>
          </w:p>
        </w:tc>
        <w:tc>
          <w:tcPr>
            <w:tcW w:w="218" w:type="pct"/>
            <w:tcBorders>
              <w:top w:val="nil"/>
              <w:left w:val="nil"/>
              <w:bottom w:val="nil"/>
              <w:right w:val="nil"/>
            </w:tcBorders>
            <w:noWrap/>
            <w:vAlign w:val="center"/>
            <w:hideMark/>
          </w:tcPr>
          <w:p w14:paraId="537A9E3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327" w:type="pct"/>
            <w:tcBorders>
              <w:top w:val="nil"/>
              <w:left w:val="nil"/>
              <w:bottom w:val="nil"/>
              <w:right w:val="nil"/>
            </w:tcBorders>
            <w:noWrap/>
            <w:vAlign w:val="center"/>
            <w:hideMark/>
          </w:tcPr>
          <w:p w14:paraId="22149F6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07" w:type="pct"/>
            <w:tcBorders>
              <w:top w:val="nil"/>
              <w:left w:val="nil"/>
              <w:bottom w:val="nil"/>
              <w:right w:val="nil"/>
            </w:tcBorders>
            <w:noWrap/>
            <w:vAlign w:val="center"/>
            <w:hideMark/>
          </w:tcPr>
          <w:p w14:paraId="0C33790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DB6AFC6" w14:textId="535DC27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1F1F1F"/>
                <w:sz w:val="8"/>
                <w:szCs w:val="8"/>
              </w:rPr>
            </w:pPr>
            <w:r w:rsidRPr="0065213A">
              <w:rPr>
                <w:rFonts w:ascii="Times New Roman" w:eastAsia="Times New Roman" w:hAnsi="Times New Roman" w:cs="Times New Roman"/>
                <w:color w:val="1F1F1F"/>
                <w:sz w:val="8"/>
                <w:szCs w:val="8"/>
              </w:rPr>
              <w:t>PVT</w:t>
            </w:r>
          </w:p>
        </w:tc>
        <w:tc>
          <w:tcPr>
            <w:tcW w:w="244" w:type="pct"/>
            <w:tcBorders>
              <w:top w:val="nil"/>
              <w:left w:val="nil"/>
              <w:bottom w:val="nil"/>
              <w:right w:val="nil"/>
            </w:tcBorders>
            <w:noWrap/>
            <w:vAlign w:val="center"/>
            <w:hideMark/>
          </w:tcPr>
          <w:p w14:paraId="54821B8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1E676A7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06BBE8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07836F3" w14:textId="0521C75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EE0EB2F" w14:textId="7BE7EB3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20A1B22" w14:textId="77777777" w:rsidTr="22DB2182">
        <w:trPr>
          <w:trHeight w:val="20"/>
        </w:trPr>
        <w:tc>
          <w:tcPr>
            <w:tcW w:w="456" w:type="pct"/>
            <w:tcBorders>
              <w:top w:val="nil"/>
              <w:left w:val="nil"/>
              <w:bottom w:val="nil"/>
              <w:right w:val="nil"/>
            </w:tcBorders>
            <w:noWrap/>
            <w:vAlign w:val="center"/>
            <w:hideMark/>
          </w:tcPr>
          <w:p w14:paraId="46B81569" w14:textId="2CCBF67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Van Calster,</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172maors35","properties":{"unsorted":false,"formattedCitation":"(2017)","plainCitation":"(2017)","noteIndex":0},"citationItems":[{"id":17781,"uris":["http://zotero.org/users/8613739/items/BLCXCFNB"],"itemData":{"id":17781,"type":"article-journal","abstract":"Neuroimaging studies have revealed the recruitment of a range of neural networks during the resting state, which might reflect a variety of cognitive experiences and processes occurring in an individual's mind. In this study, we focused on the default mode network (DMN) and attentional networks and investigated their association with distinct mental states when participants are not performing an explicit task. To investigate the range of possible cognitive experiences more directly, this study proposes a novel method of resting-state fMRI experience sampling, informed by a phenomenological investigation of the fluctuation of mental states during the resting state. We hypothesized that DMN activity would increase as a function of internal mentation and that the activity of dorsal and ventral networks would indicate states of top-down versus bottom-up attention at rest. Results showed that dorsal attention network activity fluctuated as a function of subjective reports of attentional control, providing evidence that activity of this network reflects the perceived recruitment of controlled attentional processes during spontaneous cognition. Activity of the DMN increased when participants reported to be in a subjective state of internal mentation, but not when they reported to be in a state of perception. This study provides direct evidence for a link between fluctuations of resting-state neural activity and fluctuations in specific cognitive processes.","citation-key":"vancalsterFluctuationsAttentionalNetworks2017","container-title":"Journal of Cognitive Neuroscience","DOI":"10.1162/jocn_a_01025","ISSN":"1530-8898","issue":"1","journalAbbreviation":"J Cogn Neurosci","language":"eng","page":"95-113","PMID":"27575531","source":"PubMed","title":"Fluctuations of Attentional Networks and Default Mode Network during the Resting State Reflect Variations in Cognitive States: Evidence from a Novel Resting-state Experience Sampling Method","title-short":"Fluctuations of Attentional Networks and Default Mode Network during the Resting State Reflect Variations in Cognitive States","volume":"29","author":[{"family":"Van Calster","given":"Laurens"},{"family":"D'Argembeau","given":"Arnaud"},{"family":"Salmon","given":"Eric"},{"family":"Peters","given":"Frédéric"},{"family":"Majerus","given":"Steve"}],"issued":{"date-parts":[["2017",1]]}},"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(2017)</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1F1A481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4E4B95BB" w14:textId="0B370B0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44BC13CE" w14:textId="59ADC20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28" w:type="pct"/>
            <w:tcBorders>
              <w:top w:val="nil"/>
              <w:left w:val="nil"/>
              <w:bottom w:val="nil"/>
              <w:right w:val="nil"/>
            </w:tcBorders>
            <w:noWrap/>
            <w:vAlign w:val="center"/>
            <w:hideMark/>
          </w:tcPr>
          <w:p w14:paraId="7E509CC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9</w:t>
            </w:r>
          </w:p>
        </w:tc>
        <w:tc>
          <w:tcPr>
            <w:tcW w:w="196" w:type="pct"/>
            <w:tcBorders>
              <w:top w:val="nil"/>
              <w:left w:val="nil"/>
              <w:bottom w:val="nil"/>
              <w:right w:val="nil"/>
            </w:tcBorders>
            <w:noWrap/>
            <w:vAlign w:val="center"/>
            <w:hideMark/>
          </w:tcPr>
          <w:p w14:paraId="759A668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0.032</w:t>
            </w:r>
          </w:p>
        </w:tc>
        <w:tc>
          <w:tcPr>
            <w:tcW w:w="199" w:type="pct"/>
            <w:tcBorders>
              <w:top w:val="nil"/>
              <w:left w:val="nil"/>
              <w:bottom w:val="nil"/>
              <w:right w:val="nil"/>
            </w:tcBorders>
            <w:noWrap/>
            <w:vAlign w:val="center"/>
            <w:hideMark/>
          </w:tcPr>
          <w:p w14:paraId="3F5D830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218" w:type="pct"/>
            <w:tcBorders>
              <w:top w:val="nil"/>
              <w:left w:val="nil"/>
              <w:bottom w:val="nil"/>
              <w:right w:val="nil"/>
            </w:tcBorders>
            <w:noWrap/>
            <w:vAlign w:val="center"/>
            <w:hideMark/>
          </w:tcPr>
          <w:p w14:paraId="01792A05" w14:textId="79FAA91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327" w:type="pct"/>
            <w:tcBorders>
              <w:top w:val="nil"/>
              <w:left w:val="nil"/>
              <w:bottom w:val="nil"/>
              <w:right w:val="nil"/>
            </w:tcBorders>
            <w:noWrap/>
            <w:vAlign w:val="center"/>
            <w:hideMark/>
          </w:tcPr>
          <w:p w14:paraId="204DC04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61D75CE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rest</w:t>
            </w:r>
            <w:proofErr w:type="spellEnd"/>
            <w:proofErr w:type="gramEnd"/>
          </w:p>
        </w:tc>
        <w:tc>
          <w:tcPr>
            <w:tcW w:w="430" w:type="pct"/>
            <w:tcBorders>
              <w:top w:val="nil"/>
              <w:left w:val="nil"/>
              <w:bottom w:val="nil"/>
              <w:right w:val="nil"/>
            </w:tcBorders>
            <w:noWrap/>
            <w:vAlign w:val="center"/>
            <w:hideMark/>
          </w:tcPr>
          <w:p w14:paraId="1E141D3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Rest</w:t>
            </w:r>
            <w:proofErr w:type="spellEnd"/>
          </w:p>
        </w:tc>
        <w:tc>
          <w:tcPr>
            <w:tcW w:w="244" w:type="pct"/>
            <w:tcBorders>
              <w:top w:val="nil"/>
              <w:left w:val="nil"/>
              <w:bottom w:val="nil"/>
              <w:right w:val="nil"/>
            </w:tcBorders>
            <w:noWrap/>
            <w:vAlign w:val="center"/>
            <w:hideMark/>
          </w:tcPr>
          <w:p w14:paraId="04B0A7FD" w14:textId="2035C9E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0829377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0412CD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4F62FE50" w14:textId="4A90323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3C32FB6" w14:textId="18E3F6E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421D6BB" w14:textId="77777777" w:rsidTr="22DB2182">
        <w:trPr>
          <w:trHeight w:val="20"/>
        </w:trPr>
        <w:tc>
          <w:tcPr>
            <w:tcW w:w="456" w:type="pct"/>
            <w:tcBorders>
              <w:top w:val="nil"/>
              <w:left w:val="nil"/>
              <w:bottom w:val="nil"/>
              <w:right w:val="nil"/>
            </w:tcBorders>
            <w:noWrap/>
            <w:vAlign w:val="center"/>
            <w:hideMark/>
          </w:tcPr>
          <w:p w14:paraId="28BF9BC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59C8E70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w:t>
            </w:r>
          </w:p>
        </w:tc>
        <w:tc>
          <w:tcPr>
            <w:tcW w:w="585" w:type="pct"/>
            <w:tcBorders>
              <w:top w:val="nil"/>
              <w:left w:val="nil"/>
              <w:bottom w:val="nil"/>
              <w:right w:val="nil"/>
            </w:tcBorders>
            <w:noWrap/>
            <w:vAlign w:val="center"/>
            <w:hideMark/>
          </w:tcPr>
          <w:p w14:paraId="0B5301E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A7CF46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6B7F19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40</w:t>
            </w:r>
          </w:p>
        </w:tc>
        <w:tc>
          <w:tcPr>
            <w:tcW w:w="196" w:type="pct"/>
            <w:tcBorders>
              <w:top w:val="nil"/>
              <w:left w:val="nil"/>
              <w:bottom w:val="nil"/>
              <w:right w:val="nil"/>
            </w:tcBorders>
            <w:noWrap/>
            <w:vAlign w:val="center"/>
            <w:hideMark/>
          </w:tcPr>
          <w:p w14:paraId="09BB610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0.065</w:t>
            </w:r>
          </w:p>
        </w:tc>
        <w:tc>
          <w:tcPr>
            <w:tcW w:w="199" w:type="pct"/>
            <w:tcBorders>
              <w:top w:val="nil"/>
              <w:left w:val="nil"/>
              <w:bottom w:val="nil"/>
              <w:right w:val="nil"/>
            </w:tcBorders>
            <w:noWrap/>
            <w:vAlign w:val="center"/>
            <w:hideMark/>
          </w:tcPr>
          <w:p w14:paraId="7487290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50</w:t>
            </w:r>
          </w:p>
        </w:tc>
        <w:tc>
          <w:tcPr>
            <w:tcW w:w="218" w:type="pct"/>
            <w:tcBorders>
              <w:top w:val="nil"/>
              <w:left w:val="nil"/>
              <w:bottom w:val="nil"/>
              <w:right w:val="nil"/>
            </w:tcBorders>
            <w:noWrap/>
            <w:vAlign w:val="center"/>
            <w:hideMark/>
          </w:tcPr>
          <w:p w14:paraId="003DF4A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63E0192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53</w:t>
            </w:r>
          </w:p>
        </w:tc>
        <w:tc>
          <w:tcPr>
            <w:tcW w:w="207" w:type="pct"/>
            <w:tcBorders>
              <w:top w:val="nil"/>
              <w:left w:val="nil"/>
              <w:bottom w:val="nil"/>
              <w:right w:val="nil"/>
            </w:tcBorders>
            <w:noWrap/>
            <w:vAlign w:val="center"/>
            <w:hideMark/>
          </w:tcPr>
          <w:p w14:paraId="2732405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rest</w:t>
            </w:r>
            <w:proofErr w:type="spellEnd"/>
            <w:proofErr w:type="gramEnd"/>
          </w:p>
        </w:tc>
        <w:tc>
          <w:tcPr>
            <w:tcW w:w="430" w:type="pct"/>
            <w:tcBorders>
              <w:top w:val="nil"/>
              <w:left w:val="nil"/>
              <w:bottom w:val="nil"/>
              <w:right w:val="nil"/>
            </w:tcBorders>
            <w:noWrap/>
            <w:vAlign w:val="center"/>
            <w:hideMark/>
          </w:tcPr>
          <w:p w14:paraId="4DDA466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r w:rsidRPr="22DB2182">
              <w:rPr>
                <w:rFonts w:ascii="Times New Roman" w:eastAsia="Times New Roman" w:hAnsi="Times New Roman" w:cs="Times New Roman"/>
                <w:color w:val="000000" w:themeColor="text1"/>
                <w:sz w:val="8"/>
                <w:szCs w:val="8"/>
                <w:lang w:val="fr-FR" w:eastAsia="en-US"/>
              </w:rPr>
              <w:t>Rest</w:t>
            </w:r>
            <w:proofErr w:type="spellEnd"/>
          </w:p>
        </w:tc>
        <w:tc>
          <w:tcPr>
            <w:tcW w:w="244" w:type="pct"/>
            <w:tcBorders>
              <w:top w:val="nil"/>
              <w:left w:val="nil"/>
              <w:bottom w:val="nil"/>
              <w:right w:val="nil"/>
            </w:tcBorders>
            <w:noWrap/>
            <w:vAlign w:val="center"/>
            <w:hideMark/>
          </w:tcPr>
          <w:p w14:paraId="49CBDB99" w14:textId="7C848E60"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71" w:type="pct"/>
            <w:tcBorders>
              <w:top w:val="nil"/>
              <w:left w:val="nil"/>
              <w:bottom w:val="nil"/>
              <w:right w:val="nil"/>
            </w:tcBorders>
            <w:noWrap/>
            <w:vAlign w:val="center"/>
            <w:hideMark/>
          </w:tcPr>
          <w:p w14:paraId="2CB451E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CB7C6A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514D523B" w14:textId="0457067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E587F8C" w14:textId="19A0CEF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30D7390" w14:textId="77777777" w:rsidTr="22DB2182">
        <w:trPr>
          <w:trHeight w:val="20"/>
        </w:trPr>
        <w:tc>
          <w:tcPr>
            <w:tcW w:w="456" w:type="pct"/>
            <w:tcBorders>
              <w:top w:val="nil"/>
              <w:left w:val="nil"/>
              <w:bottom w:val="nil"/>
              <w:right w:val="nil"/>
            </w:tcBorders>
            <w:noWrap/>
            <w:vAlign w:val="center"/>
            <w:hideMark/>
          </w:tcPr>
          <w:p w14:paraId="6137989A" w14:textId="181DB77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Van den Driessche,</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grm6qlgou","properties":{"unsorted":false,"formattedCitation":"(2017)","plainCitation":"(2017)","noteIndex":0},"citationItems":[{"id":16069,"uris":["http://zotero.org/groups/6160358/items/G26L5XVS"],"itemData":{"id":16069,"type":"article-journal","abstract":"People with attention-deficit/hyperactivity disorder (ADHD) have difficulties sustaining their attention on external tasks. Such attentional lapses have often been characterized as the simple opposite of external sustained attention, but the different types of attentional lapses, and the subjective experiences to which they correspond, remain unspecified. In this study, we showed that unmedicated children (ages 6-12) with ADHD, when probed during a standard go/no-go task, reported more mind blanking (a mental state characterized by the absence of reportable content) than did control participants. This increase in mind blanking happened at the expense of both focused and wandering thoughts. We also found that methylphenidate reverted the level of mind blanking to baseline (i.e., the level of mind blanking reported by control children without ADHD). However, this restoration led to mind wandering more than to focused attention. In a second experiment, we extended these findings to adults who had subclinical ADHD. These results suggest that executive functions impaired in ADHD are required not only to sustain external attention but also to maintain an internal train of thought.","citation-key":"vandendriesscheAttentionalLapsesAttentionDeficit2017a","container-title":"Psychological science","DOI":"10.1177/0956797617708234","ISSN":"1467-9280 0956-7976","issue":"10","language":"eng","page":"1375–1386","PMID":"28800281","title":"Attentional Lapses in Attention-Deficit/Hyperactivity Disorder: Blank Rather Than Wandering Thoughts.","volume":"28","author":[{"family":"Van den Driessche","given":"Charlotte"},{"family":"Bastian","given":"Mikaël"},{"family":"Peyre","given":"Hugo"},{"family":"Stordeur","given":"Coline"},{"family":"Acquaviva","given":"Éric"},{"family":"Bahadori","given":"Sara"},{"family":"Delorme","given":"Richard"},{"family":"Sackur","given":"Jérôme"}],"issued":{"date-parts":[["2017",10]]}},"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(2017)</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2CE62F8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15BA10E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no</w:t>
            </w:r>
            <w:proofErr w:type="gramEnd"/>
            <w:r w:rsidRPr="22DB2182">
              <w:rPr>
                <w:rFonts w:ascii="Times New Roman" w:eastAsia="Times New Roman" w:hAnsi="Times New Roman" w:cs="Times New Roman"/>
                <w:color w:val="000000" w:themeColor="text1"/>
                <w:sz w:val="8"/>
                <w:szCs w:val="8"/>
                <w:lang w:val="fr-FR" w:eastAsia="en-US"/>
              </w:rPr>
              <w:t xml:space="preserve"> reportable content</w:t>
            </w:r>
          </w:p>
        </w:tc>
        <w:tc>
          <w:tcPr>
            <w:tcW w:w="679" w:type="pct"/>
            <w:tcBorders>
              <w:top w:val="nil"/>
              <w:left w:val="nil"/>
              <w:bottom w:val="nil"/>
              <w:right w:val="nil"/>
            </w:tcBorders>
            <w:vAlign w:val="center"/>
            <w:hideMark/>
          </w:tcPr>
          <w:p w14:paraId="6DA2C50D"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focused on task</w:t>
            </w:r>
          </w:p>
          <w:p w14:paraId="5DFB4CC5" w14:textId="77777777" w:rsidR="0065213A" w:rsidRPr="00C142D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C142D5">
              <w:rPr>
                <w:rFonts w:ascii="Times New Roman" w:eastAsia="Times New Roman" w:hAnsi="Times New Roman" w:cs="Times New Roman"/>
                <w:color w:val="000000" w:themeColor="text1"/>
                <w:sz w:val="8"/>
                <w:szCs w:val="8"/>
                <w:lang w:val="en-GB" w:eastAsia="en-US"/>
              </w:rPr>
              <w:t>not think of anything</w:t>
            </w:r>
          </w:p>
          <w:p w14:paraId="1E26627B" w14:textId="2AECEAE0"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an</w:t>
            </w:r>
            <w:proofErr w:type="gram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empty</w:t>
            </w:r>
            <w:proofErr w:type="spellEnd"/>
            <w:r w:rsidRPr="22DB2182">
              <w:rPr>
                <w:rFonts w:ascii="Times New Roman" w:eastAsia="Times New Roman" w:hAnsi="Times New Roman" w:cs="Times New Roman"/>
                <w:color w:val="000000" w:themeColor="text1"/>
                <w:sz w:val="8"/>
                <w:szCs w:val="8"/>
                <w:lang w:val="fr-FR" w:eastAsia="en-US"/>
              </w:rPr>
              <w:t xml:space="preserve"> mind</w:t>
            </w:r>
          </w:p>
        </w:tc>
        <w:tc>
          <w:tcPr>
            <w:tcW w:w="228" w:type="pct"/>
            <w:tcBorders>
              <w:top w:val="nil"/>
              <w:left w:val="nil"/>
              <w:bottom w:val="nil"/>
              <w:right w:val="nil"/>
            </w:tcBorders>
            <w:noWrap/>
            <w:vAlign w:val="center"/>
            <w:hideMark/>
          </w:tcPr>
          <w:p w14:paraId="419CBAE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196" w:type="pct"/>
            <w:tcBorders>
              <w:top w:val="nil"/>
              <w:left w:val="nil"/>
              <w:bottom w:val="nil"/>
              <w:right w:val="nil"/>
            </w:tcBorders>
            <w:noWrap/>
            <w:vAlign w:val="center"/>
            <w:hideMark/>
          </w:tcPr>
          <w:p w14:paraId="34BA64C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0.192</w:t>
            </w:r>
          </w:p>
        </w:tc>
        <w:tc>
          <w:tcPr>
            <w:tcW w:w="199" w:type="pct"/>
            <w:tcBorders>
              <w:top w:val="nil"/>
              <w:left w:val="nil"/>
              <w:bottom w:val="nil"/>
              <w:right w:val="nil"/>
            </w:tcBorders>
            <w:noWrap/>
            <w:vAlign w:val="center"/>
            <w:hideMark/>
          </w:tcPr>
          <w:p w14:paraId="6DB885E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w:t>
            </w:r>
          </w:p>
        </w:tc>
        <w:tc>
          <w:tcPr>
            <w:tcW w:w="218" w:type="pct"/>
            <w:tcBorders>
              <w:top w:val="nil"/>
              <w:left w:val="nil"/>
              <w:bottom w:val="nil"/>
              <w:right w:val="nil"/>
            </w:tcBorders>
            <w:noWrap/>
            <w:vAlign w:val="center"/>
            <w:hideMark/>
          </w:tcPr>
          <w:p w14:paraId="5AF69CF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41F01DF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60</w:t>
            </w:r>
          </w:p>
        </w:tc>
        <w:tc>
          <w:tcPr>
            <w:tcW w:w="207" w:type="pct"/>
            <w:tcBorders>
              <w:top w:val="nil"/>
              <w:left w:val="nil"/>
              <w:bottom w:val="nil"/>
              <w:right w:val="nil"/>
            </w:tcBorders>
            <w:noWrap/>
            <w:vAlign w:val="center"/>
            <w:hideMark/>
          </w:tcPr>
          <w:p w14:paraId="33BAB16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C355F8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469E184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A16470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children</w:t>
            </w:r>
            <w:proofErr w:type="spellEnd"/>
            <w:proofErr w:type="gramEnd"/>
          </w:p>
        </w:tc>
        <w:tc>
          <w:tcPr>
            <w:tcW w:w="283" w:type="pct"/>
            <w:tcBorders>
              <w:top w:val="nil"/>
              <w:left w:val="nil"/>
              <w:bottom w:val="nil"/>
              <w:right w:val="nil"/>
            </w:tcBorders>
            <w:noWrap/>
            <w:vAlign w:val="center"/>
            <w:hideMark/>
          </w:tcPr>
          <w:p w14:paraId="03AF3B8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N-ADHD</w:t>
            </w:r>
          </w:p>
        </w:tc>
        <w:tc>
          <w:tcPr>
            <w:tcW w:w="338" w:type="pct"/>
            <w:tcBorders>
              <w:top w:val="nil"/>
              <w:left w:val="nil"/>
              <w:bottom w:val="nil"/>
              <w:right w:val="nil"/>
            </w:tcBorders>
            <w:noWrap/>
            <w:vAlign w:val="center"/>
            <w:hideMark/>
          </w:tcPr>
          <w:p w14:paraId="748B39B3" w14:textId="492FABB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C3186CF" w14:textId="44DCA11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DB9BBEA" w14:textId="77777777" w:rsidTr="22DB2182">
        <w:trPr>
          <w:trHeight w:val="20"/>
        </w:trPr>
        <w:tc>
          <w:tcPr>
            <w:tcW w:w="456" w:type="pct"/>
            <w:tcBorders>
              <w:top w:val="nil"/>
              <w:left w:val="nil"/>
              <w:bottom w:val="nil"/>
              <w:right w:val="nil"/>
            </w:tcBorders>
            <w:noWrap/>
            <w:vAlign w:val="center"/>
            <w:hideMark/>
          </w:tcPr>
          <w:p w14:paraId="2617364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638A08E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bottom w:val="nil"/>
              <w:right w:val="nil"/>
            </w:tcBorders>
            <w:noWrap/>
            <w:vAlign w:val="center"/>
            <w:hideMark/>
          </w:tcPr>
          <w:p w14:paraId="418447D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vAlign w:val="center"/>
            <w:hideMark/>
          </w:tcPr>
          <w:p w14:paraId="0AC5706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5376031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196" w:type="pct"/>
            <w:tcBorders>
              <w:top w:val="nil"/>
              <w:left w:val="nil"/>
              <w:bottom w:val="nil"/>
              <w:right w:val="nil"/>
            </w:tcBorders>
            <w:noWrap/>
            <w:vAlign w:val="center"/>
            <w:hideMark/>
          </w:tcPr>
          <w:p w14:paraId="7160B9B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0.11</w:t>
            </w:r>
          </w:p>
        </w:tc>
        <w:tc>
          <w:tcPr>
            <w:tcW w:w="199" w:type="pct"/>
            <w:tcBorders>
              <w:top w:val="nil"/>
              <w:left w:val="nil"/>
              <w:bottom w:val="nil"/>
              <w:right w:val="nil"/>
            </w:tcBorders>
            <w:noWrap/>
            <w:vAlign w:val="center"/>
            <w:hideMark/>
          </w:tcPr>
          <w:p w14:paraId="26C12B5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w:t>
            </w:r>
          </w:p>
        </w:tc>
        <w:tc>
          <w:tcPr>
            <w:tcW w:w="218" w:type="pct"/>
            <w:tcBorders>
              <w:top w:val="nil"/>
              <w:left w:val="nil"/>
              <w:bottom w:val="nil"/>
              <w:right w:val="nil"/>
            </w:tcBorders>
            <w:noWrap/>
            <w:vAlign w:val="center"/>
            <w:hideMark/>
          </w:tcPr>
          <w:p w14:paraId="5BA9B47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187C90E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60</w:t>
            </w:r>
          </w:p>
        </w:tc>
        <w:tc>
          <w:tcPr>
            <w:tcW w:w="207" w:type="pct"/>
            <w:tcBorders>
              <w:top w:val="nil"/>
              <w:left w:val="nil"/>
              <w:bottom w:val="nil"/>
              <w:right w:val="nil"/>
            </w:tcBorders>
            <w:noWrap/>
            <w:vAlign w:val="center"/>
            <w:hideMark/>
          </w:tcPr>
          <w:p w14:paraId="7DD06BD9"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3FC653E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368E7AB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1307CE7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children</w:t>
            </w:r>
            <w:proofErr w:type="spellEnd"/>
            <w:proofErr w:type="gramEnd"/>
          </w:p>
        </w:tc>
        <w:tc>
          <w:tcPr>
            <w:tcW w:w="283" w:type="pct"/>
            <w:tcBorders>
              <w:top w:val="nil"/>
              <w:left w:val="nil"/>
              <w:bottom w:val="nil"/>
              <w:right w:val="nil"/>
            </w:tcBorders>
            <w:noWrap/>
            <w:vAlign w:val="center"/>
            <w:hideMark/>
          </w:tcPr>
          <w:p w14:paraId="2D87DC2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T-ADHD</w:t>
            </w:r>
          </w:p>
        </w:tc>
        <w:tc>
          <w:tcPr>
            <w:tcW w:w="338" w:type="pct"/>
            <w:tcBorders>
              <w:top w:val="nil"/>
              <w:left w:val="nil"/>
              <w:bottom w:val="nil"/>
              <w:right w:val="nil"/>
            </w:tcBorders>
            <w:noWrap/>
            <w:vAlign w:val="center"/>
            <w:hideMark/>
          </w:tcPr>
          <w:p w14:paraId="5016B8B6" w14:textId="5F1BEB7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2B8FC74" w14:textId="4D25B38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AAE6736" w14:textId="77777777" w:rsidTr="22DB2182">
        <w:trPr>
          <w:trHeight w:val="20"/>
        </w:trPr>
        <w:tc>
          <w:tcPr>
            <w:tcW w:w="456" w:type="pct"/>
            <w:tcBorders>
              <w:top w:val="nil"/>
              <w:left w:val="nil"/>
              <w:bottom w:val="nil"/>
              <w:right w:val="nil"/>
            </w:tcBorders>
            <w:noWrap/>
            <w:vAlign w:val="center"/>
            <w:hideMark/>
          </w:tcPr>
          <w:p w14:paraId="396AEEA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5653478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1c</w:t>
            </w:r>
          </w:p>
        </w:tc>
        <w:tc>
          <w:tcPr>
            <w:tcW w:w="585" w:type="pct"/>
            <w:tcBorders>
              <w:top w:val="nil"/>
              <w:left w:val="nil"/>
              <w:bottom w:val="nil"/>
              <w:right w:val="nil"/>
            </w:tcBorders>
            <w:noWrap/>
            <w:vAlign w:val="center"/>
            <w:hideMark/>
          </w:tcPr>
          <w:p w14:paraId="53ECCAD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vAlign w:val="center"/>
            <w:hideMark/>
          </w:tcPr>
          <w:p w14:paraId="3E2F1D3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3080587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196" w:type="pct"/>
            <w:tcBorders>
              <w:top w:val="nil"/>
              <w:left w:val="nil"/>
              <w:bottom w:val="nil"/>
              <w:right w:val="nil"/>
            </w:tcBorders>
            <w:noWrap/>
            <w:vAlign w:val="center"/>
            <w:hideMark/>
          </w:tcPr>
          <w:p w14:paraId="46CDA6E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0.081</w:t>
            </w:r>
          </w:p>
        </w:tc>
        <w:tc>
          <w:tcPr>
            <w:tcW w:w="199" w:type="pct"/>
            <w:tcBorders>
              <w:top w:val="nil"/>
              <w:left w:val="nil"/>
              <w:bottom w:val="nil"/>
              <w:right w:val="nil"/>
            </w:tcBorders>
            <w:noWrap/>
            <w:vAlign w:val="center"/>
            <w:hideMark/>
          </w:tcPr>
          <w:p w14:paraId="5A88496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w:t>
            </w:r>
          </w:p>
        </w:tc>
        <w:tc>
          <w:tcPr>
            <w:tcW w:w="218" w:type="pct"/>
            <w:tcBorders>
              <w:top w:val="nil"/>
              <w:left w:val="nil"/>
              <w:bottom w:val="nil"/>
              <w:right w:val="nil"/>
            </w:tcBorders>
            <w:noWrap/>
            <w:vAlign w:val="center"/>
            <w:hideMark/>
          </w:tcPr>
          <w:p w14:paraId="3973CBD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2A5F69B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60</w:t>
            </w:r>
          </w:p>
        </w:tc>
        <w:tc>
          <w:tcPr>
            <w:tcW w:w="207" w:type="pct"/>
            <w:tcBorders>
              <w:top w:val="nil"/>
              <w:left w:val="nil"/>
              <w:bottom w:val="nil"/>
              <w:right w:val="nil"/>
            </w:tcBorders>
            <w:noWrap/>
            <w:vAlign w:val="center"/>
            <w:hideMark/>
          </w:tcPr>
          <w:p w14:paraId="296697C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FDA478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53F7A8E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5F17F7C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children</w:t>
            </w:r>
            <w:proofErr w:type="spellEnd"/>
            <w:proofErr w:type="gramEnd"/>
          </w:p>
        </w:tc>
        <w:tc>
          <w:tcPr>
            <w:tcW w:w="283" w:type="pct"/>
            <w:tcBorders>
              <w:top w:val="nil"/>
              <w:left w:val="nil"/>
              <w:bottom w:val="nil"/>
              <w:right w:val="nil"/>
            </w:tcBorders>
            <w:noWrap/>
            <w:vAlign w:val="center"/>
            <w:hideMark/>
          </w:tcPr>
          <w:p w14:paraId="3589F7F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various</w:t>
            </w:r>
            <w:proofErr w:type="spellEnd"/>
            <w:proofErr w:type="gramEnd"/>
          </w:p>
        </w:tc>
        <w:tc>
          <w:tcPr>
            <w:tcW w:w="338" w:type="pct"/>
            <w:tcBorders>
              <w:top w:val="nil"/>
              <w:left w:val="nil"/>
              <w:bottom w:val="nil"/>
              <w:right w:val="nil"/>
            </w:tcBorders>
            <w:noWrap/>
            <w:vAlign w:val="center"/>
            <w:hideMark/>
          </w:tcPr>
          <w:p w14:paraId="08FABB0A" w14:textId="3A647CA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5E62F39" w14:textId="3C0F319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EBE15E1" w14:textId="77777777" w:rsidTr="22DB2182">
        <w:trPr>
          <w:trHeight w:val="20"/>
        </w:trPr>
        <w:tc>
          <w:tcPr>
            <w:tcW w:w="456" w:type="pct"/>
            <w:tcBorders>
              <w:top w:val="nil"/>
              <w:left w:val="nil"/>
              <w:bottom w:val="nil"/>
              <w:right w:val="nil"/>
            </w:tcBorders>
            <w:noWrap/>
            <w:vAlign w:val="center"/>
            <w:hideMark/>
          </w:tcPr>
          <w:p w14:paraId="4FBA63B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3C9099A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1d</w:t>
            </w:r>
          </w:p>
        </w:tc>
        <w:tc>
          <w:tcPr>
            <w:tcW w:w="585" w:type="pct"/>
            <w:tcBorders>
              <w:top w:val="nil"/>
              <w:left w:val="nil"/>
              <w:bottom w:val="nil"/>
              <w:right w:val="nil"/>
            </w:tcBorders>
            <w:noWrap/>
            <w:vAlign w:val="center"/>
            <w:hideMark/>
          </w:tcPr>
          <w:p w14:paraId="1262A52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vAlign w:val="center"/>
            <w:hideMark/>
          </w:tcPr>
          <w:p w14:paraId="6D65D58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76BE780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20</w:t>
            </w:r>
          </w:p>
        </w:tc>
        <w:tc>
          <w:tcPr>
            <w:tcW w:w="196" w:type="pct"/>
            <w:tcBorders>
              <w:top w:val="nil"/>
              <w:left w:val="nil"/>
              <w:bottom w:val="nil"/>
              <w:right w:val="nil"/>
            </w:tcBorders>
            <w:noWrap/>
            <w:vAlign w:val="center"/>
            <w:hideMark/>
          </w:tcPr>
          <w:p w14:paraId="040ED34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0.08</w:t>
            </w:r>
          </w:p>
        </w:tc>
        <w:tc>
          <w:tcPr>
            <w:tcW w:w="199" w:type="pct"/>
            <w:tcBorders>
              <w:top w:val="nil"/>
              <w:left w:val="nil"/>
              <w:bottom w:val="nil"/>
              <w:right w:val="nil"/>
            </w:tcBorders>
            <w:noWrap/>
            <w:vAlign w:val="center"/>
            <w:hideMark/>
          </w:tcPr>
          <w:p w14:paraId="47CAEEB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w:t>
            </w:r>
          </w:p>
        </w:tc>
        <w:tc>
          <w:tcPr>
            <w:tcW w:w="218" w:type="pct"/>
            <w:tcBorders>
              <w:top w:val="nil"/>
              <w:left w:val="nil"/>
              <w:bottom w:val="nil"/>
              <w:right w:val="nil"/>
            </w:tcBorders>
            <w:noWrap/>
            <w:vAlign w:val="center"/>
            <w:hideMark/>
          </w:tcPr>
          <w:p w14:paraId="4F35436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49681E4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60</w:t>
            </w:r>
          </w:p>
        </w:tc>
        <w:tc>
          <w:tcPr>
            <w:tcW w:w="207" w:type="pct"/>
            <w:tcBorders>
              <w:top w:val="nil"/>
              <w:left w:val="nil"/>
              <w:bottom w:val="nil"/>
              <w:right w:val="nil"/>
            </w:tcBorders>
            <w:noWrap/>
            <w:vAlign w:val="center"/>
            <w:hideMark/>
          </w:tcPr>
          <w:p w14:paraId="3A5EBC1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5F63D6C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1433E1F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256FBD3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children</w:t>
            </w:r>
            <w:proofErr w:type="spellEnd"/>
            <w:proofErr w:type="gramEnd"/>
          </w:p>
        </w:tc>
        <w:tc>
          <w:tcPr>
            <w:tcW w:w="283" w:type="pct"/>
            <w:tcBorders>
              <w:top w:val="nil"/>
              <w:left w:val="nil"/>
              <w:bottom w:val="nil"/>
              <w:right w:val="nil"/>
            </w:tcBorders>
            <w:noWrap/>
            <w:vAlign w:val="center"/>
            <w:hideMark/>
          </w:tcPr>
          <w:p w14:paraId="4ABB62B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1C7D27E" w14:textId="2DEE51A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9E2D97B" w14:textId="2ABF982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E845140" w14:textId="77777777" w:rsidTr="22DB2182">
        <w:trPr>
          <w:trHeight w:val="20"/>
        </w:trPr>
        <w:tc>
          <w:tcPr>
            <w:tcW w:w="456" w:type="pct"/>
            <w:tcBorders>
              <w:top w:val="nil"/>
              <w:left w:val="nil"/>
              <w:bottom w:val="nil"/>
              <w:right w:val="nil"/>
            </w:tcBorders>
            <w:noWrap/>
            <w:vAlign w:val="center"/>
            <w:hideMark/>
          </w:tcPr>
          <w:p w14:paraId="6D5A3C8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39D1783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2a</w:t>
            </w:r>
          </w:p>
        </w:tc>
        <w:tc>
          <w:tcPr>
            <w:tcW w:w="585" w:type="pct"/>
            <w:tcBorders>
              <w:top w:val="nil"/>
              <w:left w:val="nil"/>
              <w:bottom w:val="nil"/>
              <w:right w:val="nil"/>
            </w:tcBorders>
            <w:noWrap/>
            <w:vAlign w:val="center"/>
            <w:hideMark/>
          </w:tcPr>
          <w:p w14:paraId="33FE8A9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vAlign w:val="center"/>
            <w:hideMark/>
          </w:tcPr>
          <w:p w14:paraId="4718635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0DA7737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w:t>
            </w:r>
          </w:p>
        </w:tc>
        <w:tc>
          <w:tcPr>
            <w:tcW w:w="196" w:type="pct"/>
            <w:tcBorders>
              <w:top w:val="nil"/>
              <w:left w:val="nil"/>
              <w:bottom w:val="nil"/>
              <w:right w:val="nil"/>
            </w:tcBorders>
            <w:noWrap/>
            <w:vAlign w:val="center"/>
            <w:hideMark/>
          </w:tcPr>
          <w:p w14:paraId="6C068AC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0.144</w:t>
            </w:r>
          </w:p>
        </w:tc>
        <w:tc>
          <w:tcPr>
            <w:tcW w:w="199" w:type="pct"/>
            <w:tcBorders>
              <w:top w:val="nil"/>
              <w:left w:val="nil"/>
              <w:bottom w:val="nil"/>
              <w:right w:val="nil"/>
            </w:tcBorders>
            <w:noWrap/>
            <w:vAlign w:val="center"/>
            <w:hideMark/>
          </w:tcPr>
          <w:p w14:paraId="5206E49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w:t>
            </w:r>
          </w:p>
        </w:tc>
        <w:tc>
          <w:tcPr>
            <w:tcW w:w="218" w:type="pct"/>
            <w:tcBorders>
              <w:top w:val="nil"/>
              <w:left w:val="nil"/>
              <w:bottom w:val="nil"/>
              <w:right w:val="nil"/>
            </w:tcBorders>
            <w:noWrap/>
            <w:vAlign w:val="center"/>
            <w:hideMark/>
          </w:tcPr>
          <w:p w14:paraId="6D7D194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734076A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60</w:t>
            </w:r>
          </w:p>
        </w:tc>
        <w:tc>
          <w:tcPr>
            <w:tcW w:w="207" w:type="pct"/>
            <w:tcBorders>
              <w:top w:val="nil"/>
              <w:left w:val="nil"/>
              <w:bottom w:val="nil"/>
              <w:right w:val="nil"/>
            </w:tcBorders>
            <w:noWrap/>
            <w:vAlign w:val="center"/>
            <w:hideMark/>
          </w:tcPr>
          <w:p w14:paraId="0B14392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21E0B92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452CB56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5F39451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31CF83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ADHD</w:t>
            </w:r>
          </w:p>
        </w:tc>
        <w:tc>
          <w:tcPr>
            <w:tcW w:w="338" w:type="pct"/>
            <w:tcBorders>
              <w:top w:val="nil"/>
              <w:left w:val="nil"/>
              <w:bottom w:val="nil"/>
              <w:right w:val="nil"/>
            </w:tcBorders>
            <w:noWrap/>
            <w:vAlign w:val="center"/>
            <w:hideMark/>
          </w:tcPr>
          <w:p w14:paraId="796B6D42" w14:textId="133C451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294B72EA" w14:textId="0A335D0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7D3B478D" w14:textId="77777777" w:rsidTr="22DB2182">
        <w:trPr>
          <w:trHeight w:val="20"/>
        </w:trPr>
        <w:tc>
          <w:tcPr>
            <w:tcW w:w="456" w:type="pct"/>
            <w:tcBorders>
              <w:top w:val="nil"/>
              <w:left w:val="nil"/>
              <w:bottom w:val="nil"/>
              <w:right w:val="nil"/>
            </w:tcBorders>
            <w:noWrap/>
            <w:vAlign w:val="center"/>
            <w:hideMark/>
          </w:tcPr>
          <w:p w14:paraId="452DE0B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0C12858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2b</w:t>
            </w:r>
          </w:p>
        </w:tc>
        <w:tc>
          <w:tcPr>
            <w:tcW w:w="585" w:type="pct"/>
            <w:tcBorders>
              <w:top w:val="nil"/>
              <w:left w:val="nil"/>
              <w:bottom w:val="nil"/>
              <w:right w:val="nil"/>
            </w:tcBorders>
            <w:noWrap/>
            <w:vAlign w:val="center"/>
            <w:hideMark/>
          </w:tcPr>
          <w:p w14:paraId="3D98621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vAlign w:val="center"/>
            <w:hideMark/>
          </w:tcPr>
          <w:p w14:paraId="19F8812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6D7F526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196" w:type="pct"/>
            <w:tcBorders>
              <w:top w:val="nil"/>
              <w:left w:val="nil"/>
              <w:bottom w:val="nil"/>
              <w:right w:val="nil"/>
            </w:tcBorders>
            <w:noWrap/>
            <w:vAlign w:val="center"/>
            <w:hideMark/>
          </w:tcPr>
          <w:p w14:paraId="48889A0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0.06</w:t>
            </w:r>
          </w:p>
        </w:tc>
        <w:tc>
          <w:tcPr>
            <w:tcW w:w="199" w:type="pct"/>
            <w:tcBorders>
              <w:top w:val="nil"/>
              <w:left w:val="nil"/>
              <w:bottom w:val="nil"/>
              <w:right w:val="nil"/>
            </w:tcBorders>
            <w:noWrap/>
            <w:vAlign w:val="center"/>
            <w:hideMark/>
          </w:tcPr>
          <w:p w14:paraId="3B89ADF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w:t>
            </w:r>
          </w:p>
        </w:tc>
        <w:tc>
          <w:tcPr>
            <w:tcW w:w="218" w:type="pct"/>
            <w:tcBorders>
              <w:top w:val="nil"/>
              <w:left w:val="nil"/>
              <w:bottom w:val="nil"/>
              <w:right w:val="nil"/>
            </w:tcBorders>
            <w:noWrap/>
            <w:vAlign w:val="center"/>
            <w:hideMark/>
          </w:tcPr>
          <w:p w14:paraId="2BE4027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653FADB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60</w:t>
            </w:r>
          </w:p>
        </w:tc>
        <w:tc>
          <w:tcPr>
            <w:tcW w:w="207" w:type="pct"/>
            <w:tcBorders>
              <w:top w:val="nil"/>
              <w:left w:val="nil"/>
              <w:bottom w:val="nil"/>
              <w:right w:val="nil"/>
            </w:tcBorders>
            <w:noWrap/>
            <w:vAlign w:val="center"/>
            <w:hideMark/>
          </w:tcPr>
          <w:p w14:paraId="56F7B2B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779139D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196552B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5F21F26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345CD8F8"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68FC787C" w14:textId="6F85591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8A71772" w14:textId="69B7CF59"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60F9BB59" w14:textId="77777777" w:rsidTr="22DB2182">
        <w:trPr>
          <w:trHeight w:val="20"/>
        </w:trPr>
        <w:tc>
          <w:tcPr>
            <w:tcW w:w="456" w:type="pct"/>
            <w:tcBorders>
              <w:top w:val="nil"/>
              <w:left w:val="nil"/>
              <w:bottom w:val="nil"/>
              <w:right w:val="nil"/>
            </w:tcBorders>
            <w:noWrap/>
            <w:vAlign w:val="center"/>
            <w:hideMark/>
          </w:tcPr>
          <w:p w14:paraId="6634F5F0" w14:textId="2D4EA9B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Van den Driessche,</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{"citationID":"a1vbndg1vi9","properties":{"unsorted":false,"formattedCitation":"(2025)","plainCitation":"(2025)","noteIndex":0},"citationItems":[{"id":5750,"uris":["http://zotero.org/users/8613739/items/ZH4DPSTN"],"itemData":{"id":5750,"type":"article-journal","abstract":"Thanks to the wealth of studies on mind-wandering, the stream of thought has now become, again, the focus of mainstream investigations in cognitive psychology.  Yet, how one should describe and measure the stream of thought is still very much  left undecided. Here, we approach the problem through the notion of mental  states. Based on conceptual analysis and previous empirical data, we identify  five states: focus, task-related interference, external distraction, daydream,  and blank. We ask the question whether this classification (the Classification of  Mental States - CoMS-5T) - provides an adequate partition of mental states. To do  so, first, we rely on participants' free verbal reports of their mental contents,  that were then classified off-line by external raters. We provide evidence for  the construct validity of the CoMS-5T and for its neutrality, in the sense that  it does bias participants' reports. Second, we provide evidence for the criterion  validity of the CoMS-5T: by means of a reanalysis of a large data set made  available by Beikmohamadi and Meier (2022), we find distinct behavioural  signatures for four of the five states in the CoMS.","citation-key":"vandendriesscheStatesMindCommon2025","container-title":"Consciousness and cognition","DOI":"10.1016/j.concog.2025.103828","ISSN":"1090-2376 1053-8100","journalAbbreviation":"Conscious Cogn","language":"eng","license":"Copyright © 2025 The Author(s). Published by Elsevier Inc. All rights reserved.","page":"103828","PMID":"40009896","publisher-place":"United States","title":"States of mind: Towards a common classification of mental states.","volume":"129","author":[{"family":"Van den Driessche","given":"Charlotte"},{"family":"Chappé","given":"Clotilde"},{"family":"Konishi","given":"Mahiko"},{"family":"Cleeremans","given":"Axel"},{"family":"Sackur","given":"Jérôme"}],"issued":{"date-parts":[["2025",3]]}},"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18CBF2F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6083CCFD" w14:textId="77777777" w:rsidR="0065213A" w:rsidRPr="003D575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3D5755">
              <w:rPr>
                <w:rFonts w:ascii="Times New Roman" w:eastAsia="Times New Roman" w:hAnsi="Times New Roman" w:cs="Times New Roman"/>
                <w:color w:val="000000" w:themeColor="text1"/>
                <w:sz w:val="8"/>
                <w:szCs w:val="8"/>
                <w:lang w:val="en-GB" w:eastAsia="en-US"/>
              </w:rPr>
              <w:t>absence of focus</w:t>
            </w:r>
          </w:p>
          <w:p w14:paraId="6335EF4F" w14:textId="178EE8C0" w:rsidR="0065213A" w:rsidRPr="003D575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3D5755">
              <w:rPr>
                <w:rFonts w:ascii="Times New Roman" w:eastAsia="Times New Roman" w:hAnsi="Times New Roman" w:cs="Times New Roman"/>
                <w:color w:val="000000" w:themeColor="text1"/>
                <w:sz w:val="8"/>
                <w:szCs w:val="8"/>
                <w:lang w:val="en-GB" w:eastAsia="en-US"/>
              </w:rPr>
              <w:t>no reportable content</w:t>
            </w:r>
          </w:p>
        </w:tc>
        <w:tc>
          <w:tcPr>
            <w:tcW w:w="679" w:type="pct"/>
            <w:tcBorders>
              <w:top w:val="nil"/>
              <w:left w:val="nil"/>
              <w:bottom w:val="nil"/>
              <w:right w:val="nil"/>
            </w:tcBorders>
            <w:noWrap/>
            <w:vAlign w:val="center"/>
            <w:hideMark/>
          </w:tcPr>
          <w:p w14:paraId="272A9F43" w14:textId="4B9A7D3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28" w:type="pct"/>
            <w:tcBorders>
              <w:top w:val="nil"/>
              <w:left w:val="nil"/>
              <w:bottom w:val="nil"/>
              <w:right w:val="nil"/>
            </w:tcBorders>
            <w:noWrap/>
            <w:vAlign w:val="center"/>
            <w:hideMark/>
          </w:tcPr>
          <w:p w14:paraId="292CA6F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196" w:type="pct"/>
            <w:tcBorders>
              <w:top w:val="nil"/>
              <w:left w:val="nil"/>
              <w:bottom w:val="nil"/>
              <w:right w:val="nil"/>
            </w:tcBorders>
            <w:noWrap/>
            <w:vAlign w:val="center"/>
            <w:hideMark/>
          </w:tcPr>
          <w:p w14:paraId="310DC1C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0.048</w:t>
            </w:r>
          </w:p>
        </w:tc>
        <w:tc>
          <w:tcPr>
            <w:tcW w:w="199" w:type="pct"/>
            <w:tcBorders>
              <w:top w:val="nil"/>
              <w:left w:val="nil"/>
              <w:bottom w:val="nil"/>
              <w:right w:val="nil"/>
            </w:tcBorders>
            <w:noWrap/>
            <w:vAlign w:val="center"/>
            <w:hideMark/>
          </w:tcPr>
          <w:p w14:paraId="77CF885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18" w:type="pct"/>
            <w:tcBorders>
              <w:top w:val="nil"/>
              <w:left w:val="nil"/>
              <w:bottom w:val="nil"/>
              <w:right w:val="nil"/>
            </w:tcBorders>
            <w:noWrap/>
            <w:vAlign w:val="center"/>
            <w:hideMark/>
          </w:tcPr>
          <w:p w14:paraId="6FAD7EE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nil"/>
              <w:right w:val="nil"/>
            </w:tcBorders>
            <w:noWrap/>
            <w:vAlign w:val="center"/>
            <w:hideMark/>
          </w:tcPr>
          <w:p w14:paraId="6DE9C73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w:t>
            </w:r>
          </w:p>
        </w:tc>
        <w:tc>
          <w:tcPr>
            <w:tcW w:w="207" w:type="pct"/>
            <w:tcBorders>
              <w:top w:val="nil"/>
              <w:left w:val="nil"/>
              <w:bottom w:val="nil"/>
              <w:right w:val="nil"/>
            </w:tcBorders>
            <w:noWrap/>
            <w:vAlign w:val="center"/>
            <w:hideMark/>
          </w:tcPr>
          <w:p w14:paraId="3C8C99D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78F5C51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CRT</w:t>
            </w:r>
          </w:p>
        </w:tc>
        <w:tc>
          <w:tcPr>
            <w:tcW w:w="244" w:type="pct"/>
            <w:tcBorders>
              <w:top w:val="nil"/>
              <w:left w:val="nil"/>
              <w:bottom w:val="nil"/>
              <w:right w:val="nil"/>
            </w:tcBorders>
            <w:noWrap/>
            <w:vAlign w:val="center"/>
            <w:hideMark/>
          </w:tcPr>
          <w:p w14:paraId="0797A96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6049986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2694B31"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C76561E" w14:textId="00C3B3A8"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02D2830A" w14:textId="6ECFD85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F959FD4" w14:textId="77777777" w:rsidTr="22DB2182">
        <w:trPr>
          <w:trHeight w:val="20"/>
        </w:trPr>
        <w:tc>
          <w:tcPr>
            <w:tcW w:w="456" w:type="pct"/>
            <w:tcBorders>
              <w:top w:val="nil"/>
              <w:left w:val="nil"/>
              <w:bottom w:val="nil"/>
              <w:right w:val="nil"/>
            </w:tcBorders>
            <w:noWrap/>
            <w:vAlign w:val="center"/>
            <w:hideMark/>
          </w:tcPr>
          <w:p w14:paraId="67951F52" w14:textId="35F3853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Vékony,</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dj36lk57u","properties":{"unsorted":false,"formattedCitation":"(2025)","plainCitation":"(2025)","noteIndex":0},"citationItems":[{"id":15803,"uris":["http://zotero.org/groups/6160358/items/8DRPDRJC"],"itemData":{"id":15803,"type":"article-journal","abstract":"Human cognition must balance goal-directed behavior with the need to learn from environmental regularities. Mind wandering (MW), a state of attentional decoupling from the task at hand, is paradoxically associated with both executive failures and enhanced implicit statistical learning, yet the direct relationship between these phenomena remains unclear. Here, we provide direct behavioral evidence for a functional trade-off between these competing demands. Using a task that concurrently measured response inhibition, statistical learning, and self-reported task focus, we show that MW is associated with impaired inhibitory control but enhanced learning of probabilistic sequences. Critically, we reveal that these effects are mechanistically linked: the magnitude of the learning enhancement during MW is quantitatively modulated by the efficacy of response inhibition. These findings demonstrate that transient lapses in top-down executive control directly facilitate the implicit extraction of environmental statistics, supporting neurocompetition models and framing MW as a cognitive state that may be evolutionarily preserved to promote the unsupervised acquisition of predictive models.","citation-key":"vekonyFunctionalTradeoffExecutive2025a","container-title":"bioRxiv","page":"2025–08","title":"A functional trade-off between executive control and implicit statistical learning is dynamically gated by mind wandering","author":[{"family":"Vekony","given":"Teodora"},{"family":"Brezoczki","given":"Bianka"},{"family":"Csifcsak","given":"Gabor"},{"family":"Nemeth","given":"Dezso"},{"family":"Simor","given":"Peter"}],"issued":{"date-parts":[["2025"]]}},"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5EDF836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3FC0CE8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no</w:t>
            </w:r>
            <w:proofErr w:type="gramEnd"/>
            <w:r w:rsidRPr="22DB2182">
              <w:rPr>
                <w:rFonts w:ascii="Times New Roman" w:eastAsia="Times New Roman" w:hAnsi="Times New Roman" w:cs="Times New Roman"/>
                <w:color w:val="000000" w:themeColor="text1"/>
                <w:sz w:val="8"/>
                <w:szCs w:val="8"/>
                <w:lang w:val="fr-FR" w:eastAsia="en-US"/>
              </w:rPr>
              <w:t xml:space="preserve"> reportable content</w:t>
            </w:r>
          </w:p>
        </w:tc>
        <w:tc>
          <w:tcPr>
            <w:tcW w:w="679" w:type="pct"/>
            <w:tcBorders>
              <w:top w:val="nil"/>
              <w:left w:val="nil"/>
              <w:bottom w:val="nil"/>
              <w:right w:val="nil"/>
            </w:tcBorders>
            <w:vAlign w:val="center"/>
            <w:hideMark/>
          </w:tcPr>
          <w:p w14:paraId="7AD665A9" w14:textId="77777777" w:rsidR="0065213A" w:rsidRPr="003D575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3D5755">
              <w:rPr>
                <w:rFonts w:ascii="Times New Roman" w:eastAsia="Times New Roman" w:hAnsi="Times New Roman" w:cs="Times New Roman"/>
                <w:color w:val="000000" w:themeColor="text1"/>
                <w:sz w:val="8"/>
                <w:szCs w:val="8"/>
                <w:lang w:val="en-GB" w:eastAsia="en-US"/>
              </w:rPr>
              <w:t>not focused on task</w:t>
            </w:r>
          </w:p>
          <w:p w14:paraId="62BED44C" w14:textId="4A3553A3" w:rsidR="0065213A" w:rsidRPr="003D575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3D5755">
              <w:rPr>
                <w:rFonts w:ascii="Times New Roman" w:eastAsia="Times New Roman" w:hAnsi="Times New Roman" w:cs="Times New Roman"/>
                <w:color w:val="000000" w:themeColor="text1"/>
                <w:sz w:val="8"/>
                <w:szCs w:val="8"/>
                <w:lang w:val="en-GB" w:eastAsia="en-US"/>
              </w:rPr>
              <w:t>not thinking of anything</w:t>
            </w:r>
          </w:p>
        </w:tc>
        <w:tc>
          <w:tcPr>
            <w:tcW w:w="228" w:type="pct"/>
            <w:tcBorders>
              <w:top w:val="nil"/>
              <w:left w:val="nil"/>
              <w:bottom w:val="nil"/>
              <w:right w:val="nil"/>
            </w:tcBorders>
            <w:noWrap/>
            <w:vAlign w:val="center"/>
            <w:hideMark/>
          </w:tcPr>
          <w:p w14:paraId="4DE3529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240</w:t>
            </w:r>
          </w:p>
        </w:tc>
        <w:tc>
          <w:tcPr>
            <w:tcW w:w="196" w:type="pct"/>
            <w:tcBorders>
              <w:top w:val="nil"/>
              <w:left w:val="nil"/>
              <w:bottom w:val="nil"/>
              <w:right w:val="nil"/>
            </w:tcBorders>
            <w:noWrap/>
            <w:vAlign w:val="center"/>
            <w:hideMark/>
          </w:tcPr>
          <w:p w14:paraId="24E4ECD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0.157</w:t>
            </w:r>
          </w:p>
        </w:tc>
        <w:tc>
          <w:tcPr>
            <w:tcW w:w="199" w:type="pct"/>
            <w:tcBorders>
              <w:top w:val="nil"/>
              <w:left w:val="nil"/>
              <w:bottom w:val="nil"/>
              <w:right w:val="nil"/>
            </w:tcBorders>
            <w:noWrap/>
            <w:vAlign w:val="center"/>
            <w:hideMark/>
          </w:tcPr>
          <w:p w14:paraId="7D5E902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18" w:type="pct"/>
            <w:tcBorders>
              <w:top w:val="nil"/>
              <w:left w:val="nil"/>
              <w:bottom w:val="nil"/>
              <w:right w:val="nil"/>
            </w:tcBorders>
            <w:noWrap/>
            <w:vAlign w:val="center"/>
            <w:hideMark/>
          </w:tcPr>
          <w:p w14:paraId="2FCC1948" w14:textId="771ED11E" w:rsidR="0065213A" w:rsidRPr="0065213A" w:rsidRDefault="00884F5F"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scale</w:t>
            </w:r>
            <w:proofErr w:type="spellEnd"/>
            <w:proofErr w:type="gramEnd"/>
          </w:p>
        </w:tc>
        <w:tc>
          <w:tcPr>
            <w:tcW w:w="327" w:type="pct"/>
            <w:tcBorders>
              <w:top w:val="nil"/>
              <w:left w:val="nil"/>
              <w:bottom w:val="nil"/>
              <w:right w:val="nil"/>
            </w:tcBorders>
            <w:noWrap/>
            <w:vAlign w:val="center"/>
            <w:hideMark/>
          </w:tcPr>
          <w:p w14:paraId="43F2AA29" w14:textId="36AC920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4F76B9EA"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18C729B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CTT</w:t>
            </w:r>
          </w:p>
        </w:tc>
        <w:tc>
          <w:tcPr>
            <w:tcW w:w="244" w:type="pct"/>
            <w:tcBorders>
              <w:top w:val="nil"/>
              <w:left w:val="nil"/>
              <w:bottom w:val="nil"/>
              <w:right w:val="nil"/>
            </w:tcBorders>
            <w:noWrap/>
            <w:vAlign w:val="center"/>
            <w:hideMark/>
          </w:tcPr>
          <w:p w14:paraId="2B99086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28E55CD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0226BD9C"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2344AA91" w14:textId="156AC992"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C504C8E" w14:textId="3CC3B444"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7753639" w14:textId="77777777" w:rsidTr="22DB2182">
        <w:trPr>
          <w:trHeight w:val="20"/>
        </w:trPr>
        <w:tc>
          <w:tcPr>
            <w:tcW w:w="456" w:type="pct"/>
            <w:tcBorders>
              <w:top w:val="nil"/>
              <w:left w:val="nil"/>
              <w:bottom w:val="nil"/>
              <w:right w:val="nil"/>
            </w:tcBorders>
            <w:noWrap/>
            <w:vAlign w:val="center"/>
            <w:hideMark/>
          </w:tcPr>
          <w:p w14:paraId="3A21635B" w14:textId="558983A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Vékony,</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{"citationID":"a2mncvm5sjp","properties":{"unsorted":false,"formattedCitation":"(2025)","plainCitation":"(2025)","noteIndex":0},"citationItems":[{"id":16062,"uris":["http://zotero.org/groups/6160358/items/24UA2W4Z"],"itemData":{"id":16062,"type":"article-journal","abstract":"The human brain spends 30–50% of its waking hours engaged in mind-wandering (MW), a common phenomenon in which individuals either spontaneously or deliberately shift their attention away from external tasks to task-unrelated internal thoughts. Despite the significant amount of time dedicated to MW, its underlying reasons remain unexplained. Our pre-registered study investigates the potential adaptive aspects of MW, particularly its role in predictive processes measured by statistical learning. We simultaneously assessed visuomotor task performance as well as the capability to extract probabilistic information from the environment while assessing task focus (on-task vs. MW). We found that MW was associated with enhanced extraction of hidden, but predictable patterns. This finding suggests that MW may have functional relevance in human cognition by shaping behavior and predictive processes. Overall, our results highlight the importance of considering the adaptive aspects of MW, and its potential to enhance certain fundamental cognitive abilities. © 2025 Elsevier B.V., All rights reserved.","citation-key":"vekonyMindWanderingEnhances2025a","container-title":"iScience","DOI":"10.1016/j.isci.2024.111703","issue":"2","title":"Mind wandering enhances statistical learning","URL":"https://www.scopus.com/inward/record.uri?eid=2-s2.0-85215207639&amp;doi=10.1016%2Fj.isci.2024.111703&amp;partnerID=40&amp;md5=166cbf64ef27f5823e634312fcb3e620","volume":"28","author":[{"family":"Vékony","given":"T."},{"family":"Farkas","given":"B.C."},{"family":"Brezóczki","given":"B."},{"family":"Mittner","given":"M."},{"family":"Csifcsák","given":"G."},{"family":"Simor","given":"P."},{"family":"Németh","given":"D."}],"issued":{"date-parts":[["2025"]]}},"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2DED5DA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062E56A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no</w:t>
            </w:r>
            <w:proofErr w:type="gramEnd"/>
            <w:r w:rsidRPr="22DB2182">
              <w:rPr>
                <w:rFonts w:ascii="Times New Roman" w:eastAsia="Times New Roman" w:hAnsi="Times New Roman" w:cs="Times New Roman"/>
                <w:color w:val="000000" w:themeColor="text1"/>
                <w:sz w:val="8"/>
                <w:szCs w:val="8"/>
                <w:lang w:val="fr-FR" w:eastAsia="en-US"/>
              </w:rPr>
              <w:t xml:space="preserve"> reportable content</w:t>
            </w:r>
          </w:p>
        </w:tc>
        <w:tc>
          <w:tcPr>
            <w:tcW w:w="679" w:type="pct"/>
            <w:tcBorders>
              <w:top w:val="nil"/>
              <w:left w:val="nil"/>
              <w:bottom w:val="nil"/>
              <w:right w:val="nil"/>
            </w:tcBorders>
            <w:vAlign w:val="center"/>
            <w:hideMark/>
          </w:tcPr>
          <w:p w14:paraId="6CB991AF" w14:textId="77777777" w:rsidR="0065213A" w:rsidRPr="003D575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3D5755">
              <w:rPr>
                <w:rFonts w:ascii="Times New Roman" w:eastAsia="Times New Roman" w:hAnsi="Times New Roman" w:cs="Times New Roman"/>
                <w:color w:val="000000" w:themeColor="text1"/>
                <w:sz w:val="8"/>
                <w:szCs w:val="8"/>
                <w:lang w:val="en-GB" w:eastAsia="en-US"/>
              </w:rPr>
              <w:t>not focused on task,</w:t>
            </w:r>
          </w:p>
          <w:p w14:paraId="3ABE80EF" w14:textId="1DDE1ADF" w:rsidR="0065213A" w:rsidRPr="003D575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3D5755">
              <w:rPr>
                <w:rFonts w:ascii="Times New Roman" w:eastAsia="Times New Roman" w:hAnsi="Times New Roman" w:cs="Times New Roman"/>
                <w:color w:val="000000" w:themeColor="text1"/>
                <w:sz w:val="8"/>
                <w:szCs w:val="8"/>
                <w:lang w:val="en-GB" w:eastAsia="en-US"/>
              </w:rPr>
              <w:t>not thinking of anything</w:t>
            </w:r>
          </w:p>
        </w:tc>
        <w:tc>
          <w:tcPr>
            <w:tcW w:w="228" w:type="pct"/>
            <w:tcBorders>
              <w:top w:val="nil"/>
              <w:left w:val="nil"/>
              <w:bottom w:val="nil"/>
              <w:right w:val="nil"/>
            </w:tcBorders>
            <w:noWrap/>
            <w:vAlign w:val="center"/>
            <w:hideMark/>
          </w:tcPr>
          <w:p w14:paraId="396522D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135</w:t>
            </w:r>
          </w:p>
        </w:tc>
        <w:tc>
          <w:tcPr>
            <w:tcW w:w="196" w:type="pct"/>
            <w:tcBorders>
              <w:top w:val="nil"/>
              <w:left w:val="nil"/>
              <w:bottom w:val="nil"/>
              <w:right w:val="nil"/>
            </w:tcBorders>
            <w:noWrap/>
            <w:vAlign w:val="center"/>
            <w:hideMark/>
          </w:tcPr>
          <w:p w14:paraId="77F79AE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0.139</w:t>
            </w:r>
          </w:p>
        </w:tc>
        <w:tc>
          <w:tcPr>
            <w:tcW w:w="199" w:type="pct"/>
            <w:tcBorders>
              <w:top w:val="nil"/>
              <w:left w:val="nil"/>
              <w:bottom w:val="nil"/>
              <w:right w:val="nil"/>
            </w:tcBorders>
            <w:noWrap/>
            <w:vAlign w:val="center"/>
            <w:hideMark/>
          </w:tcPr>
          <w:p w14:paraId="70FD89B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25</w:t>
            </w:r>
          </w:p>
        </w:tc>
        <w:tc>
          <w:tcPr>
            <w:tcW w:w="218" w:type="pct"/>
            <w:tcBorders>
              <w:top w:val="nil"/>
              <w:left w:val="nil"/>
              <w:bottom w:val="nil"/>
              <w:right w:val="nil"/>
            </w:tcBorders>
            <w:noWrap/>
            <w:vAlign w:val="center"/>
            <w:hideMark/>
          </w:tcPr>
          <w:p w14:paraId="49994BE8" w14:textId="4C3EBF00" w:rsidR="0065213A" w:rsidRPr="0065213A" w:rsidRDefault="00884F5F"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scale</w:t>
            </w:r>
            <w:proofErr w:type="spellEnd"/>
            <w:proofErr w:type="gramEnd"/>
          </w:p>
        </w:tc>
        <w:tc>
          <w:tcPr>
            <w:tcW w:w="327" w:type="pct"/>
            <w:tcBorders>
              <w:top w:val="nil"/>
              <w:left w:val="nil"/>
              <w:bottom w:val="nil"/>
              <w:right w:val="nil"/>
            </w:tcBorders>
            <w:noWrap/>
            <w:vAlign w:val="center"/>
            <w:hideMark/>
          </w:tcPr>
          <w:p w14:paraId="1901EB0F" w14:textId="3AE7607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207" w:type="pct"/>
            <w:tcBorders>
              <w:top w:val="nil"/>
              <w:left w:val="nil"/>
              <w:bottom w:val="nil"/>
              <w:right w:val="nil"/>
            </w:tcBorders>
            <w:noWrap/>
            <w:vAlign w:val="center"/>
            <w:hideMark/>
          </w:tcPr>
          <w:p w14:paraId="79A367E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0CD4FCE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ASRT</w:t>
            </w:r>
          </w:p>
        </w:tc>
        <w:tc>
          <w:tcPr>
            <w:tcW w:w="244" w:type="pct"/>
            <w:tcBorders>
              <w:top w:val="nil"/>
              <w:left w:val="nil"/>
              <w:bottom w:val="nil"/>
              <w:right w:val="nil"/>
            </w:tcBorders>
            <w:noWrap/>
            <w:vAlign w:val="center"/>
            <w:hideMark/>
          </w:tcPr>
          <w:p w14:paraId="61F60AF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3710A883"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151D753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2625BD35" w14:textId="596C347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10D85D05" w14:textId="2726339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5FA995FE" w14:textId="77777777" w:rsidTr="22DB2182">
        <w:trPr>
          <w:trHeight w:val="20"/>
        </w:trPr>
        <w:tc>
          <w:tcPr>
            <w:tcW w:w="456" w:type="pct"/>
            <w:tcBorders>
              <w:top w:val="nil"/>
              <w:left w:val="nil"/>
              <w:bottom w:val="nil"/>
              <w:right w:val="nil"/>
            </w:tcBorders>
            <w:noWrap/>
            <w:vAlign w:val="center"/>
            <w:hideMark/>
          </w:tcPr>
          <w:p w14:paraId="46AE0565" w14:textId="659BAC2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Ward,</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10vsqugpnt","properties":{"unsorted":false,"formattedCitation":"(2013)","plainCitation":"(2013)","noteIndex":0},"citationItems":[{"id":5027,"uris":["http://zotero.org/users/8613739/items/3NSFSNMY"],"itemData":{"id":5027,"type":"article-journal","citation-key":"wardMindblankingWhenMind2013","container-title":"Frontiers in Psychology","DOI":"10.3389/fpsyg.2013.00650","page":"650","title":"Mind-blanking: when the mind goes away","volume":"4","author":[{"family":"Ward","given":"Adrian"},{"family":"Wegner","given":"Daniel"}],"issued":{"date-parts":[["2013"]]}},"suppress-author":true}],"schema":"https://github.com/citation-style-language/schema/raw/master/csl-citation.json"}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(2013)</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1D11C19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nil"/>
              <w:right w:val="nil"/>
            </w:tcBorders>
            <w:noWrap/>
            <w:vAlign w:val="center"/>
            <w:hideMark/>
          </w:tcPr>
          <w:p w14:paraId="3FC4CAF9" w14:textId="77777777" w:rsidR="0065213A" w:rsidRPr="003D575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3D5755">
              <w:rPr>
                <w:rFonts w:ascii="Times New Roman" w:eastAsia="Times New Roman" w:hAnsi="Times New Roman" w:cs="Times New Roman"/>
                <w:color w:val="000000" w:themeColor="text1"/>
                <w:sz w:val="8"/>
                <w:szCs w:val="8"/>
                <w:lang w:val="en-GB" w:eastAsia="en-US"/>
              </w:rPr>
              <w:t>lack of conscious awareness</w:t>
            </w:r>
          </w:p>
          <w:p w14:paraId="4D3DA0A4" w14:textId="1ADD885B" w:rsidR="0065213A" w:rsidRPr="003D575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3D5755">
              <w:rPr>
                <w:rFonts w:ascii="Times New Roman" w:eastAsia="Times New Roman" w:hAnsi="Times New Roman" w:cs="Times New Roman"/>
                <w:color w:val="000000" w:themeColor="text1"/>
                <w:sz w:val="8"/>
                <w:szCs w:val="8"/>
                <w:lang w:val="en-GB" w:eastAsia="en-US"/>
              </w:rPr>
              <w:t>not aware of stimuli</w:t>
            </w:r>
          </w:p>
        </w:tc>
        <w:tc>
          <w:tcPr>
            <w:tcW w:w="679" w:type="pct"/>
            <w:tcBorders>
              <w:top w:val="nil"/>
              <w:left w:val="nil"/>
              <w:bottom w:val="nil"/>
              <w:right w:val="nil"/>
            </w:tcBorders>
            <w:noWrap/>
            <w:vAlign w:val="center"/>
            <w:hideMark/>
          </w:tcPr>
          <w:p w14:paraId="4D990DDD" w14:textId="77777777" w:rsidR="0065213A" w:rsidRPr="003D575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3D5755">
              <w:rPr>
                <w:rFonts w:ascii="Times New Roman" w:eastAsia="Times New Roman" w:hAnsi="Times New Roman" w:cs="Times New Roman"/>
                <w:color w:val="000000" w:themeColor="text1"/>
                <w:sz w:val="8"/>
                <w:szCs w:val="8"/>
                <w:lang w:val="en-GB" w:eastAsia="en-US"/>
              </w:rPr>
              <w:t>not thinking of anything</w:t>
            </w:r>
          </w:p>
          <w:p w14:paraId="5048900A" w14:textId="61607C9A" w:rsidR="0065213A" w:rsidRPr="003D575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3D5755">
              <w:rPr>
                <w:rFonts w:ascii="Times New Roman" w:eastAsia="Times New Roman" w:hAnsi="Times New Roman" w:cs="Times New Roman"/>
                <w:color w:val="000000" w:themeColor="text1"/>
                <w:sz w:val="8"/>
                <w:szCs w:val="8"/>
                <w:lang w:val="en-GB" w:eastAsia="en-US"/>
              </w:rPr>
              <w:t>my mind was blank</w:t>
            </w:r>
          </w:p>
        </w:tc>
        <w:tc>
          <w:tcPr>
            <w:tcW w:w="228" w:type="pct"/>
            <w:tcBorders>
              <w:top w:val="nil"/>
              <w:left w:val="nil"/>
              <w:bottom w:val="nil"/>
              <w:right w:val="nil"/>
            </w:tcBorders>
            <w:noWrap/>
            <w:vAlign w:val="center"/>
            <w:hideMark/>
          </w:tcPr>
          <w:p w14:paraId="0ACAAF0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23</w:t>
            </w:r>
          </w:p>
        </w:tc>
        <w:tc>
          <w:tcPr>
            <w:tcW w:w="196" w:type="pct"/>
            <w:tcBorders>
              <w:top w:val="nil"/>
              <w:left w:val="nil"/>
              <w:bottom w:val="nil"/>
              <w:right w:val="nil"/>
            </w:tcBorders>
            <w:noWrap/>
            <w:vAlign w:val="center"/>
            <w:hideMark/>
          </w:tcPr>
          <w:p w14:paraId="1CA90F1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0.145</w:t>
            </w:r>
          </w:p>
        </w:tc>
        <w:tc>
          <w:tcPr>
            <w:tcW w:w="199" w:type="pct"/>
            <w:tcBorders>
              <w:top w:val="nil"/>
              <w:left w:val="nil"/>
              <w:bottom w:val="nil"/>
              <w:right w:val="nil"/>
            </w:tcBorders>
            <w:noWrap/>
            <w:vAlign w:val="center"/>
            <w:hideMark/>
          </w:tcPr>
          <w:p w14:paraId="1CB38DC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w:t>
            </w:r>
          </w:p>
        </w:tc>
        <w:tc>
          <w:tcPr>
            <w:tcW w:w="218" w:type="pct"/>
            <w:tcBorders>
              <w:top w:val="nil"/>
              <w:left w:val="nil"/>
              <w:bottom w:val="nil"/>
              <w:right w:val="nil"/>
            </w:tcBorders>
            <w:noWrap/>
            <w:vAlign w:val="center"/>
            <w:hideMark/>
          </w:tcPr>
          <w:p w14:paraId="2F5341F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327" w:type="pct"/>
            <w:tcBorders>
              <w:top w:val="nil"/>
              <w:left w:val="nil"/>
              <w:bottom w:val="nil"/>
              <w:right w:val="nil"/>
            </w:tcBorders>
            <w:noWrap/>
            <w:vAlign w:val="center"/>
            <w:hideMark/>
          </w:tcPr>
          <w:p w14:paraId="28169AC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45</w:t>
            </w:r>
          </w:p>
        </w:tc>
        <w:tc>
          <w:tcPr>
            <w:tcW w:w="207" w:type="pct"/>
            <w:tcBorders>
              <w:top w:val="nil"/>
              <w:left w:val="nil"/>
              <w:bottom w:val="nil"/>
              <w:right w:val="nil"/>
            </w:tcBorders>
            <w:noWrap/>
            <w:vAlign w:val="center"/>
            <w:hideMark/>
          </w:tcPr>
          <w:p w14:paraId="063D0D1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6F2C707D" w14:textId="3FBE5CC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Reading</w:t>
            </w:r>
          </w:p>
        </w:tc>
        <w:tc>
          <w:tcPr>
            <w:tcW w:w="244" w:type="pct"/>
            <w:tcBorders>
              <w:top w:val="nil"/>
              <w:left w:val="nil"/>
              <w:bottom w:val="nil"/>
              <w:right w:val="nil"/>
            </w:tcBorders>
            <w:noWrap/>
            <w:vAlign w:val="center"/>
            <w:hideMark/>
          </w:tcPr>
          <w:p w14:paraId="16E467A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5368DEB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7934C7A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78DD36B3" w14:textId="7F95163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59885ECC" w14:textId="158151CF"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23344BFE" w14:textId="77777777" w:rsidTr="22DB2182">
        <w:trPr>
          <w:trHeight w:val="20"/>
        </w:trPr>
        <w:tc>
          <w:tcPr>
            <w:tcW w:w="456" w:type="pct"/>
            <w:tcBorders>
              <w:top w:val="nil"/>
              <w:left w:val="nil"/>
              <w:bottom w:val="nil"/>
              <w:right w:val="nil"/>
            </w:tcBorders>
            <w:noWrap/>
            <w:vAlign w:val="center"/>
            <w:hideMark/>
          </w:tcPr>
          <w:p w14:paraId="07EC21F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bottom w:val="nil"/>
              <w:right w:val="nil"/>
            </w:tcBorders>
            <w:noWrap/>
            <w:vAlign w:val="center"/>
            <w:hideMark/>
          </w:tcPr>
          <w:p w14:paraId="08DFE1C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w:t>
            </w:r>
          </w:p>
        </w:tc>
        <w:tc>
          <w:tcPr>
            <w:tcW w:w="585" w:type="pct"/>
            <w:tcBorders>
              <w:top w:val="nil"/>
              <w:left w:val="nil"/>
              <w:bottom w:val="nil"/>
              <w:right w:val="nil"/>
            </w:tcBorders>
            <w:noWrap/>
            <w:vAlign w:val="center"/>
            <w:hideMark/>
          </w:tcPr>
          <w:p w14:paraId="0FE4D84D"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594AA90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bottom w:val="nil"/>
              <w:right w:val="nil"/>
            </w:tcBorders>
            <w:noWrap/>
            <w:vAlign w:val="center"/>
            <w:hideMark/>
          </w:tcPr>
          <w:p w14:paraId="2042A3E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143</w:t>
            </w:r>
          </w:p>
        </w:tc>
        <w:tc>
          <w:tcPr>
            <w:tcW w:w="196" w:type="pct"/>
            <w:tcBorders>
              <w:top w:val="nil"/>
              <w:left w:val="nil"/>
              <w:bottom w:val="nil"/>
              <w:right w:val="nil"/>
            </w:tcBorders>
            <w:noWrap/>
            <w:vAlign w:val="center"/>
            <w:hideMark/>
          </w:tcPr>
          <w:p w14:paraId="3797415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0.123</w:t>
            </w:r>
          </w:p>
        </w:tc>
        <w:tc>
          <w:tcPr>
            <w:tcW w:w="199" w:type="pct"/>
            <w:tcBorders>
              <w:top w:val="nil"/>
              <w:left w:val="nil"/>
              <w:bottom w:val="nil"/>
              <w:right w:val="nil"/>
            </w:tcBorders>
            <w:noWrap/>
            <w:vAlign w:val="center"/>
            <w:hideMark/>
          </w:tcPr>
          <w:p w14:paraId="40B19D30"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10</w:t>
            </w:r>
          </w:p>
        </w:tc>
        <w:tc>
          <w:tcPr>
            <w:tcW w:w="218" w:type="pct"/>
            <w:tcBorders>
              <w:top w:val="nil"/>
              <w:left w:val="nil"/>
              <w:bottom w:val="nil"/>
              <w:right w:val="nil"/>
            </w:tcBorders>
            <w:noWrap/>
            <w:vAlign w:val="center"/>
            <w:hideMark/>
          </w:tcPr>
          <w:p w14:paraId="78E80F5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327" w:type="pct"/>
            <w:tcBorders>
              <w:top w:val="nil"/>
              <w:left w:val="nil"/>
              <w:bottom w:val="nil"/>
              <w:right w:val="nil"/>
            </w:tcBorders>
            <w:noWrap/>
            <w:vAlign w:val="center"/>
            <w:hideMark/>
          </w:tcPr>
          <w:p w14:paraId="79A101F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30</w:t>
            </w:r>
          </w:p>
        </w:tc>
        <w:tc>
          <w:tcPr>
            <w:tcW w:w="207" w:type="pct"/>
            <w:tcBorders>
              <w:top w:val="nil"/>
              <w:left w:val="nil"/>
              <w:bottom w:val="nil"/>
              <w:right w:val="nil"/>
            </w:tcBorders>
            <w:noWrap/>
            <w:vAlign w:val="center"/>
            <w:hideMark/>
          </w:tcPr>
          <w:p w14:paraId="30D696D6"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ecological</w:t>
            </w:r>
            <w:proofErr w:type="spellEnd"/>
            <w:proofErr w:type="gramEnd"/>
          </w:p>
        </w:tc>
        <w:tc>
          <w:tcPr>
            <w:tcW w:w="430" w:type="pct"/>
            <w:tcBorders>
              <w:top w:val="nil"/>
              <w:left w:val="nil"/>
              <w:bottom w:val="nil"/>
              <w:right w:val="nil"/>
            </w:tcBorders>
            <w:noWrap/>
            <w:vAlign w:val="center"/>
            <w:hideMark/>
          </w:tcPr>
          <w:p w14:paraId="33656BAE" w14:textId="2DBEDC2C"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Reading</w:t>
            </w:r>
          </w:p>
        </w:tc>
        <w:tc>
          <w:tcPr>
            <w:tcW w:w="244" w:type="pct"/>
            <w:tcBorders>
              <w:top w:val="nil"/>
              <w:left w:val="nil"/>
              <w:bottom w:val="nil"/>
              <w:right w:val="nil"/>
            </w:tcBorders>
            <w:noWrap/>
            <w:vAlign w:val="center"/>
            <w:hideMark/>
          </w:tcPr>
          <w:p w14:paraId="54E0C72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more</w:t>
            </w:r>
            <w:proofErr w:type="gramEnd"/>
          </w:p>
        </w:tc>
        <w:tc>
          <w:tcPr>
            <w:tcW w:w="171" w:type="pct"/>
            <w:tcBorders>
              <w:top w:val="nil"/>
              <w:left w:val="nil"/>
              <w:bottom w:val="nil"/>
              <w:right w:val="nil"/>
            </w:tcBorders>
            <w:noWrap/>
            <w:vAlign w:val="center"/>
            <w:hideMark/>
          </w:tcPr>
          <w:p w14:paraId="4E4608CD"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adult</w:t>
            </w:r>
            <w:proofErr w:type="spellEnd"/>
            <w:proofErr w:type="gramEnd"/>
          </w:p>
        </w:tc>
        <w:tc>
          <w:tcPr>
            <w:tcW w:w="283" w:type="pct"/>
            <w:tcBorders>
              <w:top w:val="nil"/>
              <w:left w:val="nil"/>
              <w:bottom w:val="nil"/>
              <w:right w:val="nil"/>
            </w:tcBorders>
            <w:noWrap/>
            <w:vAlign w:val="center"/>
            <w:hideMark/>
          </w:tcPr>
          <w:p w14:paraId="6FCC792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25202AD" w14:textId="1D2C3D5B"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6F3D7166" w14:textId="453A86A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1305D91F" w14:textId="77777777" w:rsidTr="22DB2182">
        <w:trPr>
          <w:trHeight w:val="20"/>
        </w:trPr>
        <w:tc>
          <w:tcPr>
            <w:tcW w:w="456" w:type="pct"/>
            <w:tcBorders>
              <w:top w:val="nil"/>
              <w:left w:val="nil"/>
              <w:bottom w:val="nil"/>
              <w:right w:val="nil"/>
            </w:tcBorders>
            <w:noWrap/>
            <w:vAlign w:val="center"/>
            <w:hideMark/>
          </w:tcPr>
          <w:p w14:paraId="28542585" w14:textId="0D4380A6"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roofErr w:type="spellStart"/>
            <w:r w:rsidRPr="0065213A">
              <w:rPr>
                <w:rFonts w:ascii="Times New Roman" w:eastAsia="Times New Roman" w:hAnsi="Times New Roman" w:cs="Times New Roman"/>
                <w:color w:val="000000"/>
                <w:sz w:val="8"/>
                <w:szCs w:val="8"/>
              </w:rPr>
              <w:t>Welhaf</w:t>
            </w:r>
            <w:proofErr w:type="spellEnd"/>
            <w:r w:rsidRPr="0065213A">
              <w:rPr>
                <w:rFonts w:ascii="Times New Roman" w:eastAsia="Times New Roman" w:hAnsi="Times New Roman" w:cs="Times New Roman"/>
                <w:color w:val="000000"/>
                <w:sz w:val="8"/>
                <w:szCs w:val="8"/>
              </w:rPr>
              <w:t>,</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{"citationID":"a1jfah3a8ed","properties":{"unsorted":false,"formattedCitation":"(2025)","plainCitation":"(2025)","noteIndex":0},"citationItems":[{"id":5576,"uris":["http://zotero.org/users/8613739/items/F7QB8PX8"],"itemData":{"id":5576,"type":"article-journal","abstract":"Mind wandering decreases in healthy aging, and in some cases, it is further reduced in Alzheimer disease (AD). However, little is known about how mind wandering changes during the preclinical phase of AD, which is a critical period for intervention. The present study aims to provide novel evidence for the utility of objective and subjective measures of mind wandering in evaluating the risk of developing cognitive impairment and their association with AD biomarkers. Participants (N = 504; Mage = 69.54 years, SDage = 8.95 years) completed a Sustained Attention to Response Task (SART). We calculated objective (reaction time coefficient of variation; RT CoV) and subjective (self-reported frequency of off-task thoughts) mind wandering measures during the SART for participants who remained cognitively stable (N = 349) and those who eventually developed cognitive impairment (progressors; N = 155). A subset of participants (N = 211) completed the SART annually and had recent CSF biomarkers. Objective and subjective mind wandering significantly differed between progressors and cognitively stable participants at baseline and predicted likelihoods of progression. Moreover, baseline subjective mind wandering predicted progression beyond standard neuropsychological measures. Longitudinal models indicated that biomarker negative, but not positive, participants showed a significant reduction in RT CoV over time, possibly reflecting practice-related changes in performance. There were no longitudinal associations with subjective mind wandering. Mind wandering is a common activity and may reflect a healthy cognitive system in older age. Subjective measures of mind wandering may be useful in predicting the later onset of cognitive impairment, while objective measures may be more sensitive to longitudinal changes.","citation-key":"welhafUsingObjectiveSubjective2025","container-title":"Journal of Clinical and Experimental Neuropsychology","DOI":"10.1080/13803395.2025.2498025","ISSN":"1380-3395","issue":"3","note":"_eprint: https://doi.org/10.1080/13803395.2025.2498025","page":"169-184","PMID":"40289410","publisher":"Routledge","source":"Taylor and Francis+NEJM","title":"Using objective and subjective measures of mind wandering to predict progression to development of cognitive impairment and test associations with Alzheimer disease biomarkers","volume":"47","author":[{"family":"Welhaf","given":"Matthew S."},{"family":"Balota","given":"David A."},{"family":"Schindler","given":"Suzanne E."},{"family":"Morris","given":"John C."},{"family":"Hassenstab","given":"Jason"},{"family":"Aschenbrenner","given":"Andrew J."}],"issued":{"date-parts":[["2025",3,16]]}},"suppress-author":true}],"schema":"https://github.com/citation-style-language/schema/raw/master/csl-citation.json"}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(2025)</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nil"/>
              <w:right w:val="nil"/>
            </w:tcBorders>
            <w:noWrap/>
            <w:vAlign w:val="center"/>
            <w:hideMark/>
          </w:tcPr>
          <w:p w14:paraId="3F30156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1a</w:t>
            </w:r>
          </w:p>
        </w:tc>
        <w:tc>
          <w:tcPr>
            <w:tcW w:w="585" w:type="pct"/>
            <w:tcBorders>
              <w:top w:val="nil"/>
              <w:left w:val="nil"/>
              <w:bottom w:val="nil"/>
              <w:right w:val="nil"/>
            </w:tcBorders>
            <w:noWrap/>
            <w:vAlign w:val="center"/>
            <w:hideMark/>
          </w:tcPr>
          <w:p w14:paraId="32B262E5" w14:textId="714C902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nil"/>
              <w:right w:val="nil"/>
            </w:tcBorders>
            <w:noWrap/>
            <w:vAlign w:val="center"/>
            <w:hideMark/>
          </w:tcPr>
          <w:p w14:paraId="0088A77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my</w:t>
            </w:r>
            <w:proofErr w:type="spellEnd"/>
            <w:proofErr w:type="gramEnd"/>
            <w:r w:rsidRPr="22DB2182">
              <w:rPr>
                <w:rFonts w:ascii="Times New Roman" w:eastAsia="Times New Roman" w:hAnsi="Times New Roman" w:cs="Times New Roman"/>
                <w:color w:val="000000" w:themeColor="text1"/>
                <w:sz w:val="8"/>
                <w:szCs w:val="8"/>
                <w:lang w:val="fr-FR" w:eastAsia="en-US"/>
              </w:rPr>
              <w:t xml:space="preserve"> mind </w:t>
            </w:r>
            <w:proofErr w:type="spellStart"/>
            <w:r w:rsidRPr="22DB2182">
              <w:rPr>
                <w:rFonts w:ascii="Times New Roman" w:eastAsia="Times New Roman" w:hAnsi="Times New Roman" w:cs="Times New Roman"/>
                <w:color w:val="000000" w:themeColor="text1"/>
                <w:sz w:val="8"/>
                <w:szCs w:val="8"/>
                <w:lang w:val="fr-FR" w:eastAsia="en-US"/>
              </w:rPr>
              <w:t>was</w:t>
            </w:r>
            <w:proofErr w:type="spellEnd"/>
            <w:r w:rsidRPr="22DB2182">
              <w:rPr>
                <w:rFonts w:ascii="Times New Roman" w:eastAsia="Times New Roman" w:hAnsi="Times New Roman" w:cs="Times New Roman"/>
                <w:color w:val="000000" w:themeColor="text1"/>
                <w:sz w:val="8"/>
                <w:szCs w:val="8"/>
                <w:lang w:val="fr-FR" w:eastAsia="en-US"/>
              </w:rPr>
              <w:t xml:space="preserve"> </w:t>
            </w:r>
            <w:proofErr w:type="spellStart"/>
            <w:r w:rsidRPr="22DB2182">
              <w:rPr>
                <w:rFonts w:ascii="Times New Roman" w:eastAsia="Times New Roman" w:hAnsi="Times New Roman" w:cs="Times New Roman"/>
                <w:color w:val="000000" w:themeColor="text1"/>
                <w:sz w:val="8"/>
                <w:szCs w:val="8"/>
                <w:lang w:val="fr-FR" w:eastAsia="en-US"/>
              </w:rPr>
              <w:t>blank</w:t>
            </w:r>
            <w:proofErr w:type="spellEnd"/>
          </w:p>
        </w:tc>
        <w:tc>
          <w:tcPr>
            <w:tcW w:w="228" w:type="pct"/>
            <w:tcBorders>
              <w:top w:val="nil"/>
              <w:left w:val="nil"/>
              <w:bottom w:val="nil"/>
              <w:right w:val="nil"/>
            </w:tcBorders>
            <w:noWrap/>
            <w:vAlign w:val="center"/>
            <w:hideMark/>
          </w:tcPr>
          <w:p w14:paraId="158C28A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349</w:t>
            </w:r>
          </w:p>
        </w:tc>
        <w:tc>
          <w:tcPr>
            <w:tcW w:w="196" w:type="pct"/>
            <w:tcBorders>
              <w:top w:val="nil"/>
              <w:left w:val="nil"/>
              <w:bottom w:val="nil"/>
              <w:right w:val="nil"/>
            </w:tcBorders>
            <w:noWrap/>
            <w:vAlign w:val="center"/>
            <w:hideMark/>
          </w:tcPr>
          <w:p w14:paraId="3D00C558"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0.02</w:t>
            </w:r>
          </w:p>
        </w:tc>
        <w:tc>
          <w:tcPr>
            <w:tcW w:w="199" w:type="pct"/>
            <w:tcBorders>
              <w:top w:val="nil"/>
              <w:left w:val="nil"/>
              <w:bottom w:val="nil"/>
              <w:right w:val="nil"/>
            </w:tcBorders>
            <w:noWrap/>
            <w:vAlign w:val="center"/>
            <w:hideMark/>
          </w:tcPr>
          <w:p w14:paraId="619FA02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218" w:type="pct"/>
            <w:tcBorders>
              <w:top w:val="nil"/>
              <w:left w:val="nil"/>
              <w:bottom w:val="nil"/>
              <w:right w:val="nil"/>
            </w:tcBorders>
            <w:noWrap/>
            <w:vAlign w:val="center"/>
            <w:hideMark/>
          </w:tcPr>
          <w:p w14:paraId="43D04FA9"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bottom w:val="nil"/>
              <w:right w:val="nil"/>
            </w:tcBorders>
            <w:noWrap/>
            <w:vAlign w:val="center"/>
            <w:hideMark/>
          </w:tcPr>
          <w:p w14:paraId="298CEF85"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5.5</w:t>
            </w:r>
          </w:p>
        </w:tc>
        <w:tc>
          <w:tcPr>
            <w:tcW w:w="207" w:type="pct"/>
            <w:tcBorders>
              <w:top w:val="nil"/>
              <w:left w:val="nil"/>
              <w:bottom w:val="nil"/>
              <w:right w:val="nil"/>
            </w:tcBorders>
            <w:noWrap/>
            <w:vAlign w:val="center"/>
            <w:hideMark/>
          </w:tcPr>
          <w:p w14:paraId="1ECD951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nil"/>
              <w:right w:val="nil"/>
            </w:tcBorders>
            <w:noWrap/>
            <w:vAlign w:val="center"/>
            <w:hideMark/>
          </w:tcPr>
          <w:p w14:paraId="4FDD49A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nil"/>
              <w:right w:val="nil"/>
            </w:tcBorders>
            <w:noWrap/>
            <w:vAlign w:val="center"/>
            <w:hideMark/>
          </w:tcPr>
          <w:p w14:paraId="7760662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nil"/>
              <w:right w:val="nil"/>
            </w:tcBorders>
            <w:noWrap/>
            <w:vAlign w:val="center"/>
            <w:hideMark/>
          </w:tcPr>
          <w:p w14:paraId="483B22F5"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senior</w:t>
            </w:r>
            <w:proofErr w:type="gramEnd"/>
          </w:p>
        </w:tc>
        <w:tc>
          <w:tcPr>
            <w:tcW w:w="283" w:type="pct"/>
            <w:tcBorders>
              <w:top w:val="nil"/>
              <w:left w:val="nil"/>
              <w:bottom w:val="nil"/>
              <w:right w:val="nil"/>
            </w:tcBorders>
            <w:noWrap/>
            <w:vAlign w:val="center"/>
            <w:hideMark/>
          </w:tcPr>
          <w:p w14:paraId="1FB8ED8B"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nil"/>
              <w:right w:val="nil"/>
            </w:tcBorders>
            <w:noWrap/>
            <w:vAlign w:val="center"/>
            <w:hideMark/>
          </w:tcPr>
          <w:p w14:paraId="147DAD7D" w14:textId="2143200E"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nil"/>
              <w:right w:val="nil"/>
            </w:tcBorders>
            <w:noWrap/>
            <w:vAlign w:val="center"/>
            <w:hideMark/>
          </w:tcPr>
          <w:p w14:paraId="34754C88" w14:textId="2731848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4FB4D4FA" w14:textId="77777777" w:rsidTr="22DB2182">
        <w:trPr>
          <w:trHeight w:val="20"/>
        </w:trPr>
        <w:tc>
          <w:tcPr>
            <w:tcW w:w="456" w:type="pct"/>
            <w:tcBorders>
              <w:top w:val="nil"/>
              <w:left w:val="nil"/>
              <w:right w:val="nil"/>
            </w:tcBorders>
            <w:noWrap/>
            <w:vAlign w:val="center"/>
            <w:hideMark/>
          </w:tcPr>
          <w:p w14:paraId="62673A5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193" w:type="pct"/>
            <w:tcBorders>
              <w:top w:val="nil"/>
              <w:left w:val="nil"/>
              <w:right w:val="nil"/>
            </w:tcBorders>
            <w:noWrap/>
            <w:vAlign w:val="center"/>
            <w:hideMark/>
          </w:tcPr>
          <w:p w14:paraId="2D35679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1b</w:t>
            </w:r>
          </w:p>
        </w:tc>
        <w:tc>
          <w:tcPr>
            <w:tcW w:w="585" w:type="pct"/>
            <w:tcBorders>
              <w:top w:val="nil"/>
              <w:left w:val="nil"/>
              <w:right w:val="nil"/>
            </w:tcBorders>
            <w:noWrap/>
            <w:vAlign w:val="center"/>
            <w:hideMark/>
          </w:tcPr>
          <w:p w14:paraId="74D47CE6"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right w:val="nil"/>
            </w:tcBorders>
            <w:noWrap/>
            <w:vAlign w:val="center"/>
            <w:hideMark/>
          </w:tcPr>
          <w:p w14:paraId="16C86A5C"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sz w:val="8"/>
                <w:szCs w:val="8"/>
              </w:rPr>
            </w:pPr>
          </w:p>
        </w:tc>
        <w:tc>
          <w:tcPr>
            <w:tcW w:w="228" w:type="pct"/>
            <w:tcBorders>
              <w:top w:val="nil"/>
              <w:left w:val="nil"/>
              <w:right w:val="nil"/>
            </w:tcBorders>
            <w:noWrap/>
            <w:vAlign w:val="center"/>
            <w:hideMark/>
          </w:tcPr>
          <w:p w14:paraId="21A506F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155</w:t>
            </w:r>
          </w:p>
        </w:tc>
        <w:tc>
          <w:tcPr>
            <w:tcW w:w="196" w:type="pct"/>
            <w:tcBorders>
              <w:top w:val="nil"/>
              <w:left w:val="nil"/>
              <w:right w:val="nil"/>
            </w:tcBorders>
            <w:noWrap/>
            <w:vAlign w:val="center"/>
            <w:hideMark/>
          </w:tcPr>
          <w:p w14:paraId="530A0142"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0.04</w:t>
            </w:r>
          </w:p>
        </w:tc>
        <w:tc>
          <w:tcPr>
            <w:tcW w:w="199" w:type="pct"/>
            <w:tcBorders>
              <w:top w:val="nil"/>
              <w:left w:val="nil"/>
              <w:right w:val="nil"/>
            </w:tcBorders>
            <w:noWrap/>
            <w:vAlign w:val="center"/>
            <w:hideMark/>
          </w:tcPr>
          <w:p w14:paraId="41DF29A7"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218" w:type="pct"/>
            <w:tcBorders>
              <w:top w:val="nil"/>
              <w:left w:val="nil"/>
              <w:right w:val="nil"/>
            </w:tcBorders>
            <w:noWrap/>
            <w:vAlign w:val="center"/>
            <w:hideMark/>
          </w:tcPr>
          <w:p w14:paraId="294DBBFE"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4</w:t>
            </w:r>
          </w:p>
        </w:tc>
        <w:tc>
          <w:tcPr>
            <w:tcW w:w="327" w:type="pct"/>
            <w:tcBorders>
              <w:top w:val="nil"/>
              <w:left w:val="nil"/>
              <w:right w:val="nil"/>
            </w:tcBorders>
            <w:noWrap/>
            <w:vAlign w:val="center"/>
            <w:hideMark/>
          </w:tcPr>
          <w:p w14:paraId="2631CE5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5.5</w:t>
            </w:r>
          </w:p>
        </w:tc>
        <w:tc>
          <w:tcPr>
            <w:tcW w:w="207" w:type="pct"/>
            <w:tcBorders>
              <w:top w:val="nil"/>
              <w:left w:val="nil"/>
              <w:right w:val="nil"/>
            </w:tcBorders>
            <w:noWrap/>
            <w:vAlign w:val="center"/>
            <w:hideMark/>
          </w:tcPr>
          <w:p w14:paraId="5FC511D4"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right w:val="nil"/>
            </w:tcBorders>
            <w:noWrap/>
            <w:vAlign w:val="center"/>
            <w:hideMark/>
          </w:tcPr>
          <w:p w14:paraId="2649DD64"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right w:val="nil"/>
            </w:tcBorders>
            <w:noWrap/>
            <w:vAlign w:val="center"/>
            <w:hideMark/>
          </w:tcPr>
          <w:p w14:paraId="7ABF03F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right w:val="nil"/>
            </w:tcBorders>
            <w:noWrap/>
            <w:vAlign w:val="center"/>
            <w:hideMark/>
          </w:tcPr>
          <w:p w14:paraId="0D08153E"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gramStart"/>
            <w:r w:rsidRPr="22DB2182">
              <w:rPr>
                <w:rFonts w:ascii="Times New Roman" w:eastAsia="Times New Roman" w:hAnsi="Times New Roman" w:cs="Times New Roman"/>
                <w:color w:val="000000" w:themeColor="text1"/>
                <w:sz w:val="8"/>
                <w:szCs w:val="8"/>
                <w:lang w:val="fr-FR" w:eastAsia="en-US"/>
              </w:rPr>
              <w:t>senior</w:t>
            </w:r>
            <w:proofErr w:type="gramEnd"/>
          </w:p>
        </w:tc>
        <w:tc>
          <w:tcPr>
            <w:tcW w:w="283" w:type="pct"/>
            <w:tcBorders>
              <w:top w:val="nil"/>
              <w:left w:val="nil"/>
              <w:right w:val="nil"/>
            </w:tcBorders>
            <w:noWrap/>
            <w:vAlign w:val="center"/>
            <w:hideMark/>
          </w:tcPr>
          <w:p w14:paraId="0A239E67"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right w:val="nil"/>
            </w:tcBorders>
            <w:noWrap/>
            <w:vAlign w:val="center"/>
            <w:hideMark/>
          </w:tcPr>
          <w:p w14:paraId="138095B6" w14:textId="31B6789A"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right w:val="nil"/>
            </w:tcBorders>
            <w:noWrap/>
            <w:vAlign w:val="center"/>
            <w:hideMark/>
          </w:tcPr>
          <w:p w14:paraId="46FC14C0" w14:textId="403D76F3"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3CA7A360" w14:textId="77777777" w:rsidTr="22DB2182">
        <w:trPr>
          <w:trHeight w:val="20"/>
        </w:trPr>
        <w:tc>
          <w:tcPr>
            <w:tcW w:w="456" w:type="pct"/>
            <w:tcBorders>
              <w:top w:val="nil"/>
              <w:left w:val="nil"/>
              <w:bottom w:val="single" w:sz="4" w:space="0" w:color="auto"/>
              <w:right w:val="nil"/>
            </w:tcBorders>
            <w:noWrap/>
            <w:vAlign w:val="center"/>
            <w:hideMark/>
          </w:tcPr>
          <w:p w14:paraId="675B62BE" w14:textId="6D721B35"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Wiggs,</w:t>
            </w:r>
            <w:r w:rsidR="009B1684">
              <w:rPr>
                <w:rFonts w:ascii="Times New Roman" w:eastAsia="Times New Roman" w:hAnsi="Times New Roman" w:cs="Times New Roman"/>
                <w:color w:val="000000"/>
                <w:sz w:val="8"/>
                <w:szCs w:val="8"/>
              </w:rPr>
              <w:fldChar w:fldCharType="begin"/>
            </w:r>
            <w:r w:rsidR="00B633EE">
              <w:rPr>
                <w:rFonts w:ascii="Times New Roman" w:eastAsia="Times New Roman" w:hAnsi="Times New Roman" w:cs="Times New Roman"/>
                <w:color w:val="000000"/>
                <w:sz w:val="8"/>
                <w:szCs w:val="8"/>
              </w:rPr>
              <w:instrText xml:space="preserve"> ADDIN ZOTERO_ITEM CSL_CITATION {"citationID":"ac12n2sap5","properties":{"unsorted":false,"formattedCitation":"(2024)","plainCitation":"(2024)","noteIndex":0},"citationItems":[{"id":16039,"uris":["http://zotero.org/groups/6160358/items/MPCG6TVG"],"itemData":{"id":16039,"type":"article-journal","abstract":"Objective\nThe role of mind-wandering– periods of internally-directed distractibility – among patients with attention-deficit/hyperactivity disorder (ADHD) has recently garnered attention, though few studies have assessed mind-wandering using thought probes during a sustained attention to response task (SART) or examined the possible role of cognitive disengagement syndrome (CDS) symptoms. We examined whether parent- and/or teacher-reported ADHD-inattentive (ADHD-IN) or CDS symptoms were independently associated with probe-caught mind-wandering.\nMethods\nFifty-four children (ages 9–12; 35.2% female) completed a SART with thought probes inquiring about various on- and off-task thoughts, including mind-wandering and distraction. Questionnaires provided information on demographics, medication treatment, and parent- and teacher-reported ADHD-IN and CDS symptoms. Regression models were estimated separately by informant to examine whether ADHD-IN or CDS symptoms were uniquely associated with mind-wandering or distraction frequency during the SART.\nResults\nHigher teacher-reported CDS ratings, but not ADHD-IN ratings, were uniquely associated with more probe-caught mind-wandering. No significant findings related to parent-reported symptoms or probe-caught distraction were observed.\nConclusions\nThese preliminary findings add to an emerging body of work pointing to CDS as more consistently or strongly associated than ADHD-IN with mind-wandering. Theoretical and clinical implications are discussed.","citation-key":"wiggsPreliminaryExaminationADHD2024a","container-title":"Journal of psychiatric research","page":"181–186","title":"Preliminary examination of ADHD inattentive and cognitive disengagement syndrome symptoms in relation to probe-caught mind-wandering during a sustained attention to response task","volume":"172","author":[{"family":"Wiggs","given":"Kelsey K"},{"family":"Fredrick","given":"Joseph W"},{"family":"Tamm","given":"Leanne"},{"family":"Epstein","given":"Jeffery N"},{"family":"Simon","given":"John O"},{"family":"Becker","given":"Stephen P"}],"issued":{"date-parts":[["2024"]]}},"suppress-author":true}],"schema":"https://github.com/citation-style-language/schema/raw/master/csl-citation.json"} </w:instrText>
            </w:r>
            <w:r w:rsidR="009B1684">
              <w:rPr>
                <w:rFonts w:ascii="Times New Roman" w:eastAsia="Times New Roman" w:hAnsi="Times New Roman" w:cs="Times New Roman"/>
                <w:color w:val="000000"/>
                <w:sz w:val="8"/>
                <w:szCs w:val="8"/>
              </w:rPr>
              <w:fldChar w:fldCharType="separate"/>
            </w:r>
            <w:r w:rsidR="00B633EE" w:rsidRPr="00B633EE">
              <w:rPr>
                <w:rFonts w:ascii="Times New Roman" w:hAnsi="Times New Roman" w:cs="Times New Roman"/>
                <w:sz w:val="8"/>
              </w:rPr>
              <w:t>(2024)</w:t>
            </w:r>
            <w:r w:rsidR="009B1684">
              <w:rPr>
                <w:rFonts w:ascii="Times New Roman" w:eastAsia="Times New Roman" w:hAnsi="Times New Roman" w:cs="Times New Roman"/>
                <w:color w:val="000000"/>
                <w:sz w:val="8"/>
                <w:szCs w:val="8"/>
              </w:rPr>
              <w:fldChar w:fldCharType="end"/>
            </w:r>
          </w:p>
        </w:tc>
        <w:tc>
          <w:tcPr>
            <w:tcW w:w="193" w:type="pct"/>
            <w:tcBorders>
              <w:top w:val="nil"/>
              <w:left w:val="nil"/>
              <w:bottom w:val="single" w:sz="4" w:space="0" w:color="auto"/>
              <w:right w:val="nil"/>
            </w:tcBorders>
            <w:noWrap/>
            <w:vAlign w:val="center"/>
            <w:hideMark/>
          </w:tcPr>
          <w:p w14:paraId="37E810C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1</w:t>
            </w:r>
          </w:p>
        </w:tc>
        <w:tc>
          <w:tcPr>
            <w:tcW w:w="585" w:type="pct"/>
            <w:tcBorders>
              <w:top w:val="nil"/>
              <w:left w:val="nil"/>
              <w:bottom w:val="single" w:sz="4" w:space="0" w:color="auto"/>
              <w:right w:val="nil"/>
            </w:tcBorders>
            <w:noWrap/>
            <w:vAlign w:val="center"/>
            <w:hideMark/>
          </w:tcPr>
          <w:p w14:paraId="5CD78E02" w14:textId="11091B4D"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c>
          <w:tcPr>
            <w:tcW w:w="679" w:type="pct"/>
            <w:tcBorders>
              <w:top w:val="nil"/>
              <w:left w:val="nil"/>
              <w:bottom w:val="single" w:sz="4" w:space="0" w:color="auto"/>
              <w:right w:val="nil"/>
            </w:tcBorders>
            <w:noWrap/>
            <w:vAlign w:val="center"/>
            <w:hideMark/>
          </w:tcPr>
          <w:p w14:paraId="37775E74" w14:textId="77777777" w:rsidR="0065213A" w:rsidRPr="003D575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3D5755">
              <w:rPr>
                <w:rFonts w:ascii="Times New Roman" w:eastAsia="Times New Roman" w:hAnsi="Times New Roman" w:cs="Times New Roman"/>
                <w:color w:val="000000" w:themeColor="text1"/>
                <w:sz w:val="8"/>
                <w:szCs w:val="8"/>
                <w:lang w:val="en-GB" w:eastAsia="en-US"/>
              </w:rPr>
              <w:t>not thinking of anything</w:t>
            </w:r>
          </w:p>
          <w:p w14:paraId="546FD105" w14:textId="2B0D475C" w:rsidR="0065213A" w:rsidRPr="003D5755"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en-GB" w:eastAsia="en-US"/>
              </w:rPr>
            </w:pPr>
            <w:r w:rsidRPr="003D5755">
              <w:rPr>
                <w:rFonts w:ascii="Times New Roman" w:eastAsia="Times New Roman" w:hAnsi="Times New Roman" w:cs="Times New Roman"/>
                <w:color w:val="000000" w:themeColor="text1"/>
                <w:sz w:val="8"/>
                <w:szCs w:val="8"/>
                <w:lang w:val="en-GB" w:eastAsia="en-US"/>
              </w:rPr>
              <w:t>my mind was blank</w:t>
            </w:r>
          </w:p>
        </w:tc>
        <w:tc>
          <w:tcPr>
            <w:tcW w:w="228" w:type="pct"/>
            <w:tcBorders>
              <w:top w:val="nil"/>
              <w:left w:val="nil"/>
              <w:bottom w:val="single" w:sz="4" w:space="0" w:color="auto"/>
              <w:right w:val="nil"/>
            </w:tcBorders>
            <w:noWrap/>
            <w:vAlign w:val="center"/>
            <w:hideMark/>
          </w:tcPr>
          <w:p w14:paraId="60B2950A"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54</w:t>
            </w:r>
          </w:p>
        </w:tc>
        <w:tc>
          <w:tcPr>
            <w:tcW w:w="196" w:type="pct"/>
            <w:tcBorders>
              <w:top w:val="nil"/>
              <w:left w:val="nil"/>
              <w:bottom w:val="single" w:sz="4" w:space="0" w:color="auto"/>
              <w:right w:val="nil"/>
            </w:tcBorders>
            <w:noWrap/>
            <w:vAlign w:val="center"/>
            <w:hideMark/>
          </w:tcPr>
          <w:p w14:paraId="3E0C93D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0.103</w:t>
            </w:r>
          </w:p>
        </w:tc>
        <w:tc>
          <w:tcPr>
            <w:tcW w:w="199" w:type="pct"/>
            <w:tcBorders>
              <w:top w:val="nil"/>
              <w:left w:val="nil"/>
              <w:bottom w:val="single" w:sz="4" w:space="0" w:color="auto"/>
              <w:right w:val="nil"/>
            </w:tcBorders>
            <w:noWrap/>
            <w:vAlign w:val="center"/>
            <w:hideMark/>
          </w:tcPr>
          <w:p w14:paraId="0391B9CB"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32</w:t>
            </w:r>
          </w:p>
        </w:tc>
        <w:tc>
          <w:tcPr>
            <w:tcW w:w="218" w:type="pct"/>
            <w:tcBorders>
              <w:top w:val="nil"/>
              <w:left w:val="nil"/>
              <w:bottom w:val="single" w:sz="4" w:space="0" w:color="auto"/>
              <w:right w:val="nil"/>
            </w:tcBorders>
            <w:noWrap/>
            <w:vAlign w:val="center"/>
            <w:hideMark/>
          </w:tcPr>
          <w:p w14:paraId="089143D1"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5</w:t>
            </w:r>
          </w:p>
        </w:tc>
        <w:tc>
          <w:tcPr>
            <w:tcW w:w="327" w:type="pct"/>
            <w:tcBorders>
              <w:top w:val="nil"/>
              <w:left w:val="nil"/>
              <w:bottom w:val="single" w:sz="4" w:space="0" w:color="auto"/>
              <w:right w:val="nil"/>
            </w:tcBorders>
            <w:noWrap/>
            <w:vAlign w:val="center"/>
            <w:hideMark/>
          </w:tcPr>
          <w:p w14:paraId="47E35CB3"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60</w:t>
            </w:r>
          </w:p>
        </w:tc>
        <w:tc>
          <w:tcPr>
            <w:tcW w:w="207" w:type="pct"/>
            <w:tcBorders>
              <w:top w:val="nil"/>
              <w:left w:val="nil"/>
              <w:bottom w:val="single" w:sz="4" w:space="0" w:color="auto"/>
              <w:right w:val="nil"/>
            </w:tcBorders>
            <w:noWrap/>
            <w:vAlign w:val="center"/>
            <w:hideMark/>
          </w:tcPr>
          <w:p w14:paraId="78682C9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task</w:t>
            </w:r>
            <w:proofErr w:type="spellEnd"/>
            <w:proofErr w:type="gramEnd"/>
          </w:p>
        </w:tc>
        <w:tc>
          <w:tcPr>
            <w:tcW w:w="430" w:type="pct"/>
            <w:tcBorders>
              <w:top w:val="nil"/>
              <w:left w:val="nil"/>
              <w:bottom w:val="single" w:sz="4" w:space="0" w:color="auto"/>
              <w:right w:val="nil"/>
            </w:tcBorders>
            <w:noWrap/>
            <w:vAlign w:val="center"/>
            <w:hideMark/>
          </w:tcPr>
          <w:p w14:paraId="4F82CC4F" w14:textId="7777777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r w:rsidRPr="0065213A">
              <w:rPr>
                <w:rFonts w:ascii="Times New Roman" w:eastAsia="Times New Roman" w:hAnsi="Times New Roman" w:cs="Times New Roman"/>
                <w:color w:val="000000"/>
                <w:sz w:val="8"/>
                <w:szCs w:val="8"/>
              </w:rPr>
              <w:t>SART</w:t>
            </w:r>
          </w:p>
        </w:tc>
        <w:tc>
          <w:tcPr>
            <w:tcW w:w="244" w:type="pct"/>
            <w:tcBorders>
              <w:top w:val="nil"/>
              <w:left w:val="nil"/>
              <w:bottom w:val="single" w:sz="4" w:space="0" w:color="auto"/>
              <w:right w:val="nil"/>
            </w:tcBorders>
            <w:noWrap/>
            <w:vAlign w:val="center"/>
            <w:hideMark/>
          </w:tcPr>
          <w:p w14:paraId="67E4C27F"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less</w:t>
            </w:r>
            <w:proofErr w:type="spellEnd"/>
            <w:proofErr w:type="gramEnd"/>
          </w:p>
        </w:tc>
        <w:tc>
          <w:tcPr>
            <w:tcW w:w="171" w:type="pct"/>
            <w:tcBorders>
              <w:top w:val="nil"/>
              <w:left w:val="nil"/>
              <w:bottom w:val="single" w:sz="4" w:space="0" w:color="auto"/>
              <w:right w:val="nil"/>
            </w:tcBorders>
            <w:noWrap/>
            <w:vAlign w:val="center"/>
            <w:hideMark/>
          </w:tcPr>
          <w:p w14:paraId="4E066D22"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children</w:t>
            </w:r>
            <w:proofErr w:type="spellEnd"/>
            <w:proofErr w:type="gramEnd"/>
          </w:p>
        </w:tc>
        <w:tc>
          <w:tcPr>
            <w:tcW w:w="283" w:type="pct"/>
            <w:tcBorders>
              <w:top w:val="nil"/>
              <w:left w:val="nil"/>
              <w:bottom w:val="single" w:sz="4" w:space="0" w:color="auto"/>
              <w:right w:val="nil"/>
            </w:tcBorders>
            <w:noWrap/>
            <w:vAlign w:val="center"/>
            <w:hideMark/>
          </w:tcPr>
          <w:p w14:paraId="679599E0" w14:textId="77777777" w:rsidR="0065213A" w:rsidRPr="0065213A" w:rsidRDefault="0065213A" w:rsidP="22DB2182">
            <w:pPr>
              <w:suppressAutoHyphens w:val="0"/>
              <w:autoSpaceDN/>
              <w:spacing w:after="0" w:line="240" w:lineRule="auto"/>
              <w:jc w:val="center"/>
              <w:textAlignment w:val="auto"/>
              <w:rPr>
                <w:rFonts w:ascii="Times New Roman" w:eastAsia="Times New Roman" w:hAnsi="Times New Roman" w:cs="Times New Roman"/>
                <w:color w:val="000000"/>
                <w:sz w:val="8"/>
                <w:szCs w:val="8"/>
                <w:lang w:val="fr-FR" w:eastAsia="en-US"/>
              </w:rPr>
            </w:pPr>
            <w:proofErr w:type="spellStart"/>
            <w:proofErr w:type="gramStart"/>
            <w:r w:rsidRPr="22DB2182">
              <w:rPr>
                <w:rFonts w:ascii="Times New Roman" w:eastAsia="Times New Roman" w:hAnsi="Times New Roman" w:cs="Times New Roman"/>
                <w:color w:val="000000" w:themeColor="text1"/>
                <w:sz w:val="8"/>
                <w:szCs w:val="8"/>
                <w:lang w:val="fr-FR" w:eastAsia="en-US"/>
              </w:rPr>
              <w:t>neurotypical</w:t>
            </w:r>
            <w:proofErr w:type="spellEnd"/>
            <w:proofErr w:type="gramEnd"/>
          </w:p>
        </w:tc>
        <w:tc>
          <w:tcPr>
            <w:tcW w:w="338" w:type="pct"/>
            <w:tcBorders>
              <w:top w:val="nil"/>
              <w:left w:val="nil"/>
              <w:bottom w:val="single" w:sz="4" w:space="0" w:color="auto"/>
              <w:right w:val="nil"/>
            </w:tcBorders>
            <w:noWrap/>
            <w:vAlign w:val="center"/>
            <w:hideMark/>
          </w:tcPr>
          <w:p w14:paraId="713D0F1F" w14:textId="25691657"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themeColor="text1"/>
                <w:sz w:val="8"/>
                <w:szCs w:val="8"/>
              </w:rPr>
            </w:pPr>
          </w:p>
        </w:tc>
        <w:tc>
          <w:tcPr>
            <w:tcW w:w="246" w:type="pct"/>
            <w:tcBorders>
              <w:top w:val="nil"/>
              <w:left w:val="nil"/>
              <w:bottom w:val="single" w:sz="4" w:space="0" w:color="auto"/>
              <w:right w:val="nil"/>
            </w:tcBorders>
            <w:noWrap/>
            <w:vAlign w:val="center"/>
            <w:hideMark/>
          </w:tcPr>
          <w:p w14:paraId="4E7A15EA" w14:textId="4B8AD861" w:rsidR="0065213A" w:rsidRPr="0065213A" w:rsidRDefault="0065213A" w:rsidP="0065213A">
            <w:pPr>
              <w:suppressAutoHyphens w:val="0"/>
              <w:autoSpaceDN/>
              <w:spacing w:after="0" w:line="240" w:lineRule="auto"/>
              <w:jc w:val="center"/>
              <w:textAlignment w:val="auto"/>
              <w:rPr>
                <w:rFonts w:ascii="Times New Roman" w:eastAsia="Times New Roman" w:hAnsi="Times New Roman" w:cs="Times New Roman"/>
                <w:color w:val="000000"/>
                <w:sz w:val="8"/>
                <w:szCs w:val="8"/>
              </w:rPr>
            </w:pPr>
          </w:p>
        </w:tc>
      </w:tr>
      <w:tr w:rsidR="0065213A" w:rsidRPr="0065213A" w14:paraId="078B4955" w14:textId="77777777" w:rsidTr="22DB2182">
        <w:trPr>
          <w:trHeight w:val="20"/>
        </w:trPr>
        <w:tc>
          <w:tcPr>
            <w:tcW w:w="5000" w:type="pct"/>
            <w:gridSpan w:val="16"/>
            <w:tcBorders>
              <w:top w:val="single" w:sz="4" w:space="0" w:color="auto"/>
              <w:left w:val="nil"/>
              <w:bottom w:val="nil"/>
              <w:right w:val="nil"/>
            </w:tcBorders>
            <w:noWrap/>
            <w:vAlign w:val="center"/>
          </w:tcPr>
          <w:p w14:paraId="1F1BC618" w14:textId="65F679E6" w:rsidR="0065213A" w:rsidRPr="00CB4000" w:rsidRDefault="00AE5F57" w:rsidP="00AE5F57">
            <w:pPr>
              <w:spacing w:after="0" w:line="240" w:lineRule="auto"/>
              <w:rPr>
                <w:rFonts w:ascii="Times New Roman" w:eastAsia="Times New Roman" w:hAnsi="Times New Roman" w:cs="Times New Roman"/>
                <w:color w:val="000000" w:themeColor="text1"/>
                <w:sz w:val="10"/>
                <w:szCs w:val="10"/>
              </w:rPr>
            </w:pPr>
            <w:r w:rsidRPr="00DE58CF">
              <w:rPr>
                <w:rFonts w:ascii="Times New Roman" w:eastAsia="Times New Roman" w:hAnsi="Times New Roman" w:cs="Times New Roman"/>
                <w:i/>
                <w:iCs/>
                <w:color w:val="000000" w:themeColor="text1"/>
                <w:sz w:val="10"/>
                <w:szCs w:val="10"/>
              </w:rPr>
              <w:t>Note</w:t>
            </w:r>
            <w:r>
              <w:rPr>
                <w:rFonts w:ascii="Times New Roman" w:eastAsia="Times New Roman" w:hAnsi="Times New Roman" w:cs="Times New Roman"/>
                <w:color w:val="000000" w:themeColor="text1"/>
                <w:sz w:val="10"/>
                <w:szCs w:val="10"/>
              </w:rPr>
              <w:t>. Experiments are denoted by numbers. Different sessions / groups / tasks are denoted by lettering. SART = sustained attention to response task</w:t>
            </w:r>
            <w:r w:rsidR="00CB4000">
              <w:rPr>
                <w:rFonts w:ascii="Times New Roman" w:eastAsia="Times New Roman" w:hAnsi="Times New Roman" w:cs="Times New Roman"/>
                <w:color w:val="000000" w:themeColor="text1"/>
                <w:sz w:val="10"/>
                <w:szCs w:val="10"/>
              </w:rPr>
              <w:t xml:space="preserve"> </w:t>
            </w:r>
            <w:r w:rsidR="00CB4000">
              <w:rPr>
                <w:rFonts w:ascii="Times New Roman" w:eastAsia="Times New Roman" w:hAnsi="Times New Roman" w:cs="Times New Roman"/>
                <w:color w:val="000000" w:themeColor="text1"/>
                <w:sz w:val="10"/>
                <w:szCs w:val="10"/>
              </w:rPr>
              <w:fldChar w:fldCharType="begin"/>
            </w:r>
            <w:r w:rsidR="00B633EE">
              <w:rPr>
                <w:rFonts w:ascii="Times New Roman" w:eastAsia="Times New Roman" w:hAnsi="Times New Roman" w:cs="Times New Roman"/>
                <w:color w:val="000000" w:themeColor="text1"/>
                <w:sz w:val="10"/>
                <w:szCs w:val="10"/>
              </w:rPr>
              <w:instrText xml:space="preserve"> ADDIN ZOTERO_ITEM CSL_CITATION {"citationID":"ahvt0qg3o9","properties":{"unsorted":false,"formattedCitation":"(Robertson et al., 1997)","plainCitation":"(Robertson et al., 1997)","noteIndex":0},"citationItems":[{"id":17892,"uris":["http://zotero.org/users/8613739/items/GDXGZJGE"],"itemData":{"id":17892,"type":"article-journal","abstract":"Insufficient attention to tasks can result in slips of action as automatic, unintended action sequences are triggered inappropriately. Such slips arise in part from deficits in sustained attention, which are particularly likely to happen following frontal lobe and white matter damage in traumatic brain injury (TBI). We present a reliable laboratory paradigm that elicits such slips of action and demonstrates high correlations between the severity of brain damage and relative-reported everyday attention failures in a group of 34 TBI patients. We also demonstrate significant correlations between self-and informant-reported everyday attentional failures and performance on this paradigm in a group of 75 normal controls. The paradigm (the Sustained Attention to Response Task—SART) involves the withholding of key presses to rare (one in nine) targets. Performance on the SART correlates significantly with performance on tests of sustained attention, but not other types of attention, supporting the view that this is indeed a measure of sustained attention. We also show that errors (false presses) on the SART can be predicted by a significant shortening of reaction times in the immediately preceding responses, supporting the view that these errors are a result of `drift' of controlled processing into automatic responding consequent on impaired sustained attention to task. We also report a highly significant correlation of −0.58 between SART performance and Glasgow Coma Scale Scores in the TBI group.","citation-key":"robertsonOopsPerformanceCorrelates1997","container-title":"Neuropsychologia","DOI":"10.1016/S0028-3932(97)00015-8","ISSN":"0028-3932","issue":"6","journalAbbreviation":"Neuropsychologia","page":"747-758","source":"ScienceDirect","title":"`Oops!': Performance correlates of everyday attentional failures in traumatic brain injured and normal subjects","title-short":"`Oops!'","volume":"35","author":[{"family":"Robertson","given":"Ian H"},{"family":"Manly","given":"Tom"},{"family":"Andrade","given":"Jackie"},{"family":"Baddeley","given":"Bart T"},{"family":"Yiend","given":"Jenny"}],"issued":{"date-parts":[["1997",5,19]]}}}],"schema":"https://github.com/citation-style-language/schema/raw/master/csl-citation.json"} </w:instrText>
            </w:r>
            <w:r w:rsidR="00CB4000">
              <w:rPr>
                <w:rFonts w:ascii="Times New Roman" w:eastAsia="Times New Roman" w:hAnsi="Times New Roman" w:cs="Times New Roman"/>
                <w:color w:val="000000" w:themeColor="text1"/>
                <w:sz w:val="10"/>
                <w:szCs w:val="10"/>
              </w:rPr>
              <w:fldChar w:fldCharType="separate"/>
            </w:r>
            <w:r w:rsidR="00B633EE" w:rsidRPr="00B633EE">
              <w:rPr>
                <w:rFonts w:ascii="Times New Roman" w:hAnsi="Times New Roman" w:cs="Times New Roman"/>
                <w:sz w:val="10"/>
              </w:rPr>
              <w:t>(Robertson et al., 1997)</w:t>
            </w:r>
            <w:r w:rsidR="00CB4000">
              <w:rPr>
                <w:rFonts w:ascii="Times New Roman" w:eastAsia="Times New Roman" w:hAnsi="Times New Roman" w:cs="Times New Roman"/>
                <w:color w:val="000000" w:themeColor="text1"/>
                <w:sz w:val="10"/>
                <w:szCs w:val="10"/>
              </w:rPr>
              <w:fldChar w:fldCharType="end"/>
            </w:r>
            <w:r>
              <w:rPr>
                <w:rFonts w:ascii="Times New Roman" w:eastAsia="Times New Roman" w:hAnsi="Times New Roman" w:cs="Times New Roman"/>
                <w:color w:val="000000" w:themeColor="text1"/>
                <w:sz w:val="10"/>
                <w:szCs w:val="10"/>
              </w:rPr>
              <w:t>, ASRT = alternating serial reaction task</w:t>
            </w:r>
            <w:r w:rsidR="00CB4000">
              <w:rPr>
                <w:rFonts w:ascii="Times New Roman" w:eastAsia="Times New Roman" w:hAnsi="Times New Roman" w:cs="Times New Roman"/>
                <w:color w:val="000000" w:themeColor="text1"/>
                <w:sz w:val="10"/>
                <w:szCs w:val="10"/>
              </w:rPr>
              <w:t xml:space="preserve"> </w:t>
            </w:r>
            <w:r w:rsidR="00CB4000">
              <w:rPr>
                <w:rFonts w:ascii="Times New Roman" w:eastAsia="Times New Roman" w:hAnsi="Times New Roman" w:cs="Times New Roman"/>
                <w:color w:val="000000" w:themeColor="text1"/>
                <w:sz w:val="10"/>
                <w:szCs w:val="10"/>
              </w:rPr>
              <w:fldChar w:fldCharType="begin"/>
            </w:r>
            <w:r w:rsidR="00B633EE">
              <w:rPr>
                <w:rFonts w:ascii="Times New Roman" w:eastAsia="Times New Roman" w:hAnsi="Times New Roman" w:cs="Times New Roman"/>
                <w:color w:val="000000" w:themeColor="text1"/>
                <w:sz w:val="10"/>
                <w:szCs w:val="10"/>
              </w:rPr>
              <w:instrText xml:space="preserve"> ADDIN ZOTERO_ITEM CSL_CITATION {"citationID":"a26s95r4p2o","properties":{"unsorted":false,"formattedCitation":"(Farkas et al., 2024)","plainCitation":"(Farkas et al., 2024)","noteIndex":0},"citationItems":[{"id":17894,"uris":["http://zotero.org/users/8613739/items/WLCGQS4F"],"itemData":{"id":17894,"type":"article-journal","abstract":"Despite the fact that reliability estimation is crucial for robust inference, it is underutilized in neuroscience and cognitive psychology. Appreciating reliability can help researchers increase statistical power, effect sizes, and reproducibility, decrease the impact of measurement error, and inform methodological choices. However, accurately calculating reliability for many experimental learning tasks is challenging. In this study, we highlight a number of these issues, and estimate multiple metrics of internal consistency and split-half reliability of a widely used learning task on a large sample of 180 subjects. We show how pre-processing choices, task length, and sample size can affect reliability and its estimation. Our results show that the Alternating Serial Reaction Time Task has respectable reliability, especially when learning scores are calculated based on reaction times and two-stage averaging. We also show that a task length of 25 blocks can be sufficient to meet the usual thresholds for minimally acceptable reliability. We further illustrate how relying on a single point estimate of reliability can be misleading, and the calculation of multiple metrics, along with their uncertainties, can lead to a more complete characterization of the psychometric properties of tasks.","citation-key":"farkasComplexityMeasuringReliability2024","container-title":"Behavior Research Methods","DOI":"10.3758/s13428-022-02038-5","ISSN":"1554-3528","issue":"1","journalAbbreviation":"Behav Res Methods","language":"eng","page":"301-317","PMID":"36604378","PMCID":"PMC10794483","source":"PubMed","title":"The complexity of measuring reliability in learning tasks: An illustration using the Alternating Serial Reaction Time Task","title-short":"The complexity of measuring reliability in learning tasks","volume":"56","author":[{"family":"Farkas","given":"Bence C."},{"family":"Krajcsi","given":"Attila"},{"family":"Janacsek","given":"Karolina"},{"family":"Nemeth","given":"Dezso"}],"issued":{"date-parts":[["2024",1]]}}}],"schema":"https://github.com/citation-style-language/schema/raw/master/csl-citation.json"} </w:instrText>
            </w:r>
            <w:r w:rsidR="00CB4000">
              <w:rPr>
                <w:rFonts w:ascii="Times New Roman" w:eastAsia="Times New Roman" w:hAnsi="Times New Roman" w:cs="Times New Roman"/>
                <w:color w:val="000000" w:themeColor="text1"/>
                <w:sz w:val="10"/>
                <w:szCs w:val="10"/>
              </w:rPr>
              <w:fldChar w:fldCharType="separate"/>
            </w:r>
            <w:r w:rsidR="00B633EE" w:rsidRPr="00B633EE">
              <w:rPr>
                <w:rFonts w:ascii="Times New Roman" w:hAnsi="Times New Roman" w:cs="Times New Roman"/>
                <w:sz w:val="10"/>
              </w:rPr>
              <w:t>(Farkas et al., 2024)</w:t>
            </w:r>
            <w:r w:rsidR="00CB4000">
              <w:rPr>
                <w:rFonts w:ascii="Times New Roman" w:eastAsia="Times New Roman" w:hAnsi="Times New Roman" w:cs="Times New Roman"/>
                <w:color w:val="000000" w:themeColor="text1"/>
                <w:sz w:val="10"/>
                <w:szCs w:val="10"/>
              </w:rPr>
              <w:fldChar w:fldCharType="end"/>
            </w:r>
            <w:r>
              <w:rPr>
                <w:rFonts w:ascii="Times New Roman" w:eastAsia="Times New Roman" w:hAnsi="Times New Roman" w:cs="Times New Roman"/>
                <w:color w:val="000000" w:themeColor="text1"/>
                <w:sz w:val="10"/>
                <w:szCs w:val="10"/>
              </w:rPr>
              <w:t>, CTT = cognitive trade-off task</w:t>
            </w:r>
            <w:r w:rsidR="00CB4000">
              <w:rPr>
                <w:rFonts w:ascii="Times New Roman" w:eastAsia="Times New Roman" w:hAnsi="Times New Roman" w:cs="Times New Roman"/>
                <w:color w:val="000000" w:themeColor="text1"/>
                <w:sz w:val="10"/>
                <w:szCs w:val="10"/>
              </w:rPr>
              <w:t xml:space="preserve"> </w:t>
            </w:r>
            <w:r w:rsidR="00CB4000">
              <w:rPr>
                <w:rFonts w:ascii="Times New Roman" w:eastAsia="Times New Roman" w:hAnsi="Times New Roman" w:cs="Times New Roman"/>
                <w:color w:val="000000" w:themeColor="text1"/>
                <w:sz w:val="10"/>
                <w:szCs w:val="10"/>
              </w:rPr>
              <w:fldChar w:fldCharType="begin"/>
            </w:r>
            <w:r w:rsidR="00B633EE">
              <w:rPr>
                <w:rFonts w:ascii="Times New Roman" w:eastAsia="Times New Roman" w:hAnsi="Times New Roman" w:cs="Times New Roman"/>
                <w:color w:val="000000" w:themeColor="text1"/>
                <w:sz w:val="10"/>
                <w:szCs w:val="10"/>
              </w:rPr>
              <w:instrText xml:space="preserve"> ADDIN ZOTERO_ITEM CSL_CITATION {"citationID":"a1vqd5bbc7q","properties":{"unsorted":false,"formattedCitation":"(Vekony et al., 2025)","plainCitation":"(Vekony et al., 2025)","noteIndex":0},"citationItems":[{"id":15803,"uris":["http://zotero.org/groups/6160358/items/8DRPDRJC"],"itemData":{"id":15803,"type":"article-journal","abstract":"Human cognition must balance goal-directed behavior with the need to learn from environmental regularities. Mind wandering (MW), a state of attentional decoupling from the task at hand, is paradoxically associated with both executive failures and enhanced implicit statistical learning, yet the direct relationship between these phenomena remains unclear. Here, we provide direct behavioral evidence for a functional trade-off between these competing demands. Using a task that concurrently measured response inhibition, statistical learning, and self-reported task focus, we show that MW is associated with impaired inhibitory control but enhanced learning of probabilistic sequences. Critically, we reveal that these effects are mechanistically linked: the magnitude of the learning enhancement during MW is quantitatively modulated by the efficacy of response inhibition. These findings demonstrate that transient lapses in top-down executive control directly facilitate the implicit extraction of environmental statistics, supporting neurocompetition models and framing MW as a cognitive state that may be evolutionarily preserved to promote the unsupervised acquisition of predictive models.","citation-key":"vekonyFunctionalTradeoffExecutive2025a","container-title":"bioRxiv","page":"2025–08","title":"A functional trade-off between executive control and implicit statistical learning is dynamically gated by mind wandering","author":[{"family":"Vekony","given":"Teodora"},{"family":"Brezoczki","given":"Bianka"},{"family":"Csifcsak","given":"Gabor"},{"family":"Nemeth","given":"Dezso"},{"family":"Simor","given":"Peter"}],"issued":{"date-parts":[["2025"]]}}}],"schema":"https://github.com/citation-style-language/schema/raw/master/csl-citation.json"} </w:instrText>
            </w:r>
            <w:r w:rsidR="00CB4000">
              <w:rPr>
                <w:rFonts w:ascii="Times New Roman" w:eastAsia="Times New Roman" w:hAnsi="Times New Roman" w:cs="Times New Roman"/>
                <w:color w:val="000000" w:themeColor="text1"/>
                <w:sz w:val="10"/>
                <w:szCs w:val="10"/>
              </w:rPr>
              <w:fldChar w:fldCharType="separate"/>
            </w:r>
            <w:r w:rsidR="00B633EE" w:rsidRPr="00B633EE">
              <w:rPr>
                <w:rFonts w:ascii="Times New Roman" w:hAnsi="Times New Roman" w:cs="Times New Roman"/>
                <w:sz w:val="10"/>
              </w:rPr>
              <w:t>(Vekony et al., 2025)</w:t>
            </w:r>
            <w:r w:rsidR="00CB4000">
              <w:rPr>
                <w:rFonts w:ascii="Times New Roman" w:eastAsia="Times New Roman" w:hAnsi="Times New Roman" w:cs="Times New Roman"/>
                <w:color w:val="000000" w:themeColor="text1"/>
                <w:sz w:val="10"/>
                <w:szCs w:val="10"/>
              </w:rPr>
              <w:fldChar w:fldCharType="end"/>
            </w:r>
            <w:r w:rsidRPr="00FC28E3">
              <w:rPr>
                <w:rFonts w:ascii="Times New Roman" w:eastAsia="Times New Roman" w:hAnsi="Times New Roman" w:cs="Times New Roman"/>
                <w:color w:val="000000" w:themeColor="text1"/>
                <w:sz w:val="10"/>
                <w:szCs w:val="10"/>
              </w:rPr>
              <w:t>, PVT = psychomotor vigilance task</w:t>
            </w:r>
            <w:r w:rsidR="00CB4000" w:rsidRPr="00FC28E3">
              <w:rPr>
                <w:rFonts w:ascii="Times New Roman" w:eastAsia="Times New Roman" w:hAnsi="Times New Roman" w:cs="Times New Roman"/>
                <w:color w:val="000000" w:themeColor="text1"/>
                <w:sz w:val="10"/>
                <w:szCs w:val="10"/>
              </w:rPr>
              <w:t xml:space="preserve"> </w:t>
            </w:r>
            <w:r w:rsidR="00CB4000">
              <w:rPr>
                <w:rFonts w:ascii="Times New Roman" w:eastAsia="Times New Roman" w:hAnsi="Times New Roman" w:cs="Times New Roman"/>
                <w:color w:val="000000" w:themeColor="text1"/>
                <w:sz w:val="10"/>
                <w:szCs w:val="10"/>
              </w:rPr>
              <w:fldChar w:fldCharType="begin"/>
            </w:r>
            <w:r w:rsidR="00B633EE">
              <w:rPr>
                <w:rFonts w:ascii="Times New Roman" w:eastAsia="Times New Roman" w:hAnsi="Times New Roman" w:cs="Times New Roman"/>
                <w:color w:val="000000" w:themeColor="text1"/>
                <w:sz w:val="10"/>
                <w:szCs w:val="10"/>
              </w:rPr>
              <w:instrText xml:space="preserve"> ADDIN ZOTERO_ITEM CSL_CITATION {"citationID":"a7dddkplul","properties":{"unsorted":false,"formattedCitation":"(Dinges &amp; Powell, 1985)","plainCitation":"(Dinges &amp; Powell, 1985)","noteIndex":0},"citationItems":[{"id":17897,"uris":["http://zotero.org/users/8613739/items/YKYQQD89"],"itemData":{"id":17897,"type":"article-journal","abstract":"The Institute of Pennsylvania Hospital and University of Pennsylvania, Philadelphia, Pennsylvania There is a need for brief, portable performance measures that are free of practice effects but that reliably show the impact of sleep loss on performance during sustained work. Reaction time (RT) tasks hold considerable promise in meeting this need, if the extensive number of responses they typically yield can be processed in ways that quickly provide the essential analyses. While testing the utility of a portable visual RT task during a sustained, quasi-continuous work schedule of 54 h, we developed a microcomputer software system that inputs, edits, transforms, analyzes, and reduces the data from the RT portable audiotapes, for each 10-min trial on the task. With relatively minor modifications, the software system can be used on a minimally configured microcomputer system that supports BASIC. The software is flexible and capable of retrieving distorted data, and it generates a variety of dependent variables reflecting intratrial optimum response capacity, lapsing, and response slowing.","citation-key":"dingesMicrocomputerAnalysesPerformance1985","container-title":"Behavior Research Methods, Instruments, &amp; Computers","DOI":"10.3758/BF03200977","ISSN":"1532-5970","issue":"6","journalAbbreviation":"Behavior Research Methods, Instruments, &amp; Computers","language":"en","page":"652-655","source":"Springer Link","title":"Microcomputer analyses of performance on a portable, simple visual RT task during sustained operations","volume":"17","author":[{"family":"Dinges","given":"David F."},{"family":"Powell","given":"John W."}],"issued":{"date-parts":[["1985",11,1]]}}}],"schema":"https://github.com/citation-style-language/schema/raw/master/csl-citation.json"} </w:instrText>
            </w:r>
            <w:r w:rsidR="00CB4000">
              <w:rPr>
                <w:rFonts w:ascii="Times New Roman" w:eastAsia="Times New Roman" w:hAnsi="Times New Roman" w:cs="Times New Roman"/>
                <w:color w:val="000000" w:themeColor="text1"/>
                <w:sz w:val="10"/>
                <w:szCs w:val="10"/>
              </w:rPr>
              <w:fldChar w:fldCharType="separate"/>
            </w:r>
            <w:r w:rsidR="00B633EE" w:rsidRPr="00B633EE">
              <w:rPr>
                <w:rFonts w:ascii="Times New Roman" w:hAnsi="Times New Roman" w:cs="Times New Roman"/>
                <w:sz w:val="10"/>
              </w:rPr>
              <w:t>(Dinges &amp; Powell, 1985)</w:t>
            </w:r>
            <w:r w:rsidR="00CB4000">
              <w:rPr>
                <w:rFonts w:ascii="Times New Roman" w:eastAsia="Times New Roman" w:hAnsi="Times New Roman" w:cs="Times New Roman"/>
                <w:color w:val="000000" w:themeColor="text1"/>
                <w:sz w:val="10"/>
                <w:szCs w:val="10"/>
              </w:rPr>
              <w:fldChar w:fldCharType="end"/>
            </w:r>
            <w:r w:rsidRPr="00FC28E3">
              <w:rPr>
                <w:rFonts w:ascii="Times New Roman" w:eastAsia="Times New Roman" w:hAnsi="Times New Roman" w:cs="Times New Roman"/>
                <w:color w:val="000000" w:themeColor="text1"/>
                <w:sz w:val="10"/>
                <w:szCs w:val="10"/>
              </w:rPr>
              <w:t>, FT-RSGT = finger tapping random sequence generation</w:t>
            </w:r>
            <w:r w:rsidR="00CB4000" w:rsidRPr="00FC28E3">
              <w:rPr>
                <w:rFonts w:ascii="Times New Roman" w:eastAsia="Times New Roman" w:hAnsi="Times New Roman" w:cs="Times New Roman"/>
                <w:color w:val="000000" w:themeColor="text1"/>
                <w:sz w:val="10"/>
                <w:szCs w:val="10"/>
              </w:rPr>
              <w:t xml:space="preserve"> </w:t>
            </w:r>
            <w:r w:rsidR="00CB4000">
              <w:rPr>
                <w:rFonts w:ascii="Times New Roman" w:eastAsia="Times New Roman" w:hAnsi="Times New Roman" w:cs="Times New Roman"/>
                <w:color w:val="000000" w:themeColor="text1"/>
                <w:sz w:val="10"/>
                <w:szCs w:val="10"/>
                <w:lang w:val="fr-BE"/>
              </w:rPr>
              <w:fldChar w:fldCharType="begin"/>
            </w:r>
            <w:r w:rsidR="00B633EE">
              <w:rPr>
                <w:rFonts w:ascii="Times New Roman" w:eastAsia="Times New Roman" w:hAnsi="Times New Roman" w:cs="Times New Roman"/>
                <w:color w:val="000000" w:themeColor="text1"/>
                <w:sz w:val="10"/>
                <w:szCs w:val="10"/>
              </w:rPr>
              <w:instrText xml:space="preserve"> ADDIN ZOTERO_ITEM CSL_CITATION {"citationID":"a1jt1hro9vi","properties":{"unsorted":false,"formattedCitation":"(Boayue et al., 2021)","plainCitation":"(Boayue et al., 2021)","noteIndex":0},"citationItems":[{"id":17899,"uris":["http://zotero.org/users/8613739/items/3JLL283N"],"itemData":{"id":17899,"type":"article-journal","abstract":"While the involvement of executive processes in mind wandering is largely undebated, their exact relationship is subject to an ongoing debate and rarely studied dynamically within-subject. Several brain-stimulation studies using transcranial direct current stimulation (tDCS) have attempted to modulate mind-wandering propensity by stimulating the left dorsolateral prefrontal cortex (DLPFC) which is an important hub in the prefrontal control network. In a series of three studies testing a total of N = 100 participants, we develop a novel task that allows to study the dynamic interplay of mind wandering, behavioural varibility and the flexible recruitment of executive resources as indexed by the randomness (entropy) of movement sequences generated by our participants. We consistently find that behavioural variability is increased and randomness is decreased during periods of mind wandering. Interestingly, we also find that behavioural variability interacts with the entropy-MW effect, opening up the possibility to detect distinct states of off-focus cognition. When applying a high-definition transcranial direct-current stimulation (HD-tDCS) montage to the left DLPFC, we find that propensity to mind wander is reduced relative to a group receiving sham stimulation.","citation-key":"boayueInterplayExecutiveControl2021","container-title":"European Journal of Neuroscience","DOI":"10.1111/ejn.15049","ISSN":"1460-9568","issue":"5","language":"en","license":"© 2020 The Authors. European Journal of Neuroscience published by Federation of European Neuroscience Societies and John Wiley &amp; Sons Ltd","note":"_eprint: https://onlinelibrary.wiley.com/doi/pdf/10.1111/ejn.15049","page":"1498-1516","source":"Wiley Online Library","title":"The interplay between executive control, behavioural variability and mind wandering: Insights from a high-definition transcranial direct-current stimulation study","title-short":"The interplay between executive control, behavioural variability and mind wandering","volume":"53","author":[{"family":"Boayue","given":"Nya M."},{"family":"Csifcsák","given":"Gábor"},{"family":"Kreis","given":"Isabel V."},{"family":"Schmidt","given":"Carole"},{"family":"Finn","given":"Iselin"},{"family":"Hovde Vollsund","given":"Anna E."},{"family":"Mittner","given":"Matthias"}],"issued":{"date-parts":[["2021"]]}}}],"schema":"https://github.com/citation-style-language/schema/raw/master/csl-citation.json"} </w:instrText>
            </w:r>
            <w:r w:rsidR="00CB4000">
              <w:rPr>
                <w:rFonts w:ascii="Times New Roman" w:eastAsia="Times New Roman" w:hAnsi="Times New Roman" w:cs="Times New Roman"/>
                <w:color w:val="000000" w:themeColor="text1"/>
                <w:sz w:val="10"/>
                <w:szCs w:val="10"/>
                <w:lang w:val="fr-BE"/>
              </w:rPr>
              <w:fldChar w:fldCharType="separate"/>
            </w:r>
            <w:r w:rsidR="00B633EE" w:rsidRPr="00B633EE">
              <w:rPr>
                <w:rFonts w:ascii="Times New Roman" w:hAnsi="Times New Roman" w:cs="Times New Roman"/>
                <w:sz w:val="10"/>
              </w:rPr>
              <w:t>(Boayue et al., 2021)</w:t>
            </w:r>
            <w:r w:rsidR="00CB4000">
              <w:rPr>
                <w:rFonts w:ascii="Times New Roman" w:eastAsia="Times New Roman" w:hAnsi="Times New Roman" w:cs="Times New Roman"/>
                <w:color w:val="000000" w:themeColor="text1"/>
                <w:sz w:val="10"/>
                <w:szCs w:val="10"/>
                <w:lang w:val="fr-BE"/>
              </w:rPr>
              <w:fldChar w:fldCharType="end"/>
            </w:r>
            <w:r w:rsidRPr="00CB4000">
              <w:rPr>
                <w:rFonts w:ascii="Times New Roman" w:eastAsia="Times New Roman" w:hAnsi="Times New Roman" w:cs="Times New Roman"/>
                <w:color w:val="000000" w:themeColor="text1"/>
                <w:sz w:val="10"/>
                <w:szCs w:val="10"/>
              </w:rPr>
              <w:t>, CPT = continuous performance task</w:t>
            </w:r>
            <w:r w:rsidR="00CB4000">
              <w:rPr>
                <w:rFonts w:ascii="Times New Roman" w:eastAsia="Times New Roman" w:hAnsi="Times New Roman" w:cs="Times New Roman"/>
                <w:color w:val="000000" w:themeColor="text1"/>
                <w:sz w:val="10"/>
                <w:szCs w:val="10"/>
              </w:rPr>
              <w:t xml:space="preserve"> </w:t>
            </w:r>
            <w:r w:rsidR="00CB4000">
              <w:rPr>
                <w:rFonts w:ascii="Times New Roman" w:eastAsia="Times New Roman" w:hAnsi="Times New Roman" w:cs="Times New Roman"/>
                <w:color w:val="000000" w:themeColor="text1"/>
                <w:sz w:val="10"/>
                <w:szCs w:val="10"/>
              </w:rPr>
              <w:fldChar w:fldCharType="begin"/>
            </w:r>
            <w:r w:rsidR="00B633EE">
              <w:rPr>
                <w:rFonts w:ascii="Times New Roman" w:eastAsia="Times New Roman" w:hAnsi="Times New Roman" w:cs="Times New Roman"/>
                <w:color w:val="000000" w:themeColor="text1"/>
                <w:sz w:val="10"/>
                <w:szCs w:val="10"/>
              </w:rPr>
              <w:instrText xml:space="preserve"> ADDIN ZOTERO_ITEM CSL_CITATION {"citationID":"a21kj4go3qb","properties":{"unsorted":false,"formattedCitation":"(Rosenberg et al., 2013)","plainCitation":"(Rosenberg et al., 2013)","noteIndex":0},"citationItems":[{"id":17902,"uris":["http://zotero.org/users/8613739/items/KZW2MT6T"],"itemData":{"id":17902,"type":"article-journal","abstract":"Sustained attention is a fundamental aspect of human cognition and has been widely studied in applied and clinical contexts. Despite a growing understanding of how attention varies throughout task performance, moment-to-moment fluctuations are often difficult to assess. In order to better characterize fluctuations in sustained visual attention, in the present study we employed a novel continuous performance task (CPT), the gradual-onset CPT (gradCPT). In the gradCPT, a central face stimulus gradually transitions between individuals at a constant rate (1,200 ms), and participants are instructed to respond to each male face but not to a rare target female face. In the distractor-present version, the background distractors consist of scene images, and in the distractor-absent condition, of phase-scrambled scene images. The results confirmed that the gradCPT taxes sustained attention, as vigilance decrements were observed over the task's 12-min duration: Participants made more commission errors and showed increasingly variable response latencies (RTs) over time. Participants' attentional states also fluctuated from moment to moment, with periods of higher RT variability being associated with increased likelihood of errors and greater speed-accuracy trade-offs. In addition, task performance was related to self-reported mindfulness and the propensity for attention lapses in everyday life. The gradCPT is a useful tool for studying both low- and high-frequency fluctuations in sustained visual attention and is sensitive to individual differences in attentional ability.","citation-key":"rosenbergSustainingVisualAttention2013","container-title":"Attention, Perception &amp; Psychophysics","DOI":"10.3758/s13414-012-0413-x","ISSN":"1943-393X","issue":"3","journalAbbreviation":"Atten Percept Psychophys","language":"eng","page":"426-439","PMID":"23299180","source":"PubMed","title":"Sustaining visual attention in the face of distraction: a novel gradual-onset continuous performance task","title-short":"Sustaining visual attention in the face of distraction","volume":"75","author":[{"family":"Rosenberg","given":"Monica"},{"family":"Noonan","given":"Sarah"},{"family":"DeGutis","given":"Joseph"},{"family":"Esterman","given":"Michael"}],"issued":{"date-parts":[["2013",4]]}}}],"schema":"https://github.com/citation-style-language/schema/raw/master/csl-citation.json"} </w:instrText>
            </w:r>
            <w:r w:rsidR="00CB4000">
              <w:rPr>
                <w:rFonts w:ascii="Times New Roman" w:eastAsia="Times New Roman" w:hAnsi="Times New Roman" w:cs="Times New Roman"/>
                <w:color w:val="000000" w:themeColor="text1"/>
                <w:sz w:val="10"/>
                <w:szCs w:val="10"/>
              </w:rPr>
              <w:fldChar w:fldCharType="separate"/>
            </w:r>
            <w:r w:rsidR="00B633EE" w:rsidRPr="00B633EE">
              <w:rPr>
                <w:rFonts w:ascii="Times New Roman" w:hAnsi="Times New Roman" w:cs="Times New Roman"/>
                <w:sz w:val="10"/>
              </w:rPr>
              <w:t>(Rosenberg et al., 2013)</w:t>
            </w:r>
            <w:r w:rsidR="00CB4000">
              <w:rPr>
                <w:rFonts w:ascii="Times New Roman" w:eastAsia="Times New Roman" w:hAnsi="Times New Roman" w:cs="Times New Roman"/>
                <w:color w:val="000000" w:themeColor="text1"/>
                <w:sz w:val="10"/>
                <w:szCs w:val="10"/>
              </w:rPr>
              <w:fldChar w:fldCharType="end"/>
            </w:r>
            <w:r w:rsidRPr="00CB4000">
              <w:rPr>
                <w:rFonts w:ascii="Times New Roman" w:eastAsia="Times New Roman" w:hAnsi="Times New Roman" w:cs="Times New Roman"/>
                <w:color w:val="000000" w:themeColor="text1"/>
                <w:sz w:val="10"/>
                <w:szCs w:val="10"/>
              </w:rPr>
              <w:t xml:space="preserve">, TDCS-A = transcranial direct current stimulation – anodal at F4, TDCS-C = transcranial direct current stimulation – anodal at P10, </w:t>
            </w:r>
            <w:proofErr w:type="spellStart"/>
            <w:r w:rsidRPr="00CB4000">
              <w:rPr>
                <w:rFonts w:ascii="Times New Roman" w:eastAsia="Times New Roman" w:hAnsi="Times New Roman" w:cs="Times New Roman"/>
                <w:color w:val="000000" w:themeColor="text1"/>
                <w:sz w:val="10"/>
                <w:szCs w:val="10"/>
              </w:rPr>
              <w:t>rTMS-cTBS</w:t>
            </w:r>
            <w:proofErr w:type="spellEnd"/>
            <w:r w:rsidRPr="00CB4000">
              <w:rPr>
                <w:rFonts w:ascii="Times New Roman" w:eastAsia="Times New Roman" w:hAnsi="Times New Roman" w:cs="Times New Roman"/>
                <w:color w:val="000000" w:themeColor="text1"/>
                <w:sz w:val="10"/>
                <w:szCs w:val="10"/>
              </w:rPr>
              <w:t xml:space="preserve"> = repeated </w:t>
            </w:r>
            <w:proofErr w:type="spellStart"/>
            <w:r w:rsidRPr="00CB4000">
              <w:rPr>
                <w:rFonts w:ascii="Times New Roman" w:eastAsia="Times New Roman" w:hAnsi="Times New Roman" w:cs="Times New Roman"/>
                <w:color w:val="000000" w:themeColor="text1"/>
                <w:sz w:val="10"/>
                <w:szCs w:val="10"/>
              </w:rPr>
              <w:t>transcranical</w:t>
            </w:r>
            <w:proofErr w:type="spellEnd"/>
            <w:r w:rsidRPr="00CB4000">
              <w:rPr>
                <w:rFonts w:ascii="Times New Roman" w:eastAsia="Times New Roman" w:hAnsi="Times New Roman" w:cs="Times New Roman"/>
                <w:color w:val="000000" w:themeColor="text1"/>
                <w:sz w:val="10"/>
                <w:szCs w:val="10"/>
              </w:rPr>
              <w:t xml:space="preserve"> magnetic stimulation – continuous theta burst stimulation, </w:t>
            </w:r>
            <w:proofErr w:type="spellStart"/>
            <w:r w:rsidRPr="00CB4000">
              <w:rPr>
                <w:rFonts w:ascii="Times New Roman" w:eastAsia="Times New Roman" w:hAnsi="Times New Roman" w:cs="Times New Roman"/>
                <w:color w:val="000000" w:themeColor="text1"/>
                <w:sz w:val="10"/>
                <w:szCs w:val="10"/>
              </w:rPr>
              <w:t>rTMS-iTBS</w:t>
            </w:r>
            <w:proofErr w:type="spellEnd"/>
            <w:r w:rsidRPr="00CB4000">
              <w:rPr>
                <w:rFonts w:ascii="Times New Roman" w:eastAsia="Times New Roman" w:hAnsi="Times New Roman" w:cs="Times New Roman"/>
                <w:color w:val="000000" w:themeColor="text1"/>
                <w:sz w:val="10"/>
                <w:szCs w:val="10"/>
              </w:rPr>
              <w:t xml:space="preserve"> = repeated </w:t>
            </w:r>
            <w:proofErr w:type="spellStart"/>
            <w:r w:rsidRPr="00CB4000">
              <w:rPr>
                <w:rFonts w:ascii="Times New Roman" w:eastAsia="Times New Roman" w:hAnsi="Times New Roman" w:cs="Times New Roman"/>
                <w:color w:val="000000" w:themeColor="text1"/>
                <w:sz w:val="10"/>
                <w:szCs w:val="10"/>
              </w:rPr>
              <w:t>transcranical</w:t>
            </w:r>
            <w:proofErr w:type="spellEnd"/>
            <w:r w:rsidRPr="00CB4000">
              <w:rPr>
                <w:rFonts w:ascii="Times New Roman" w:eastAsia="Times New Roman" w:hAnsi="Times New Roman" w:cs="Times New Roman"/>
                <w:color w:val="000000" w:themeColor="text1"/>
                <w:sz w:val="10"/>
                <w:szCs w:val="10"/>
              </w:rPr>
              <w:t xml:space="preserve"> magnetic stimulation – intermittent theta burst stimulation</w:t>
            </w:r>
          </w:p>
        </w:tc>
      </w:tr>
    </w:tbl>
    <w:p w14:paraId="60453D06" w14:textId="77777777" w:rsidR="008F5DA6" w:rsidRPr="00CB4000" w:rsidRDefault="008F5DA6">
      <w:pPr>
        <w:spacing w:line="360" w:lineRule="auto"/>
        <w:jc w:val="both"/>
        <w:rPr>
          <w:rFonts w:ascii="Times New Roman" w:hAnsi="Times New Roman" w:cs="Times New Roman"/>
        </w:rPr>
      </w:pPr>
    </w:p>
    <w:p w14:paraId="002BBE60" w14:textId="100ACAE6" w:rsidR="0050078A" w:rsidRDefault="00FB05D1" w:rsidP="0050078A">
      <w:pPr>
        <w:spacing w:line="360" w:lineRule="auto"/>
        <w:ind w:firstLine="720"/>
        <w:jc w:val="both"/>
        <w:rPr>
          <w:rFonts w:ascii="Times New Roman" w:hAnsi="Times New Roman" w:cs="Times New Roman"/>
        </w:rPr>
      </w:pPr>
      <w:r>
        <w:rPr>
          <w:rFonts w:ascii="Times New Roman" w:hAnsi="Times New Roman" w:cs="Times New Roman"/>
          <w:i/>
          <w:iCs/>
        </w:rPr>
        <w:t>Baseline MB model.</w:t>
      </w:r>
      <w:r>
        <w:rPr>
          <w:rFonts w:ascii="Times New Roman" w:hAnsi="Times New Roman" w:cs="Times New Roman"/>
        </w:rPr>
        <w:t xml:space="preserve"> First, we defined a baseline model of MB rates. The baseline model contained studies that did not </w:t>
      </w:r>
      <w:proofErr w:type="spellStart"/>
      <w:r w:rsidR="0075190F">
        <w:rPr>
          <w:rFonts w:ascii="Times New Roman" w:hAnsi="Times New Roman" w:cs="Times New Roman"/>
        </w:rPr>
        <w:t>utilise</w:t>
      </w:r>
      <w:proofErr w:type="spellEnd"/>
      <w:r>
        <w:rPr>
          <w:rFonts w:ascii="Times New Roman" w:hAnsi="Times New Roman" w:cs="Times New Roman"/>
        </w:rPr>
        <w:t xml:space="preserve"> a) an arousal manipulation, b) a stimulation (TDCS/TMS) to alter thought frequency, c) a clinical population, d) drug intake, e) an experimental manipulation that directly alters the stream of thought, such as intentional thought-silencing. All these parameters were iteratively introduced </w:t>
      </w:r>
      <w:r>
        <w:rPr>
          <w:rFonts w:ascii="Times New Roman" w:hAnsi="Times New Roman" w:cs="Times New Roman"/>
        </w:rPr>
        <w:lastRenderedPageBreak/>
        <w:t xml:space="preserve">into the meta-regression models at a later stage of the analysis to </w:t>
      </w:r>
      <w:r w:rsidR="00170913">
        <w:rPr>
          <w:rFonts w:ascii="Times New Roman" w:hAnsi="Times New Roman" w:cs="Times New Roman"/>
        </w:rPr>
        <w:t>assess</w:t>
      </w:r>
      <w:r>
        <w:rPr>
          <w:rFonts w:ascii="Times New Roman" w:hAnsi="Times New Roman" w:cs="Times New Roman"/>
        </w:rPr>
        <w:t xml:space="preserve"> whether they </w:t>
      </w:r>
      <w:r w:rsidR="00170913">
        <w:rPr>
          <w:rFonts w:ascii="Times New Roman" w:hAnsi="Times New Roman" w:cs="Times New Roman"/>
        </w:rPr>
        <w:t>differed</w:t>
      </w:r>
      <w:r>
        <w:rPr>
          <w:rFonts w:ascii="Times New Roman" w:hAnsi="Times New Roman" w:cs="Times New Roman"/>
        </w:rPr>
        <w:t xml:space="preserve"> from the baseline model. </w:t>
      </w:r>
      <w:r w:rsidR="0050078A">
        <w:rPr>
          <w:rFonts w:ascii="Times New Roman" w:hAnsi="Times New Roman" w:cs="Times New Roman"/>
        </w:rPr>
        <w:t xml:space="preserve">Therefore, our strategy was </w:t>
      </w:r>
      <w:r w:rsidR="0075190F">
        <w:rPr>
          <w:rFonts w:ascii="Times New Roman" w:hAnsi="Times New Roman" w:cs="Times New Roman"/>
        </w:rPr>
        <w:t>first to specify a normative, baseline level of MB occurrence</w:t>
      </w:r>
      <w:r w:rsidR="0050078A">
        <w:rPr>
          <w:rFonts w:ascii="Times New Roman" w:hAnsi="Times New Roman" w:cs="Times New Roman"/>
        </w:rPr>
        <w:t xml:space="preserve"> and</w:t>
      </w:r>
      <w:r w:rsidR="0075190F">
        <w:rPr>
          <w:rFonts w:ascii="Times New Roman" w:hAnsi="Times New Roman" w:cs="Times New Roman"/>
        </w:rPr>
        <w:t xml:space="preserve">, second, to </w:t>
      </w:r>
      <w:r w:rsidR="0050078A">
        <w:rPr>
          <w:rFonts w:ascii="Times New Roman" w:hAnsi="Times New Roman" w:cs="Times New Roman"/>
        </w:rPr>
        <w:t xml:space="preserve">see whether different manipulations would deviate from this normative rate. </w:t>
      </w:r>
    </w:p>
    <w:p w14:paraId="5B430018" w14:textId="2F5FF262" w:rsidR="008F5DA6" w:rsidRDefault="00FB05D1">
      <w:pPr>
        <w:spacing w:line="360" w:lineRule="auto"/>
        <w:ind w:firstLine="720"/>
        <w:jc w:val="both"/>
        <w:rPr>
          <w:rFonts w:ascii="Times New Roman" w:hAnsi="Times New Roman" w:cs="Times New Roman"/>
        </w:rPr>
      </w:pPr>
      <w:r>
        <w:rPr>
          <w:rFonts w:ascii="Times New Roman" w:hAnsi="Times New Roman" w:cs="Times New Roman"/>
        </w:rPr>
        <w:t xml:space="preserve">The baseline model contained </w:t>
      </w:r>
      <w:r w:rsidR="0050078A">
        <w:rPr>
          <w:rFonts w:ascii="Times New Roman" w:hAnsi="Times New Roman" w:cs="Times New Roman"/>
        </w:rPr>
        <w:t>12</w:t>
      </w:r>
      <w:r w:rsidR="00EE05A2">
        <w:rPr>
          <w:rFonts w:ascii="Times New Roman" w:hAnsi="Times New Roman" w:cs="Times New Roman"/>
        </w:rPr>
        <w:t>9</w:t>
      </w:r>
      <w:r>
        <w:rPr>
          <w:rFonts w:ascii="Times New Roman" w:hAnsi="Times New Roman" w:cs="Times New Roman"/>
        </w:rPr>
        <w:t xml:space="preserve"> MB rates across </w:t>
      </w:r>
      <w:r w:rsidR="00EE05A2">
        <w:rPr>
          <w:rFonts w:ascii="Times New Roman" w:hAnsi="Times New Roman" w:cs="Times New Roman"/>
        </w:rPr>
        <w:t>58</w:t>
      </w:r>
      <w:r>
        <w:rPr>
          <w:rFonts w:ascii="Times New Roman" w:hAnsi="Times New Roman" w:cs="Times New Roman"/>
        </w:rPr>
        <w:t xml:space="preserve"> studies. The meta-analysis indicated that MB occurs at a rate of 10.</w:t>
      </w:r>
      <w:r w:rsidR="00DF06B3">
        <w:rPr>
          <w:rFonts w:ascii="Times New Roman" w:hAnsi="Times New Roman" w:cs="Times New Roman"/>
        </w:rPr>
        <w:t>5</w:t>
      </w:r>
      <w:r w:rsidR="0050078A">
        <w:rPr>
          <w:rFonts w:ascii="Times New Roman" w:hAnsi="Times New Roman" w:cs="Times New Roman"/>
        </w:rPr>
        <w:t>%,</w:t>
      </w:r>
      <w:r>
        <w:rPr>
          <w:rFonts w:ascii="Times New Roman" w:hAnsi="Times New Roman" w:cs="Times New Roman"/>
        </w:rPr>
        <w:t xml:space="preserve"> HDI</w:t>
      </w:r>
      <w:r>
        <w:rPr>
          <w:rFonts w:ascii="Times New Roman" w:hAnsi="Times New Roman" w:cs="Times New Roman"/>
          <w:vertAlign w:val="subscript"/>
        </w:rPr>
        <w:t xml:space="preserve">89 </w:t>
      </w:r>
      <w:r>
        <w:rPr>
          <w:rFonts w:ascii="Times New Roman" w:hAnsi="Times New Roman" w:cs="Times New Roman"/>
        </w:rPr>
        <w:t>= [9.</w:t>
      </w:r>
      <w:r w:rsidR="00DF06B3">
        <w:rPr>
          <w:rFonts w:ascii="Times New Roman" w:hAnsi="Times New Roman" w:cs="Times New Roman"/>
        </w:rPr>
        <w:t>5</w:t>
      </w:r>
      <w:r>
        <w:rPr>
          <w:rFonts w:ascii="Times New Roman" w:hAnsi="Times New Roman" w:cs="Times New Roman"/>
        </w:rPr>
        <w:t xml:space="preserve">, </w:t>
      </w:r>
      <w:r w:rsidR="00DF06B3">
        <w:rPr>
          <w:rFonts w:ascii="Times New Roman" w:hAnsi="Times New Roman" w:cs="Times New Roman"/>
        </w:rPr>
        <w:t>11.6</w:t>
      </w:r>
      <w:r>
        <w:rPr>
          <w:rFonts w:ascii="Times New Roman" w:hAnsi="Times New Roman" w:cs="Times New Roman"/>
        </w:rPr>
        <w:t>] (Figure 2</w:t>
      </w:r>
      <w:proofErr w:type="gramStart"/>
      <w:r>
        <w:rPr>
          <w:rFonts w:ascii="Times New Roman" w:hAnsi="Times New Roman" w:cs="Times New Roman"/>
        </w:rPr>
        <w:t>a,b</w:t>
      </w:r>
      <w:proofErr w:type="gramEnd"/>
      <w:r>
        <w:rPr>
          <w:rFonts w:ascii="Times New Roman" w:hAnsi="Times New Roman" w:cs="Times New Roman"/>
        </w:rPr>
        <w:t xml:space="preserve">). There was a </w:t>
      </w:r>
      <w:r w:rsidR="00DF06B3">
        <w:rPr>
          <w:rFonts w:ascii="Times New Roman" w:hAnsi="Times New Roman" w:cs="Times New Roman"/>
        </w:rPr>
        <w:t>low</w:t>
      </w:r>
      <w:r>
        <w:rPr>
          <w:rFonts w:ascii="Times New Roman" w:hAnsi="Times New Roman" w:cs="Times New Roman"/>
        </w:rPr>
        <w:t xml:space="preserve"> amount of within-study heterogeneity (</w:t>
      </w:r>
      <m:oMath>
        <m:sSub>
          <m:sSubPr>
            <m:ctrlPr>
              <w:rPr>
                <w:rFonts w:ascii="Cambria Math" w:hAnsi="Cambria Math"/>
              </w:rPr>
            </m:ctrlPr>
          </m:sSubPr>
          <m:e>
            <m:r>
              <w:rPr>
                <w:rFonts w:ascii="Cambria Math" w:hAnsi="Cambria Math"/>
              </w:rPr>
              <m:t>τ</m:t>
            </m:r>
          </m:e>
          <m:sub>
            <m:r>
              <w:rPr>
                <w:rFonts w:ascii="Cambria Math" w:hAnsi="Cambria Math"/>
              </w:rPr>
              <m:t>within</m:t>
            </m:r>
          </m:sub>
        </m:sSub>
      </m:oMath>
      <w:r>
        <w:rPr>
          <w:rFonts w:ascii="Times New Roman" w:hAnsi="Times New Roman" w:cs="Times New Roman"/>
        </w:rPr>
        <w:t xml:space="preserve"> = 0.</w:t>
      </w:r>
      <w:r w:rsidR="00DF06B3">
        <w:rPr>
          <w:rFonts w:ascii="Times New Roman" w:hAnsi="Times New Roman" w:cs="Times New Roman"/>
        </w:rPr>
        <w:t>27</w:t>
      </w:r>
      <w:r>
        <w:rPr>
          <w:rFonts w:ascii="Times New Roman" w:hAnsi="Times New Roman" w:cs="Times New Roman"/>
        </w:rPr>
        <w:t>, HDI</w:t>
      </w:r>
      <w:r>
        <w:rPr>
          <w:rFonts w:ascii="Times New Roman" w:hAnsi="Times New Roman" w:cs="Times New Roman"/>
          <w:vertAlign w:val="subscript"/>
        </w:rPr>
        <w:t xml:space="preserve">89 </w:t>
      </w:r>
      <w:r>
        <w:rPr>
          <w:rFonts w:ascii="Times New Roman" w:hAnsi="Times New Roman" w:cs="Times New Roman"/>
        </w:rPr>
        <w:t>= [0.</w:t>
      </w:r>
      <w:r w:rsidR="00DF06B3">
        <w:rPr>
          <w:rFonts w:ascii="Times New Roman" w:hAnsi="Times New Roman" w:cs="Times New Roman"/>
        </w:rPr>
        <w:t>2</w:t>
      </w:r>
      <w:r>
        <w:rPr>
          <w:rFonts w:ascii="Times New Roman" w:hAnsi="Times New Roman" w:cs="Times New Roman"/>
        </w:rPr>
        <w:t>, 0.</w:t>
      </w:r>
      <w:r w:rsidR="00DF06B3">
        <w:rPr>
          <w:rFonts w:ascii="Times New Roman" w:hAnsi="Times New Roman" w:cs="Times New Roman"/>
        </w:rPr>
        <w:t>3</w:t>
      </w:r>
      <w:r w:rsidR="00F66844">
        <w:rPr>
          <w:rFonts w:ascii="Times New Roman" w:hAnsi="Times New Roman" w:cs="Times New Roman"/>
        </w:rPr>
        <w:t>6</w:t>
      </w:r>
      <w:r>
        <w:rPr>
          <w:rFonts w:ascii="Times New Roman" w:hAnsi="Times New Roman" w:cs="Times New Roman"/>
        </w:rPr>
        <w:t xml:space="preserve">], </w:t>
      </w:r>
      <m:oMath>
        <m:sSubSup>
          <m:sSubSupPr>
            <m:ctrlPr>
              <w:rPr>
                <w:rFonts w:ascii="Cambria Math" w:hAnsi="Cambria Math"/>
              </w:rPr>
            </m:ctrlPr>
          </m:sSubSupPr>
          <m:e>
            <m:r>
              <w:rPr>
                <w:rFonts w:ascii="Cambria Math" w:hAnsi="Cambria Math"/>
              </w:rPr>
              <m:t>I</m:t>
            </m:r>
          </m:e>
          <m:sub>
            <m:r>
              <w:rPr>
                <w:rFonts w:ascii="Cambria Math" w:hAnsi="Cambria Math"/>
              </w:rPr>
              <m:t>within</m:t>
            </m:r>
          </m:sub>
          <m:sup>
            <m:r>
              <w:rPr>
                <w:rFonts w:ascii="Cambria Math" w:hAnsi="Cambria Math"/>
              </w:rPr>
              <m:t>2</m:t>
            </m:r>
          </m:sup>
        </m:sSubSup>
      </m:oMath>
      <w:r>
        <w:rPr>
          <w:rFonts w:ascii="Times New Roman" w:hAnsi="Times New Roman" w:cs="Times New Roman"/>
        </w:rPr>
        <w:t xml:space="preserve"> = </w:t>
      </w:r>
      <w:r w:rsidR="00DF06B3">
        <w:rPr>
          <w:rFonts w:ascii="Times New Roman" w:hAnsi="Times New Roman" w:cs="Times New Roman"/>
        </w:rPr>
        <w:t>17.8</w:t>
      </w:r>
      <w:r>
        <w:rPr>
          <w:rFonts w:ascii="Times New Roman" w:hAnsi="Times New Roman" w:cs="Times New Roman"/>
        </w:rPr>
        <w:t xml:space="preserve">%) (Figure 2c) and </w:t>
      </w:r>
      <w:r w:rsidR="00DF06B3">
        <w:rPr>
          <w:rFonts w:ascii="Times New Roman" w:hAnsi="Times New Roman" w:cs="Times New Roman"/>
        </w:rPr>
        <w:t>low to</w:t>
      </w:r>
      <w:r>
        <w:rPr>
          <w:rFonts w:ascii="Times New Roman" w:hAnsi="Times New Roman" w:cs="Times New Roman"/>
        </w:rPr>
        <w:t xml:space="preserve"> moderate amount of between-study heterogeneity (</w:t>
      </w:r>
      <m:oMath>
        <m:sSub>
          <m:sSubPr>
            <m:ctrlPr>
              <w:rPr>
                <w:rFonts w:ascii="Cambria Math" w:hAnsi="Cambria Math"/>
              </w:rPr>
            </m:ctrlPr>
          </m:sSubPr>
          <m:e>
            <m:r>
              <w:rPr>
                <w:rFonts w:ascii="Cambria Math" w:hAnsi="Cambria Math"/>
              </w:rPr>
              <m:t>τ</m:t>
            </m:r>
          </m:e>
          <m:sub>
            <m:r>
              <w:rPr>
                <w:rFonts w:ascii="Cambria Math" w:hAnsi="Cambria Math"/>
              </w:rPr>
              <m:t>between</m:t>
            </m:r>
          </m:sub>
        </m:sSub>
      </m:oMath>
      <w:r>
        <w:rPr>
          <w:rFonts w:ascii="Times New Roman" w:hAnsi="Times New Roman" w:cs="Times New Roman"/>
        </w:rPr>
        <w:t xml:space="preserve"> = 0.</w:t>
      </w:r>
      <w:r w:rsidR="00DF06B3">
        <w:rPr>
          <w:rFonts w:ascii="Times New Roman" w:hAnsi="Times New Roman" w:cs="Times New Roman"/>
        </w:rPr>
        <w:t>32</w:t>
      </w:r>
      <w:r>
        <w:rPr>
          <w:rFonts w:ascii="Times New Roman" w:hAnsi="Times New Roman" w:cs="Times New Roman"/>
        </w:rPr>
        <w:t>, HDI</w:t>
      </w:r>
      <w:r>
        <w:rPr>
          <w:rFonts w:ascii="Times New Roman" w:hAnsi="Times New Roman" w:cs="Times New Roman"/>
          <w:vertAlign w:val="subscript"/>
        </w:rPr>
        <w:t xml:space="preserve">89 </w:t>
      </w:r>
      <w:r>
        <w:rPr>
          <w:rFonts w:ascii="Times New Roman" w:hAnsi="Times New Roman" w:cs="Times New Roman"/>
        </w:rPr>
        <w:t>= [0.</w:t>
      </w:r>
      <w:r w:rsidR="00DF06B3">
        <w:rPr>
          <w:rFonts w:ascii="Times New Roman" w:hAnsi="Times New Roman" w:cs="Times New Roman"/>
        </w:rPr>
        <w:t>17</w:t>
      </w:r>
      <w:r>
        <w:rPr>
          <w:rFonts w:ascii="Times New Roman" w:hAnsi="Times New Roman" w:cs="Times New Roman"/>
        </w:rPr>
        <w:t>, 0</w:t>
      </w:r>
      <w:r w:rsidR="00DF06B3">
        <w:rPr>
          <w:rFonts w:ascii="Times New Roman" w:hAnsi="Times New Roman" w:cs="Times New Roman"/>
        </w:rPr>
        <w:t>4</w:t>
      </w:r>
      <w:r w:rsidR="00F66844">
        <w:rPr>
          <w:rFonts w:ascii="Times New Roman" w:hAnsi="Times New Roman" w:cs="Times New Roman"/>
        </w:rPr>
        <w:t>6</w:t>
      </w:r>
      <w:r>
        <w:rPr>
          <w:rFonts w:ascii="Times New Roman" w:hAnsi="Times New Roman" w:cs="Times New Roman"/>
        </w:rPr>
        <w:t xml:space="preserve">], </w:t>
      </w:r>
      <m:oMath>
        <m:sSubSup>
          <m:sSubSupPr>
            <m:ctrlPr>
              <w:rPr>
                <w:rFonts w:ascii="Cambria Math" w:hAnsi="Cambria Math"/>
              </w:rPr>
            </m:ctrlPr>
          </m:sSubSupPr>
          <m:e>
            <m:r>
              <w:rPr>
                <w:rFonts w:ascii="Cambria Math" w:hAnsi="Cambria Math"/>
              </w:rPr>
              <m:t>I</m:t>
            </m:r>
          </m:e>
          <m:sub>
            <m:r>
              <w:rPr>
                <w:rFonts w:ascii="Cambria Math" w:hAnsi="Cambria Math"/>
              </w:rPr>
              <m:t>between</m:t>
            </m:r>
          </m:sub>
          <m:sup>
            <m:r>
              <w:rPr>
                <w:rFonts w:ascii="Cambria Math" w:hAnsi="Cambria Math"/>
              </w:rPr>
              <m:t>2</m:t>
            </m:r>
          </m:sup>
        </m:sSubSup>
      </m:oMath>
      <w:r w:rsidRPr="002C404F">
        <w:rPr>
          <w:rFonts w:ascii="Times New Roman" w:hAnsi="Times New Roman" w:cs="Times New Roman"/>
        </w:rPr>
        <w:t xml:space="preserve"> = </w:t>
      </w:r>
      <w:r w:rsidR="00F66844" w:rsidRPr="002C404F">
        <w:rPr>
          <w:rFonts w:ascii="Times New Roman" w:hAnsi="Times New Roman" w:cs="Times New Roman"/>
        </w:rPr>
        <w:t>2</w:t>
      </w:r>
      <w:r w:rsidR="00DF06B3" w:rsidRPr="002C404F">
        <w:rPr>
          <w:rFonts w:ascii="Times New Roman" w:hAnsi="Times New Roman" w:cs="Times New Roman"/>
        </w:rPr>
        <w:t>4</w:t>
      </w:r>
      <w:r w:rsidR="00F66844" w:rsidRPr="002C404F">
        <w:rPr>
          <w:rFonts w:ascii="Times New Roman" w:hAnsi="Times New Roman" w:cs="Times New Roman"/>
        </w:rPr>
        <w:t>.</w:t>
      </w:r>
      <w:r w:rsidR="00DF06B3" w:rsidRPr="002C404F">
        <w:rPr>
          <w:rFonts w:ascii="Times New Roman" w:hAnsi="Times New Roman" w:cs="Times New Roman"/>
        </w:rPr>
        <w:t>7</w:t>
      </w:r>
      <w:r w:rsidRPr="002C404F">
        <w:rPr>
          <w:rFonts w:ascii="Times New Roman" w:hAnsi="Times New Roman" w:cs="Times New Roman"/>
        </w:rPr>
        <w:t xml:space="preserve">%) (Figure 2d). Individual </w:t>
      </w:r>
      <w:r w:rsidR="0075190F">
        <w:rPr>
          <w:rFonts w:ascii="Times New Roman" w:hAnsi="Times New Roman" w:cs="Times New Roman"/>
        </w:rPr>
        <w:t>posterior estimates, collapsed across articles,</w:t>
      </w:r>
      <w:r w:rsidRPr="002C404F">
        <w:rPr>
          <w:rFonts w:ascii="Times New Roman" w:hAnsi="Times New Roman" w:cs="Times New Roman"/>
        </w:rPr>
        <w:t xml:space="preserve"> can be found in </w:t>
      </w:r>
      <w:r w:rsidR="005C23E1">
        <w:rPr>
          <w:rFonts w:ascii="Times New Roman" w:hAnsi="Times New Roman" w:cs="Times New Roman"/>
        </w:rPr>
        <w:t xml:space="preserve">Supplementary </w:t>
      </w:r>
      <w:r w:rsidRPr="002C404F">
        <w:rPr>
          <w:rFonts w:ascii="Times New Roman" w:hAnsi="Times New Roman" w:cs="Times New Roman"/>
        </w:rPr>
        <w:t xml:space="preserve">Figure </w:t>
      </w:r>
      <w:r w:rsidR="005C23E1">
        <w:rPr>
          <w:rFonts w:ascii="Times New Roman" w:hAnsi="Times New Roman" w:cs="Times New Roman"/>
        </w:rPr>
        <w:t>S2</w:t>
      </w:r>
      <w:r w:rsidRPr="002C404F">
        <w:rPr>
          <w:rFonts w:ascii="Times New Roman" w:hAnsi="Times New Roman" w:cs="Times New Roman"/>
        </w:rPr>
        <w:t>.  We further investigated the contribution of individual studies to between-study heterogeneity. To do so, we conducted a leave-one-out analysis in which each study was sequentially removed from the dataset</w:t>
      </w:r>
      <w:r w:rsidR="0075190F">
        <w:rPr>
          <w:rFonts w:ascii="Times New Roman" w:hAnsi="Times New Roman" w:cs="Times New Roman"/>
        </w:rPr>
        <w:t>,</w:t>
      </w:r>
      <w:r w:rsidRPr="002C404F">
        <w:rPr>
          <w:rFonts w:ascii="Times New Roman" w:hAnsi="Times New Roman" w:cs="Times New Roman"/>
        </w:rPr>
        <w:t xml:space="preserve"> and the model was refitted. For each reduced dataset, we quantified the change in estimated between-study heterogeneity relative to the full dataset. This procedure </w:t>
      </w:r>
      <w:r w:rsidR="0075190F">
        <w:rPr>
          <w:rFonts w:ascii="Times New Roman" w:hAnsi="Times New Roman" w:cs="Times New Roman"/>
        </w:rPr>
        <w:t xml:space="preserve">enabled us to rank studies by their contribution to </w:t>
      </w:r>
      <w:r w:rsidRPr="002C404F">
        <w:rPr>
          <w:rFonts w:ascii="Times New Roman" w:hAnsi="Times New Roman" w:cs="Times New Roman"/>
        </w:rPr>
        <w:t>overall heterogeneity. Looking at th</w:t>
      </w:r>
      <w:r w:rsidR="000B0E53" w:rsidRPr="002C404F">
        <w:rPr>
          <w:rFonts w:ascii="Times New Roman" w:hAnsi="Times New Roman" w:cs="Times New Roman"/>
        </w:rPr>
        <w:t>e</w:t>
      </w:r>
      <w:r w:rsidRPr="002C404F">
        <w:rPr>
          <w:rFonts w:ascii="Times New Roman" w:hAnsi="Times New Roman" w:cs="Times New Roman"/>
        </w:rPr>
        <w:t xml:space="preserve"> rates that showed the largest decrease in heterogeneity, we can see that they indeed represent studies with either very large or very small MB report rate </w:t>
      </w:r>
      <w:r w:rsidR="002C404F" w:rsidRPr="002C404F">
        <w:rPr>
          <w:rFonts w:ascii="Times New Roman" w:hAnsi="Times New Roman" w:cs="Times New Roman"/>
          <w:lang w:val="de-DE"/>
        </w:rPr>
        <w:fldChar w:fldCharType="begin"/>
      </w:r>
      <w:r w:rsidR="00B633EE">
        <w:rPr>
          <w:rFonts w:ascii="Times New Roman" w:hAnsi="Times New Roman" w:cs="Times New Roman"/>
          <w:lang w:val="de-DE"/>
        </w:rPr>
        <w:instrText xml:space="preserve"> ADDIN ZOTERO_ITEM CSL_CITATION {"citationID":"a1n2mrgann1","properties":{"unsorted":false,"formattedCitation":"(Drevland et al., 2025; Kiss &amp; Linnell, 2024; Miller &amp; Castel, 2025; Welhaf et al., 2025)","plainCitation":"(Drevland et al., 2025; Kiss &amp; Linnell, 2024; Miller &amp; Castel, 2025; Welhaf et al., 2025)","noteIndex":0},"citationItems":[{"id":16207,"uris":["http://zotero.org/groups/6160358/items/YXE7BHS4"],"itemData":{"id":16207,"type":"article-journal","abstract":"Background\nMind wandering (MW) involves an attentional drift away from an external task to internal thoughts and goals. In the last decade, a substantial number of studies have investigated the possibility of influencing MW using transcranial direct current stimulation (tDCS). One common target region of interest is the angular gyrus (AG), a core region of the default-mode network (DMN), which is believed to play a major role in the initiation and maintenance of MW episodes. However, the accumulated evidence suggests that tDCS may not be sufficiently strong to reliably affect MW propensity.\nHypothesis\nWe hypothesized that by using repetitive transcranial magnetic stimulation (rTMS) with continuous theta-burst stimulation (cTBS) protocol over the left AG would reduce MW during a demanding cognitive task.\nMethod\nWe applied cTBS over the left AG to interfere with MW propensity in healthy adults. In a triple-blind, crossover design, participants performed four blocks of the finger-tapping random-sequence generation task (FT-RSGT) with three interleaved bouts of real or sham cTBS.\nResults\nOur pre-registered statistical analysis found no support for our main hypotheses. However, in our secondary statistical analysis we found that real cTBS reduced both self-reported MW propensity and behavioural variability, an objective marker of MW, while maintaining comparable levels of executive task performance.","citation-key":"drevlandReducingMindWandering2025a","container-title":"Transcranial Magnetic Stimulation","page":"100181","title":"Reducing mind wandering using continuous theta burst stimulation","author":[{"family":"Drevland","given":"Ragnhild Nicolaisen"},{"family":"Aasen","given":"Steffen Rygg"},{"family":"Csifcsák","given":"Gábor"},{"family":"Mittner","given":"Matthias"}],"issued":{"date-parts":[["2025"]]}}},{"id":16283,"uris":["http://zotero.org/groups/6160358/items/CXPG9MAJ"],"itemData":{"id":16283,"type":"article-journal","abstract":"Across two online experiments, this study explored the effect of preferred background music on attentional state and performance, as well as on mood and arousal, during a vigilance task. It extended recent laboratory findings—showing an increase in task-focus and decrease in mind-wandering states with music—to environments with more distractions around participants. Participants—people who normally listen to background music during attention-demanding tasks—completed the vigilance task in their homes both with and without their chosen music and reported their attentional state, subjective arousal, and mood valence throughout the task. Experiment 1 compared music to relative silence and Experiment 2 compared music against the backdrop of continuous noise to continuous noise alone. In both experiments, music decreased mind-wandering and increased task-focus. Unlike in previous laboratory studies, in both experiments music also led to faster reaction times while increasing low-arousal external-distraction states. Importantly, mood and arousal increased with music and were shown to mediate its effects on reaction time and for the first time attentional state, both separately and together. Serial mediation effects were mostly confined to models where mood was entered first and arousal second and were consistent with the mood-arousal account of the impact of background music listening.","citation-key":"kissRoleMoodArousal2024a","container-title":"Scientific reports","ISSN":"2045-2322","issue":"1","language":"eng","license":"The Author(s) 2024. corrected publication 2024","page":"9485–19","title":"The role of mood and arousal in the effect of background music on attentional state and performance during a sustained attention task","volume":"14","author":[{"family":"Kiss","given":"Luca"},{"family":"Linnell","given":"Karina J."}],"issued":{"date-parts":[["2024",4]]}}},{"id":5904,"uris":["http://zotero.org/users/8613739/items/4MUUP7P5"],"itemData":{"id":5904,"type":"article-journal","abstract":"The factors that trigger lapses of attention (e.g., mind-wandering) during new learning remain unclear. The present study investigated whether the likelihood of experiencing an attentional lapse depends on (a) the importance of the material being studied and (b) the learner's age. In two experiments, younger and older adults completed a delayed free recall task in which to-be-remembered words were paired with point values. Thought probes were embedded into the encoding phase of each list to provide an index of one's ability to maintain attention on task and prevent recurrent lapses of attention (i.e., the consistency of attention). Experiment 1 revealed all individuals better remembered high-value information at the expense of low-value information, and older adults were more frequently focused on the task than younger adults. Participants were also less likely to remember an item at test if they experienced an attentional lapse while learning said item, and they were more consistently focused on the task when studying high-value information than when studying low-value information. Age did not moderate either of these effects. Experiment 2 replicated the findings from Experiment 1 and further revealed that the positive association between age and attentional consistency was explained by age-related differences in affect, motivation, personality, and attention-deficit hyperactivity disorder symptomology. Once these factors were accounted for, older age was associated with increased attentional inconsistency (less on-task focus). While future replication of this finding is needed, implications for education and theories of both mind-wandering and aging are discussed. Public Significance Statement Discovering ways to help people stay focused while learning has posed a challenge for researchers. The present study shows that if an individual values the material they are learning, they are more likely to consistently pay attention to and remember said material, regardless of advancing age. Furthermore, while older adults generally do not remember information as well as younger adults, they are seemingly better able to stay focused on what they need to learn. However, when controlling for personality traits, attention-deficit hyperactivity disorder symptomology, affect, and task-specific motivation, the results suggest older adults may actually be more susceptible to various internal distractors (e.g., mind-wandering about an upcoming doctor's appointment or weekend plans) and external distractors (e.g., a stranger speaking loudly nearby) relative to younger adults. Overall, these findings highlight the multifaceted nature of one's ability to stay focused on what they are learning and offer insights for enhancing learning across different age groups.","citation-key":"millerMindwanderingWhenStudying2025","container-title":"Journal of experimental psychology. General","ISSN":"0096-3445","issue":"1","language":"eng","note":"tex.copyright: 2024 American Psychological Association","page":"190-227","publisher":"American Psychological Association","publisher-place":"United States","title":"Mind-wandering when studying valuable information: The roles of age, dispositional traits, and contextual factors","volume":"154","author":[{"family":"Miller","given":"Ashley L."},{"family":"Castel","given":"Alan D."}],"issued":{"date-parts":[["2025",1,1]]}}},{"id":5576,"uris":["http://zotero.org/users/8613739/items/F7QB8PX8"],"itemData":{"id":5576,"type":"article-journal","abstract":"Mind wandering decreases in healthy aging, and in some cases, it is further reduced in Alzheimer disease (AD). However, little is known about how mind wandering changes during the preclinical phase of AD, which is a critical period for intervention. The present study aims to provide novel evidence for the utility of objective and subjective measures of mind wandering in evaluating the risk of developing cognitive impairment and their association with AD biomarkers. Participants (N = 504; Mage = 69.54 years, SDage = 8.95 years) completed a Sustained Attention to Response Task (SART). We calculated objective (reaction time coefficient of variation; RT CoV) and subjective (self-reported frequency of off-task thoughts) mind wandering measures during the SART for participants who remained cognitively stable (N = 349) and those who eventually developed cognitive impairment (progressors; N = 155). A subset of participants (N = 211) completed the SART annually and had recent CSF biomarkers. Objective and subjective mind wandering significantly differed between progressors and cognitively stable participants at baseline and predicted likelihoods of progression. Moreover, baseline subjective mind wandering predicted progression beyond standard neuropsychological measures. Longitudinal models indicated that biomarker negative, but not positive, participants showed a significant reduction in RT CoV over time, possibly reflecting practice-related changes in performance. There were no longitudinal associations with subjective mind wandering. Mind wandering is a common activity and may reflect a healthy cognitive system in older age. Subjective measures of mind wandering may be useful in predicting the later onset of cognitive impairment, while objective measures may be more sensitive to longitudinal changes.","citation-key":"welhafUsingObjectiveSubjective2025","container-title":"Journal of Clinical and Experimental Neuropsychology","DOI":"10.1080/13803395.2025.2498025","ISSN":"1380-3395","issue":"3","note":"_eprint: https://doi.org/10.1080/13803395.2025.2498025","page":"169-184","PMID":"40289410","publisher":"Routledge","source":"Taylor and Francis+NEJM","title":"Using objective and subjective measures of mind wandering to predict progression to development of cognitive impairment and test associations with Alzheimer disease biomarkers","volume":"47","author":[{"family":"Welhaf","given":"Matthew S."},{"family":"Balota","given":"David A."},{"family":"Schindler","given":"Suzanne E."},{"family":"Morris","given":"John C."},{"family":"Hassenstab","given":"Jason"},{"family":"Aschenbrenner","given":"Andrew J."}],"issued":{"date-parts":[["2025",3,16]]}}}],"schema":"https://github.com/citation-style-language/schema/raw/master/csl-citation.json"} </w:instrText>
      </w:r>
      <w:r w:rsidR="002C404F" w:rsidRPr="002C404F">
        <w:rPr>
          <w:rFonts w:ascii="Times New Roman" w:hAnsi="Times New Roman" w:cs="Times New Roman"/>
          <w:lang w:val="de-DE"/>
        </w:rPr>
        <w:fldChar w:fldCharType="separate"/>
      </w:r>
      <w:r w:rsidR="00B633EE" w:rsidRPr="00B633EE">
        <w:rPr>
          <w:rFonts w:ascii="Times New Roman" w:hAnsi="Times New Roman" w:cs="Times New Roman"/>
        </w:rPr>
        <w:t>(Drevland et al., 2025; Kiss &amp; Linnell, 2024; Miller &amp; Castel, 2025; Welhaf et al., 2025)</w:t>
      </w:r>
      <w:r w:rsidR="002C404F" w:rsidRPr="002C404F">
        <w:rPr>
          <w:rFonts w:ascii="Times New Roman" w:hAnsi="Times New Roman" w:cs="Times New Roman"/>
          <w:lang w:val="de-DE"/>
        </w:rPr>
        <w:fldChar w:fldCharType="end"/>
      </w:r>
      <w:r w:rsidRPr="002C404F">
        <w:rPr>
          <w:rFonts w:ascii="Times New Roman" w:hAnsi="Times New Roman" w:cs="Times New Roman"/>
        </w:rPr>
        <w:t>.</w:t>
      </w:r>
      <w:r w:rsidR="002C404F">
        <w:rPr>
          <w:rFonts w:ascii="Times New Roman" w:hAnsi="Times New Roman" w:cs="Times New Roman"/>
        </w:rPr>
        <w:t xml:space="preserve"> </w:t>
      </w:r>
    </w:p>
    <w:p w14:paraId="2CF932A0" w14:textId="77777777" w:rsidR="00581C85" w:rsidRPr="00FC28E3" w:rsidRDefault="00581C85" w:rsidP="00581C85">
      <w:pPr>
        <w:spacing w:line="360" w:lineRule="auto"/>
        <w:ind w:firstLine="720"/>
        <w:jc w:val="both"/>
        <w:rPr>
          <w:rFonts w:ascii="Times New Roman" w:hAnsi="Times New Roman" w:cs="Times New Roman"/>
        </w:rPr>
      </w:pPr>
      <w:r>
        <w:rPr>
          <w:rFonts w:ascii="Times New Roman" w:hAnsi="Times New Roman" w:cs="Times New Roman"/>
          <w:i/>
          <w:iCs/>
        </w:rPr>
        <w:t>Sensitivity analysis.</w:t>
      </w:r>
      <w:r>
        <w:rPr>
          <w:rFonts w:ascii="Times New Roman" w:hAnsi="Times New Roman" w:cs="Times New Roman"/>
        </w:rPr>
        <w:t xml:space="preserve"> We tested two different prior </w:t>
      </w:r>
      <w:proofErr w:type="spellStart"/>
      <w:r>
        <w:rPr>
          <w:rFonts w:ascii="Times New Roman" w:hAnsi="Times New Roman" w:cs="Times New Roman"/>
        </w:rPr>
        <w:t>parameterisations</w:t>
      </w:r>
      <w:proofErr w:type="spellEnd"/>
      <w:r>
        <w:rPr>
          <w:rFonts w:ascii="Times New Roman" w:hAnsi="Times New Roman" w:cs="Times New Roman"/>
        </w:rPr>
        <w:t>. Instead of a normal prior, we used a Student’s T distribution, which is more robust to outliers and less prone to shrinkage. We found similar rates (MB rate = 10.4%, HDI</w:t>
      </w:r>
      <w:r>
        <w:rPr>
          <w:rFonts w:ascii="Times New Roman" w:hAnsi="Times New Roman" w:cs="Times New Roman"/>
          <w:vertAlign w:val="subscript"/>
        </w:rPr>
        <w:t xml:space="preserve">89 </w:t>
      </w:r>
      <w:r>
        <w:rPr>
          <w:rFonts w:ascii="Times New Roman" w:hAnsi="Times New Roman" w:cs="Times New Roman"/>
        </w:rPr>
        <w:t xml:space="preserve">= [9.3, 11.5], </w:t>
      </w:r>
      <m:oMath>
        <m:sSub>
          <m:sSubPr>
            <m:ctrlPr>
              <w:rPr>
                <w:rFonts w:ascii="Cambria Math" w:hAnsi="Cambria Math"/>
              </w:rPr>
            </m:ctrlPr>
          </m:sSubPr>
          <m:e>
            <m:r>
              <w:rPr>
                <w:rFonts w:ascii="Cambria Math" w:hAnsi="Cambria Math"/>
              </w:rPr>
              <m:t>τ</m:t>
            </m:r>
          </m:e>
          <m:sub>
            <m:r>
              <w:rPr>
                <w:rFonts w:ascii="Cambria Math" w:hAnsi="Cambria Math"/>
              </w:rPr>
              <m:t>within</m:t>
            </m:r>
          </m:sub>
        </m:sSub>
      </m:oMath>
      <w:r>
        <w:rPr>
          <w:rFonts w:ascii="Times New Roman" w:hAnsi="Times New Roman" w:cs="Times New Roman"/>
        </w:rPr>
        <w:t xml:space="preserve"> = </w:t>
      </w:r>
      <w:r w:rsidRPr="00F6210B">
        <w:rPr>
          <w:rFonts w:ascii="Times New Roman" w:hAnsi="Times New Roman" w:cs="Times New Roman"/>
        </w:rPr>
        <w:t>0.27</w:t>
      </w:r>
      <w:r>
        <w:rPr>
          <w:rFonts w:ascii="Times New Roman" w:hAnsi="Times New Roman" w:cs="Times New Roman"/>
        </w:rPr>
        <w:t>, HDI</w:t>
      </w:r>
      <w:r>
        <w:rPr>
          <w:rFonts w:ascii="Times New Roman" w:hAnsi="Times New Roman" w:cs="Times New Roman"/>
          <w:vertAlign w:val="subscript"/>
        </w:rPr>
        <w:t xml:space="preserve">89 </w:t>
      </w:r>
      <w:r>
        <w:rPr>
          <w:rFonts w:ascii="Times New Roman" w:hAnsi="Times New Roman" w:cs="Times New Roman"/>
        </w:rPr>
        <w:t xml:space="preserve">= [0.2, 0.36], </w:t>
      </w:r>
      <m:oMath>
        <m:sSub>
          <m:sSubPr>
            <m:ctrlPr>
              <w:rPr>
                <w:rFonts w:ascii="Cambria Math" w:hAnsi="Cambria Math"/>
              </w:rPr>
            </m:ctrlPr>
          </m:sSubPr>
          <m:e>
            <m:r>
              <w:rPr>
                <w:rFonts w:ascii="Cambria Math" w:hAnsi="Cambria Math"/>
              </w:rPr>
              <m:t>τ</m:t>
            </m:r>
          </m:e>
          <m:sub>
            <m:r>
              <w:rPr>
                <w:rFonts w:ascii="Cambria Math" w:hAnsi="Cambria Math"/>
              </w:rPr>
              <m:t>between</m:t>
            </m:r>
          </m:sub>
        </m:sSub>
      </m:oMath>
      <w:r>
        <w:rPr>
          <w:rFonts w:ascii="Times New Roman" w:hAnsi="Times New Roman" w:cs="Times New Roman"/>
        </w:rPr>
        <w:t xml:space="preserve"> = 0.32, HDI</w:t>
      </w:r>
      <w:r>
        <w:rPr>
          <w:rFonts w:ascii="Times New Roman" w:hAnsi="Times New Roman" w:cs="Times New Roman"/>
          <w:vertAlign w:val="subscript"/>
        </w:rPr>
        <w:t xml:space="preserve">89 </w:t>
      </w:r>
      <w:r>
        <w:rPr>
          <w:rFonts w:ascii="Times New Roman" w:hAnsi="Times New Roman" w:cs="Times New Roman"/>
        </w:rPr>
        <w:t xml:space="preserve">= [0.17, 0.46]). </w:t>
      </w:r>
      <w:r w:rsidRPr="008E5CAE">
        <w:rPr>
          <w:rFonts w:ascii="Times New Roman" w:hAnsi="Times New Roman" w:cs="Times New Roman"/>
        </w:rPr>
        <w:t xml:space="preserve">Additionally, we tested a more plausible </w:t>
      </w:r>
      <w:proofErr w:type="gramStart"/>
      <w:r w:rsidRPr="008E5CAE">
        <w:rPr>
          <w:rFonts w:ascii="Times New Roman" w:hAnsi="Times New Roman" w:cs="Times New Roman"/>
        </w:rPr>
        <w:t>prior</w:t>
      </w:r>
      <w:proofErr w:type="gramEnd"/>
      <w:r w:rsidRPr="008E5CAE">
        <w:rPr>
          <w:rFonts w:ascii="Times New Roman" w:hAnsi="Times New Roman" w:cs="Times New Roman"/>
        </w:rPr>
        <w:t xml:space="preserve"> by sampling from a logistic distribution, which is equivalent to drawing values uniformly from the interval [0,1]</w:t>
      </w:r>
      <w:r>
        <w:rPr>
          <w:rFonts w:ascii="Times New Roman" w:hAnsi="Times New Roman" w:cs="Times New Roman"/>
        </w:rPr>
        <w:t xml:space="preserve"> </w:t>
      </w:r>
      <w:r w:rsidRPr="008E5CAE">
        <w:rPr>
          <w:rFonts w:ascii="Times New Roman" w:hAnsi="Times New Roman" w:cs="Times New Roman"/>
        </w:rPr>
        <w:t xml:space="preserve">and applying the logit transform. </w:t>
      </w:r>
      <w:r>
        <w:rPr>
          <w:rFonts w:ascii="Times New Roman" w:hAnsi="Times New Roman" w:cs="Times New Roman"/>
        </w:rPr>
        <w:t>This did not affect our estimate (MB rate = 10.4%, HDI</w:t>
      </w:r>
      <w:r>
        <w:rPr>
          <w:rFonts w:ascii="Times New Roman" w:hAnsi="Times New Roman" w:cs="Times New Roman"/>
          <w:vertAlign w:val="subscript"/>
        </w:rPr>
        <w:t xml:space="preserve">89 </w:t>
      </w:r>
      <w:r>
        <w:rPr>
          <w:rFonts w:ascii="Times New Roman" w:hAnsi="Times New Roman" w:cs="Times New Roman"/>
        </w:rPr>
        <w:t xml:space="preserve">= [9.4, 11.5], </w:t>
      </w:r>
      <m:oMath>
        <m:sSub>
          <m:sSubPr>
            <m:ctrlPr>
              <w:rPr>
                <w:rFonts w:ascii="Cambria Math" w:hAnsi="Cambria Math"/>
              </w:rPr>
            </m:ctrlPr>
          </m:sSubPr>
          <m:e>
            <m:r>
              <w:rPr>
                <w:rFonts w:ascii="Cambria Math" w:hAnsi="Cambria Math"/>
              </w:rPr>
              <m:t>τ</m:t>
            </m:r>
          </m:e>
          <m:sub>
            <m:r>
              <w:rPr>
                <w:rFonts w:ascii="Cambria Math" w:hAnsi="Cambria Math"/>
              </w:rPr>
              <m:t>within</m:t>
            </m:r>
          </m:sub>
        </m:sSub>
      </m:oMath>
      <w:r>
        <w:rPr>
          <w:rFonts w:ascii="Times New Roman" w:hAnsi="Times New Roman" w:cs="Times New Roman"/>
        </w:rPr>
        <w:t xml:space="preserve"> = </w:t>
      </w:r>
      <w:r w:rsidRPr="00C2561A">
        <w:rPr>
          <w:rFonts w:ascii="Times New Roman" w:hAnsi="Times New Roman" w:cs="Times New Roman"/>
        </w:rPr>
        <w:t>0.</w:t>
      </w:r>
      <w:r>
        <w:rPr>
          <w:rFonts w:ascii="Times New Roman" w:hAnsi="Times New Roman" w:cs="Times New Roman"/>
        </w:rPr>
        <w:t>27</w:t>
      </w:r>
      <w:r w:rsidRPr="00C2561A">
        <w:rPr>
          <w:rFonts w:ascii="Times New Roman" w:hAnsi="Times New Roman" w:cs="Times New Roman"/>
        </w:rPr>
        <w:t>, HDI89 = [0.</w:t>
      </w:r>
      <w:r>
        <w:rPr>
          <w:rFonts w:ascii="Times New Roman" w:hAnsi="Times New Roman" w:cs="Times New Roman"/>
        </w:rPr>
        <w:t>19</w:t>
      </w:r>
      <w:r w:rsidRPr="00C2561A">
        <w:rPr>
          <w:rFonts w:ascii="Times New Roman" w:hAnsi="Times New Roman" w:cs="Times New Roman"/>
        </w:rPr>
        <w:t>, 0.</w:t>
      </w:r>
      <w:r>
        <w:rPr>
          <w:rFonts w:ascii="Times New Roman" w:hAnsi="Times New Roman" w:cs="Times New Roman"/>
        </w:rPr>
        <w:t>3</w:t>
      </w:r>
      <w:r w:rsidRPr="00C2561A">
        <w:rPr>
          <w:rFonts w:ascii="Times New Roman" w:hAnsi="Times New Roman" w:cs="Times New Roman"/>
        </w:rPr>
        <w:t>6]</w:t>
      </w:r>
      <w:r>
        <w:rPr>
          <w:rFonts w:ascii="Times New Roman" w:hAnsi="Times New Roman" w:cs="Times New Roman"/>
        </w:rPr>
        <w:t xml:space="preserve">, </w:t>
      </w:r>
      <m:oMath>
        <m:sSub>
          <m:sSubPr>
            <m:ctrlPr>
              <w:rPr>
                <w:rFonts w:ascii="Cambria Math" w:hAnsi="Cambria Math"/>
              </w:rPr>
            </m:ctrlPr>
          </m:sSubPr>
          <m:e>
            <m:r>
              <w:rPr>
                <w:rFonts w:ascii="Cambria Math" w:hAnsi="Cambria Math"/>
              </w:rPr>
              <m:t>τ</m:t>
            </m:r>
          </m:e>
          <m:sub>
            <m:r>
              <w:rPr>
                <w:rFonts w:ascii="Cambria Math" w:hAnsi="Cambria Math"/>
              </w:rPr>
              <m:t>between</m:t>
            </m:r>
          </m:sub>
        </m:sSub>
      </m:oMath>
      <w:r>
        <w:rPr>
          <w:rFonts w:ascii="Times New Roman" w:hAnsi="Times New Roman" w:cs="Times New Roman"/>
        </w:rPr>
        <w:t xml:space="preserve"> = 0.32, HDI</w:t>
      </w:r>
      <w:r>
        <w:rPr>
          <w:rFonts w:ascii="Times New Roman" w:hAnsi="Times New Roman" w:cs="Times New Roman"/>
          <w:vertAlign w:val="subscript"/>
        </w:rPr>
        <w:t xml:space="preserve">89 </w:t>
      </w:r>
      <w:r>
        <w:rPr>
          <w:rFonts w:ascii="Times New Roman" w:hAnsi="Times New Roman" w:cs="Times New Roman"/>
        </w:rPr>
        <w:t xml:space="preserve">= [0.17, 0.46]). </w:t>
      </w:r>
    </w:p>
    <w:p w14:paraId="62EB2C05" w14:textId="77777777" w:rsidR="00581C85" w:rsidRDefault="00581C85">
      <w:pPr>
        <w:spacing w:line="360" w:lineRule="auto"/>
        <w:ind w:firstLine="720"/>
        <w:jc w:val="both"/>
      </w:pPr>
    </w:p>
    <w:p w14:paraId="34678EA8" w14:textId="501438E0" w:rsidR="008F5DA6" w:rsidRDefault="005C23E1" w:rsidP="005C23E1">
      <w:pPr>
        <w:keepNext/>
        <w:spacing w:line="360" w:lineRule="auto"/>
        <w:jc w:val="center"/>
      </w:pPr>
      <w:r>
        <w:rPr>
          <w:noProof/>
        </w:rPr>
        <w:lastRenderedPageBreak/>
        <w:drawing>
          <wp:inline distT="0" distB="0" distL="0" distR="0" wp14:anchorId="32D6BB6C" wp14:editId="25F8B671">
            <wp:extent cx="4978271" cy="3983603"/>
            <wp:effectExtent l="0" t="0" r="0" b="0"/>
            <wp:docPr id="871810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10242" name="Picture 87181024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01132" cy="4001897"/>
                    </a:xfrm>
                    <a:prstGeom prst="rect">
                      <a:avLst/>
                    </a:prstGeom>
                  </pic:spPr>
                </pic:pic>
              </a:graphicData>
            </a:graphic>
          </wp:inline>
        </w:drawing>
      </w:r>
    </w:p>
    <w:p w14:paraId="03D89921" w14:textId="172341CB" w:rsidR="008F5DA6" w:rsidRDefault="03EEAE50">
      <w:pPr>
        <w:pStyle w:val="Caption"/>
        <w:spacing w:line="360" w:lineRule="auto"/>
        <w:jc w:val="center"/>
      </w:pPr>
      <w:r w:rsidRPr="65E1DBF8">
        <w:rPr>
          <w:rFonts w:ascii="Times New Roman" w:hAnsi="Times New Roman"/>
          <w:b/>
          <w:bCs/>
          <w:i w:val="0"/>
          <w:iCs w:val="0"/>
          <w:color w:val="000000"/>
          <w:sz w:val="20"/>
          <w:szCs w:val="20"/>
        </w:rPr>
        <w:t xml:space="preserve">Figure </w:t>
      </w:r>
      <w:r w:rsidRPr="65E1DBF8">
        <w:rPr>
          <w:rFonts w:ascii="Times New Roman" w:hAnsi="Times New Roman" w:cs="Times New Roman"/>
          <w:b/>
          <w:bCs/>
          <w:i w:val="0"/>
          <w:iCs w:val="0"/>
          <w:color w:val="000000"/>
          <w:sz w:val="20"/>
          <w:szCs w:val="20"/>
        </w:rPr>
        <w:t>2.</w:t>
      </w:r>
      <w:r w:rsidRPr="65E1DBF8">
        <w:rPr>
          <w:rFonts w:ascii="Times New Roman" w:hAnsi="Times New Roman"/>
          <w:b/>
          <w:bCs/>
          <w:i w:val="0"/>
          <w:iCs w:val="0"/>
          <w:color w:val="000000"/>
          <w:sz w:val="20"/>
          <w:szCs w:val="20"/>
        </w:rPr>
        <w:t xml:space="preserve"> Mind blanking (MB) during </w:t>
      </w:r>
      <w:r w:rsidR="6CECA74E" w:rsidRPr="65E1DBF8">
        <w:rPr>
          <w:rFonts w:ascii="Times New Roman" w:hAnsi="Times New Roman"/>
          <w:b/>
          <w:bCs/>
          <w:i w:val="0"/>
          <w:iCs w:val="0"/>
          <w:color w:val="000000" w:themeColor="text1"/>
          <w:sz w:val="20"/>
          <w:szCs w:val="20"/>
        </w:rPr>
        <w:t xml:space="preserve">probed </w:t>
      </w:r>
      <w:r w:rsidRPr="65E1DBF8">
        <w:rPr>
          <w:rFonts w:ascii="Times New Roman" w:hAnsi="Times New Roman"/>
          <w:b/>
          <w:bCs/>
          <w:i w:val="0"/>
          <w:iCs w:val="0"/>
          <w:color w:val="000000"/>
          <w:sz w:val="20"/>
          <w:szCs w:val="20"/>
        </w:rPr>
        <w:t>experience-sampling represents 10% of total probes.</w:t>
      </w:r>
      <w:r w:rsidRPr="65E1DBF8">
        <w:rPr>
          <w:rFonts w:ascii="Times New Roman" w:hAnsi="Times New Roman"/>
          <w:i w:val="0"/>
          <w:iCs w:val="0"/>
          <w:color w:val="000000"/>
          <w:sz w:val="20"/>
          <w:szCs w:val="20"/>
        </w:rPr>
        <w:t xml:space="preserve"> We conducted a Bayesian random-effects meta-analysis to establish a baseline estimate of MB frequency. The model was fit on log-odds–transformed MB probabilities. To ensure this baseline was not biased by experimental manipulations, we restricted the analysis to studies that did not alter the arousal state of participants, apply any form of TMS/tDCS stimulation, include clinical populations, administer pharmacological agents, or implement experimental manipulations directly affecting the stream of thought, such as thought silencing. All results are presented on the back-transformed probability scale to facilitate interpretation. a) Posterior distribution of MB probabilities during probe-caught experience-sampling (</w:t>
      </w:r>
      <w:r w:rsidR="44D70A25" w:rsidRPr="65E1DBF8">
        <w:rPr>
          <w:rFonts w:ascii="Times New Roman" w:hAnsi="Times New Roman"/>
          <w:i w:val="0"/>
          <w:iCs w:val="0"/>
          <w:color w:val="000000"/>
          <w:sz w:val="20"/>
          <w:szCs w:val="20"/>
        </w:rPr>
        <w:t>10.</w:t>
      </w:r>
      <w:r w:rsidR="11547B97" w:rsidRPr="65E1DBF8">
        <w:rPr>
          <w:rFonts w:ascii="Times New Roman" w:hAnsi="Times New Roman"/>
          <w:i w:val="0"/>
          <w:iCs w:val="0"/>
          <w:color w:val="000000"/>
          <w:sz w:val="20"/>
          <w:szCs w:val="20"/>
        </w:rPr>
        <w:t>5</w:t>
      </w:r>
      <w:r w:rsidR="44D70A25" w:rsidRPr="65E1DBF8">
        <w:rPr>
          <w:rFonts w:ascii="Times New Roman" w:hAnsi="Times New Roman"/>
          <w:i w:val="0"/>
          <w:iCs w:val="0"/>
          <w:color w:val="000000"/>
          <w:sz w:val="20"/>
          <w:szCs w:val="20"/>
        </w:rPr>
        <w:t>%, HDI</w:t>
      </w:r>
      <w:r w:rsidR="44D70A25" w:rsidRPr="65E1DBF8">
        <w:rPr>
          <w:rFonts w:ascii="Times New Roman" w:hAnsi="Times New Roman"/>
          <w:i w:val="0"/>
          <w:iCs w:val="0"/>
          <w:color w:val="000000"/>
          <w:sz w:val="20"/>
          <w:szCs w:val="20"/>
          <w:vertAlign w:val="subscript"/>
        </w:rPr>
        <w:t>89</w:t>
      </w:r>
      <w:r w:rsidR="44D70A25" w:rsidRPr="65E1DBF8">
        <w:rPr>
          <w:rFonts w:ascii="Times New Roman" w:hAnsi="Times New Roman"/>
          <w:i w:val="0"/>
          <w:iCs w:val="0"/>
          <w:color w:val="000000"/>
          <w:sz w:val="20"/>
          <w:szCs w:val="20"/>
        </w:rPr>
        <w:t xml:space="preserve"> = </w:t>
      </w:r>
      <w:r w:rsidR="11547B97" w:rsidRPr="65E1DBF8">
        <w:rPr>
          <w:rFonts w:ascii="Times New Roman" w:hAnsi="Times New Roman"/>
          <w:i w:val="0"/>
          <w:iCs w:val="0"/>
          <w:color w:val="000000"/>
          <w:sz w:val="20"/>
          <w:szCs w:val="20"/>
        </w:rPr>
        <w:t>[9.5, 11.6]</w:t>
      </w:r>
      <w:r w:rsidRPr="65E1DBF8">
        <w:rPr>
          <w:rFonts w:ascii="Times New Roman" w:hAnsi="Times New Roman"/>
          <w:i w:val="0"/>
          <w:iCs w:val="0"/>
          <w:color w:val="000000"/>
          <w:sz w:val="20"/>
          <w:szCs w:val="20"/>
        </w:rPr>
        <w:t>). b) Empirical cumulative density function of distribution (ECDF). The dashed, red line indicates the posterior median, and the shaded grey area represents 89% HDI. c) Posterior distribution of within-study heterogeneity (</w:t>
      </w:r>
      <m:oMath>
        <m:sSub>
          <m:sSubPr>
            <m:ctrlPr>
              <w:rPr>
                <w:rFonts w:ascii="Cambria Math" w:hAnsi="Cambria Math"/>
              </w:rPr>
            </m:ctrlPr>
          </m:sSubPr>
          <m:e>
            <m:r>
              <w:rPr>
                <w:rFonts w:ascii="Cambria Math" w:hAnsi="Cambria Math"/>
              </w:rPr>
              <m:t>τ</m:t>
            </m:r>
          </m:e>
          <m:sub>
            <m:r>
              <w:rPr>
                <w:rFonts w:ascii="Cambria Math" w:hAnsi="Cambria Math"/>
              </w:rPr>
              <m:t>within</m:t>
            </m:r>
          </m:sub>
        </m:sSub>
      </m:oMath>
      <w:r w:rsidRPr="22DB2182">
        <w:rPr>
          <w:rFonts w:ascii="Times New Roman" w:hAnsi="Times New Roman"/>
          <w:color w:val="000000"/>
          <w:sz w:val="20"/>
          <w:szCs w:val="20"/>
        </w:rPr>
        <w:t xml:space="preserve"> </w:t>
      </w:r>
      <w:r w:rsidRPr="65E1DBF8">
        <w:rPr>
          <w:rFonts w:ascii="Times New Roman" w:hAnsi="Times New Roman"/>
          <w:i w:val="0"/>
          <w:iCs w:val="0"/>
          <w:color w:val="000000"/>
          <w:sz w:val="20"/>
          <w:szCs w:val="20"/>
        </w:rPr>
        <w:t xml:space="preserve">= </w:t>
      </w:r>
      <w:r w:rsidR="11547B97" w:rsidRPr="65E1DBF8">
        <w:rPr>
          <w:rFonts w:ascii="Times New Roman" w:hAnsi="Times New Roman"/>
          <w:i w:val="0"/>
          <w:iCs w:val="0"/>
          <w:color w:val="000000"/>
          <w:sz w:val="20"/>
          <w:szCs w:val="20"/>
        </w:rPr>
        <w:t>0.27</w:t>
      </w:r>
      <w:r w:rsidR="44D70A25" w:rsidRPr="65E1DBF8">
        <w:rPr>
          <w:rFonts w:ascii="Times New Roman" w:hAnsi="Times New Roman"/>
          <w:i w:val="0"/>
          <w:iCs w:val="0"/>
          <w:color w:val="000000"/>
          <w:sz w:val="20"/>
          <w:szCs w:val="20"/>
        </w:rPr>
        <w:t>, HDI</w:t>
      </w:r>
      <w:r w:rsidR="44D70A25" w:rsidRPr="65E1DBF8">
        <w:rPr>
          <w:rFonts w:ascii="Times New Roman" w:hAnsi="Times New Roman"/>
          <w:i w:val="0"/>
          <w:iCs w:val="0"/>
          <w:color w:val="000000"/>
          <w:sz w:val="20"/>
          <w:szCs w:val="20"/>
          <w:vertAlign w:val="subscript"/>
        </w:rPr>
        <w:t>89</w:t>
      </w:r>
      <w:r w:rsidR="44D70A25" w:rsidRPr="65E1DBF8">
        <w:rPr>
          <w:rFonts w:ascii="Times New Roman" w:hAnsi="Times New Roman"/>
          <w:i w:val="0"/>
          <w:iCs w:val="0"/>
          <w:color w:val="000000"/>
          <w:sz w:val="20"/>
          <w:szCs w:val="20"/>
        </w:rPr>
        <w:t xml:space="preserve"> = </w:t>
      </w:r>
      <w:r w:rsidR="11547B97" w:rsidRPr="65E1DBF8">
        <w:rPr>
          <w:rFonts w:ascii="Times New Roman" w:hAnsi="Times New Roman"/>
          <w:i w:val="0"/>
          <w:iCs w:val="0"/>
          <w:color w:val="000000"/>
          <w:sz w:val="20"/>
          <w:szCs w:val="20"/>
        </w:rPr>
        <w:t>[0.2, 0.36]</w:t>
      </w:r>
      <w:r w:rsidRPr="65E1DBF8">
        <w:rPr>
          <w:rFonts w:ascii="Times New Roman" w:hAnsi="Times New Roman"/>
          <w:i w:val="0"/>
          <w:iCs w:val="0"/>
          <w:color w:val="000000"/>
          <w:sz w:val="20"/>
          <w:szCs w:val="20"/>
        </w:rPr>
        <w:t>). d) Posterior distribution of between-study heterogeneity (</w:t>
      </w:r>
      <m:oMath>
        <m:sSub>
          <m:sSubPr>
            <m:ctrlPr>
              <w:rPr>
                <w:rFonts w:ascii="Cambria Math" w:hAnsi="Cambria Math"/>
              </w:rPr>
            </m:ctrlPr>
          </m:sSubPr>
          <m:e>
            <m:r>
              <w:rPr>
                <w:rFonts w:ascii="Cambria Math" w:hAnsi="Cambria Math"/>
              </w:rPr>
              <m:t>τ</m:t>
            </m:r>
          </m:e>
          <m:sub>
            <m:r>
              <w:rPr>
                <w:rFonts w:ascii="Cambria Math" w:hAnsi="Cambria Math"/>
              </w:rPr>
              <m:t>between</m:t>
            </m:r>
          </m:sub>
        </m:sSub>
      </m:oMath>
      <w:r w:rsidRPr="22DB2182">
        <w:rPr>
          <w:rFonts w:ascii="Times New Roman" w:hAnsi="Times New Roman"/>
          <w:color w:val="000000"/>
          <w:sz w:val="20"/>
          <w:szCs w:val="20"/>
        </w:rPr>
        <w:t xml:space="preserve"> </w:t>
      </w:r>
      <w:r w:rsidRPr="65E1DBF8">
        <w:rPr>
          <w:rFonts w:ascii="Times New Roman" w:hAnsi="Times New Roman"/>
          <w:i w:val="0"/>
          <w:iCs w:val="0"/>
          <w:color w:val="000000"/>
          <w:sz w:val="20"/>
          <w:szCs w:val="20"/>
        </w:rPr>
        <w:t xml:space="preserve">= </w:t>
      </w:r>
      <w:r w:rsidR="11547B97" w:rsidRPr="65E1DBF8">
        <w:rPr>
          <w:rFonts w:ascii="Times New Roman" w:hAnsi="Times New Roman"/>
          <w:i w:val="0"/>
          <w:iCs w:val="0"/>
          <w:color w:val="000000"/>
          <w:sz w:val="20"/>
          <w:szCs w:val="20"/>
        </w:rPr>
        <w:t>0.32</w:t>
      </w:r>
      <w:r w:rsidR="44D70A25" w:rsidRPr="65E1DBF8">
        <w:rPr>
          <w:rFonts w:ascii="Times New Roman" w:hAnsi="Times New Roman"/>
          <w:i w:val="0"/>
          <w:iCs w:val="0"/>
          <w:color w:val="000000"/>
          <w:sz w:val="20"/>
          <w:szCs w:val="20"/>
        </w:rPr>
        <w:t>, HDI</w:t>
      </w:r>
      <w:r w:rsidR="44D70A25" w:rsidRPr="65E1DBF8">
        <w:rPr>
          <w:rFonts w:ascii="Times New Roman" w:hAnsi="Times New Roman"/>
          <w:i w:val="0"/>
          <w:iCs w:val="0"/>
          <w:color w:val="000000"/>
          <w:sz w:val="20"/>
          <w:szCs w:val="20"/>
          <w:vertAlign w:val="subscript"/>
        </w:rPr>
        <w:t>89</w:t>
      </w:r>
      <w:r w:rsidR="44D70A25" w:rsidRPr="65E1DBF8">
        <w:rPr>
          <w:rFonts w:ascii="Times New Roman" w:hAnsi="Times New Roman"/>
          <w:i w:val="0"/>
          <w:iCs w:val="0"/>
          <w:color w:val="000000"/>
          <w:sz w:val="20"/>
          <w:szCs w:val="20"/>
        </w:rPr>
        <w:t xml:space="preserve"> = [0.</w:t>
      </w:r>
      <w:r w:rsidR="11547B97" w:rsidRPr="65E1DBF8">
        <w:rPr>
          <w:rFonts w:ascii="Times New Roman" w:hAnsi="Times New Roman"/>
          <w:i w:val="0"/>
          <w:iCs w:val="0"/>
          <w:color w:val="000000"/>
          <w:sz w:val="20"/>
          <w:szCs w:val="20"/>
        </w:rPr>
        <w:t>17</w:t>
      </w:r>
      <w:r w:rsidR="44D70A25" w:rsidRPr="65E1DBF8">
        <w:rPr>
          <w:rFonts w:ascii="Times New Roman" w:hAnsi="Times New Roman"/>
          <w:i w:val="0"/>
          <w:iCs w:val="0"/>
          <w:color w:val="000000"/>
          <w:sz w:val="20"/>
          <w:szCs w:val="20"/>
        </w:rPr>
        <w:t>, 0.</w:t>
      </w:r>
      <w:r w:rsidR="11547B97" w:rsidRPr="65E1DBF8">
        <w:rPr>
          <w:rFonts w:ascii="Times New Roman" w:hAnsi="Times New Roman"/>
          <w:i w:val="0"/>
          <w:iCs w:val="0"/>
          <w:color w:val="000000"/>
          <w:sz w:val="20"/>
          <w:szCs w:val="20"/>
        </w:rPr>
        <w:t>4</w:t>
      </w:r>
      <w:r w:rsidR="44D70A25" w:rsidRPr="65E1DBF8">
        <w:rPr>
          <w:rFonts w:ascii="Times New Roman" w:hAnsi="Times New Roman"/>
          <w:i w:val="0"/>
          <w:iCs w:val="0"/>
          <w:color w:val="000000"/>
          <w:sz w:val="20"/>
          <w:szCs w:val="20"/>
        </w:rPr>
        <w:t>6]</w:t>
      </w:r>
      <w:r w:rsidRPr="65E1DBF8">
        <w:rPr>
          <w:rFonts w:ascii="Times New Roman" w:hAnsi="Times New Roman"/>
          <w:i w:val="0"/>
          <w:iCs w:val="0"/>
          <w:color w:val="000000"/>
          <w:sz w:val="20"/>
          <w:szCs w:val="20"/>
        </w:rPr>
        <w:t xml:space="preserve">). Overall, we observed low to moderate heterogeneity. </w:t>
      </w:r>
      <w:r w:rsidR="005C23E1" w:rsidRPr="005C23E1">
        <w:rPr>
          <w:rFonts w:ascii="Times New Roman" w:hAnsi="Times New Roman"/>
          <w:color w:val="000000"/>
          <w:sz w:val="20"/>
          <w:szCs w:val="20"/>
        </w:rPr>
        <w:t>Note</w:t>
      </w:r>
      <w:r w:rsidR="005C23E1">
        <w:rPr>
          <w:rFonts w:ascii="Times New Roman" w:hAnsi="Times New Roman"/>
          <w:i w:val="0"/>
          <w:iCs w:val="0"/>
          <w:color w:val="000000"/>
          <w:sz w:val="20"/>
          <w:szCs w:val="20"/>
        </w:rPr>
        <w:t>.</w:t>
      </w:r>
      <w:r w:rsidRPr="65E1DBF8">
        <w:rPr>
          <w:rFonts w:ascii="Times New Roman" w:hAnsi="Times New Roman"/>
          <w:i w:val="0"/>
          <w:iCs w:val="0"/>
          <w:color w:val="000000"/>
          <w:sz w:val="20"/>
          <w:szCs w:val="20"/>
        </w:rPr>
        <w:t xml:space="preserve"> Interval line plots indicate median (point) and 89% HDI (line span). HDI = highest density interval</w:t>
      </w:r>
      <w:r w:rsidR="3647497F" w:rsidRPr="65E1DBF8">
        <w:rPr>
          <w:rFonts w:ascii="Times New Roman" w:hAnsi="Times New Roman"/>
          <w:i w:val="0"/>
          <w:iCs w:val="0"/>
          <w:color w:val="000000"/>
          <w:sz w:val="20"/>
          <w:szCs w:val="20"/>
        </w:rPr>
        <w:t>.</w:t>
      </w:r>
    </w:p>
    <w:p w14:paraId="2258AC6F" w14:textId="4214FF1D" w:rsidR="008F5DA6" w:rsidRDefault="00FB05D1">
      <w:pPr>
        <w:spacing w:line="360" w:lineRule="auto"/>
        <w:ind w:firstLine="720"/>
        <w:jc w:val="both"/>
      </w:pPr>
      <w:r>
        <w:rPr>
          <w:rFonts w:ascii="Times New Roman" w:hAnsi="Times New Roman" w:cs="Times New Roman"/>
          <w:i/>
          <w:iCs/>
        </w:rPr>
        <w:t>Experience-sampling parameters meta-regression.</w:t>
      </w:r>
      <w:r>
        <w:rPr>
          <w:rFonts w:ascii="Times New Roman" w:hAnsi="Times New Roman" w:cs="Times New Roman"/>
        </w:rPr>
        <w:t xml:space="preserve"> Having established a baseline for how </w:t>
      </w:r>
      <w:proofErr w:type="gramStart"/>
      <w:r w:rsidR="0075190F">
        <w:rPr>
          <w:rFonts w:ascii="Times New Roman" w:hAnsi="Times New Roman" w:cs="Times New Roman"/>
        </w:rPr>
        <w:t>frequently</w:t>
      </w:r>
      <w:proofErr w:type="gramEnd"/>
      <w:r w:rsidR="0075190F">
        <w:rPr>
          <w:rFonts w:ascii="Times New Roman" w:hAnsi="Times New Roman" w:cs="Times New Roman"/>
        </w:rPr>
        <w:t xml:space="preserve"> MB occurs, we set out to examine whether the MB report rate varies with</w:t>
      </w:r>
      <w:r>
        <w:rPr>
          <w:rFonts w:ascii="Times New Roman" w:hAnsi="Times New Roman" w:cs="Times New Roman"/>
        </w:rPr>
        <w:t xml:space="preserve"> population and experience-sampling parameters. Model comparisons </w:t>
      </w:r>
      <w:proofErr w:type="gramStart"/>
      <w:r>
        <w:rPr>
          <w:rFonts w:ascii="Times New Roman" w:hAnsi="Times New Roman" w:cs="Times New Roman"/>
        </w:rPr>
        <w:t>relative</w:t>
      </w:r>
      <w:proofErr w:type="gramEnd"/>
      <w:r>
        <w:rPr>
          <w:rFonts w:ascii="Times New Roman" w:hAnsi="Times New Roman" w:cs="Times New Roman"/>
        </w:rPr>
        <w:t xml:space="preserve"> to the null </w:t>
      </w:r>
      <w:r w:rsidR="00920B0C">
        <w:rPr>
          <w:rFonts w:ascii="Times New Roman" w:hAnsi="Times New Roman" w:cs="Times New Roman"/>
        </w:rPr>
        <w:t xml:space="preserve">using Bayesian Factors </w:t>
      </w:r>
      <w:r>
        <w:rPr>
          <w:rFonts w:ascii="Times New Roman" w:hAnsi="Times New Roman" w:cs="Times New Roman"/>
        </w:rPr>
        <w:t>are provided in Supplementary Table S</w:t>
      </w:r>
      <w:r w:rsidR="000B0E53">
        <w:rPr>
          <w:rFonts w:ascii="Times New Roman" w:hAnsi="Times New Roman" w:cs="Times New Roman"/>
        </w:rPr>
        <w:t>2</w:t>
      </w:r>
      <w:r>
        <w:rPr>
          <w:rFonts w:ascii="Times New Roman" w:hAnsi="Times New Roman" w:cs="Times New Roman"/>
        </w:rPr>
        <w:t xml:space="preserve">. </w:t>
      </w:r>
      <w:r w:rsidR="006408D1">
        <w:rPr>
          <w:rFonts w:ascii="Times New Roman" w:hAnsi="Times New Roman" w:cs="Times New Roman"/>
        </w:rPr>
        <w:t xml:space="preserve">Control analyses using only the adult populations are provided in </w:t>
      </w:r>
      <w:r w:rsidR="006408D1">
        <w:rPr>
          <w:rFonts w:ascii="Times New Roman" w:hAnsi="Times New Roman" w:cs="Times New Roman"/>
        </w:rPr>
        <w:lastRenderedPageBreak/>
        <w:t>Supplementary Table S3</w:t>
      </w:r>
      <w:r w:rsidR="00CF24F4">
        <w:rPr>
          <w:rFonts w:ascii="Times New Roman" w:hAnsi="Times New Roman" w:cs="Times New Roman"/>
        </w:rPr>
        <w:t>, however, results remained consisted across populations</w:t>
      </w:r>
      <w:r w:rsidR="007B7524">
        <w:rPr>
          <w:rFonts w:ascii="Times New Roman" w:hAnsi="Times New Roman" w:cs="Times New Roman"/>
        </w:rPr>
        <w:t>.</w:t>
      </w:r>
      <w:r w:rsidR="006408D1">
        <w:rPr>
          <w:rFonts w:ascii="Times New Roman" w:hAnsi="Times New Roman" w:cs="Times New Roman"/>
        </w:rPr>
        <w:t xml:space="preserve"> </w:t>
      </w:r>
      <w:r>
        <w:rPr>
          <w:rFonts w:ascii="Times New Roman" w:hAnsi="Times New Roman" w:cs="Times New Roman"/>
        </w:rPr>
        <w:t>All results represent posterior</w:t>
      </w:r>
      <w:r w:rsidR="0075190F">
        <w:rPr>
          <w:rFonts w:ascii="Times New Roman" w:hAnsi="Times New Roman" w:cs="Times New Roman"/>
        </w:rPr>
        <w:t xml:space="preserve"> marginal log-odds distributions over the fixed effects, as estimated by</w:t>
      </w:r>
      <w:r>
        <w:rPr>
          <w:rFonts w:ascii="Times New Roman" w:hAnsi="Times New Roman" w:cs="Times New Roman"/>
        </w:rPr>
        <w:t xml:space="preserve"> the model. </w:t>
      </w:r>
    </w:p>
    <w:p w14:paraId="1AB1E222" w14:textId="78C125B5" w:rsidR="008F5DA6" w:rsidRDefault="00431045">
      <w:pPr>
        <w:keepNext/>
        <w:spacing w:line="360" w:lineRule="auto"/>
      </w:pPr>
      <w:r>
        <w:rPr>
          <w:noProof/>
        </w:rPr>
        <w:drawing>
          <wp:inline distT="0" distB="0" distL="0" distR="0" wp14:anchorId="24D08079" wp14:editId="547CDFCA">
            <wp:extent cx="6400800" cy="2531110"/>
            <wp:effectExtent l="0" t="0" r="0" b="2540"/>
            <wp:docPr id="7556860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686013" name="Picture 75568601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00800" cy="2531110"/>
                    </a:xfrm>
                    <a:prstGeom prst="rect">
                      <a:avLst/>
                    </a:prstGeom>
                  </pic:spPr>
                </pic:pic>
              </a:graphicData>
            </a:graphic>
          </wp:inline>
        </w:drawing>
      </w:r>
    </w:p>
    <w:p w14:paraId="353D024D" w14:textId="53D4A7A0" w:rsidR="008F5DA6" w:rsidRDefault="00FB05D1">
      <w:pPr>
        <w:keepNext/>
        <w:spacing w:line="360" w:lineRule="auto"/>
        <w:jc w:val="center"/>
        <w:rPr>
          <w:rFonts w:ascii="Times New Roman" w:hAnsi="Times New Roman" w:cs="Times New Roman"/>
          <w:sz w:val="20"/>
          <w:szCs w:val="20"/>
        </w:rPr>
      </w:pPr>
      <w:r>
        <w:rPr>
          <w:rFonts w:ascii="Times New Roman" w:hAnsi="Times New Roman" w:cs="Times New Roman"/>
          <w:b/>
          <w:bCs/>
          <w:sz w:val="20"/>
          <w:szCs w:val="20"/>
        </w:rPr>
        <w:t>Figure 3. Metaregressions of experience-sampling parameters on mind-blanking (MB) report rates.</w:t>
      </w:r>
      <w:r>
        <w:rPr>
          <w:rFonts w:ascii="Times New Roman" w:hAnsi="Times New Roman" w:cs="Times New Roman"/>
          <w:sz w:val="20"/>
          <w:szCs w:val="20"/>
        </w:rPr>
        <w:t xml:space="preserve"> We introduced moderators </w:t>
      </w:r>
      <w:r w:rsidR="0075190F">
        <w:rPr>
          <w:rFonts w:ascii="Times New Roman" w:hAnsi="Times New Roman" w:cs="Times New Roman"/>
          <w:sz w:val="20"/>
          <w:szCs w:val="20"/>
        </w:rPr>
        <w:t>into our baseline Bayesian model to examine whether they influence how frequently seniors report MB. a) We found strong evidence that seniors report MB less frequently than</w:t>
      </w:r>
      <w:r>
        <w:rPr>
          <w:rFonts w:ascii="Times New Roman" w:hAnsi="Times New Roman" w:cs="Times New Roman"/>
          <w:sz w:val="20"/>
          <w:szCs w:val="20"/>
        </w:rPr>
        <w:t xml:space="preserve"> other age groups. b) Presenting MB as one unique item (not thinking of anything) or multiple items (not thinking of anything, no recall) did not affect MB report rate. c) We did not observe any differences in MB reports across laboratory or ecological sampling. d) Task complexity did not alter how frequently reported MB. e) Marginal posterior distributions of MB report rate across different psychological tasks. Tasks are ranked by their associated MB rate, from lowest (top) to highest (bottom). f) We did not find any evidence for a substantial effect of the number of experience-sampling probes on MB. g) Similarly, we found no evidence for any effect of the number of available options to choose from (</w:t>
      </w:r>
      <w:r w:rsidR="0075190F">
        <w:rPr>
          <w:rFonts w:ascii="Times New Roman" w:hAnsi="Times New Roman" w:cs="Times New Roman"/>
          <w:sz w:val="20"/>
          <w:szCs w:val="20"/>
        </w:rPr>
        <w:t>i.e.,</w:t>
      </w:r>
      <w:r>
        <w:rPr>
          <w:rFonts w:ascii="Times New Roman" w:hAnsi="Times New Roman" w:cs="Times New Roman"/>
          <w:sz w:val="20"/>
          <w:szCs w:val="20"/>
        </w:rPr>
        <w:t xml:space="preserve"> on-task, off-task, MB [n options=3] vs on-task, task-related interference, external distraction, mind-wandering, MB [n options=5]). h) MB report rate does not appear to alter across the duration of experience-sampling sessions. </w:t>
      </w:r>
      <w:proofErr w:type="spellStart"/>
      <w:r>
        <w:rPr>
          <w:rFonts w:ascii="Times New Roman" w:hAnsi="Times New Roman" w:cs="Times New Roman"/>
          <w:sz w:val="20"/>
          <w:szCs w:val="20"/>
        </w:rPr>
        <w:t>i</w:t>
      </w:r>
      <w:proofErr w:type="spellEnd"/>
      <w:r>
        <w:rPr>
          <w:rFonts w:ascii="Times New Roman" w:hAnsi="Times New Roman" w:cs="Times New Roman"/>
          <w:sz w:val="20"/>
          <w:szCs w:val="20"/>
        </w:rPr>
        <w:t xml:space="preserve">) Sampling density, defined as the number of probes divided by the duration of the session they were presented, </w:t>
      </w:r>
      <w:r w:rsidR="00C00778">
        <w:rPr>
          <w:rFonts w:ascii="Times New Roman" w:hAnsi="Times New Roman" w:cs="Times New Roman"/>
          <w:sz w:val="20"/>
          <w:szCs w:val="20"/>
        </w:rPr>
        <w:t xml:space="preserve">did not show a relationship with </w:t>
      </w:r>
      <w:r>
        <w:rPr>
          <w:rFonts w:ascii="Times New Roman" w:hAnsi="Times New Roman" w:cs="Times New Roman"/>
          <w:sz w:val="20"/>
          <w:szCs w:val="20"/>
        </w:rPr>
        <w:t>MB report rate</w:t>
      </w:r>
      <w:r w:rsidR="00C00778">
        <w:rPr>
          <w:rFonts w:ascii="Times New Roman" w:hAnsi="Times New Roman" w:cs="Times New Roman"/>
          <w:sz w:val="20"/>
          <w:szCs w:val="20"/>
        </w:rPr>
        <w:t>.</w:t>
      </w:r>
      <w:r w:rsidR="005C23E1">
        <w:rPr>
          <w:rFonts w:ascii="Times New Roman" w:hAnsi="Times New Roman" w:cs="Times New Roman"/>
          <w:sz w:val="20"/>
          <w:szCs w:val="20"/>
        </w:rPr>
        <w:t xml:space="preserve"> </w:t>
      </w:r>
      <w:r w:rsidR="005C23E1" w:rsidRPr="005C23E1">
        <w:rPr>
          <w:rFonts w:ascii="Times New Roman" w:hAnsi="Times New Roman" w:cs="Times New Roman"/>
          <w:i/>
          <w:iCs/>
          <w:sz w:val="20"/>
          <w:szCs w:val="20"/>
        </w:rPr>
        <w:t>Note.</w:t>
      </w:r>
      <w:r>
        <w:rPr>
          <w:rFonts w:ascii="Times New Roman" w:hAnsi="Times New Roman" w:cs="Times New Roman"/>
          <w:sz w:val="20"/>
          <w:szCs w:val="20"/>
        </w:rPr>
        <w:t xml:space="preserve"> Green shaded areas indicate a ROPE region at [-0.18, 0.18]. Black dashed lines indicate the boundaries of the ROPE region. The red dashed lines indicate a log-odds difference of 0. Interval line plots indicate median (point) and 89% HDI (line span). CRT = choice response task; SART = sustained attention to response task; CPT = continuous performance task; FT-RSGT = finger-tapping random sequence generation task; </w:t>
      </w:r>
      <w:r w:rsidR="0075190F">
        <w:rPr>
          <w:rFonts w:ascii="Times New Roman" w:hAnsi="Times New Roman" w:cs="Times New Roman"/>
          <w:sz w:val="20"/>
          <w:szCs w:val="20"/>
        </w:rPr>
        <w:t>PVT =</w:t>
      </w:r>
      <w:r>
        <w:rPr>
          <w:rFonts w:ascii="Times New Roman" w:hAnsi="Times New Roman" w:cs="Times New Roman"/>
          <w:sz w:val="20"/>
          <w:szCs w:val="20"/>
        </w:rPr>
        <w:t xml:space="preserve"> psychomotor vigilance task; DWR = discrete whole report; ASRT = alternating serial reaction time; VS = visual search; CTT = cognitive trade-off task</w:t>
      </w:r>
      <w:r w:rsidR="006B1D5F">
        <w:rPr>
          <w:rFonts w:ascii="Times New Roman" w:hAnsi="Times New Roman" w:cs="Times New Roman"/>
          <w:sz w:val="20"/>
          <w:szCs w:val="20"/>
        </w:rPr>
        <w:t xml:space="preserve">; </w:t>
      </w:r>
      <w:r w:rsidR="006B1D5F" w:rsidRPr="006B1D5F">
        <w:rPr>
          <w:rFonts w:ascii="Times New Roman" w:hAnsi="Times New Roman" w:cs="Times New Roman"/>
          <w:sz w:val="20"/>
          <w:szCs w:val="20"/>
        </w:rPr>
        <w:t>HDI = highest density interval.</w:t>
      </w:r>
    </w:p>
    <w:p w14:paraId="014D9B5E" w14:textId="6F1D84C8" w:rsidR="00581C85" w:rsidRPr="00581C85" w:rsidRDefault="00581C85" w:rsidP="00581C85">
      <w:pPr>
        <w:keepNext/>
        <w:spacing w:line="360" w:lineRule="auto"/>
        <w:ind w:firstLine="720"/>
        <w:jc w:val="both"/>
        <w:rPr>
          <w:rFonts w:ascii="Times New Roman" w:hAnsi="Times New Roman" w:cs="Times New Roman"/>
        </w:rPr>
      </w:pPr>
      <w:r w:rsidRPr="22DB2182">
        <w:rPr>
          <w:rFonts w:ascii="Times New Roman" w:hAnsi="Times New Roman" w:cs="Times New Roman"/>
        </w:rPr>
        <w:t>First, we found that seniors report less overall MB compared to adults (</w:t>
      </w:r>
      <w:proofErr w:type="spellStart"/>
      <w:r w:rsidRPr="22DB2182">
        <w:rPr>
          <w:rFonts w:ascii="Times New Roman" w:hAnsi="Times New Roman" w:cs="Times New Roman"/>
        </w:rPr>
        <w:t>EMM</w:t>
      </w:r>
      <w:r w:rsidRPr="22DB2182">
        <w:rPr>
          <w:rFonts w:ascii="Times New Roman" w:hAnsi="Times New Roman" w:cs="Times New Roman"/>
          <w:vertAlign w:val="subscript"/>
        </w:rPr>
        <w:t>diff</w:t>
      </w:r>
      <w:proofErr w:type="spellEnd"/>
      <w:r w:rsidRPr="22DB2182">
        <w:rPr>
          <w:rFonts w:ascii="Times New Roman" w:hAnsi="Times New Roman" w:cs="Times New Roman"/>
        </w:rPr>
        <w:t xml:space="preserve"> = -1.04, HDI</w:t>
      </w:r>
      <w:r w:rsidRPr="22DB2182">
        <w:rPr>
          <w:rFonts w:ascii="Times New Roman" w:hAnsi="Times New Roman" w:cs="Times New Roman"/>
          <w:vertAlign w:val="subscript"/>
        </w:rPr>
        <w:t xml:space="preserve">89 </w:t>
      </w:r>
      <w:r w:rsidRPr="22DB2182">
        <w:rPr>
          <w:rFonts w:ascii="Times New Roman" w:hAnsi="Times New Roman" w:cs="Times New Roman"/>
        </w:rPr>
        <w:t>= [-1.47, -0.59], ER = 7999, p = 1, %ROPE = 0) and children (</w:t>
      </w:r>
      <w:proofErr w:type="spellStart"/>
      <w:r w:rsidRPr="22DB2182">
        <w:rPr>
          <w:rFonts w:ascii="Times New Roman" w:hAnsi="Times New Roman" w:cs="Times New Roman"/>
        </w:rPr>
        <w:t>EMM</w:t>
      </w:r>
      <w:r w:rsidRPr="22DB2182">
        <w:rPr>
          <w:rFonts w:ascii="Times New Roman" w:hAnsi="Times New Roman" w:cs="Times New Roman"/>
          <w:vertAlign w:val="subscript"/>
        </w:rPr>
        <w:t>diff</w:t>
      </w:r>
      <w:proofErr w:type="spellEnd"/>
      <w:r w:rsidRPr="22DB2182">
        <w:rPr>
          <w:rFonts w:ascii="Times New Roman" w:hAnsi="Times New Roman" w:cs="Times New Roman"/>
        </w:rPr>
        <w:t xml:space="preserve"> = -0.81, HDI</w:t>
      </w:r>
      <w:r w:rsidRPr="22DB2182">
        <w:rPr>
          <w:rFonts w:ascii="Times New Roman" w:hAnsi="Times New Roman" w:cs="Times New Roman"/>
          <w:vertAlign w:val="subscript"/>
        </w:rPr>
        <w:t xml:space="preserve">89 </w:t>
      </w:r>
      <w:r w:rsidRPr="22DB2182">
        <w:rPr>
          <w:rFonts w:ascii="Times New Roman" w:hAnsi="Times New Roman" w:cs="Times New Roman"/>
        </w:rPr>
        <w:t>= [-1.59, -0.0</w:t>
      </w:r>
      <w:r w:rsidRPr="22DB2182">
        <w:rPr>
          <w:rFonts w:ascii="Times New Roman" w:hAnsi="Times New Roman" w:cs="Times New Roman"/>
          <w:lang w:val="en-GB"/>
        </w:rPr>
        <w:t>2</w:t>
      </w:r>
      <w:r w:rsidRPr="22DB2182">
        <w:rPr>
          <w:rFonts w:ascii="Times New Roman" w:hAnsi="Times New Roman" w:cs="Times New Roman"/>
        </w:rPr>
        <w:t>], ER = 19.2, p = 0.95, %ROPE = 5.14). The posterior difference between adults and children included zero (</w:t>
      </w:r>
      <w:proofErr w:type="spellStart"/>
      <w:r w:rsidRPr="22DB2182">
        <w:rPr>
          <w:rFonts w:ascii="Times New Roman" w:hAnsi="Times New Roman" w:cs="Times New Roman"/>
        </w:rPr>
        <w:t>EMM</w:t>
      </w:r>
      <w:r w:rsidRPr="22DB2182">
        <w:rPr>
          <w:rFonts w:ascii="Times New Roman" w:hAnsi="Times New Roman" w:cs="Times New Roman"/>
          <w:vertAlign w:val="subscript"/>
        </w:rPr>
        <w:t>diff</w:t>
      </w:r>
      <w:proofErr w:type="spellEnd"/>
      <w:r w:rsidRPr="22DB2182">
        <w:rPr>
          <w:rFonts w:ascii="Times New Roman" w:hAnsi="Times New Roman" w:cs="Times New Roman"/>
        </w:rPr>
        <w:t xml:space="preserve"> = -0.23, HDI</w:t>
      </w:r>
      <w:r w:rsidRPr="22DB2182">
        <w:rPr>
          <w:rFonts w:ascii="Times New Roman" w:hAnsi="Times New Roman" w:cs="Times New Roman"/>
          <w:vertAlign w:val="subscript"/>
        </w:rPr>
        <w:t xml:space="preserve">89 </w:t>
      </w:r>
      <w:r w:rsidRPr="22DB2182">
        <w:rPr>
          <w:rFonts w:ascii="Times New Roman" w:hAnsi="Times New Roman" w:cs="Times New Roman"/>
        </w:rPr>
        <w:t>= [-0.</w:t>
      </w:r>
      <w:r w:rsidRPr="22DB2182">
        <w:rPr>
          <w:rFonts w:ascii="Times New Roman" w:hAnsi="Times New Roman" w:cs="Times New Roman"/>
          <w:lang w:val="en-GB"/>
        </w:rPr>
        <w:t>9</w:t>
      </w:r>
      <w:r w:rsidRPr="22DB2182">
        <w:rPr>
          <w:rFonts w:ascii="Times New Roman" w:hAnsi="Times New Roman" w:cs="Times New Roman"/>
        </w:rPr>
        <w:t>1, 0.4</w:t>
      </w:r>
      <w:r w:rsidRPr="22DB2182">
        <w:rPr>
          <w:rFonts w:ascii="Times New Roman" w:hAnsi="Times New Roman" w:cs="Times New Roman"/>
          <w:lang w:val="en-GB"/>
        </w:rPr>
        <w:t>6</w:t>
      </w:r>
      <w:r w:rsidRPr="22DB2182">
        <w:rPr>
          <w:rFonts w:ascii="Times New Roman" w:hAnsi="Times New Roman" w:cs="Times New Roman"/>
        </w:rPr>
        <w:t xml:space="preserve">], ER = 2.34, p = 0.7, %ROPE = 31.87) (Figure 3a). We found no </w:t>
      </w:r>
      <w:r w:rsidRPr="22DB2182">
        <w:rPr>
          <w:rFonts w:ascii="Times New Roman" w:hAnsi="Times New Roman" w:cs="Times New Roman"/>
        </w:rPr>
        <w:lastRenderedPageBreak/>
        <w:t>differences in whether MB was presented as one concept (i.e., thinking of nothing) vs multiple (i.e., thinking of nothing + no recall) (</w:t>
      </w:r>
      <w:proofErr w:type="spellStart"/>
      <w:r w:rsidRPr="22DB2182">
        <w:rPr>
          <w:rFonts w:ascii="Times New Roman" w:hAnsi="Times New Roman" w:cs="Times New Roman"/>
        </w:rPr>
        <w:t>EMM</w:t>
      </w:r>
      <w:r w:rsidRPr="22DB2182">
        <w:rPr>
          <w:rFonts w:ascii="Times New Roman" w:hAnsi="Times New Roman" w:cs="Times New Roman"/>
          <w:vertAlign w:val="subscript"/>
        </w:rPr>
        <w:t>diff</w:t>
      </w:r>
      <w:proofErr w:type="spellEnd"/>
      <w:r w:rsidRPr="22DB2182">
        <w:rPr>
          <w:rFonts w:ascii="Times New Roman" w:hAnsi="Times New Roman" w:cs="Times New Roman"/>
        </w:rPr>
        <w:t xml:space="preserve"> = -0.03, HDI</w:t>
      </w:r>
      <w:r w:rsidRPr="22DB2182">
        <w:rPr>
          <w:rFonts w:ascii="Times New Roman" w:hAnsi="Times New Roman" w:cs="Times New Roman"/>
          <w:vertAlign w:val="subscript"/>
        </w:rPr>
        <w:t xml:space="preserve">89 </w:t>
      </w:r>
      <w:r w:rsidRPr="22DB2182">
        <w:rPr>
          <w:rFonts w:ascii="Times New Roman" w:hAnsi="Times New Roman" w:cs="Times New Roman"/>
        </w:rPr>
        <w:t>= [-0.2</w:t>
      </w:r>
      <w:r w:rsidRPr="22DB2182">
        <w:rPr>
          <w:rFonts w:ascii="Times New Roman" w:hAnsi="Times New Roman" w:cs="Times New Roman"/>
          <w:lang w:val="en-GB"/>
        </w:rPr>
        <w:t>7</w:t>
      </w:r>
      <w:r w:rsidRPr="22DB2182">
        <w:rPr>
          <w:rFonts w:ascii="Times New Roman" w:hAnsi="Times New Roman" w:cs="Times New Roman"/>
        </w:rPr>
        <w:t>, 0.2], ER = 1.</w:t>
      </w:r>
      <w:r w:rsidRPr="22DB2182">
        <w:rPr>
          <w:rFonts w:ascii="Times New Roman" w:hAnsi="Times New Roman" w:cs="Times New Roman"/>
          <w:lang w:val="en-GB"/>
        </w:rPr>
        <w:t>44</w:t>
      </w:r>
      <w:r w:rsidRPr="22DB2182">
        <w:rPr>
          <w:rFonts w:ascii="Times New Roman" w:hAnsi="Times New Roman" w:cs="Times New Roman"/>
        </w:rPr>
        <w:t xml:space="preserve">, p = 0.6, %ROPE = 86.62) (Figure 3b). </w:t>
      </w:r>
      <w:r w:rsidRPr="22DB2182">
        <w:rPr>
          <w:rFonts w:ascii="Times New Roman" w:hAnsi="Times New Roman" w:cs="Times New Roman"/>
          <w:color w:val="000000" w:themeColor="text1"/>
        </w:rPr>
        <w:t xml:space="preserve">We found no evidence for effects for task setting either (ecological vs task: </w:t>
      </w:r>
      <w:proofErr w:type="spellStart"/>
      <w:r w:rsidRPr="22DB2182">
        <w:rPr>
          <w:rFonts w:ascii="Times New Roman" w:hAnsi="Times New Roman" w:cs="Times New Roman"/>
          <w:color w:val="000000" w:themeColor="text1"/>
        </w:rPr>
        <w:t>EMM</w:t>
      </w:r>
      <w:r w:rsidRPr="22DB2182">
        <w:rPr>
          <w:rFonts w:ascii="Times New Roman" w:hAnsi="Times New Roman" w:cs="Times New Roman"/>
          <w:color w:val="000000" w:themeColor="text1"/>
          <w:vertAlign w:val="subscript"/>
        </w:rPr>
        <w:t>diff</w:t>
      </w:r>
      <w:proofErr w:type="spellEnd"/>
      <w:r w:rsidRPr="22DB2182">
        <w:rPr>
          <w:rFonts w:ascii="Times New Roman" w:hAnsi="Times New Roman" w:cs="Times New Roman"/>
          <w:color w:val="000000" w:themeColor="text1"/>
        </w:rPr>
        <w:t xml:space="preserve"> = -0.04, HDI</w:t>
      </w:r>
      <w:r w:rsidRPr="22DB2182">
        <w:rPr>
          <w:rFonts w:ascii="Times New Roman" w:hAnsi="Times New Roman" w:cs="Times New Roman"/>
          <w:color w:val="000000" w:themeColor="text1"/>
          <w:vertAlign w:val="subscript"/>
        </w:rPr>
        <w:t xml:space="preserve">89 </w:t>
      </w:r>
      <w:r w:rsidRPr="22DB2182">
        <w:rPr>
          <w:rFonts w:ascii="Times New Roman" w:hAnsi="Times New Roman" w:cs="Times New Roman"/>
          <w:color w:val="000000" w:themeColor="text1"/>
        </w:rPr>
        <w:t xml:space="preserve">= [-0.47, 0.39], ER = 0.53, p = 0.35, %ROPE = 38.94; ecological vs rest: </w:t>
      </w:r>
      <w:proofErr w:type="spellStart"/>
      <w:r w:rsidRPr="22DB2182">
        <w:rPr>
          <w:rFonts w:ascii="Times New Roman" w:hAnsi="Times New Roman" w:cs="Times New Roman"/>
          <w:color w:val="000000" w:themeColor="text1"/>
        </w:rPr>
        <w:t>EMM</w:t>
      </w:r>
      <w:r w:rsidRPr="22DB2182">
        <w:rPr>
          <w:rFonts w:ascii="Times New Roman" w:hAnsi="Times New Roman" w:cs="Times New Roman"/>
          <w:color w:val="000000" w:themeColor="text1"/>
          <w:vertAlign w:val="subscript"/>
        </w:rPr>
        <w:t>diff</w:t>
      </w:r>
      <w:proofErr w:type="spellEnd"/>
      <w:r w:rsidRPr="22DB2182">
        <w:rPr>
          <w:rFonts w:ascii="Times New Roman" w:hAnsi="Times New Roman" w:cs="Times New Roman"/>
          <w:color w:val="000000" w:themeColor="text1"/>
        </w:rPr>
        <w:t xml:space="preserve"> = -0.15, HDI</w:t>
      </w:r>
      <w:r w:rsidRPr="22DB2182">
        <w:rPr>
          <w:rFonts w:ascii="Times New Roman" w:hAnsi="Times New Roman" w:cs="Times New Roman"/>
          <w:color w:val="000000" w:themeColor="text1"/>
          <w:vertAlign w:val="subscript"/>
        </w:rPr>
        <w:t xml:space="preserve">89 </w:t>
      </w:r>
      <w:r w:rsidRPr="22DB2182">
        <w:rPr>
          <w:rFonts w:ascii="Times New Roman" w:hAnsi="Times New Roman" w:cs="Times New Roman"/>
          <w:color w:val="000000" w:themeColor="text1"/>
        </w:rPr>
        <w:t xml:space="preserve">= [-0.74, 0.45], ER = 0.78, p = 0.44, %ROPE = 55.67; rest vs task: </w:t>
      </w:r>
      <w:proofErr w:type="spellStart"/>
      <w:r w:rsidRPr="22DB2182">
        <w:rPr>
          <w:rFonts w:ascii="Times New Roman" w:hAnsi="Times New Roman" w:cs="Times New Roman"/>
          <w:color w:val="000000" w:themeColor="text1"/>
        </w:rPr>
        <w:t>EMM</w:t>
      </w:r>
      <w:r w:rsidRPr="22DB2182">
        <w:rPr>
          <w:rFonts w:ascii="Times New Roman" w:hAnsi="Times New Roman" w:cs="Times New Roman"/>
          <w:color w:val="000000" w:themeColor="text1"/>
          <w:vertAlign w:val="subscript"/>
        </w:rPr>
        <w:t>diff</w:t>
      </w:r>
      <w:proofErr w:type="spellEnd"/>
      <w:r w:rsidRPr="22DB2182">
        <w:rPr>
          <w:rFonts w:ascii="Times New Roman" w:hAnsi="Times New Roman" w:cs="Times New Roman"/>
          <w:color w:val="000000" w:themeColor="text1"/>
        </w:rPr>
        <w:t xml:space="preserve"> = 0.1, HDI</w:t>
      </w:r>
      <w:r w:rsidRPr="22DB2182">
        <w:rPr>
          <w:rFonts w:ascii="Times New Roman" w:hAnsi="Times New Roman" w:cs="Times New Roman"/>
          <w:color w:val="000000" w:themeColor="text1"/>
          <w:vertAlign w:val="subscript"/>
        </w:rPr>
        <w:t xml:space="preserve">89 </w:t>
      </w:r>
      <w:r w:rsidRPr="22DB2182">
        <w:rPr>
          <w:rFonts w:ascii="Times New Roman" w:hAnsi="Times New Roman" w:cs="Times New Roman"/>
          <w:color w:val="000000" w:themeColor="text1"/>
        </w:rPr>
        <w:t>= [-0.3</w:t>
      </w:r>
      <w:r w:rsidRPr="22DB2182">
        <w:rPr>
          <w:rFonts w:ascii="Times New Roman" w:hAnsi="Times New Roman" w:cs="Times New Roman"/>
          <w:color w:val="000000" w:themeColor="text1"/>
          <w:lang w:val="en-GB"/>
        </w:rPr>
        <w:t>3</w:t>
      </w:r>
      <w:r w:rsidRPr="22DB2182">
        <w:rPr>
          <w:rFonts w:ascii="Times New Roman" w:hAnsi="Times New Roman" w:cs="Times New Roman"/>
          <w:color w:val="000000" w:themeColor="text1"/>
        </w:rPr>
        <w:t xml:space="preserve">, 0.61], ER = 1.76, p = 0.64, %ROPE = 49.06). </w:t>
      </w:r>
      <w:r w:rsidRPr="22DB2182">
        <w:rPr>
          <w:rFonts w:ascii="Times New Roman" w:hAnsi="Times New Roman" w:cs="Times New Roman"/>
        </w:rPr>
        <w:t xml:space="preserve">We also found no support for </w:t>
      </w:r>
      <w:proofErr w:type="gramStart"/>
      <w:r w:rsidRPr="22DB2182">
        <w:rPr>
          <w:rFonts w:ascii="Times New Roman" w:hAnsi="Times New Roman" w:cs="Times New Roman"/>
        </w:rPr>
        <w:t>an</w:t>
      </w:r>
      <w:proofErr w:type="gramEnd"/>
      <w:r w:rsidRPr="22DB2182">
        <w:rPr>
          <w:rFonts w:ascii="Times New Roman" w:hAnsi="Times New Roman" w:cs="Times New Roman"/>
        </w:rPr>
        <w:t xml:space="preserve"> effect of task complexity on MB frequency (</w:t>
      </w:r>
      <w:proofErr w:type="spellStart"/>
      <w:r w:rsidRPr="22DB2182">
        <w:rPr>
          <w:rFonts w:ascii="Times New Roman" w:hAnsi="Times New Roman" w:cs="Times New Roman"/>
        </w:rPr>
        <w:t>EMM</w:t>
      </w:r>
      <w:r w:rsidRPr="22DB2182">
        <w:rPr>
          <w:rFonts w:ascii="Times New Roman" w:hAnsi="Times New Roman" w:cs="Times New Roman"/>
          <w:vertAlign w:val="subscript"/>
        </w:rPr>
        <w:t>diff</w:t>
      </w:r>
      <w:proofErr w:type="spellEnd"/>
      <w:r w:rsidRPr="22DB2182">
        <w:rPr>
          <w:rFonts w:ascii="Times New Roman" w:hAnsi="Times New Roman" w:cs="Times New Roman"/>
        </w:rPr>
        <w:t xml:space="preserve"> = -0.06, HDI</w:t>
      </w:r>
      <w:r w:rsidRPr="22DB2182">
        <w:rPr>
          <w:rFonts w:ascii="Times New Roman" w:hAnsi="Times New Roman" w:cs="Times New Roman"/>
          <w:vertAlign w:val="subscript"/>
        </w:rPr>
        <w:t xml:space="preserve">89 </w:t>
      </w:r>
      <w:r w:rsidRPr="22DB2182">
        <w:rPr>
          <w:rFonts w:ascii="Times New Roman" w:hAnsi="Times New Roman" w:cs="Times New Roman"/>
        </w:rPr>
        <w:t xml:space="preserve">= [-0.22, 0.31], ER = 0.59, p = 0.37, %ROPE = 78.08) (Figure 3d). The full task posterior ranking, from the least to the most frequent in reporting MB, is shown in Figure </w:t>
      </w:r>
      <w:proofErr w:type="gramStart"/>
      <w:r w:rsidRPr="22DB2182">
        <w:rPr>
          <w:rFonts w:ascii="Times New Roman" w:hAnsi="Times New Roman" w:cs="Times New Roman"/>
        </w:rPr>
        <w:t>3e</w:t>
      </w:r>
      <w:proofErr w:type="gramEnd"/>
      <w:r w:rsidRPr="22DB2182">
        <w:rPr>
          <w:rFonts w:ascii="Times New Roman" w:hAnsi="Times New Roman" w:cs="Times New Roman"/>
        </w:rPr>
        <w:t>. When looking for probe-specific effects,  the number of probes presented across the sampling session (b=0, HDI</w:t>
      </w:r>
      <w:r w:rsidRPr="22DB2182">
        <w:rPr>
          <w:rFonts w:ascii="Times New Roman" w:hAnsi="Times New Roman" w:cs="Times New Roman"/>
          <w:vertAlign w:val="subscript"/>
        </w:rPr>
        <w:t>89</w:t>
      </w:r>
      <w:r w:rsidRPr="22DB2182">
        <w:rPr>
          <w:rFonts w:ascii="Times New Roman" w:hAnsi="Times New Roman" w:cs="Times New Roman"/>
        </w:rPr>
        <w:t xml:space="preserve"> = [-0.01, 0.1], ER=0.004, p=0), the number of experience-sampling options presented (b=0.02, HDI</w:t>
      </w:r>
      <w:r w:rsidRPr="22DB2182">
        <w:rPr>
          <w:rFonts w:ascii="Times New Roman" w:hAnsi="Times New Roman" w:cs="Times New Roman"/>
          <w:vertAlign w:val="subscript"/>
        </w:rPr>
        <w:t>89</w:t>
      </w:r>
      <w:r w:rsidRPr="22DB2182">
        <w:rPr>
          <w:rFonts w:ascii="Times New Roman" w:hAnsi="Times New Roman" w:cs="Times New Roman"/>
        </w:rPr>
        <w:t xml:space="preserve"> = [-0.08, 0.12], ER=0.07, p=.06), the duration of the experience-sampling session (b=0, HDI</w:t>
      </w:r>
      <w:r w:rsidRPr="22DB2182">
        <w:rPr>
          <w:rFonts w:ascii="Times New Roman" w:hAnsi="Times New Roman" w:cs="Times New Roman"/>
          <w:vertAlign w:val="subscript"/>
        </w:rPr>
        <w:t>89</w:t>
      </w:r>
      <w:r w:rsidRPr="22DB2182">
        <w:rPr>
          <w:rFonts w:ascii="Times New Roman" w:hAnsi="Times New Roman" w:cs="Times New Roman"/>
        </w:rPr>
        <w:t xml:space="preserve"> = [0, 0.01], ER=0.09, p=.01) and sampling density  (b=-0.05, HDI</w:t>
      </w:r>
      <w:r w:rsidRPr="22DB2182">
        <w:rPr>
          <w:rFonts w:ascii="Times New Roman" w:hAnsi="Times New Roman" w:cs="Times New Roman"/>
          <w:vertAlign w:val="subscript"/>
        </w:rPr>
        <w:t>89</w:t>
      </w:r>
      <w:r w:rsidRPr="22DB2182">
        <w:rPr>
          <w:rFonts w:ascii="Times New Roman" w:hAnsi="Times New Roman" w:cs="Times New Roman"/>
        </w:rPr>
        <w:t xml:space="preserve"> = [-0.18, 0.09], ER=0.1, p=.09) did not show evidence for an effect (Figure 3f-i). </w:t>
      </w:r>
    </w:p>
    <w:p w14:paraId="763CFC46" w14:textId="1659C3A8" w:rsidR="00884F5F" w:rsidRDefault="00884F5F" w:rsidP="00884F5F">
      <w:pPr>
        <w:keepNext/>
        <w:spacing w:line="360" w:lineRule="auto"/>
        <w:ind w:firstLine="720"/>
        <w:jc w:val="both"/>
        <w:rPr>
          <w:rFonts w:ascii="Times New Roman" w:hAnsi="Times New Roman" w:cs="Times New Roman"/>
        </w:rPr>
      </w:pPr>
      <w:r>
        <w:rPr>
          <w:rFonts w:ascii="Times New Roman" w:hAnsi="Times New Roman" w:cs="Times New Roman"/>
          <w:i/>
        </w:rPr>
        <w:t>Exploratory analysis 1.</w:t>
      </w:r>
      <w:r>
        <w:rPr>
          <w:rFonts w:ascii="Times New Roman" w:hAnsi="Times New Roman" w:cs="Times New Roman"/>
        </w:rPr>
        <w:t xml:space="preserve"> One study </w:t>
      </w:r>
      <w:r>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{"citationID":"a22kgsknieu","properties":{"unsorted":false,"formattedCitation":"(Kawagoe et al., 2019)","plainCitation":"(Kawagoe et al., 2019)","noteIndex":0},"citationItems":[{"id":16206,"uris":["http://zotero.org/groups/6160358/items/WBMX7CTM"],"itemData":{"id":16206,"type":"article-journal","abstract":"Mind blanking (MB) is the state where our minds are seemingly \"nowhere,\" and attention calls no perceptual input into conscious awareness. It is little investigated, perhaps partly because it is difficult to detect the mysterious periods of blanking. In this study, we found that our participants could intentionally produce a state of MB whose neural correlates were deactivation of Broca's area and parts of the default mode network (namely, the hippocampus) which would be active during mind wandering (MW), in addition to activity in another region in the default mode network (namely, anterior cingulate cortex). Because the behavioral finding replicates a previous report of ours, we suggest that the simple instructions that we used to induce MB should be effective. From the neuroimaging data, we conclude that we cannot define the content of our thoughts during MB because our inner speech system does not work at that time. Another possibility is that we actually think of nothing in the MB state. Although more sophisticated studies would be needed to uncover the mechanism of such a phenomenon, the present study provides a methodology and clues for understanding MB and related concepts such as MW, awareness, and metacognitive ability.","citation-key":"kawagoeNeuralCorrelatesMind2019a","container-title":"Human brain mapping","DOI":"10.1002/hbm.24748","ISSN":"1097-0193 1065-9471","issue":"17","language":"eng","license":"© 2019 Wiley Periodicals, Inc.","page":"4934–4940","PMID":"31389642","PMCID":"PMC6865483","title":"The neural correlates of \"mind blanking\": When the mind goes away.","volume":"40","author":[{"family":"Kawagoe","given":"Toshikazu"},{"family":"Onoda","given":"Keiichi"},{"family":"Yamaguchi","given":"Shuhei"}],"issued":{"date-parts":[["2019",12]]}}}],"schema":"https://github.com/citation-style-language/schema/raw/master/csl-citation.json"} </w:instrText>
      </w:r>
      <w:r>
        <w:rPr>
          <w:rFonts w:ascii="Times New Roman" w:hAnsi="Times New Roman" w:cs="Times New Roman"/>
        </w:rPr>
        <w:fldChar w:fldCharType="separate"/>
      </w:r>
      <w:r w:rsidR="00B633EE" w:rsidRPr="00B633EE">
        <w:rPr>
          <w:rFonts w:ascii="Times New Roman" w:hAnsi="Times New Roman" w:cs="Times New Roman"/>
        </w:rPr>
        <w:t>(Kawagoe et al., 2019)</w:t>
      </w:r>
      <w:r>
        <w:rPr>
          <w:rFonts w:ascii="Times New Roman" w:hAnsi="Times New Roman" w:cs="Times New Roman"/>
        </w:rPr>
        <w:fldChar w:fldCharType="end"/>
      </w:r>
      <w:r>
        <w:rPr>
          <w:rFonts w:ascii="Times New Roman" w:hAnsi="Times New Roman" w:cs="Times New Roman"/>
        </w:rPr>
        <w:t xml:space="preserve"> asked participants to try and empty their minds instead of capturing spontaneously occurring blanks, reaching an MB report rate of 32%. This represents a case of deliberate MB or thought silencing, </w:t>
      </w:r>
      <w:r w:rsidR="0075190F">
        <w:rPr>
          <w:rFonts w:ascii="Times New Roman" w:hAnsi="Times New Roman" w:cs="Times New Roman"/>
        </w:rPr>
        <w:t>in which participants continuously monitor and suppress their</w:t>
      </w:r>
      <w:r>
        <w:rPr>
          <w:rFonts w:ascii="Times New Roman" w:hAnsi="Times New Roman" w:cs="Times New Roman"/>
        </w:rPr>
        <w:t xml:space="preserve"> thoughts. The study of Kawagoe et al. </w:t>
      </w:r>
      <w:r>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20g4rilqag","properties":{"unsorted":false,"formattedCitation":"(2019)","plainCitation":"(2019)","noteIndex":0},"citationItems":[{"id":16206,"uris":["http://zotero.org/groups/6160358/items/WBMX7CTM"],"itemData":{"id":16206,"type":"article-journal","abstract":"Mind blanking (MB) is the state where our minds are seemingly \"nowhere,\" and attention calls no perceptual input into conscious awareness. It is little investigated, perhaps partly because it is difficult to detect the mysterious periods of blanking. In this study, we found that our participants could intentionally produce a state of MB whose neural correlates were deactivation of Broca's area and parts of the default mode network (namely, the hippocampus) which would be active during mind wandering (MW), in addition to activity in another region in the default mode network (namely, anterior cingulate cortex). Because the behavioral finding replicates a previous report of ours, we suggest that the simple instructions that we used to induce MB should be effective. From the neuroimaging data, we conclude that we cannot define the content of our thoughts during MB because our inner speech system does not work at that time. Another possibility is that we actually think of nothing in the MB state. Although more sophisticated studies would be needed to uncover the mechanism of such a phenomenon, the present study provides a methodology and clues for understanding MB and related concepts such as MW, awareness, and metacognitive ability.","citation-key":"kawagoeNeuralCorrelatesMind2019a","container-title":"Human brain mapping","DOI":"10.1002/hbm.24748","ISSN":"1097-0193 1065-9471","issue":"17","language":"eng","license":"© 2019 Wiley Periodicals, Inc.","page":"4934–4940","PMID":"31389642","PMCID":"PMC6865483","title":"The neural correlates of \"mind blanking\": When the mind goes away.","volume":"40","author":[{"family":"Kawagoe","given":"Toshikazu"},{"family":"Onoda","given":"Keiichi"},{"family":"Yamaguchi","given":"Shuhei"}],"issued":{"date-parts":[["2019",12]]}},"suppress-author":true}],"schema":"https://github.com/citation-style-language/schema/raw/master/csl-citation.json"} </w:instrText>
      </w:r>
      <w:r>
        <w:rPr>
          <w:rFonts w:ascii="Times New Roman" w:hAnsi="Times New Roman" w:cs="Times New Roman"/>
        </w:rPr>
        <w:fldChar w:fldCharType="separate"/>
      </w:r>
      <w:r w:rsidR="00B633EE" w:rsidRPr="00B633EE">
        <w:rPr>
          <w:rFonts w:ascii="Times New Roman" w:hAnsi="Times New Roman" w:cs="Times New Roman"/>
        </w:rPr>
        <w:t>(2019)</w:t>
      </w:r>
      <w:r>
        <w:rPr>
          <w:rFonts w:ascii="Times New Roman" w:hAnsi="Times New Roman" w:cs="Times New Roman"/>
        </w:rPr>
        <w:fldChar w:fldCharType="end"/>
      </w:r>
      <w:r>
        <w:rPr>
          <w:rFonts w:ascii="Times New Roman" w:hAnsi="Times New Roman" w:cs="Times New Roman"/>
        </w:rPr>
        <w:t xml:space="preserve"> did include an experience-sampling condition of spontaneous MB</w:t>
      </w:r>
      <w:r w:rsidR="0075190F">
        <w:rPr>
          <w:rFonts w:ascii="Times New Roman" w:hAnsi="Times New Roman" w:cs="Times New Roman"/>
        </w:rPr>
        <w:t>;</w:t>
      </w:r>
      <w:r>
        <w:rPr>
          <w:rFonts w:ascii="Times New Roman" w:hAnsi="Times New Roman" w:cs="Times New Roman"/>
        </w:rPr>
        <w:t xml:space="preserve"> therefore, there was no way to examine whether deliberate and spontaneous MB differ in frequency. In our case, w</w:t>
      </w:r>
      <w:r w:rsidRPr="00431045">
        <w:rPr>
          <w:rFonts w:ascii="Times New Roman" w:hAnsi="Times New Roman" w:cs="Times New Roman"/>
        </w:rPr>
        <w:t xml:space="preserve">e refit the baseline model by including this study as a unique categorical predictor. </w:t>
      </w:r>
      <w:r w:rsidR="0075190F">
        <w:rPr>
          <w:rFonts w:ascii="Times New Roman" w:hAnsi="Times New Roman" w:cs="Times New Roman"/>
        </w:rPr>
        <w:t>We aimed</w:t>
      </w:r>
      <w:r>
        <w:rPr>
          <w:rFonts w:ascii="Times New Roman" w:hAnsi="Times New Roman" w:cs="Times New Roman"/>
        </w:rPr>
        <w:t xml:space="preserve"> to examine</w:t>
      </w:r>
      <w:r w:rsidRPr="00431045">
        <w:rPr>
          <w:rFonts w:ascii="Times New Roman" w:hAnsi="Times New Roman" w:cs="Times New Roman"/>
        </w:rPr>
        <w:t xml:space="preserve"> whether this novel data point</w:t>
      </w:r>
      <w:r>
        <w:rPr>
          <w:rFonts w:ascii="Times New Roman" w:hAnsi="Times New Roman" w:cs="Times New Roman"/>
        </w:rPr>
        <w:t xml:space="preserve"> would</w:t>
      </w:r>
      <w:r w:rsidRPr="00431045">
        <w:rPr>
          <w:rFonts w:ascii="Times New Roman" w:hAnsi="Times New Roman" w:cs="Times New Roman"/>
        </w:rPr>
        <w:t xml:space="preserve"> represent a sufficiently surprising observation under the normative model.</w:t>
      </w:r>
      <w:r w:rsidR="00E1586B">
        <w:rPr>
          <w:rFonts w:ascii="Times New Roman" w:hAnsi="Times New Roman" w:cs="Times New Roman"/>
        </w:rPr>
        <w:t xml:space="preserve"> </w:t>
      </w:r>
      <w:r>
        <w:rPr>
          <w:rFonts w:ascii="Times New Roman" w:hAnsi="Times New Roman" w:cs="Times New Roman"/>
        </w:rPr>
        <w:t>We found strong evidence that this manipulation greatly increased the number of MB occurrences (</w:t>
      </w:r>
      <w:proofErr w:type="spellStart"/>
      <w:r>
        <w:rPr>
          <w:rFonts w:ascii="Times New Roman" w:hAnsi="Times New Roman" w:cs="Times New Roman"/>
        </w:rPr>
        <w:t>EMM</w:t>
      </w:r>
      <w:r>
        <w:rPr>
          <w:rFonts w:ascii="Times New Roman" w:hAnsi="Times New Roman" w:cs="Times New Roman"/>
          <w:vertAlign w:val="subscript"/>
        </w:rPr>
        <w:t>diff</w:t>
      </w:r>
      <w:proofErr w:type="spellEnd"/>
      <w:r>
        <w:rPr>
          <w:rFonts w:ascii="Times New Roman" w:hAnsi="Times New Roman" w:cs="Times New Roman"/>
        </w:rPr>
        <w:t xml:space="preserve"> = 1.4, HDI</w:t>
      </w:r>
      <w:r>
        <w:rPr>
          <w:rFonts w:ascii="Times New Roman" w:hAnsi="Times New Roman" w:cs="Times New Roman"/>
          <w:vertAlign w:val="subscript"/>
        </w:rPr>
        <w:t>89</w:t>
      </w:r>
      <w:r>
        <w:rPr>
          <w:rFonts w:ascii="Times New Roman" w:hAnsi="Times New Roman" w:cs="Times New Roman"/>
        </w:rPr>
        <w:t xml:space="preserve"> = [0.45, 2.34], ER = 107, p = 0.99, %ROPE = 0) (Supplementary Figure S</w:t>
      </w:r>
      <w:r w:rsidR="005C23E1">
        <w:rPr>
          <w:rFonts w:ascii="Times New Roman" w:hAnsi="Times New Roman" w:cs="Times New Roman"/>
        </w:rPr>
        <w:t>3</w:t>
      </w:r>
      <w:r>
        <w:rPr>
          <w:rFonts w:ascii="Times New Roman" w:hAnsi="Times New Roman" w:cs="Times New Roman"/>
        </w:rPr>
        <w:t xml:space="preserve">). </w:t>
      </w:r>
    </w:p>
    <w:p w14:paraId="55B0C8B2" w14:textId="0365CFF6" w:rsidR="00884F5F" w:rsidRPr="00A92DC1" w:rsidRDefault="00884F5F" w:rsidP="00A92DC1">
      <w:pPr>
        <w:keepNext/>
        <w:spacing w:line="360" w:lineRule="auto"/>
        <w:ind w:firstLine="720"/>
        <w:jc w:val="both"/>
        <w:rPr>
          <w:rFonts w:ascii="Times New Roman" w:hAnsi="Times New Roman" w:cs="Times New Roman"/>
        </w:rPr>
      </w:pPr>
      <w:r>
        <w:rPr>
          <w:rFonts w:ascii="Times New Roman" w:hAnsi="Times New Roman" w:cs="Times New Roman"/>
          <w:i/>
        </w:rPr>
        <w:t>Exploratory analysis 2.</w:t>
      </w:r>
      <w:r>
        <w:rPr>
          <w:rFonts w:ascii="Times New Roman" w:hAnsi="Times New Roman" w:cs="Times New Roman"/>
        </w:rPr>
        <w:t xml:space="preserve"> A subset of studies opted to use a series of questions rather than </w:t>
      </w:r>
      <w:r w:rsidR="006B1331">
        <w:rPr>
          <w:rFonts w:ascii="Times New Roman" w:hAnsi="Times New Roman" w:cs="Times New Roman"/>
        </w:rPr>
        <w:t>forced-choice</w:t>
      </w:r>
      <w:r>
        <w:rPr>
          <w:rFonts w:ascii="Times New Roman" w:hAnsi="Times New Roman" w:cs="Times New Roman"/>
        </w:rPr>
        <w:t xml:space="preserve"> response categories, such as MB, mind-wandering or on-task engagement</w:t>
      </w:r>
      <w:r w:rsidR="00E1586B">
        <w:rPr>
          <w:rFonts w:ascii="Times New Roman" w:hAnsi="Times New Roman" w:cs="Times New Roman"/>
        </w:rPr>
        <w:t xml:space="preserve"> </w:t>
      </w:r>
      <w:r w:rsidR="00E1586B">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{"citationID":"a1kfhq4iug5","properties":{"unsorted":false,"formattedCitation":"(Aasen et al., 2025; Alexandersen et al., 2025; Drevland et al., 2025; Simor et al., 2025; Vekony et al., 2025; V\\uc0\\u233{}kony et al., 2025)","plainCitation":"(Aasen et al., 2025; Alexandersen et al., 2025; Drevland et al., 2025; Simor et al., 2025; Vekony et al., 2025; Vékony et al., 2025)","noteIndex":0},"citationItems":[{"id":17681,"uris":["http://zotero.org/users/8613739/items/873JPK5R"],"itemData":{"id":17681,"type":"article","abstract":"Insufficient sleep is a common occurrence in modern society and has severe consequences for our attention, executive functioning (EF), and affect. Mind wandering (MW) is a phenomenon where attention shifts from an external task to internal thoughts. These shifts can take on different characteristics, such as relating to specific mental content or not (mind blanking, MB), and can be engaged deliberately (D-MW) or spontaneously (S-MW). MW is related to impaired EF and worsened emotional states, yet it is unclear how these associations are influenced by sleep loss. We recruited 34 healthy adults to a partial sleep deprivation (PSD) protocol, where they slept on average 1.7 hours less, compared to a period of normal sleep (NS), for 3 consecutive nights. Participants engaged in the finger-tapping random sequence generation task that provided two objective measures of EF performance, the variability in the responses and the entropy of the generated sequences. We assessed participants’ momentary affect before and after the task, while subjective reports of attentional states (on-task, MW, MB, and S/D-MW) were assessed during the task. Results indicated that greater sleep loss resulted in more MW, MB, behavioural variability and negative affect, and reduced positive affect. Furthermore, MW episodes were preceded by reduced EF performance only following the PSD, but not after NS. Finally, we found that pre-task positive affect may ameliorate the unfavourable effects of sleep loss on objective and subjective measures of MW. These findings highlight the importance of sufficient sleep in maintaining sustained attention, optimal task performance, and good mood.","citation-key":"aasenEffectsPartialSleep2025","DOI":"10.31219/osf.io/kmqfz_v3","number":"kmqfz_v3","publisher":"OSF Preprints","source":"OSF Preprints","title":"The Effects of Partial Sleep Deprivation on Mind Wandering, Executive Performance and Affect","URL":"https://osf.io/kmqfz_v3/","author":[{"family":"Aasen","given":"Steffen R"},{"family":"Babiker","given":"Samy M E"},{"family":"Vangen","given":"Aurora M K"},{"family":"Haugan","given":"Silje B"},{"family":"Sandell","given":"Sanna A O"},{"family":"Saksvik-Lehouillier","given":"Ingvild"},{"family":"Kam","given":"Julia"},{"family":"Mittner","given":"Matthias"},{"family":"Csifcsák","given":"Gábor"}],"accessed":{"date-parts":[["2026",1,29]]},"issued":{"date-parts":[["2025",9,12]]}}},{"id":8283,"uris":["http://zotero.org/users/8613739/items/AJSHXK3B"],"itemData":{"id":8283,"type":"article-journal","abstract":"Mind wandering (MW) is a common mental phenomenon where attention shifts spontaneously from an external task to internal trains of thought. Recent studies propose that non-invasive brain stimulation methods hold potential for influencing attentional shifts between on-task and MW states. Exploratory analysis from a recent repetitive transcranial magnetic stimulation (rTMS) study reported that targeting the left angular gyrus (AG) with continuous theta-burst stimulation (cTBS) reduced MW compared to sham stimulation, without affecting executive performance (Drevland et al., 2025). The present study is a pre-registered, direct replication of the study by Drevland et al., but also expands their protocol by applying intermittent theta-burst stimulation (iTBS) targeting the same cortical area. Using a triple-blind crossover design, healthy participants completed four blocks of the Finger-Tapping Random Sequence Generation Task (FT-RSGT) in three sessions on separate days. Each session included three rounds of either real (cTBS or iTBS) or sham stimulation in an accelerated rTMS design. We successfully replicated the effect of cTBS in reducing MW propensity but failed to find the expected increase in MW post-iTBS. Furthermore, based on a joint analysis of the current data and that from Drevland et al., we found compelling evidence for cTBS being efficient both in reducing MW and improving executive performance. Our results provide evidence for the causal relationship between the left AG and shifts of attention during an executive task, highlighting the role of the default mode network in the generation and maintenance of MW episodes. © 2025 Elsevier B.V., All rights reserved.","archive":"Scopus","citation-key":"alexandersenEvidenceEfficacyThetaburst2025","container-title":"Cortex","DOI":"10.1016/j.cortex.2025.07.006","page":"25-40","title":"Evidence for the efficacy of theta-burst stimulation above the angular gyrus for reducing mind wandering propensity: A successful pre-registered study","volume":"191","author":[{"family":"Alexandersen","given":"A."},{"family":"Aasen","given":"S.R."},{"family":"Csifcsák","given":"G."},{"family":"Mittner","given":"M."}],"issued":{"date-parts":[["2025"]]}}},{"id":16207,"uris":["http://zotero.org/groups/6160358/items/YXE7BHS4"],"itemData":{"id":16207,"type":"article-journal","abstract":"Background\nMind wandering (MW) involves an attentional drift away from an external task to internal thoughts and goals. In the last decade, a substantial number of studies have investigated the possibility of influencing MW using transcranial direct current stimulation (tDCS). One common target region of interest is the angular gyrus (AG), a core region of the default-mode network (DMN), which is believed to play a major role in the initiation and maintenance of MW episodes. However, the accumulated evidence suggests that tDCS may not be sufficiently strong to reliably affect MW propensity.\nHypothesis\nWe hypothesized that by using repetitive transcranial magnetic stimulation (rTMS) with continuous theta-burst stimulation (cTBS) protocol over the left AG would reduce MW during a demanding cognitive task.\nMethod\nWe applied cTBS over the left AG to interfere with MW propensity in healthy adults. In a triple-blind, crossover design, participants performed four blocks of the finger-tapping random-sequence generation task (FT-RSGT) with three interleaved bouts of real or sham cTBS.\nResults\nOur pre-registered statistical analysis found no support for our main hypotheses. However, in our secondary statistical analysis we found that real cTBS reduced both self-reported MW propensity and behavioural variability, an objective marker of MW, while maintaining comparable levels of executive task performance.","citation-key":"drevlandReducingMindWandering2025a","container-title":"Transcranial Magnetic Stimulation","page":"100181","title":"Reducing mind wandering using continuous theta burst stimulation","author":[{"family":"Drevland","given":"Ragnhild Nicolaisen"},{"family":"Aasen","given":"Steffen Rygg"},{"family":"Csifcsák","given":"Gábor"},{"family":"Mittner","given":"Matthias"}],"issued":{"date-parts":[["2025"]]}}},{"id":17890,"uris":["http://zotero.org/users/8613739/items/N6MPH7TZ"],"itemData":{"id":17890,"type":"article-journal","abstract":"Mind wandering, occupying 30-50% of our waking time, remains an enigmatic phenomenon in cognitive neuroscience. A large number of studies showed a negative association between mind wandering and attention-demanding (model-based) tasks in both natural settings and laboratory conditions. Mind wandering, however, does not seem to be detrimental for all cognitive domains and was observed to benefit creativity and problem-solving. We examined if mind wandering may facilitate model-free processes, such as probabilistic learning, which relies on the automatic acquisition of statistical regularities with minimal attentional demands. We administered a well-established implicit probabilistic learning task combined with thought probes in healthy adults (N = 37, 30 females). To explore the neural correlates of mind wandering and probabilistic learning, participants were fitted with high-density electroencephalography. Our findings indicate that probabilistic learning was not only immune to periods of mind wandering but was positively associated with it. Spontaneous, as opposed to deliberate mind wandering, was particularly beneficial for extracting the probabilistic patterns hidden in the visual stream. Cortical oscillatory activity in the low-frequency (slow and delta) range, indicative of covert sleep-like states, was associated with both mind wandering and improved probabilistic learning, particularly in the early stages of the task. Given the importance of probabilistic implicit learning in predictive processing, our findings provide novel insights into the potential cognitive benefits of task-unrelated thoughts in addition to shedding light on its neural mechanisms.","citation-key":"simorMindWanderingImplicit2025","container-title":"The Journal of Neuroscience: The Official Journal of the Society for Neuroscience","DOI":"10.1523/JNEUROSCI.1421-24.2025","ISSN":"1529-2401","issue":"19","journalAbbreviation":"J Neurosci","language":"eng","page":"e1421242025","PMID":"40194844","PMCID":"PMC12060634","source":"PubMed","title":"Mind Wandering during Implicit Learning Is Associated with Increased Periodic EEG Activity and Improved Extraction of Hidden Probabilistic Patterns","volume":"45","author":[{"family":"Simor","given":"Péter"},{"family":"Vékony","given":"Teodóra"},{"family":"Farkas","given":"Bence C."},{"family":"Szalárdy","given":"Orsolya"},{"family":"Bogdány","given":"Tamás"},{"family":"Brezóczki","given":"Bianka"},{"family":"Csifcsák","given":"Gábor"},{"family":"Németh","given":"Dezső"}],"issued":{"date-parts":[["2025",5,7]]}}},{"id":15803,"uris":["http://zotero.org/groups/6160358/items/8DRPDRJC"],"itemData":{"id":15803,"type":"article-journal","abstract":"Human cognition must balance goal-directed behavior with the need to learn from environmental regularities. Mind wandering (MW), a state of attentional decoupling from the task at hand, is paradoxically associated with both executive failures and enhanced implicit statistical learning, yet the direct relationship between these phenomena remains unclear. Here, we provide direct behavioral evidence for a functional trade-off between these competing demands. Using a task that concurrently measured response inhibition, statistical learning, and self-reported task focus, we show that MW is associated with impaired inhibitory control but enhanced learning of probabilistic sequences. Critically, we reveal that these effects are mechanistically linked: the magnitude of the learning enhancement during MW is quantitatively modulated by the efficacy of response inhibition. These findings demonstrate that transient lapses in top-down executive control directly facilitate the implicit extraction of environmental statistics, supporting neurocompetition models and framing MW as a cognitive state that may be evolutionarily preserved to promote the unsupervised acquisition of predictive models.","citation-key":"vekonyFunctionalTradeoffExecutive2025a","container-title":"bioRxiv","page":"2025–08","title":"A functional trade-off between executive control and implicit statistical learning is dynamically gated by mind wandering","author":[{"family":"Vekony","given":"Teodora"},{"family":"Brezoczki","given":"Bianka"},{"family":"Csifcsak","given":"Gabor"},{"family":"Nemeth","given":"Dezso"},{"family":"Simor","given":"Peter"}],"issued":{"date-parts":[["2025"]]}}},{"id":16062,"uris":["http://zotero.org/groups/6160358/items/24UA2W4Z"],"itemData":{"id":16062,"type":"article-journal","abstract":"The human brain spends 30–50% of its waking hours engaged in mind-wandering (MW), a common phenomenon in which individuals either spontaneously or deliberately shift their attention away from external tasks to task-unrelated internal thoughts. Despite the significant amount of time dedicated to MW, its underlying reasons remain unex</w:instrText>
      </w:r>
      <w:r w:rsidR="00B633EE" w:rsidRPr="00B633EE">
        <w:rPr>
          <w:rFonts w:ascii="Times New Roman" w:hAnsi="Times New Roman" w:cs="Times New Roman"/>
          <w:lang w:val="fr-BE"/>
        </w:rPr>
        <w:instrText xml:space="preserve">plained. Our pre-registered study investigates the potential adaptive aspects of MW, particularly its role in predictive processes measured by statistical learning. We simultaneously assessed visuomotor task performance as well as the capability to extract probabilistic information from the environment while assessing task focus (on-task vs. MW). We found that MW was associated with enhanced extraction of hidden, but predictable patterns. This finding suggests that MW may have functional relevance in human cognition by shaping behavior and predictive processes. Overall, our results highlight the importance of considering the adaptive aspects of MW, and its potential to enhance certain fundamental cognitive abilities. © 2025 Elsevier B.V., All rights reserved.","citation-key":"vekonyMindWanderingEnhances2025a","container-title":"iScience","DOI":"10.1016/j.isci.2024.111703","issue":"2","title":"Mind wandering enhances statistical learning","URL":"https://www.scopus.com/inward/record.uri?eid=2-s2.0-85215207639&amp;doi=10.1016%2Fj.isci.2024.111703&amp;partnerID=40&amp;md5=166cbf64ef27f5823e634312fcb3e620","volume":"28","author":[{"family":"Vékony","given":"T."},{"family":"Farkas","given":"B.C."},{"family":"Brezóczki","given":"B."},{"family":"Mittner","given":"M."},{"family":"Csifcsák","given":"G."},{"family":"Simor","given":"P."},{"family":"Németh","given":"D."}],"issued":{"date-parts":[["2025"]]}}}],"schema":"https://github.com/citation-style-language/schema/raw/master/csl-citation.json"} </w:instrText>
      </w:r>
      <w:r w:rsidR="00E1586B">
        <w:rPr>
          <w:rFonts w:ascii="Times New Roman" w:hAnsi="Times New Roman" w:cs="Times New Roman"/>
        </w:rPr>
        <w:fldChar w:fldCharType="separate"/>
      </w:r>
      <w:r w:rsidR="00B633EE" w:rsidRPr="00B633EE">
        <w:rPr>
          <w:rFonts w:ascii="Times New Roman" w:hAnsi="Times New Roman" w:cs="Times New Roman"/>
          <w:lang w:val="fr-BE"/>
        </w:rPr>
        <w:t>(Aasen et al., 2025; Alexandersen et al., 2025; Drevland et al., 2025; Simor et al., 2025; Vekony et al., 2025; Vékony et al., 2025)</w:t>
      </w:r>
      <w:r w:rsidR="00E1586B">
        <w:rPr>
          <w:rFonts w:ascii="Times New Roman" w:hAnsi="Times New Roman" w:cs="Times New Roman"/>
        </w:rPr>
        <w:fldChar w:fldCharType="end"/>
      </w:r>
      <w:r w:rsidRPr="004559C4">
        <w:rPr>
          <w:rFonts w:ascii="Times New Roman" w:hAnsi="Times New Roman" w:cs="Times New Roman"/>
          <w:lang w:val="fr-BE"/>
        </w:rPr>
        <w:t xml:space="preserve">. </w:t>
      </w:r>
      <w:r>
        <w:rPr>
          <w:rFonts w:ascii="Times New Roman" w:hAnsi="Times New Roman" w:cs="Times New Roman"/>
        </w:rPr>
        <w:t xml:space="preserve">These questions </w:t>
      </w:r>
      <w:proofErr w:type="gramStart"/>
      <w:r>
        <w:rPr>
          <w:rFonts w:ascii="Times New Roman" w:hAnsi="Times New Roman" w:cs="Times New Roman"/>
        </w:rPr>
        <w:t>probed</w:t>
      </w:r>
      <w:proofErr w:type="gramEnd"/>
      <w:r>
        <w:rPr>
          <w:rFonts w:ascii="Times New Roman" w:hAnsi="Times New Roman" w:cs="Times New Roman"/>
        </w:rPr>
        <w:t xml:space="preserve"> </w:t>
      </w:r>
      <w:r w:rsidR="0075190F">
        <w:rPr>
          <w:rFonts w:ascii="Times New Roman" w:hAnsi="Times New Roman" w:cs="Times New Roman"/>
        </w:rPr>
        <w:t>participants’</w:t>
      </w:r>
      <w:r w:rsidRPr="00884F5F">
        <w:rPr>
          <w:rFonts w:ascii="Times New Roman" w:hAnsi="Times New Roman" w:cs="Times New Roman"/>
        </w:rPr>
        <w:t xml:space="preserve"> subjective experience</w:t>
      </w:r>
      <w:r>
        <w:rPr>
          <w:rFonts w:ascii="Times New Roman" w:hAnsi="Times New Roman" w:cs="Times New Roman"/>
        </w:rPr>
        <w:t xml:space="preserve"> using Likert scales regarding their attentional focus and the </w:t>
      </w:r>
      <w:r w:rsidR="00E1586B">
        <w:rPr>
          <w:rFonts w:ascii="Times New Roman" w:hAnsi="Times New Roman" w:cs="Times New Roman"/>
        </w:rPr>
        <w:t>degree to which they experience content.</w:t>
      </w:r>
      <w:r w:rsidR="0077159F">
        <w:rPr>
          <w:rFonts w:ascii="Times New Roman" w:hAnsi="Times New Roman" w:cs="Times New Roman"/>
        </w:rPr>
        <w:t xml:space="preserve"> On this 4-point Likert </w:t>
      </w:r>
      <w:proofErr w:type="gramStart"/>
      <w:r w:rsidR="0077159F">
        <w:rPr>
          <w:rFonts w:ascii="Times New Roman" w:hAnsi="Times New Roman" w:cs="Times New Roman"/>
        </w:rPr>
        <w:t xml:space="preserve">scale, </w:t>
      </w:r>
      <w:r w:rsidR="00E1586B">
        <w:rPr>
          <w:rFonts w:ascii="Times New Roman" w:hAnsi="Times New Roman" w:cs="Times New Roman"/>
        </w:rPr>
        <w:t xml:space="preserve"> </w:t>
      </w:r>
      <w:r w:rsidR="0077159F">
        <w:rPr>
          <w:rFonts w:ascii="Times New Roman" w:hAnsi="Times New Roman" w:cs="Times New Roman"/>
        </w:rPr>
        <w:t>an</w:t>
      </w:r>
      <w:proofErr w:type="gramEnd"/>
      <w:r w:rsidR="0077159F">
        <w:rPr>
          <w:rFonts w:ascii="Times New Roman" w:hAnsi="Times New Roman" w:cs="Times New Roman"/>
        </w:rPr>
        <w:t xml:space="preserve"> MB is defined as any response </w:t>
      </w:r>
      <w:r w:rsidR="00557F4A" w:rsidRPr="00557F4A">
        <w:rPr>
          <w:rFonts w:ascii="Times New Roman" w:hAnsi="Times New Roman" w:cs="Times New Roman"/>
        </w:rPr>
        <w:t>≤</w:t>
      </w:r>
      <w:r w:rsidR="00557F4A">
        <w:rPr>
          <w:rFonts w:ascii="Times New Roman" w:hAnsi="Times New Roman" w:cs="Times New Roman"/>
        </w:rPr>
        <w:t xml:space="preserve"> 2</w:t>
      </w:r>
      <w:r w:rsidR="0077159F">
        <w:rPr>
          <w:rFonts w:ascii="Times New Roman" w:hAnsi="Times New Roman" w:cs="Times New Roman"/>
        </w:rPr>
        <w:t xml:space="preserve"> in task orientation and content specificity</w:t>
      </w:r>
      <w:r w:rsidR="00E1586B">
        <w:rPr>
          <w:rFonts w:ascii="Times New Roman" w:hAnsi="Times New Roman" w:cs="Times New Roman"/>
        </w:rPr>
        <w:t xml:space="preserve">. Upon inspection of our database, we observed that </w:t>
      </w:r>
      <w:r w:rsidR="006B1331">
        <w:rPr>
          <w:rFonts w:ascii="Times New Roman" w:hAnsi="Times New Roman" w:cs="Times New Roman"/>
        </w:rPr>
        <w:t>these scales</w:t>
      </w:r>
      <w:r w:rsidR="00E1586B">
        <w:rPr>
          <w:rFonts w:ascii="Times New Roman" w:hAnsi="Times New Roman" w:cs="Times New Roman"/>
        </w:rPr>
        <w:t xml:space="preserve"> lead to increased MB rates (for example, Drevland et al.</w:t>
      </w:r>
      <w:r w:rsidR="00E1586B">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uecor4fsn","properties":{"unsorted":false,"formattedCitation":"(2025)","plainCitation":"(2025)","noteIndex":0},"citationItems":[{"id":16207,"uris":["http://zotero.org/groups/6160358/items/YXE7BHS4"],"itemData":{"id":16207,"type":"article-journal","abstract":"Background\nMind wandering (MW) involves an attentional drift away from an external task to internal thoughts and goals. In the last decade, a substantial number of studies have investigated the possibility of influencing MW using transcranial direct current stimulation (tDCS). One common target region of interest is the angular gyrus (AG), a core region of the default-mode network (DMN), which is believed to play a major role in the initiation and maintenance of MW episodes. However, the accumulated evidence suggests that tDCS may not be sufficiently strong to reliably affect MW propensity.\nHypothesis\nWe hypothesized that by using repetitive transcranial magnetic stimulation (rTMS) with continuous theta-burst stimulation (cTBS) protocol over the left AG would reduce MW during a demanding cognitive task.\nMethod\nWe applied cTBS over the left AG to interfere with MW propensity in healthy adults. In a triple-blind, crossover design, participants performed four blocks of the finger-tapping random-sequence generation task (FT-RSGT) with three interleaved bouts of real or sham cTBS.\nResults\nOur pre-registered statistical analysis found no support for our main hypotheses. However, in our secondary statistical analysis we found that real cTBS reduced both self-reported MW propensity and behavioural variability, an objective marker of MW, while maintaining comparable levels of executive task performance.","citation-key":"drevlandReducingMindWandering2025a","container-title":"Transcranial Magnetic Stimulation","page":"100181","title":"Reducing mind wandering using continuous theta burst stimulation","author":[{"family":"Drevland","given":"Ragnhild Nicolaisen"},{"family":"Aasen","given":"Steffen Rygg"},{"family":"Csifcsák","given":"Gábor"},{"family":"Mittner","given":"Matthias"}],"issued":{"date-parts":[["2025"]]}},"suppress-author":true}],"schema":"https://github.com/citation-style-language/schema/raw/master/csl-citation.json"} </w:instrText>
      </w:r>
      <w:r w:rsidR="00E1586B">
        <w:rPr>
          <w:rFonts w:ascii="Times New Roman" w:hAnsi="Times New Roman" w:cs="Times New Roman"/>
        </w:rPr>
        <w:fldChar w:fldCharType="separate"/>
      </w:r>
      <w:r w:rsidR="00B633EE" w:rsidRPr="00B633EE">
        <w:rPr>
          <w:rFonts w:ascii="Times New Roman" w:hAnsi="Times New Roman" w:cs="Times New Roman"/>
        </w:rPr>
        <w:t>(2025)</w:t>
      </w:r>
      <w:r w:rsidR="00E1586B">
        <w:rPr>
          <w:rFonts w:ascii="Times New Roman" w:hAnsi="Times New Roman" w:cs="Times New Roman"/>
        </w:rPr>
        <w:fldChar w:fldCharType="end"/>
      </w:r>
      <w:r w:rsidR="00E1586B">
        <w:rPr>
          <w:rFonts w:ascii="Times New Roman" w:hAnsi="Times New Roman" w:cs="Times New Roman"/>
        </w:rPr>
        <w:t xml:space="preserve"> suggest an </w:t>
      </w:r>
      <w:r w:rsidR="00E1586B">
        <w:rPr>
          <w:rFonts w:ascii="Times New Roman" w:hAnsi="Times New Roman" w:cs="Times New Roman"/>
        </w:rPr>
        <w:lastRenderedPageBreak/>
        <w:t xml:space="preserve">MB rate of 31%). Following the approach described above, we </w:t>
      </w:r>
      <w:r w:rsidR="0075190F">
        <w:rPr>
          <w:rFonts w:ascii="Times New Roman" w:hAnsi="Times New Roman" w:cs="Times New Roman"/>
        </w:rPr>
        <w:t>examined</w:t>
      </w:r>
      <w:r w:rsidR="00E1586B">
        <w:rPr>
          <w:rFonts w:ascii="Times New Roman" w:hAnsi="Times New Roman" w:cs="Times New Roman"/>
        </w:rPr>
        <w:t xml:space="preserve"> whether these Likert scales </w:t>
      </w:r>
      <w:r w:rsidR="0075190F">
        <w:rPr>
          <w:rFonts w:ascii="Times New Roman" w:hAnsi="Times New Roman" w:cs="Times New Roman"/>
        </w:rPr>
        <w:t>were associated with</w:t>
      </w:r>
      <w:r w:rsidR="00E1586B">
        <w:rPr>
          <w:rFonts w:ascii="Times New Roman" w:hAnsi="Times New Roman" w:cs="Times New Roman"/>
        </w:rPr>
        <w:t xml:space="preserve"> an increased MB rate. </w:t>
      </w:r>
      <w:r w:rsidR="0089190E" w:rsidRPr="00E1586B">
        <w:rPr>
          <w:rFonts w:ascii="Times New Roman" w:hAnsi="Times New Roman" w:cs="Times New Roman"/>
        </w:rPr>
        <w:t xml:space="preserve">We found strong evidence </w:t>
      </w:r>
      <w:r w:rsidR="0089190E">
        <w:rPr>
          <w:rFonts w:ascii="Times New Roman" w:hAnsi="Times New Roman" w:cs="Times New Roman"/>
        </w:rPr>
        <w:t xml:space="preserve">that using such scales </w:t>
      </w:r>
      <w:r w:rsidR="0089190E" w:rsidRPr="00E1586B">
        <w:rPr>
          <w:rFonts w:ascii="Times New Roman" w:hAnsi="Times New Roman" w:cs="Times New Roman"/>
        </w:rPr>
        <w:t>greatly increased the number of MB occurrences</w:t>
      </w:r>
      <w:r w:rsidR="0089190E">
        <w:rPr>
          <w:rFonts w:ascii="Times New Roman" w:hAnsi="Times New Roman" w:cs="Times New Roman"/>
        </w:rPr>
        <w:t xml:space="preserve"> </w:t>
      </w:r>
      <w:r w:rsidR="00E1586B" w:rsidRPr="00E1586B">
        <w:rPr>
          <w:rFonts w:ascii="Times New Roman" w:hAnsi="Times New Roman" w:cs="Times New Roman"/>
        </w:rPr>
        <w:t>(</w:t>
      </w:r>
      <w:proofErr w:type="spellStart"/>
      <w:r w:rsidR="00E1586B" w:rsidRPr="00E1586B">
        <w:rPr>
          <w:rFonts w:ascii="Times New Roman" w:hAnsi="Times New Roman" w:cs="Times New Roman"/>
        </w:rPr>
        <w:t>EMMdiff</w:t>
      </w:r>
      <w:proofErr w:type="spellEnd"/>
      <w:r w:rsidR="00E1586B" w:rsidRPr="00E1586B">
        <w:rPr>
          <w:rFonts w:ascii="Times New Roman" w:hAnsi="Times New Roman" w:cs="Times New Roman"/>
        </w:rPr>
        <w:t xml:space="preserve"> = 0.55, HDI</w:t>
      </w:r>
      <w:r w:rsidR="00E1586B" w:rsidRPr="00E1586B">
        <w:rPr>
          <w:rFonts w:ascii="Times New Roman" w:hAnsi="Times New Roman" w:cs="Times New Roman"/>
          <w:vertAlign w:val="subscript"/>
        </w:rPr>
        <w:t>89</w:t>
      </w:r>
      <w:r w:rsidR="00E1586B" w:rsidRPr="00E1586B">
        <w:rPr>
          <w:rFonts w:ascii="Times New Roman" w:hAnsi="Times New Roman" w:cs="Times New Roman"/>
        </w:rPr>
        <w:t xml:space="preserve"> = [0.</w:t>
      </w:r>
      <w:r w:rsidR="00E1586B">
        <w:rPr>
          <w:rFonts w:ascii="Times New Roman" w:hAnsi="Times New Roman" w:cs="Times New Roman"/>
        </w:rPr>
        <w:t>18</w:t>
      </w:r>
      <w:r w:rsidR="00E1586B" w:rsidRPr="00E1586B">
        <w:rPr>
          <w:rFonts w:ascii="Times New Roman" w:hAnsi="Times New Roman" w:cs="Times New Roman"/>
        </w:rPr>
        <w:t xml:space="preserve">, </w:t>
      </w:r>
      <w:r w:rsidR="00E1586B">
        <w:rPr>
          <w:rFonts w:ascii="Times New Roman" w:hAnsi="Times New Roman" w:cs="Times New Roman"/>
        </w:rPr>
        <w:t>0,92</w:t>
      </w:r>
      <w:r w:rsidR="00E1586B" w:rsidRPr="00E1586B">
        <w:rPr>
          <w:rFonts w:ascii="Times New Roman" w:hAnsi="Times New Roman" w:cs="Times New Roman"/>
        </w:rPr>
        <w:t xml:space="preserve">], ER = </w:t>
      </w:r>
      <w:r w:rsidR="00E1586B">
        <w:rPr>
          <w:rFonts w:ascii="Times New Roman" w:hAnsi="Times New Roman" w:cs="Times New Roman"/>
        </w:rPr>
        <w:t>99</w:t>
      </w:r>
      <w:r w:rsidR="00E1586B" w:rsidRPr="00E1586B">
        <w:rPr>
          <w:rFonts w:ascii="Times New Roman" w:hAnsi="Times New Roman" w:cs="Times New Roman"/>
        </w:rPr>
        <w:t>, p = 0.99, %ROPE = 0</w:t>
      </w:r>
      <w:r w:rsidR="00E1586B">
        <w:rPr>
          <w:rFonts w:ascii="Times New Roman" w:hAnsi="Times New Roman" w:cs="Times New Roman"/>
        </w:rPr>
        <w:t>.2</w:t>
      </w:r>
      <w:r w:rsidR="00E1586B" w:rsidRPr="00E1586B">
        <w:rPr>
          <w:rFonts w:ascii="Times New Roman" w:hAnsi="Times New Roman" w:cs="Times New Roman"/>
        </w:rPr>
        <w:t>) (Supplementary Figure S</w:t>
      </w:r>
      <w:r w:rsidR="005C23E1">
        <w:rPr>
          <w:rFonts w:ascii="Times New Roman" w:hAnsi="Times New Roman" w:cs="Times New Roman"/>
        </w:rPr>
        <w:t>4</w:t>
      </w:r>
      <w:r w:rsidR="00E1586B" w:rsidRPr="00E1586B">
        <w:rPr>
          <w:rFonts w:ascii="Times New Roman" w:hAnsi="Times New Roman" w:cs="Times New Roman"/>
        </w:rPr>
        <w:t xml:space="preserve">). </w:t>
      </w:r>
    </w:p>
    <w:p w14:paraId="69FFCDFD" w14:textId="01EBBD45" w:rsidR="00581C85" w:rsidRPr="00581C85" w:rsidRDefault="00FB05D1" w:rsidP="00A811D3">
      <w:pPr>
        <w:spacing w:line="360" w:lineRule="auto"/>
        <w:ind w:firstLine="720"/>
        <w:jc w:val="both"/>
        <w:rPr>
          <w:rFonts w:ascii="Times New Roman" w:hAnsi="Times New Roman" w:cs="Times New Roman"/>
        </w:rPr>
      </w:pPr>
      <w:r w:rsidRPr="22DB2182">
        <w:rPr>
          <w:rFonts w:ascii="Times New Roman" w:hAnsi="Times New Roman" w:cs="Times New Roman"/>
          <w:i/>
          <w:iCs/>
        </w:rPr>
        <w:t xml:space="preserve">Arousal </w:t>
      </w:r>
      <w:proofErr w:type="spellStart"/>
      <w:r w:rsidRPr="22DB2182">
        <w:rPr>
          <w:rFonts w:ascii="Times New Roman" w:hAnsi="Times New Roman" w:cs="Times New Roman"/>
          <w:i/>
          <w:iCs/>
        </w:rPr>
        <w:t>metaregression</w:t>
      </w:r>
      <w:proofErr w:type="spellEnd"/>
      <w:r w:rsidRPr="22DB2182">
        <w:rPr>
          <w:rFonts w:ascii="Times New Roman" w:hAnsi="Times New Roman" w:cs="Times New Roman"/>
        </w:rPr>
        <w:t>. We found two studies that sampled MB under different arousal states</w:t>
      </w:r>
      <w:r w:rsidR="00EC6FBA">
        <w:rPr>
          <w:rFonts w:ascii="Times New Roman" w:hAnsi="Times New Roman" w:cs="Times New Roman"/>
        </w:rPr>
        <w:t>, namely sleep deprivation and post-exercise</w:t>
      </w:r>
      <w:r w:rsidRPr="22DB2182">
        <w:rPr>
          <w:rFonts w:ascii="Times New Roman" w:hAnsi="Times New Roman" w:cs="Times New Roman"/>
        </w:rPr>
        <w:t xml:space="preserve"> </w:t>
      </w:r>
      <w:r w:rsidRPr="22DB2182">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{"citationID":"a1u97lc9rdj","properties":{"unsorted":false,"formattedCitation":"(Aasen et al., 2025; Boulakis, Simos, et al., 2025)","plainCitation":"(Aasen et al., 2025; Boulakis, Simos, et al., 2025)","noteIndex":0},"citationItems":[{"id":17681,"uris":["http://zotero.org/users/8613739/items/873JPK5R"],"itemData":{"id":17681,"type":"article","abstract":"Insufficient sleep is a common occurrence in modern society and has severe consequences for our attention, executive functioning (EF), and affect. Mind wandering (MW) is a phenomenon where attention shifts from an external task to internal thoughts. These shifts can take on different characteristics, such as relating to specific mental content or not (mind blanking, MB), and can be engaged deliberately (D-MW) or spontaneously (S-MW). MW is related to impaired EF and worsened emotional states, yet it is unclear how these associations are influenced by sleep loss. We recruited 34 healthy adults to a partial sleep deprivation (PSD) protocol, where they slept on average 1.7 hours less, compared to a period of normal sleep (NS), for 3 consecutive nights. Participants engaged in the finger-tapping random sequence generation task that provided two objective measures of EF performance, the variability in the responses and the entropy of the generated sequences. We assessed participants’ momentary affect before and after the task, while subjective reports of attentional states (on-task, MW, MB, and S/D-MW) were assessed during the task. Results indicated that greater sleep loss resulted in more MW, MB, behavioural variability and negative affect, and reduced positive affect. Furthermore, MW episodes were preceded by reduced EF performance only following the PSD, but not after NS. Finally, we found that pre-task positive affect may ameliorate the unfavourable effects of sleep loss on objective and subjective measures of MW. These findings highlight the importance of sufficient sleep in maintaining sustained attention, optimal task performance, and good mood.","citation-key":"aasenEffectsPartialSleep2025","DOI":"10.31219/osf.io/kmqfz_v3","number":"kmqfz_v3","publisher":"OSF Preprints","source":"OSF Preprints","title":"The Effects of Partial Sleep Deprivation on Mind Wandering, Executive Performance and Affect","URL":"https://osf.io/kmqfz_v3/","author":[{"family":"Aasen","given":"Steffen R"},{"family":"Babiker","given":"Samy M E"},{"family":"Vangen","given":"Aurora M K"},{"family":"Haugan","given":"Silje B"},{"family":"Sandell","given":"Sanna A O"},{"family":"Saksvik-Lehouillier","given":"Ingvild"},{"family":"Kam","given":"Julia"},{"family":"Mittner","given":"Matthias"},{"family":"Csifcsák","given":"Gábor"}],"accessed":{"date-parts":[["2026",1,29]]},"issued":{"date-parts":[["2025",9,12]]}}},{"id":17715,"uris":["http://zotero.org/users/8613739/items/5A4PNAM3"],"itemData":{"id":17715,"type":"article-journal","abstract":"Mind blanking (MB) is the inability to report mental events during unconstraint thinking. Previous work shows that MB is linked to decreased levels of cortical arousal, indicating dominance of cerebral mechanisms when reporting mental states. What remains inconclusive is whether MB can also ensue from autonomic arousal manipulations, pointing to the implication of peripheral physiology to mental events. Using experience sampling, neural, and physiological measurements in 26 participants, we first show that MB was reported more frequently in low arousal conditions, elicited by sleep deprivation. Also, there was partial evidence for a higher occurence of MB reports in high arousal conditions, elicited by intense physical exercise. Transition probabilities revealed that, after sleep deprivation, mind wandering was more likely to be followed by MB and less likely to be followed by more mind wandering reports. Using classification schemes, we found higher performance of a balanced random forest classifier trained on both neural and physiological markers in comparison to performance when solely neural or physiological were used. Collectively, we show that both cortical and autonomic arousal affect MB report occurrences. Our results establish that MB is supported by combined brain-body configurations, and, by linking mental and physiological states, they pave the way for novel embodied accounts of spontaneous thinking.","citation-key":"boulakisVariationsAutonomicArousal2025","container-title":"Scientific Reports","DOI":"10.1038/s41598-024-81618-1","ISSN":"2045-2322","issue":"1","journalAbbreviation":"Sci Rep","language":"en","license":"2025 The Author(s)","page":"4956","publisher":"Nature Publishing Group","source":"www.nature.com","title":"Variations of autonomic arousal mediate the reportability of mind blanking occurrences","volume":"15","author":[{"family":"Boulakis","given":"Paradeisios Alexandros"},{"family":"Simos","given":"Nicholas John"},{"family":"Zoi","given":"Stefania"},{"family":"Mortaheb","given":"Sepehr"},{"family":"Schmidt","given":"Christina"},{"family":"Raimondo","given":"Federico"},{"family":"Demertzi","given":"Athena"}],"issued":{"date-parts":[["2025",2,10]]}}}],"schema":"https://github.com/citation-style-language/schema/raw/master/csl-citation.json"} </w:instrText>
      </w:r>
      <w:r w:rsidRPr="22DB2182">
        <w:rPr>
          <w:rFonts w:ascii="Times New Roman" w:hAnsi="Times New Roman" w:cs="Times New Roman"/>
        </w:rPr>
        <w:fldChar w:fldCharType="separate"/>
      </w:r>
      <w:r w:rsidR="00B633EE" w:rsidRPr="00B633EE">
        <w:rPr>
          <w:rFonts w:ascii="Times New Roman" w:hAnsi="Times New Roman" w:cs="Times New Roman"/>
        </w:rPr>
        <w:t>(Aasen et al., 2025; Boulakis et al., 2025)</w:t>
      </w:r>
      <w:r w:rsidRPr="22DB2182">
        <w:rPr>
          <w:rFonts w:ascii="Times New Roman" w:hAnsi="Times New Roman" w:cs="Times New Roman"/>
        </w:rPr>
        <w:fldChar w:fldCharType="end"/>
      </w:r>
      <w:r w:rsidR="00ED43AB" w:rsidRPr="22DB2182">
        <w:rPr>
          <w:rFonts w:ascii="Times New Roman" w:hAnsi="Times New Roman" w:cs="Times New Roman"/>
        </w:rPr>
        <w:t xml:space="preserve"> </w:t>
      </w:r>
      <w:r w:rsidRPr="22DB2182">
        <w:rPr>
          <w:rFonts w:ascii="Times New Roman" w:hAnsi="Times New Roman" w:cs="Times New Roman"/>
        </w:rPr>
        <w:t xml:space="preserve">and </w:t>
      </w:r>
      <w:r w:rsidR="00ED43AB" w:rsidRPr="22DB2182">
        <w:rPr>
          <w:rFonts w:ascii="Times New Roman" w:hAnsi="Times New Roman" w:cs="Times New Roman"/>
        </w:rPr>
        <w:t>eight</w:t>
      </w:r>
      <w:r w:rsidRPr="22DB2182">
        <w:rPr>
          <w:rFonts w:ascii="Times New Roman" w:hAnsi="Times New Roman" w:cs="Times New Roman"/>
        </w:rPr>
        <w:t xml:space="preserve"> studies that presented vigilance probes alongside mental state probes </w:t>
      </w:r>
      <w:r w:rsidRPr="22DB2182">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{"citationID":"a1rg0qhcsih","properties":{"unsorted":false,"formattedCitation":"(Andrillon et al., 2021; Boulakis, Kusztor, et al., 2025; Corcoran et al., 2025; Kiss &amp; Linnell, 2024; Madiouni et al., 2020; Pinggal et al., 2026; Stawarczyk et al., 2020; Stawarczyk &amp; D\\uc0\\u8217{}Argembeau, 2016)","plainCitation":"(Andrillon et al., 2021; Boulakis, Kusztor, et al., 2025; Corcoran et al., 2025; Kiss &amp; Linnell, 2024; Madiouni et al., 2020; Pinggal et al., 2026; Stawarczyk et al., 2020; Stawarczyk &amp; D’Argembeau, 2016)","noteIndex":0},"citationItems":[{"id":5757,"uris":["http://zotero.org/users/8613739/items/44AG6C8P"],"itemData":{"id":5757,"type":"article-journal","abstract":"Attentional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17569,"uris":["http://zotero.org/users/8613739/items/ALEP8YKX"],"itemData":{"id":17569,"type":"article","abstract":"Mind blanking (MB) is a mental state of seemingly no reportable thought content. The question of how we can entertain no thoughts while awake is challenging for the study of spontaneous thinking. By combining EEG-fMRI with experience sampling during task performance, we categorised changes in mental content and self-reported vigilance to map the neurophysiological signatures of MB. We demonstrate that fMRI connectivity around MB reports is characterised by a \"rich\" pattern of long and short-range signal anticorrelations. At the same time, sleepiness reports are linked to a \"simpler\" hyperconnected fMRI pattern, characterised by overall positive connectivity. Put together, an interaction appears: when people report being alert, connectomes around MB reports resemble the hyperconnected pattern, indicating that the neuronal correlates of MB depend on self-rated vigilance. The hyperconnected pattern also correlated with EEG slow wave activity, tying MB's topology to sleep-like electrophysiology during wakefulness. Collectively, we show that distinct cortical events underlie the shared phenomenology of a thought-free mind. We conclude that MB's neurophysiological correlates vary across perceived vigilance levels and that more refined characterisation of the neuronal correlates of thought-less mental states exist. Our findings build on the quest to bridge mental content and its absence with measurable brain activity and provide insights into how ongoing thinking is maintained during wakefulness.","citation-key":"boulakisDistinctCorticalProfiles2025","DOI":"10.1101/2025.10.14.681984","language":"en","license":"© 2025, Posted by Cold Spring Harbor Laboratory. This pre-print is available under a Creative Commons License (Attribution 4.0 International), CC BY 4.0, as described at http://creativecommons.org/licenses/by/4.0/","note":"ISSN: 2692-8205\npage: 2025.10.14.681984\nsection: New Results","publisher":"bioRxiv","source":"bioRxiv","title":"Distinct cortical profiles underlie the common reportability of thought-free experiences","URL":"https://www.biorxiv.org/content/10.1101/2025.10.14.681984v1","author":[{"family":"Boulakis","given":"Paradeisios Alexandros"},{"family":"Kusztor","given":"Anikó"},{"family":"Tsuchiya","given":"Naotsugu"},{"family":"Andrillon","given":"Thomas"},{"family":"Demertzi","given":"Athena"}],"accessed":{"date-parts":[["2025",10,15]]},"issued":{"date-parts":[["2025",10,15]]}}},{"id":17735,"uris":["http://zotero.org/users/8613739/items/VI2WSF4X"],"itemData":{"id":17735,"type":"article-journal","abstract":"Neuroscience is beginning to uncover the role of interoceptive feedback in perception, learning, and decision-making; however, the relation between spontaneous visceral and cognitive dynamics has received surprisingly little scrutiny. Here, we investigate how subjective, physiological, and behavioural indicators of arousal and attentional state vary in relation to ongoing cardiac activity and brain-heart coupling. Electroencephalogram, electrocardiogram, and pupillometric records were obtained from 65 adults during the performance of a sustained attention to response task (SART). Thought probes were intermittently administered during the SART to collect subjective reports of attentional state (on-task, mind-wandering, mind-blanking) and vigilance level (alertness vs. sleepiness). Mind-wandering and mind-blanking reports increased in frequency with time-on-task and were accompanied by decreases in alertness and pupil-linked arousal, but evinced distinct psychophysiological and behavioural profiles: While mind-wandering was associated with greater heart-rate variability and late modulation of the heartbeat-evoked potential, mind-blanking was characterised by more profound decreases in heart-rate, pupil size, and brain-heart coupling. Lower heart-rate predicted decreased vigilance and pupil size, in addition to slower, less-biased responses; increased heart-rate variability predicted more impulsive behaviour and pupil dilation. Together, these findings reveal that cardiac parameters and brain-heart connectivity measures afford complementary information about arousal states and attentional dynamics during task performance.","citation-key":"corcoranWhenYourHeart2025","container-title":"Communications Biology","DOI":"10.1038/s42003-025-09026-3","ISSN":"2399-3642","issue":"1","journalAbbreviation":"Commun Biol","language":"en","license":"2025 The Author(s)","page":"1646","publisher":"Nature Publishing Group","source":"www.nature.com","title":"When your heart isn’t in it anymore: cardiac correlates of task disengagement","title-short":"When your heart isn’t in it anymore","volume":"8","author":[{"family":"Corcoran","given":"Andrew W."},{"family":"Le Coz","given":"Arthur"},{"family":"Hohwy","given":"Jakob"},{"family":"Andrillon","given":"Thomas"}],"issued":{"date-parts":[["2025",11,24]]}}},{"id":16283,"uris":["http://zotero.org/groups/6160358/items/CXPG9MAJ"],"itemData":{"id":16283,"type":"article-journal","abstract":"Across two online experiments, this study explored the effect of preferred background music on attentional state and performance, as well as on mood and arousal, during a vigilance task. It extended recent laboratory findings—showing an increase in task-focus and decrease in mind-wandering states with music—to environments with more distractions around participants. Participants—people who normally listen to background music during attention-demanding tasks—completed the vigilance task in their homes both with and without their chosen music and reported their attentional state, subjective arousal, and mood valence throughout the task. Experiment 1 compared music to relative silence and Experiment 2 compared music against the backdrop of continuous noise to continuous noise alone. In both experiments, music decreased mind-wandering and increased task-focus. Unlike in previous laboratory studies, in both experiments music also led to faster reaction times while increasing low-arousal external-distraction states. Importantly, mood and arousal increased with music and were shown to mediate its effects on reaction time and for the first time attentional state, both separately and together. Serial mediation effects were mostly confined to models where mood was entered first and arousal second and were consistent with the mood-arousal account of the impact of background music listening.","citation-key":"kissRoleMoodArousal2024a","container-title":"Scientific reports","ISSN":"2045-2322","issue":"1","language":"eng","license":"The Author(s) 2024. corrected publication 2024","page":"9485–19","title":"The role of mood and arousal in the effect of background music on attentional state and performance during a sustained attention task","volume":"14","author":[{"family":"Kiss","given":"Luca"},{"family":"Linnell","given":"Karina J."}],"issued":{"date-parts":[["2024",4]]}}},{"id":136,"uris":["http://zotero.org/users/8613739/items/NJUUZZIQ"],"itemData":{"id":136,"type":"article-journal","abstract":"Sleepiness and mind-wandering are frequently experienced by patients with attention-deficit/hyperactivity disorder (ADHD), without ever having been jointly explored. We aimed to investigate the co-occurrence of these two phenomena in ADHD adults. Drug-free ADHD adults (n = 25) and healthy controls (n = 28) underwent an online experience sampling of mind-wandering episodes and subjective sleepiness. Participants completed self-reported measures of mind-wandering and sleepiness in daily life. Higher trait of mind-wandering was observed in ADHD patients compared to controls. On the whole sample, self-reported mind-wandering propensity was strongly associated with the severity of inattentive, impulsive and hyperactive symptoms. During the probes, patients reported more frequent episodes of mind-wandering and mind-blanking, and higher sleepiness. Their mind-wandering episodes were less intentional and belonged less frequently to a structured succession of thoughts. In both groups, mind-wandering and mind-blanking were associated with higher sleepiness. On the SART, patients were less accurate than controls. We provide first initial evidence for higher propensity of mind-wandering and mind-blanking using experience sampling in patients with formal ADHD diagnosis. This propensity was associated with sleepiness without negatively impacting attention performances. Mind-wandering and sleepiness have common determinants potentially involved in ADHD pathophysiology. Correlates of mind-blanking in ADHD adults remain to be characterized.","citation-key":"madiouniMindwanderingSleepinessAdults2020","container-title":"Psychiatry Research","DOI":"10.1016/j.psychres.2020.112901","ISSN":"1872-7123","journalAbbreviation":"Psychiatry Res","language":"eng","page":"112901","PMID":"32155443","source":"PubMed","title":"Mind-wandering and sleepiness in adults with attention-deficit/hyperactivity disorder","volume":"287","author":[{"family":"Madiouni","given":"Clarisse"},{"family":"Lopez","given":"Régis"},{"family":"Gély-Nargeot","given":"Marie-Christine"},{"family":"Lebrun","given":"Cindy"},{"family":"Bayard","given":"Sophie"}],"issued":{"date-parts":[["2020",5]]}}},{"id":17883,"uris":["http://zotero.org/users/8613739/items/Y55WJEAJ"],"itemData":{"id":17883,"type":"article-journal","abstract":"Attention-deficit/hyperactivity disorder (ADHD) is characterized by behavioral variability and heightened inattention associated with increased mind wandering (MW) and mind blanking (MB). Individuals with ADHD frequently experience sleep disorders and excessive daytime sleepiness, suggesting interactions between attention and arousal systems. Research examining brain activity using electroencephalography (EEG) has demonstrated that sleep-like slow waves (SWs) during wakefulness are linked to inattention in neurotypical individuals following sleep deprivation, yet their role in ADHD remains unclear. This study investigated whether individuals with ADHD present with altered waking SW distribution compared with neurotypical controls and whether SWs explain attentional difficulties in ADHD. Adults with (n = 32) and without ADHD (n = 31) completed a sustained attention task while EEG recorded brain activity. Mental state probes (on-task, MW, MB) were embedded within the task. Sleep-like SWs reflect cortical slowing and were detected from EEG activity. Omission/commission errors, reaction time (RT), RT variability, mental state reports, and subjective sleepiness were analyzed. Mediation analysis examined whether SW density explained ADHD-related performance differences. Individuals with ADHD exhibited more commission errors, MW and MB, more theta oscillations over frontotemporal electrodes, and higher SW density (SW/minute) over parietotemporal electrodes. Increased SW density correlated with higher omission errors, slower RTs, greater RT variability, and elevated sleepiness ratings. On-task reports were negatively correlated with SW density. Mediation analysis revealed that SW density significantly accounted for ADHD-related attentional difficulties. Wake SW may explain attentional difficulties in ADHD, providing a potential mechanistic link between sleep disturbances and attentional fluctuations.","citation-key":"pinggalSleepLikeSlowWaves2026","container-title":"The Journal of Neuroscience: The Official Journal of the Society for Neuroscience","DOI":"10.1523/JNEUROSCI.1694-25.2025","ISSN":"1529-2401","issue":"15","journalAbbreviation":"J Neurosci","language":"eng","page":"e1694252025","PMID":"41839570","PMCID":"PMC13086247","source":"PubMed","title":"Sleep-Like Slow Waves during Wakefulness Mediate Attention and Vigilance Difficulties in Adult Attention-Deficit/Hyperactivity Disorder","volume":"46","author":[{"family":"Pinggal","given":"Elaine"},{"family":"Jackson","given":"James"},{"family":"Kusztor","given":"Anikó"},{"family":"Chapman","given":"David"},{"family":"Windt","given":"Jennifer"},{"family":"Drummond","given":"Sean P. A."},{"family":"Silk","given":"Tim J."},{"family":"Bellgrove","given":"Mark A."},{"family":"Andrillon","given":"Thomas"}],"issued":{"date-parts":[["2026",4,15]]}}},{"id":4191,"uris":["http://zotero.org/users/8613739/items/XPGXBMFW"],"itemData":{"id":4191,"type":"article-journal","abstract":"Two independent lines of evidence suggest that drowsiness and mind-wandering share common neurocognitive processes indexed by ocular parameters (e.g., eyeblink frequency and pupil dynamics). Mind-wandering and drowsiness frequently co-occur, however, such that it remains unclear whether observed oculometric variations are related to mind-wandering, drowsiness, or a mix of both. To address this issue, we assessed fluctuations in mind-wandering and sleepiness during a sustained attention task while ocular parameters were recorded. Results showed that oculometric variations during mind-wandering were fully explained by increased sleepiness. However, mind-wandering and sleepiness had additive deleterious effects on performance that were not fully explained by ocular parameters. These findings suggest that oculometric variations during task performance reflect increased drowsiness rather than processes specifically involved in mind-wandering, and that the neurocogniti</w:instrText>
      </w:r>
      <w:r w:rsidR="00B633EE" w:rsidRPr="00B633EE">
        <w:rPr>
          <w:rFonts w:ascii="Times New Roman" w:hAnsi="Times New Roman" w:cs="Times New Roman"/>
          <w:lang w:val="fr-BE"/>
        </w:rPr>
        <w:instrText xml:space="preserve">ve processes indexed by oculometric parameters (e.g., regulatory processes of the locus coeruleus norepinephrine system) do not fully explain how mind-wandering and sleepiness cause attentional lapses.","citation-key":"stawarczykDrowsinessMindwanderingFluctuations2020","container-title":"Biological Psychology","DOI":"10.1016/j.biopsycho.2020.107950","ISSN":"0301-0511","journalAbbreviation":"Biological Psychology","page":"107950","source":"ScienceDirect","title":"Drowsiness or mind-wandering? Fluctuations in ocular parameters during attentional lapses","title-short":"Drowsiness or mind-wandering?","volume":"156","author":[{"family":"Stawarczyk","given":"David"},{"family":"François","given":"Clémentine"},{"family":"Wertz","given":"Jérôme"},{"family":"D'Argembeau","given":"Arnaud"}],"issued":{"date-parts":[["2020",10,1]]}}},{"id":5855,"uris":["http://zotero.org/users/8613739/items/3BCE4U3Y"],"itemData":{"id":5855,"type":"article-journal","citation-key":"stawarczykConjointInfluenceMindwandering2016","language":"eng","note":"authority: Psychology and Neuroscience of Cognition Research Unit\ntex.copyright: Unrestricted online access","publisher":"American Psychological Association","title":"Conjoint influence of mind-wandering and sleepiness on task performance","author":[{"family":"Stawarczyk","given":"David"},{"family":"D'Argembeau","given":"Arnaud"}],"issued":{"date-parts":[["2016"]]}}}],"schema":"https://github.com/citation-style-language/schema/raw/master/csl-citation.json"} </w:instrText>
      </w:r>
      <w:r w:rsidRPr="22DB2182">
        <w:rPr>
          <w:rFonts w:ascii="Times New Roman" w:hAnsi="Times New Roman" w:cs="Times New Roman"/>
        </w:rPr>
        <w:fldChar w:fldCharType="separate"/>
      </w:r>
      <w:r w:rsidR="00B633EE" w:rsidRPr="00B633EE">
        <w:rPr>
          <w:rFonts w:ascii="Times New Roman" w:hAnsi="Times New Roman" w:cs="Times New Roman"/>
          <w:lang w:val="fr-BE"/>
        </w:rPr>
        <w:t>(Andrillon et al., 2021; Boulakis, Kusztor, et al., 2025; Corcoran et al., 2025; Kiss &amp; Linnell, 2024; Madiouni et al., 2020; Pinggal et al., 2026; Stawarczyk et al., 2020; Stawarczyk &amp; D’Argembeau, 2016)</w:t>
      </w:r>
      <w:r w:rsidRPr="22DB2182">
        <w:rPr>
          <w:rFonts w:ascii="Times New Roman" w:hAnsi="Times New Roman" w:cs="Times New Roman"/>
        </w:rPr>
        <w:fldChar w:fldCharType="end"/>
      </w:r>
      <w:r w:rsidRPr="22DB2182">
        <w:rPr>
          <w:rFonts w:ascii="Times New Roman" w:hAnsi="Times New Roman" w:cs="Times New Roman"/>
          <w:lang w:val="fr-BE"/>
        </w:rPr>
        <w:t>.</w:t>
      </w:r>
      <w:r w:rsidRPr="22DB2182">
        <w:rPr>
          <w:rFonts w:ascii="Times New Roman" w:hAnsi="Times New Roman"/>
          <w:lang w:val="fr-BE"/>
        </w:rPr>
        <w:t xml:space="preserve"> </w:t>
      </w:r>
      <w:r w:rsidRPr="22DB2182">
        <w:rPr>
          <w:rFonts w:ascii="Times New Roman" w:hAnsi="Times New Roman" w:cs="Times New Roman"/>
        </w:rPr>
        <w:t>For arousal states, we introduced them into the baseline model and examined their differences relative to baseline MB levels. We found strong evidence that sleep deprivation increases MB (</w:t>
      </w:r>
      <w:proofErr w:type="spellStart"/>
      <w:r w:rsidRPr="22DB2182">
        <w:rPr>
          <w:rFonts w:ascii="Times New Roman" w:hAnsi="Times New Roman" w:cs="Times New Roman"/>
        </w:rPr>
        <w:t>EMM</w:t>
      </w:r>
      <w:r w:rsidRPr="22DB2182">
        <w:rPr>
          <w:rFonts w:ascii="Times New Roman" w:hAnsi="Times New Roman" w:cs="Times New Roman"/>
          <w:vertAlign w:val="subscript"/>
        </w:rPr>
        <w:t>diff</w:t>
      </w:r>
      <w:proofErr w:type="spellEnd"/>
      <w:r w:rsidRPr="22DB2182">
        <w:rPr>
          <w:rFonts w:ascii="Times New Roman" w:hAnsi="Times New Roman" w:cs="Times New Roman"/>
        </w:rPr>
        <w:t xml:space="preserve"> = 1.0</w:t>
      </w:r>
      <w:r w:rsidR="00F51BA3" w:rsidRPr="22DB2182">
        <w:rPr>
          <w:rFonts w:ascii="Times New Roman" w:hAnsi="Times New Roman" w:cs="Times New Roman"/>
        </w:rPr>
        <w:t>3</w:t>
      </w:r>
      <w:r w:rsidRPr="22DB2182">
        <w:rPr>
          <w:rFonts w:ascii="Times New Roman" w:hAnsi="Times New Roman" w:cs="Times New Roman"/>
        </w:rPr>
        <w:t>, HDI</w:t>
      </w:r>
      <w:r w:rsidRPr="22DB2182">
        <w:rPr>
          <w:rFonts w:ascii="Times New Roman" w:hAnsi="Times New Roman" w:cs="Times New Roman"/>
          <w:vertAlign w:val="subscript"/>
        </w:rPr>
        <w:t>89</w:t>
      </w:r>
      <w:r w:rsidRPr="22DB2182">
        <w:rPr>
          <w:rFonts w:ascii="Times New Roman" w:hAnsi="Times New Roman" w:cs="Times New Roman"/>
        </w:rPr>
        <w:t xml:space="preserve"> = [0.46, 1.62], ER = </w:t>
      </w:r>
      <w:r w:rsidR="00F51BA3" w:rsidRPr="22DB2182">
        <w:rPr>
          <w:rFonts w:ascii="Times New Roman" w:hAnsi="Times New Roman" w:cs="Times New Roman"/>
        </w:rPr>
        <w:t>326</w:t>
      </w:r>
      <w:r w:rsidRPr="22DB2182">
        <w:rPr>
          <w:rFonts w:ascii="Times New Roman" w:hAnsi="Times New Roman" w:cs="Times New Roman"/>
        </w:rPr>
        <w:t>, p = 1, %ROPE = 0). We did not find support for exercise (</w:t>
      </w:r>
      <w:proofErr w:type="spellStart"/>
      <w:r w:rsidRPr="22DB2182">
        <w:rPr>
          <w:rFonts w:ascii="Times New Roman" w:hAnsi="Times New Roman" w:cs="Times New Roman"/>
        </w:rPr>
        <w:t>EMM</w:t>
      </w:r>
      <w:r w:rsidRPr="22DB2182">
        <w:rPr>
          <w:rFonts w:ascii="Times New Roman" w:hAnsi="Times New Roman" w:cs="Times New Roman"/>
          <w:vertAlign w:val="subscript"/>
        </w:rPr>
        <w:t>diff</w:t>
      </w:r>
      <w:proofErr w:type="spellEnd"/>
      <w:r w:rsidRPr="22DB2182">
        <w:rPr>
          <w:rFonts w:ascii="Times New Roman" w:hAnsi="Times New Roman" w:cs="Times New Roman"/>
        </w:rPr>
        <w:t xml:space="preserve"> = 0.2</w:t>
      </w:r>
      <w:r w:rsidR="00F51BA3" w:rsidRPr="22DB2182">
        <w:rPr>
          <w:rFonts w:ascii="Times New Roman" w:hAnsi="Times New Roman" w:cs="Times New Roman"/>
        </w:rPr>
        <w:t>4</w:t>
      </w:r>
      <w:r w:rsidRPr="22DB2182">
        <w:rPr>
          <w:rFonts w:ascii="Times New Roman" w:hAnsi="Times New Roman" w:cs="Times New Roman"/>
        </w:rPr>
        <w:t>, HDI</w:t>
      </w:r>
      <w:r w:rsidRPr="22DB2182">
        <w:rPr>
          <w:rFonts w:ascii="Times New Roman" w:hAnsi="Times New Roman" w:cs="Times New Roman"/>
          <w:vertAlign w:val="subscript"/>
        </w:rPr>
        <w:t>89</w:t>
      </w:r>
      <w:r w:rsidRPr="22DB2182">
        <w:rPr>
          <w:rFonts w:ascii="Times New Roman" w:hAnsi="Times New Roman" w:cs="Times New Roman"/>
        </w:rPr>
        <w:t xml:space="preserve"> = [-0.6</w:t>
      </w:r>
      <w:r w:rsidR="00F51BA3" w:rsidRPr="22DB2182">
        <w:rPr>
          <w:rFonts w:ascii="Times New Roman" w:hAnsi="Times New Roman" w:cs="Times New Roman"/>
        </w:rPr>
        <w:t>8</w:t>
      </w:r>
      <w:r w:rsidRPr="22DB2182">
        <w:rPr>
          <w:rFonts w:ascii="Times New Roman" w:hAnsi="Times New Roman" w:cs="Times New Roman"/>
        </w:rPr>
        <w:t>, 1.1</w:t>
      </w:r>
      <w:r w:rsidR="00F51BA3" w:rsidRPr="22DB2182">
        <w:rPr>
          <w:rFonts w:ascii="Times New Roman" w:hAnsi="Times New Roman" w:cs="Times New Roman"/>
        </w:rPr>
        <w:t>7</w:t>
      </w:r>
      <w:r w:rsidRPr="22DB2182">
        <w:rPr>
          <w:rFonts w:ascii="Times New Roman" w:hAnsi="Times New Roman" w:cs="Times New Roman"/>
        </w:rPr>
        <w:t xml:space="preserve">], ER = </w:t>
      </w:r>
      <w:r w:rsidR="00F51BA3" w:rsidRPr="22DB2182">
        <w:rPr>
          <w:rFonts w:ascii="Times New Roman" w:hAnsi="Times New Roman" w:cs="Times New Roman"/>
        </w:rPr>
        <w:t>1.97</w:t>
      </w:r>
      <w:r w:rsidRPr="22DB2182">
        <w:rPr>
          <w:rFonts w:ascii="Times New Roman" w:hAnsi="Times New Roman" w:cs="Times New Roman"/>
        </w:rPr>
        <w:t xml:space="preserve">, p = </w:t>
      </w:r>
      <w:r w:rsidR="00F51BA3" w:rsidRPr="22DB2182">
        <w:rPr>
          <w:rFonts w:ascii="Times New Roman" w:hAnsi="Times New Roman" w:cs="Times New Roman"/>
        </w:rPr>
        <w:t>0.66</w:t>
      </w:r>
      <w:r w:rsidRPr="22DB2182">
        <w:rPr>
          <w:rFonts w:ascii="Times New Roman" w:hAnsi="Times New Roman" w:cs="Times New Roman"/>
        </w:rPr>
        <w:t>, %ROPE = 25.</w:t>
      </w:r>
      <w:r w:rsidR="00F51BA3" w:rsidRPr="22DB2182">
        <w:rPr>
          <w:rFonts w:ascii="Times New Roman" w:hAnsi="Times New Roman" w:cs="Times New Roman"/>
        </w:rPr>
        <w:t>33</w:t>
      </w:r>
      <w:r w:rsidRPr="22DB2182">
        <w:rPr>
          <w:rFonts w:ascii="Times New Roman" w:hAnsi="Times New Roman" w:cs="Times New Roman"/>
        </w:rPr>
        <w:t xml:space="preserve">) (Figure 4a). </w:t>
      </w:r>
      <w:r w:rsidR="00F51BA3" w:rsidRPr="22DB2182">
        <w:rPr>
          <w:rFonts w:ascii="Times New Roman" w:hAnsi="Times New Roman" w:cs="Times New Roman"/>
        </w:rPr>
        <w:t xml:space="preserve">While the latter analysis might appear </w:t>
      </w:r>
      <w:r w:rsidR="0075190F" w:rsidRPr="22DB2182">
        <w:rPr>
          <w:rFonts w:ascii="Times New Roman" w:hAnsi="Times New Roman" w:cs="Times New Roman"/>
        </w:rPr>
        <w:t xml:space="preserve">to be a direct re-analysis of a previous study </w:t>
      </w:r>
      <w:r w:rsidR="00B633EE">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{"citationID":"a1sfqccd006","properties":{"unsorted":false,"formattedCitation":"(Boulakis, Simos, et al., 2025)","plainCitation":"(Boulakis, Simos, et al., 2025)","noteIndex":0},"citationItems":[{"id":17715,"uris":["http://zotero.org/users/8613739/items/5A4PNAM3"],"itemData":{"id":17715,"type":"article-journal","abstract":"Mind blanking (MB) is the inability to report mental events during unconstraint thinking. Previous work shows that MB is linked to decreased levels of cortical arousal, indicating dominance of cerebral mechanisms when reporting mental states. What remains inconclusive is whether MB can also ensue from autonomic arousal manipulations, pointing to the implication of peripheral physiology to mental events. Using experience sampling, neural, and physiological measurements in 26 participants, we first show that MB was reported more frequently in low arousal conditions, elicited by sleep deprivation. Also, there was partial evidence for a higher occurence of MB reports in high arousal conditions, elicited by intense physical exercise. Transition probabilities revealed that, after sleep deprivation, mind wandering was more likely to be followed by MB and less likely to be followed by more mind wandering reports. Using classification schemes, we found higher performance of a balanced random forest classifier trained on both neural and physiological markers in comparison to performance when solely neural or physiological were used. Collectively, we show that both cortical and autonomic arousal affect MB report occurrences. Our results establish that MB is supported by combined brain-body configurations, and, by linking mental and physiological states, they pave the way for novel embodied accounts of spontaneous thinking.","citation-key":"boulakisVariationsAutonomicArousal2025","container-title":"Scientific Reports","DOI":"10.1038/s41598-024-81618-1","ISSN":"2045-2322","issue":"1","journalAbbreviation":"Sci Rep","language":"en","license":"2025 The Author(s)","page":"4956","publisher":"Nature Publishing Group","source":"www.nature.com","title":"Variations of autonomic arousal mediate the reportability of mind blanking occurrences","volume":"15","author":[{"family":"Boulakis","given":"Paradeisios Alexandros"},{"family":"Simos","given":"Nicholas John"},{"family":"Zoi","given":"Stefania"},{"family":"Mortaheb","given":"Sepehr"},{"family":"Schmidt","given":"Christina"},{"family":"Raimondo","given":"Federico"},{"family":"Demertzi","given":"Athena"}],"issued":{"date-parts":[["2025",2,10]]}}}],"schema":"https://github.com/citation-style-language/schema/raw/master/csl-citation.json"} </w:instrText>
      </w:r>
      <w:r w:rsidR="00B633EE">
        <w:rPr>
          <w:rFonts w:ascii="Times New Roman" w:hAnsi="Times New Roman" w:cs="Times New Roman"/>
        </w:rPr>
        <w:fldChar w:fldCharType="separate"/>
      </w:r>
      <w:r w:rsidR="00B633EE" w:rsidRPr="00B633EE">
        <w:rPr>
          <w:rFonts w:ascii="Times New Roman" w:hAnsi="Times New Roman" w:cs="Times New Roman"/>
        </w:rPr>
        <w:t>(Boulakis et al., 2025)</w:t>
      </w:r>
      <w:r w:rsidR="00B633EE">
        <w:rPr>
          <w:rFonts w:ascii="Times New Roman" w:hAnsi="Times New Roman" w:cs="Times New Roman"/>
        </w:rPr>
        <w:fldChar w:fldCharType="end"/>
      </w:r>
      <w:r w:rsidR="0075190F" w:rsidRPr="22DB2182">
        <w:rPr>
          <w:rFonts w:ascii="Times New Roman" w:hAnsi="Times New Roman" w:cs="Times New Roman"/>
        </w:rPr>
        <w:t>our normative MB rate is a cross-study estimate and therefore less prone</w:t>
      </w:r>
      <w:r w:rsidR="00F51BA3" w:rsidRPr="22DB2182">
        <w:rPr>
          <w:rFonts w:ascii="Times New Roman" w:hAnsi="Times New Roman" w:cs="Times New Roman"/>
        </w:rPr>
        <w:t xml:space="preserve"> to potential sampling variability. </w:t>
      </w:r>
      <w:r w:rsidRPr="22DB2182">
        <w:rPr>
          <w:rFonts w:ascii="Times New Roman" w:hAnsi="Times New Roman" w:cs="Times New Roman"/>
        </w:rPr>
        <w:t xml:space="preserve">Regarding vigilance, we extracted Hedge’s </w:t>
      </w:r>
      <w:r w:rsidRPr="22DB2182">
        <w:rPr>
          <w:rFonts w:ascii="Times New Roman" w:hAnsi="Times New Roman" w:cs="Times New Roman"/>
          <w:i/>
          <w:iCs/>
        </w:rPr>
        <w:t>g</w:t>
      </w:r>
      <w:r w:rsidRPr="22DB2182">
        <w:rPr>
          <w:rFonts w:ascii="Times New Roman" w:hAnsi="Times New Roman" w:cs="Times New Roman"/>
        </w:rPr>
        <w:t xml:space="preserve"> for the contrasts [MB &gt; being on task] and [MB &gt; mind-wandering] and fit the meta-analytic model. MB was linked to reduced vigilance compared to both task engagement (Hedge’s </w:t>
      </w:r>
      <w:r w:rsidRPr="22DB2182">
        <w:rPr>
          <w:rFonts w:ascii="Times New Roman" w:hAnsi="Times New Roman" w:cs="Times New Roman"/>
          <w:i/>
          <w:iCs/>
        </w:rPr>
        <w:t>g</w:t>
      </w:r>
      <w:r w:rsidRPr="22DB2182">
        <w:rPr>
          <w:rFonts w:ascii="Times New Roman" w:hAnsi="Times New Roman" w:cs="Times New Roman"/>
        </w:rPr>
        <w:t xml:space="preserve"> = -1.1</w:t>
      </w:r>
      <w:r w:rsidR="00F51BA3" w:rsidRPr="22DB2182">
        <w:rPr>
          <w:rFonts w:ascii="Times New Roman" w:hAnsi="Times New Roman" w:cs="Times New Roman"/>
        </w:rPr>
        <w:t>1</w:t>
      </w:r>
      <w:r w:rsidRPr="22DB2182">
        <w:rPr>
          <w:rFonts w:ascii="Times New Roman" w:hAnsi="Times New Roman" w:cs="Times New Roman"/>
        </w:rPr>
        <w:t>, HDI</w:t>
      </w:r>
      <w:r w:rsidRPr="22DB2182">
        <w:rPr>
          <w:rFonts w:ascii="Times New Roman" w:hAnsi="Times New Roman" w:cs="Times New Roman"/>
          <w:vertAlign w:val="subscript"/>
        </w:rPr>
        <w:t>89</w:t>
      </w:r>
      <w:r w:rsidRPr="22DB2182">
        <w:rPr>
          <w:rFonts w:ascii="Times New Roman" w:hAnsi="Times New Roman" w:cs="Times New Roman"/>
        </w:rPr>
        <w:t xml:space="preserve"> = [-1.</w:t>
      </w:r>
      <w:r w:rsidR="00F51BA3" w:rsidRPr="22DB2182">
        <w:rPr>
          <w:rFonts w:ascii="Times New Roman" w:hAnsi="Times New Roman" w:cs="Times New Roman"/>
        </w:rPr>
        <w:t>3</w:t>
      </w:r>
      <w:r w:rsidRPr="22DB2182">
        <w:rPr>
          <w:rFonts w:ascii="Times New Roman" w:hAnsi="Times New Roman" w:cs="Times New Roman"/>
        </w:rPr>
        <w:t>, -0.9</w:t>
      </w:r>
      <w:r w:rsidR="00F51BA3" w:rsidRPr="22DB2182">
        <w:rPr>
          <w:rFonts w:ascii="Times New Roman" w:hAnsi="Times New Roman" w:cs="Times New Roman"/>
        </w:rPr>
        <w:t>1</w:t>
      </w:r>
      <w:r w:rsidRPr="22DB2182">
        <w:rPr>
          <w:rFonts w:ascii="Times New Roman" w:hAnsi="Times New Roman" w:cs="Times New Roman"/>
        </w:rPr>
        <w:t xml:space="preserve">], ER = </w:t>
      </w:r>
      <w:r w:rsidR="00F51BA3" w:rsidRPr="22DB2182">
        <w:rPr>
          <w:rFonts w:ascii="Times New Roman" w:hAnsi="Times New Roman" w:cs="Times New Roman"/>
        </w:rPr>
        <w:t>Inf</w:t>
      </w:r>
      <w:r w:rsidRPr="22DB2182">
        <w:rPr>
          <w:rFonts w:ascii="Times New Roman" w:hAnsi="Times New Roman" w:cs="Times New Roman"/>
        </w:rPr>
        <w:t xml:space="preserve">, p = 1, %ROPE = 0) and mind-wandering (Hedge’s </w:t>
      </w:r>
      <w:r w:rsidRPr="22DB2182">
        <w:rPr>
          <w:rFonts w:ascii="Times New Roman" w:hAnsi="Times New Roman" w:cs="Times New Roman"/>
          <w:i/>
          <w:iCs/>
        </w:rPr>
        <w:t>g</w:t>
      </w:r>
      <w:r w:rsidRPr="22DB2182">
        <w:rPr>
          <w:rFonts w:ascii="Times New Roman" w:hAnsi="Times New Roman" w:cs="Times New Roman"/>
        </w:rPr>
        <w:t xml:space="preserve"> = -0.</w:t>
      </w:r>
      <w:r w:rsidR="00F51BA3" w:rsidRPr="22DB2182">
        <w:rPr>
          <w:rFonts w:ascii="Times New Roman" w:hAnsi="Times New Roman" w:cs="Times New Roman"/>
        </w:rPr>
        <w:t>19</w:t>
      </w:r>
      <w:r w:rsidRPr="22DB2182">
        <w:rPr>
          <w:rFonts w:ascii="Times New Roman" w:hAnsi="Times New Roman" w:cs="Times New Roman"/>
        </w:rPr>
        <w:t>, HDI</w:t>
      </w:r>
      <w:r w:rsidRPr="22DB2182">
        <w:rPr>
          <w:rFonts w:ascii="Times New Roman" w:hAnsi="Times New Roman" w:cs="Times New Roman"/>
          <w:vertAlign w:val="subscript"/>
        </w:rPr>
        <w:t>89</w:t>
      </w:r>
      <w:r w:rsidRPr="22DB2182">
        <w:rPr>
          <w:rFonts w:ascii="Times New Roman" w:hAnsi="Times New Roman" w:cs="Times New Roman"/>
        </w:rPr>
        <w:t xml:space="preserve"> = [-0.</w:t>
      </w:r>
      <w:r w:rsidR="00F51BA3" w:rsidRPr="22DB2182">
        <w:rPr>
          <w:rFonts w:ascii="Times New Roman" w:hAnsi="Times New Roman" w:cs="Times New Roman"/>
        </w:rPr>
        <w:t>36</w:t>
      </w:r>
      <w:r w:rsidRPr="22DB2182">
        <w:rPr>
          <w:rFonts w:ascii="Times New Roman" w:hAnsi="Times New Roman" w:cs="Times New Roman"/>
        </w:rPr>
        <w:t>, -0.0</w:t>
      </w:r>
      <w:r w:rsidR="00F51BA3" w:rsidRPr="22DB2182">
        <w:rPr>
          <w:rFonts w:ascii="Times New Roman" w:hAnsi="Times New Roman" w:cs="Times New Roman"/>
        </w:rPr>
        <w:t>3</w:t>
      </w:r>
      <w:r w:rsidRPr="22DB2182">
        <w:rPr>
          <w:rFonts w:ascii="Times New Roman" w:hAnsi="Times New Roman" w:cs="Times New Roman"/>
        </w:rPr>
        <w:t xml:space="preserve">], ER = </w:t>
      </w:r>
      <w:r w:rsidR="00F51BA3" w:rsidRPr="22DB2182">
        <w:rPr>
          <w:rFonts w:ascii="Times New Roman" w:hAnsi="Times New Roman" w:cs="Times New Roman"/>
        </w:rPr>
        <w:t>33.1</w:t>
      </w:r>
      <w:r w:rsidRPr="22DB2182">
        <w:rPr>
          <w:rFonts w:ascii="Times New Roman" w:hAnsi="Times New Roman" w:cs="Times New Roman"/>
        </w:rPr>
        <w:t>,</w:t>
      </w:r>
      <w:r w:rsidR="00581C85">
        <w:rPr>
          <w:rFonts w:ascii="Times New Roman" w:hAnsi="Times New Roman" w:cs="Times New Roman"/>
        </w:rPr>
        <w:t xml:space="preserve"> </w:t>
      </w:r>
      <w:r w:rsidRPr="22DB2182">
        <w:rPr>
          <w:rFonts w:ascii="Times New Roman" w:hAnsi="Times New Roman" w:cs="Times New Roman"/>
        </w:rPr>
        <w:t>p = 0.9</w:t>
      </w:r>
      <w:r w:rsidR="00F51BA3" w:rsidRPr="22DB2182">
        <w:rPr>
          <w:rFonts w:ascii="Times New Roman" w:hAnsi="Times New Roman" w:cs="Times New Roman"/>
        </w:rPr>
        <w:t>7</w:t>
      </w:r>
      <w:r w:rsidRPr="22DB2182">
        <w:rPr>
          <w:rFonts w:ascii="Times New Roman" w:hAnsi="Times New Roman" w:cs="Times New Roman"/>
        </w:rPr>
        <w:t xml:space="preserve">, %ROPE = </w:t>
      </w:r>
      <w:r w:rsidR="00F51BA3" w:rsidRPr="22DB2182">
        <w:rPr>
          <w:rFonts w:ascii="Times New Roman" w:hAnsi="Times New Roman" w:cs="Times New Roman"/>
        </w:rPr>
        <w:t>12.34</w:t>
      </w:r>
      <w:r w:rsidRPr="22DB2182">
        <w:rPr>
          <w:rFonts w:ascii="Times New Roman" w:hAnsi="Times New Roman" w:cs="Times New Roman"/>
        </w:rPr>
        <w:t xml:space="preserve">) (Figure 4b). It should be reiterated that for posterior HDI within the ROPE, we cannot rule out the possibility that the effect size may be practically equivalent to null. </w:t>
      </w:r>
    </w:p>
    <w:p w14:paraId="4E77C7F8" w14:textId="77777777" w:rsidR="00581C85" w:rsidRDefault="00581C85" w:rsidP="00581C85">
      <w:pPr>
        <w:keepNext/>
        <w:spacing w:line="360" w:lineRule="auto"/>
        <w:jc w:val="both"/>
      </w:pPr>
      <w:r>
        <w:rPr>
          <w:noProof/>
        </w:rPr>
        <w:lastRenderedPageBreak/>
        <w:drawing>
          <wp:inline distT="0" distB="0" distL="0" distR="0" wp14:anchorId="6BAA19A8" wp14:editId="7BC76486">
            <wp:extent cx="6400800" cy="2400300"/>
            <wp:effectExtent l="0" t="0" r="0" b="0"/>
            <wp:docPr id="13697986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984022" name="Picture 205198402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00800" cy="2400300"/>
                    </a:xfrm>
                    <a:prstGeom prst="rect">
                      <a:avLst/>
                    </a:prstGeom>
                  </pic:spPr>
                </pic:pic>
              </a:graphicData>
            </a:graphic>
          </wp:inline>
        </w:drawing>
      </w:r>
    </w:p>
    <w:p w14:paraId="643F4E42" w14:textId="77777777" w:rsidR="00581C85" w:rsidRDefault="00581C85" w:rsidP="00581C85">
      <w:pPr>
        <w:keepNext/>
        <w:spacing w:line="360" w:lineRule="auto"/>
        <w:jc w:val="center"/>
        <w:rPr>
          <w:rFonts w:ascii="Times New Roman" w:hAnsi="Times New Roman" w:cs="Times New Roman"/>
          <w:sz w:val="20"/>
          <w:szCs w:val="20"/>
        </w:rPr>
      </w:pPr>
      <w:r>
        <w:rPr>
          <w:rFonts w:ascii="Times New Roman" w:hAnsi="Times New Roman" w:cs="Times New Roman"/>
          <w:b/>
          <w:bCs/>
          <w:sz w:val="20"/>
          <w:szCs w:val="20"/>
        </w:rPr>
        <w:t xml:space="preserve">Figure 4. Metaregressions of arousal link </w:t>
      </w:r>
      <w:r>
        <w:rPr>
          <w:rFonts w:ascii="Times New Roman" w:hAnsi="Times New Roman" w:cs="Times New Roman"/>
          <w:b/>
          <w:sz w:val="20"/>
          <w:szCs w:val="20"/>
        </w:rPr>
        <w:t>mind blanking (</w:t>
      </w:r>
      <w:r>
        <w:rPr>
          <w:rFonts w:ascii="Times New Roman" w:hAnsi="Times New Roman" w:cs="Times New Roman"/>
          <w:b/>
          <w:bCs/>
          <w:sz w:val="20"/>
          <w:szCs w:val="20"/>
        </w:rPr>
        <w:t>MB</w:t>
      </w:r>
      <w:r>
        <w:rPr>
          <w:rFonts w:ascii="Times New Roman" w:hAnsi="Times New Roman" w:cs="Times New Roman"/>
          <w:b/>
          <w:sz w:val="20"/>
          <w:szCs w:val="20"/>
        </w:rPr>
        <w:t>)</w:t>
      </w:r>
      <w:r>
        <w:rPr>
          <w:rFonts w:ascii="Times New Roman" w:hAnsi="Times New Roman" w:cs="Times New Roman"/>
          <w:b/>
          <w:bCs/>
          <w:sz w:val="20"/>
          <w:szCs w:val="20"/>
        </w:rPr>
        <w:t xml:space="preserve"> to reduced arousal.</w:t>
      </w:r>
      <w:r>
        <w:rPr>
          <w:rFonts w:ascii="Times New Roman" w:hAnsi="Times New Roman" w:cs="Times New Roman"/>
          <w:sz w:val="20"/>
          <w:szCs w:val="20"/>
        </w:rPr>
        <w:t xml:space="preserve"> a) We found strong evidence that sleep deprivation (SD) increases MB report rate. We did not find any support for exercise-related changes. b) MB was associated with reduced experienced vigilance, both relative to task engagement and to mind-wandering. Green-shaded areas indicate a ROPE region at [-0.18, 0.18]. Blue-shaded areas indicate a ROPE region at [-0.1,0.1]. </w:t>
      </w:r>
      <w:r w:rsidRPr="005C23E1">
        <w:rPr>
          <w:rFonts w:ascii="Times New Roman" w:hAnsi="Times New Roman" w:cs="Times New Roman"/>
          <w:i/>
          <w:iCs/>
          <w:sz w:val="20"/>
          <w:szCs w:val="20"/>
        </w:rPr>
        <w:t>Note.</w:t>
      </w:r>
      <w:r>
        <w:rPr>
          <w:rFonts w:ascii="Times New Roman" w:hAnsi="Times New Roman" w:cs="Times New Roman"/>
          <w:sz w:val="20"/>
          <w:szCs w:val="20"/>
        </w:rPr>
        <w:t xml:space="preserve"> Black dashed lines indicate the boundaries of the ROPE region. The red dashed lines indicate a log-odds difference of 0. Interval line plots indicate median (point) and 89% HDI (line span). </w:t>
      </w:r>
      <w:r w:rsidRPr="006B1D5F">
        <w:rPr>
          <w:rFonts w:ascii="Times New Roman" w:hAnsi="Times New Roman" w:cs="Times New Roman"/>
          <w:sz w:val="20"/>
          <w:szCs w:val="20"/>
        </w:rPr>
        <w:t>HDI = highest density interval</w:t>
      </w:r>
      <w:r>
        <w:rPr>
          <w:rFonts w:ascii="Times New Roman" w:hAnsi="Times New Roman" w:cs="Times New Roman"/>
          <w:sz w:val="20"/>
          <w:szCs w:val="20"/>
        </w:rPr>
        <w:t xml:space="preserve">; SD = sleep deprivation; MB = mind blanking; MW = mind-wandering; ON = on-task engagement. </w:t>
      </w:r>
    </w:p>
    <w:p w14:paraId="631F86EE" w14:textId="2E18B0A7" w:rsidR="008F5DA6" w:rsidRDefault="00FC28E3" w:rsidP="00A811D3">
      <w:pPr>
        <w:spacing w:line="360" w:lineRule="auto"/>
        <w:ind w:firstLine="720"/>
        <w:jc w:val="both"/>
        <w:rPr>
          <w:rFonts w:ascii="Times New Roman" w:hAnsi="Times New Roman" w:cs="Times New Roman"/>
        </w:rPr>
      </w:pPr>
      <w:r w:rsidRPr="00FC28E3">
        <w:rPr>
          <w:rFonts w:ascii="Times New Roman" w:hAnsi="Times New Roman" w:cs="Times New Roman"/>
          <w:i/>
          <w:iCs/>
        </w:rPr>
        <w:t xml:space="preserve">Clinical population </w:t>
      </w:r>
      <w:proofErr w:type="spellStart"/>
      <w:r w:rsidRPr="00FC28E3">
        <w:rPr>
          <w:rFonts w:ascii="Times New Roman" w:hAnsi="Times New Roman" w:cs="Times New Roman"/>
          <w:i/>
          <w:iCs/>
        </w:rPr>
        <w:t>metaregression</w:t>
      </w:r>
      <w:proofErr w:type="spellEnd"/>
      <w:r w:rsidRPr="00FC28E3">
        <w:rPr>
          <w:rFonts w:ascii="Times New Roman" w:hAnsi="Times New Roman" w:cs="Times New Roman"/>
        </w:rPr>
        <w:t xml:space="preserve">. Our database included three studies </w:t>
      </w:r>
      <w:r w:rsidR="003A420F">
        <w:rPr>
          <w:rFonts w:ascii="Times New Roman" w:hAnsi="Times New Roman" w:cs="Times New Roman"/>
        </w:rPr>
        <w:t>with an</w:t>
      </w:r>
      <w:r w:rsidR="0089190E">
        <w:rPr>
          <w:rFonts w:ascii="Times New Roman" w:hAnsi="Times New Roman" w:cs="Times New Roman"/>
        </w:rPr>
        <w:t xml:space="preserve"> </w:t>
      </w:r>
      <w:r w:rsidRPr="00FC28E3">
        <w:rPr>
          <w:rFonts w:ascii="Times New Roman" w:hAnsi="Times New Roman" w:cs="Times New Roman"/>
        </w:rPr>
        <w:t xml:space="preserve">ADHD population </w:t>
      </w:r>
      <w:r>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{"citationID":"apa9kpmodg","properties":{"unsorted":false,"formattedCitation":"(Madiouni et al., 2020; Pinggal et al., 2026; Van den Driessche et al., 2017)","plainCitation":"(Madiouni et al., 2020; Pinggal et al., 2026; Van den Driessche et al., 2017)","noteIndex":0},"citationItems":[{"id":136,"uris":["http://zotero.org/users/8613739/items/NJUUZZIQ"],"itemData":{"id":136,"type":"article-journal","abstract":"Sleepiness and mind-wandering are frequently experienced by patients with attention-deficit/hyperactivity disorder (ADHD), without ever having been jointly explored. We aimed to investigate the co-occurrence of these two phenomena in ADHD adults. Drug-free ADHD adults (n = 25) and healthy controls (n = 28) underwent an online experience sampling of mind-wandering episodes and subjective sleepiness. Participants completed self-reported measures of mind-wandering and sleepiness in daily life. Higher trait of mind-wandering was observed in ADHD patients compared to controls. On the whole sample, self-reported mind-wandering propensity was strongly associated with the severity of inattentive, impulsive and hyperactive symptoms. During the probes, patients reported more frequent episodes of mind-wandering and mind-blanking, and higher sleepiness. Their mind-wandering episodes were less intentional and belonged less frequently to a structured succession of thoughts. In both groups, mind-wandering and mind-blanking were associated with higher sleepiness. On the SART, patients were less accurate than controls. We provide first initial evidence for higher propensity of mind-wandering and mind-blanking using experience sampling in patients with formal ADHD diagnosis. This propensity was associated with sleepiness without negatively impacting attention performances. Mind-wandering and sleepiness have common determinants potentially involved in ADHD pathophysiology. Correlates of mind-blanking in ADHD adults remain to be characterized.","citation-key":"madiouniMindwanderingSleepinessAdults2020","container-title":"Psychiatry Research","DOI":"10.1016/j.psychres.2020.112901","ISSN":"1872-7123","journalAbbreviation":"Psychiatry Res","language":"eng","page":"112901","PMID":"32155443","source":"PubMed","title":"Mind-wandering and sleepiness in adults with attention-deficit/hyperactivity disorder","volume":"287","author":[{"family":"Madiouni","given":"Clarisse"},{"family":"Lopez","given":"Régis"},{"family":"Gély-Nargeot","given":"Marie-Christine"},{"family":"Lebrun","given":"Cindy"},{"family":"Bayard","given":"Sophie"}],"issued":{"date-parts":[["2020",5]]}}},{"id":17883,"uris":["http://zotero.org/users/8613739/items/Y55WJEAJ"],"itemData":{"id":17883,"type":"article-journal","abstract":"Attention-deficit/hyperactivity disorder (ADHD) is characterized by behavioral variability and heightened inattention associated with increased mind wandering (MW) and mind blanking (MB). Individuals with ADHD frequently experience sleep disorders and excessive daytime sleepiness, suggesting interactions between attention and arousal systems. Research examining brain activity using electroencephalography (EEG) has demonstrated that sleep-like slow waves (SWs) during wakefulness are linked to inattention in neurotypical individuals following sleep deprivation, yet their role in ADHD remains unclear. This study investigated whether individuals with ADHD present with altered waking SW distribution compared with neurotypical controls and whether SWs explain attentional difficulties in ADHD. Adults with (n = 32) and without ADHD (n = 31) completed a sustained attention task while EEG recorded brain activity. Mental state probes (on-task, MW, MB) were embedded within the task. Sleep-like SWs reflect cortical slowing and were detected from EEG activity. Omission/commission errors, reaction time (RT), RT variability, mental state reports, and subjective sleepiness were analyzed. Mediation analysis examined whether SW density explained ADHD-related performance differences. Individuals with ADHD exhibited more commission errors, MW and MB, more theta oscillations over frontotemporal electrodes, and higher SW density (SW/minute) over parietotemporal electrodes. Increased SW density correlated with higher omission errors, slower RTs, greater RT variability, and elevated sleepiness ratings. On-task reports were negatively correlated with SW density. Mediation analysis revealed that SW density significantly accounted for ADHD-related attentional difficulties. Wake SW may explain attentional difficulties in ADHD, providing a potential mechanistic link between sleep disturbances and attentional fluctuations.","citation-key":"pinggalSleepLikeSlowWaves2026","container-title":"The Journal of Neuroscience: The Official Journal of the Society for Neuroscience","DOI":"10.1523/JNEUROSCI.1694-25.2025","ISSN":"1529-2401","issue":"15","journalAbbreviation":"J Neurosci","language":"eng","page":"e1694252025","PMID":"41839570","PMCID":"PMC13086247","source":"PubMed","title":"Sleep-Like Slow Waves during Wakefulness Mediate Attention and Vigilance Difficulties in Adult Attention-Deficit/Hyperactivity Disorder","volume":"46","author":[{"family":"Pinggal","given":"Elaine"},{"family":"Jackson","given":"James"},{"family":"Kusztor","given":"Anikó"},{"family":"Chapman","given":"David"},{"family":"Windt","given":"Jennifer"},{"family":"Drummond","given":"Sean P. A."},{"family":"Silk","given":"Tim J."},{"family":"Bellgrove","given":"Mark A."},{"family":"Andrillon","given":"Thomas"}],"issued":{"date-parts":[["2026",4,15]]}}},{"id":16069,"uris":["http://zotero.org/groups/6160358/items/G26L5XVS"],"itemData":{"id":16069,"type":"article-journal","abstract":"People with attention-deficit/hyperactivity disorder (ADHD) have difficulties sustaining their attention on external tasks. Such attentional lapses have often been characterized as the simple opposite of external sustained attention, but the different types of attentional lapses, and the subjective experiences to which they correspond, remain unspecified. In this study, we showed that unmedicated children (ages 6-12) with ADHD, when probed during a standard go/no-go task, reported more mind blanking (a mental state characterized by the absence of reportable content) than did control participants. This increase in mind blanking happened at the expense of both focused and wandering thoughts. We also found that methylphenidate reverted the level of mind blanking to baseline (i.e., the level of mind blanking reported by control children without ADHD). However, this restoration led to mind wandering more than to focused attention. In a second experiment, we extended these findings to adults who had subclinical ADHD. These results suggest that executive functions impaired in ADHD are required not only to sustain external attention but also to maintain an internal train of thought.","citation-key":"vandendriesscheAttentionalLapsesAttentionDeficit2017a","container-title":"Psychological science","DOI":"10.1177/0956797617708234","ISSN":"1467-9280 0956-7976","issue":"10","language":"eng","page":"1375–1386","PMID":"28800281","title":"Attentional Lapses in Attention-Deficit/Hyperactivity Disorder: Blank Rather Than Wandering Thoughts.","volume":"28","author":[{"family":"Van den Driessche","given":"Charlotte"},{"family":"Bastian","given":"Mikaël"},{"family":"Peyre","given":"Hugo"},{"family":"Stordeur","given":"Coline"},{"family":"Acquaviva","given":"Éric"},{"family":"Bahadori","given":"Sara"},{"family":"Delorme","given":"Richard"},{"family":"Sackur","given":"Jérôme"}],"issued":{"date-parts":[["2017",10]]}}}],"schema":"https://github.com/citation-style-language/schema/raw/master/csl-citation.json"} </w:instrText>
      </w:r>
      <w:r>
        <w:rPr>
          <w:rFonts w:ascii="Times New Roman" w:hAnsi="Times New Roman" w:cs="Times New Roman"/>
        </w:rPr>
        <w:fldChar w:fldCharType="separate"/>
      </w:r>
      <w:r w:rsidR="00B633EE" w:rsidRPr="00B633EE">
        <w:rPr>
          <w:rFonts w:ascii="Times New Roman" w:hAnsi="Times New Roman" w:cs="Times New Roman"/>
        </w:rPr>
        <w:t>(Madiouni et al., 2020; Pinggal et al., 2026; Van den Driessche et al., 2017)</w:t>
      </w:r>
      <w:r>
        <w:rPr>
          <w:rFonts w:ascii="Times New Roman" w:hAnsi="Times New Roman" w:cs="Times New Roman"/>
        </w:rPr>
        <w:fldChar w:fldCharType="end"/>
      </w:r>
      <w:r>
        <w:rPr>
          <w:rFonts w:ascii="Times New Roman" w:hAnsi="Times New Roman" w:cs="Times New Roman"/>
        </w:rPr>
        <w:t xml:space="preserve"> </w:t>
      </w:r>
      <w:r w:rsidRPr="00FC28E3">
        <w:rPr>
          <w:rFonts w:ascii="Times New Roman" w:hAnsi="Times New Roman" w:cs="Times New Roman"/>
        </w:rPr>
        <w:t xml:space="preserve">and one study with hippocampal damage </w:t>
      </w:r>
      <w:r>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{"citationID":"aue4junj62","properties":{"unsorted":false,"formattedCitation":"(McCormick et al., 2018)","plainCitation":"(McCormick et al., 2018)","noteIndex":0},"citationItems":[{"id":2247,"uris":["http://zotero.org/groups/4477283/items/8KX6EQQX"],"itemData":{"id":2247,"type":"article-journal","abstract":"Subjective inner experiences, such as mind-wandering, represent the fundaments of human cognition. Although the precise function of mind-wandering is still debated, it is increasingly acknowledged to have influence across cognition on processes such as future planning, creative thinking, and problem-solving and even on depressive rumination and other mental health disorders. Recently, there has been important progress in characterizing mind-wandering and identifying the associated neural networks. Two prominent features of mind-wandering are mental time travel and visuospatial imagery, which are often linked with the hippocampus. People with selective bilateral hippocampal damage cannot vividly recall events from their past, envision their future, or imagine fictitious scenes. This raises the question of whether the hippocampus plays a causal role in mind-wandering and, if so, in what way. Leveraging a unique opportunity to shadow people (all males) with bilateral hippocampal damage for several days, we examined, for the first time, what they thought about spontaneously, without direct task demands. We found that they engaged in as much mind-wandering as control participants. However, whereas controls thought about the past, present, and future, imagining vivid visual scenes, hippocampal damage resulted in thoughts primarily about the present comprising verbally mediated semantic knowledge. These findings expose the hippocampus as a key pillar in the neural architecture of mind-wandering and also reveal its impact beyond episodic memory, placing it at the heart of our mental life.\nSIGNIFICANCE STATEMENT Humans tend to mind-wander </w:instrText>
      </w:r>
      <w:r w:rsidR="00B633EE">
        <w:rPr>
          <w:rFonts w:ascii="Cambria Math" w:hAnsi="Cambria Math" w:cs="Cambria Math"/>
        </w:rPr>
        <w:instrText>∼</w:instrText>
      </w:r>
      <w:r w:rsidR="00B633EE">
        <w:rPr>
          <w:rFonts w:ascii="Times New Roman" w:hAnsi="Times New Roman" w:cs="Times New Roman"/>
        </w:rPr>
        <w:instrText xml:space="preserve">30–50% of their waking time. Two prominent features of this pervasive form of thought are mental time travel and visuospatial imagery, which are often associated with the hippocampus. To examine whether the hippocampus plays a causal role in mind-wandering, we examined the frequency and phenomenology of mind-wandering in patients with selective bilateral hippocampal damage. We found that they engaged in as much mind-wandering as controls. However, hippocampal damage changed the form and content of mind-wandering from flexible, episodic, and scene based to abstract, semanticized, and verbal. These findings expose the hippocampus as a key pillar in the neural architecture of mind-wandering and reveal its impact beyond episodic memory, placing it at the heart of our mental life.","citation-key":"mccormickMindWanderingPeopleHippocampal2018","container-title":"Journal of Neuroscience","DOI":"10.1523/JNEUROSCI.1812-17.2018","ISSN":"0270-6474, 1529-2401","issue":"11","journalAbbreviation":"J. Neurosci.","language":"en","license":"Copyright © 2018 McCormick et al.. This is an open-access article distributed under the terms of the Creative Commons Attribution License Creative Commons Attribution 4.0 International, which permits unrestricted use, distribution and reproduction in any medium provided that the original work is properly attributed.","page":"2745-2754","PMID":"29440532","publisher":"Society for Neuroscience","section":"Research Articles","source":"www.jneurosci.org","title":"Mind-Wandering in People with Hippocampal Damage","volume":"38","author":[{"family":"McCormick","given":"Cornelia"},{"family":"Rosenthal","given":"Clive R."},{"family":"Miller","given":"Thomas D."},{"family":"Maguire","given":"Eleanor A."}],"issued":{"date-parts":[["2018",3,14]]}}}],"schema":"https://github.com/citation-style-language/schema/raw/master/csl-citation.json"} </w:instrText>
      </w:r>
      <w:r>
        <w:rPr>
          <w:rFonts w:ascii="Times New Roman" w:hAnsi="Times New Roman" w:cs="Times New Roman"/>
        </w:rPr>
        <w:fldChar w:fldCharType="separate"/>
      </w:r>
      <w:r w:rsidR="00B633EE" w:rsidRPr="00B633EE">
        <w:rPr>
          <w:rFonts w:ascii="Times New Roman" w:hAnsi="Times New Roman" w:cs="Times New Roman"/>
        </w:rPr>
        <w:t>(McCormick et al., 2018)</w:t>
      </w:r>
      <w:r>
        <w:rPr>
          <w:rFonts w:ascii="Times New Roman" w:hAnsi="Times New Roman" w:cs="Times New Roman"/>
        </w:rPr>
        <w:fldChar w:fldCharType="end"/>
      </w:r>
      <w:r w:rsidRPr="00FC28E3">
        <w:rPr>
          <w:rFonts w:ascii="Times New Roman" w:hAnsi="Times New Roman" w:cs="Times New Roman"/>
        </w:rPr>
        <w:t xml:space="preserve">. </w:t>
      </w:r>
      <w:r w:rsidR="00557F4A">
        <w:rPr>
          <w:rFonts w:ascii="Times New Roman" w:hAnsi="Times New Roman" w:cs="Times New Roman"/>
        </w:rPr>
        <w:t xml:space="preserve">Given the low number of studies, here we combined studies from both adults and children. </w:t>
      </w:r>
      <w:r w:rsidRPr="00FC28E3">
        <w:rPr>
          <w:rFonts w:ascii="Times New Roman" w:hAnsi="Times New Roman" w:cs="Times New Roman"/>
        </w:rPr>
        <w:t xml:space="preserve">For ADHD, we included only studies with a clear categorical distinction between diagnosed and non-diagnosed individuals, excluding those that relied solely on continuous self-reported ADHD </w:t>
      </w:r>
      <w:r w:rsidR="0089190E" w:rsidRPr="00FC28E3">
        <w:rPr>
          <w:rFonts w:ascii="Times New Roman" w:hAnsi="Times New Roman" w:cs="Times New Roman"/>
        </w:rPr>
        <w:t>measures</w:t>
      </w:r>
      <w:r w:rsidR="0089190E">
        <w:rPr>
          <w:rFonts w:ascii="Times New Roman" w:hAnsi="Times New Roman" w:cs="Times New Roman"/>
        </w:rPr>
        <w:t xml:space="preserve"> in undergraduate students </w:t>
      </w:r>
      <w:r>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{"citationID":"a1j50qv8nr1","properties":{"unsorted":false,"formattedCitation":"(Beikmohamadi &amp; Meier, 2024)","plainCitation":"(Beikmohamadi &amp; Meier, 2024)","noteIndex":0},"citationItems":[{"id":5881,"uris":["http://zotero.org/users/8613739/items/JQ74NKYA"],"itemData":{"id":5881,"type":"article-journal","abstract":"Van den Driessche et al. (2017) found that children and young adults with more attention-deficit/hyperactivity disorder (ADHD) symptoms report more mind blanking than those with fewer ADHD symptoms and that nonmedicated children with ADHD reported less mind wandering and more mind blanking than medicated children with ADHD. Van den Driessche et al. speculated that medication facilitated executive control and that executive resources support mind wandering (and on-task thought). Besides describing the conscious experience of those with ADHD symptomology, these findings bear on the theoretical debate of executive functions' role in conscious experience. Some argue that executive functions support mind wandering (Levinson et al., 2012; Smallwood, 2010, 2013), while others argue that mind wandering situationally results from a lack (or failure) of executive control (McVay &amp; Kane, 2010; Meier, 2019). Here, we conducted a study like Van den Driessche et al.'s study with young adults (Experiment 2, 2017) and tested the associations between ADHD symptomology and conscious experience. Rather than speculating about the effects of medication, we directly measured executive functioning (via complex span tasks). Like Van den Driessche et al., we observed a positive association between mind blanking and ADHD, but we detected no evidence supporting the claims that executive functions support (or reduce) mind wandering. We also assessed the relative associations between task performance metrics and reports of mind blanking and mind wandering. We did not detect differential performance associations between those thought reports. (Preregistration, data, analysis scripts, and output are available via the Open Science Framework: https://osf.io/z3awm/.)","citation-key":"beikmohamadiExaminingRelationsWorking2024","container-title":"Psychology of consciousness (Washington, D.C.)","ISSN":"2326-5523","issue":"2","language":"eng","note":"tex.copyright: 2021 American Psychological Association","page":"217-233","publisher":"Educational Publishing Foundation","title":"Examining the relations among working memory capacity, attention-deficit/hyperactivity disorder symptomology, and conscious experience","volume":"11","author":[{"family":"Beikmohamadi","given":"Leila A."},{"family":"Meier","given":"Matt E."}],"issued":{"date-parts":[["2024",6,1]]}}}],"schema":"https://github.com/citation-style-language/schema/raw/master/csl-citation.json"} </w:instrText>
      </w:r>
      <w:r>
        <w:rPr>
          <w:rFonts w:ascii="Times New Roman" w:hAnsi="Times New Roman" w:cs="Times New Roman"/>
        </w:rPr>
        <w:fldChar w:fldCharType="separate"/>
      </w:r>
      <w:r w:rsidR="00B633EE" w:rsidRPr="00B633EE">
        <w:rPr>
          <w:rFonts w:ascii="Times New Roman" w:hAnsi="Times New Roman" w:cs="Times New Roman"/>
        </w:rPr>
        <w:t>(Beikmohamadi &amp; Meier, 2024)</w:t>
      </w:r>
      <w:r>
        <w:rPr>
          <w:rFonts w:ascii="Times New Roman" w:hAnsi="Times New Roman" w:cs="Times New Roman"/>
        </w:rPr>
        <w:fldChar w:fldCharType="end"/>
      </w:r>
      <w:r w:rsidRPr="00FC28E3">
        <w:rPr>
          <w:rFonts w:ascii="Times New Roman" w:hAnsi="Times New Roman" w:cs="Times New Roman"/>
        </w:rPr>
        <w:t>.</w:t>
      </w:r>
      <w:r>
        <w:rPr>
          <w:rFonts w:ascii="Times New Roman" w:hAnsi="Times New Roman" w:cs="Times New Roman"/>
        </w:rPr>
        <w:t xml:space="preserve"> Overall, we did not observe strong evidence for any </w:t>
      </w:r>
      <w:r w:rsidR="006B1331" w:rsidRPr="006B1331">
        <w:rPr>
          <w:rFonts w:ascii="Times New Roman" w:hAnsi="Times New Roman" w:cs="Times New Roman"/>
        </w:rPr>
        <w:t>cli</w:t>
      </w:r>
      <w:r w:rsidR="006B1331">
        <w:rPr>
          <w:rFonts w:ascii="Times New Roman" w:hAnsi="Times New Roman" w:cs="Times New Roman"/>
        </w:rPr>
        <w:t>nical population</w:t>
      </w:r>
      <w:r>
        <w:rPr>
          <w:rFonts w:ascii="Times New Roman" w:hAnsi="Times New Roman" w:cs="Times New Roman"/>
        </w:rPr>
        <w:t xml:space="preserve">. ADHD showed the largest effect, with a large overall shift </w:t>
      </w:r>
      <w:r w:rsidR="0075190F">
        <w:rPr>
          <w:rFonts w:ascii="Times New Roman" w:hAnsi="Times New Roman" w:cs="Times New Roman"/>
        </w:rPr>
        <w:t xml:space="preserve">in the posterior distribution toward more frequent MB, yet the HDI includes zero </w:t>
      </w:r>
      <w:r>
        <w:rPr>
          <w:rFonts w:ascii="Times New Roman" w:hAnsi="Times New Roman" w:cs="Times New Roman"/>
        </w:rPr>
        <w:t>(</w:t>
      </w:r>
      <w:proofErr w:type="spellStart"/>
      <w:r>
        <w:rPr>
          <w:rFonts w:ascii="Times New Roman" w:hAnsi="Times New Roman" w:cs="Times New Roman"/>
        </w:rPr>
        <w:t>EMM</w:t>
      </w:r>
      <w:r>
        <w:rPr>
          <w:rFonts w:ascii="Times New Roman" w:hAnsi="Times New Roman" w:cs="Times New Roman"/>
          <w:vertAlign w:val="subscript"/>
        </w:rPr>
        <w:t>diff</w:t>
      </w:r>
      <w:proofErr w:type="spellEnd"/>
      <w:r>
        <w:rPr>
          <w:rFonts w:ascii="Times New Roman" w:hAnsi="Times New Roman" w:cs="Times New Roman"/>
        </w:rPr>
        <w:t xml:space="preserve"> = 0.45, HDI</w:t>
      </w:r>
      <w:r>
        <w:rPr>
          <w:rFonts w:ascii="Times New Roman" w:hAnsi="Times New Roman" w:cs="Times New Roman"/>
          <w:vertAlign w:val="subscript"/>
        </w:rPr>
        <w:t>89</w:t>
      </w:r>
      <w:r>
        <w:rPr>
          <w:rFonts w:ascii="Times New Roman" w:hAnsi="Times New Roman" w:cs="Times New Roman"/>
        </w:rPr>
        <w:t xml:space="preserve"> = [-0.1, 1.02], ER = 9.15, p = 0.9, %ROPE = </w:t>
      </w:r>
      <w:r w:rsidRPr="00FC28E3">
        <w:rPr>
          <w:rFonts w:ascii="Times New Roman" w:hAnsi="Times New Roman" w:cs="Times New Roman"/>
        </w:rPr>
        <w:t>18.22</w:t>
      </w:r>
      <w:r>
        <w:rPr>
          <w:rFonts w:ascii="Times New Roman" w:hAnsi="Times New Roman" w:cs="Times New Roman"/>
        </w:rPr>
        <w:t xml:space="preserve">) (Figure 5).  We did not </w:t>
      </w:r>
      <w:r w:rsidR="006B1331">
        <w:rPr>
          <w:rFonts w:ascii="Times New Roman" w:hAnsi="Times New Roman" w:cs="Times New Roman"/>
        </w:rPr>
        <w:t>observe</w:t>
      </w:r>
      <w:r>
        <w:rPr>
          <w:rFonts w:ascii="Times New Roman" w:hAnsi="Times New Roman" w:cs="Times New Roman"/>
        </w:rPr>
        <w:t xml:space="preserve"> any evidence for hippocampal damage increasing MB (</w:t>
      </w:r>
      <w:proofErr w:type="spellStart"/>
      <w:r>
        <w:rPr>
          <w:rFonts w:ascii="Times New Roman" w:hAnsi="Times New Roman" w:cs="Times New Roman"/>
        </w:rPr>
        <w:t>EMM</w:t>
      </w:r>
      <w:r>
        <w:rPr>
          <w:rFonts w:ascii="Times New Roman" w:hAnsi="Times New Roman" w:cs="Times New Roman"/>
          <w:vertAlign w:val="subscript"/>
        </w:rPr>
        <w:t>diff</w:t>
      </w:r>
      <w:proofErr w:type="spellEnd"/>
      <w:r>
        <w:rPr>
          <w:rFonts w:ascii="Times New Roman" w:hAnsi="Times New Roman" w:cs="Times New Roman"/>
        </w:rPr>
        <w:t xml:space="preserve"> = </w:t>
      </w:r>
      <w:r w:rsidR="00595DA7" w:rsidRPr="00595DA7">
        <w:rPr>
          <w:rFonts w:ascii="Times New Roman" w:hAnsi="Times New Roman" w:cs="Times New Roman"/>
        </w:rPr>
        <w:t>0.15</w:t>
      </w:r>
      <w:r>
        <w:rPr>
          <w:rFonts w:ascii="Times New Roman" w:hAnsi="Times New Roman" w:cs="Times New Roman"/>
        </w:rPr>
        <w:t>, HDI</w:t>
      </w:r>
      <w:r>
        <w:rPr>
          <w:rFonts w:ascii="Times New Roman" w:hAnsi="Times New Roman" w:cs="Times New Roman"/>
          <w:vertAlign w:val="subscript"/>
        </w:rPr>
        <w:t>89</w:t>
      </w:r>
      <w:r>
        <w:rPr>
          <w:rFonts w:ascii="Times New Roman" w:hAnsi="Times New Roman" w:cs="Times New Roman"/>
        </w:rPr>
        <w:t xml:space="preserve"> = [-</w:t>
      </w:r>
      <w:r w:rsidR="00595DA7">
        <w:rPr>
          <w:rFonts w:ascii="Times New Roman" w:hAnsi="Times New Roman" w:cs="Times New Roman"/>
        </w:rPr>
        <w:t>1.07</w:t>
      </w:r>
      <w:r>
        <w:rPr>
          <w:rFonts w:ascii="Times New Roman" w:hAnsi="Times New Roman" w:cs="Times New Roman"/>
        </w:rPr>
        <w:t>, 1.</w:t>
      </w:r>
      <w:r w:rsidR="00595DA7">
        <w:rPr>
          <w:rFonts w:ascii="Times New Roman" w:hAnsi="Times New Roman" w:cs="Times New Roman"/>
        </w:rPr>
        <w:t>37</w:t>
      </w:r>
      <w:r>
        <w:rPr>
          <w:rFonts w:ascii="Times New Roman" w:hAnsi="Times New Roman" w:cs="Times New Roman"/>
        </w:rPr>
        <w:t xml:space="preserve">], ER = </w:t>
      </w:r>
      <w:r w:rsidR="00595DA7" w:rsidRPr="00595DA7">
        <w:rPr>
          <w:rFonts w:ascii="Times New Roman" w:hAnsi="Times New Roman" w:cs="Times New Roman"/>
        </w:rPr>
        <w:t>1.37</w:t>
      </w:r>
      <w:r>
        <w:rPr>
          <w:rFonts w:ascii="Times New Roman" w:hAnsi="Times New Roman" w:cs="Times New Roman"/>
        </w:rPr>
        <w:t>, p = 0.</w:t>
      </w:r>
      <w:r w:rsidR="00595DA7">
        <w:rPr>
          <w:rFonts w:ascii="Times New Roman" w:hAnsi="Times New Roman" w:cs="Times New Roman"/>
        </w:rPr>
        <w:t>58</w:t>
      </w:r>
      <w:r>
        <w:rPr>
          <w:rFonts w:ascii="Times New Roman" w:hAnsi="Times New Roman" w:cs="Times New Roman"/>
        </w:rPr>
        <w:t xml:space="preserve">, %ROPE = </w:t>
      </w:r>
      <w:r w:rsidR="00595DA7" w:rsidRPr="00595DA7">
        <w:rPr>
          <w:rFonts w:ascii="Times New Roman" w:hAnsi="Times New Roman" w:cs="Times New Roman"/>
        </w:rPr>
        <w:t>20.64</w:t>
      </w:r>
      <w:r>
        <w:rPr>
          <w:rFonts w:ascii="Times New Roman" w:hAnsi="Times New Roman" w:cs="Times New Roman"/>
        </w:rPr>
        <w:t xml:space="preserve">) (Figure 5).  </w:t>
      </w:r>
    </w:p>
    <w:p w14:paraId="3C5DD5E0" w14:textId="6EE86DB9" w:rsidR="00504A07" w:rsidRDefault="00504A07" w:rsidP="00504A07">
      <w:pPr>
        <w:keepNext/>
        <w:spacing w:line="360" w:lineRule="auto"/>
      </w:pPr>
      <w:r>
        <w:rPr>
          <w:noProof/>
        </w:rPr>
        <w:lastRenderedPageBreak/>
        <w:drawing>
          <wp:inline distT="0" distB="0" distL="0" distR="0" wp14:anchorId="2BEAB8E5" wp14:editId="6AC3A733">
            <wp:extent cx="6400800" cy="2400300"/>
            <wp:effectExtent l="0" t="0" r="0" b="0"/>
            <wp:docPr id="13618252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825216" name="Picture 136182521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00800" cy="2400300"/>
                    </a:xfrm>
                    <a:prstGeom prst="rect">
                      <a:avLst/>
                    </a:prstGeom>
                  </pic:spPr>
                </pic:pic>
              </a:graphicData>
            </a:graphic>
          </wp:inline>
        </w:drawing>
      </w:r>
    </w:p>
    <w:p w14:paraId="4B883DFD" w14:textId="6F613F4C" w:rsidR="008F5DA6" w:rsidRDefault="00FB05D1">
      <w:pPr>
        <w:keepNext/>
        <w:spacing w:line="360" w:lineRule="auto"/>
        <w:jc w:val="center"/>
      </w:pPr>
      <w:r>
        <w:rPr>
          <w:rFonts w:ascii="Times New Roman" w:hAnsi="Times New Roman" w:cs="Times New Roman"/>
          <w:b/>
          <w:bCs/>
          <w:sz w:val="20"/>
          <w:szCs w:val="20"/>
        </w:rPr>
        <w:t xml:space="preserve">Figure </w:t>
      </w:r>
      <w:r w:rsidR="00504A07">
        <w:rPr>
          <w:rFonts w:ascii="Times New Roman" w:hAnsi="Times New Roman" w:cs="Times New Roman"/>
          <w:b/>
          <w:bCs/>
          <w:sz w:val="20"/>
          <w:szCs w:val="20"/>
        </w:rPr>
        <w:t>5</w:t>
      </w:r>
      <w:r>
        <w:rPr>
          <w:rFonts w:ascii="Times New Roman" w:hAnsi="Times New Roman" w:cs="Times New Roman"/>
          <w:b/>
          <w:bCs/>
          <w:sz w:val="20"/>
          <w:szCs w:val="20"/>
        </w:rPr>
        <w:t xml:space="preserve">. Metaregressions of clinical diagnosis do not provide strong support for a relationship </w:t>
      </w:r>
      <w:r>
        <w:rPr>
          <w:rFonts w:ascii="Times New Roman" w:hAnsi="Times New Roman" w:cs="Times New Roman"/>
          <w:b/>
          <w:sz w:val="20"/>
          <w:szCs w:val="20"/>
        </w:rPr>
        <w:t>with mind blanking (</w:t>
      </w:r>
      <w:r>
        <w:rPr>
          <w:rFonts w:ascii="Times New Roman" w:hAnsi="Times New Roman" w:cs="Times New Roman"/>
          <w:b/>
          <w:bCs/>
          <w:sz w:val="20"/>
          <w:szCs w:val="20"/>
        </w:rPr>
        <w:t>MB</w:t>
      </w:r>
      <w:r>
        <w:rPr>
          <w:rFonts w:ascii="Times New Roman" w:hAnsi="Times New Roman" w:cs="Times New Roman"/>
          <w:b/>
          <w:sz w:val="20"/>
          <w:szCs w:val="20"/>
        </w:rPr>
        <w:t>).</w:t>
      </w:r>
      <w:r>
        <w:rPr>
          <w:rFonts w:ascii="Times New Roman" w:hAnsi="Times New Roman" w:cs="Times New Roman"/>
          <w:sz w:val="20"/>
          <w:szCs w:val="20"/>
        </w:rPr>
        <w:t xml:space="preserve"> Across ADHD</w:t>
      </w:r>
      <w:r w:rsidR="00504A07">
        <w:rPr>
          <w:rFonts w:ascii="Times New Roman" w:hAnsi="Times New Roman" w:cs="Times New Roman"/>
          <w:sz w:val="20"/>
          <w:szCs w:val="20"/>
        </w:rPr>
        <w:t xml:space="preserve"> and hippocampal damage</w:t>
      </w:r>
      <w:r>
        <w:rPr>
          <w:rFonts w:ascii="Times New Roman" w:hAnsi="Times New Roman" w:cs="Times New Roman"/>
          <w:sz w:val="20"/>
          <w:szCs w:val="20"/>
        </w:rPr>
        <w:t>, the posterior distributions included zero, indicating substantial uncertainty around the estimated effects. Although the ADHD group showed an overall increase in MB (ER = 9.</w:t>
      </w:r>
      <w:r w:rsidR="00504A07">
        <w:rPr>
          <w:rFonts w:ascii="Times New Roman" w:hAnsi="Times New Roman" w:cs="Times New Roman"/>
          <w:sz w:val="20"/>
          <w:szCs w:val="20"/>
        </w:rPr>
        <w:t>15</w:t>
      </w:r>
      <w:r>
        <w:rPr>
          <w:rFonts w:ascii="Times New Roman" w:hAnsi="Times New Roman" w:cs="Times New Roman"/>
          <w:sz w:val="20"/>
          <w:szCs w:val="20"/>
        </w:rPr>
        <w:t xml:space="preserve">), the posterior distribution was wide, precluding strong inference. Green-shaded areas indicate a ROPE region of [-0.18, 0.18]. </w:t>
      </w:r>
      <w:r w:rsidR="005C23E1" w:rsidRPr="005C23E1">
        <w:rPr>
          <w:rFonts w:ascii="Times New Roman" w:hAnsi="Times New Roman" w:cs="Times New Roman"/>
          <w:i/>
          <w:iCs/>
          <w:sz w:val="20"/>
          <w:szCs w:val="20"/>
        </w:rPr>
        <w:t>Note.</w:t>
      </w:r>
      <w:r w:rsidR="005C23E1">
        <w:rPr>
          <w:rFonts w:ascii="Times New Roman" w:hAnsi="Times New Roman" w:cs="Times New Roman"/>
          <w:sz w:val="20"/>
          <w:szCs w:val="20"/>
        </w:rPr>
        <w:t xml:space="preserve"> </w:t>
      </w:r>
      <w:r>
        <w:rPr>
          <w:rFonts w:ascii="Times New Roman" w:hAnsi="Times New Roman" w:cs="Times New Roman"/>
          <w:sz w:val="20"/>
          <w:szCs w:val="20"/>
        </w:rPr>
        <w:t xml:space="preserve">Black dashed lines indicate the boundaries of the ROPE region. The red dashed lines indicate a log-odds difference of 0. Interval line plots indicate median (point) and 89% HDI (line span). </w:t>
      </w:r>
      <w:r w:rsidR="00735A69" w:rsidRPr="006B1D5F">
        <w:rPr>
          <w:rFonts w:ascii="Times New Roman" w:hAnsi="Times New Roman" w:cs="Times New Roman"/>
          <w:sz w:val="20"/>
          <w:szCs w:val="20"/>
        </w:rPr>
        <w:t>HDI = highest density interval</w:t>
      </w:r>
      <w:r w:rsidR="00735A69">
        <w:rPr>
          <w:rFonts w:ascii="Times New Roman" w:hAnsi="Times New Roman" w:cs="Times New Roman"/>
          <w:sz w:val="20"/>
          <w:szCs w:val="20"/>
        </w:rPr>
        <w:t xml:space="preserve">; </w:t>
      </w:r>
      <w:r>
        <w:rPr>
          <w:rFonts w:ascii="Times New Roman" w:hAnsi="Times New Roman" w:cs="Times New Roman"/>
          <w:sz w:val="20"/>
          <w:szCs w:val="20"/>
        </w:rPr>
        <w:t>ER = evidence ratio</w:t>
      </w:r>
      <w:r w:rsidR="00735A69">
        <w:rPr>
          <w:rFonts w:ascii="Times New Roman" w:hAnsi="Times New Roman" w:cs="Times New Roman"/>
          <w:sz w:val="20"/>
          <w:szCs w:val="20"/>
        </w:rPr>
        <w:t>;</w:t>
      </w:r>
      <w:r>
        <w:rPr>
          <w:rFonts w:ascii="Times New Roman" w:hAnsi="Times New Roman" w:cs="Times New Roman"/>
          <w:sz w:val="20"/>
          <w:szCs w:val="20"/>
        </w:rPr>
        <w:t xml:space="preserve"> ADHD = Attention-deficit/hyperactivity disorder</w:t>
      </w:r>
      <w:r w:rsidR="00735A69">
        <w:rPr>
          <w:rFonts w:ascii="Times New Roman" w:hAnsi="Times New Roman" w:cs="Times New Roman"/>
          <w:sz w:val="20"/>
          <w:szCs w:val="20"/>
        </w:rPr>
        <w:t>;</w:t>
      </w:r>
      <w:r w:rsidR="00504A07">
        <w:rPr>
          <w:rFonts w:ascii="Times New Roman" w:hAnsi="Times New Roman" w:cs="Times New Roman"/>
          <w:sz w:val="20"/>
          <w:szCs w:val="20"/>
        </w:rPr>
        <w:t xml:space="preserve"> NT=neurotypical</w:t>
      </w:r>
    </w:p>
    <w:p w14:paraId="44BEF178" w14:textId="6F8CCF90" w:rsidR="008F5DA6" w:rsidRDefault="00FB05D1">
      <w:pPr>
        <w:spacing w:line="360" w:lineRule="auto"/>
        <w:ind w:firstLine="720"/>
        <w:jc w:val="both"/>
      </w:pPr>
      <w:r w:rsidRPr="22DB2182">
        <w:rPr>
          <w:rFonts w:ascii="Times New Roman" w:hAnsi="Times New Roman" w:cs="Times New Roman"/>
          <w:i/>
          <w:iCs/>
        </w:rPr>
        <w:t xml:space="preserve">Exploratory analysis </w:t>
      </w:r>
      <w:r w:rsidR="00313566" w:rsidRPr="22DB2182">
        <w:rPr>
          <w:rFonts w:ascii="Times New Roman" w:hAnsi="Times New Roman" w:cs="Times New Roman"/>
          <w:i/>
          <w:iCs/>
        </w:rPr>
        <w:t>3</w:t>
      </w:r>
      <w:r w:rsidRPr="22DB2182">
        <w:rPr>
          <w:rFonts w:ascii="Times New Roman" w:hAnsi="Times New Roman" w:cs="Times New Roman"/>
          <w:i/>
          <w:iCs/>
        </w:rPr>
        <w:t xml:space="preserve">: </w:t>
      </w:r>
      <w:r w:rsidR="0089190E" w:rsidRPr="68B8A71D">
        <w:rPr>
          <w:rFonts w:ascii="Times New Roman" w:hAnsi="Times New Roman" w:cs="Times New Roman"/>
          <w:i/>
          <w:iCs/>
        </w:rPr>
        <w:t xml:space="preserve">: </w:t>
      </w:r>
      <w:r w:rsidR="0089190E" w:rsidRPr="68B8A71D">
        <w:rPr>
          <w:rFonts w:ascii="Times New Roman" w:hAnsi="Times New Roman" w:cs="Times New Roman"/>
        </w:rPr>
        <w:t xml:space="preserve">A subset of studies applied TMS </w:t>
      </w:r>
      <w:r w:rsidRPr="22DB2182">
        <w:rPr>
          <w:rFonts w:ascii="Times New Roman" w:hAnsi="Times New Roman" w:cs="Times New Roman"/>
          <w:u w:val="dash"/>
        </w:rPr>
        <w:fldChar w:fldCharType="begin"/>
      </w:r>
      <w:r w:rsidR="00B633EE">
        <w:rPr>
          <w:rFonts w:ascii="Times New Roman" w:hAnsi="Times New Roman" w:cs="Times New Roman"/>
          <w:u w:val="dash"/>
        </w:rPr>
        <w:instrText xml:space="preserve"> ADDIN ZOTERO_ITEM CSL_CITATION {"citationID":"a1utchm2ai8","properties":{"unsorted":false,"formattedCitation":"(Alexandersen et al., 2025; Drevland et al., 2025)","plainCitation":"(Alexandersen et al., 2025; Drevland et al., 2025)","noteIndex":0},"citationItems":[{"id":8283,"uris":["http://zotero.org/users/8613739/items/AJSHXK3B"],"itemData":{"id":8283,"type":"article-journal","abstract":"Mind wandering (MW) is a common mental phenomenon where attention shifts spontaneously from an external task to internal trains of thought. Recent studies propose that non-invasive brain stimulation methods hold potential for influencing attentional shifts between on-task and MW states. Exploratory analysis from a recent repetitive transcranial magnetic stimulation (rTMS) study reported that targeting the left angular gyrus (AG) with continuous theta-burst stimulation (cTBS) reduced MW compared to sham stimulation, without affecting executive performance (Drevland et al., 2025). The present study is a pre-registered, direct replication of the study by Drevland et al., but also expands their protocol by applying intermittent theta-burst stimulation (iTBS) targeting the same cortical area. Using a triple-blind crossover design, healthy participants completed four blocks of the Finger-Tapping Random Sequence Generation Task (FT-RSGT) in three sessions on separate days. Each session included three rounds of either real (cTBS or iTBS) or sham stimulation in an accelerated rTMS design. We successfully replicated the effect of cTBS in reducing MW propensity but failed to find the expected increase in MW post-iTBS. Furthermore, based on a joint analysis of the current data and that from Drevland et al., we found compelling evidence for cTBS being efficient both in reducing MW and improving executive performance. Our results provide evidence for the causal relationship between the left AG and shifts of attention during an executive task, highlighting the role of the default mode network in the generation and maintenance of MW episodes. © 2025 Elsevier B.V., All rights reserved.","archive":"Scopus","citation-key":"alexandersenEvidenceEfficacyThetaburst2025","container-title":"Cortex","DOI":"10.1016/j.cortex.2025.07.006","page":"25-40","title":"Evidence for the efficacy of theta-burst stimulation above the angular gyrus for reducing mind wandering propensity: A successful pre-registered study","volume":"191","author":[{"family":"Alexandersen","given":"A."},{"family":"Aasen","given":"S.R."},{"family":"Csifcsák","given":"G."},{"family":"Mittner","given":"M."}],"issued":{"date-parts":[["2025"]]}}},{"id":16207,"uris":["http://zotero.org/groups/6160358/items/YXE7BHS4"],"itemData":{"id":16207,"type":"article-journal","abstract":"Background\nMind wandering (MW) involves an attentional drift away from an external task to internal thoughts and goals. In the last decade, a substantial number of studies have investigated the possibility of influencing MW using transcranial direct current stimulation (tDCS). One common target region of interest is the angular gyrus (AG), a core region of the default-mode network (DMN), which is believed to play a major role in th</w:instrText>
      </w:r>
      <w:r w:rsidR="00B633EE" w:rsidRPr="00B633EE">
        <w:rPr>
          <w:rFonts w:ascii="Times New Roman" w:hAnsi="Times New Roman" w:cs="Times New Roman"/>
          <w:u w:val="dash"/>
          <w:lang w:val="fr-BE"/>
        </w:rPr>
        <w:instrText xml:space="preserve">e initiation and maintenance of MW episodes. However, the accumulated evidence suggests that tDCS may not be sufficiently strong to reliably affect MW propensity.\nHypothesis\nWe hypothesized that by using repetitive transcranial magnetic stimulation (rTMS) with continuous theta-burst stimulation (cTBS) protocol over the left AG would reduce MW during a demanding cognitive task.\nMethod\nWe applied cTBS over the left AG to interfere with MW propensity in healthy adults. In a triple-blind, crossover design, participants performed four blocks of the finger-tapping random-sequence generation task (FT-RSGT) with three interleaved bouts of real or sham cTBS.\nResults\nOur pre-registered statistical analysis found no support for our main hypotheses. However, in our secondary statistical analysis we found that real cTBS reduced both self-reported MW propensity and behavioural variability, an objective marker of MW, while maintaining comparable levels of executive task performance.","citation-key":"drevlandReducingMindWandering2025a","container-title":"Transcranial Magnetic Stimulation","page":"100181","title":"Reducing mind wandering using continuous theta burst stimulation","author":[{"family":"Drevland","given":"Ragnhild Nicolaisen"},{"family":"Aasen","given":"Steffen Rygg"},{"family":"Csifcsák","given":"Gábor"},{"family":"Mittner","given":"Matthias"}],"issued":{"date-parts":[["2025"]]}}}],"schema":"https://github.com/citation-style-language/schema/raw/master/csl-citation.json"} </w:instrText>
      </w:r>
      <w:r w:rsidRPr="22DB2182">
        <w:rPr>
          <w:rFonts w:ascii="Times New Roman" w:hAnsi="Times New Roman" w:cs="Times New Roman"/>
          <w:u w:val="dash"/>
        </w:rPr>
        <w:fldChar w:fldCharType="separate"/>
      </w:r>
      <w:r w:rsidR="00B633EE" w:rsidRPr="00B633EE">
        <w:rPr>
          <w:rFonts w:ascii="Times New Roman" w:hAnsi="Times New Roman" w:cs="Times New Roman"/>
          <w:lang w:val="fr-BE"/>
        </w:rPr>
        <w:t>(Alexandersen et al., 2025; Drevland et al., 2025)</w:t>
      </w:r>
      <w:r w:rsidRPr="22DB2182">
        <w:rPr>
          <w:rFonts w:ascii="Times New Roman" w:hAnsi="Times New Roman" w:cs="Times New Roman"/>
          <w:u w:val="dash"/>
        </w:rPr>
        <w:fldChar w:fldCharType="end"/>
      </w:r>
      <w:r w:rsidRPr="00B633EE">
        <w:rPr>
          <w:rFonts w:ascii="Times New Roman" w:hAnsi="Times New Roman" w:cs="Times New Roman"/>
          <w:lang w:val="fr-BE"/>
        </w:rPr>
        <w:t xml:space="preserve"> or tDCS </w:t>
      </w:r>
      <w:r w:rsidRPr="22DB2182">
        <w:rPr>
          <w:rFonts w:ascii="Times New Roman" w:hAnsi="Times New Roman" w:cs="Times New Roman"/>
        </w:rPr>
        <w:fldChar w:fldCharType="begin"/>
      </w:r>
      <w:r w:rsidR="00B633EE" w:rsidRPr="00B633EE">
        <w:rPr>
          <w:rFonts w:ascii="Times New Roman" w:hAnsi="Times New Roman" w:cs="Times New Roman"/>
          <w:lang w:val="fr-BE"/>
        </w:rPr>
        <w:instrText xml:space="preserve"> ADDIN ZOTERO_ITEM CSL_CITATION {"citationID":"a1tr16u3d55","properties":{"unsorted":false,"formattedCitation":"(Torres et al., 2024)","plainCitation":"(Torres et al., 2024)","noteIndex":0},"citationItems":[{"id":16045,"uris":["http://zotero.org/groups/6160358/items/77UGQGLJ"],"itemData":{"id":16045,"type":"article-journal","abstract":"One mechanism by which transcranial direct current stimulation (tDCS) has been proposed to improve attention is by transcutaneous stimulation of cranial nerves, thereby activating the locus coeruleus (LC). Specifically, placement of the electrodes over the frontal bone and mastoid is thought to facilitate current flow across the face as a path of least resistance. The face is innervated by the trigeminal nerve, and the trigeminal nerve is interconnected with the LC. In this study, we tested whether stimulating the trigeminal nerve impacts indices of LC activity and performance on a sustained attention task. We replicated previous research that shows deterioration in task performance, increases in the rate of task-unrelated thoughts, and reduced pupil responses due to time on task irrespective of tDCS condition (sham, anodal, and cathodal stimulation). Importantly, tDCS did not influence pupil dynamics (pretrial or stimulus-evoked), self-reported attention state, nor task performance in active versus sham stimulation conditions. The findings reported here are consistent with theories about arousal centered on a hypothesized link between LC activity indexed by pupil size, task performance, and self-reported attention state but fail to support hypotheses that tDCS over the trigeminal nerve influences indices of LC function.","citation-key":"torresInfluenceTranscranialDirect2024a","container-title":"Cognitive, affective, &amp; behavioral neuroscience","ISSN":"1530-7026","issue":"5","language":"eng","license":"The Psychonomic Society, Inc. 2024. Springer Nature or its licensor (e.g. a society or other partner) holds exclusive rights to this article under a publishing agreement with the author(s) or other rightsholder(s); author self-archiving of the accepted manuscript version of this article is solely governed by the terms of such publishing agreement and applicable law.","page":"860–880","title":"The influence of transcranial direct current stimulation to the trigeminal nerve on attention and arousal","volume":"24","author":[{"family":"Torres","given":"Alexis S."},{"family":"Robison","given":"Matthew K."},{"family":"McClure","given":"Samuel M."},{"family":"Brewer","given":"Gene A."}],"issued":{"date-parts":[["2024",10]]}}}],"schema":"https://github.com/citation-style-language/schema/raw/master/csl-citation.json"} </w:instrText>
      </w:r>
      <w:r w:rsidRPr="22DB2182">
        <w:rPr>
          <w:rFonts w:ascii="Times New Roman" w:hAnsi="Times New Roman" w:cs="Times New Roman"/>
        </w:rPr>
        <w:fldChar w:fldCharType="separate"/>
      </w:r>
      <w:r w:rsidR="00B633EE" w:rsidRPr="00B633EE">
        <w:rPr>
          <w:rFonts w:ascii="Times New Roman" w:hAnsi="Times New Roman" w:cs="Times New Roman"/>
          <w:lang w:val="fr-BE"/>
        </w:rPr>
        <w:t>(Torres et al., 2024)</w:t>
      </w:r>
      <w:r w:rsidRPr="22DB2182">
        <w:rPr>
          <w:rFonts w:ascii="Times New Roman" w:hAnsi="Times New Roman" w:cs="Times New Roman"/>
        </w:rPr>
        <w:fldChar w:fldCharType="end"/>
      </w:r>
      <w:r w:rsidR="1656D4D1" w:rsidRPr="00B633EE">
        <w:rPr>
          <w:rFonts w:ascii="Times New Roman" w:hAnsi="Times New Roman"/>
          <w:lang w:val="fr-BE"/>
        </w:rPr>
        <w:t xml:space="preserve"> </w:t>
      </w:r>
      <w:proofErr w:type="spellStart"/>
      <w:r w:rsidRPr="00B633EE">
        <w:rPr>
          <w:rFonts w:ascii="Times New Roman" w:hAnsi="Times New Roman"/>
          <w:lang w:val="fr-BE"/>
        </w:rPr>
        <w:t>brain</w:t>
      </w:r>
      <w:proofErr w:type="spellEnd"/>
      <w:r w:rsidRPr="00B633EE">
        <w:rPr>
          <w:rFonts w:ascii="Times New Roman" w:hAnsi="Times New Roman"/>
          <w:lang w:val="fr-BE"/>
        </w:rPr>
        <w:t xml:space="preserve"> stimulation to examine shifts in mind-</w:t>
      </w:r>
      <w:proofErr w:type="spellStart"/>
      <w:r w:rsidRPr="00B633EE">
        <w:rPr>
          <w:rFonts w:ascii="Times New Roman" w:hAnsi="Times New Roman"/>
          <w:lang w:val="fr-BE"/>
        </w:rPr>
        <w:t>wandering</w:t>
      </w:r>
      <w:proofErr w:type="spellEnd"/>
      <w:r w:rsidRPr="00B633EE">
        <w:rPr>
          <w:rFonts w:ascii="Times New Roman" w:hAnsi="Times New Roman"/>
          <w:lang w:val="fr-BE"/>
        </w:rPr>
        <w:t xml:space="preserve"> </w:t>
      </w:r>
      <w:proofErr w:type="spellStart"/>
      <w:r w:rsidRPr="00B633EE">
        <w:rPr>
          <w:rFonts w:ascii="Times New Roman" w:hAnsi="Times New Roman"/>
          <w:lang w:val="fr-BE"/>
        </w:rPr>
        <w:t>propensity</w:t>
      </w:r>
      <w:proofErr w:type="spellEnd"/>
      <w:r w:rsidRPr="00B633EE">
        <w:rPr>
          <w:rFonts w:ascii="Times New Roman" w:hAnsi="Times New Roman"/>
          <w:lang w:val="fr-BE"/>
        </w:rPr>
        <w:t xml:space="preserve">. </w:t>
      </w:r>
      <w:r w:rsidRPr="22DB2182">
        <w:rPr>
          <w:rFonts w:ascii="Times New Roman" w:hAnsi="Times New Roman" w:cs="Times New Roman"/>
        </w:rPr>
        <w:t xml:space="preserve">We did not observe any evidence that either TMS (stimulation site: left Angular Gyrus, intermittent theta burst stimulation: </w:t>
      </w:r>
      <w:proofErr w:type="spellStart"/>
      <w:r w:rsidRPr="22DB2182">
        <w:rPr>
          <w:rFonts w:ascii="Times New Roman" w:hAnsi="Times New Roman" w:cs="Times New Roman"/>
        </w:rPr>
        <w:t>EMM</w:t>
      </w:r>
      <w:r w:rsidRPr="22DB2182">
        <w:rPr>
          <w:rFonts w:ascii="Times New Roman" w:hAnsi="Times New Roman" w:cs="Times New Roman"/>
          <w:vertAlign w:val="subscript"/>
        </w:rPr>
        <w:t>diff</w:t>
      </w:r>
      <w:proofErr w:type="spellEnd"/>
      <w:r w:rsidRPr="22DB2182">
        <w:rPr>
          <w:rFonts w:ascii="Times New Roman" w:hAnsi="Times New Roman" w:cs="Times New Roman"/>
        </w:rPr>
        <w:t xml:space="preserve"> = </w:t>
      </w:r>
      <w:r w:rsidR="00261279" w:rsidRPr="22DB2182">
        <w:rPr>
          <w:rFonts w:ascii="Times New Roman" w:hAnsi="Times New Roman" w:cs="Times New Roman"/>
        </w:rPr>
        <w:t>0.17</w:t>
      </w:r>
      <w:r w:rsidRPr="22DB2182">
        <w:rPr>
          <w:rFonts w:ascii="Times New Roman" w:hAnsi="Times New Roman" w:cs="Times New Roman"/>
        </w:rPr>
        <w:t>, HDI</w:t>
      </w:r>
      <w:r w:rsidRPr="22DB2182">
        <w:rPr>
          <w:rFonts w:ascii="Times New Roman" w:hAnsi="Times New Roman" w:cs="Times New Roman"/>
          <w:vertAlign w:val="subscript"/>
        </w:rPr>
        <w:t>89</w:t>
      </w:r>
      <w:r w:rsidRPr="22DB2182">
        <w:rPr>
          <w:rFonts w:ascii="Times New Roman" w:hAnsi="Times New Roman" w:cs="Times New Roman"/>
        </w:rPr>
        <w:t xml:space="preserve"> = [-0.</w:t>
      </w:r>
      <w:r w:rsidR="00261279" w:rsidRPr="22DB2182">
        <w:rPr>
          <w:rFonts w:ascii="Times New Roman" w:hAnsi="Times New Roman" w:cs="Times New Roman"/>
        </w:rPr>
        <w:t>74</w:t>
      </w:r>
      <w:r w:rsidRPr="22DB2182">
        <w:rPr>
          <w:rFonts w:ascii="Times New Roman" w:hAnsi="Times New Roman" w:cs="Times New Roman"/>
        </w:rPr>
        <w:t xml:space="preserve">, </w:t>
      </w:r>
      <w:r w:rsidR="00261279" w:rsidRPr="22DB2182">
        <w:rPr>
          <w:rFonts w:ascii="Times New Roman" w:hAnsi="Times New Roman" w:cs="Times New Roman"/>
        </w:rPr>
        <w:t>1.08</w:t>
      </w:r>
      <w:r w:rsidRPr="22DB2182">
        <w:rPr>
          <w:rFonts w:ascii="Times New Roman" w:hAnsi="Times New Roman" w:cs="Times New Roman"/>
        </w:rPr>
        <w:t xml:space="preserve">], ER = </w:t>
      </w:r>
      <w:r w:rsidR="0056783E" w:rsidRPr="22DB2182">
        <w:rPr>
          <w:rFonts w:ascii="Times New Roman" w:hAnsi="Times New Roman" w:cs="Times New Roman"/>
        </w:rPr>
        <w:t>1.59</w:t>
      </w:r>
      <w:r w:rsidRPr="22DB2182">
        <w:rPr>
          <w:rFonts w:ascii="Times New Roman" w:hAnsi="Times New Roman" w:cs="Times New Roman"/>
        </w:rPr>
        <w:t>, p = 0.</w:t>
      </w:r>
      <w:r w:rsidR="0056783E" w:rsidRPr="22DB2182">
        <w:rPr>
          <w:rFonts w:ascii="Times New Roman" w:hAnsi="Times New Roman" w:cs="Times New Roman"/>
        </w:rPr>
        <w:t>61</w:t>
      </w:r>
      <w:r w:rsidRPr="22DB2182">
        <w:rPr>
          <w:rFonts w:ascii="Times New Roman" w:hAnsi="Times New Roman" w:cs="Times New Roman"/>
        </w:rPr>
        <w:t xml:space="preserve">, %ROPE = </w:t>
      </w:r>
      <w:r w:rsidR="00261279" w:rsidRPr="22DB2182">
        <w:rPr>
          <w:rFonts w:ascii="Times New Roman" w:hAnsi="Times New Roman" w:cs="Times New Roman"/>
        </w:rPr>
        <w:t>26.58</w:t>
      </w:r>
      <w:r w:rsidRPr="22DB2182">
        <w:rPr>
          <w:rFonts w:ascii="Times New Roman" w:hAnsi="Times New Roman" w:cs="Times New Roman"/>
        </w:rPr>
        <w:t xml:space="preserve">, continuous theta burst stimulation: </w:t>
      </w:r>
      <w:proofErr w:type="spellStart"/>
      <w:r w:rsidRPr="22DB2182">
        <w:rPr>
          <w:rFonts w:ascii="Times New Roman" w:hAnsi="Times New Roman" w:cs="Times New Roman"/>
        </w:rPr>
        <w:t>EMM</w:t>
      </w:r>
      <w:r w:rsidRPr="22DB2182">
        <w:rPr>
          <w:rFonts w:ascii="Times New Roman" w:hAnsi="Times New Roman" w:cs="Times New Roman"/>
          <w:vertAlign w:val="subscript"/>
        </w:rPr>
        <w:t>diff</w:t>
      </w:r>
      <w:proofErr w:type="spellEnd"/>
      <w:r w:rsidRPr="22DB2182">
        <w:rPr>
          <w:rFonts w:ascii="Times New Roman" w:hAnsi="Times New Roman" w:cs="Times New Roman"/>
        </w:rPr>
        <w:t xml:space="preserve"> = </w:t>
      </w:r>
      <w:r w:rsidR="0056783E" w:rsidRPr="22DB2182">
        <w:rPr>
          <w:rFonts w:ascii="Times New Roman" w:hAnsi="Times New Roman" w:cs="Times New Roman"/>
        </w:rPr>
        <w:t>0.46</w:t>
      </w:r>
      <w:r w:rsidRPr="22DB2182">
        <w:rPr>
          <w:rFonts w:ascii="Times New Roman" w:hAnsi="Times New Roman" w:cs="Times New Roman"/>
        </w:rPr>
        <w:t>, HDI</w:t>
      </w:r>
      <w:r w:rsidRPr="22DB2182">
        <w:rPr>
          <w:rFonts w:ascii="Times New Roman" w:hAnsi="Times New Roman" w:cs="Times New Roman"/>
          <w:vertAlign w:val="subscript"/>
        </w:rPr>
        <w:t>89</w:t>
      </w:r>
      <w:r w:rsidRPr="22DB2182">
        <w:rPr>
          <w:rFonts w:ascii="Times New Roman" w:hAnsi="Times New Roman" w:cs="Times New Roman"/>
        </w:rPr>
        <w:t xml:space="preserve"> = [</w:t>
      </w:r>
      <w:r w:rsidR="0056783E" w:rsidRPr="22DB2182">
        <w:rPr>
          <w:rFonts w:ascii="Times New Roman" w:hAnsi="Times New Roman" w:cs="Times New Roman"/>
        </w:rPr>
        <w:t>-0.19</w:t>
      </w:r>
      <w:r w:rsidRPr="22DB2182">
        <w:rPr>
          <w:rFonts w:ascii="Times New Roman" w:hAnsi="Times New Roman" w:cs="Times New Roman"/>
        </w:rPr>
        <w:t xml:space="preserve">, </w:t>
      </w:r>
      <w:r w:rsidR="0056783E" w:rsidRPr="22DB2182">
        <w:rPr>
          <w:rFonts w:ascii="Times New Roman" w:hAnsi="Times New Roman" w:cs="Times New Roman"/>
        </w:rPr>
        <w:t>1.11</w:t>
      </w:r>
      <w:r w:rsidRPr="22DB2182">
        <w:rPr>
          <w:rFonts w:ascii="Times New Roman" w:hAnsi="Times New Roman" w:cs="Times New Roman"/>
        </w:rPr>
        <w:t xml:space="preserve">], ER = </w:t>
      </w:r>
      <w:r w:rsidR="0056783E" w:rsidRPr="22DB2182">
        <w:rPr>
          <w:rFonts w:ascii="Times New Roman" w:hAnsi="Times New Roman" w:cs="Times New Roman"/>
        </w:rPr>
        <w:t>6.68</w:t>
      </w:r>
      <w:r w:rsidRPr="22DB2182">
        <w:rPr>
          <w:rFonts w:ascii="Times New Roman" w:hAnsi="Times New Roman" w:cs="Times New Roman"/>
        </w:rPr>
        <w:t xml:space="preserve">, p = </w:t>
      </w:r>
      <w:r w:rsidR="0056783E" w:rsidRPr="22DB2182">
        <w:rPr>
          <w:rFonts w:ascii="Times New Roman" w:hAnsi="Times New Roman" w:cs="Times New Roman"/>
        </w:rPr>
        <w:t>0.87</w:t>
      </w:r>
      <w:r w:rsidRPr="22DB2182">
        <w:rPr>
          <w:rFonts w:ascii="Times New Roman" w:hAnsi="Times New Roman" w:cs="Times New Roman"/>
        </w:rPr>
        <w:t xml:space="preserve">, %ROPE = </w:t>
      </w:r>
      <w:r w:rsidR="0056783E" w:rsidRPr="22DB2182">
        <w:rPr>
          <w:rFonts w:ascii="Times New Roman" w:hAnsi="Times New Roman" w:cs="Times New Roman"/>
        </w:rPr>
        <w:t>21.33</w:t>
      </w:r>
      <w:r w:rsidRPr="22DB2182">
        <w:rPr>
          <w:rFonts w:ascii="Times New Roman" w:hAnsi="Times New Roman" w:cs="Times New Roman"/>
        </w:rPr>
        <w:t xml:space="preserve">) or tDCS (stimulation site: trigeminal nerve, Anode at F4: </w:t>
      </w:r>
      <w:proofErr w:type="spellStart"/>
      <w:r w:rsidRPr="22DB2182">
        <w:rPr>
          <w:rFonts w:ascii="Times New Roman" w:hAnsi="Times New Roman" w:cs="Times New Roman"/>
        </w:rPr>
        <w:t>EMM</w:t>
      </w:r>
      <w:r w:rsidRPr="22DB2182">
        <w:rPr>
          <w:rFonts w:ascii="Times New Roman" w:hAnsi="Times New Roman" w:cs="Times New Roman"/>
          <w:vertAlign w:val="subscript"/>
        </w:rPr>
        <w:t>diff</w:t>
      </w:r>
      <w:proofErr w:type="spellEnd"/>
      <w:r w:rsidRPr="22DB2182">
        <w:rPr>
          <w:rFonts w:ascii="Times New Roman" w:hAnsi="Times New Roman" w:cs="Times New Roman"/>
        </w:rPr>
        <w:t xml:space="preserve"> = 0.02, HDI</w:t>
      </w:r>
      <w:r w:rsidRPr="22DB2182">
        <w:rPr>
          <w:rFonts w:ascii="Times New Roman" w:hAnsi="Times New Roman" w:cs="Times New Roman"/>
          <w:vertAlign w:val="subscript"/>
        </w:rPr>
        <w:t>89</w:t>
      </w:r>
      <w:r w:rsidRPr="22DB2182">
        <w:rPr>
          <w:rFonts w:ascii="Times New Roman" w:hAnsi="Times New Roman" w:cs="Times New Roman"/>
        </w:rPr>
        <w:t xml:space="preserve"> = [-0.6</w:t>
      </w:r>
      <w:r w:rsidR="0056783E" w:rsidRPr="22DB2182">
        <w:rPr>
          <w:rFonts w:ascii="Times New Roman" w:hAnsi="Times New Roman" w:cs="Times New Roman"/>
        </w:rPr>
        <w:t>2</w:t>
      </w:r>
      <w:r w:rsidRPr="22DB2182">
        <w:rPr>
          <w:rFonts w:ascii="Times New Roman" w:hAnsi="Times New Roman" w:cs="Times New Roman"/>
        </w:rPr>
        <w:t>, 0.6</w:t>
      </w:r>
      <w:r w:rsidR="0056783E" w:rsidRPr="22DB2182">
        <w:rPr>
          <w:rFonts w:ascii="Times New Roman" w:hAnsi="Times New Roman" w:cs="Times New Roman"/>
        </w:rPr>
        <w:t>5</w:t>
      </w:r>
      <w:r w:rsidRPr="22DB2182">
        <w:rPr>
          <w:rFonts w:ascii="Times New Roman" w:hAnsi="Times New Roman" w:cs="Times New Roman"/>
        </w:rPr>
        <w:t>], ER = 1.</w:t>
      </w:r>
      <w:r w:rsidR="0056783E" w:rsidRPr="22DB2182">
        <w:rPr>
          <w:rFonts w:ascii="Times New Roman" w:hAnsi="Times New Roman" w:cs="Times New Roman"/>
        </w:rPr>
        <w:t>07</w:t>
      </w:r>
      <w:r w:rsidRPr="22DB2182">
        <w:rPr>
          <w:rFonts w:ascii="Times New Roman" w:hAnsi="Times New Roman" w:cs="Times New Roman"/>
        </w:rPr>
        <w:t>, p = 0.52, %ROPE = 39.</w:t>
      </w:r>
      <w:r w:rsidR="0056783E" w:rsidRPr="22DB2182">
        <w:rPr>
          <w:rFonts w:ascii="Times New Roman" w:hAnsi="Times New Roman" w:cs="Times New Roman"/>
        </w:rPr>
        <w:t>0</w:t>
      </w:r>
      <w:r w:rsidRPr="22DB2182">
        <w:rPr>
          <w:rFonts w:ascii="Times New Roman" w:hAnsi="Times New Roman" w:cs="Times New Roman"/>
        </w:rPr>
        <w:t xml:space="preserve">7, Anode at P10: </w:t>
      </w:r>
      <w:proofErr w:type="spellStart"/>
      <w:r w:rsidRPr="22DB2182">
        <w:rPr>
          <w:rFonts w:ascii="Times New Roman" w:hAnsi="Times New Roman" w:cs="Times New Roman"/>
        </w:rPr>
        <w:t>EMM</w:t>
      </w:r>
      <w:r w:rsidRPr="22DB2182">
        <w:rPr>
          <w:rFonts w:ascii="Times New Roman" w:hAnsi="Times New Roman" w:cs="Times New Roman"/>
          <w:vertAlign w:val="subscript"/>
        </w:rPr>
        <w:t>diff</w:t>
      </w:r>
      <w:proofErr w:type="spellEnd"/>
      <w:r w:rsidRPr="22DB2182">
        <w:rPr>
          <w:rFonts w:ascii="Times New Roman" w:hAnsi="Times New Roman" w:cs="Times New Roman"/>
        </w:rPr>
        <w:t xml:space="preserve"> = -0.1</w:t>
      </w:r>
      <w:r w:rsidR="0056783E" w:rsidRPr="22DB2182">
        <w:rPr>
          <w:rFonts w:ascii="Times New Roman" w:hAnsi="Times New Roman" w:cs="Times New Roman"/>
        </w:rPr>
        <w:t>3</w:t>
      </w:r>
      <w:r w:rsidRPr="22DB2182">
        <w:rPr>
          <w:rFonts w:ascii="Times New Roman" w:hAnsi="Times New Roman" w:cs="Times New Roman"/>
        </w:rPr>
        <w:t>, HDI</w:t>
      </w:r>
      <w:r w:rsidRPr="22DB2182">
        <w:rPr>
          <w:rFonts w:ascii="Times New Roman" w:hAnsi="Times New Roman" w:cs="Times New Roman"/>
          <w:vertAlign w:val="subscript"/>
        </w:rPr>
        <w:t>89</w:t>
      </w:r>
      <w:r w:rsidRPr="22DB2182">
        <w:rPr>
          <w:rFonts w:ascii="Times New Roman" w:hAnsi="Times New Roman" w:cs="Times New Roman"/>
        </w:rPr>
        <w:t xml:space="preserve"> = [-0.7</w:t>
      </w:r>
      <w:r w:rsidR="0056783E" w:rsidRPr="22DB2182">
        <w:rPr>
          <w:rFonts w:ascii="Times New Roman" w:hAnsi="Times New Roman" w:cs="Times New Roman"/>
        </w:rPr>
        <w:t>9</w:t>
      </w:r>
      <w:r w:rsidRPr="22DB2182">
        <w:rPr>
          <w:rFonts w:ascii="Times New Roman" w:hAnsi="Times New Roman" w:cs="Times New Roman"/>
        </w:rPr>
        <w:t>, 0.53], ER = 0.6</w:t>
      </w:r>
      <w:r w:rsidR="0056783E" w:rsidRPr="22DB2182">
        <w:rPr>
          <w:rFonts w:ascii="Times New Roman" w:hAnsi="Times New Roman" w:cs="Times New Roman"/>
        </w:rPr>
        <w:t>2</w:t>
      </w:r>
      <w:r w:rsidRPr="22DB2182">
        <w:rPr>
          <w:rFonts w:ascii="Times New Roman" w:hAnsi="Times New Roman" w:cs="Times New Roman"/>
        </w:rPr>
        <w:t>, p = 0.38, %ROPE = 3</w:t>
      </w:r>
      <w:r w:rsidR="0056783E" w:rsidRPr="22DB2182">
        <w:rPr>
          <w:rFonts w:ascii="Times New Roman" w:hAnsi="Times New Roman" w:cs="Times New Roman"/>
        </w:rPr>
        <w:t>6</w:t>
      </w:r>
      <w:r w:rsidRPr="22DB2182">
        <w:rPr>
          <w:rFonts w:ascii="Times New Roman" w:hAnsi="Times New Roman" w:cs="Times New Roman"/>
        </w:rPr>
        <w:t>.</w:t>
      </w:r>
      <w:r w:rsidR="0056783E" w:rsidRPr="22DB2182">
        <w:rPr>
          <w:rFonts w:ascii="Times New Roman" w:hAnsi="Times New Roman" w:cs="Times New Roman"/>
        </w:rPr>
        <w:t>7</w:t>
      </w:r>
      <w:r w:rsidRPr="22DB2182">
        <w:rPr>
          <w:rFonts w:ascii="Times New Roman" w:hAnsi="Times New Roman" w:cs="Times New Roman"/>
        </w:rPr>
        <w:t>) successfully altered MB report rate (Supplementary Figure S</w:t>
      </w:r>
      <w:r w:rsidR="005C23E1">
        <w:rPr>
          <w:rFonts w:ascii="Times New Roman" w:hAnsi="Times New Roman" w:cs="Times New Roman"/>
        </w:rPr>
        <w:t>5</w:t>
      </w:r>
      <w:r w:rsidRPr="22DB2182">
        <w:rPr>
          <w:rFonts w:ascii="Times New Roman" w:hAnsi="Times New Roman" w:cs="Times New Roman"/>
        </w:rPr>
        <w:t>).</w:t>
      </w:r>
    </w:p>
    <w:p w14:paraId="6C426B46" w14:textId="7028BDA0" w:rsidR="008F5DA6" w:rsidRDefault="00FB05D1">
      <w:pPr>
        <w:spacing w:line="360" w:lineRule="auto"/>
        <w:ind w:firstLine="720"/>
        <w:jc w:val="both"/>
      </w:pPr>
      <w:r>
        <w:rPr>
          <w:rFonts w:ascii="Times New Roman" w:hAnsi="Times New Roman" w:cs="Times New Roman"/>
          <w:i/>
          <w:iCs/>
        </w:rPr>
        <w:t xml:space="preserve">Exploratory analysis </w:t>
      </w:r>
      <w:r w:rsidR="00313566">
        <w:rPr>
          <w:rFonts w:ascii="Times New Roman" w:hAnsi="Times New Roman" w:cs="Times New Roman"/>
          <w:i/>
          <w:iCs/>
        </w:rPr>
        <w:t>4</w:t>
      </w:r>
      <w:r>
        <w:rPr>
          <w:rFonts w:ascii="Times New Roman" w:hAnsi="Times New Roman" w:cs="Times New Roman"/>
          <w:i/>
          <w:iCs/>
        </w:rPr>
        <w:t xml:space="preserve">: </w:t>
      </w:r>
      <w:r>
        <w:rPr>
          <w:rFonts w:ascii="Times New Roman" w:hAnsi="Times New Roman" w:cs="Times New Roman"/>
        </w:rPr>
        <w:t xml:space="preserve">Finally, we identified one study that administered THC and reported an MB rate of 19% </w:t>
      </w:r>
      <w:r w:rsidR="00077D5D">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{"citationID":"ast9ptmjeh","properties":{"unsorted":false,"formattedCitation":"(Adam et al., 2020)","plainCitation":"(Adam et al., 2020)","noteIndex":0},"citationItems":[{"id":15396,"uris":["http://zotero.org/groups/6160358/items/PSDMGGWT"],"itemData":{"id":15396,"type":"article-journal","abstract":"With the increasing prevalence of legal cannabis use and availability, there is an urgent need to identify cognitive impairments related to its use. It is widely believed that cannabis, or its main psychoactive component Δ9-tetrahydrocannabinol (THC), impairs working memory, i.e., the ability to temporarily hold information in mind. However, our review of the literature yielded surprisingly little empirical support for an effect of THC or cannabis on working memory. We thus conducted a study with three main goals: (1) quantify the effect of THC on visual working memory in a well-powered sample, (2) test the potential role of cognitive effects (mind wandering and metacognition) in disrupting working memory, and (3) demonstrate how insufficient sample size and task duration reduce the likelihood of detecting a drug effect. We conducted two double-blind, randomized crossover experiments in which healthy adults (N = 23, 23) performed a reliable and validated visual working memory task (the “Discrete Whole Report task”, 90 trials) after administration of THC (7.5 and/or 15 mg oral) or placebo. We also assessed self-reported “mind wandering” (Exp 1) and metacognitive accuracy about ongoing task performance (Exp 2). THC impaired working memory performance (d = 0.65), increased mind wandering (Exp 1), and decreased metacognitive accuracy about task performance (Exp 2). Thus, our findings indicate that THC does impair visual working memory, and that this impairment may be related to both increased mind wandering and decreased monitoring of task performance. Finally, we used a down-sampling procedure to illustrate the effects of task length and sample size on power to detect the acute effect of THC on working memory.","citation-key":"adamD9TetrahydrocannabinolTHCImpairs2020a","container-title":"Neuropsychopharmacology (New York, N.Y.)","ISSN":"0893-133X","issue":"11","language":"eng","license":"The Author(s), under exclusive licence to American College of Neuropsychopharmacology 2020.","page":"1807–1816","title":"Δ9-Tetrahydrocannabinol (THC) impairs visual working memory performance: a randomized crossover trial","volume":"45","author":[{"family":"Adam","given":"Kirsten C. S."},{"family":"Doss","given":"Manoj K."},{"family":"Pabon","given":"Elisa"},{"family":"Vogel","given":"Edward K."},{"family":"Wit","given":"Harriet","non-dropping-particle":"de"}],"issued":{"date-parts":[["2020",10]]}}}],"schema":"https://github.com/citation-style-language/schema/raw/master/csl-citation.json"} </w:instrText>
      </w:r>
      <w:r w:rsidR="00077D5D">
        <w:rPr>
          <w:rFonts w:ascii="Times New Roman" w:hAnsi="Times New Roman" w:cs="Times New Roman"/>
        </w:rPr>
        <w:fldChar w:fldCharType="separate"/>
      </w:r>
      <w:r w:rsidR="00B633EE" w:rsidRPr="00B633EE">
        <w:rPr>
          <w:rFonts w:ascii="Times New Roman" w:hAnsi="Times New Roman" w:cs="Times New Roman"/>
        </w:rPr>
        <w:t>(Adam et al., 2020)</w:t>
      </w:r>
      <w:r w:rsidR="00077D5D">
        <w:rPr>
          <w:rFonts w:ascii="Times New Roman" w:hAnsi="Times New Roman" w:cs="Times New Roman"/>
        </w:rPr>
        <w:fldChar w:fldCharType="end"/>
      </w:r>
      <w:r>
        <w:rPr>
          <w:rFonts w:ascii="Times New Roman" w:hAnsi="Times New Roman" w:cs="Times New Roman"/>
        </w:rPr>
        <w:t>. Similarly to the thought-silencing instruction, we introduced it as a categorical variable and examined whether it separated from the baseline model. Although there was an increase in MB, the posterior contrast included zero, and we cannot make an inference claim (</w:t>
      </w:r>
      <w:proofErr w:type="spellStart"/>
      <w:r>
        <w:rPr>
          <w:rFonts w:ascii="Times New Roman" w:hAnsi="Times New Roman" w:cs="Times New Roman"/>
        </w:rPr>
        <w:t>EMM</w:t>
      </w:r>
      <w:r>
        <w:rPr>
          <w:rFonts w:ascii="Times New Roman" w:hAnsi="Times New Roman" w:cs="Times New Roman"/>
          <w:vertAlign w:val="subscript"/>
        </w:rPr>
        <w:t>diff</w:t>
      </w:r>
      <w:proofErr w:type="spellEnd"/>
      <w:r>
        <w:rPr>
          <w:rFonts w:ascii="Times New Roman" w:hAnsi="Times New Roman" w:cs="Times New Roman"/>
        </w:rPr>
        <w:t xml:space="preserve"> = 0.5</w:t>
      </w:r>
      <w:r w:rsidR="00270BA1">
        <w:rPr>
          <w:rFonts w:ascii="Times New Roman" w:hAnsi="Times New Roman" w:cs="Times New Roman"/>
        </w:rPr>
        <w:t>5</w:t>
      </w:r>
      <w:r>
        <w:rPr>
          <w:rFonts w:ascii="Times New Roman" w:hAnsi="Times New Roman" w:cs="Times New Roman"/>
        </w:rPr>
        <w:t>, HDI</w:t>
      </w:r>
      <w:r>
        <w:rPr>
          <w:rFonts w:ascii="Times New Roman" w:hAnsi="Times New Roman" w:cs="Times New Roman"/>
          <w:vertAlign w:val="subscript"/>
        </w:rPr>
        <w:t>89</w:t>
      </w:r>
      <w:r>
        <w:rPr>
          <w:rFonts w:ascii="Times New Roman" w:hAnsi="Times New Roman" w:cs="Times New Roman"/>
        </w:rPr>
        <w:t xml:space="preserve"> = [-0.3</w:t>
      </w:r>
      <w:r w:rsidR="00270BA1">
        <w:rPr>
          <w:rFonts w:ascii="Times New Roman" w:hAnsi="Times New Roman" w:cs="Times New Roman"/>
        </w:rPr>
        <w:t>4</w:t>
      </w:r>
      <w:r>
        <w:rPr>
          <w:rFonts w:ascii="Times New Roman" w:hAnsi="Times New Roman" w:cs="Times New Roman"/>
        </w:rPr>
        <w:t>, 1.4</w:t>
      </w:r>
      <w:r w:rsidR="00270BA1">
        <w:rPr>
          <w:rFonts w:ascii="Times New Roman" w:hAnsi="Times New Roman" w:cs="Times New Roman"/>
        </w:rPr>
        <w:t>3</w:t>
      </w:r>
      <w:r>
        <w:rPr>
          <w:rFonts w:ascii="Times New Roman" w:hAnsi="Times New Roman" w:cs="Times New Roman"/>
        </w:rPr>
        <w:t>], ER = 5.</w:t>
      </w:r>
      <w:r w:rsidR="00270BA1">
        <w:rPr>
          <w:rFonts w:ascii="Times New Roman" w:hAnsi="Times New Roman" w:cs="Times New Roman"/>
        </w:rPr>
        <w:t>15</w:t>
      </w:r>
      <w:r>
        <w:rPr>
          <w:rFonts w:ascii="Times New Roman" w:hAnsi="Times New Roman" w:cs="Times New Roman"/>
        </w:rPr>
        <w:t>, p = 0.8</w:t>
      </w:r>
      <w:r w:rsidR="00270BA1">
        <w:rPr>
          <w:rFonts w:ascii="Times New Roman" w:hAnsi="Times New Roman" w:cs="Times New Roman"/>
        </w:rPr>
        <w:t>4</w:t>
      </w:r>
      <w:r>
        <w:rPr>
          <w:rFonts w:ascii="Times New Roman" w:hAnsi="Times New Roman" w:cs="Times New Roman"/>
        </w:rPr>
        <w:t>, %ROPE = 17.</w:t>
      </w:r>
      <w:r w:rsidR="00270BA1">
        <w:rPr>
          <w:rFonts w:ascii="Times New Roman" w:hAnsi="Times New Roman" w:cs="Times New Roman"/>
        </w:rPr>
        <w:t>91</w:t>
      </w:r>
      <w:r>
        <w:rPr>
          <w:rFonts w:ascii="Times New Roman" w:hAnsi="Times New Roman" w:cs="Times New Roman"/>
        </w:rPr>
        <w:t>) (Supplementary Figure S</w:t>
      </w:r>
      <w:r w:rsidR="005C23E1">
        <w:rPr>
          <w:rFonts w:ascii="Times New Roman" w:hAnsi="Times New Roman" w:cs="Times New Roman"/>
        </w:rPr>
        <w:t>6</w:t>
      </w:r>
      <w:r>
        <w:rPr>
          <w:rFonts w:ascii="Times New Roman" w:hAnsi="Times New Roman" w:cs="Times New Roman"/>
        </w:rPr>
        <w:t>).</w:t>
      </w:r>
    </w:p>
    <w:p w14:paraId="2B09D7B2" w14:textId="446E0222" w:rsidR="008F5DA6" w:rsidRDefault="00FB05D1">
      <w:pPr>
        <w:spacing w:line="360" w:lineRule="auto"/>
        <w:jc w:val="both"/>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i/>
          <w:iCs/>
        </w:rPr>
        <w:t>Power simulations.</w:t>
      </w:r>
      <w:r>
        <w:rPr>
          <w:rFonts w:ascii="Times New Roman" w:hAnsi="Times New Roman" w:cs="Times New Roman"/>
        </w:rPr>
        <w:t xml:space="preserve"> With a baseline MB report rate of </w:t>
      </w:r>
      <w:r w:rsidR="00BD4689">
        <w:rPr>
          <w:rFonts w:ascii="Times New Roman" w:hAnsi="Times New Roman" w:cs="Times New Roman"/>
        </w:rPr>
        <w:t>10.5%</w:t>
      </w:r>
      <w:r>
        <w:rPr>
          <w:rFonts w:ascii="Times New Roman" w:hAnsi="Times New Roman" w:cs="Times New Roman"/>
        </w:rPr>
        <w:t xml:space="preserve">, we wanted to examine how future studies can </w:t>
      </w:r>
      <w:r w:rsidR="0075190F">
        <w:rPr>
          <w:rFonts w:ascii="Times New Roman" w:hAnsi="Times New Roman" w:cs="Times New Roman"/>
        </w:rPr>
        <w:t>develop efficient, well-powered experience-sampling designs and</w:t>
      </w:r>
      <w:r>
        <w:rPr>
          <w:rFonts w:ascii="Times New Roman" w:hAnsi="Times New Roman" w:cs="Times New Roman"/>
        </w:rPr>
        <w:t xml:space="preserve"> what these studies should expect in terms of MB reports. Therefore, we performed a power calculation </w:t>
      </w:r>
      <w:r w:rsidR="0075190F">
        <w:rPr>
          <w:rFonts w:ascii="Times New Roman" w:hAnsi="Times New Roman" w:cs="Times New Roman"/>
        </w:rPr>
        <w:t xml:space="preserve">for </w:t>
      </w:r>
      <w:proofErr w:type="gramStart"/>
      <w:r w:rsidR="0075190F">
        <w:rPr>
          <w:rFonts w:ascii="Times New Roman" w:hAnsi="Times New Roman" w:cs="Times New Roman"/>
        </w:rPr>
        <w:t>a within-subject,</w:t>
      </w:r>
      <w:proofErr w:type="gramEnd"/>
      <w:r w:rsidR="0075190F">
        <w:rPr>
          <w:rFonts w:ascii="Times New Roman" w:hAnsi="Times New Roman" w:cs="Times New Roman"/>
        </w:rPr>
        <w:t xml:space="preserve"> two-condition logistic regression, in which one condition represented a baseline experience-sampling session and the second condition represented an experimental manipulation aimed at increasing</w:t>
      </w:r>
      <w:r>
        <w:rPr>
          <w:rFonts w:ascii="Times New Roman" w:hAnsi="Times New Roman" w:cs="Times New Roman"/>
        </w:rPr>
        <w:t xml:space="preserve"> MB. We varied the sample size (from 10 to 200), the effect size (log odds, from low effect = 0.35 to high effect =1.85 </w:t>
      </w:r>
      <w:r w:rsidR="002B2BBC">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{"citationID":"a6c14nooog","properties":{"unsorted":false,"formattedCitation":"(Cohen, 2013)","plainCitation":"(Cohen, 2013)","noteIndex":0},"citationItems":[{"id":17688,"uris":["http://zotero.org/users/8613739/items/YL22QT6C"],"itemData":{"id":17688,"type":"book","abstract":"Statistical Power Analysis is a nontechnical guide to power analysis in research planning that provides users of applied statistics with the tools they need for more effective analysis. The Second Edition includes:  * a chapter covering power analysis in set correlation and multivariate methods; * a chapter considering effect size, psychometric reliability, and the efficacy of \"qualifying\" dependent variables and; * expanded power and sample size tables for multiple regression/correlation.","citation-key":"cohenStatisticalPowerAnalysis2013","DOI":"10.4324/9780203771587","edition":"2","ISBN":"978-0-203-77158-7","number-of-pages":"567","publisher":"Routledge","publisher-place":"New York","title":"Statistical Power Analysis for the Behavioral Sciences","author":[{"family":"Cohen","given":"Jacob"}],"issued":{"date-parts":[["2013",5,13]]}}}],"schema":"https://github.com/citation-style-language/schema/raw/master/csl-citation.json"} </w:instrText>
      </w:r>
      <w:r w:rsidR="002B2BBC">
        <w:rPr>
          <w:rFonts w:ascii="Times New Roman" w:hAnsi="Times New Roman" w:cs="Times New Roman"/>
        </w:rPr>
        <w:fldChar w:fldCharType="separate"/>
      </w:r>
      <w:r w:rsidR="00B633EE" w:rsidRPr="00B633EE">
        <w:rPr>
          <w:rFonts w:ascii="Times New Roman" w:hAnsi="Times New Roman" w:cs="Times New Roman"/>
        </w:rPr>
        <w:t>(Cohen, 2013)</w:t>
      </w:r>
      <w:r w:rsidR="002B2BBC">
        <w:rPr>
          <w:rFonts w:ascii="Times New Roman" w:hAnsi="Times New Roman" w:cs="Times New Roman"/>
        </w:rPr>
        <w:fldChar w:fldCharType="end"/>
      </w:r>
      <w:r>
        <w:rPr>
          <w:rFonts w:ascii="Times New Roman" w:hAnsi="Times New Roman" w:cs="Times New Roman"/>
        </w:rPr>
        <w:t xml:space="preserve">, and the number of probes during the session (30,40,50) (Figure </w:t>
      </w:r>
      <w:r w:rsidR="00E130C9">
        <w:rPr>
          <w:rFonts w:ascii="Times New Roman" w:hAnsi="Times New Roman" w:cs="Times New Roman"/>
        </w:rPr>
        <w:t>6</w:t>
      </w:r>
      <w:r>
        <w:rPr>
          <w:rFonts w:ascii="Times New Roman" w:hAnsi="Times New Roman" w:cs="Times New Roman"/>
        </w:rPr>
        <w:t xml:space="preserve">). </w:t>
      </w:r>
      <w:r w:rsidR="002B2BBC">
        <w:rPr>
          <w:rFonts w:ascii="Times New Roman" w:hAnsi="Times New Roman" w:cs="Times New Roman"/>
        </w:rPr>
        <w:t xml:space="preserve">Note that this is a simplified scenario meant to compare </w:t>
      </w:r>
      <w:r w:rsidR="0075190F">
        <w:rPr>
          <w:rFonts w:ascii="Times New Roman" w:hAnsi="Times New Roman" w:cs="Times New Roman"/>
        </w:rPr>
        <w:t xml:space="preserve">the number of </w:t>
      </w:r>
      <w:proofErr w:type="spellStart"/>
      <w:r w:rsidR="0075190F">
        <w:rPr>
          <w:rFonts w:ascii="Times New Roman" w:hAnsi="Times New Roman" w:cs="Times New Roman"/>
        </w:rPr>
        <w:t>utilised</w:t>
      </w:r>
      <w:proofErr w:type="spellEnd"/>
      <w:r w:rsidR="0075190F">
        <w:rPr>
          <w:rFonts w:ascii="Times New Roman" w:hAnsi="Times New Roman" w:cs="Times New Roman"/>
        </w:rPr>
        <w:t xml:space="preserve"> probes, assuming that the effects of other parameters, such as sampling density or session duration,</w:t>
      </w:r>
      <w:r w:rsidR="002B2BBC">
        <w:rPr>
          <w:rFonts w:ascii="Times New Roman" w:hAnsi="Times New Roman" w:cs="Times New Roman"/>
        </w:rPr>
        <w:t xml:space="preserve"> are held constant. </w:t>
      </w:r>
      <w:r>
        <w:rPr>
          <w:rFonts w:ascii="Times New Roman" w:hAnsi="Times New Roman" w:cs="Times New Roman"/>
        </w:rPr>
        <w:t xml:space="preserve">A small effect size, corresponding to an increase in MB reports of ~1.2 – 2 requires &gt; 200 participants to achieve a power of 0.95 at an </w:t>
      </w:r>
      <w:r>
        <w:rPr>
          <w:rFonts w:ascii="Times New Roman" w:hAnsi="Times New Roman" w:cs="Times New Roman"/>
          <w:lang w:val="el-GR"/>
        </w:rPr>
        <w:t>α</w:t>
      </w:r>
      <w:r>
        <w:rPr>
          <w:rFonts w:ascii="Times New Roman" w:hAnsi="Times New Roman" w:cs="Times New Roman"/>
        </w:rPr>
        <w:t xml:space="preserve">-error of 0.01. A medium log-odds effect of 0.9, corresponding to an increase in MB reports of ~3.5-6 requires 40 participants for 30 </w:t>
      </w:r>
      <w:r w:rsidR="0075190F">
        <w:rPr>
          <w:rFonts w:ascii="Times New Roman" w:hAnsi="Times New Roman" w:cs="Times New Roman"/>
        </w:rPr>
        <w:t>probes/session</w:t>
      </w:r>
      <w:r>
        <w:rPr>
          <w:rFonts w:ascii="Times New Roman" w:hAnsi="Times New Roman" w:cs="Times New Roman"/>
        </w:rPr>
        <w:t xml:space="preserve">, and 35 participants for 40 </w:t>
      </w:r>
      <w:r w:rsidR="0075190F">
        <w:rPr>
          <w:rFonts w:ascii="Times New Roman" w:hAnsi="Times New Roman" w:cs="Times New Roman"/>
        </w:rPr>
        <w:t>probes/session</w:t>
      </w:r>
      <w:r>
        <w:rPr>
          <w:rFonts w:ascii="Times New Roman" w:hAnsi="Times New Roman" w:cs="Times New Roman"/>
        </w:rPr>
        <w:t xml:space="preserve"> and 50 </w:t>
      </w:r>
      <w:r w:rsidR="0075190F">
        <w:rPr>
          <w:rFonts w:ascii="Times New Roman" w:hAnsi="Times New Roman" w:cs="Times New Roman"/>
        </w:rPr>
        <w:t>probes/session</w:t>
      </w:r>
      <w:r>
        <w:rPr>
          <w:rFonts w:ascii="Times New Roman" w:hAnsi="Times New Roman" w:cs="Times New Roman"/>
        </w:rPr>
        <w:t xml:space="preserve">. Notably, this effect size </w:t>
      </w:r>
      <w:r w:rsidR="0075190F">
        <w:rPr>
          <w:rFonts w:ascii="Times New Roman" w:hAnsi="Times New Roman" w:cs="Times New Roman"/>
        </w:rPr>
        <w:t>results in approximately twice as many MB probes as in</w:t>
      </w:r>
      <w:r>
        <w:rPr>
          <w:rFonts w:ascii="Times New Roman" w:hAnsi="Times New Roman" w:cs="Times New Roman"/>
        </w:rPr>
        <w:t xml:space="preserve"> the baseline condition. Finally, a large log-odds effect of 1.45 requires 20 participants for 30 </w:t>
      </w:r>
      <w:r w:rsidR="0075190F">
        <w:rPr>
          <w:rFonts w:ascii="Times New Roman" w:hAnsi="Times New Roman" w:cs="Times New Roman"/>
        </w:rPr>
        <w:t>probes/session</w:t>
      </w:r>
      <w:r>
        <w:rPr>
          <w:rFonts w:ascii="Times New Roman" w:hAnsi="Times New Roman" w:cs="Times New Roman"/>
        </w:rPr>
        <w:t xml:space="preserve">, and 15 participants for 40 and 50 </w:t>
      </w:r>
      <w:r w:rsidR="0075190F">
        <w:rPr>
          <w:rFonts w:ascii="Times New Roman" w:hAnsi="Times New Roman" w:cs="Times New Roman"/>
        </w:rPr>
        <w:t>probes/session</w:t>
      </w:r>
      <w:r>
        <w:rPr>
          <w:rFonts w:ascii="Times New Roman" w:hAnsi="Times New Roman" w:cs="Times New Roman"/>
        </w:rPr>
        <w:t>.</w:t>
      </w:r>
    </w:p>
    <w:p w14:paraId="6FD69CFD" w14:textId="77777777" w:rsidR="0042207F" w:rsidRDefault="0042207F" w:rsidP="0042207F">
      <w:pPr>
        <w:spacing w:line="360" w:lineRule="auto"/>
        <w:jc w:val="both"/>
      </w:pPr>
      <w:r>
        <w:rPr>
          <w:rFonts w:ascii="Times New Roman" w:hAnsi="Times New Roman" w:cs="Times New Roman"/>
          <w:noProof/>
        </w:rPr>
        <w:drawing>
          <wp:inline distT="0" distB="0" distL="0" distR="0" wp14:anchorId="2DBF81E4" wp14:editId="26E6CC2A">
            <wp:extent cx="6401869" cy="2429057"/>
            <wp:effectExtent l="0" t="0" r="0" b="9343"/>
            <wp:docPr id="1909072489"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401869" cy="2429057"/>
                    </a:xfrm>
                    <a:prstGeom prst="rect">
                      <a:avLst/>
                    </a:prstGeom>
                    <a:noFill/>
                    <a:ln>
                      <a:noFill/>
                      <a:prstDash/>
                    </a:ln>
                  </pic:spPr>
                </pic:pic>
              </a:graphicData>
            </a:graphic>
          </wp:inline>
        </w:drawing>
      </w:r>
    </w:p>
    <w:p w14:paraId="7EE56409" w14:textId="60F78774" w:rsidR="0042207F" w:rsidRDefault="0042207F" w:rsidP="0042207F">
      <w:pPr>
        <w:spacing w:line="360" w:lineRule="auto"/>
        <w:jc w:val="center"/>
      </w:pPr>
      <w:r>
        <w:rPr>
          <w:rFonts w:ascii="Times New Roman" w:hAnsi="Times New Roman" w:cs="Times New Roman"/>
          <w:b/>
          <w:sz w:val="20"/>
          <w:szCs w:val="20"/>
        </w:rPr>
        <w:t>Figure 6. Simulated power for a two-condition experience-sampling study.</w:t>
      </w:r>
      <w:r>
        <w:rPr>
          <w:rFonts w:ascii="Times New Roman" w:hAnsi="Times New Roman" w:cs="Times New Roman"/>
          <w:sz w:val="20"/>
          <w:szCs w:val="20"/>
        </w:rPr>
        <w:t xml:space="preserve"> We simulated a two-condition, within-subject experiment consisting of a “baseline” and an “experimental” experience-sampling condition. In the baseline condition, we simulated mind-blanking (MB) reports at a rate of 10.</w:t>
      </w:r>
      <w:r w:rsidR="000257E1">
        <w:rPr>
          <w:rFonts w:ascii="Times New Roman" w:hAnsi="Times New Roman" w:cs="Times New Roman"/>
          <w:sz w:val="20"/>
          <w:szCs w:val="20"/>
        </w:rPr>
        <w:t>5</w:t>
      </w:r>
      <w:r>
        <w:rPr>
          <w:rFonts w:ascii="Times New Roman" w:hAnsi="Times New Roman" w:cs="Times New Roman"/>
          <w:sz w:val="20"/>
          <w:szCs w:val="20"/>
        </w:rPr>
        <w:t>%, as per the posterior estimate of our baseline model. In the experimental condition, we varied the effect size of MB report increase from 0.35 to 1.85, corresponding to range of changes capturing small, medium and large effect sizes. We also varied the number of probes (</w:t>
      </w:r>
      <w:r w:rsidR="0075190F">
        <w:rPr>
          <w:rFonts w:ascii="Times New Roman" w:hAnsi="Times New Roman" w:cs="Times New Roman"/>
          <w:sz w:val="20"/>
          <w:szCs w:val="20"/>
        </w:rPr>
        <w:t>30, 40, 50</w:t>
      </w:r>
      <w:r>
        <w:rPr>
          <w:rFonts w:ascii="Times New Roman" w:hAnsi="Times New Roman" w:cs="Times New Roman"/>
          <w:sz w:val="20"/>
          <w:szCs w:val="20"/>
        </w:rPr>
        <w:t xml:space="preserve">) from which we sampled MB reports. </w:t>
      </w:r>
      <w:r w:rsidR="005C23E1" w:rsidRPr="005C23E1">
        <w:rPr>
          <w:rFonts w:ascii="Times New Roman" w:hAnsi="Times New Roman" w:cs="Times New Roman"/>
          <w:i/>
          <w:iCs/>
          <w:sz w:val="20"/>
          <w:szCs w:val="20"/>
        </w:rPr>
        <w:t>Note.</w:t>
      </w:r>
      <w:r w:rsidR="005C23E1">
        <w:rPr>
          <w:rFonts w:ascii="Times New Roman" w:hAnsi="Times New Roman" w:cs="Times New Roman"/>
          <w:i/>
          <w:iCs/>
          <w:sz w:val="20"/>
          <w:szCs w:val="20"/>
        </w:rPr>
        <w:t xml:space="preserve"> </w:t>
      </w:r>
      <w:r>
        <w:rPr>
          <w:rFonts w:ascii="Times New Roman" w:hAnsi="Times New Roman" w:cs="Times New Roman"/>
          <w:sz w:val="20"/>
          <w:szCs w:val="20"/>
        </w:rPr>
        <w:t xml:space="preserve">The x-axis shows the number of subjects. The left y-axis shows the effect size examined. The right y-axis indicates the expected number of MB reports increases in experimental conditions relative to the baseline. The dashed </w:t>
      </w:r>
      <w:r>
        <w:rPr>
          <w:rFonts w:ascii="Times New Roman" w:hAnsi="Times New Roman" w:cs="Times New Roman"/>
          <w:sz w:val="20"/>
          <w:szCs w:val="20"/>
        </w:rPr>
        <w:lastRenderedPageBreak/>
        <w:t xml:space="preserve">horizontal lines highlight whether the effect sizes are considered small, medium or large, based on the partition of Cohen, </w:t>
      </w:r>
      <w:r>
        <w:rPr>
          <w:rFonts w:ascii="Times New Roman" w:hAnsi="Times New Roman" w:cs="Times New Roman"/>
          <w:sz w:val="20"/>
          <w:szCs w:val="20"/>
        </w:rPr>
        <w:fldChar w:fldCharType="begin"/>
      </w:r>
      <w:r w:rsidR="00B633EE">
        <w:rPr>
          <w:rFonts w:ascii="Times New Roman" w:hAnsi="Times New Roman" w:cs="Times New Roman"/>
          <w:sz w:val="20"/>
          <w:szCs w:val="20"/>
        </w:rPr>
        <w:instrText xml:space="preserve"> ADDIN ZOTERO_ITEM CSL_CITATION {"citationID":"a15vqvsl4sl","properties":{"unsorted":false,"formattedCitation":"(2013)","plainCitation":"(2013)","noteIndex":0},"citationItems":[{"id":17688,"uris":["http://zotero.org/users/8613739/items/YL22QT6C"],"itemData":{"id":17688,"type":"book","abstract":"Statistical Power Analysis is a nontechnical guide to power analysis in research planning that provides users of applied statistics with the tools they need for more effective analysis. The Second Edition includes:  * a chapter covering power analysis in set correlation and multivariate methods; * a chapter considering effect size, psychometric reliability, and the efficacy of \"qualifying\" dependent variables and; * expanded power and sample size tables for multiple regression/correlation.","citation-key":"cohenStatisticalPowerAnalysis2013","DOI":"10.4324/9780203771587","edition":"2","ISBN":"978-0-203-77158-7","number-of-pages":"567","publisher":"Routledge","publisher-place":"New York","title":"Statistical Power Analysis for the Behavioral Sciences","author":[{"family":"Cohen","given":"Jacob"}],"issued":{"date-parts":[["2013",5,13]]}},"suppress-author":true}],"schema":"https://github.com/citation-style-language/schema/raw/master/csl-citation.json"} </w:instrText>
      </w:r>
      <w:r>
        <w:rPr>
          <w:rFonts w:ascii="Times New Roman" w:hAnsi="Times New Roman" w:cs="Times New Roman"/>
          <w:sz w:val="20"/>
          <w:szCs w:val="20"/>
        </w:rPr>
        <w:fldChar w:fldCharType="separate"/>
      </w:r>
      <w:r w:rsidR="00B633EE" w:rsidRPr="00B633EE">
        <w:rPr>
          <w:rFonts w:ascii="Times New Roman" w:hAnsi="Times New Roman" w:cs="Times New Roman"/>
          <w:sz w:val="20"/>
        </w:rPr>
        <w:t>(2013)</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p w14:paraId="33A499DD" w14:textId="77777777" w:rsidR="008F5DA6" w:rsidRDefault="00FB05D1">
      <w:pPr>
        <w:pStyle w:val="Heading1"/>
        <w:jc w:val="both"/>
      </w:pPr>
      <w:r>
        <w:rPr>
          <w:rFonts w:ascii="Times New Roman" w:hAnsi="Times New Roman"/>
          <w:color w:val="auto"/>
          <w:sz w:val="24"/>
          <w:u w:val="single"/>
        </w:rPr>
        <w:t>Discussion</w:t>
      </w:r>
    </w:p>
    <w:p w14:paraId="4CAF70BA" w14:textId="0D984553" w:rsidR="008F5DA6" w:rsidRDefault="00FB05D1">
      <w:pPr>
        <w:spacing w:line="360" w:lineRule="auto"/>
        <w:jc w:val="both"/>
        <w:rPr>
          <w:rFonts w:ascii="Times New Roman" w:hAnsi="Times New Roman" w:cs="Times New Roman"/>
        </w:rPr>
      </w:pPr>
      <w:r>
        <w:tab/>
      </w:r>
      <w:r>
        <w:rPr>
          <w:rFonts w:ascii="Times New Roman" w:hAnsi="Times New Roman" w:cs="Times New Roman"/>
        </w:rPr>
        <w:t xml:space="preserve">The present </w:t>
      </w:r>
      <w:r w:rsidR="00EC6FBA">
        <w:rPr>
          <w:rFonts w:ascii="Times New Roman" w:hAnsi="Times New Roman" w:cs="Times New Roman"/>
        </w:rPr>
        <w:t>study</w:t>
      </w:r>
      <w:r>
        <w:rPr>
          <w:rFonts w:ascii="Times New Roman" w:hAnsi="Times New Roman" w:cs="Times New Roman"/>
        </w:rPr>
        <w:t xml:space="preserve"> aggregated MB reports </w:t>
      </w:r>
      <w:proofErr w:type="gramStart"/>
      <w:r w:rsidR="00F62572">
        <w:rPr>
          <w:rFonts w:ascii="Times New Roman" w:hAnsi="Times New Roman" w:cs="Times New Roman"/>
        </w:rPr>
        <w:t>in order to</w:t>
      </w:r>
      <w:proofErr w:type="gramEnd"/>
      <w:r w:rsidR="00F62572">
        <w:rPr>
          <w:rFonts w:ascii="Times New Roman" w:hAnsi="Times New Roman" w:cs="Times New Roman"/>
        </w:rPr>
        <w:t xml:space="preserve"> examine</w:t>
      </w:r>
      <w:r>
        <w:rPr>
          <w:rFonts w:ascii="Times New Roman" w:hAnsi="Times New Roman" w:cs="Times New Roman"/>
        </w:rPr>
        <w:t xml:space="preserve"> the prevalence of MB during experience-sampling. Retrospectively, we validated our main hypothesis that 1/10 probes yield an MB </w:t>
      </w:r>
      <w:r w:rsidR="00931AC2">
        <w:rPr>
          <w:rFonts w:ascii="Times New Roman" w:hAnsi="Times New Roman" w:cs="Times New Roman"/>
        </w:rPr>
        <w:t>response</w:t>
      </w:r>
      <w:r>
        <w:rPr>
          <w:rFonts w:ascii="Times New Roman" w:hAnsi="Times New Roman" w:cs="Times New Roman"/>
        </w:rPr>
        <w:t>. We also highlight</w:t>
      </w:r>
      <w:r w:rsidR="00EC6FBA">
        <w:rPr>
          <w:rFonts w:ascii="Times New Roman" w:hAnsi="Times New Roman" w:cs="Times New Roman"/>
        </w:rPr>
        <w:t>ed</w:t>
      </w:r>
      <w:r>
        <w:rPr>
          <w:rFonts w:ascii="Times New Roman" w:hAnsi="Times New Roman" w:cs="Times New Roman"/>
        </w:rPr>
        <w:t xml:space="preserve"> a set of experience-sampling design parameters and population characteristics that alter the MB report rate. Prospectively, we provide basic guidelines to inform future designs aim</w:t>
      </w:r>
      <w:r w:rsidR="1BEB102C" w:rsidRPr="69CF6134">
        <w:rPr>
          <w:rFonts w:ascii="Times New Roman" w:hAnsi="Times New Roman" w:cs="Times New Roman"/>
        </w:rPr>
        <w:t>ed</w:t>
      </w:r>
      <w:r>
        <w:rPr>
          <w:rFonts w:ascii="Times New Roman" w:hAnsi="Times New Roman" w:cs="Times New Roman"/>
        </w:rPr>
        <w:t xml:space="preserve"> </w:t>
      </w:r>
      <w:r w:rsidR="00386C3F">
        <w:rPr>
          <w:rFonts w:ascii="Times New Roman" w:hAnsi="Times New Roman" w:cs="Times New Roman"/>
        </w:rPr>
        <w:t>at</w:t>
      </w:r>
      <w:r>
        <w:rPr>
          <w:rFonts w:ascii="Times New Roman" w:hAnsi="Times New Roman" w:cs="Times New Roman"/>
        </w:rPr>
        <w:t xml:space="preserve"> study</w:t>
      </w:r>
      <w:r w:rsidR="00386C3F">
        <w:rPr>
          <w:rFonts w:ascii="Times New Roman" w:hAnsi="Times New Roman" w:cs="Times New Roman"/>
        </w:rPr>
        <w:t>ing</w:t>
      </w:r>
      <w:r>
        <w:rPr>
          <w:rFonts w:ascii="Times New Roman" w:hAnsi="Times New Roman" w:cs="Times New Roman"/>
        </w:rPr>
        <w:t xml:space="preserve"> which conditions affect MB.</w:t>
      </w:r>
    </w:p>
    <w:p w14:paraId="758AFEC9" w14:textId="5A00C0E0" w:rsidR="00480F0D" w:rsidRDefault="005D02DB">
      <w:pPr>
        <w:spacing w:line="360" w:lineRule="auto"/>
        <w:jc w:val="both"/>
        <w:rPr>
          <w:rFonts w:ascii="Times New Roman" w:hAnsi="Times New Roman" w:cs="Times New Roman"/>
        </w:rPr>
      </w:pPr>
      <w:r>
        <w:rPr>
          <w:rFonts w:ascii="Times New Roman" w:hAnsi="Times New Roman" w:cs="Times New Roman"/>
        </w:rPr>
        <w:tab/>
      </w:r>
      <w:r w:rsidR="28AA5811">
        <w:rPr>
          <w:rFonts w:ascii="Times New Roman" w:hAnsi="Times New Roman" w:cs="Times New Roman"/>
        </w:rPr>
        <w:t xml:space="preserve">Our baseline model showed an MB report rate of 10.5%. This rate was accompanied by low within- and between-study heterogeneity, suggesting that MB rates generally </w:t>
      </w:r>
      <w:r w:rsidR="5771D69A">
        <w:rPr>
          <w:rFonts w:ascii="Times New Roman" w:hAnsi="Times New Roman" w:cs="Times New Roman"/>
        </w:rPr>
        <w:t>remained constant across studies</w:t>
      </w:r>
      <w:r w:rsidR="28AA5811">
        <w:rPr>
          <w:rFonts w:ascii="Times New Roman" w:hAnsi="Times New Roman" w:cs="Times New Roman"/>
        </w:rPr>
        <w:t xml:space="preserve">. This result was consolidated by strong evidence </w:t>
      </w:r>
      <w:proofErr w:type="gramStart"/>
      <w:r w:rsidR="28AA5811">
        <w:rPr>
          <w:rFonts w:ascii="Times New Roman" w:hAnsi="Times New Roman" w:cs="Times New Roman"/>
        </w:rPr>
        <w:t>for</w:t>
      </w:r>
      <w:proofErr w:type="gramEnd"/>
      <w:r w:rsidR="28AA5811">
        <w:rPr>
          <w:rFonts w:ascii="Times New Roman" w:hAnsi="Times New Roman" w:cs="Times New Roman"/>
        </w:rPr>
        <w:t xml:space="preserve"> no effect for most of the experience-</w:t>
      </w:r>
      <w:r w:rsidR="3AD6B107">
        <w:rPr>
          <w:rFonts w:ascii="Times New Roman" w:hAnsi="Times New Roman" w:cs="Times New Roman"/>
        </w:rPr>
        <w:t xml:space="preserve">sampling </w:t>
      </w:r>
      <w:r w:rsidR="28AA5811">
        <w:rPr>
          <w:rFonts w:ascii="Times New Roman" w:hAnsi="Times New Roman" w:cs="Times New Roman"/>
        </w:rPr>
        <w:t xml:space="preserve">parameters examined, suggesting that experience-sampling studies tend to produce similar MB rates irrespective of design choices such as </w:t>
      </w:r>
      <w:r w:rsidR="569FA265">
        <w:rPr>
          <w:rFonts w:ascii="Times New Roman" w:hAnsi="Times New Roman" w:cs="Times New Roman"/>
        </w:rPr>
        <w:t xml:space="preserve">the </w:t>
      </w:r>
      <w:r w:rsidR="28AA5811">
        <w:rPr>
          <w:rFonts w:ascii="Times New Roman" w:hAnsi="Times New Roman" w:cs="Times New Roman"/>
        </w:rPr>
        <w:t xml:space="preserve">number of probes or </w:t>
      </w:r>
      <w:r w:rsidR="569FA265">
        <w:rPr>
          <w:rFonts w:ascii="Times New Roman" w:hAnsi="Times New Roman" w:cs="Times New Roman"/>
        </w:rPr>
        <w:t xml:space="preserve">the </w:t>
      </w:r>
      <w:r w:rsidR="28AA5811">
        <w:rPr>
          <w:rFonts w:ascii="Times New Roman" w:hAnsi="Times New Roman" w:cs="Times New Roman"/>
        </w:rPr>
        <w:t xml:space="preserve">number of response options. </w:t>
      </w:r>
      <w:r w:rsidR="2BDC03DE" w:rsidRPr="69CF6134">
        <w:rPr>
          <w:rFonts w:ascii="Times New Roman" w:hAnsi="Times New Roman" w:cs="Times New Roman"/>
        </w:rPr>
        <w:t>Yet, w</w:t>
      </w:r>
      <w:r w:rsidR="28AA5811">
        <w:rPr>
          <w:rFonts w:ascii="Times New Roman" w:hAnsi="Times New Roman" w:cs="Times New Roman"/>
        </w:rPr>
        <w:t xml:space="preserve">e found evidence for two manipulations that increased MB rates: a) deliberate vs spontaneous and b) using scales vs </w:t>
      </w:r>
      <w:r w:rsidR="6A677D83">
        <w:rPr>
          <w:rFonts w:ascii="Times New Roman" w:hAnsi="Times New Roman" w:cs="Times New Roman"/>
        </w:rPr>
        <w:t xml:space="preserve">alternative, </w:t>
      </w:r>
      <w:r w:rsidR="5771D69A">
        <w:rPr>
          <w:rFonts w:ascii="Times New Roman" w:hAnsi="Times New Roman" w:cs="Times New Roman"/>
        </w:rPr>
        <w:t>forced-choice responses</w:t>
      </w:r>
      <w:r w:rsidR="28AA5811">
        <w:rPr>
          <w:rFonts w:ascii="Times New Roman" w:hAnsi="Times New Roman" w:cs="Times New Roman"/>
        </w:rPr>
        <w:t xml:space="preserve">. Deliberate MB can be elicited by requesting participants to actively try </w:t>
      </w:r>
      <w:r w:rsidR="569FA265">
        <w:rPr>
          <w:rFonts w:ascii="Times New Roman" w:hAnsi="Times New Roman" w:cs="Times New Roman"/>
        </w:rPr>
        <w:t>to</w:t>
      </w:r>
      <w:r w:rsidR="28AA5811">
        <w:rPr>
          <w:rFonts w:ascii="Times New Roman" w:hAnsi="Times New Roman" w:cs="Times New Roman"/>
        </w:rPr>
        <w:t xml:space="preserve"> suppress any thoughts </w:t>
      </w:r>
      <w:r w:rsidR="0089190E">
        <w:rPr>
          <w:rFonts w:ascii="Times New Roman" w:hAnsi="Times New Roman" w:cs="Times New Roman"/>
        </w:rPr>
        <w:t xml:space="preserve">and </w:t>
      </w:r>
      <w:r w:rsidR="28AA5811">
        <w:rPr>
          <w:rFonts w:ascii="Times New Roman" w:hAnsi="Times New Roman" w:cs="Times New Roman"/>
        </w:rPr>
        <w:t xml:space="preserve">was associated with a 32% MB report rate </w:t>
      </w:r>
      <w:r w:rsidR="003617D9">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{"citationID":"a1uamcqp7ta","properties":{"unsorted":false,"formattedCitation":"(Kawagoe et al., 2019)","plainCitation":"(Kawagoe et al., 2019)","noteIndex":0},"citationItems":[{"id":16206,"uris":["http://zotero.org/groups/6160358/items/WBMX7CTM"],"itemData":{"id":16206,"type":"article-journal","abstract":"Mind blanking (MB) is the state where our minds are seemingly \"nowhere,\" and attention calls no perceptual input into conscious awareness. It is little investigated, perhaps partly because it is difficult to detect the mysterious periods of blanking. In this study, we found that our participants could intentionally produce a state of MB whose neural correlates were deactivation of Broca's area and parts of the default mode network (namely, the hippocampus) which would be active during mind wandering (MW), in addition to activity in another region in the default mode network (namely, anterior cingulate cortex). Because the behavioral finding replicates a previous report of ours, we suggest that the simple instructions that we used to induce MB should be effective. From the neuroimaging data, we conclude that we cannot define the content of our thoughts during MB because our inner speech system does not work at that time. Another possibility is that we actually think of nothing in the MB state. Although more sophisticated studies would be needed to uncover the mechanism of such a phenomenon, the present study provides a methodology and clues for understanding MB and related concepts such as MW, awareness, and metacognitive ability.","citation-key":"kawagoeNeuralCorrelatesMind2019a","container-title":"Human brain mapping","DOI":"10.1002/hbm.24748","ISSN":"1097-0193 1065-9471","issue":"17","language":"eng","license":"© 2019 Wiley Periodicals, Inc.","page":"4934–4940","PMID":"31389642","PMCID":"PMC6865483","title":"The neural correlates of \"mind blanking\": When the mind goes away.","volume":"40","author":[{"family":"Kawagoe","given":"Toshikazu"},{"family":"Onoda","given":"Keiichi"},{"family":"Yamaguchi","given":"Shuhei"}],"issued":{"date-parts":[["2019",12]]}}}],"schema":"https://github.com/citation-style-language/schema/raw/master/csl-citation.json"} </w:instrText>
      </w:r>
      <w:r w:rsidR="003617D9">
        <w:rPr>
          <w:rFonts w:ascii="Times New Roman" w:hAnsi="Times New Roman" w:cs="Times New Roman"/>
        </w:rPr>
        <w:fldChar w:fldCharType="separate"/>
      </w:r>
      <w:r w:rsidR="00B633EE" w:rsidRPr="00B633EE">
        <w:rPr>
          <w:rFonts w:ascii="Times New Roman" w:hAnsi="Times New Roman" w:cs="Times New Roman"/>
        </w:rPr>
        <w:t>(Kawagoe et al., 2019)</w:t>
      </w:r>
      <w:r w:rsidR="003617D9">
        <w:rPr>
          <w:rFonts w:ascii="Times New Roman" w:hAnsi="Times New Roman" w:cs="Times New Roman"/>
        </w:rPr>
        <w:fldChar w:fldCharType="end"/>
      </w:r>
      <w:r w:rsidR="28AA5811">
        <w:rPr>
          <w:rFonts w:ascii="Times New Roman" w:hAnsi="Times New Roman" w:cs="Times New Roman"/>
        </w:rPr>
        <w:t xml:space="preserve">. Instructing participants to think of nothing is linked to a distinct functional connectivity profile relative to mind-wandering, </w:t>
      </w:r>
      <w:proofErr w:type="spellStart"/>
      <w:r w:rsidR="28AA5811">
        <w:rPr>
          <w:rFonts w:ascii="Times New Roman" w:hAnsi="Times New Roman" w:cs="Times New Roman"/>
        </w:rPr>
        <w:t>characterised</w:t>
      </w:r>
      <w:proofErr w:type="spellEnd"/>
      <w:r w:rsidR="28AA5811">
        <w:rPr>
          <w:rFonts w:ascii="Times New Roman" w:hAnsi="Times New Roman" w:cs="Times New Roman"/>
        </w:rPr>
        <w:t xml:space="preserve"> by reduced connectivity between the default mode network and the visual networks, as well as the default mode network and the frontal network </w:t>
      </w:r>
      <w:r>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{"citationID":"a2b99h2g5ua","properties":{"unsorted":false,"formattedCitation":"(Kawagoe et al., 2018)","plainCitation":"(Kawagoe et al., 2018)","noteIndex":0},"citationItems":[{"id":17758,"uris":["http://zotero.org/users/8613739/items/PK4HCB2X"],"itemData":{"id":17758,"type":"article-journal","abstract":"Resting-state functional magnetic resonance imaging (rs-fMRI) is widely used to investigate functional brain network connectivity during rest or when the subject is not performing an explicit task. In the standard procedure, subjects are instructed to 'let your mind wander' or 'think of nothing'. While these instructions appear appropriate to induce a 'resting-state', they could induce distinct psychological and physiological states during the scan. In this study, we investigated whether different instructions affect mental state and functional connectivity (FC) (i.e. induce distinct 'resting states') during rs-fMRI scanning. Thirty healthy subjects were subjected to two rs-fMRI scans differing only in pre-scan instructions: think of nothing (TN) and mind-wandering (MW) conditions. Self-reports confirmed that subjects spent the majority of the scanning time in the appropriate mental state. Independent component analysis extracted 19 independent components (ICs) of interest and functional network connectivity analyses indicated several conditional differences in FCs among those ICs, especially characterised by stronger FC in the MW condition than in the TN condition, between default mode network and salience/visual/frontal network. Complementary correlation analysis indicated that some of the network FCs were significantly correlated with their self-reported data on how often they had the TN condition during the scans. The present results provide evidence that the pre-scan instruction has a significant influence on resting-state FC and its relationship with mental activities.","citation-key":"kawagoeDifferentPrescanningInstructions2018","container-title":"The European Journal of Neuroscience","DOI":"10.1111/ejn.13787","ISSN":"1460-9568","issue":"1","journalAbbreviation":"Eur J Neurosci","language":"eng","page":"77-82","PMID":"29205574","source":"PubMed","title":"Different pre-scanning instructions induce distinct psychological and resting brain states during functional magnetic resonance imaging","volume":"47","author":[{"family":"Kawagoe","given":"Toshikazu"},{"family":"Onoda","given":"Keiichi"},{"family":"Yamaguchi","given":"Shuhei"}],"issued":{"date-parts":[["2018",1]]}}}],"schema":"https://github.com/citation-style-language/schema/raw/master/csl-citation.json"} </w:instrText>
      </w:r>
      <w:r>
        <w:rPr>
          <w:rFonts w:ascii="Times New Roman" w:hAnsi="Times New Roman" w:cs="Times New Roman"/>
        </w:rPr>
        <w:fldChar w:fldCharType="separate"/>
      </w:r>
      <w:r w:rsidR="00B633EE" w:rsidRPr="00B633EE">
        <w:rPr>
          <w:rFonts w:ascii="Times New Roman" w:hAnsi="Times New Roman" w:cs="Times New Roman"/>
        </w:rPr>
        <w:t>(Kawagoe et al., 2018)</w:t>
      </w:r>
      <w:r>
        <w:rPr>
          <w:rFonts w:ascii="Times New Roman" w:hAnsi="Times New Roman" w:cs="Times New Roman"/>
        </w:rPr>
        <w:fldChar w:fldCharType="end"/>
      </w:r>
      <w:r w:rsidR="28AA5811">
        <w:rPr>
          <w:rFonts w:ascii="Times New Roman" w:hAnsi="Times New Roman" w:cs="Times New Roman"/>
        </w:rPr>
        <w:t xml:space="preserve"> and BOLD deactivations in areas implicated in self-generated thought and inner speech, such as Broca’s area, the left hippocampus, the left anterior insula and supplementary motor cortices </w:t>
      </w:r>
      <w:r>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{"citationID":"a19oc8muv49","properties":{"unsorted":false,"formattedCitation":"(Kawagoe et al., 2019)","plainCitation":"(Kawagoe et al., 2019)","noteIndex":0},"citationItems":[{"id":16206,"uris":["http://zotero.org/groups/6160358/items/WBMX7CTM"],"itemData":{"id":16206,"type":"article-journal","abstract":"Mind blanking (MB) is the state where our minds are seemingly \"nowhere,\" and attention calls no perceptual input into conscious awareness. It is little investigated, perhaps partly because it is difficult to detect the mysterious periods of blanking. In this study, we found that our participants could intentionally produce a state of MB whose neural correlates were deactivation of Broca's area and parts of the default mode network (namely, the hippocampus) which would be active during mind wandering (MW), in addition to activity in another region in the default mode network (namely, anterior cingulate cortex). Because the behavioral finding replicates a previous report of ours, we suggest that the simple instructions that we used to induce MB should be effective. From the neuroimaging data, we conclude that we cannot define the content of our thoughts during MB because our inner speech system does not work at that time. Another possibility is that we actually think of nothing in the MB state. Although more sophisticated studies would be needed to uncover the mechanism of such a phenomenon, the present study provides a methodology and clues for understanding MB and related concepts such as MW, awareness, and metacognitive ability.","citation-key":"kawagoeNeuralCorrelatesMind2019a","container-title":"Human brain mapping","DOI":"10.1002/hbm.24748","ISSN":"1097-0193 1065-9471","issue":"17","language":"eng","license":"© 2019 Wiley Periodicals, Inc.","page":"4934–4940","PMID":"31389642","PMCID":"PMC6865483","title":"The neural correlates of \"mind blanking\": When the mind goes away.","volume":"40","author":[{"family":"Kawagoe","given":"Toshikazu"},{"family":"Onoda","given":"Keiichi"},{"family":"Yamaguchi","given":"Shuhei"}],"issued":{"date-parts":[["2019",12]]}}}],"schema":"https://github.com/citation-style-language/schema/raw/master/csl-citation.json"} </w:instrText>
      </w:r>
      <w:r>
        <w:rPr>
          <w:rFonts w:ascii="Times New Roman" w:hAnsi="Times New Roman" w:cs="Times New Roman"/>
        </w:rPr>
        <w:fldChar w:fldCharType="separate"/>
      </w:r>
      <w:r w:rsidR="00B633EE" w:rsidRPr="00B633EE">
        <w:rPr>
          <w:rFonts w:ascii="Times New Roman" w:hAnsi="Times New Roman" w:cs="Times New Roman"/>
        </w:rPr>
        <w:t>(Kawagoe et al., 2019)</w:t>
      </w:r>
      <w:r>
        <w:rPr>
          <w:rFonts w:ascii="Times New Roman" w:hAnsi="Times New Roman" w:cs="Times New Roman"/>
        </w:rPr>
        <w:fldChar w:fldCharType="end"/>
      </w:r>
      <w:r w:rsidR="28AA5811">
        <w:rPr>
          <w:rFonts w:ascii="Times New Roman" w:hAnsi="Times New Roman" w:cs="Times New Roman"/>
        </w:rPr>
        <w:t xml:space="preserve">. At this point, it </w:t>
      </w:r>
      <w:r w:rsidR="569FA265">
        <w:rPr>
          <w:rFonts w:ascii="Times New Roman" w:hAnsi="Times New Roman" w:cs="Times New Roman"/>
        </w:rPr>
        <w:t>is important to stress that thought-silencing is not a spontaneous activity</w:t>
      </w:r>
      <w:r w:rsidR="00B97073">
        <w:rPr>
          <w:rFonts w:ascii="Times New Roman" w:hAnsi="Times New Roman" w:cs="Times New Roman"/>
        </w:rPr>
        <w:t>,</w:t>
      </w:r>
      <w:r w:rsidR="28AA5811">
        <w:rPr>
          <w:rFonts w:ascii="Times New Roman" w:hAnsi="Times New Roman" w:cs="Times New Roman"/>
        </w:rPr>
        <w:t xml:space="preserve"> but an active process that demands constant monitoring and suppression of thoughts, thereby recruiting cognitive control mechanisms. Therefore, whether this manipulation constitutes </w:t>
      </w:r>
      <w:r w:rsidR="569FA265">
        <w:rPr>
          <w:rFonts w:ascii="Times New Roman" w:hAnsi="Times New Roman" w:cs="Times New Roman"/>
        </w:rPr>
        <w:t>an</w:t>
      </w:r>
      <w:r w:rsidR="28AA5811">
        <w:rPr>
          <w:rFonts w:ascii="Times New Roman" w:hAnsi="Times New Roman" w:cs="Times New Roman"/>
        </w:rPr>
        <w:t xml:space="preserve"> MB is still debated </w:t>
      </w:r>
      <w:r w:rsidR="00E567A6">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{"citationID":"a1h18n3vlmb","properties":{"unsorted":false,"formattedCitation":"(Boulakis et al., 2023; Fell, 2022; Kaufmann et al., 2024)","plainCitation":"(Boulakis et al., 2023; Fell, 2022; Kaufmann et al., 2024)","noteIndex":0},"citationItems":[{"id":16233,"uris":["http://zotero.org/groups/6160358/items/4JI4ULLD"],"itemData":{"id":16233,"type":"article-journal","abstract":"Mind-blanking (MB) is termed as the inability to report our immediate-past mental content. In contrast to mental states with reportable content, such as mind-wandering or sensory perceptions, the neural correlates of MB started getting elucidated only recently. A notable particularity that pertains to MB studies is the way MB is instructed for reporting, like by deliberately asking participants to \"empty their minds.\" Such instructions were shown to induce fMRI activations in frontal brain regions, typically associated with metacognition and self-evaluative processes, suggesting that MB may be a result of intentional mental content suppression. Here, we aim at examining this hypothesis by determining the neural correlates of MB without induction. Using fMRI combined with experience-sampling in 31 participants (22 female), univariate analysis of MB reports revealed deactivations in occipital, frontal, parietal, and thalamic areas, but no activations in prefrontal regions. These findings were confirmed using Bayesian region-of-interest analysis on areas previously shown to be implicated in induced MB, where we report evidence for frontal deactivations during MB reports compared with other mental states. Contrast analysis between reports of MB and content-oriented mental states also revealed deactivations in the left angular gyrus. We propose that these effects characterize a neuronal profile of MB, where key thalamocortical nodes are unable to communicate and formulate reportable content. Collectively, we show that study instructions for MB lead to differential neural activation. These results provide mechanistic insights linked to the phenomenology of MB and point to the possibility of MB being expressed in different forms.SIGNIFICANCE STATEMENT This study explores how brain activity changes when individuals report unidentifiable thoughts, a phenomenon known as mind-blanking (MB). It aims to detect changes in brain activations and deactivations when MB is reported spontaneously, as opposed to the neural responses that have been previously reported when MB is induced. By means of brain imaging and experience-sampling, the study points to reduced brain activity in a wide number of regions, including those mesio-frontally which were previously detected as activated during induced MB. These results enhance our understanding of the complexity of spontaneous thinking and contribute to broader discussions on consciousness and reportable experience.","citation-key":"boulakisWholeBrainDeactivationsPrecede2023a","container-title":"The Journal of neuroscience : the official journal of the Society for Neuroscience","DOI":"10.1523/JNEUROSCI.0696-23.2023","ISSN":"1529-2401 0270-6474","issue":"40","language":"eng","license":"Copyright © 2023 the authors.","page":"6807–6815","PMID":"37643862","PMCID":"PMC10552942","title":"Whole-Brain Deactivations Precede Uninduced Mind-Blanking Reports.","volume":"43","author":[{"family":"Boulakis","given":"Paradeisios Alexandros"},{"family":"Mortaheb","given":"Sepehr"},{"family":"Calster","given":"Laurens","non-dropping-particle":"van"},{"family":"Majerus","given":"Steve"},{"family":"Demertzi","given":"Athena"}],"issued":{"date-parts":[["2023",10]]}}},{"id":16212,"uris":["http://zotero.org/groups/6160358/items/SFHXQMFE"],"itemData":{"id":16212,"type":"article-journal","abstract":"The investigation of so-called mind blanking has been recently established in the context of mind wandering research. Unfortunately, the description of the term 'mind blanking' and its experimental assessment are often ambiguous. More specifically, two distinct phenomena have been conceptually blended and both characterized using the term 'mind blanking' in experimental studies: the absence of task-focus and thought, versus complete lack of conscious experiences. At least in part, this confusion can be traced back to the writings of William James, who referred to 'thought' as a superordinate term to address different conscious experiences. Applying the technique of so-called experience sampling, experimental studies, up to now, probably assessed the absence of thought, but not a complete lack of conscious experiences. There is no clear evidence yet for instances of the latter phenomenon occurring during non-pathological waking state. Possibly, such evidence could be revealed in the future using a conceptually more refined experience sampling.","citation-key":"fellWhatMindBlanking2022a","container-title":"The European journal of neuroscience","DOI":"10.1111/ejn.15782","ISSN":"1460-9568 0953-816X","issue":"6","language":"eng","license":"© 2022 The Author. European Journal of Neuroscience published by Federation of European Neuroscience Societies and John Wiley &amp; Sons Ltd.","page":"4837–4842","PMID":"35900163","title":"What is mind blanking: A conceptual clarification.","volume":"56","author":[{"family":"Fell","given":"Juergen"}],"issued":{"date-parts":[["2022",9]]}}},{"id":3883,"uris":["http://zotero.org/users/8613739/items/UCQBFR5T"],"itemData":{"id":3883,"type":"article-journal","abstract":"Mind blanking is a mental state in which attention does not bring any perceptual input into conscious awareness. As this state is still largely unexplored, we suggest that a comprehensive understanding of mind blanking can be achieved through a multifaceted approach combining self-assessment methods, neuroimaging and neuromodulation. In this article, we explain how electroencephalography and transcranial magnetic stimulation could be combined to help determine whether mind blanking is associated with a lack of mental content or a lack of linguistically or conceptually determinable mental content. We also question whether mind blanking occurs spontaneously or intentionally and whether these two forms are instantiated by the same or different neural correlates.","citation-key":"kaufmannTwoModelsMind2024","container-title":"European Journal of Neuroscience","DOI":"10.1111/ejn.16164","ISSN":"1460-9568","issue":"5","journalAbbreviation":"Eur J Neurosci","language":"en","license":"© 2023 The Authors. European Journal of Neuroscience published by Federation of European Neuroscience Societies and John Wiley &amp; Sons Ltd.","note":"_eprint: https://onlinelibrary.wiley.com/doi/pdf/10.1111/ejn.16164","page":"786-795","source":"Wiley Online Library","title":"Two models of mind blanking","volume":"59","author":[{"family":"Kaufmann","given":"Angelica"},{"family":"Parmigiani","given":"Sara"},{"family":"Kawagoe","given":"Toshikazu"},{"family":"Zabaroff","given":"Elliot"},{"family":"Wells","given":"Barnaby"}],"issued":{"date-parts":[["2024"]]}}}],"schema":"https://github.com/citation-style-language/schema/raw/master/csl-citation.json"} </w:instrText>
      </w:r>
      <w:r w:rsidR="00E567A6">
        <w:rPr>
          <w:rFonts w:ascii="Times New Roman" w:hAnsi="Times New Roman" w:cs="Times New Roman"/>
        </w:rPr>
        <w:fldChar w:fldCharType="separate"/>
      </w:r>
      <w:r w:rsidR="00B633EE" w:rsidRPr="00B633EE">
        <w:rPr>
          <w:rFonts w:ascii="Times New Roman" w:hAnsi="Times New Roman" w:cs="Times New Roman"/>
        </w:rPr>
        <w:t>(Boulakis et al., 2023; Fell, 2022; Kaufmann et al., 2024)</w:t>
      </w:r>
      <w:r w:rsidR="00E567A6">
        <w:rPr>
          <w:rFonts w:ascii="Times New Roman" w:hAnsi="Times New Roman" w:cs="Times New Roman"/>
        </w:rPr>
        <w:fldChar w:fldCharType="end"/>
      </w:r>
      <w:r w:rsidR="28AA5811">
        <w:rPr>
          <w:rFonts w:ascii="Times New Roman" w:hAnsi="Times New Roman" w:cs="Times New Roman"/>
        </w:rPr>
        <w:t xml:space="preserve">. However, the brain profile points to a state of disengagement from both internal and external experiences. </w:t>
      </w:r>
      <w:r w:rsidR="6A677D83">
        <w:rPr>
          <w:rFonts w:ascii="Times New Roman" w:hAnsi="Times New Roman" w:cs="Times New Roman"/>
        </w:rPr>
        <w:t>Another source of heterogeneity</w:t>
      </w:r>
      <w:r w:rsidR="6A5721D2">
        <w:rPr>
          <w:rFonts w:ascii="Times New Roman" w:hAnsi="Times New Roman" w:cs="Times New Roman"/>
        </w:rPr>
        <w:t xml:space="preserve"> was the usage of multiple Likert scales instead of </w:t>
      </w:r>
      <w:r w:rsidR="6A677D83">
        <w:rPr>
          <w:rFonts w:ascii="Times New Roman" w:hAnsi="Times New Roman" w:cs="Times New Roman"/>
        </w:rPr>
        <w:t>alternative, forced-choice response</w:t>
      </w:r>
      <w:r w:rsidR="6A5721D2">
        <w:rPr>
          <w:rFonts w:ascii="Times New Roman" w:hAnsi="Times New Roman" w:cs="Times New Roman"/>
        </w:rPr>
        <w:t xml:space="preserve"> categories to probe for features of thoughts, such as attentional focus and content </w:t>
      </w:r>
      <w:r w:rsidR="00E567A6">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{"citationID":"boMkiQh8","properties":{"unsorted":false,"formattedCitation":"(Aasen et al., 2025; Alexandersen et al., 2025; Drevland et al., 2025; Simor et al., 2025; Vekony et al., 2025; V\\uc0\\u233{}kony et al., 2025)","plainCitation":"(Aasen et al., 2025; Alexandersen et al., 2025; Drevland et al., 2025; Simor et al., 2025; Vekony et al., 2025; Vékony et al., 2025)","noteIndex":0},"citationItems":[{"id":17681,"uris":["http://zotero.org/users/8613739/items/873JPK5R"],"itemData":{"id":17681,"type":"article","abstract":"Insufficient sleep is a common occurrence in modern society and has severe consequences for our attention, executive functioning (EF), and affect. Mind wandering (MW) is a phenomenon where attention shifts from an external task to internal thoughts. These shifts can take on different characteristics, such as relating to specific mental content or not (mind blanking, MB), and can be engaged deliberately (D-MW) or spontaneously (S-MW). MW is related to impaired EF and worsened emotional states, yet it is unclear how these associations are influenced by sleep loss. We recruited 34 healthy adults to a partial sleep deprivation (PSD) protocol, where they slept on average 1.7 hours less, compared to a period of normal sleep (NS), for 3 consecutive nights. Participants engaged in the finger-tapping random sequence generation task that provided two objective measures of EF performance, the variability in the responses and the entropy of the generated sequences. We assessed participants’ momentary affect before and after the task, while subjective reports of attentional states (on-task, MW, MB, and S/D-MW) were assessed during the task. Results indicated that greater sleep loss resulted in more MW, MB, behavioural variability and negative affect, and reduced positive affect. Furthermore, MW episodes were preceded by reduced EF performance only following the PSD, but not after NS. Finally, we found that pre-task positive affect may ameliorate the unfavourable effects of sleep loss on objective and subjective measures of MW. These findings highlight the importance of sufficient sleep in maintaining sustained attention, optimal task performance, and good mood.","citation-key":"aasenEffectsPartialSleep2025","DOI":"10.31219/osf.io/kmqfz_v3","number":"kmqfz_v3","publisher":"OSF Preprints","source":"OSF Preprints","title":"The Effects of Partial Sleep Deprivation on Mind Wandering, Executive Performance and Affect","URL":"https://osf.io/kmqfz_v3/","author":[{"family":"Aasen","given":"Steffen R"},{"family":"Babiker","given":"Samy M E"},{"family":"Vangen","given":"Aurora M K"},{"family":"Haugan","given":"Silje B"},{"family":"Sandell","given":"Sanna A O"},{"family":"Saksvik-Lehouillier","given":"Ingvild"},{"family":"Kam","given":"Julia"},{"family":"Mittner","given":"Matthias"},{"family":"Csifcsák","given":"Gábor"}],"accessed":{"date-parts":[["2026",1,29]]},"issued":{"date-parts":[["2025",9,12]]}}},{"id":8283,"uris":["http://zotero.org/users/8613739/items/AJSHXK3B"],"itemData":{"id":8283,"type":"article-journal","abstract":"Mind wandering (MW) is a common mental phenomenon where attention shifts spontaneously from an external task to internal trains of thought. Recent studies propose that non-invasive brain stimulation methods hold potential for influencing attentional shifts between on-task and MW states. Exploratory analysis from a recent repetitive transcranial magnetic stimulation (rTMS) study reported that targeting the left angular gyrus (AG) with continuous theta-burst stimulation (cTBS) reduced MW compared to sham stimulation, without affecting executive performance (Drevland et al., 2025). The present study is a pre-registered, direct replication of the study by Drevland et al., but also expands their protocol by applying intermittent theta-burst stimulation (iTBS) targeting the same cortical area. Using a triple-blind crossover design, healthy participants completed four blocks of the Finger-Tapping Random Sequence Generation Task (FT-RSGT) in three sessions on separate days. Each session included three rounds of either real (cTBS or iTBS) or sham stimulation in an accelerated rTMS design. We successfully replicated the effect of cTBS in reducing MW propensity but failed to find the expected increase in MW post-iTBS. Furthermore, based on a joint analysis of the current data and that from Drevland et al., we found compelling evidence for cTBS being efficient both in reducing MW and improving executive performance. Our results provide evidence for the causal relationship between the left AG and shifts of attention during an executive task, highlighting the role of the default mode network in the generation and maintenance of MW episodes. © 2025 Elsevier B.V., All rights reserved.","archive":"Scopus","citation-key":"alexandersenEvidenceEfficacyThetaburst2025","container-title":"Cortex","DOI":"10.1016/j.cortex.2025.07.006","page":"25-40","title":"Evidence for the efficacy of theta-burst stimulation above the angular gyrus for reducing mind wandering propensity: A successful pre-registered study","volume":"191","author":[{"family":"Alexandersen","given":"A."},{"family":"Aasen","given":"S.R."},{"family":"Csifcsák","given":"G."},{"family":"Mittner","given":"M."}],"issued":{"date-parts":[["2025"]]}}},{"id":16207,"uris":["http://zotero.org/groups/6160358/items/YXE7BHS4"],"itemData":{"id":16207,"type":"article-journal","abstract":"Background\nMind wandering (MW) involves an attentional drift away from an external task to internal thoughts and goals. In the last decade, a substantial number of studies have investigated the possibility of influencing MW using transcranial direct current stimulation (tDCS). One common target region of interest is the angular gyrus (AG), a core region of the default-mode network (DMN), which is believed to play a major role in the initiation and maintenance of MW episodes. However, the accumulated evidence suggests that tDCS may not be sufficiently strong to reliably affect MW propensity.\nHypothesis\nWe hypothesized that by using repetitive transcranial magnetic stimulation (rTMS) with continuous theta-burst stimulation (cTBS) protocol over the left AG would reduce MW during a demanding cognitive task.\nMethod\nWe applied cTBS over the left AG to interfere with MW propensity in healthy adults. In a triple-blind, crossover design, participants performed four blocks of the finger-tapping random-sequence generation task (FT-RSGT) with three interleaved bouts of real or sham cTBS.\nResults\nOur pre-registered statistical analysis found no support for our main hypotheses. However, in our secondary statistical analysis we found that real cTBS reduced both self-reported MW propensity and behavioural variability, an objective marker of MW, while maintaining comparable levels of executive task performance.","citation-key":"drevlandReducingMindWandering2025a","container-title":"Transcranial Magnetic Stimulation","page":"100181","title":"Reducing mind wandering using continuous theta burst stimulation","author":[{"family":"Drevland","given":"Ragnhild Nicolaisen"},{"family":"Aasen","given":"Steffen Rygg"},{"family":"Csifcsák","given":"Gábor"},{"family":"Mittner","given":"Matthias"}],"issued":{"date-parts":[["2025"]]}}},{"id":17890,"uris":["http://zotero.org/users/8613739/items/N6MPH7TZ"],"itemData":{"id":17890,"type":"article-journal","abstract":"Mind wandering, occupying 30-50% of our waking time, remains an enigmatic phenomenon in cognitive neuroscience. A large number of studies showed a negative association between mind wandering and attention-demanding (model-based) tasks in both natural settings and laboratory conditions. Mind wandering, however, does not seem to be detrimental for all cognitive domains and was observed to benefit creativity and problem-solving. We examined if mind wandering may facilitate model-free processes, such as probabilistic learning, which relies on the automatic acquisition of statistical regularities with minimal attentional demands. We administered a well-established implicit probabilistic learning task combined with thought probes in healthy adults (N = 37, 30 females). To explore the neural correlates of mind wandering and probabilistic learning, participants were fitted with high-density electroencephalography. Our findings indicate that probabilistic learning was not only immune to periods of mind wandering but was positively associated with it. Spontaneous, as opposed to deliberate mind wandering, was particularly beneficial for extracting the probabilistic patterns hidden in the visual stream. Cortical oscillatory activity in the low-frequency (slow and delta) range, indicative of covert sleep-like states, was associated with both mind wandering and improved probabilistic learning, particularly in the early stages of the task. Given the importance of probabilistic implicit learning in predictive processing, our findings provide novel insights into the potential cognitive benefits of task-unrelated thoughts in addition to shedding light on its neural mechanisms.","citation-key":"simorMindWanderingImplicit2025","container-title":"The Journal of Neuroscience: The Official Journal of the Society for Neuroscience","DOI":"10.1523/JNEUROSCI.1421-24.2025","ISSN":"1529-2401","issue":"19","journalAbbreviation":"J Neurosci","language":"eng","page":"e1421242025","PMID":"40194844","PMCID":"PMC12060634","source":"PubMed","title":"Mind Wandering during Implicit Learning Is Associated with Increased Periodic EEG Activity and Improved Extraction of Hidden Probabilistic Patterns","volume":"45","author":[{"family":"Simor","given":"Péter"},{"family":"Vékony","given":"Teodóra"},{"family":"Farkas","given":"Bence C."},{"family":"Szalárdy","given":"Orsolya"},{"family":"Bogdány","given":"Tamás"},{"family":"Brezóczki","given":"Bianka"},{"family":"Csifcsák","given":"Gábor"},{"family":"Németh","given":"Dezső"}],"issued":{"date-parts":[["2025",5,7]]}}},{"id":15803,"uris":["http://zotero.org/groups/6160358/items/8DRPDRJC"],"itemData":{"id":15803,"type":"article-journal","abstract":"Human cognition must balance goal-directed behavior with the need to learn from environmental regularities. Mind wandering (MW), a state of attentional decoupling from the task at hand, is paradoxically associated with both executive failures and enhanced implicit statistical learning, yet the direct relationship between these phenomena remains unclear. Here, we provide direct behavioral evidence for a functional trade-off between these competing demands. Using a task that concurrently measured response inhibition, statistical learning, and self-reported task focus, we show that MW is associated with impaired inhibitory control but enhanced learning of probabilistic sequences. Critically, we reveal that these effects are mechanistically linked: the magnitude of the learning enhancement during MW is quantitatively modulated by the efficacy of response inhibition. These findings demonstrate that transient lapses in top-down executive control directly facilitate the implicit extraction of environmental statistics, supporting neurocompetition models and framing MW as a cognitive state that may be evolutionarily preserved to promote the unsupervised acquisition of predictive models.","citation-key":"vekonyFunctionalTradeoffExecutive2025a","container-title":"bioRxiv","page":"2025–08","title":"A functional trade-off between executive control and implicit statistical learning is dynamically gated by mind wandering","author":[{"family":"Vekony","given":"Teodora"},{"family":"Brezoczki","given":"Bianka"},{"family":"Csifcsak","given":"Gabor"},{"family":"Nemeth","given":"Dezso"},{"family":"Simor","given":"Peter"}],"issued":{"date-parts":[["2025"]]}}},{"id":16062,"uris":["http://zotero.org/groups/6160358/items/24UA2W4Z"],"itemData":{"id":16062,"type":"article-journal","abstract":"The human brain spends 30–50% of its waking hours engaged in mind-wandering (MW), a common phenomenon in which individuals either spontaneously or deliberately shift their attention away from external tasks to task-unrelated internal thoughts. Despite the significant amount of time dedicated to MW, its underlying reasons remain unex</w:instrText>
      </w:r>
      <w:r w:rsidR="00B633EE" w:rsidRPr="00B633EE">
        <w:rPr>
          <w:rFonts w:ascii="Times New Roman" w:hAnsi="Times New Roman" w:cs="Times New Roman"/>
          <w:lang w:val="fr-BE"/>
        </w:rPr>
        <w:instrText xml:space="preserve">plained. Our pre-registered study investigates the potential adaptive aspects of MW, particularly its role in predictive processes measured by statistical learning. We simultaneously assessed visuomotor task performance as well as the capability to extract probabilistic information from the environment while assessing task focus (on-task vs. MW). We found that MW was associated with enhanced extraction of hidden, but predictable patterns. This finding suggests that MW may have functional relevance in human cognition by shaping behavior and predictive processes. Overall, our results highlight the importance of considering the adaptive aspects of MW, and its potential to enhance certain fundamental cognitive abilities. © 2025 Elsevier B.V., All rights reserved.","citation-key":"vekonyMindWanderingEnhances2025a","container-title":"iScience","DOI":"10.1016/j.isci.2024.111703","issue":"2","title":"Mind wandering enhances statistical learning","URL":"https://www.scopus.com/inward/record.uri?eid=2-s2.0-85215207639&amp;doi=10.1016%2Fj.isci.2024.111703&amp;partnerID=40&amp;md5=166cbf64ef27f5823e634312fcb3e620","volume":"28","author":[{"family":"Vékony","given":"T."},{"family":"Farkas","given":"B.C."},{"family":"Brezóczki","given":"B."},{"family":"Mittner","given":"M."},{"family":"Csifcsák","given":"G."},{"family":"Simor","given":"P."},{"family":"Németh","given":"D."}],"issued":{"date-parts":[["2025"]]}}}],"schema":"https://github.com/citation-style-language/schema/raw/master/csl-citation.json"} </w:instrText>
      </w:r>
      <w:r w:rsidR="00E567A6">
        <w:rPr>
          <w:rFonts w:ascii="Times New Roman" w:hAnsi="Times New Roman" w:cs="Times New Roman"/>
        </w:rPr>
        <w:fldChar w:fldCharType="separate"/>
      </w:r>
      <w:r w:rsidR="00B633EE" w:rsidRPr="00B633EE">
        <w:rPr>
          <w:rFonts w:ascii="Times New Roman" w:hAnsi="Times New Roman" w:cs="Times New Roman"/>
          <w:lang w:val="fr-BE"/>
        </w:rPr>
        <w:t>(Aasen et al., 2025; Alexandersen et al., 2025; Drevland et al., 2025; Simor et al., 2025; Vekony et al., 2025; Vékony et al., 2025)</w:t>
      </w:r>
      <w:r w:rsidR="00E567A6">
        <w:rPr>
          <w:rFonts w:ascii="Times New Roman" w:hAnsi="Times New Roman" w:cs="Times New Roman"/>
        </w:rPr>
        <w:fldChar w:fldCharType="end"/>
      </w:r>
      <w:r w:rsidR="6A5721D2" w:rsidRPr="004559C4">
        <w:rPr>
          <w:rFonts w:ascii="Times New Roman" w:hAnsi="Times New Roman" w:cs="Times New Roman"/>
          <w:lang w:val="fr-BE"/>
        </w:rPr>
        <w:t xml:space="preserve">. </w:t>
      </w:r>
      <w:r w:rsidR="008D691F" w:rsidRPr="008D691F">
        <w:rPr>
          <w:rFonts w:ascii="Times New Roman" w:hAnsi="Times New Roman" w:cs="Times New Roman"/>
          <w:lang w:val="en-GB"/>
        </w:rPr>
        <w:t>In these studies, an MB is defined as a response of ≤2 on each of the two 4-point Likert-scale items assessing attention orientation and content specificity.</w:t>
      </w:r>
      <w:r w:rsidR="008D691F">
        <w:rPr>
          <w:rFonts w:ascii="Times New Roman" w:hAnsi="Times New Roman" w:cs="Times New Roman"/>
          <w:lang w:val="en-GB"/>
        </w:rPr>
        <w:t xml:space="preserve"> </w:t>
      </w:r>
      <w:r w:rsidR="00557F4A">
        <w:rPr>
          <w:rFonts w:ascii="Times New Roman" w:hAnsi="Times New Roman" w:cs="Times New Roman"/>
          <w:lang w:val="en-GB"/>
        </w:rPr>
        <w:t xml:space="preserve">This practice was observed consistently across the identified studies. </w:t>
      </w:r>
      <w:r w:rsidR="5DC4A610" w:rsidRPr="00CA0C43">
        <w:rPr>
          <w:rFonts w:ascii="Times New Roman" w:hAnsi="Times New Roman" w:cs="Times New Roman"/>
        </w:rPr>
        <w:t xml:space="preserve">This practice was </w:t>
      </w:r>
      <w:r w:rsidR="5DC4A610" w:rsidRPr="00CA0C43">
        <w:rPr>
          <w:rFonts w:ascii="Times New Roman" w:hAnsi="Times New Roman" w:cs="Times New Roman"/>
        </w:rPr>
        <w:lastRenderedPageBreak/>
        <w:t xml:space="preserve">associated with </w:t>
      </w:r>
      <w:r w:rsidR="5DC4A610">
        <w:rPr>
          <w:rFonts w:ascii="Times New Roman" w:hAnsi="Times New Roman" w:cs="Times New Roman"/>
        </w:rPr>
        <w:t>individuals</w:t>
      </w:r>
      <w:r w:rsidR="5DC4A610" w:rsidRPr="00CA0C43">
        <w:rPr>
          <w:rFonts w:ascii="Times New Roman" w:hAnsi="Times New Roman" w:cs="Times New Roman"/>
        </w:rPr>
        <w:t xml:space="preserve"> being 1.7 times more likely to report MB</w:t>
      </w:r>
      <w:r w:rsidR="341B764E" w:rsidRPr="69CF6134">
        <w:rPr>
          <w:rFonts w:ascii="Times New Roman" w:hAnsi="Times New Roman" w:cs="Times New Roman"/>
        </w:rPr>
        <w:t>.</w:t>
      </w:r>
      <w:r w:rsidR="6A5721D2">
        <w:rPr>
          <w:rFonts w:ascii="Times New Roman" w:hAnsi="Times New Roman" w:cs="Times New Roman"/>
        </w:rPr>
        <w:t xml:space="preserve"> To our knowledge, this is the first time this comparison of design options has been reported. </w:t>
      </w:r>
      <w:r w:rsidR="09406097">
        <w:rPr>
          <w:rFonts w:ascii="Times New Roman" w:hAnsi="Times New Roman" w:cs="Times New Roman"/>
        </w:rPr>
        <w:t xml:space="preserve">Given that mental states vary across different levels, such as clarity of content or content-orientation, more </w:t>
      </w:r>
      <w:r w:rsidR="09406097" w:rsidRPr="00480F0D">
        <w:rPr>
          <w:rFonts w:ascii="Times New Roman" w:hAnsi="Times New Roman" w:cs="Times New Roman"/>
        </w:rPr>
        <w:t>fine</w:t>
      </w:r>
      <w:r w:rsidR="00480F0D" w:rsidRPr="00480F0D">
        <w:rPr>
          <w:rFonts w:ascii="Times New Roman" w:hAnsi="Times New Roman" w:cs="Times New Roman"/>
        </w:rPr>
        <w:noBreakHyphen/>
      </w:r>
      <w:r w:rsidR="09406097" w:rsidRPr="00480F0D">
        <w:rPr>
          <w:rFonts w:ascii="Times New Roman" w:hAnsi="Times New Roman" w:cs="Times New Roman"/>
        </w:rPr>
        <w:t>grained</w:t>
      </w:r>
      <w:r w:rsidR="09406097">
        <w:rPr>
          <w:rFonts w:ascii="Times New Roman" w:hAnsi="Times New Roman" w:cs="Times New Roman"/>
        </w:rPr>
        <w:t xml:space="preserve"> scales could isolate blank moments that could be misattributed as other states if presented through </w:t>
      </w:r>
      <w:r w:rsidR="09406097" w:rsidRPr="00480F0D">
        <w:rPr>
          <w:rFonts w:ascii="Times New Roman" w:hAnsi="Times New Roman" w:cs="Times New Roman"/>
        </w:rPr>
        <w:t>coarse</w:t>
      </w:r>
      <w:r w:rsidR="09406097">
        <w:rPr>
          <w:rFonts w:ascii="Times New Roman" w:hAnsi="Times New Roman" w:cs="Times New Roman"/>
        </w:rPr>
        <w:t>r</w:t>
      </w:r>
      <w:r w:rsidR="09406097" w:rsidRPr="00480F0D">
        <w:rPr>
          <w:rFonts w:ascii="Times New Roman" w:hAnsi="Times New Roman" w:cs="Times New Roman"/>
        </w:rPr>
        <w:t xml:space="preserve"> categorical options</w:t>
      </w:r>
      <w:r w:rsidR="09406097">
        <w:rPr>
          <w:rFonts w:ascii="Times New Roman" w:hAnsi="Times New Roman" w:cs="Times New Roman"/>
        </w:rPr>
        <w:t xml:space="preserve">. At the same time, </w:t>
      </w:r>
      <w:r w:rsidR="00557F4A">
        <w:rPr>
          <w:rFonts w:ascii="Times New Roman" w:hAnsi="Times New Roman" w:cs="Times New Roman"/>
        </w:rPr>
        <w:t>the thresholding criteria for what constitutes an MB on these scales may be</w:t>
      </w:r>
      <w:r w:rsidR="569FA265">
        <w:rPr>
          <w:rFonts w:ascii="Times New Roman" w:hAnsi="Times New Roman" w:cs="Times New Roman"/>
        </w:rPr>
        <w:t xml:space="preserve"> too liberal, leading to</w:t>
      </w:r>
      <w:r w:rsidR="09406097">
        <w:rPr>
          <w:rFonts w:ascii="Times New Roman" w:hAnsi="Times New Roman" w:cs="Times New Roman"/>
        </w:rPr>
        <w:t xml:space="preserve"> an overestimation of MB report rates.</w:t>
      </w:r>
      <w:r w:rsidR="00557F4A">
        <w:rPr>
          <w:rFonts w:ascii="Times New Roman" w:hAnsi="Times New Roman" w:cs="Times New Roman"/>
        </w:rPr>
        <w:t xml:space="preserve"> </w:t>
      </w:r>
      <w:r w:rsidR="09406097">
        <w:rPr>
          <w:rFonts w:ascii="Times New Roman" w:hAnsi="Times New Roman" w:cs="Times New Roman"/>
        </w:rPr>
        <w:t xml:space="preserve"> Here, </w:t>
      </w:r>
      <w:r w:rsidR="00EC6FBA">
        <w:rPr>
          <w:rFonts w:ascii="Times New Roman" w:hAnsi="Times New Roman" w:cs="Times New Roman"/>
        </w:rPr>
        <w:t xml:space="preserve">the issue remains unresolved and warrants </w:t>
      </w:r>
      <w:r w:rsidR="09406097">
        <w:rPr>
          <w:rFonts w:ascii="Times New Roman" w:hAnsi="Times New Roman" w:cs="Times New Roman"/>
        </w:rPr>
        <w:t xml:space="preserve">further exploration. Overall, however, our meta-analytic baseline rate, </w:t>
      </w:r>
      <w:proofErr w:type="spellStart"/>
      <w:r w:rsidR="569FA265">
        <w:rPr>
          <w:rFonts w:ascii="Times New Roman" w:hAnsi="Times New Roman" w:cs="Times New Roman"/>
        </w:rPr>
        <w:t>characterised</w:t>
      </w:r>
      <w:proofErr w:type="spellEnd"/>
      <w:r w:rsidR="09406097">
        <w:rPr>
          <w:rFonts w:ascii="Times New Roman" w:hAnsi="Times New Roman" w:cs="Times New Roman"/>
        </w:rPr>
        <w:t xml:space="preserve"> by low heterogeneity and strong evidence against the effect of most experience-sampling parameters, suggests that MB rates fluctuate mostly around 10.5%.</w:t>
      </w:r>
    </w:p>
    <w:p w14:paraId="18946DDB" w14:textId="11F741DD" w:rsidR="00BA2471" w:rsidRPr="003617D9" w:rsidRDefault="00E567A6">
      <w:pPr>
        <w:spacing w:line="360" w:lineRule="auto"/>
        <w:jc w:val="both"/>
        <w:rPr>
          <w:rFonts w:ascii="Times New Roman" w:hAnsi="Times New Roman" w:cs="Times New Roman"/>
        </w:rPr>
      </w:pPr>
      <w:r w:rsidRPr="22DB2182">
        <w:rPr>
          <w:rFonts w:ascii="Times New Roman" w:hAnsi="Times New Roman" w:cs="Times New Roman"/>
        </w:rPr>
        <w:t xml:space="preserve"> </w:t>
      </w:r>
      <w:r>
        <w:tab/>
      </w:r>
      <w:r w:rsidRPr="22DB2182">
        <w:rPr>
          <w:rFonts w:ascii="Times New Roman" w:hAnsi="Times New Roman" w:cs="Times New Roman"/>
        </w:rPr>
        <w:t>Regarding population parameters, we found strong evidence that senior participants experienced less MB (4%) relative to adults (11%) and children (9%). Our results are in line with an overwhelming literature on age-related decreases in mind-wandering (for a review, see</w:t>
      </w:r>
      <w:r w:rsidR="00480F0D" w:rsidRPr="22DB2182">
        <w:rPr>
          <w:rFonts w:ascii="Times New Roman" w:hAnsi="Times New Roman" w:cs="Times New Roman"/>
        </w:rPr>
        <w:t xml:space="preserve"> </w:t>
      </w:r>
      <w:r w:rsidRPr="22DB2182">
        <w:rPr>
          <w:rFonts w:ascii="Times New Roman" w:hAnsi="Times New Roman" w:cs="Times New Roman"/>
        </w:rPr>
        <w:t xml:space="preserve">Maillet and Schacter </w:t>
      </w:r>
      <w:r w:rsidRPr="22DB2182">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{"citationID":"a2gbo2m9j2p","properties":{"unsorted":false,"formattedCitation":"(2016)","plainCitation":"(2016)","noteIndex":0},"citationItems":[{"id":17794,"uris":["http://zotero.org/users/8613739/items/BQR6IAY4"],"itemData":{"id":17794,"type":"article-journal","abstract":"The majority of studies that have investigated the effects of healthy aging on cognition have focused on age-related differences in voluntary and deliberately engaged cognitive processes. Yet many forms of cognition occur spontaneously, without any deliberate attempt at engaging them. In this article we review studies that have assessed age-related differences in four such types of spontaneous thought processes: mind-wandering, involuntary autobiographical memory, intrusive thoughts, and spontaneous prospective memory retrieval. These studies suggest that older adults exhibit a reduction in frequency of both mind-wandering and involuntary autobiographical memory, whereas findings regarding intrusive thoughts have been more mixed. Additionally, there is some preliminary evidence that spontaneous prospective memory retrieval may be relatively preserved in aging. We consider the roles of age-related differences in cognitive resources, motivation, current concerns and emotional regulation in accounting for these findings. We also consider age-related differences in the neural correlates of spontaneous cognitive processes.","citation-key":"mailletMindWanderingInvoluntary2016","container-title":"Neuropsychologia","DOI":"10.1016/j.neuropsychologia.2015.11.017","ISSN":"1873-3514","journalAbbreviation":"Neuropsychologia","language":"eng","page":"142-156","PMID":"26617263","PMCID":"PMC4698179","source":"PubMed","title":"From mind wandering to involuntary retrieval: Age-related differences in spontaneous cognitive processes","title-short":"From mind wandering to involuntary retrieval","volume":"80","author":[{"family":"Maillet","given":"David"},{"family":"Schacter","given":"Daniel L."}],"issued":{"date-parts":[["2016",1,8]]}},"suppress-author":true}],"schema":"https://github.com/citation-style-language/schema/raw/master/csl-citation.json"} </w:instrText>
      </w:r>
      <w:r w:rsidRPr="22DB2182">
        <w:rPr>
          <w:rFonts w:ascii="Times New Roman" w:hAnsi="Times New Roman" w:cs="Times New Roman"/>
        </w:rPr>
        <w:fldChar w:fldCharType="separate"/>
      </w:r>
      <w:r w:rsidR="00B633EE" w:rsidRPr="00B633EE">
        <w:rPr>
          <w:rFonts w:ascii="Times New Roman" w:hAnsi="Times New Roman" w:cs="Times New Roman"/>
        </w:rPr>
        <w:t>(2016)</w:t>
      </w:r>
      <w:r w:rsidRPr="22DB2182">
        <w:rPr>
          <w:rFonts w:ascii="Times New Roman" w:hAnsi="Times New Roman" w:cs="Times New Roman"/>
        </w:rPr>
        <w:fldChar w:fldCharType="end"/>
      </w:r>
      <w:r w:rsidRPr="22DB2182">
        <w:rPr>
          <w:rFonts w:ascii="Times New Roman" w:hAnsi="Times New Roman" w:cs="Times New Roman"/>
        </w:rPr>
        <w:t xml:space="preserve">; Jordão et al. </w:t>
      </w:r>
      <w:r w:rsidRPr="22DB2182">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{"citationID":"a1qdnvgimbc","properties":{"unsorted":false,"formattedCitation":"(2019)","plainCitation":"(2019)","noteIndex":0},"citationItems":[{"id":17829,"uris":["http://zotero.org/users/8613739/items/GSGB8UPY"],"itemData":{"id":17829,"type":"article-journal","abstract":"Our attention frequently shifts from ongoing tasks to internal content such that we find ourselves mind wandering (MW). Recent research has revealed that increasing age in adulthood is associated with a decrease in the frequency of MW, but the factors that contribute to this age-related effect are unclear. Thus, in the present study we conducted a meta-analysis of age differences in MW that aimed to analyze (a) the size and consistency of the age-related decrease in MW frequency, and (b) the moderating impact of methodological and sociodemographic factors. We analyzed studies comparing MW frequency in healthy younger and older groups and found a large effect in older adults. The age-related decrease in MW was more pronounced for probe compared to self-caught procedures, when task-related interfering thoughts were measured separately, when visual masks were presented, as the proportion of targets increased, and as older participants and fewer women were included in older adult groups. In discussing the theoretical and practical implications of these findings, we highlight the role of motivation and response options and provide recommendations for future research. These included emphasizing the need for open-ended methods in order to avoid bias due to MW instructions. (PsycINFO Database Record (c) 2019 APA, all rights reserved).","citation-key":"jordaoMetaanalysisAgingEffects2019","container-title":"Psychology and Aging","DOI":"10.1037/pag0000356","ISSN":"1939-1498","issue":"4","journalAbbreviation":"Psychol Aging","language":"eng","page":"531-544","PMID":"31033303","source":"PubMed","title":"Meta-analysis of aging effects in mind wandering: Methodological and sociodemographic factors","title-short":"Meta-analysis of aging effects in mind wandering","volume":"34","author":[{"family":"Jordão","given":"Magda"},{"family":"Ferreira-Santos","given":"Fernando"},{"family":"Pinho","given":"Maria Salomé"},{"family":"St Jacques","given":"Peggy L."}],"issued":{"date-parts":[["2019",6]]}},"suppress-author":true}],"schema":"https://github.com/citation-style-language/schema/raw/master/csl-citation.json"} </w:instrText>
      </w:r>
      <w:r w:rsidRPr="22DB2182">
        <w:rPr>
          <w:rFonts w:ascii="Times New Roman" w:hAnsi="Times New Roman" w:cs="Times New Roman"/>
        </w:rPr>
        <w:fldChar w:fldCharType="separate"/>
      </w:r>
      <w:r w:rsidR="00B633EE" w:rsidRPr="00B633EE">
        <w:rPr>
          <w:rFonts w:ascii="Times New Roman" w:hAnsi="Times New Roman" w:cs="Times New Roman"/>
        </w:rPr>
        <w:t>(2019)</w:t>
      </w:r>
      <w:r w:rsidRPr="22DB2182">
        <w:rPr>
          <w:rFonts w:ascii="Times New Roman" w:hAnsi="Times New Roman" w:cs="Times New Roman"/>
        </w:rPr>
        <w:fldChar w:fldCharType="end"/>
      </w:r>
      <w:r w:rsidRPr="22DB2182">
        <w:rPr>
          <w:rFonts w:ascii="Times New Roman" w:hAnsi="Times New Roman" w:cs="Times New Roman"/>
        </w:rPr>
        <w:t xml:space="preserve">). However, </w:t>
      </w:r>
      <w:r w:rsidR="00135E53" w:rsidRPr="22DB2182">
        <w:rPr>
          <w:rFonts w:ascii="Times New Roman" w:hAnsi="Times New Roman" w:cs="Times New Roman"/>
        </w:rPr>
        <w:t>general theoretical accounts of mind-wandering occurrence might not be helpful</w:t>
      </w:r>
      <w:r w:rsidRPr="22DB2182">
        <w:rPr>
          <w:rFonts w:ascii="Times New Roman" w:hAnsi="Times New Roman" w:cs="Times New Roman"/>
        </w:rPr>
        <w:t xml:space="preserve"> </w:t>
      </w:r>
      <w:r w:rsidR="00135E53" w:rsidRPr="22DB2182">
        <w:rPr>
          <w:rFonts w:ascii="Times New Roman" w:hAnsi="Times New Roman" w:cs="Times New Roman"/>
        </w:rPr>
        <w:t>regarding</w:t>
      </w:r>
      <w:r w:rsidRPr="22DB2182">
        <w:rPr>
          <w:rFonts w:ascii="Times New Roman" w:hAnsi="Times New Roman" w:cs="Times New Roman"/>
        </w:rPr>
        <w:t xml:space="preserve"> MB, since they all focus on what supports mind-wandering-related content rather than its absence. </w:t>
      </w:r>
      <w:r w:rsidRPr="22DB2182">
        <w:rPr>
          <w:rFonts w:ascii="Times New Roman" w:hAnsi="Times New Roman" w:cs="Times New Roman"/>
          <w:lang w:val="en-GB"/>
        </w:rPr>
        <w:t xml:space="preserve">For example, the Control Failure × Concerns </w:t>
      </w:r>
      <w:r w:rsidRPr="22DB2182">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{"citationID":"a1lo2kv8upi","properties":{"unsorted":false,"formattedCitation":"(McVay &amp; Kane, 2010)","plainCitation":"(McVay &amp; Kane, 2010)","noteIndex":0},"citationItems":[{"id":17747,"uris":["http://zotero.org/users/8613739/items/RNA6CU45"],"itemData":{"id":17747,"type":"article-journal","abstract":"In this Comment, we contrast different conceptions of mind wandering that were presented in two recent theoretical reviews:  and . We also introduce a new perspective on the role of executive control in mind wandering by integrating empirical evidence presented in  with two theoretical frameworks:  elaborated control theory and ; ) current concerns theory. In contrast to the Smallwood-Schooler claim that mind-wandering recruits executive resources, we argue that mind wandering represents a failure of executive control and that it is dually determined by the presence of automatically generated thoughts in response to environmental and mental cues and the ability of the executive-control system to deal with this interference. We present empirical support for this view from experimental, neuroimaging, and individual-differences research.","citation-key":"mcvayDoesMindWandering2010","container-title":"Psychological bulletin","DOI":"10.1037/a0018298","ISSN":"0033-2909","issue":"2","journalAbbreviation":"Psychol Bull","page":"188-207","PMID":"20192557","PMCID":"PMC2850105","source":"PubMed Central","title":"Does Mind Wandering Reflect Executive Function or Executive Failure? Comment on  and","title-short":"Does Mind Wandering Reflect Executive Function or Executive Failure?","volume":"136","author":[{"family":"McVay","given":"Jennifer C."},{"family":"Kane","given":"Michael J."}],"issued":{"date-parts":[["2010",3]]}}}],"schema":"https://github.com/citation-style-language/schema/raw/master/csl-citation.json"} </w:instrText>
      </w:r>
      <w:r w:rsidRPr="22DB2182">
        <w:rPr>
          <w:rFonts w:ascii="Times New Roman" w:hAnsi="Times New Roman" w:cs="Times New Roman"/>
        </w:rPr>
        <w:fldChar w:fldCharType="separate"/>
      </w:r>
      <w:r w:rsidR="00B633EE" w:rsidRPr="00B633EE">
        <w:rPr>
          <w:rFonts w:ascii="Times New Roman" w:hAnsi="Times New Roman" w:cs="Times New Roman"/>
        </w:rPr>
        <w:t>(McVay &amp; Kane, 2010)</w:t>
      </w:r>
      <w:r w:rsidRPr="22DB2182">
        <w:rPr>
          <w:rFonts w:ascii="Times New Roman" w:hAnsi="Times New Roman" w:cs="Times New Roman"/>
        </w:rPr>
        <w:fldChar w:fldCharType="end"/>
      </w:r>
      <w:r w:rsidR="001004C0" w:rsidRPr="22DB2182">
        <w:rPr>
          <w:rFonts w:ascii="Times New Roman" w:hAnsi="Times New Roman" w:cs="Times New Roman"/>
        </w:rPr>
        <w:t xml:space="preserve"> </w:t>
      </w:r>
      <w:r w:rsidRPr="22DB2182">
        <w:rPr>
          <w:rFonts w:ascii="Times New Roman" w:hAnsi="Times New Roman" w:cs="Times New Roman"/>
          <w:lang w:val="en-GB"/>
        </w:rPr>
        <w:t xml:space="preserve">hypothesis predicts that seniors will experience less mind-wandering as task settings do not provide strong cues to elicit relevant concerns and subsequent mind-wandering. The Executive Control Hypothesis </w:t>
      </w:r>
      <w:r w:rsidRPr="22DB2182">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{"citationID":"a1pbikjaskp","properties":{"unsorted":false,"formattedCitation":"(Smallwood &amp; Schooler, 2006)","plainCitation":"(Smallwood &amp; Schooler, 2006)","noteIndex":0},"citationItems":[{"id":17745,"uris":["http://zotero.org/users/8613739/items/RU9T7IC9"],"itemData":{"id":17745,"type":"article-journal","abstract":"This article reviews the hypothesis that mind wandering can be integrated into executive models of attention. Evidence suggests that mind wandering shares many similarities with traditional notions of executive control. When mind wandering occurs, the executive components of attention appear to shift away from the primary task, leading to failures in task performance and superficial representations of the external environment. One challenge for incorporating mind wandering into standard executive models is that it often occurs in the absence of explicit intention--a hallmark of controlled processing. However, mind wandering, like other goal-related processes, can be engaged without explicit awareness; thus, mind wandering can be seen as a goal-driven process, albeit one that is not directed toward the primary task.","citation-key":"smallwoodRestlessMind2006","container-title":"Psychological Bulletin","DOI":"10.1037/0033-2909.132.6.946","ISSN":"0033-2909","issue":"6","journalAbbreviation":"Psychol Bull","language":"eng","page":"946-958","PMID":"17073528","source":"PubMed","title":"The restless mind","volume":"132","author":[{"family":"Smallwood","given":"Jonathan"},{"family":"Schooler","given":"Jonathan W."}],"issued":{"date-parts":[["2006",11]]}}}],"schema":"https://github.com/citation-style-language/schema/raw/master/csl-citation.json"} </w:instrText>
      </w:r>
      <w:r w:rsidRPr="22DB2182">
        <w:rPr>
          <w:rFonts w:ascii="Times New Roman" w:hAnsi="Times New Roman" w:cs="Times New Roman"/>
        </w:rPr>
        <w:fldChar w:fldCharType="separate"/>
      </w:r>
      <w:r w:rsidR="00B633EE" w:rsidRPr="00B633EE">
        <w:rPr>
          <w:rFonts w:ascii="Times New Roman" w:hAnsi="Times New Roman" w:cs="Times New Roman"/>
        </w:rPr>
        <w:t>(Smallwood &amp; Schooler, 2006)</w:t>
      </w:r>
      <w:r w:rsidRPr="22DB2182">
        <w:rPr>
          <w:rFonts w:ascii="Times New Roman" w:hAnsi="Times New Roman" w:cs="Times New Roman"/>
        </w:rPr>
        <w:fldChar w:fldCharType="end"/>
      </w:r>
      <w:r w:rsidRPr="22DB2182">
        <w:rPr>
          <w:rFonts w:ascii="Times New Roman" w:hAnsi="Times New Roman" w:cs="Times New Roman"/>
          <w:lang w:val="en-GB"/>
        </w:rPr>
        <w:t xml:space="preserve"> posit</w:t>
      </w:r>
      <w:r w:rsidR="00EE42C0" w:rsidRPr="22DB2182">
        <w:rPr>
          <w:rFonts w:ascii="Times New Roman" w:hAnsi="Times New Roman" w:cs="Times New Roman"/>
          <w:lang w:val="en-GB"/>
        </w:rPr>
        <w:t>s</w:t>
      </w:r>
      <w:r w:rsidRPr="22DB2182">
        <w:rPr>
          <w:rFonts w:ascii="Times New Roman" w:hAnsi="Times New Roman" w:cs="Times New Roman"/>
          <w:lang w:val="en-GB"/>
        </w:rPr>
        <w:t xml:space="preserve"> that the reduction of mind-wandering is due to </w:t>
      </w:r>
      <w:r w:rsidR="00EE42C0" w:rsidRPr="22DB2182">
        <w:rPr>
          <w:rFonts w:ascii="Times New Roman" w:hAnsi="Times New Roman" w:cs="Times New Roman"/>
          <w:lang w:val="en-GB"/>
        </w:rPr>
        <w:t>a</w:t>
      </w:r>
      <w:r w:rsidRPr="22DB2182">
        <w:rPr>
          <w:rFonts w:ascii="Times New Roman" w:hAnsi="Times New Roman" w:cs="Times New Roman"/>
          <w:lang w:val="en-GB"/>
        </w:rPr>
        <w:t xml:space="preserve"> reduction of executive resources necessary to sustain mind-wandering. Neither approach </w:t>
      </w:r>
      <w:r w:rsidR="001004C0" w:rsidRPr="22DB2182">
        <w:rPr>
          <w:rFonts w:ascii="Times New Roman" w:hAnsi="Times New Roman" w:cs="Times New Roman"/>
          <w:lang w:val="en-GB"/>
        </w:rPr>
        <w:t>makes a prediction</w:t>
      </w:r>
      <w:r w:rsidRPr="22DB2182">
        <w:rPr>
          <w:rFonts w:ascii="Times New Roman" w:hAnsi="Times New Roman" w:cs="Times New Roman"/>
          <w:lang w:val="en-GB"/>
        </w:rPr>
        <w:t xml:space="preserve"> for why MB decreases in an age group marked by executive functioning decline. A dispositional account may better elaborate the age-related differences. Research suggests that older individuals tend to exhibit higher levels of conscientiousness and motivation toward experimental tasks</w:t>
      </w:r>
      <w:r w:rsidR="001004C0" w:rsidRPr="22DB2182">
        <w:rPr>
          <w:rFonts w:ascii="Times New Roman" w:hAnsi="Times New Roman" w:cs="Times New Roman"/>
          <w:lang w:val="en-GB"/>
        </w:rPr>
        <w:t xml:space="preserve"> </w:t>
      </w:r>
      <w:r w:rsidRPr="22DB2182">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{"citationID":"a1nppcd2i18","properties":{"unsorted":false,"formattedCitation":"(Frank et al., 2015; Seli et al., 2021; Shake et al., 2016)","plainCitation":"(Frank et al., 2015; Seli et al., 2021; Shake et al., 2016)","noteIndex":0},"citationItems":[{"id":17718,"uris":["http://zotero.org/users/8613739/items/3LK3A5LC"],"itemData":{"id":17718,"type":"article-journal","abstract":"The Control Failures × Concerns theory perspective proposes that mind-wandering occurs, in part, because of failures to inhibit distracting thoughts from entering consciousness (McVay &amp; Kane, 2012). Despite older adults (OAs) exhibiting poorer inhibition, they report less mind-wandering than do young adults (YAs). Proposed explanations include (a) that OAs' thought reports are less valid due to an unawareness of, or reluctance to report, task-unrelated thoughts (TUTs) and (b) that dispositional factors protect OAs from mind-wandering. The primary goal of the current study was to test the validity of thought reports via eye-tracking. A secondary goal was to examine whether OAs' greater mindfulness (Splevins, Smith, &amp; Simpson, 2009) or more positive mood (Carstensen, Isaacowitz, &amp; Charles, 1999) protects them from TUTs. We found that eye movement patterns predicted OAs' TUT reports and YAs' task-related interference (TRI, or thoughts about one's performance) reports. Additionally, poor comprehension was associated with more TUTs in both age groups and more TRI in YAs. These results support the validity of OAs' thought reports. Concerning the second aim of the study, OAs' greater tendency to observe their surroundings (a facet of mindfulness) was related to increased TRI, and OAs' more positive mood and greater motivation partially mediated age differences in TUTs. OAs' reduced TUT reports appear to be genuine and potentially related to dispositional factors.","citation-key":"frankValidatingOlderAdults2015","container-title":"Psychology and Aging","DOI":"10.1037/pag0000031","ISSN":"1939-1498","issue":"2","journalAbbreviation":"Psychol Aging","language":"eng","page":"266-278","PMID":"25938246","source":"PubMed","title":"Validating older adults' reports of less mind-wandering: An examination of eye movements and dispositional influences","title-short":"Validating older adults' reports of less mind-wandering","volume":"30","author":[{"family":"Frank","given":"David J."},{"family":"Nara","given":"Brent"},{"family":"Zavagnin","given":"Michela"},{"family":"Touron","given":"Dayna R."},{"family":"Kane","given":"Michael J."}],"issued":{"date-parts":[["2015",6]]}}},{"id":17744,"uris":["http://zotero.org/users/8613739/items/SGY84QMX"],"itemData":{"id":17744,"type":"article-journal","abstract":"OBJECTIVES: A common finding in the mind-wandering literature is that older adults (OAs) tend to mind-wander less frequently than young adults (YAs). Here, we sought to determine whether this age-related difference in mind-wandering is attributable to age-related differences in motivation.\nMETHOD: YAs and OAs completed an attention task during which they responded to thought probes that assessed rates of mind-wandering, and they provided self-reports of task-based motivation before and after completion of the attention task.\nRESULTS: Age-related differences in mind-wandering are partially explained by differences in motivation, and motivating YAs via incentive diminishes mind-wandering differences across these groups.\nDISCUSSION: We consider these results in the context of theories on age-related differences in mind wandering, with a specific focus on their relevance to the recently proposed motivational account of such age-related differences.","citation-key":"seliMindWanderingAgeGap2021","container-title":"The Journals of Gerontology. Series B, Psychological Sciences and Social Sciences","DOI":"10.1093/geronb/gbaa031","ISSN":"1758-5368","issue":"7","journalAbbreviation":"J Gerontol B Psychol Sci Soc Sci","language":"eng","page":"1264-1271","PMID":"32107558","PMCID":"PMC8363030","source":"PubMed","title":"Mind-Wandering Across the Age Gap: Age-Related Differences in Mind-Wandering Are Partially Attributable to Age-Related Differences in Motivation","title-short":"Mind-Wandering Across the Age Gap","volume":"76","author":[{"family":"Seli","given":"Paul"},{"family":"O'Neill","given":"Kevin"},{"family":"Carriere","given":"Jonathan S. A."},{"family":"Smilek","given":"Daniel"},{"family":"Beaty","given":"Roger E."},{"family":"Schacter","given":"Daniel L."}],"issued":{"date-parts":[["2021",8,13]]}}},{"id":17769,"uris":["http://zotero.org/users/8613739/items/N9G7CTHK"],"itemData":{"id":17769,"type":"article-journal","abstract":"Mindless reading occurs when an individual shifts their attention away from the text and toward other off-task thoughts. This study examined whether previously reported age-related declines in mindless reading episodes are due primarily to (a) situational features related to the text itself (e.g., text genre or interest in the text) and/or (b) individual differences in cognitive ability.Participants read 2 texts written in different genres but about the same topic. During reading, they were randomly probed to indicate whether they were on-task or mind-wandering. They also indicated their perceptions regarding the interest and difficulty of the text, and completed a battery of cognitive ability measures.The results showed that (a) text genre may engender some age differences in mindless reading and (b) greater age and perceived interest in the text were each uniquely predictive of reduced mindless reading for both text genres. Individual differences in cognitive abilities (e.g., working memory, vocabulary) did not account for additional significant variance in mindless reading after interest and age were taken into account.Our findings are discussed in terms of implications for age differences in lapses of attention during reading and predictors of mind-wandering generally.","citation-key":"shakeEffectsIndividualDifferences2016","container-title":"The Journals of Gerontology: Series B","DOI":"10.1093/geronb/gbv012","ISSN":"1079-5014","issue":"5","journalAbbreviation":"J Gerontol B Psychol Sci Soc Sci","page":"808-820","source":"Silverchair","title":"Effects of Individual Differences and Situational Features on Age Differences in Mindless Reading","volume":"71","author":[{"family":"Shake","given":"Matthew C."},{"family":"Shulley","given":"Leah J."},{"family":"Soto-Freita","given":"Angelica M."}],"issued":{"date-parts":[["2016",9,1]]}}}],"schema":"https://github.com/citation-style-language/schema/raw/master/csl-citation.json"} </w:instrText>
      </w:r>
      <w:r w:rsidRPr="22DB2182">
        <w:rPr>
          <w:rFonts w:ascii="Times New Roman" w:hAnsi="Times New Roman" w:cs="Times New Roman"/>
          <w:lang w:val="en-GB"/>
        </w:rPr>
        <w:fldChar w:fldCharType="separate"/>
      </w:r>
      <w:r w:rsidR="00B633EE" w:rsidRPr="00B633EE">
        <w:rPr>
          <w:rFonts w:ascii="Times New Roman" w:hAnsi="Times New Roman" w:cs="Times New Roman"/>
        </w:rPr>
        <w:t>(Frank et al., 2015; Seli et al., 2021; Shake et al., 2016)</w:t>
      </w:r>
      <w:r w:rsidRPr="22DB2182">
        <w:rPr>
          <w:rFonts w:ascii="Times New Roman" w:hAnsi="Times New Roman" w:cs="Times New Roman"/>
          <w:lang w:val="en-GB"/>
        </w:rPr>
        <w:fldChar w:fldCharType="end"/>
      </w:r>
      <w:r w:rsidRPr="22DB2182">
        <w:rPr>
          <w:rFonts w:ascii="Times New Roman" w:hAnsi="Times New Roman" w:cs="Times New Roman"/>
        </w:rPr>
        <w:t xml:space="preserve">. </w:t>
      </w:r>
      <w:r w:rsidRPr="22DB2182">
        <w:rPr>
          <w:rFonts w:ascii="Times New Roman" w:hAnsi="Times New Roman" w:cs="Times New Roman"/>
          <w:lang w:val="en-GB"/>
        </w:rPr>
        <w:t xml:space="preserve">Therefore, it may be </w:t>
      </w:r>
      <w:r w:rsidR="00510161" w:rsidRPr="22DB2182">
        <w:rPr>
          <w:rFonts w:ascii="Times New Roman" w:hAnsi="Times New Roman" w:cs="Times New Roman"/>
          <w:lang w:val="en-GB"/>
        </w:rPr>
        <w:t>that seniors are more motivated to perform well in lab settings, leading</w:t>
      </w:r>
      <w:r w:rsidRPr="22DB2182">
        <w:rPr>
          <w:rFonts w:ascii="Times New Roman" w:hAnsi="Times New Roman" w:cs="Times New Roman"/>
          <w:lang w:val="en-GB"/>
        </w:rPr>
        <w:t xml:space="preserve"> to fewer overall lapses. </w:t>
      </w:r>
      <w:r w:rsidRPr="22DB2182">
        <w:rPr>
          <w:rFonts w:ascii="Times New Roman" w:hAnsi="Times New Roman" w:cs="Times New Roman"/>
        </w:rPr>
        <w:t>We recently examined a third alternative: attentional style.</w:t>
      </w:r>
      <w:r w:rsidRPr="22DB2182">
        <w:rPr>
          <w:rFonts w:ascii="Times New Roman" w:hAnsi="Times New Roman" w:cs="Times New Roman"/>
          <w:lang w:val="en-GB"/>
        </w:rPr>
        <w:t xml:space="preserve"> </w:t>
      </w:r>
      <w:r w:rsidRPr="22DB2182">
        <w:rPr>
          <w:rFonts w:ascii="Times New Roman" w:hAnsi="Times New Roman" w:cs="Times New Roman"/>
        </w:rPr>
        <w:t xml:space="preserve">We attempted to understand age-related differences in spontaneous thinking by examining the interplay between attentional style and physiological arousal at rest </w:t>
      </w:r>
      <w:r w:rsidRPr="22DB2182">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{"citationID":"a1r0iemum87","properties":{"unsorted":false,"formattedCitation":"(Koroma et al., 2023)","plainCitation":"(Koroma et al., 2023)","noteIndex":0},"citationItems":[{"id":5879,"uris":["http://zotero.org/users/8613739/items/7ZGTSIW5"],"itemData":{"id":5879,"type":"article-journal","abstract":"Spontaneous thinking significantly relies on attention and arousal. As these cognitive faculties change with age, we aimed at providing a comprehensive account to ongoing mental states in seniors, testing how these are influenced by attentional control and arousal. Using experience sampling at rest, 20 senior (65-75yrs) and 20 young participants (20-30yrs) were prompted to report mind-wandering (MW), sensory-related thoughts (S), and the newly introduced state of mind blanking (MB). Attentional control was assessed with the Attentional Style Questionnaire, and arousal with continuous monitoring of pupil diameter. Both age groups showed equally high occurrences of MW compared to MB or S. For young responders, we replicated that MW was more prevalent in easily-distracted participants and that it associated with higher arousal. In seniors, though, MB was more prevalent in easily-distracted participants, and it was associated with higher arousal, reversing the pattern found in young adults and focused seniors. Overall, our results show that attentional control and arousal jointly regulate ongoing mental states in an age-dependent manner and uncover the presence a specific profile of ongoing mental state regulation in healthy aging, being a potentially critical marker of age-associated diseases.","citation-key":"koromaElsewhereBlankedOngoing2023","container-title":"bioRxiv : the preprint server for biology","ISSN":"2692-8205","journalAbbreviation":"bioRxiv","language":"eng","note":"edition: 1.2\ntex.copyright: 2023, Posted by Cold Spring Harbor Laboratory","publisher":"Cold Spring Harbor Laboratory","title":"Elsewhere or Blanked? Ongoing mental states are regulated by pupil-linked arousal and attentional style in healthy ageing","author":[{"family":"Koroma","given":"Matthieu"},{"family":"Robert de Beauchamp","given":"Aurèle"},{"family":"Mortaheb","given":"Sepehr"},{"family":"Boulakis","given":"Paradeisios Alexandros"},{"family":"Bastin","given":"Christine"},{"family":"Demertzi","given":"Athena"}],"issued":{"date-parts":[["2023",4,24]]}}}],"schema":"https://github.com/citation-style-language/schema/raw/master/csl-citation.json"} </w:instrText>
      </w:r>
      <w:r w:rsidRPr="22DB2182">
        <w:rPr>
          <w:rFonts w:ascii="Times New Roman" w:hAnsi="Times New Roman" w:cs="Times New Roman"/>
        </w:rPr>
        <w:fldChar w:fldCharType="separate"/>
      </w:r>
      <w:r w:rsidR="00B633EE" w:rsidRPr="00B633EE">
        <w:rPr>
          <w:rFonts w:ascii="Times New Roman" w:hAnsi="Times New Roman" w:cs="Times New Roman"/>
        </w:rPr>
        <w:t>(Koroma et al., 2023)</w:t>
      </w:r>
      <w:r w:rsidRPr="22DB2182">
        <w:rPr>
          <w:rFonts w:ascii="Times New Roman" w:hAnsi="Times New Roman" w:cs="Times New Roman"/>
        </w:rPr>
        <w:fldChar w:fldCharType="end"/>
      </w:r>
      <w:r w:rsidRPr="22DB2182">
        <w:rPr>
          <w:rFonts w:ascii="Times New Roman" w:hAnsi="Times New Roman" w:cs="Times New Roman"/>
        </w:rPr>
        <w:t xml:space="preserve">. We found that, while in younger adults better attentional control led to </w:t>
      </w:r>
      <w:r w:rsidR="00136269" w:rsidRPr="22DB2182">
        <w:rPr>
          <w:rFonts w:ascii="Times New Roman" w:hAnsi="Times New Roman" w:cs="Times New Roman"/>
        </w:rPr>
        <w:t>more</w:t>
      </w:r>
      <w:r w:rsidRPr="22DB2182">
        <w:rPr>
          <w:rFonts w:ascii="Times New Roman" w:hAnsi="Times New Roman" w:cs="Times New Roman"/>
        </w:rPr>
        <w:t xml:space="preserve"> </w:t>
      </w:r>
      <w:r w:rsidR="00136269" w:rsidRPr="22DB2182">
        <w:rPr>
          <w:rFonts w:ascii="Times New Roman" w:hAnsi="Times New Roman" w:cs="Times New Roman"/>
        </w:rPr>
        <w:t>MB</w:t>
      </w:r>
      <w:r w:rsidR="00BA2471" w:rsidRPr="22DB2182">
        <w:rPr>
          <w:rFonts w:ascii="Times New Roman" w:hAnsi="Times New Roman" w:cs="Times New Roman"/>
        </w:rPr>
        <w:t xml:space="preserve"> and less mind-wandering</w:t>
      </w:r>
      <w:r w:rsidRPr="22DB2182">
        <w:rPr>
          <w:rFonts w:ascii="Times New Roman" w:hAnsi="Times New Roman" w:cs="Times New Roman"/>
        </w:rPr>
        <w:t xml:space="preserve">, in seniors, better attentional control led to more </w:t>
      </w:r>
      <w:r w:rsidR="00136269" w:rsidRPr="22DB2182">
        <w:rPr>
          <w:rFonts w:ascii="Times New Roman" w:hAnsi="Times New Roman" w:cs="Times New Roman"/>
        </w:rPr>
        <w:t>mind-wandering</w:t>
      </w:r>
      <w:r w:rsidR="00BA2471" w:rsidRPr="22DB2182">
        <w:rPr>
          <w:rFonts w:ascii="Times New Roman" w:hAnsi="Times New Roman" w:cs="Times New Roman"/>
        </w:rPr>
        <w:t xml:space="preserve"> and less MB</w:t>
      </w:r>
      <w:r w:rsidRPr="22DB2182">
        <w:rPr>
          <w:rFonts w:ascii="Times New Roman" w:hAnsi="Times New Roman" w:cs="Times New Roman"/>
        </w:rPr>
        <w:t xml:space="preserve">. Therefore, our results align with the view that age-related differences in MB are dispositional. Seniors have fewer overall off-task thoughts, and when they </w:t>
      </w:r>
      <w:r w:rsidR="00F62572" w:rsidRPr="22DB2182">
        <w:rPr>
          <w:rFonts w:ascii="Times New Roman" w:hAnsi="Times New Roman" w:cs="Times New Roman"/>
        </w:rPr>
        <w:t xml:space="preserve">do, attentional style dictates whether the mind drifts </w:t>
      </w:r>
      <w:r w:rsidRPr="22DB2182">
        <w:rPr>
          <w:rFonts w:ascii="Times New Roman" w:hAnsi="Times New Roman" w:cs="Times New Roman"/>
        </w:rPr>
        <w:t xml:space="preserve">or goes blank. </w:t>
      </w:r>
      <w:r>
        <w:tab/>
      </w:r>
    </w:p>
    <w:p w14:paraId="414F9870" w14:textId="5DA729AB" w:rsidR="008F5DA6" w:rsidRPr="0064517F" w:rsidRDefault="00FB05D1" w:rsidP="0064517F">
      <w:pPr>
        <w:spacing w:line="360" w:lineRule="auto"/>
        <w:ind w:firstLine="720"/>
        <w:jc w:val="both"/>
        <w:rPr>
          <w:rFonts w:ascii="Times New Roman" w:hAnsi="Times New Roman" w:cs="Times New Roman"/>
        </w:rPr>
      </w:pPr>
      <w:r w:rsidRPr="69CF6134">
        <w:rPr>
          <w:rFonts w:ascii="Times New Roman" w:hAnsi="Times New Roman" w:cs="Times New Roman"/>
        </w:rPr>
        <w:lastRenderedPageBreak/>
        <w:t xml:space="preserve">When it comes to the </w:t>
      </w:r>
      <w:r w:rsidR="5B656BF0" w:rsidRPr="69CF6134">
        <w:rPr>
          <w:rFonts w:ascii="Times New Roman" w:hAnsi="Times New Roman" w:cs="Times New Roman"/>
        </w:rPr>
        <w:t xml:space="preserve">aspect of </w:t>
      </w:r>
      <w:r w:rsidRPr="69CF6134">
        <w:rPr>
          <w:rFonts w:ascii="Times New Roman" w:hAnsi="Times New Roman" w:cs="Times New Roman"/>
        </w:rPr>
        <w:t>arousal, we found very strong evidence that low arousal states, indexed</w:t>
      </w:r>
      <w:r w:rsidR="00BA2471" w:rsidRPr="69CF6134">
        <w:rPr>
          <w:rFonts w:ascii="Times New Roman" w:hAnsi="Times New Roman" w:cs="Times New Roman"/>
        </w:rPr>
        <w:t xml:space="preserve"> both</w:t>
      </w:r>
      <w:r w:rsidRPr="69CF6134">
        <w:rPr>
          <w:rFonts w:ascii="Times New Roman" w:hAnsi="Times New Roman" w:cs="Times New Roman"/>
        </w:rPr>
        <w:t xml:space="preserve"> by sleep deprivation and probe-caught moment-to-moment vigilance fluctuations, led to more frequent MB reports. Arousal constitutes an umbrella term indexing an organism's neurophysiological, </w:t>
      </w:r>
      <w:proofErr w:type="spellStart"/>
      <w:r w:rsidRPr="69CF6134">
        <w:rPr>
          <w:rFonts w:ascii="Times New Roman" w:hAnsi="Times New Roman" w:cs="Times New Roman"/>
        </w:rPr>
        <w:t>behavioural</w:t>
      </w:r>
      <w:proofErr w:type="spellEnd"/>
      <w:r w:rsidRPr="69CF6134">
        <w:rPr>
          <w:rFonts w:ascii="Times New Roman" w:hAnsi="Times New Roman" w:cs="Times New Roman"/>
        </w:rPr>
        <w:t>, and experiential readiness to respond to environmental demands</w:t>
      </w:r>
      <w:r w:rsidR="0064517F" w:rsidRPr="69CF6134">
        <w:rPr>
          <w:rFonts w:ascii="Times New Roman" w:hAnsi="Times New Roman" w:cs="Times New Roman"/>
        </w:rPr>
        <w:t xml:space="preserve"> (for a brief review on definitions and </w:t>
      </w:r>
      <w:proofErr w:type="spellStart"/>
      <w:r w:rsidR="0064517F" w:rsidRPr="69CF6134">
        <w:rPr>
          <w:rFonts w:ascii="Times New Roman" w:hAnsi="Times New Roman" w:cs="Times New Roman"/>
        </w:rPr>
        <w:t>operationalisations</w:t>
      </w:r>
      <w:proofErr w:type="spellEnd"/>
      <w:r w:rsidR="0064517F" w:rsidRPr="69CF6134">
        <w:rPr>
          <w:rFonts w:ascii="Times New Roman" w:hAnsi="Times New Roman" w:cs="Times New Roman"/>
        </w:rPr>
        <w:t xml:space="preserve">, see Smith et al.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{"citationID":"a17odudmq2e","properties":{"unsorted":false,"formattedCitation":"(2025)","plainCitation":"(2025)","noteIndex":0},"citationItems":[{"id":17905,"uris":["http://zotero.org/users/8613739/items/2LNQEXL2"],"itemData":{"id":17905,"type":"article-journal","abstract":"The idea of arousal as a non-specific state of activation has been implicated as an explanatory factor for many aspects of human behavior, ranging from emotional experiences to learning and memory. Critiques of this concept have highlighted that arousal is ambiguous and evidence for its role in emotion is mixed. However, contemporary emotion theories and empirical research continue to incorporate the concept of arousal in ways that fail to address its problems. Here, we review the origins of the term arousal in physiology and trace how it has been translated and applied to psychology (particularly as it relates to emotion). We consider whether the construct of arousal is currently (a) consistent and (b) useful in understanding human behavior.","citation-key":"smithArousalMayNot2025","container-title":"Emotion Review","DOI":"10.1177/17540739241303499","ISSN":"1754-0739","issue":"1","language":"EN","page":"3-15","publisher":"SAGE Publications","source":"SAGE Journals","title":"Arousal May Not Be Anything to Get Excited About","volume":"17","author":[{"family":"Smith","given":"Karen E."},{"family":"Woodard","given":"Kristina"},{"family":"Pollak","given":"Seth D."}],"issued":{"date-parts":[["2025",1,1]]}},"suppress-author":true}],"schema":"https://github.com/citation-style-language/schema/raw/master/csl-citation.json"}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(2025)</w:t>
      </w:r>
      <w:r w:rsidRPr="69CF6134">
        <w:rPr>
          <w:rFonts w:ascii="Times New Roman" w:hAnsi="Times New Roman" w:cs="Times New Roman"/>
        </w:rPr>
        <w:fldChar w:fldCharType="end"/>
      </w:r>
      <w:r w:rsidR="0064517F" w:rsidRPr="69CF6134">
        <w:rPr>
          <w:rFonts w:ascii="Times New Roman" w:hAnsi="Times New Roman" w:cs="Times New Roman"/>
        </w:rPr>
        <w:t>)</w:t>
      </w:r>
      <w:r w:rsidRPr="69CF6134">
        <w:rPr>
          <w:rFonts w:ascii="Times New Roman" w:hAnsi="Times New Roman" w:cs="Times New Roman"/>
        </w:rPr>
        <w:t>. For example, a low arousal state may be identified by low tonic pupil arousal, slower and more variable task performance, or low reported vigilance. In the case of MB, it has been related to both more sleepiness</w:t>
      </w:r>
      <w:r w:rsidR="0064517F" w:rsidRPr="69CF6134">
        <w:rPr>
          <w:rFonts w:ascii="Times New Roman" w:hAnsi="Times New Roman" w:cs="Times New Roman"/>
        </w:rPr>
        <w:t xml:space="preserve">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{"citationID":"a1mlfrt4s8i","properties":{"unsorted":false,"formattedCitation":"(Andrillon et al., 2021; Boulakis, Kusztor, et al., 2025; Corcoran et al., 2025; Kiss &amp; Linnell, 2024; Madiouni et al., 2020; Pinggal et al., 2026; Stawarczyk et al., 2020; Stawarczyk &amp; D\\uc0\\u8217{}Argembeau, 2016)","plainCitation":"(Andrillon et al., 2021; Boulakis, Kusztor, et al., 2025; Corcoran et al., 2025; Kiss &amp; Linnell, 2024; Madiouni et al., 2020; Pinggal et al., 2026; Stawarczyk et al., 2020; Stawarczyk &amp; D’Argembeau, 2016)","noteIndex":0},"citationItems":[{"id":5757,"uris":["http://zotero.org/users/8613739/items/44AG6C8P"],"itemData":{"id":5757,"type":"article-journal","abstract":"Attentional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17569,"uris":["http://zotero.org/users/8613739/items/ALEP8YKX"],"itemData":{"id":17569,"type":"article","abstract":"Mind blanking (MB) is a mental state of seemingly no reportable thought content. The question of how we can entertain no thoughts while awake is challenging for the study of spontaneous thinking. By combining EEG-fMRI with experience sampling during task performance, we categorised changes in mental content and self-reported vigilance to map the neurophysiological signatures of MB. We demonstrate that fMRI connectivity around MB reports is characterised by a \"rich\" pattern of long and short-range signal anticorrelations. At the same time, sleepiness reports are linked to a \"simpler\" hyperconnected fMRI pattern, characterised by overall positive connectivity. Put together, an interaction appears: when people report being alert, connectomes around MB reports resemble the hyperconnected pattern, indicating that the neuronal correlates of MB depend on self-rated vigilance. The hyperconnected pattern also correlated with EEG slow wave activity, tying MB's topology to sleep-like electrophysiology during wakefulness. Collectively, we show that distinct cortical events underlie the shared phenomenology of a thought-free mind. We conclude that MB's neurophysiological correlates vary across perceived vigilance levels and that more refined characterisation of the neuronal correlates of thought-less mental states exist. Our findings build on the quest to bridge mental content and its absence with measurable brain activity and provide insights into how ongoing thinking is maintained during wakefulness.","citation-key":"boulakisDistinctCorticalProfiles2025","DOI":"10.1101/2025.10.14.681984","language":"en","license":"© 2025, Posted by Cold Spring Harbor Laboratory. This pre-print is available under a Creative Commons License (Attribution 4.0 International), CC BY 4.0, as described at http://creativecommons.org/licenses/by/4.0/","note":"ISSN: 2692-8205\npage: 2025.10.14.681984\nsection: New Results","publisher":"bioRxiv","source":"bioRxiv","title":"Distinct cortical profiles underlie the common reportability of thought-free experiences","URL":"https://www.biorxiv.org/content/10.1101/2025.10.14.681984v1","author":[{"family":"Boulakis","given":"Paradeisios Alexandros"},{"family":"Kusztor","given":"Anikó"},{"family":"Tsuchiya","given":"Naotsugu"},{"family":"Andrillon","given":"Thomas"},{"family":"Demertzi","given":"Athena"}],"accessed":{"date-parts":[["2025",10,15]]},"issued":{"date-parts":[["2025",10,15]]}}},{"id":17735,"uris":["http://zotero.org/users/8613739/items/VI2WSF4X"],"itemData":{"id":17735,"type":"article-journal","abstract":"Neuroscience is beginning to uncover the role of interoceptive feedback in perception, learning, and decision-making; however, the relation between spontaneous visceral and cognitive dynamics has received surprisingly little scrutiny. Here, we investigate how subjective, physiological, and behavioural indicators of arousal and attentional state vary in relation to ongoing cardiac activity and brain-heart coupling. Electroencephalogram, electrocardiogram, and pupillometric records were obtained from 65 adults during the performance of a sustained attention to response task (SART). Thought probes were intermittently administered during the SART to collect subjective reports of attentional state (on-task, mind-wandering, mind-blanking) and vigilance level (alertness vs. sleepiness). Mind-wandering and mind-blanking reports increased in frequency with time-on-task and were accompanied by decreases in alertness and pupil-linked arousal, but evinced distinct psychophysiological and behavioural profiles: While mind-wandering was associated with greater heart-rate variability and late modulation of the heartbeat-evoked potential, mind-blanking was characterised by more profound decreases in heart-rate, pupil size, and brain-heart coupling. Lower heart-rate predicted decreased vigilance and pupil size, in addition to slower, less-biased responses; increased heart-rate variability predicted more impulsive behaviour and pupil dilation. Together, these findings reveal that cardiac parameters and brain-heart connectivity measures afford complementary information about arousal states and attentional dynamics during task performance.","citation-key":"corcoranWhenYourHeart2025","container-title":"Communications Biology","DOI":"10.1038/s42003-025-09026-3","ISSN":"2399-3642","issue":"1","journalAbbreviation":"Commun Biol","language":"en","license":"2025 The Author(s)","page":"1646","publisher":"Nature Publishing Group","source":"www.nature.com","title":"When your heart isn’t in it anymore: cardiac correlates of task disengagement","title-short":"When your heart isn’t in it anymore","volume":"8","author":[{"family":"Corcoran","given":"Andrew W."},{"family":"Le Coz","given":"Arthur"},{"family":"Hohwy","given":"Jakob"},{"family":"Andrillon","given":"Thomas"}],"issued":{"date-parts":[["2025",11,24]]}}},{"id":16283,"uris":["http://zotero.org/groups/6160358/items/CXPG9MAJ"],"itemData":{"id":16283,"type":"article-journal","abstract":"Across two online experiments, this study explored the effect of preferred background music on attentional state and performance, as well as on mood and arousal, during a vigilance task. It extended recent laboratory findings—showing an increase in task-focus and decrease in mind-wandering states with music—to environments with more distractions around participants. Participants—people who normally listen to background music during attention-demanding tasks—completed the vigilance task in their homes both with and without their chosen music and reported their attentional state, subjective arousal, and mood valence throughout the task. Experiment 1 compared music to relative silence and Experiment 2 compared music against the backdrop of continuous noise to continuous noise alone. In both experiments, music decreased mind-wandering and increased task-focus. Unlike in previous laboratory studies, in both experiments music also led to faster reaction times while increasing low-arousal external-distraction states. Importantly, mood and arousal increased with music and were shown to mediate its effects on reaction time and for the first time attentional state, both separately and together. Serial mediation effects were mostly confined to models where mood was entered first and arousal second and were consistent with the mood-arousal account of the impact of background music listening.","citation-key":"kissRoleMoodArousal2024a","container-title":"Scientific reports","ISSN":"2045-2322","issue":"1","language":"eng","license":"The Author(s) 2024. corrected publication 2024","page":"9485–19","title":"The role of mood and arousal in the effect of background music on attentional state and performance during a sustained attention task","volume":"14","author":[{"family":"Kiss","given":"Luca"},{"family":"Linnell","given":"Karina J."}],"issued":{"date-parts":[["2024",4]]}}},{"id":136,"uris":["http://zotero.org/users/8613739/items/NJUUZZIQ"],"itemData":{"id":136,"type":"article-journal","abstract":"Sleepiness and mind-wandering are frequently experienced by patients with attention-deficit/hyperactivity disorder (ADHD), without ever having been jointly explored. We aimed to investigate the co-occurrence of these two phenomena in ADHD adults. Drug-free ADHD adults (n = 25) and healthy controls (n = 28) underwent an online experience sampling of mind-wandering episodes and subjective sleepiness. Participants completed self-reported measures of mind-wandering and sleepiness in daily life. Higher trait of mind-wandering was observed in ADHD patients compared to controls. On the whole sample, self-reported mind-wandering propensity was strongly associated with the severity of inattentive, impulsive and hyperactive symptoms. During the probes, patients reported more frequent episodes of mind-wandering and mind-blanking, and higher sleepiness. Their mind-wandering episodes were less intentional and belonged less frequently to a structured succession of thoughts. In both groups, mind-wandering and mind-blanking were associated with higher sleepiness. On the SART, patients were less accurate than controls. We provide first initial evidence for higher propensity of mind-wandering and mind-blanking using experience sampling in patients with formal ADHD diagnosis. This propensity was associated with sleepiness without negatively impacting attention performances. Mind-wandering and sleepiness have common determinants potentially involved in ADHD pathophysiology. Correlates of mind-blanking in ADHD adults remain to be characterized.","citation-key":"madiouniMindwanderingSleepinessAdults2020","container-title":"Psychiatry Research","DOI":"10.1016/j.psychres.2020.112901","ISSN":"1872-7123","journalAbbreviation":"Psychiatry Res","language":"eng","page":"112901","PMID":"32155443","source":"PubMed","title":"Mind-wandering and sleepiness in adults with attention-deficit/hyperactivity disorder","volume":"287","author":[{"family":"Madiouni","given":"Clarisse"},{"family":"Lopez","given":"Régis"},{"family":"Gély-Nargeot","given":"Marie-Christine"},{"family":"Lebrun","given":"Cindy"},{"family":"Bayard","given":"Sophie"}],"issued":{"date-parts":[["2020",5]]}}},{"id":17883,"uris":["http://zotero.org/users/8613739/items/Y55WJEAJ"],"itemData":{"id":17883,"type":"article-journal","abstract":"Attention-deficit/hyperactivity disorder (ADHD) is characterized by behavioral variability and heightened inattention associated with increased mind wandering (MW) and mind blanking (MB). Individuals with ADHD frequently experience sleep disorders and excessive daytime sleepiness, suggesting interactions between attention and arousal systems. Research examining brain activity using electroencephalography (EEG) has demonstrated that sleep-like slow waves (SWs) during wakefulness are linked to inattention in neurotypical individuals following sleep deprivation, yet their role in ADHD remains unclear. This study investigated whether individuals with ADHD present with altered waking SW distribution compared with neurotypical controls and whether SWs explain attentional difficulties in ADHD. Adults with (n = 32) and without ADHD (n = 31) completed a sustained attention task while EEG recorded brain activity. Mental state probes (on-task, MW, MB) were embedded within the task. Sleep-like SWs reflect cortical slowing and were detected from EEG activity. Omission/commission errors, reaction time (RT), RT variability, mental state reports, and subjective sleepiness were analyzed. Mediation analysis examined whether SW density explained ADHD-related performance differences. Individuals with ADHD exhibited more commission errors, MW and MB, more theta oscillations over frontotemporal electrodes, and higher SW density (SW/minute) over parietotemporal electrodes. Increased SW density correlated with higher omission errors, slower RTs, greater RT variability, and elevated sleepiness ratings. On-task reports were negatively correlated with SW density. Mediation analysis revealed that SW density significantly accounted for ADHD-related attentional difficulties. Wake SW may explain attentional difficulties in ADHD, providing a potential mechanistic link between sleep disturbances and attentional fluctuations.","citation-key":"pinggalSleepLikeSlowWaves2026","container-title":"The Journal of Neuroscience: The Official Journal of the Society for Neuroscience","DOI":"10.1523/JNEUROSCI.1694-25.2025","ISSN":"1529-2401","issue":"15","journalAbbreviation":"J Neurosci","language":"eng","page":"e1694252025","PMID":"41839570","PMCID":"PMC13086247","source":"PubMed","title":"Sleep-Like Slow Waves during Wakefulness Mediate Attention and Vigilance Difficulties in Adult Attention-Deficit/Hyperactivity Disorder","volume":"46","author":[{"family":"Pinggal","given":"Elaine"},{"family":"Jackson","given":"James"},{"family":"Kusztor","given":"Anikó"},{"family":"Chapman","given":"David"},{"family":"Windt","given":"Jennifer"},{"family":"Drummond","given":"Sean P. A."},{"family":"Silk","given":"Tim J."},{"family":"Bellgrove","given":"Mark A."},{"family":"Andrillon","given":"Thomas"}],"issued":{"date-parts":[["2026",4,15]]}}},{"id":4191,"uris":["http://zotero.org/users/8613739/items/XPGXBMFW"],"itemData":{"id":4191,"type":"article-journal","abstract":"Two independent lines of evidence suggest that drowsiness and mind-wandering share common neurocognitive processes indexed by ocular parameters (e.g., eyeblink frequency and pupil dynamics). Mind-wandering and drowsiness frequently co-occur, however, such that it remains unclear whether observed oculometric variations are related to mind-wandering, drowsiness, or a mix of both. To address this issue, we assessed fluctuations in mind-wandering and sleepiness during a sustained attention task while ocular parameters were recorded. Results showed that oculometric variations during mind-wandering were fully explained by increased sleepiness. However, mind-wandering and sleepiness had additive deleterious effects on performance that were not fully explained by ocular parameters. These findings suggest that oculometric variations during task performance reflect increased drowsiness rather than processes specifically involved in mind-wandering, and that the neurocognitive processes indexed by oculometric parameters (e.g., regulatory processes of the locus coeruleus norepinephrine system) do not fully explain how mind-wandering and sleepiness cause attentional lapses.","citation-key":"stawarczykDrowsinessMindwanderingFluctuations2020","container-title":"Biological Psychology","DOI":"10.1016/j.biopsycho.2020.107950","ISSN":"0301-0511","journalAbbreviation":"Biological Psychology","page":"107950","source":"ScienceDirect","title":"Drowsiness or mind-wandering? Fluctuations in ocular parameters during attentional lapses","title-short":"Drowsiness or mind-wandering?","volume":"156","author":[{"family":"Stawarczyk","given":"David"},{"family":"François","given":"Clémentine"},{"family":"Wertz","given":"Jérôme"},{"family":"D'Argembeau","given":"Arnaud"}],"issued":{"date-parts":[["2020",10,1]]}}},{"id":5855,"uris":["http://zotero.org/users/8613739/items/3BCE4U3Y"],"itemData":{"id":5855,"type":"article-journal","citation-key":"stawarczykConjointInfluenceMindwandering2016","language":"eng","note":"authority: Psychology and Neuroscience of Cognition Research Unit\ntex.copyright: Unrestricted online access","publisher":"American Psychological Association","title":"Conjoint influence of mind-wandering and sleepiness on task performance","author":[{"family":"Stawarczyk","given":"David"},{"family":"D'Argembeau","given":"Arnaud"}],"issued":{"date-parts":[["2016"]]}}}],"schema":"https://github.com/citation-style-language/schema/raw/master/csl-citation.json"}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(Andrillon et al., 2021; Boulakis, Kusztor, et al., 2025; Corcoran et al., 2025; Kiss &amp; Linnell, 2024; Madiouni et al., 2020; Pinggal et al., 2026; Stawarczyk et al., 2020; Stawarczyk &amp; D’Argembeau, 2016)</w:t>
      </w:r>
      <w:r w:rsidRPr="69CF6134">
        <w:rPr>
          <w:rFonts w:ascii="Times New Roman" w:hAnsi="Times New Roman" w:cs="Times New Roman"/>
        </w:rPr>
        <w:fldChar w:fldCharType="end"/>
      </w:r>
      <w:r w:rsidRPr="69CF6134">
        <w:rPr>
          <w:rFonts w:ascii="Times New Roman" w:hAnsi="Times New Roman" w:cs="Times New Roman"/>
        </w:rPr>
        <w:t xml:space="preserve"> and </w:t>
      </w:r>
      <w:r w:rsidR="008D691F">
        <w:rPr>
          <w:rFonts w:ascii="Times New Roman" w:hAnsi="Times New Roman" w:cs="Times New Roman"/>
        </w:rPr>
        <w:t xml:space="preserve">higher </w:t>
      </w:r>
      <w:r w:rsidRPr="69CF6134">
        <w:rPr>
          <w:rFonts w:ascii="Times New Roman" w:hAnsi="Times New Roman" w:cs="Times New Roman"/>
        </w:rPr>
        <w:t xml:space="preserve">reaction time variability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{"citationID":"a1lf5djpflo","properties":{"unsorted":false,"formattedCitation":"(Corcoran et al., 2025)","plainCitation":"(Corcoran et al., 2025)","noteIndex":0},"citationItems":[{"id":17735,"uris":["http://zotero.org/users/8613739/items/VI2WSF4X"],"itemData":{"id":17735,"type":"article-journal","abstract":"Neuroscience is beginning to uncover the role of interoceptive feedback in perception, learning, and decision-making; however, the relation between spontaneous visceral and cognitive dynamics has received surprisingly little scrutiny. Here, we investigate how subjective, physiological, and behavioural indicators of arousal and attentional state vary in relation to ongoing cardiac activity and brain-heart coupling. Electroencephalogram, electrocardiogram, and pupillometric records were obtained from 65 adults during the performance of a sustained attention to response task (SART). Thought probes were intermittently administered during the SART to collect subjective reports of attentional state (on-task, mind-wandering, mind-blanking) and vigilance level (alertness vs. sleepiness). Mind-wandering and mind-blanking reports increased in frequency with time-on-task and were accompanied by decreases in alertness and pupil-linked arousal, but evinced distinct psychophysiological and behavioural profiles: While mind-wandering was associated with greater heart-rate variability and late modulation of the heartbeat-evoked potential, mind-blanking was characterised by more profound decreases in heart-rate, pupil size, and brain-heart coupling. Lower heart-rate predicted decreased vigilance and pupil size, in addition to slower, less-biased responses; increased heart-rate variability predicted more impulsive behaviour and pupil dilation. Together, these findings reveal that cardiac parameters and brain-heart connectivity measures afford complementary information about arousal states and attentional dynamics during task performance.","citation-key":"corcoranWhenYourHeart2025","container-title":"Communications Biology","DOI":"10.1038/s42003-025-09026-3","ISSN":"2399-3642","issue":"1","journalAbbreviation":"Commun Biol","language":"en","license":"2025 The Author(s)","page":"1646","publisher":"Nature Publishing Group","source":"www.nature.com","title":"When your heart isn’t in it anymore: cardiac correlates of task disengagement","title-short":"When your heart isn’t in it anymore","volume":"8","author":[{"family":"Corcoran","given":"Andrew W."},{"family":"Le Coz","given":"Arthur"},{"family":"Hohwy","given":"Jakob"},{"family":"Andrillon","given":"Thomas"}],"issued":{"date-parts":[["2025",11,24]]}}}],"schema":"https://github.com/citation-style-language/schema/raw/master/csl-citation.json"}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(Corcoran et al., 2025)</w:t>
      </w:r>
      <w:r w:rsidRPr="69CF6134">
        <w:rPr>
          <w:rFonts w:ascii="Times New Roman" w:hAnsi="Times New Roman" w:cs="Times New Roman"/>
        </w:rPr>
        <w:fldChar w:fldCharType="end"/>
      </w:r>
      <w:r w:rsidRPr="69CF6134">
        <w:rPr>
          <w:rFonts w:ascii="Times New Roman" w:hAnsi="Times New Roman" w:cs="Times New Roman"/>
        </w:rPr>
        <w:t xml:space="preserve">. A potential neurophysiological explanation for the relationship between MB and arousal is that MB is often associated with sleep-like brain states that are not typically present during other waking mental states. We previously observed in fMRI that, during MB, the functional connectome </w:t>
      </w:r>
      <w:proofErr w:type="spellStart"/>
      <w:r w:rsidRPr="69CF6134">
        <w:rPr>
          <w:rFonts w:ascii="Times New Roman" w:hAnsi="Times New Roman" w:cs="Times New Roman"/>
        </w:rPr>
        <w:t>organises</w:t>
      </w:r>
      <w:proofErr w:type="spellEnd"/>
      <w:r w:rsidRPr="69CF6134">
        <w:rPr>
          <w:rFonts w:ascii="Times New Roman" w:hAnsi="Times New Roman" w:cs="Times New Roman"/>
        </w:rPr>
        <w:t xml:space="preserve"> in a “hyperconnected” manner, showing a global, all-to-all positive connectivity profile and absence of anticorrelated activity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{"citationID":"adu240gfee","properties":{"unsorted":false,"formattedCitation":"(Boulakis, Kusztor, et al., 2025; Mortaheb et al., 2022)","plainCitation":"(Boulakis, Kusztor, et al., 2025; Mortaheb et al., 2022)","noteIndex":0},"citationItems":[{"id":17569,"uris":["http://zotero.org/users/8613739/items/ALEP8YKX"],"itemData":{"id":17569,"type":"article","abstract":"Mind blanking (MB) is a mental state of seemingly no reportable thought content. The question of how we can entertain no thoughts while awake is challenging for the study of spontaneous thinking. By combining EEG-fMRI with experience sampling during task performance, we categorised changes in mental content and self-reported vigilance to map the neurophysiological signatures of MB. We demonstrate that fMRI connectivity around MB reports is characterised by a \"rich\" pattern of long and short-range signal anticorrelations. At the same time, sleepiness reports are linked to a \"simpler\" hyperconnected fMRI pattern, characterised by overall positive connectivity. Put together, an interaction appears: when people report being alert, connectomes around MB reports resemble the hyperconnected pattern, indicating that the neuronal correlates of MB depend on self-rated vigilance. The hyperconnected pattern also correlated with EEG slow wave activity, tying MB's topology to sleep-like electrophysiology during wakefulness. Collectively, we show that distinct cortical events underlie the shared phenomenology of a thought-free mind. We conclude that MB's neurophysiological correlates vary across perceived vigilance levels and that more refined characterisation of the neuronal correlates of thought-less mental states exist. Our findings build on the quest to bridge mental content and its absence with measurable brain activity and provide insights into how ongoing thinking is maintained during wakefulness.","citation-key":"boulakisDistinctCorticalProfiles2025","DOI":"10.1101/2025.10.14.681984","language":"en","license":"© 2025, Posted by Cold Spring Harbor Laboratory. This pre-print is available under a Creative Commons License (Attribution 4.0 International), CC BY 4.0, as described at http://creativecommons.org/licenses/by/4.0/","note":"ISSN: 2692-8205\npage: 2025.10.14.681984\nsection: New Results","publisher":"bioRxiv","source":"bioRxiv","title":"Distinct cortical profiles underlie the common reportability of thought-free experiences","URL":"https://www.biorxiv.org/content/10.1101/2025.10.14.681984v1","author":[{"family":"Boulakis","given":"Paradeisios Alexandros"},{"family":"Kusztor","given":"Anikó"},{"family":"Tsuchiya","given":"Naotsugu"},{"family":"Andrillon","given":"Thomas"},{"family":"Demertzi","given":"Athena"}],"accessed":{"date-parts":[["2025",10,15]]},"issued":{"date-parts":[["2025",10,15]]}}},{"id":15027,"uris":["http://zotero.org/users/8613739/items/8TT9V8WL"],"itemData":{"id":15027,"type":"article-journal","abstract":"Mind blanking (MB) is a waking state during which we do not report any mental content. The phenomenology of MB challenges the view of a constantly thinking mind. Here, we comprehensively characterize the MB’s neurobehavioral profile with the aim to delineate its role during ongoing mentation. Using functional MRI experience sampling, we show that the reportability of MB is less frequent, faster, and with lower transitional dynamics than other mental states, pointing to its role as a transient mental relay. Regarding its neural underpinnings, we observed higher global signal amplitude during MB reports, indicating a distinct physiological state. Using the time-varying functional connectome, we show that MB reports can be classified with high accuracy, suggesting that MB has a unique neural composition. Indeed, a pattern of global positive-phase coherence shows the highest similarity to the connectivity patterns associated with MB reports. We interpret this pattern’s rigid signal architecture as hindering content reportability due to the brain’s inability to differentiate signals in an informative way. Collectively, we show that MB has a unique neurobehavioral profile, indicating that nonreportable mental events can happen during wakefulness. Our results add to the characterization of spontaneous mentation and pave the way for more mechanistic investigations of MB’s phenomenology.","citation-key":"mortahebMindBlankingDistinct2022","container-title":"Proceedings of the National Academy of Sciences","DOI":"10.1073/pnas.2200511119","issue":"41","journalAbbreviation":"Proc Natl Acad Sci U S A","page":"e2200511119","publisher":"Proceedings of the National Academy of Sciences","source":"pnas.org (Atypon)","title":"Mind blanking is a distinct mental state linked to a recurrent brain profile of globally positive connectivity during ongoing mentation","volume":"119","author":[{"family":"Mortaheb","given":"Sepehr"},{"family":"Van Calster","given":"Laurens"},{"family":"Raimondo","given":"Federico"},{"family":"Klados","given":"Manousos A."},{"family":"Boulakis","given":"Paradeisios Alexandros"},{"family":"Georgoula","given":"Kleio"},{"family":"Majerus","given":"Steve"},{"family":"Van De Ville","given":"Dimitri"},{"family":"Demertzi","given":"Athena"}],"issued":{"date-parts":[["2022",10,11]]}}}],"schema":"https://github.com/citation-style-language/schema/raw/master/csl-citation.json"}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(Boulakis, Kusztor, et al., 2025; Mortaheb et al., 2022)</w:t>
      </w:r>
      <w:r w:rsidRPr="69CF6134">
        <w:rPr>
          <w:rFonts w:ascii="Times New Roman" w:hAnsi="Times New Roman" w:cs="Times New Roman"/>
        </w:rPr>
        <w:fldChar w:fldCharType="end"/>
      </w:r>
      <w:r w:rsidRPr="69CF6134">
        <w:rPr>
          <w:rFonts w:ascii="Times New Roman" w:hAnsi="Times New Roman" w:cs="Times New Roman"/>
        </w:rPr>
        <w:t xml:space="preserve">. This profile appears mostly in NREM sleep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{"citationID":"a2nbsb3kgfi","properties":{"unsorted":false,"formattedCitation":"(Castro et al., 2024; El-Baba et al., 2019)","plainCitation":"(Castro et al., 2024; El-Baba et al., 2019)","noteIndex":0},"citationItems":[{"id":4153,"uris":["http://zotero.org/users/8613739/items/PA3FQKFC"],"itemData":{"id":4153,"type":"article-journal","abstract":"Resting-state functional magnetic resonance imaging evolves through a repertoire of functional connectivity patterns which might reflect ongoing cognition, as well as the contents of conscious awareness. We investigated whether the dynamic exploration of these states can provide robust and generalizable markers for the state of consciousness in human participants, across loss of consciousness induced by general anaesthesia or slow wave sleep. By clustering transient states of functional connectivity, we demonstrated that brain activity during unconsciousness is dominated by a recurrent pattern primarily mediated by structural connectivity and with a reduced capacity to transition to other patterns. Our results provide evidence supporting the pronounced differences between conscious and unconscious brain states in terms of whole-brain dynamics; in particular, the maintenance of rich brain dynamics measured by entropy is a critical aspect of conscious awareness. Collectively, our results may have significant implications for our understanding of consciousness and the neural basis of human awareness, as well as for the discovery of robust signatures of consciousness that are generalizable among different brain conditions.","citation-key":"castroDynamicalStructurefunctionCorrelations2024","container-title":"Communications Biology","DOI":"10.1038/s42003-024-06858-3","ISSN":"2399-3642","issue":"1","journalAbbreviation":"Commun Biol","language":"en","license":"2024 The Author(s)","page":"1-12","publisher":"Nature Publishing Group","source":"www.nature.com","title":"Dynamical structure-function correlations provide robust and generalizable signatures of consciousness in humans","volume":"7","author":[{"family":"Castro","given":"Pablo"},{"family":"Luppi","given":"Andrea"},{"family":"Tagliazucchi","given":"Enzo"},{"family":"Perl","given":"Yonatan S."},{"family":"Naci","given":"Lorina"},{"family":"Owen","given":"Adrian M."},{"family":"Sitt","given":"Jacobo D."},{"family":"Destexhe","given":"Alain"},{"family":"Cofré","given":"Rodrigo"}],"issued":{"date-parts":[["2024",9,30]]}}},{"id":2383,"uris":["http://zotero.org/groups/4737794/items/NGJ6AC6K"],"itemData":{"id":2383,"type":"article-journal","abstract":"The transition from wakefulness to sleep is accompanied by widespread changes in brain functioning. Here we investigate the implications of this transition for interregional functional connectivity and their dynamic changes over time. Simultaneous EEG-fMRI was used to measure brain functional activity of 21 healthy participants as they transitioned from wakefulness into sleep. fMRI volumes were independent component analysis (ICA)-decomposed, yielding 42 neurophysiological sources. Static functional connectivity (FC) was estimated from independent component time courses. A sliding window method and k-means clustering (k = 7, L2-norm) were used to estimate dynamic FC. Static FC in Wake and Stage-2 Sleep (NREM2) were largely similar. By contrast, FC dynamics across wake and sleep differed, with transitions between FC states occurring more frequently during wakefulness than during NREM2. Evidence of slower FC dynamics during sleep is discussed in relation to sleep-related reductions in effective connectivity and synaptic strength.","citation-key":"el-babaFunctionalConnectivityDynamics2019","container-title":"PLOS ONE","DOI":"10.1371/journal.pone.0224669","ISSN":"1932-6203","issue":"12","journalAbbreviation":"PLOS ONE","language":"en","page":"e0224669","publisher":"Public Library of Science","source":"PLoS Journals","title":"Functional connectivity dynamics slow with descent from wakefulness to sleep","volume":"14","author":[{"family":"El-Baba","given":"Mazen"},{"family":"Lewis","given":"Daniel J."},{"family":"Fang","given":"Zhuo"},{"family":"Owen","given":"Adrian M."},{"family":"Fogel","given":"Stuart M."},{"family":"Morton","given":"J. Bruce"}],"issued":{"date-parts":[["2019",12,2]]}}}],"schema":"https://github.com/citation-style-language/schema/raw/master/csl-citation.json"}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(Castro et al., 2024; El-Baba et al., 2019)</w:t>
      </w:r>
      <w:r w:rsidRPr="69CF6134">
        <w:rPr>
          <w:rFonts w:ascii="Times New Roman" w:hAnsi="Times New Roman" w:cs="Times New Roman"/>
        </w:rPr>
        <w:fldChar w:fldCharType="end"/>
      </w:r>
      <w:r w:rsidRPr="69CF6134">
        <w:rPr>
          <w:rFonts w:ascii="Times New Roman" w:hAnsi="Times New Roman" w:cs="Times New Roman"/>
        </w:rPr>
        <w:t>. This commonality may help explain why MB becomes more prevalent during sleep deprivation. Evidence for MB-sleep-like correlate</w:t>
      </w:r>
      <w:r w:rsidR="00F62572" w:rsidRPr="69CF6134">
        <w:rPr>
          <w:rFonts w:ascii="Times New Roman" w:hAnsi="Times New Roman" w:cs="Times New Roman"/>
        </w:rPr>
        <w:t>s</w:t>
      </w:r>
      <w:r w:rsidRPr="69CF6134">
        <w:rPr>
          <w:rFonts w:ascii="Times New Roman" w:hAnsi="Times New Roman" w:cs="Times New Roman"/>
        </w:rPr>
        <w:t xml:space="preserve"> </w:t>
      </w:r>
      <w:r w:rsidR="00510161" w:rsidRPr="69CF6134">
        <w:rPr>
          <w:rFonts w:ascii="Times New Roman" w:hAnsi="Times New Roman" w:cs="Times New Roman"/>
        </w:rPr>
        <w:t>is</w:t>
      </w:r>
      <w:r w:rsidRPr="69CF6134">
        <w:rPr>
          <w:rFonts w:ascii="Times New Roman" w:hAnsi="Times New Roman" w:cs="Times New Roman"/>
        </w:rPr>
        <w:t xml:space="preserve"> corroborated from EEG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{"citationID":"a4i8j7p93t","properties":{"unsorted":false,"formattedCitation":"(Andrillon et al., 2021; Boulakis, Kusztor, et al., 2025; Munoz-Musat et al., 2025; Pinggal et al., 2026)","plainCitation":"(Andrillon et al., 2021; Boulakis, Kusztor, et al., 2025; Munoz-Musat et al., 2025; Pinggal et al., 2026)","noteIndex":0},"citationItems":[{"id":5757,"uris":["http://zotero.org/users/8613739/items/44AG6C8P"],"itemData":{"id":5757,"type":"article-journal","abstract":"Attentional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17569,"uris":["http://zotero.org/users/8613739/items/ALEP8YKX"],"itemData":{"id":17569,"type":"article","abstract":"Mind blanking (MB) is a mental state of seemingly no reportable thought content. The question of how we can entertain no thoughts while awake is challenging for the study of spontaneous thinking. By combining EEG-fMRI with experience sampling during task performance, we categorised changes in mental content and self-reported vigilance to map the neurophysiological signatures of MB. We demonstrate that fMRI connectivity around MB reports is characterised by a \"rich\" pattern of long and short-range signal anticorrelations. At the same time, sleepiness reports are linked to a \"simpler\" hyperconnected fMRI pattern, characterised by overall positive connectivity. Put together, an interaction appears: when people report being alert, connectomes around MB reports resemble the hyperconnected pattern, indicating that the neuronal correlates of MB depend on self-rated vigilance. The hyperconnected pattern also correlated with EEG slow wave activity, tying MB's topology to sleep-like electrophysiology during wakefulness. Collectively, we show that distinct cortical events underlie the shared phenomenology of a thought-free mind. We conclude that MB's neurophysiological correlates vary across perceived vigilance levels and that more refined characterisation of the neuronal correlates of thought-less mental states exist. Our findings build on the quest to bridge mental content and its absence with measurable brain activity and provide insights into how ongoing thinking is maintained during wakefulness.","citation-key":"boulakisDistinctCorticalProfiles2025","DOI":"10.1101/2025.10.14.681984","language":"en","license":"© 2025, Posted by Cold Spring Harbor Laboratory. This pre-print is available under a Creative Commons License (Attribution 4.0 International), CC BY 4.0, as described at http://creativecommons.org/licenses/by/4.0/","note":"ISSN: 2692-8205\npage: 2025.10.14.681984\nsection: New Results","publisher":"bioRxiv","source":"bioRxiv","title":"Distinct cortical profiles underlie the common reportability of thought-free experiences","URL":"https://www.biorxiv.org/content/10.1101/2025.10.14.681984v1","author":[{"family":"Boulakis","given":"Paradeisios Alexandros"},{"family":"Kusztor","given":"Anikó"},{"family":"Tsuchiya","given":"Naotsugu"},{"family":"Andrillon","given":"Thomas"},{"family":"Demertzi","given":"Athena"}],"accessed":{"date-parts":[["2025",10,15]]},"issued":{"date-parts":[["2025",10,15]]}}},{"id":17626,"uris":["http://zotero.org/users/8613739/items/CGUZB2WI"],"itemData":{"id":17626,"type":"article-journal","abstract":"Does being awake necessarily mean being conscious of something? This study investigates the phenomenon of mind blanking (MB), characterized by an “emptiness of mind,” comparing it with mind wandering (MW) and on-task (ON) states. Using a sustained attention task and electroencephalogram monitoring, behavioral, and neurophysiological signatures of MB were examined in 62 participants. MB exhibited a specific pattern of behavioral lapses, as well as decreased fast oscillatory activity and complexity over posterior electrodes compared to MW. Functional connectivity analyses revealed decreased long-range interareal connectivity during MB, compared to both ON and MW states. Event-related potentials with source reconstruction and temporal decoding techniques indicated a significant disruption in visual processing during MB, starting from 200 ms post stimulus and echoing into the late-stage of visual processing, suggesting a disruption of conscious access to sensory information during MB. Electroencephalogram-derived markers allowed the prediction of mental states at the trial level, offering a finer view of conscious dynamics than subjective reports alone. Overall, these findings challenge the notion of the wakeful conscious mind as inherently content-oriented, suggesting that MB reflects genuine gaps in the stream of conscious thoughts, arising from disruptions in the generation or accessibility of thought content.","citation-key":"munoz-musatBehavioralExperientialPhysiological2025","container-title":"Proceedings of the National Academy of Sciences","DOI":"10.1073/pnas.2510262122","issue":"52","page":"e2510262122","publisher":"Proceedings of the National Academy of Sciences","source":"pnas.org (Atypon)","title":"Behavioral, experiential, and physiological signatures of mind blanking","volume":"122","author":[{"family":"Munoz-Musat","given":"Esteban"},{"family":"Le Coz","given":"Arthur"},{"family":"Corcoran","given":"Andrew W."},{"family":"Belloli","given":"Laouen"},{"family":"Naccache","given":"Lionel"},{"family":"Andrillon","given":"Thomas"}],"issued":{"date-parts":[["2025",12,30]]}}},{"id":17883,"uris":["http://zotero.org/users/8613739/items/Y55WJEAJ"],"itemData":{"id":17883,"type":"article-journal","abstract":"Attention-deficit/hyperactivity disorder (ADHD) is characterized by behavioral variability and heightened inattention associated with increased mind wandering (MW) and mind blanking (MB). Individuals with ADHD frequently experience sleep disorders and excessive daytime sleepiness, suggesting interactions between attention and arousal systems. Research examining brain activity using electroencephalography (EEG) has demonstrated that sleep-like slow waves (SWs) during wakefulness are linked to inattention in neurotypical individuals following sleep deprivation, yet their role in ADHD remains unclear. This study investigated whether individuals with ADHD present with altered waking SW distribution compared with neurotypical controls and whether SWs explain attentional difficulties in ADHD. Adults with (n = 32) and without ADHD (n = 31) completed a sustained attention task while EEG recorded brain activity. Mental state probes (on-task, MW, MB) were embedded within the task. Sleep-like SWs reflect cortical slowing and were detected from EEG activity. Omission/commission errors, reaction time (RT), RT variability, mental state reports, and subjective sleepiness were analyzed. Mediation analysis examined whether SW density explained ADHD-related performance differences. Individuals with ADHD exhibited more commission errors, MW and MB, more theta oscillations over frontotemporal electrodes, and higher SW density </w:instrText>
      </w:r>
      <w:r w:rsidR="00B633EE" w:rsidRPr="00B633EE">
        <w:rPr>
          <w:rFonts w:ascii="Times New Roman" w:hAnsi="Times New Roman" w:cs="Times New Roman"/>
          <w:lang w:val="fr-BE"/>
        </w:rPr>
        <w:instrText xml:space="preserve">(SW/minute) over parietotemporal electrodes. Increased SW density correlated with higher omission errors, slower RTs, greater RT variability, and elevated sleepiness ratings. On-task reports were negatively correlated with SW density. Mediation analysis revealed that SW density significantly accounted for ADHD-related attentional difficulties. Wake SW may explain attentional difficulties in ADHD, providing a potential mechanistic link between sleep disturbances and attentional fluctuations.","citation-key":"pinggalSleepLikeSlowWaves2026","container-title":"The Journal of Neuroscience: The Official Journal of the Society for Neuroscience","DOI":"10.1523/JNEUROSCI.1694-25.2025","ISSN":"1529-2401","issue":"15","journalAbbreviation":"J Neurosci","language":"eng","page":"e1694252025","PMID":"41839570","PMCID":"PMC13086247","source":"PubMed","title":"Sleep-Like Slow Waves during Wakefulness Mediate Attention and Vigilance Difficulties in Adult Attention-Deficit/Hyperactivity Disorder","volume":"46","author":[{"family":"Pinggal","given":"Elaine"},{"family":"Jackson","given":"James"},{"family":"Kusztor","given":"Anikó"},{"family":"Chapman","given":"David"},{"family":"Windt","given":"Jennifer"},{"family":"Drummond","given":"Sean P. A."},{"family":"Silk","given":"Tim J."},{"family":"Bellgrove","given":"Mark A."},{"family":"Andrillon","given":"Thomas"}],"issued":{"date-parts":[["2026",4,15]]}}}],"schema":"https://github.com/citation-style-language/schema/raw/master/csl-citation.json"}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lang w:val="fr-BE"/>
        </w:rPr>
        <w:t>(Andrillon et al., 2021; Boulakis, Kusztor, et al., 2025; Munoz-Musat et al., 2025; Pinggal et al., 2026)</w:t>
      </w:r>
      <w:r w:rsidRPr="69CF6134">
        <w:rPr>
          <w:rFonts w:ascii="Times New Roman" w:hAnsi="Times New Roman" w:cs="Times New Roman"/>
        </w:rPr>
        <w:fldChar w:fldCharType="end"/>
      </w:r>
      <w:r w:rsidRPr="69CF6134">
        <w:rPr>
          <w:rFonts w:ascii="Times New Roman" w:hAnsi="Times New Roman" w:cs="Times New Roman"/>
          <w:lang w:val="fr-BE"/>
        </w:rPr>
        <w:t xml:space="preserve">. </w:t>
      </w:r>
      <w:r w:rsidRPr="00806A84">
        <w:rPr>
          <w:rFonts w:ascii="Times New Roman" w:hAnsi="Times New Roman" w:cs="Times New Roman"/>
        </w:rPr>
        <w:t xml:space="preserve">Andrillon et al. </w:t>
      </w:r>
      <w:r w:rsidRPr="69CF6134">
        <w:rPr>
          <w:rFonts w:ascii="Times New Roman" w:hAnsi="Times New Roman" w:cs="Times New Roman"/>
        </w:rPr>
        <w:fldChar w:fldCharType="begin"/>
      </w:r>
      <w:r w:rsidR="00B633EE" w:rsidRPr="00806A84">
        <w:rPr>
          <w:rFonts w:ascii="Times New Roman" w:hAnsi="Times New Roman" w:cs="Times New Roman"/>
        </w:rPr>
        <w:instrText xml:space="preserve"> ADDIN ZOTERO_ITEM CSL_CITATION {"citationID":"a1ikom8n6eb","properties":{"unsorted":false,"formattedCitation":"(2021)","plainCitation":"(2021)","noteIndex":0},"citationItems":[{"id":5757,"uris":["http://zotero.org/users/8613739/items/44AG6C8P"],"itemData":{"id":5757,"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w:instrText>
      </w:r>
      <w:r w:rsidR="00B633EE" w:rsidRPr="004931CD">
        <w:rPr>
          <w:rFonts w:ascii="Times New Roman" w:hAnsi="Times New Roman" w:cs="Times New Roman"/>
        </w:rPr>
        <w:instrText>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w:instrText>
      </w:r>
      <w:r w:rsidR="00B633EE" w:rsidRPr="00B633EE">
        <w:rPr>
          <w:rFonts w:ascii="Times New Roman" w:hAnsi="Times New Roman" w:cs="Times New Roman"/>
        </w:rPr>
        <w:instrText xml:space="preserve">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suppress-author":true}],"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(2021)</w:t>
      </w:r>
      <w:r w:rsidRPr="69CF6134">
        <w:rPr>
          <w:rFonts w:ascii="Times New Roman" w:hAnsi="Times New Roman" w:cs="Times New Roman"/>
        </w:rPr>
        <w:fldChar w:fldCharType="end"/>
      </w:r>
      <w:r w:rsidRPr="00B633EE">
        <w:rPr>
          <w:rFonts w:ascii="Times New Roman" w:hAnsi="Times New Roman" w:cs="Times New Roman"/>
        </w:rPr>
        <w:t xml:space="preserve"> previously showed that the </w:t>
      </w:r>
      <w:proofErr w:type="spellStart"/>
      <w:r w:rsidRPr="00B633EE">
        <w:rPr>
          <w:rFonts w:ascii="Times New Roman" w:hAnsi="Times New Roman" w:cs="Times New Roman"/>
        </w:rPr>
        <w:t>localisation</w:t>
      </w:r>
      <w:proofErr w:type="spellEnd"/>
      <w:r w:rsidRPr="00B633EE">
        <w:rPr>
          <w:rFonts w:ascii="Times New Roman" w:hAnsi="Times New Roman" w:cs="Times New Roman"/>
        </w:rPr>
        <w:t xml:space="preserve"> of slow-wave-like intrusions can dissociate MB from mind-wandering. </w:t>
      </w:r>
      <w:r w:rsidRPr="69CF6134">
        <w:rPr>
          <w:rFonts w:ascii="Times New Roman" w:hAnsi="Times New Roman" w:cs="Times New Roman"/>
          <w:lang w:val="en-GB"/>
        </w:rPr>
        <w:t xml:space="preserve">Bridging EEG-fMRI, we recently showed that local sleeps and hyperconnectivity might be two sides of the same </w:t>
      </w:r>
      <w:r w:rsidR="00CA0C43" w:rsidRPr="69CF6134">
        <w:rPr>
          <w:rFonts w:ascii="Times New Roman" w:hAnsi="Times New Roman" w:cs="Times New Roman"/>
          <w:lang w:val="en-GB"/>
        </w:rPr>
        <w:t>coin</w:t>
      </w:r>
      <w:r w:rsidRPr="69CF6134">
        <w:rPr>
          <w:rFonts w:ascii="Times New Roman" w:hAnsi="Times New Roman" w:cs="Times New Roman"/>
          <w:lang w:val="en-GB"/>
        </w:rPr>
        <w:t xml:space="preserve"> </w:t>
      </w:r>
      <w:r w:rsidRPr="69CF6134">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{"citationID":"a18ckiau314","properties":{"unsorted":false,"formattedCitation":"(Boulakis, Kusztor, et al., 2025)","plainCitation":"(Boulakis, Kusztor, et al., 2025)","noteIndex":0},"citationItems":[{"id":17569,"uris":["http://zotero.org/users/8613739/items/ALEP8YKX"],"itemData":{"id":17569,"type":"article","abstract":"Mind blanking (MB) is a mental state of seemingly no reportable thought content. The question of how we can entertain no thoughts while awake is challenging for the study of spontaneous thinking. By combining EEG-fMRI with experience sampling during task performance, we categorised changes in mental content and self-reported vigilance to map the neurophysiological signatures of MB. We demonstrate that fMRI connectivity around MB reports is characterised by a \"rich\" pattern of long and short-range signal anticorrelations. At the same time, sleepiness reports are linked to a \"simpler\" hyperconnected fMRI pattern, characterised by overall positive connectivity. Put together, an interaction appears: when people report being alert, connectomes around MB reports resemble the hyperconnected pattern, indicating that the neuronal correlates of MB depend on self-rated vigilance. The hyperconnected pattern also correlated with EEG slow wave activity, tying MB's topology to sleep-like electrophysiology during wakefulness. Collectively, we show that distinct cortical events underlie the shared phenomenology of a thought-free mind. We conclude that MB's neurophysiological correlates vary across perceived vigilance levels and that more refined characterisation of the neuronal correlates of thought-less mental states exist. Our findings build on the quest to bridge mental content and its absence with measurable brain activity and provide insights into how ongoing thinking is maintained during wakefulness.","citation-key":"boulakisDistinctCorticalProfiles2025","DOI":"10.1101/2025.10.14.681984","language":"en","license":"© 2025, Posted by Cold Spring Harbor Laboratory. This pre-print is available under a Creative Commons License (Attribution 4.0 International), CC BY 4.0, as described at http://creativecommons.org/licenses/by/4.0/","note":"ISSN: 2692-8205\npage: 2025.10.14.681984\nsection: New Results","publisher":"bioRxiv","source":"bioRxiv","title":"Distinct cortical profiles underlie the common reportability of thought-free experiences","URL":"https://www.biorxiv.org/content/10.1101/2025.10.14.681984v1","author":[{"family":"Boulakis","given":"Paradeisios Alexandros"},{"family":"Kusztor","given":"Anikó"},{"family":"Tsuchiya","given":"Naotsugu"},{"family":"Andrillon","given":"Thomas"},{"family":"Demertzi","given":"Athena"}],"accessed":{"date-parts":[["2025",10,15]]},"issued":{"date-parts":[["2025",10,15]]}}}],"schema":"https://github.com/citation-style-language/schema/raw/master/csl-citation.json"} </w:instrText>
      </w:r>
      <w:r w:rsidRPr="69CF6134">
        <w:rPr>
          <w:rFonts w:ascii="Times New Roman" w:hAnsi="Times New Roman" w:cs="Times New Roman"/>
          <w:lang w:val="en-GB"/>
        </w:rPr>
        <w:fldChar w:fldCharType="separate"/>
      </w:r>
      <w:r w:rsidR="00B633EE" w:rsidRPr="00B633EE">
        <w:rPr>
          <w:rFonts w:ascii="Times New Roman" w:hAnsi="Times New Roman" w:cs="Times New Roman"/>
        </w:rPr>
        <w:t>(Boulakis, Kusztor, et al., 2025)</w:t>
      </w:r>
      <w:r w:rsidRPr="69CF6134">
        <w:rPr>
          <w:rFonts w:ascii="Times New Roman" w:hAnsi="Times New Roman" w:cs="Times New Roman"/>
          <w:lang w:val="en-GB"/>
        </w:rPr>
        <w:fldChar w:fldCharType="end"/>
      </w:r>
      <w:r w:rsidRPr="69CF6134">
        <w:rPr>
          <w:rFonts w:ascii="Times New Roman" w:hAnsi="Times New Roman" w:cs="Times New Roman"/>
          <w:lang w:val="en-GB"/>
        </w:rPr>
        <w:t xml:space="preserve">, where the presence of local sleeps </w:t>
      </w:r>
      <w:r w:rsidR="00EC6FBA">
        <w:rPr>
          <w:rFonts w:ascii="Times New Roman" w:hAnsi="Times New Roman" w:cs="Times New Roman"/>
          <w:lang w:val="en-GB"/>
        </w:rPr>
        <w:t>correlates</w:t>
      </w:r>
      <w:r w:rsidRPr="69CF6134">
        <w:rPr>
          <w:rFonts w:ascii="Times New Roman" w:hAnsi="Times New Roman" w:cs="Times New Roman"/>
          <w:lang w:val="en-GB"/>
        </w:rPr>
        <w:t xml:space="preserve"> cortical synchronisation, and subsequent transition to a more hyperconnected brain state </w:t>
      </w:r>
      <w:r w:rsidRPr="69CF6134">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{"citationID":"a1dpp1mrgbs","properties":{"unsorted":false,"formattedCitation":"(Aedo-Jury et al., 2020; Schwalm et al., 2017)","plainCitation":"(Aedo-Jury et al., 2020; Schwalm et al., 2017)","noteIndex":0},"citationItems":[{"id":2389,"uris":["http://zotero.org/groups/4737794/items/4KRDMUYR"],"itemData":{"id":2389,"type":"article-journal","abstract":"Previously, using simultaneous resting-state functional magnetic resonance imaging (fMRI) and photometry-based neuronal calcium recordings in the anesthetized rat, we identified blood oxygenation level-dependent (BOLD) responses directly related to slow calcium waves, revealing a cortex-wide and spatially organized correlate of locally recorded neuronal activity (Schwalm et al., 2017). Here, using the same techniques, we investigate two distinct cortical activity states: persistent activity, in which compartmentalized network dynamics were observed; and slow wave activity, dominated by a cortex-wide BOLD component, suggesting a strong functional coupling of inter-cortical activity. During slow wave activity, we find a correlation between the occurring slow wave events and the strength of functional connectivity between different cortical areas. These findings suggest that down-up transitions of neuronal excitability can drive cortexwide functional connectivity. This study provides further evidence that changes in functional connectivity are dependent on the brain’s current state, directly linked to the generation of slow waves.","citation-key":"aedo-juryBrainStatesGovern2020","container-title":"eLife","DOI":"10.7554/eLife.53186","ISSN":"2050-084X","language":"en","page":"e53186","source":"DOI.org (Crossref)","title":"Brain states govern the spatio-temporal dynamics of resting-state functional connectivity","volume":"9","author":[{"family":"Aedo-Jury","given":"Felipe"},{"family":"Schwalm","given":"Miriam"},{"family":"Hamzehpour","given":"Lara"},{"family":"Stroh","given":"Albrecht"}],"issued":{"date-parts":[["2020",6,22]]}}},{"id":4574,"uris":["http://zotero.org/users/8613739/items/EA76SV5B"],"itemData":{"id":4574,"type":"article-journal","abstract":"Spontaneous slow oscillation-associated slow wave activity represents an internally generated state which is characterized by alternations of network quiescence and stereotypical episodes of neuronal activity - slow wave events. However, it remains unclear which macroscopic signal is related to these active periods of the slow wave rhythm. We used optic fiber-based calcium recordings of local neural populations in cortex and thalamus to detect neurophysiologically defined slow calcium waves in isoflurane anesthetized rats. The individual slow wave events were used for an event-related analysis of simultaneously acquired whole-brain BOLD fMRI. We identified BOLD responses directly related to onsets of slow calcium waves, revealing a cortex-wide BOLD correlate: the entire cortex was engaged in this specific type of slow wave activity. These findings demonstrate a direct relation of defined neurophysiological events to a specific BOLD activity pattern and were confirmed for ongoing slow wave activity by independent component and seed-based analyses.","citation-key":"schwalmCortexwideBOLDFMRI2017","container-title":"eLife","DOI":"10.7554/eLife.27602","ISSN":"2050-084X","page":"e27602","publisher":"eLife Sciences Publications, Ltd","source":"eLife","title":"Cortex-wide BOLD fMRI activity reflects locally-recorded slow oscillation-associated calcium waves","volume":"6","author":[{"family":"Schwalm","given":"Miriam"},{"family":"Schmid","given":"Florian"},{"family":"Wachsmuth","given":"Lydia"},{"family":"Backhaus","given":"Hendrik"},{"family":"Kronfeld","given":"Andrea"},{"family":"Aedo Jury","given":"Felipe"},{"family":"Prouvot","given":"Pierre-Hugues"},{"family":"Fois","given":"Consuelo"},{"family":"Albers","given":"Franziska"},{"family":"Alst","given":"Timo","non-dropping-particle":"van"},{"family":"Faber","given":"Cornelius"},{"family":"Stroh","given":"Albrecht"}],"editor":[{"family":"Ramirez","given":"Jan-Marino"}],"issued":{"date-parts":[["2017",9,15]]}}}],"schema":"https://github.com/citation-style-language/schema/raw/master/csl-citation.json"} </w:instrText>
      </w:r>
      <w:r w:rsidRPr="69CF6134">
        <w:rPr>
          <w:rFonts w:ascii="Times New Roman" w:hAnsi="Times New Roman" w:cs="Times New Roman"/>
          <w:lang w:val="en-GB"/>
        </w:rPr>
        <w:fldChar w:fldCharType="separate"/>
      </w:r>
      <w:r w:rsidR="00B633EE" w:rsidRPr="00B633EE">
        <w:rPr>
          <w:rFonts w:ascii="Times New Roman" w:hAnsi="Times New Roman" w:cs="Times New Roman"/>
        </w:rPr>
        <w:t>(Aedo-Jury et al., 2020; Schwalm et al., 2017)</w:t>
      </w:r>
      <w:r w:rsidRPr="69CF6134">
        <w:rPr>
          <w:rFonts w:ascii="Times New Roman" w:hAnsi="Times New Roman" w:cs="Times New Roman"/>
          <w:lang w:val="en-GB"/>
        </w:rPr>
        <w:fldChar w:fldCharType="end"/>
      </w:r>
      <w:r w:rsidRPr="69CF6134">
        <w:rPr>
          <w:rFonts w:ascii="Times New Roman" w:hAnsi="Times New Roman" w:cs="Times New Roman"/>
          <w:lang w:val="en-GB"/>
        </w:rPr>
        <w:t>.</w:t>
      </w:r>
      <w:r w:rsidRPr="69CF6134">
        <w:rPr>
          <w:rFonts w:ascii="Times New Roman" w:hAnsi="Times New Roman"/>
          <w:lang w:val="en-GB"/>
        </w:rPr>
        <w:t xml:space="preserve"> </w:t>
      </w:r>
      <w:r w:rsidRPr="69CF6134">
        <w:rPr>
          <w:rFonts w:ascii="Times New Roman" w:hAnsi="Times New Roman" w:cs="Times New Roman"/>
          <w:lang w:val="en-GB"/>
        </w:rPr>
        <w:t xml:space="preserve">The strong ties of MB to sleep-like physiology serve to highlight that MB is both a unique experiential and a neurophysiological state relative to other off-task states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{"citationID":"a2jcauvdrj6","properties":{"unsorted":false,"formattedCitation":"(Andrillon et al., 2025)","plainCitation":"(Andrillon et al., 2025)","noteIndex":0},"citationItems":[{"id":8371,"uris":["http://zotero.org/users/8613739/items/QDYKQMGT"],"itemData":{"id":8371,"type":"article-journal","abstract":"Ongoing experience comes in shades with varying richness of mental content. Mind blanking (MB) implies that there can be moments that are seemingly devoid of mental content. MB is gaining attention as a reportable mental state. The multiple definitions it has received point to its current conceptual and methodological ambiguities. MB may be phenomenologically diverse – different types can bear similarities and differences to 'empty minds', such as during meditative practices and sleep (white dreams). MB reports have distinguishable neurobehavioral profiles, pointing to arousal as a key foundational backbone for MB reportability. We propose a mechanistic account in which MB is the end-result of physiological, neural, and cognitive changes, which provides insights for future empirical and phenomenological research of MB. During wakefulness, our thoughts transition between different contents. However, there are moments that are seemingly devoid of reportable content, referred to as mind","citation-key":"andrillonWhereMyMind2025","container-title":"Trends in Cognitive Sciences","ISSN":"1364-6613","issue":"7","page":"600-613","title":"Where is my mind? A neurocognitive investigation of mind blanking.","volume":"29","author":[{"family":"Andrillon","given":"Thomas"},{"family":"Lutz","given":"Antoine"},{"family":"Windt","given":"Jennifer"},{"family":"Demertzi","given":"Athena"}],"issued":{"date-parts":[["2025"]]}}}],"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(Andrillon et al., 2025)</w:t>
      </w:r>
      <w:r w:rsidRPr="69CF6134">
        <w:rPr>
          <w:rFonts w:ascii="Times New Roman" w:hAnsi="Times New Roman" w:cs="Times New Roman"/>
        </w:rPr>
        <w:fldChar w:fldCharType="end"/>
      </w:r>
      <w:r w:rsidRPr="69CF6134">
        <w:rPr>
          <w:rFonts w:ascii="Times New Roman" w:hAnsi="Times New Roman" w:cs="Times New Roman"/>
          <w:lang w:val="en-GB"/>
        </w:rPr>
        <w:t xml:space="preserve">. Additionally, our meta-analytic results suggest a potential gradient, with on-task thoughts characterised by higher arousal than off-task thoughts. At progressively lower arousal levels, thought reportability is disturbed to the degree where it is not possible to recover thought content, and subsequently, MB is experienced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{"citationID":"a15h0e3jsis","properties":{"unsorted":false,"formattedCitation":"(Mittner et al., 2016; Perogamvros et al., 2017)","plainCitation":"(Mittner et al., 2016; Perogamvros et al., 2017)","noteIndex":0},"citationItems":[{"id":5130,"uris":["http://zotero.org/users/8613739/items/CIEW4TDK"],"itemData":{"id":5130,"type":"article-journal","citation-key":"mittnerNeuralModelMind2016","container-title":"Trends in Cognitive Sciences","DOI":"10.1016/j.tics.2016.06.004","issue":"8","note":"citation-key: mittnerNeuralModelMind2016","page":"570–578","title":"A neural model of mind wandering","volume":"20","author":[{"family":"Mittner","given":"Matthias"},{"family":"Hawkins","given":"Guy E."},{"family":"Boekel","given":"Wouter"},{"family":"Forstmann","given":"Birte U."}],"issued":{"date-parts":[["2016"]]}}},{"id":5101,"uris":["http://zotero.org/users/8613739/items/4ARUKE2G"],"itemData":{"id":5101,"type":"article-journal","citation-key":"perogamvrosPhenomenalContentsNeural2017","container-title":"Journal of Cognitive Neuroscience","DOI":"10.1162/jocn_a_01155","issue":"10","page":"1766–1777","title":"The phenomenal contents and neural correlates of spontaneous thoughts across wakefulness, nrem sleep, and rem sleep","volume":"29","author":[{"family":"Perogamvros","given":"Lampros"},{"family":"Baird","given":"Benjamin"},{"family":"Seibold","given":"Mitja"},{"family":"Riedner","given":"Brady"},{"family":"Boly","given":"Melanie"},{"family":"Tononi","given":"Giulio"}],"issued":{"date-parts":[["2017"]]}}}],"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(Mittner et al., 2016; Perogamvros et al., 2017)</w:t>
      </w:r>
      <w:r w:rsidRPr="69CF6134">
        <w:rPr>
          <w:rFonts w:ascii="Times New Roman" w:hAnsi="Times New Roman" w:cs="Times New Roman"/>
        </w:rPr>
        <w:fldChar w:fldCharType="end"/>
      </w:r>
      <w:r w:rsidRPr="69CF6134">
        <w:rPr>
          <w:rFonts w:ascii="Times New Roman" w:hAnsi="Times New Roman" w:cs="Times New Roman"/>
        </w:rPr>
        <w:t xml:space="preserve">. </w:t>
      </w:r>
    </w:p>
    <w:p w14:paraId="2597DA61" w14:textId="183D07D0" w:rsidR="008F5DA6" w:rsidRPr="00F55CF2" w:rsidRDefault="00FB05D1" w:rsidP="00316CF3">
      <w:pPr>
        <w:spacing w:line="360" w:lineRule="auto"/>
        <w:ind w:firstLine="720"/>
        <w:jc w:val="both"/>
        <w:rPr>
          <w:rFonts w:ascii="Times New Roman" w:hAnsi="Times New Roman" w:cs="Times New Roman"/>
        </w:rPr>
      </w:pPr>
      <w:r w:rsidRPr="69CF6134">
        <w:rPr>
          <w:rFonts w:ascii="Times New Roman" w:hAnsi="Times New Roman" w:cs="Times New Roman"/>
        </w:rPr>
        <w:t xml:space="preserve">Another motivation for this meta-analysis was to link MB to specific pathologies. </w:t>
      </w:r>
      <w:r w:rsidR="00F55CF2" w:rsidRPr="69CF6134">
        <w:rPr>
          <w:rFonts w:ascii="Times New Roman" w:hAnsi="Times New Roman" w:cs="Times New Roman"/>
        </w:rPr>
        <w:t xml:space="preserve">We found three studies that reported MB rates for ADHD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{"citationID":"arqmjtptnk","properties":{"unsorted":false,"formattedCitation":"(Madiouni et al., 2020; Pinggal et al., 2026; Van den Driessche et al., 2017)","plainCitation":"(Madiouni et al., 2020; Pinggal et al., 2026; Van den Driessche et al., 2017)","noteIndex":0},"citationItems":[{"id":136,"uris":["http://zotero.org/users/8613739/items/NJUUZZIQ"],"itemData":{"id":136,"type":"article-journal","abstract":"Sleepiness and mind-wandering are frequently experienced by patients with attention-deficit/hyperactivity disorder (ADHD), without ever having been jointly explored. We aimed to investigate the co-occurrence of these two phenomena in ADHD adults. Drug-free ADHD adults (n = 25) and healthy controls (n = 28) underwent an online experience sampling of mind-wandering episodes and subjective sleepiness. Participants completed self-reported measures of mind-wandering and sleepiness in daily life. Higher trait of mind-wandering was observed in ADHD patients compared to controls. On the whole sample, self-reported mind-wandering propensity was strongly associated with the severity of inattentive, impulsive and hyperactive symptoms. During the probes, patients reported more frequent episodes of mind-wandering and mind-blanking, and higher sleepiness. Their mind-wandering episodes were less intentional and belonged less frequently to a structured succession of thoughts. In both groups, mind-wandering and mind-blanking were associated with higher sleepiness. On the SART, patients were less accurate than controls. We provide first initial evidence for higher propensity of mind-wandering and mind-blanking using experience sampling in patients with formal ADHD diagnosis. This propensity was associated with sleepiness without negatively impacting attention performances. Mind-wandering and sleepiness have common determinants potentially involved in ADHD pathophysiology. Correlates of mind-blanking in ADHD adults remain to be characterized.","citation-key":"madiouniMindwanderingSleepinessAdults2020","container-title":"Psychiatry Research","DOI":"10.1016/j.psychres.2020.112901","ISSN":"1872-7123","journalAbbreviation":"Psychiatry Res","language":"eng","page":"112901","PMID":"32155443","source":"PubMed","title":"Mind-wandering and sleepiness in adults with attention-deficit/hyperactivity disorder","volume":"287","author":[{"family":"Madiouni","given":"Clarisse"},{"family":"Lopez","given":"Régis"},{"family":"Gély-Nargeot","given":"Marie-Christine"},{"family":"Lebrun","given":"Cindy"},{"family":"Bayard","given":"Sophie"}],"issued":{"date-parts":[["2020",5]]}}},{"id":17883,"uris":["http://zotero.org/users/8613739/items/Y55WJEAJ"],"itemData":{"id":17883,"type":"article-journal","abstract":"Attention-deficit/hyperactivity disorder (ADHD) is characterized by behavioral variability and heightened inattention associated with increased mind wandering (MW) and mind blanking (MB). Individuals with ADHD frequently experience sleep disorders and excessive daytime sleepiness, suggesting interactions between attention and arousal systems. Research examining brain activity using electroencephalography (EEG) has demonstrated that sleep-like slow waves (SWs) during wakefulness are linked to inattention in neurotypical individuals following sleep deprivation, yet their role in ADHD remains unclear. This study investigated whether individuals with ADHD present with altered waking SW distribution compared with neurotypical controls and whether SWs explain attentional difficulties in ADHD. Adults with (n = 32) and without ADHD (n = 31) completed a sustained attention task while EEG recorded brain activity. Mental state probes (on-task, MW, MB) were embedded within the task. Sleep-like SWs reflect cortical slowing and were detected from EEG activity. Omission/commission errors, reaction time (RT), RT variability, mental state reports, and subjective sleepiness were analyzed. Mediation analysis examined whether SW density explained ADHD-related performance differences. Individuals with ADHD exhibited more commission errors, MW and MB, more theta oscillations over frontotemporal electrodes, and higher SW density (SW/minute) over parietotemporal electrodes. Increased SW density correlated with higher omission errors, slower RTs, greater RT variability, and elevated sleepiness ratings. On-task reports were negatively correlated with SW density. Mediation analysis revealed that SW density significantly accounted for ADHD-related attentional difficulties. Wake SW may explain attentional difficulties in ADHD, providing a potential mechanistic link between sleep disturbances and attentional fluctuations.","citation-key":"pinggalSleepLikeSlowWaves2026","container-title":"The Journal of Neuroscience: The Official Journal of the Society for Neuroscience","DOI":"10.1523/JNEUROSCI.1694-25.2025","ISSN":"1529-2401","issue":"15","journalAbbreviation":"J Neurosci","language":"eng","page":"e1694252025","PMID":"41839570","PMCID":"PMC13086247","source":"PubMed","title":"Sleep-Like Slow Waves during Wakefulness Mediate Attention and Vigilance Difficulties in Adult Attention-Deficit/Hyperactivity Disorder","volume":"46","author":[{"family":"Pinggal","given":"Elaine"},{"family":"Jackson","given":"James"},{"family":"Kusztor","given":"Anikó"},{"family":"Chapman","given":"David"},{"family":"Windt","given":"Jennifer"},{"family":"Drummond","given":"Sean P. A."},{"family":"Silk","given":"Tim J."},{"family":"Bellgrove","given":"Mark A."},{"family":"Andrillon","given":"Thomas"}],"issued":{"date-parts":[["2026",4,15]]}}},{"id":16069,"uris":["http://zotero.org/groups/6160358/items/G26L5XVS"],"itemData":{"id":16069,"type":"article-journal","abstract":"People with attention-deficit/hyperactivity disorder (ADHD) have difficulties sustaining their attention on external tasks. Such attentional lapses have often been characterized as the simple opposite of external sustained attention, but the different types of attentional lapses, and the subjective experiences to which they correspond, remain unspecified. In this study, we showed that unmedicated children (ages 6-12) with ADHD, when probed during a standard go/no-go task, reported more mind blanking (a mental state characterized by the absence of reportable content) than did control participants. This increase in mind blanking happened at the expense of both focused and wandering thoughts. We also found that methylphenidate reverted the level of mind blanking to baseline (i.e., the level of mind blanking reported by control children without ADHD). However, this restoration led to mind wandering more than to focused attention. In a second experiment, we extended these findings to adults who had subclinical ADHD. These results suggest that executive functions impaired in ADHD are required not only to sustain external attention but also to maintain an internal train of thought.","citation-key":"vandendriesscheAttentionalLapsesAttentionDeficit2017a","container-title":"Psychological science","DOI":"10.1177/0956797617708234","ISSN":"1467-9280 0956-7976","issue":"10","language":"eng","page":"1375–1386","PMID":"28800281","title":"Attentional Lapses in Attention-Deficit/Hyperactivity Disorder: Blank Rather Than Wandering Thoughts.","volume":"28","author":[{"family":"Van den Driessche","given":"Charlotte"},{"family":"Bastian","given":"Mikaël"},{"family":"Peyre","given":"Hugo"},{"family":"Stordeur","given":"Coline"},{"family":"Acquaviva","given":"Éric"},{"family":"Bahadori","given":"Sara"},{"family":"Delorme","given":"Richard"},{"family":"Sackur","given":"Jérôme"}],"issued":{"date-parts":[["2017",10]]}}}],"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(Madiouni et al., 2020; Pinggal et al., 2026; Van den Driessche et al., 2017)</w:t>
      </w:r>
      <w:r w:rsidRPr="69CF6134">
        <w:rPr>
          <w:rFonts w:ascii="Times New Roman" w:hAnsi="Times New Roman" w:cs="Times New Roman"/>
        </w:rPr>
        <w:fldChar w:fldCharType="end"/>
      </w:r>
      <w:r w:rsidR="00F55CF2" w:rsidRPr="69CF6134">
        <w:rPr>
          <w:rFonts w:ascii="Times New Roman" w:hAnsi="Times New Roman" w:cs="Times New Roman"/>
        </w:rPr>
        <w:t xml:space="preserve"> and one for hippocampal damage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{"citationID":"a26ptbumo68","properties":{"unsorted":false,"formattedCitation":"(McCormick et al., 2018)","plainCitation":"(McCormick et al., 2018)","noteIndex":0},"citationItems":[{"id":2247,"uris":["http://zotero.org/groups/4477283/items/8KX6EQQX"],"itemData":{"id":2247,"type":"article-journal","abstract":"Subjective inner experiences, such as mind-wandering, represent the fundaments of human cognition. Although the precise function of mind-wandering is still debated, it is increasingly acknowledged to have influence across cognition on processes such as future planning, creative thinking, and problem-solving and even on depressive rumination and other mental health disorders. Recently, there has been important progress in characterizing mind-wandering and identifying the associated neural networks. Two prominent features of mind-wandering are mental time travel and visuospatial imagery, which are often linked with the hippocampus. People with selective bilateral hippocampal damage cannot vividly recall events from their past, envision their future, or imagine fictitious scenes. This raises the question of whether the hippocampus plays a causal role in mind-wandering and, if so, in what way. Leveraging a unique opportunity to shadow people (all males) with bilateral hippocampal damage for several days, we examined, for the first time, what they thought about spontaneously, without direct task demands. We found that they engaged in as much mind-wandering as control participants. However, whereas controls thought about the past, present, and future, imagining vivid visual scenes, hippocampal damage resulted in thoughts primarily about the present comprising verbally mediated semantic knowledge. These findings expose the hippocampus as a key pillar in the neural architecture of mind-wandering and also reveal its impact beyond episodic memory, placing it at the heart of our mental life.\nSIGNIFICANCE STATEMENT Humans tend to mind-wander </w:instrText>
      </w:r>
      <w:r w:rsidR="00B633EE">
        <w:rPr>
          <w:rFonts w:ascii="Cambria Math" w:hAnsi="Cambria Math" w:cs="Cambria Math"/>
        </w:rPr>
        <w:instrText>∼</w:instrText>
      </w:r>
      <w:r w:rsidR="00B633EE">
        <w:rPr>
          <w:rFonts w:ascii="Times New Roman" w:hAnsi="Times New Roman" w:cs="Times New Roman"/>
        </w:rPr>
        <w:instrText xml:space="preserve">30–50% of their waking time. Two prominent features of this pervasive form of thought are mental time travel and visuospatial imagery, which are often associated with the hippocampus. To examine whether the hippocampus plays a causal role in mind-wandering, we examined the frequency and phenomenology of mind-wandering in patients with selective bilateral hippocampal damage. We found that they engaged in as much mind-wandering as controls. However, hippocampal damage changed the form and content of mind-wandering from flexible, episodic, and scene based to abstract, semanticized, and verbal. These findings expose the hippocampus as a key pillar in the neural architecture of mind-wandering and reveal its impact beyond episodic memory, placing it at the heart of our mental life.","citation-key":"mccormickMindWanderingPeopleHippocampal2018","container-title":"Journal of Neuroscience","DOI":"10.1523/JNEUROSCI.1812-17.2018","ISSN":"0270-6474, 1529-2401","issue":"11","journalAbbreviation":"J. Neurosci.","language":"en","license":"Copyright © 2018 McCormick et al.. This is an open-access article distributed under the terms of the Creative Commons Attribution License Creative Commons Attribution 4.0 International, which permits unrestricted use, distribution and reproduction in any medium provided that the original work is properly attributed.","page":"2745-2754","PMID":"29440532","publisher":"Society for Neuroscience","section":"Research Articles","source":"www.jneurosci.org","title":"Mind-Wandering in People with Hippocampal Damage","volume":"38","author":[{"family":"McCormick","given":"Cornelia"},{"family":"Rosenthal","given":"Clive R."},{"family":"Miller","given":"Thomas D."},{"family":"Maguire","given":"Eleanor A."}],"issued":{"date-parts":[["2018",3,14]]}}}],"schema":"https://github.com/citation-style-language/schema/raw/master/csl-citation.json"}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(McCormick et al., 2018)</w:t>
      </w:r>
      <w:r w:rsidRPr="69CF6134">
        <w:rPr>
          <w:rFonts w:ascii="Times New Roman" w:hAnsi="Times New Roman" w:cs="Times New Roman"/>
        </w:rPr>
        <w:fldChar w:fldCharType="end"/>
      </w:r>
      <w:r w:rsidR="00F55CF2" w:rsidRPr="69CF6134">
        <w:rPr>
          <w:rFonts w:ascii="Times New Roman" w:hAnsi="Times New Roman" w:cs="Times New Roman"/>
        </w:rPr>
        <w:t>. Having estimated a normative</w:t>
      </w:r>
      <w:r w:rsidR="00510161" w:rsidRPr="69CF6134">
        <w:rPr>
          <w:rFonts w:ascii="Times New Roman" w:hAnsi="Times New Roman" w:cs="Times New Roman"/>
        </w:rPr>
        <w:t xml:space="preserve"> </w:t>
      </w:r>
      <w:r w:rsidR="00510161" w:rsidRPr="69CF6134">
        <w:rPr>
          <w:rFonts w:ascii="Times New Roman" w:hAnsi="Times New Roman" w:cs="Times New Roman"/>
        </w:rPr>
        <w:lastRenderedPageBreak/>
        <w:t>baseline MB rate, we examined whether MB rates in these clinical populations deviated from the baseline</w:t>
      </w:r>
      <w:r w:rsidR="00F55CF2" w:rsidRPr="69CF6134">
        <w:rPr>
          <w:rFonts w:ascii="Times New Roman" w:hAnsi="Times New Roman" w:cs="Times New Roman"/>
        </w:rPr>
        <w:t xml:space="preserve">. Our </w:t>
      </w:r>
      <w:r w:rsidRPr="69CF6134">
        <w:rPr>
          <w:rFonts w:ascii="Times New Roman" w:hAnsi="Times New Roman" w:cs="Times New Roman"/>
        </w:rPr>
        <w:t xml:space="preserve">results did not provide robust evidence for </w:t>
      </w:r>
      <w:r w:rsidR="00F62572" w:rsidRPr="69CF6134">
        <w:rPr>
          <w:rFonts w:ascii="Times New Roman" w:hAnsi="Times New Roman" w:cs="Times New Roman"/>
        </w:rPr>
        <w:t>a</w:t>
      </w:r>
      <w:r w:rsidRPr="69CF6134">
        <w:rPr>
          <w:rFonts w:ascii="Times New Roman" w:hAnsi="Times New Roman" w:cs="Times New Roman"/>
        </w:rPr>
        <w:t xml:space="preserve"> link across ADHD</w:t>
      </w:r>
      <w:r w:rsidR="00C07F22" w:rsidRPr="69CF6134">
        <w:rPr>
          <w:rFonts w:ascii="Times New Roman" w:hAnsi="Times New Roman" w:cs="Times New Roman"/>
        </w:rPr>
        <w:t xml:space="preserve"> or hippocampal damage</w:t>
      </w:r>
      <w:r w:rsidRPr="69CF6134">
        <w:rPr>
          <w:rFonts w:ascii="Times New Roman" w:hAnsi="Times New Roman" w:cs="Times New Roman"/>
        </w:rPr>
        <w:t xml:space="preserve">. </w:t>
      </w:r>
      <w:r w:rsidR="00F55CF2" w:rsidRPr="69CF6134">
        <w:rPr>
          <w:rFonts w:ascii="Times New Roman" w:hAnsi="Times New Roman" w:cs="Times New Roman"/>
        </w:rPr>
        <w:t>The</w:t>
      </w:r>
      <w:r w:rsidRPr="69CF6134">
        <w:rPr>
          <w:rFonts w:ascii="Times New Roman" w:hAnsi="Times New Roman" w:cs="Times New Roman"/>
        </w:rPr>
        <w:t xml:space="preserve"> absence of a strong link between ADHD and MB was surprising. In a seminal study, Van den Driessche et al.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gps3gbme2","properties":{"unsorted":false,"formattedCitation":"(2017)","plainCitation":"(2017)","noteIndex":0},"citationItems":[{"id":16069,"uris":["http://zotero.org/groups/6160358/items/G26L5XVS"],"itemData":{"id":16069,"type":"article-journal","abstract":"People with attention-deficit/hyperactivity disorder (ADHD) have difficulties sustaining their attention on external tasks. Such attentional lapses have often been characterized as the simple opposite of external sustained attention, but the different types of attentional lapses, and the subjective experiences to which they correspond, remain unspecified. In this study, we showed that unmedicated children (ages 6-12) with ADHD, when probed during a standard go/no-go task, reported more mind blanking (a mental state characterized by the absence of reportable content) than did control participants. This increase in mind blanking happened at the expense of both focused and wandering thoughts. We also found that methylphenidate reverted the level of mind blanking to baseline (i.e., the level of mind blanking reported by control children without ADHD). However, this restoration led to mind wandering more than to focused attention. In a second experiment, we extended these findings to adults who had subclinical ADHD. These results suggest that executive functions impaired in ADHD are required not only to sustain external attention but also to maintain an internal train of thought.","citation-key":"vandendriesscheAttentionalLapsesAttentionDeficit2017a","container-title":"Psychological science","DOI":"10.1177/0956797617708234","ISSN":"1467-9280 0956-7976","issue":"10","language":"eng","page":"1375–1386","PMID":"28800281","title":"Attentional Lapses in Attention-Deficit/Hyperactivity Disorder: Blank Rather Than Wandering Thoughts.","volume":"28","author":[{"family":"Van den Driessche","given":"Charlotte"},{"family":"Bastian","given":"Mikaël"},{"family":"Peyre","given":"Hugo"},{"family":"Stordeur","given":"Coline"},{"family":"Acquaviva","given":"Éric"},{"family":"Bahadori","given":"Sara"},{"family":"Delorme","given":"Richard"},{"family":"Sackur","given":"Jérôme"}],"issued":{"date-parts":[["2017",10]]}},"suppress-author":true}],"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(2017)</w:t>
      </w:r>
      <w:r w:rsidRPr="69CF6134">
        <w:rPr>
          <w:rFonts w:ascii="Times New Roman" w:hAnsi="Times New Roman" w:cs="Times New Roman"/>
        </w:rPr>
        <w:fldChar w:fldCharType="end"/>
      </w:r>
      <w:r w:rsidR="00F55CF2" w:rsidRPr="69CF6134">
        <w:rPr>
          <w:rFonts w:ascii="Times New Roman" w:hAnsi="Times New Roman" w:cs="Times New Roman"/>
        </w:rPr>
        <w:t xml:space="preserve"> </w:t>
      </w:r>
      <w:r w:rsidRPr="69CF6134">
        <w:rPr>
          <w:rFonts w:ascii="Times New Roman" w:hAnsi="Times New Roman" w:cs="Times New Roman"/>
        </w:rPr>
        <w:t xml:space="preserve">compared unmedicated children with ADHD, methylphenidate-treated children with ADHD, a clinical control group, and a healthy control group. Their results suggest that </w:t>
      </w:r>
      <w:r w:rsidR="00EC6FBA">
        <w:rPr>
          <w:rFonts w:ascii="Times New Roman" w:hAnsi="Times New Roman" w:cs="Times New Roman"/>
        </w:rPr>
        <w:t xml:space="preserve">people with ADHD report increased </w:t>
      </w:r>
      <w:proofErr w:type="gramStart"/>
      <w:r w:rsidR="00EC6FBA">
        <w:rPr>
          <w:rFonts w:ascii="Times New Roman" w:hAnsi="Times New Roman" w:cs="Times New Roman"/>
        </w:rPr>
        <w:t>rated of</w:t>
      </w:r>
      <w:proofErr w:type="gramEnd"/>
      <w:r w:rsidR="00EC6FBA">
        <w:rPr>
          <w:rFonts w:ascii="Times New Roman" w:hAnsi="Times New Roman" w:cs="Times New Roman"/>
        </w:rPr>
        <w:t xml:space="preserve"> MB but not MW</w:t>
      </w:r>
      <w:r w:rsidRPr="69CF6134">
        <w:rPr>
          <w:rFonts w:ascii="Times New Roman" w:hAnsi="Times New Roman" w:cs="Times New Roman"/>
        </w:rPr>
        <w:t xml:space="preserve">. Similarly, in adults, a </w:t>
      </w:r>
      <w:r w:rsidR="00F55CF2" w:rsidRPr="69CF6134">
        <w:rPr>
          <w:rFonts w:ascii="Times New Roman" w:hAnsi="Times New Roman" w:cs="Times New Roman"/>
        </w:rPr>
        <w:t xml:space="preserve">clinical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{"citationID":"a1t43qss2ha","properties":{"unsorted":false,"formattedCitation":"(Madiouni et al., 2020; Pinggal et al., 2026)","plainCitation":"(Madiouni et al., 2020; Pinggal et al., 2026)","noteIndex":0},"citationItems":[{"id":136,"uris":["http://zotero.org/users/8613739/items/NJUUZZIQ"],"itemData":{"id":136,"type":"article-journal","abstract":"Sleepiness and mind-wandering are frequently experienced by patients with attention-deficit/hyperactivity disorder (ADHD), without ever having been jointly explored. We aimed to investigate the co-occurrence of these two phenomena in ADHD adults. Drug-free ADHD adults (n = 25) and healthy controls (n = 28) underwent an online experience sampling of mind-wandering episodes and subjective sleepiness. Participants completed self-reported measures of mind-wandering and sleepiness in daily life. Higher trait of mind-wandering was observed in ADHD patients compared to controls. On the whole sample, self-reported mind-wandering propensity was strongly associated with the severity of inattentive, impulsive and hyperactive symptoms. During the probes, patients reported more frequent episodes of mind-wandering and mind-blanking, and higher sleepiness. Their mind-wandering episodes were less intentional and belonged less frequently to a structured succession of thoughts. In both groups, mind-wandering and mind-blanking were associated with higher sleepiness. On the SART, patients were less accurate than controls. We provide first initial evidence for higher propensity of mind-wandering and mind-blanking using experience sampling in patients with formal ADHD diagnosis. This propensity was associated with sleepiness without negatively impacting attention performances. Mind-wandering and sleepiness have common determinants potentially involved in ADHD pathophysiology. Correlates of mind-blanking in ADHD adults remain to be characterized.","citation-key":"madiouniMindwanderingSleepinessAdults2020","container-title":"Psychiatry Research","DOI":"10.1016/j.psychres.2020.112901","ISSN":"1872-7123","journalAbbreviation":"Psychiatry Res","language":"eng","page":"112901","PMID":"32155443","source":"PubMed","title":"Mind-wandering and sleepiness in adults with attention-deficit/hyperactivity disorder","volume":"287","author":[{"family":"Madiouni","given":"Clarisse"},{"family":"Lopez","given":"Régis"},{"family":"Gély-Nargeot","given":"Marie-Christine"},{"family":"Lebrun","given":"Cindy"},{"family":"Bayard","given":"Sophie"}],"issued":{"date-parts":[["2020",5]]}}},{"id":17883,"uris":["http://zotero.org/users/8613739/items/Y55WJEAJ"],"itemData":{"id":17883,"type":"article-journal","abstract":"Attention-deficit/hyperactivity disorder (ADHD) is characterized by behavioral variability and heightened inattention associated with increased mind wandering (MW) and mind blanking (MB). Individuals with ADHD frequently experience sleep disorders and excessive daytime sleepiness, suggesting interactions between attention and arousal systems. Research examining brain activity using electroencephalography (EEG) has demonstrated that sleep-like slow waves (SWs) during wakefulness are linked to inattention in neurotypical individuals following sleep deprivation, yet their role in ADHD remains unclear. This study investigated whether individuals with ADHD present with altered waking SW distribution compared with neurotypical controls and whether SWs explain attentional difficulties in ADHD. Adults with (n = 32) and without ADHD (n = 31) completed a sustained attention task while EEG recorded brain activity. Mental state probes (on-task, MW, MB) were embedded within the task. Sleep-like SWs reflect cortical slowing and were detected from EEG activity. Omission/commission errors, reaction time (RT), RT variability, mental state reports, and subjective sleepiness were analyzed. Mediation analysis examined whether SW density explained ADHD-related performance differences. Individuals with ADHD exhibited more commission errors, MW and MB, more theta oscillations over frontotemporal electrodes, and higher SW density (SW/minute) over parietotemporal electrodes. Increased SW density correlated with higher omission errors, slower RTs, greater RT variability, and elevated sleepiness ratings. On-task reports were negatively correlated with SW density. Mediation analysis revealed that SW density significantly accounted for ADHD-related attentional difficulties. Wake SW may explain attentional difficulties in ADHD, providing a potential mechanistic link between sleep disturbances and attentional fluctuations.","citation-key":"pinggalSleepLikeSlowWaves2026","container-title":"The Journal of Neuroscience: The Official Journal of the Society for Neuroscience","DOI":"10.1523/JNEUROSCI.1694-25.2025","ISSN":"1529-2401","issue":"15","journalAbbreviation":"J Neurosci","language":"eng","page":"e1694252025","PMID":"41839570","PMCID":"PMC13086247","source":"PubMed","title":"Sleep-Like Slow Waves during Wakefulness Mediate Attention and Vigilance Difficulties in Adult Attention-Deficit/Hyperactivity Disorder","volume":"46","author":[{"family":"Pinggal","given":"Elaine"},{"family":"Jackson","given":"James"},{"family":"Kusztor","given":"Anikó"},{"family":"Chapman","given":"David"},{"family":"Windt","given":"Jennifer"},{"family":"Drummond","given":"Sean P. A."},{"family":"Silk","given":"Tim J."},{"family":"Bellgrove","given":"Mark A."},{"family":"Andrillon","given":"Thomas"}],"issued":{"date-parts":[["2026",4,15]]}}}],"schema":"https://github.com/citation-style-language/schema/raw/master/csl-citation.json"}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(Madiouni et al., 2020; Pinggal et al., 2026)</w:t>
      </w:r>
      <w:r w:rsidRPr="69CF6134">
        <w:rPr>
          <w:rFonts w:ascii="Times New Roman" w:hAnsi="Times New Roman" w:cs="Times New Roman"/>
        </w:rPr>
        <w:fldChar w:fldCharType="end"/>
      </w:r>
      <w:r w:rsidR="00F55CF2" w:rsidRPr="69CF6134">
        <w:rPr>
          <w:rFonts w:ascii="Times New Roman" w:hAnsi="Times New Roman" w:cs="Times New Roman"/>
        </w:rPr>
        <w:t xml:space="preserve"> and </w:t>
      </w:r>
      <w:r w:rsidRPr="69CF6134">
        <w:rPr>
          <w:rFonts w:ascii="Times New Roman" w:hAnsi="Times New Roman" w:cs="Times New Roman"/>
        </w:rPr>
        <w:t xml:space="preserve">preclinical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{"citationID":"a3nu20b7fr","properties":{"unsorted":false,"formattedCitation":"(Van den Driessche et al., 2017)","plainCitation":"(Van den Driessche et al., 2017)","noteIndex":0},"citationItems":[{"id":16069,"uris":["http://zotero.org/groups/6160358/items/G26L5XVS"],"itemData":{"id":16069,"type":"article-journal","abstract":"People with attention-deficit/hyperactivity disorder (ADHD) have difficulties sustaining their attention on external tasks. Such attentional lapses have often been characterized as the simple opposite of external sustained attention, but the different types of attentional lapses, and the subjective experiences to which they correspond, remain unspecified. In this study, we showed that unmedicated children (ages 6-12) with ADHD, when probed during a standard go/no-go task, reported more mind blanking (a mental state characterized by the absence of reportable content) than did control participants. This increase in mind blanking happened at the expense of both focused and wandering thoughts. We also found that methylphenidate reverted the level of mind blanking to baseline (i.e., the level of mind blanking reported by control children without ADHD). However, this restoration led to mind wandering more than to focused attention. In a second experiment, we extended these findings to adults who had subclinical ADHD. These results suggest that executive functions impaired in ADHD are required not only to sustain external attention but also to maintain an internal train of thought.","citation-key":"vandendriesscheAttentionalLapsesAttentionDeficit2017a","container-title":"Psychological science","DOI":"10.1177/0956797617708234","ISSN":"1467-9280 0956-7976","issue":"10","language":"eng","page":"1375–1386","PMID":"28800281","title":"Attentional Lapses in Attention-Deficit/Hyperactivity Disorder: Blank Rather Than Wandering Thoughts.","volume":"28","author":[{"family":"Van den Driessche","given":"Charlotte"},{"family":"Bastian","given":"Mikaël"},{"family":"Peyre","given":"Hugo"},{"family":"Stordeur","given":"Coline"},{"family":"Acquaviva","given":"Éric"},{"family":"Bahadori","given":"Sara"},{"family":"Delorme","given":"Richard"},{"family":"Sackur","given":"Jérôme"}],"issued":{"date-parts":[["2017",10]]}}}],"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(Van den Driessche et al., 2017)</w:t>
      </w:r>
      <w:r w:rsidRPr="69CF6134">
        <w:rPr>
          <w:rFonts w:ascii="Times New Roman" w:hAnsi="Times New Roman" w:cs="Times New Roman"/>
        </w:rPr>
        <w:fldChar w:fldCharType="end"/>
      </w:r>
      <w:r w:rsidR="00F55CF2" w:rsidRPr="69CF6134">
        <w:rPr>
          <w:rFonts w:ascii="Times New Roman" w:hAnsi="Times New Roman" w:cs="Times New Roman"/>
        </w:rPr>
        <w:t xml:space="preserve"> </w:t>
      </w:r>
      <w:r w:rsidRPr="69CF6134">
        <w:rPr>
          <w:rFonts w:ascii="Times New Roman" w:hAnsi="Times New Roman" w:cs="Times New Roman"/>
        </w:rPr>
        <w:t xml:space="preserve">ADHD profile has been </w:t>
      </w:r>
      <w:proofErr w:type="spellStart"/>
      <w:r w:rsidRPr="69CF6134">
        <w:rPr>
          <w:rFonts w:ascii="Times New Roman" w:hAnsi="Times New Roman" w:cs="Times New Roman"/>
        </w:rPr>
        <w:t>characteri</w:t>
      </w:r>
      <w:r w:rsidR="00F62572" w:rsidRPr="69CF6134">
        <w:rPr>
          <w:rFonts w:ascii="Times New Roman" w:hAnsi="Times New Roman" w:cs="Times New Roman"/>
        </w:rPr>
        <w:t>s</w:t>
      </w:r>
      <w:r w:rsidRPr="69CF6134">
        <w:rPr>
          <w:rFonts w:ascii="Times New Roman" w:hAnsi="Times New Roman" w:cs="Times New Roman"/>
        </w:rPr>
        <w:t>ed</w:t>
      </w:r>
      <w:proofErr w:type="spellEnd"/>
      <w:r w:rsidRPr="69CF6134">
        <w:rPr>
          <w:rFonts w:ascii="Times New Roman" w:hAnsi="Times New Roman" w:cs="Times New Roman"/>
        </w:rPr>
        <w:t xml:space="preserve"> by more frequent MB. A recent large-scale study (n=292) replicated the positive relationship </w:t>
      </w:r>
      <w:r w:rsidR="00F62572" w:rsidRPr="69CF6134">
        <w:rPr>
          <w:rFonts w:ascii="Times New Roman" w:hAnsi="Times New Roman" w:cs="Times New Roman"/>
        </w:rPr>
        <w:t>between</w:t>
      </w:r>
      <w:r w:rsidRPr="69CF6134">
        <w:rPr>
          <w:rFonts w:ascii="Times New Roman" w:hAnsi="Times New Roman" w:cs="Times New Roman"/>
        </w:rPr>
        <w:t xml:space="preserve"> ADHD symptomatology and MB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{"citationID":"a1lus803n7k","properties":{"unsorted":false,"formattedCitation":"(Beikmohamadi &amp; Meier, 2024)","plainCitation":"(Beikmohamadi &amp; Meier, 2024)","noteIndex":0},"citationItems":[{"id":5881,"uris":["http://zotero.org/users/8613739/items/JQ74NKYA"],"itemData":{"id":5881,"type":"article-journal","abstract":"Van den Driessche et al. (2017) found that children and young adults with more attention-deficit/hyperactivity disorder (ADHD) symptoms report more mind blanking than those with fewer ADHD symptoms and that nonmedicated children with ADHD reported less mind wandering and more mind blanking than medicated children with ADHD. Van den Driessche et al. speculated that medication facilitated executive control and that executive resources support mind wandering (and on-task thought). Besides describing the conscious experience of those with ADHD symptomology, these findings bear on the theoretical debate of executive functions' role in conscious experience. Some argue that executive functions support mind wandering (Levinson et al., 2012; Smallwood, 2010, 2013), while others argue that mind wandering situationally results from a lack (or failure) of executive control (McVay &amp; Kane, 2010; Meier, 2019). Here, we conducted a study like Van den Driessche et al.'s study with young adults (Experiment 2, 2017) and tested the associations between ADHD symptomology and conscious experience. Rather than speculating about the effects of medication, we directly measured executive functioning (via complex span tasks). Like Van den Driessche et al., we observed a positive association between mind blanking and ADHD, but we detected no evidence supporting the claims that executive functions support (or reduce) mind wandering. We also assessed the relative associations between task performance metrics and reports of mind blanking and mind wandering. We did not detect differential performance associations between those thought reports. (Preregistration, data, analysis scripts, and output are available via the Open Science Framework: https://osf.io/z3awm/.)","citation-key":"beikmohamadiExaminingRelationsWorking2024","container-title":"Psychology of consciousness (Washington, D.C.)","ISSN":"2326-5523","issue":"2","language":"eng","note":"tex.copyright: 2021 American Psychological Association","page":"217-233","publisher":"Educational Publishing Foundation","title":"Examining the relations among working memory capacity, attention-deficit/hyperactivity disorder symptomology, and conscious experience","volume":"11","author":[{"family":"Beikmohamadi","given":"Leila A."},{"family":"Meier","given":"Matt E."}],"issued":{"date-parts":[["2024",6,1]]}}}],"schema":"https://github.com/citation-style-language/schema/raw/master/csl-citation.json"}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(Beikmohamadi &amp; Meier, 2024)</w:t>
      </w:r>
      <w:r w:rsidRPr="69CF6134">
        <w:rPr>
          <w:rFonts w:ascii="Times New Roman" w:hAnsi="Times New Roman" w:cs="Times New Roman"/>
        </w:rPr>
        <w:fldChar w:fldCharType="end"/>
      </w:r>
      <w:r w:rsidR="000D2098" w:rsidRPr="69CF6134">
        <w:rPr>
          <w:rFonts w:ascii="Times New Roman" w:hAnsi="Times New Roman" w:cs="Times New Roman"/>
        </w:rPr>
        <w:t>. While t</w:t>
      </w:r>
      <w:r w:rsidR="00723449" w:rsidRPr="69CF6134">
        <w:rPr>
          <w:rFonts w:ascii="Times New Roman" w:hAnsi="Times New Roman" w:cs="Times New Roman"/>
        </w:rPr>
        <w:t>his study was not part of our meta</w:t>
      </w:r>
      <w:r w:rsidR="00F740F8" w:rsidRPr="69CF6134">
        <w:rPr>
          <w:rFonts w:ascii="Times New Roman" w:hAnsi="Times New Roman" w:cs="Times New Roman"/>
        </w:rPr>
        <w:t>-a</w:t>
      </w:r>
      <w:r w:rsidR="00723449" w:rsidRPr="69CF6134">
        <w:rPr>
          <w:rFonts w:ascii="Times New Roman" w:hAnsi="Times New Roman" w:cs="Times New Roman"/>
        </w:rPr>
        <w:t>nalytic estimate as they measured self-reported ADHD in a neurotypical population, yet t</w:t>
      </w:r>
      <w:r w:rsidRPr="69CF6134">
        <w:rPr>
          <w:rFonts w:ascii="Times New Roman" w:hAnsi="Times New Roman" w:cs="Times New Roman"/>
        </w:rPr>
        <w:t>hey found a statistically significant relationship</w:t>
      </w:r>
      <w:r w:rsidR="000D2098" w:rsidRPr="69CF6134">
        <w:rPr>
          <w:rFonts w:ascii="Times New Roman" w:hAnsi="Times New Roman" w:cs="Times New Roman"/>
        </w:rPr>
        <w:t xml:space="preserve"> between ADHD scores and</w:t>
      </w:r>
      <w:r w:rsidRPr="69CF6134">
        <w:rPr>
          <w:rFonts w:ascii="Times New Roman" w:hAnsi="Times New Roman" w:cs="Times New Roman"/>
        </w:rPr>
        <w:t xml:space="preserve"> MB reports. </w:t>
      </w:r>
      <w:r w:rsidR="003368AC" w:rsidRPr="69CF6134">
        <w:rPr>
          <w:rFonts w:ascii="Times New Roman" w:hAnsi="Times New Roman" w:cs="Times New Roman"/>
        </w:rPr>
        <w:t xml:space="preserve">An alternative explanation points to the role of </w:t>
      </w:r>
      <w:r w:rsidRPr="69CF6134">
        <w:rPr>
          <w:rFonts w:ascii="Times New Roman" w:hAnsi="Times New Roman" w:cs="Times New Roman"/>
        </w:rPr>
        <w:t>arousal</w:t>
      </w:r>
      <w:r w:rsidR="003368AC" w:rsidRPr="69CF6134">
        <w:rPr>
          <w:rFonts w:ascii="Times New Roman" w:hAnsi="Times New Roman" w:cs="Times New Roman"/>
        </w:rPr>
        <w:t xml:space="preserve">. </w:t>
      </w:r>
      <w:proofErr w:type="spellStart"/>
      <w:r w:rsidRPr="69CF6134">
        <w:rPr>
          <w:rFonts w:ascii="Times New Roman" w:hAnsi="Times New Roman" w:cs="Times New Roman"/>
        </w:rPr>
        <w:t>Pinggal</w:t>
      </w:r>
      <w:proofErr w:type="spellEnd"/>
      <w:r w:rsidRPr="69CF6134">
        <w:rPr>
          <w:rFonts w:ascii="Times New Roman" w:hAnsi="Times New Roman" w:cs="Times New Roman"/>
        </w:rPr>
        <w:t xml:space="preserve"> et al.</w:t>
      </w:r>
      <w:r w:rsidR="003368AC" w:rsidRPr="69CF6134">
        <w:rPr>
          <w:rFonts w:ascii="Times New Roman" w:hAnsi="Times New Roman" w:cs="Times New Roman"/>
        </w:rPr>
        <w:t xml:space="preserve">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klbhbggpm","properties":{"unsorted":false,"formattedCitation":"(2026)","plainCitation":"(2026)","noteIndex":0},"citationItems":[{"id":17883,"uris":["http://zotero.org/users/8613739/items/Y55WJEAJ"],"itemData":{"id":17883,"type":"article-journal","abstract":"Attention-deficit/hyperactivity disorder (ADHD) is characterized by behavioral variability and heightened inattention associated with increased mind wandering (MW) and mind blanking (MB). Individuals with ADHD frequently experience sleep disorders and excessive daytime sleepiness, suggesting interactions between attention and arousal systems. Research examining brain activity using electroencephalography (EEG) has demonstrated that sleep-like slow waves (SWs) during wakefulness are linked to inattention in neurotypical individuals following sleep deprivation, yet their role in ADHD remains unclear. This study investigated whether individuals with ADHD present with altered waking SW distribution compared with neurotypical controls and whether SWs explain attentional difficulties in ADHD. Adults with (n = 32) and without ADHD (n = 31) completed a sustained attention task while EEG recorded brain activity. Mental state probes (on-task, MW, MB) were embedded within the task. Sleep-like SWs reflect cortical slowing and were detected from EEG activity. Omission/commission errors, reaction time (RT), RT variability, mental state reports, and subjective sleepiness were analyzed. Mediation analysis examined whether SW density explained ADHD-related performance differences. Individuals with ADHD exhibited more commission errors, MW and MB, more theta oscillations over frontotemporal electrodes, and higher SW density (SW/minute) over parietotemporal electrodes. Increased SW density correlated with higher omission errors, slower RTs, greater RT variability, and elevated sleepiness ratings. On-task reports were negatively correlated with SW density. Mediation analysis revealed that SW density significantly accounted for ADHD-related attentional difficulties. Wake SW may explain attentional difficulties in ADHD, providing a potential mechanistic link between sleep disturbances and attentional fluctuations.","citation-key":"pinggalSleepLikeSlowWaves2026","container-title":"The Journal of Neuroscience: The Official Journal of the Society for Neuroscience","DOI":"10.1523/JNEUROSCI.1694-25.2025","ISSN":"1529-2401","issue":"15","journalAbbreviation":"J Neurosci","language":"eng","page":"e1694252025","PMID":"41839570","PMCID":"PMC13086247","source":"PubMed","title":"Sleep-Like Slow Waves during Wakefulness Mediate Attention and Vigilance Difficulties in Adult Attention-Deficit/Hyperactivity Disorder","volume":"46","author":[{"family":"Pinggal","given":"Elaine"},{"family":"Jackson","given":"James"},{"family":"Kusztor","given":"Anikó"},{"family":"Chapman","given":"David"},{"family":"Windt","given":"Jennifer"},{"family":"Drummond","given":"Sean P. A."},{"family":"Silk","given":"Tim J."},{"family":"Bellgrove","given":"Mark A."},{"family":"Andrillon","given":"Thomas"}],"issued":{"date-parts":[["2026",4,15]]}},"suppress-author":true}],"schema":"https://github.com/citation-style-language/schema/raw/master/csl-citation.json"}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(2026)</w:t>
      </w:r>
      <w:r w:rsidRPr="69CF6134">
        <w:rPr>
          <w:rFonts w:ascii="Times New Roman" w:hAnsi="Times New Roman" w:cs="Times New Roman"/>
        </w:rPr>
        <w:fldChar w:fldCharType="end"/>
      </w:r>
      <w:r w:rsidRPr="69CF6134">
        <w:rPr>
          <w:rFonts w:ascii="Times New Roman" w:hAnsi="Times New Roman" w:cs="Times New Roman"/>
        </w:rPr>
        <w:t xml:space="preserve"> replicated the finding that young adults with ADHD symptomatology experience more frequent MB. </w:t>
      </w:r>
      <w:r w:rsidR="000E7846">
        <w:rPr>
          <w:rFonts w:ascii="Times New Roman" w:hAnsi="Times New Roman" w:cs="Times New Roman"/>
        </w:rPr>
        <w:t>They further showed</w:t>
      </w:r>
      <w:r w:rsidRPr="69CF6134">
        <w:rPr>
          <w:rFonts w:ascii="Times New Roman" w:hAnsi="Times New Roman" w:cs="Times New Roman"/>
        </w:rPr>
        <w:t xml:space="preserve"> that ADHD symptomatology was mediated by the presence of slow-wave-like activity, suggesting that these symptoms might be primarily driven by cortical arousal fluctuations. </w:t>
      </w:r>
      <w:r w:rsidR="00316CF3" w:rsidRPr="69CF6134">
        <w:rPr>
          <w:rFonts w:ascii="Times New Roman" w:hAnsi="Times New Roman" w:cs="Times New Roman"/>
        </w:rPr>
        <w:t>Along the same lines</w:t>
      </w:r>
      <w:r w:rsidR="003368AC" w:rsidRPr="69CF6134">
        <w:rPr>
          <w:rFonts w:ascii="Times New Roman" w:hAnsi="Times New Roman" w:cs="Times New Roman"/>
        </w:rPr>
        <w:t xml:space="preserve">, </w:t>
      </w:r>
      <w:proofErr w:type="spellStart"/>
      <w:r w:rsidR="003368AC" w:rsidRPr="69CF6134">
        <w:rPr>
          <w:rFonts w:ascii="Times New Roman" w:hAnsi="Times New Roman" w:cs="Times New Roman"/>
        </w:rPr>
        <w:t>Madiouni</w:t>
      </w:r>
      <w:proofErr w:type="spellEnd"/>
      <w:r w:rsidR="003368AC" w:rsidRPr="69CF6134">
        <w:rPr>
          <w:rFonts w:ascii="Times New Roman" w:hAnsi="Times New Roman" w:cs="Times New Roman"/>
        </w:rPr>
        <w:t xml:space="preserve"> et al.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pg5kh2c7b","properties":{"unsorted":false,"formattedCitation":"(2020)","plainCitation":"(2020)","noteIndex":0},"citationItems":[{"id":136,"uris":["http://zotero.org/users/8613739/items/NJUUZZIQ"],"itemData":{"id":136,"type":"article-journal","abstract":"Sleepiness and mind-wandering are frequently experienced by patients with attention-deficit/hyperactivity disorder (ADHD), without ever having been jointly explored. We aimed to investigate the co-occurrence of these two phenomena in ADHD adults. Drug-free ADHD adults (n = 25) and healthy controls (n = 28) underwent an online experience sampling of mind-wandering episodes and subjective sleepiness. Participants completed self-reported measures of mind-wandering and sleepiness in daily life. Higher trait of mind-wandering was observed in ADHD patients compared to controls. On the whole sample, self-reported mind-wandering propensity was strongly associated with the severity of inattentive, impulsive and hyperactive symptoms. During the probes, patients reported more frequent episodes of mind-wandering and mind-blanking, and higher sleepiness. Their mind-wandering episodes were less intentional and belonged less frequently to a structured succession of thoughts. In both groups, mind-wandering and mind-blanking were associated with higher sleepiness. On the SART, patients were less accurate than controls. We provide first initial evidence for higher propensity of mind-wandering and mind-blanking using experience sampling in patients with formal ADHD diagnosis. This propensity was associated with sleepiness without negatively impacting attention performances. Mind-wandering and sleepiness have common determinants potentially involved in ADHD pathophysiology. Correlates of mind-blanking in ADHD adults remain to be characterized.","citation-key":"madiouniMindwanderingSleepinessAdults2020","container-title":"Psychiatry Research","DOI":"10.1016/j.psychres.2020.112901","ISSN":"1872-7123","journalAbbreviation":"Psychiatry Res","language":"eng","page":"112901","PMID":"32155443","source":"PubMed","title":"Mind-wandering and sleepiness in adults with attention-deficit/hyperactivity disorder","volume":"287","author":[{"family":"Madiouni","given":"Clarisse"},{"family":"Lopez","given":"Régis"},{"family":"Gély-Nargeot","given":"Marie-Christine"},{"family":"Lebrun","given":"Cindy"},{"family":"Bayard","given":"Sophie"}],"issued":{"date-parts":[["2020",5]]}},"suppress-author":true}],"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(2020)</w:t>
      </w:r>
      <w:r w:rsidRPr="69CF6134">
        <w:rPr>
          <w:rFonts w:ascii="Times New Roman" w:hAnsi="Times New Roman" w:cs="Times New Roman"/>
        </w:rPr>
        <w:fldChar w:fldCharType="end"/>
      </w:r>
      <w:r w:rsidR="003368AC" w:rsidRPr="69CF6134">
        <w:rPr>
          <w:rFonts w:ascii="Times New Roman" w:hAnsi="Times New Roman" w:cs="Times New Roman"/>
        </w:rPr>
        <w:t xml:space="preserve"> </w:t>
      </w:r>
      <w:r w:rsidR="00316CF3" w:rsidRPr="69CF6134">
        <w:rPr>
          <w:rFonts w:ascii="Times New Roman" w:hAnsi="Times New Roman" w:cs="Times New Roman"/>
        </w:rPr>
        <w:t xml:space="preserve">showed that an adult ADHD group reported both higher rates of MB and higher levels of sleepiness relative to the control population. </w:t>
      </w:r>
      <w:r w:rsidRPr="69CF6134">
        <w:rPr>
          <w:rFonts w:ascii="Times New Roman" w:hAnsi="Times New Roman" w:cs="Times New Roman"/>
        </w:rPr>
        <w:t xml:space="preserve">In our meta-analysis, we observed a </w:t>
      </w:r>
      <w:r w:rsidR="00B968D6" w:rsidRPr="69CF6134">
        <w:rPr>
          <w:rFonts w:ascii="Times New Roman" w:hAnsi="Times New Roman" w:cs="Times New Roman"/>
        </w:rPr>
        <w:t xml:space="preserve">rightward shift in the </w:t>
      </w:r>
      <w:r w:rsidR="00C727E7" w:rsidRPr="69CF6134">
        <w:rPr>
          <w:rFonts w:ascii="Times New Roman" w:hAnsi="Times New Roman" w:cs="Times New Roman"/>
        </w:rPr>
        <w:t>posterior distribution of ADHD MB</w:t>
      </w:r>
      <w:r w:rsidRPr="69CF6134">
        <w:rPr>
          <w:rFonts w:ascii="Times New Roman" w:hAnsi="Times New Roman" w:cs="Times New Roman"/>
        </w:rPr>
        <w:t xml:space="preserve">, indicating a higher MB report rate. Yet, the posterior distribution was wide, indicating </w:t>
      </w:r>
      <w:r w:rsidR="00B968D6" w:rsidRPr="69CF6134">
        <w:rPr>
          <w:rFonts w:ascii="Times New Roman" w:hAnsi="Times New Roman" w:cs="Times New Roman"/>
        </w:rPr>
        <w:t>substantial</w:t>
      </w:r>
      <w:r w:rsidRPr="69CF6134">
        <w:rPr>
          <w:rFonts w:ascii="Times New Roman" w:hAnsi="Times New Roman" w:cs="Times New Roman"/>
        </w:rPr>
        <w:t xml:space="preserve"> uncertainty in the estimates. This can be attributed to the fact that we </w:t>
      </w:r>
      <w:r w:rsidR="00B968D6" w:rsidRPr="69CF6134">
        <w:rPr>
          <w:rFonts w:ascii="Times New Roman" w:hAnsi="Times New Roman" w:cs="Times New Roman"/>
        </w:rPr>
        <w:t>identified only three studies that examined clinical</w:t>
      </w:r>
      <w:r w:rsidR="00C727E7" w:rsidRPr="69CF6134">
        <w:rPr>
          <w:rFonts w:ascii="Times New Roman" w:hAnsi="Times New Roman" w:cs="Times New Roman"/>
        </w:rPr>
        <w:t>/preclinical</w:t>
      </w:r>
      <w:r w:rsidR="00B968D6" w:rsidRPr="69CF6134">
        <w:rPr>
          <w:rFonts w:ascii="Times New Roman" w:hAnsi="Times New Roman" w:cs="Times New Roman"/>
        </w:rPr>
        <w:t xml:space="preserve"> ADHD populations as separate groups</w:t>
      </w:r>
      <w:r w:rsidRPr="69CF6134">
        <w:rPr>
          <w:rFonts w:ascii="Times New Roman" w:hAnsi="Times New Roman" w:cs="Times New Roman"/>
        </w:rPr>
        <w:t>.</w:t>
      </w:r>
      <w:r w:rsidR="00316CF3" w:rsidRPr="69CF6134">
        <w:rPr>
          <w:rFonts w:ascii="Times New Roman" w:hAnsi="Times New Roman" w:cs="Times New Roman"/>
        </w:rPr>
        <w:t xml:space="preserve"> </w:t>
      </w:r>
      <w:r w:rsidRPr="69CF6134">
        <w:rPr>
          <w:rFonts w:ascii="Times New Roman" w:hAnsi="Times New Roman"/>
        </w:rPr>
        <w:t xml:space="preserve"> </w:t>
      </w:r>
      <w:r w:rsidRPr="69CF6134">
        <w:rPr>
          <w:rFonts w:ascii="Times New Roman" w:hAnsi="Times New Roman" w:cs="Times New Roman"/>
        </w:rPr>
        <w:t xml:space="preserve">The uncertainty introduced by the small number of studies, combined with the </w:t>
      </w:r>
      <w:r w:rsidR="00B968D6" w:rsidRPr="69CF6134">
        <w:rPr>
          <w:rFonts w:ascii="Times New Roman" w:hAnsi="Times New Roman" w:cs="Times New Roman"/>
        </w:rPr>
        <w:t>small-to-medium</w:t>
      </w:r>
      <w:r w:rsidRPr="69CF6134">
        <w:rPr>
          <w:rFonts w:ascii="Times New Roman" w:hAnsi="Times New Roman" w:cs="Times New Roman"/>
        </w:rPr>
        <w:t xml:space="preserve"> </w:t>
      </w:r>
      <w:r w:rsidR="00316CF3" w:rsidRPr="69CF6134">
        <w:rPr>
          <w:rFonts w:ascii="Times New Roman" w:hAnsi="Times New Roman" w:cs="Times New Roman"/>
        </w:rPr>
        <w:t>MB reported rates (min=</w:t>
      </w:r>
      <w:r w:rsidR="00BD76C0" w:rsidRPr="69CF6134">
        <w:rPr>
          <w:rFonts w:ascii="Times New Roman" w:hAnsi="Times New Roman" w:cs="Times New Roman"/>
        </w:rPr>
        <w:t>9%</w:t>
      </w:r>
      <w:r w:rsidR="00316CF3" w:rsidRPr="69CF6134">
        <w:rPr>
          <w:rFonts w:ascii="Times New Roman" w:hAnsi="Times New Roman" w:cs="Times New Roman"/>
        </w:rPr>
        <w:t>, max=</w:t>
      </w:r>
      <w:r w:rsidR="00BD76C0" w:rsidRPr="69CF6134">
        <w:rPr>
          <w:rFonts w:ascii="Times New Roman" w:hAnsi="Times New Roman" w:cs="Times New Roman"/>
        </w:rPr>
        <w:t>19%)</w:t>
      </w:r>
      <w:r w:rsidRPr="69CF6134">
        <w:rPr>
          <w:rFonts w:ascii="Times New Roman" w:hAnsi="Times New Roman" w:cs="Times New Roman"/>
        </w:rPr>
        <w:t xml:space="preserve">, suggests that further evidence is needed to obtain a more precise posterior estimate of ADHD-related MB effects. </w:t>
      </w:r>
    </w:p>
    <w:p w14:paraId="3CF08070" w14:textId="0A1C6650" w:rsidR="00C0107C" w:rsidRPr="00B41C78" w:rsidRDefault="00BD4689" w:rsidP="00B41C78">
      <w:pPr>
        <w:spacing w:line="360" w:lineRule="auto"/>
        <w:ind w:firstLine="720"/>
        <w:jc w:val="both"/>
      </w:pPr>
      <w:r w:rsidRPr="00BD4689">
        <w:rPr>
          <w:rFonts w:ascii="Times New Roman" w:hAnsi="Times New Roman" w:cs="Times New Roman"/>
          <w:lang w:val="en-GB"/>
        </w:rPr>
        <w:t xml:space="preserve">One study in our database reported </w:t>
      </w:r>
      <w:r>
        <w:rPr>
          <w:rFonts w:ascii="Times New Roman" w:hAnsi="Times New Roman" w:cs="Times New Roman"/>
          <w:lang w:val="en-GB"/>
        </w:rPr>
        <w:t>a</w:t>
      </w:r>
      <w:r w:rsidR="00C0107C">
        <w:rPr>
          <w:rFonts w:ascii="Times New Roman" w:hAnsi="Times New Roman" w:cs="Times New Roman"/>
          <w:lang w:val="en-GB"/>
        </w:rPr>
        <w:t xml:space="preserve"> statistically significant</w:t>
      </w:r>
      <w:r>
        <w:rPr>
          <w:rFonts w:ascii="Times New Roman" w:hAnsi="Times New Roman" w:cs="Times New Roman"/>
          <w:lang w:val="en-GB"/>
        </w:rPr>
        <w:t xml:space="preserve"> </w:t>
      </w:r>
      <w:r w:rsidRPr="00BD4689">
        <w:rPr>
          <w:rFonts w:ascii="Times New Roman" w:hAnsi="Times New Roman" w:cs="Times New Roman"/>
          <w:lang w:val="en-GB"/>
        </w:rPr>
        <w:t>increase</w:t>
      </w:r>
      <w:r w:rsidR="00C0107C">
        <w:rPr>
          <w:rFonts w:ascii="Times New Roman" w:hAnsi="Times New Roman" w:cs="Times New Roman"/>
          <w:lang w:val="en-GB"/>
        </w:rPr>
        <w:t xml:space="preserve"> in</w:t>
      </w:r>
      <w:r w:rsidRPr="00BD4689">
        <w:rPr>
          <w:rFonts w:ascii="Times New Roman" w:hAnsi="Times New Roman" w:cs="Times New Roman"/>
          <w:lang w:val="en-GB"/>
        </w:rPr>
        <w:t xml:space="preserve"> MB rate</w:t>
      </w:r>
      <w:r w:rsidR="00C0107C">
        <w:rPr>
          <w:rFonts w:ascii="Times New Roman" w:hAnsi="Times New Roman" w:cs="Times New Roman"/>
          <w:lang w:val="en-GB"/>
        </w:rPr>
        <w:t>s</w:t>
      </w:r>
      <w:r w:rsidRPr="00BD4689">
        <w:rPr>
          <w:rFonts w:ascii="Times New Roman" w:hAnsi="Times New Roman" w:cs="Times New Roman"/>
          <w:lang w:val="en-GB"/>
        </w:rPr>
        <w:t xml:space="preserve"> relative to their control population under pharmacological manipulation.</w:t>
      </w:r>
      <w:r>
        <w:rPr>
          <w:rFonts w:ascii="Times New Roman" w:hAnsi="Times New Roman" w:cs="Times New Roman"/>
          <w:lang w:val="en-GB"/>
        </w:rPr>
        <w:t xml:space="preserve"> Adam et al. </w:t>
      </w:r>
      <w:r w:rsidR="00BD76C0">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29uo2ut7bq","properties":{"unsorted":false,"formattedCitation":"(2020)","plainCitation":"(2020)","noteIndex":0},"citationItems":[{"id":15396,"uris":["http://zotero.org/groups/6160358/items/PSDMGGWT"],"itemData":{"id":15396,"type":"article-journal","abstract":"With the increasing prevalence of legal cannabis use and availability, there is an urgent need to identify cognitive impairments related to its use. It is widely believed that cannabis, or its main psychoactive component Δ9-tetrahydrocannabinol (THC), impairs working memory, i.e., the ability to temporarily hold information in mind. However, our review of the literature yielded surprisingly little empirical support for an effect of THC or cannabis on working memory. We thus conducted a study with three main goals: (1) quantify the effect of THC on visual working memory in a well-powered sample, (2) test the potential role of cognitive effects (mind wandering and metacognition) in disrupting working memory, and (3) demonstrate how insufficient sample size and task duration reduce the likelihood of detecting a drug effect. We conducted two double-blind, randomized crossover experiments in which healthy adults (N = 23, 23) performed a reliable and validated visual working memory task (the “Discrete Whole Report task”, 90 trials) after administration of THC (7.5 and/or 15 mg oral) or placebo. We also assessed self-reported “mind wandering” (Exp 1) and metacognitive accuracy about ongoing task performance (Exp 2). THC impaired working memory performance (d = 0.65), increased mind wandering (Exp 1), and decreased metacognitive accuracy about task performance (Exp 2). Thus, our findings indicate that THC does impair visual working memory, and that this impairment may be related to both increased mind wandering and decreased monitoring of task performance. Finally, we used a down-sampling procedure to illustrate the effects of task length and sample size on power to detect the acute effect of THC on working memory.","citation-key":"adamD9TetrahydrocannabinolTHCImpairs2020a","container-title":"Neuropsychopharmacology (New York, N.Y.)","ISSN":"0893-133X","issue":"11","language":"eng","license":"The Author(s), under exclusive licence to American College of Neuropsychopharmacology 2020.","page":"1807–1816","title":"Δ9-Tetrahydrocannabinol (THC) impairs visual working memory performance: a randomized crossover trial","volume":"45","author":[{"family":"Adam","given":"Kirsten C. S."},{"family":"Doss","given":"Manoj K."},{"family":"Pabon","given":"Elisa"},{"family":"Vogel","given":"Edward K."},{"family":"Wit","given":"Harriet","non-dropping-particle":"de"}],"issued":{"date-parts":[["2020",10]]}},"suppress-author":true}],"schema":"https://github.com/citation-style-language/schema/raw/master/csl-citation.json"} </w:instrText>
      </w:r>
      <w:r w:rsidR="00BD76C0">
        <w:rPr>
          <w:rFonts w:ascii="Times New Roman" w:hAnsi="Times New Roman" w:cs="Times New Roman"/>
          <w:lang w:val="en-GB"/>
        </w:rPr>
        <w:fldChar w:fldCharType="separate"/>
      </w:r>
      <w:r w:rsidR="00B633EE" w:rsidRPr="00B633EE">
        <w:rPr>
          <w:rFonts w:ascii="Times New Roman" w:hAnsi="Times New Roman" w:cs="Times New Roman"/>
        </w:rPr>
        <w:t>(2020)</w:t>
      </w:r>
      <w:r w:rsidR="00BD76C0">
        <w:rPr>
          <w:rFonts w:ascii="Times New Roman" w:hAnsi="Times New Roman" w:cs="Times New Roman"/>
          <w:lang w:val="en-GB"/>
        </w:rPr>
        <w:fldChar w:fldCharType="end"/>
      </w:r>
      <w:r>
        <w:rPr>
          <w:rFonts w:ascii="Times New Roman" w:hAnsi="Times New Roman" w:cs="Times New Roman"/>
          <w:lang w:val="en-GB"/>
        </w:rPr>
        <w:t xml:space="preserve"> administered Δ9-tetrahydrocannabinol (THC) to participants and examined task-unrelated thoughts during a visual working memory task. They reported a 19% MB report rate. So far, THC </w:t>
      </w:r>
      <w:r w:rsidR="006F110A">
        <w:rPr>
          <w:rFonts w:ascii="Times New Roman" w:hAnsi="Times New Roman" w:cs="Times New Roman"/>
          <w:lang w:val="en-GB"/>
        </w:rPr>
        <w:t>has been</w:t>
      </w:r>
      <w:r>
        <w:rPr>
          <w:rFonts w:ascii="Times New Roman" w:hAnsi="Times New Roman" w:cs="Times New Roman"/>
          <w:lang w:val="en-GB"/>
        </w:rPr>
        <w:t xml:space="preserve"> associated with more frequent mind-wandering</w:t>
      </w:r>
      <w:r w:rsidR="00BD76C0">
        <w:rPr>
          <w:rFonts w:ascii="Times New Roman" w:hAnsi="Times New Roman" w:cs="Times New Roman"/>
          <w:lang w:val="en-GB"/>
        </w:rPr>
        <w:t xml:space="preserve"> </w:t>
      </w:r>
      <w:r w:rsidR="00BD76C0">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{"citationID":"adlh63f8na","properties":{"unsorted":false,"formattedCitation":"(Murray &amp; Srinivasa-Desikan, 2022)","plainCitation":"(Murray &amp; Srinivasa-Desikan, 2022)","noteIndex":0},"citationItems":[{"id":17910,"uris":["http://zotero.org/users/8613739/items/GVDCM9TH"],"itemData":{"id":17910,"type":"article-journal","abstract":"Altered states of consciousness (ASC) provide an opportunity for researchers to study the neurophysiological basis of changes in phenomenal experience. Δ9-tetrahydrocannabinol (THC) is the primary psychoactive constituent of cannabis, however whether the effects of THC include ASC features that are shared with other ASC induction mechanisms, such as classical psychedelics, has not been systematically addressed. We used survey (11D-ASC; State Mindfulness), self-report, and natural language processing (NLP) to assess 7.5 and 15 mg oral THC, relative to placebo, in 25 healthy, infrequent cannabis users. THC dose-dependently increased measures of ASC including Insightfulness, and increased ratings of mindfulness and mind-wandering. THC also increased language entropy as previously reported for LSD. Future studies may seek to determine whether reports of increased mindfulness or insight after THC are primarily representative of a psychotomimetic state (i.e., delusional thinking) or conversely, reflect an enhancement of conscious awareness that may be validated empirically. (PsycInfo Database Record (c) 2024 APA, all rights reserved)","citation-key":"murrayAlteredStateConsciousness2022","container-title":"Consciousness and Cognition: An International Journal","DOI":"10.1016/j.concog.2022.103357","ISSN":"1090-2376","page":"1-13","publisher":"Elsevier Science","publisher-place":"Netherlands","source":"APA PsycNet","title":"The altered state of consciousness induced by Δ9-THC","volume":"102","author":[{"family":"Murray","given":"Conor H."},{"family":"Srinivasa-Desikan","given":"Bhargav"}],"issued":{"date-parts":[["2022"]]}}}],"schema":"https://github.com/citation-style-language/schema/raw/master/csl-citation.json"} </w:instrText>
      </w:r>
      <w:r w:rsidR="00BD76C0">
        <w:rPr>
          <w:rFonts w:ascii="Times New Roman" w:hAnsi="Times New Roman" w:cs="Times New Roman"/>
          <w:lang w:val="en-GB"/>
        </w:rPr>
        <w:fldChar w:fldCharType="separate"/>
      </w:r>
      <w:r w:rsidR="00B633EE" w:rsidRPr="00B633EE">
        <w:rPr>
          <w:rFonts w:ascii="Times New Roman" w:hAnsi="Times New Roman" w:cs="Times New Roman"/>
        </w:rPr>
        <w:t>(Murray &amp; Srinivasa-Desikan, 2022)</w:t>
      </w:r>
      <w:r w:rsidR="00BD76C0">
        <w:rPr>
          <w:rFonts w:ascii="Times New Roman" w:hAnsi="Times New Roman" w:cs="Times New Roman"/>
          <w:lang w:val="en-GB"/>
        </w:rPr>
        <w:fldChar w:fldCharType="end"/>
      </w:r>
      <w:r>
        <w:rPr>
          <w:rFonts w:ascii="Times New Roman" w:hAnsi="Times New Roman" w:cs="Times New Roman"/>
          <w:lang w:val="en-GB"/>
        </w:rPr>
        <w:t xml:space="preserve"> and worse working</w:t>
      </w:r>
      <w:r w:rsidR="006F110A">
        <w:rPr>
          <w:rFonts w:ascii="Times New Roman" w:hAnsi="Times New Roman" w:cs="Times New Roman"/>
          <w:lang w:val="en-GB"/>
        </w:rPr>
        <w:t xml:space="preserve"> memory</w:t>
      </w:r>
      <w:r>
        <w:rPr>
          <w:rFonts w:ascii="Times New Roman" w:hAnsi="Times New Roman" w:cs="Times New Roman"/>
          <w:lang w:val="en-GB"/>
        </w:rPr>
        <w:t xml:space="preserve"> </w:t>
      </w:r>
      <w:r w:rsidR="00C0107C">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{"citationID":"a85d87popf","properties":{"unsorted":false,"formattedCitation":"(Chen &amp; Mackie, 2020; Owens et al., 2019; Scott et al., 2018)","plainCitation":"(Chen &amp; Mackie, 2020; Owens et al., 2019; Scott et al., 2018)","noteIndex":0},"citationItems":[{"id":17912,"uris":["http://zotero.org/users/8613739/items/LT8N8R74"],"itemData":{"id":17912,"type":"article-journal","abstract":"As the frequency of cannabis use by 14-16-year-olds increases, it becomes increasingly important to understand the effect of cannabis on the developing central nervous system. Using mice as a model system, we treated adolescent (28 day old) C57BL6/J mice of both sexes for 3 weeks with 3 mg/kg tetrahydrocannabinol (THC). Starting a week after the last treatment, several cognitive behaviors were analyzed. Mice treated with THC as adolescents acquired proficiency in a working memory task more slowly than vehicle-treated mice. Working memory recall in both sexes of THC-treated mice was also deficient during increasing cognitive load compared to vehicle-treated mice. Our adolescent THC treatment did not strongly affect social preference, anxiety behaviors, or decision-making behaviors on the elevated T maze task. In summary, under the conditions of this study, adolescent THC treatment of mice markedly affected the establishment, and persistence of working memory, while having little effect on decision-making, social preference or anxiety behaviors. This study provides further support that adolescent THC affects specific behavioral domains.","citation-key":"chenAdolescentD9TetrahydrocannabinolExposure2020","container-title":"Frontiers in Psychiatry","DOI":"10.3389/fpsyt.2020.576214","ISSN":"1664-0640","journalAbbreviation":"Front Psychiatry","language":"eng","page":"576214","PMID":"33262712","PMCID":"PMC7688511","source":"PubMed","title":"Adolescent Δ9-Tetrahydrocannabinol Exposure Selectively Impairs Working Memory but Not Several Other mPFC-Mediated Behaviors","volume":"11","author":[{"family":"Chen","given":"Han-Ting"},{"family":"Mackie","given":"Ken"}],"issued":{"date-parts":[["2020"]]}}},{"id":17915,"uris":["http://zotero.org/users/8613739/items/F8YCSQTW"],"itemData":{"id":17915,"type":"article-journal","abstract":"Worldwide, cannabis is one of the most widely used psychoactive substances and cannabis use has been implicated in poorer performance in several cognitive domains, including working memory (WM). However, the neural mechanisms underlying these WM decrements are not well understood and the current study investigated the association of cannabis involvement with WM performance and associated neural activation in the Human Connectome Project (N = 1038). Multiple indicators of cannabis involvement were examined in relation to behavioral performance and brain activity in a visual N-back task using functional magnetic resonance imaging. A positive urine drug screen for tetrahydocannabinol (THC+ status), the principal psychoactive constituent in cannabis, was associated with worse WM performance and differential brain response in areas previously linked to WM performance. Furthermore, decreases in blood-activation-level-dependent (BOLD) signal in WM task-positive brain regions and increases in task-negative regions mediated the relationship between THC+ status and WM performance. In contrast, WM performance and BOLD response during the N-back task were not associated with total lifetime cannabis use, age of first use, or other indicators of involvement, suggesting that the effects of cannabis on WM were short-term residual effects, rather than long-term persistent effects. These findings elucidate differential influences of cannabis involvement on neurocognition and have significant potential implications for occupational performance in diverse settings.","citation-key":"owensUrinaryTetrahydrocannabinolAssociated2019","container-title":"Neuropsychopharmacology","DOI":"10.1038/s41386-018-0240-4","ISSN":"1740-634X","issue":"3","journalAbbreviation":"Neuropsychopharmacol","language":"en","license":"2018 American College of Neuropsychopharmacology","page":"613-619","publisher":"Nature Publishing Group","source":"www.nature.com","title":"Urinary tetrahydrocannabinol is associated with poorer working memory performance and alterations in associated brain activity","volume":"44","author":[{"family":"Owens","given":"Max M."},{"family":"McNally","given":"Shannon"},{"family":"Petker","given":"Tashia"},{"family":"Amlung","given":"Michael T."},{"family":"Balodis","given":"Iris M."},{"family":"Sweet","given":"Lawrence H."},{"family":"MacKillop","given":"James"}],"issued":{"date-parts":[["2019",2]]}}},{"id":17917,"uris":["http://zotero.org/users/8613739/items/84Y3ZQBN"],"itemData":{"id":17917,"type":"article-journal","abstract":"This systematic review and meta-analysis investigates the association of cannabis with cognitive functioning in adolescents and young adults.","citation-key":"scottAssociationCannabisCognitive2018","container-title":"JAMA Psychiatry","DOI":"10.1001/jamapsychiatry.2018.0335","ISSN":"2168-622X","issue":"6","journalAbbreviation":"JAMA Psychiatry","page":"585-595","PMID":"29710074","PMCID":"PMC6137521","source":"PubMed Central","title":"Association of Cannabis With Cognitive Functioning in Adolescents and Young Adults","volume":"75","author":[{"family":"Scott","given":"J. Cobb"},{"family":"Slomiak","given":"Samantha T."},{"family":"Jones","given":"Jason D."},{"family":"Rosen","given":"Adon F. G."},{"family":"Moore","given":"Tyler M."},{"family":"Gur","given":"Ruben C."}],"issued":{"date-parts":[["2018",6]]}}}],"schema":"https://github.com/citation-style-language/schema/raw/master/csl-citation.json"} </w:instrText>
      </w:r>
      <w:r w:rsidR="00C0107C">
        <w:rPr>
          <w:rFonts w:ascii="Times New Roman" w:hAnsi="Times New Roman" w:cs="Times New Roman"/>
          <w:lang w:val="en-GB"/>
        </w:rPr>
        <w:fldChar w:fldCharType="separate"/>
      </w:r>
      <w:r w:rsidR="00B633EE" w:rsidRPr="00B633EE">
        <w:rPr>
          <w:rFonts w:ascii="Times New Roman" w:hAnsi="Times New Roman" w:cs="Times New Roman"/>
        </w:rPr>
        <w:t>(Chen &amp; Mackie, 2020; Owens et al., 2019; Scott et al., 2018)</w:t>
      </w:r>
      <w:r w:rsidR="00C0107C">
        <w:rPr>
          <w:rFonts w:ascii="Times New Roman" w:hAnsi="Times New Roman" w:cs="Times New Roman"/>
          <w:lang w:val="en-GB"/>
        </w:rPr>
        <w:fldChar w:fldCharType="end"/>
      </w:r>
      <w:r>
        <w:rPr>
          <w:rFonts w:ascii="Times New Roman" w:hAnsi="Times New Roman" w:cs="Times New Roman"/>
          <w:lang w:val="en-GB"/>
        </w:rPr>
        <w:t xml:space="preserve">. But why could it also lead to more frequent MB? Cannabis promotes a functional brain state of hyperconnectivity </w:t>
      </w:r>
      <w:r w:rsidR="00C0107C">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{"citationID":"a27dchkf9hr","properties":{"unsorted":false,"formattedCitation":"(Lege et al., 2025)","plainCitation":"(Lege et al., 2025)","noteIndex":0},"citationItems":[{"id":17919,"uris":["http://zotero.org/users/8613739/items/7M3QL3NL"],"itemData":{"id":17919,"type":"article-journal","abstract":"Background\nThe impact of acute cannabis exposure on brain function and cognitive performance varies among individuals. Acute effects of cannabis on behavior may be absent or benign in chronic users, while occasional users experience significant impairment in day-to-day operations. It is hypothesized that repeated cannabis use induces neuroadaptations leading to tolerance and desensitization, although the precise mechanisms underlying these adaptations remain unclear.\nMethods\nIn this study, we investigated acute and persistent effects of vaporized cannabis on brain dynamics in a placebo-controlled neuroimaging trial involving occasional (n = 23) and chronic (n = 20) cannabis users. Functional resting-state data were collected to assess dynamic functional connectivity changes during intoxication and their association with attentional performance and normative cannabinoid CB1 receptor density.\nResults\nCannabis intoxication induced significant acute alterations in the dynamics of brain network organization, as shown by a reduced occurrence of a hyperconnected brain state in both user groups. Chronic users also displayed decreased segregation of brain networks independent of treatment condition, suggesting persisting neuroadaptations. Dynamic reconfiguration of hyperconnected brain motifs correlated with attentional performance, which was most impaired in occasional users, indicating tolerance in chronic users. Both the acute and persistent effects of cannabis on dynamic brain state organization were significantly associated with spatial CB1 receptor density.\nConclusions\nAcute cannabis-induced cognitive impairment is influenced by (persistent) network reconfigurations and CB1 receptor density. These findings emphasize the relevance of neural dynamics and individual neuroadaptations to (prolonged) cannabis use when assessing the behavioral effects of cannabis in therapeutic, legal, and societal settings.","citation-key":"legeCannabisPerturbsDynamic2025","container-title":"Biological Psychiatry","DOI":"10.1016/j.biopsych.2025.10.015","ISSN":"0006-3223","journalAbbreviation":"Biological Psychiatry","source":"ScienceDirect","title":"Cannabis Perturbs Dynamic Brain States","URL":"https://www.sciencedirect.com/science/article/pii/S0006322325015355","author":[{"family":"Lege","given":"Katharina S."},{"family":"Mallaroni","given":"Pablo"},{"family":"Mortaheb","given":"Sepehr"},{"family":"Mason","given":"Natasha L."},{"family":"Theunissen","given":"Eef L."},{"family":"Tse","given":"Desmond H. Y."},{"family":"Toennes","given":"Stefan W."},{"family":"Demertzi","given":"Athena"},{"family":"Ramaekers","given":"Johannes G."}],"accessed":{"date-parts":[["2026",5,7]]},"issued":{"date-parts":[["2025",10,21]]}}}],"schema":"https://github.com/citation-style-language/schema/raw/master/csl-citation.json"} </w:instrText>
      </w:r>
      <w:r w:rsidR="00C0107C">
        <w:rPr>
          <w:rFonts w:ascii="Times New Roman" w:hAnsi="Times New Roman" w:cs="Times New Roman"/>
          <w:lang w:val="en-GB"/>
        </w:rPr>
        <w:fldChar w:fldCharType="separate"/>
      </w:r>
      <w:r w:rsidR="00B633EE" w:rsidRPr="00B633EE">
        <w:rPr>
          <w:rFonts w:ascii="Times New Roman" w:hAnsi="Times New Roman" w:cs="Times New Roman"/>
        </w:rPr>
        <w:t>(Lege et al., 2025)</w:t>
      </w:r>
      <w:r w:rsidR="00C0107C">
        <w:rPr>
          <w:rFonts w:ascii="Times New Roman" w:hAnsi="Times New Roman" w:cs="Times New Roman"/>
          <w:lang w:val="en-GB"/>
        </w:rPr>
        <w:fldChar w:fldCharType="end"/>
      </w:r>
      <w:r>
        <w:rPr>
          <w:rFonts w:ascii="Times New Roman" w:hAnsi="Times New Roman" w:cs="Times New Roman"/>
          <w:lang w:val="en-GB"/>
        </w:rPr>
        <w:t xml:space="preserve">, a sleep-like brain state that was previously related to </w:t>
      </w:r>
      <w:r w:rsidR="00C0107C">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{"citationID":"a1an7k49nno","properties":{"unsorted":false,"formattedCitation":"(Boulakis, Kusztor, et al., 2025; Mortaheb et al., 2022)","plainCitation":"(Boulakis, Kusztor, et al., 2025; Mortaheb et al., 2022)","noteIndex":0},"citationItems":[{"id":17569,"uris":["http://zotero.org/users/8613739/items/ALEP8YKX"],"itemData":{"id":17569,"type":"article","abstract":"Mind blanking (MB) is a mental state of seemingly no reportable thought content. The question of how we can entertain no thoughts while awake is challenging for the study of spontaneous thinking. By combining EEG-fMRI with experience sampling during task performance, we categorised changes in mental content and self-reported vigilance to map the neurophysiological signatures of MB. We demonstrate that fMRI connectivity around MB reports is characterised by a \"rich\" pattern of long and short-range signal anticorrelations. At the same time, sleepiness reports are linked to a \"simpler\" hyperconnected fMRI pattern, characterised by overall positive connectivity. Put together, an interaction appears: when people report being alert, connectomes around MB reports resemble the hyperconnected pattern, indicating that the neuronal correlates of MB depend on self-rated vigilance. The hyperconnected pattern also correlated with EEG slow wave activity, tying MB's topology to sleep-like electrophysiology during wakefulness. Collectively, we show that distinct cortical events underlie the shared phenomenology of a thought-free mind. We conclude that MB's neurophysiological correlates vary across perceived vigilance levels and that more refined characterisation of the neuronal correlates of thought-less mental states exist. Our findings build on the quest to bridge mental content and its absence with measurable brain activity and provide insights into how ongoing thinking is maintained during wakefulness.","citation-key":"boulakisDistinctCorticalProfiles2025","DOI":"10.1101/2025.10.14.681984","language":"en","license":"© 2025, Posted by Cold Spring Harbor Laboratory. This pre-print is available under a Creative Commons License (Attribution 4.0 International), CC BY 4.0, as described at http://creativecommons.org/licenses/by/4.0/","note":"ISSN: 2692-8205\npage: 2025.10.14.681984\nsection: New Results","publisher":"bioRxiv","source":"bioRxiv","title":"Distinct cortical profiles underlie the common reportability of thought-free experiences","URL":"https://www.biorxiv.org/content/10.1101/2025.10.14.681984v1","author":[{"family":"Boulakis","given":"Paradeisios Alexandros"},{"family":"Kusztor","given":"Anikó"},{"family":"Tsuchiya","given":"Naotsugu"},{"family":"Andrillon","given":"Thomas"},{"family":"Demertzi","given":"Athena"}],"accessed":{"date-parts":[["2025",10,15]]},"issued":{"date-parts":[["2025",10,15]]}}},{"id":15027,"uris":["http://zotero.org/users/8613739/items/8TT9V8WL"],"itemData":{"id":15027,"type":"article-journal","abstract":"Mind blanking (MB) is a waking state during which we do not report any mental content. The phenomenology of MB challenges the view of a constantly thinking mind. Here, we comprehensively characterize the MB’s neurobehavioral profile with the aim to delineate its role during ongoing mentation. Using functional MRI experience sampling, we show that the reportability of MB is less frequent, faster, and with lower transitional dynamics than other mental states, pointing to its role as a transient mental relay. Regarding its neural underpinnings, we observed higher global signal amplitude during MB reports, indicating a distinct physiological state. Using the time-varying functional connectome, we show that MB reports can be classified with high accuracy, suggesting that MB has a unique neural composition. Indeed, a pattern of global positive-phase coherence shows the highest similarity to the connectivity patterns associated with MB reports. We interpret this pattern’s rigid signal architecture as hindering content reportability due to the brain’s inability to differentiate signals in an informative way. Collectively, we show that MB has a unique neurobehavioral profile, indicating that nonreportable mental events can happen during wakefulness. Our results add to the characterization of spontaneous mentation and pave the way for more mechanistic investigations of MB’s phenomenology.","citation-key":"mortahebMindBlankingDistinct2022","container-title":"Proceedings of the National Academy of Sciences","DOI":"10.1073/pnas.2200511119","issue":"41","journalAbbreviation":"Proc Natl Acad Sci U S A","page":"e2200511119","publisher":"Proceedings of the National Academy of Sciences","source":"pnas.org (Atypon)","title":"Mind blanking is a distinct mental state linked to a recurrent brain profile of globally positive connectivity during ongoing mentation","volume":"119","author":[{"family":"Mortaheb","given":"Sepehr"},{"family":"Van Calster","given":"Laurens"},{"family":"Raimondo","given":"Federico"},{"family":"Klados","given":"Manousos A."},{"family":"Boulakis","given":"Paradeisios Alexandros"},{"family":"Georgoula","given":"Kleio"},{"family":"Majerus","given":"Steve"},{"family":"Van De Ville","given":"Dimitri"},{"family":"Demertzi","given":"Athena"}],"issued":{"date-parts":[["2022",10,11]]}}}],"schema":"https://github.com/citation-style-language/schema/raw/master/csl-citation.json"} </w:instrText>
      </w:r>
      <w:r w:rsidR="00C0107C">
        <w:rPr>
          <w:rFonts w:ascii="Times New Roman" w:hAnsi="Times New Roman" w:cs="Times New Roman"/>
          <w:lang w:val="en-GB"/>
        </w:rPr>
        <w:fldChar w:fldCharType="separate"/>
      </w:r>
      <w:r w:rsidR="00B633EE" w:rsidRPr="00B633EE">
        <w:rPr>
          <w:rFonts w:ascii="Times New Roman" w:hAnsi="Times New Roman" w:cs="Times New Roman"/>
        </w:rPr>
        <w:t>(Boulakis, Kusztor, et al., 2025; Mortaheb et al., 2022)</w:t>
      </w:r>
      <w:r w:rsidR="00C0107C">
        <w:rPr>
          <w:rFonts w:ascii="Times New Roman" w:hAnsi="Times New Roman" w:cs="Times New Roman"/>
          <w:lang w:val="en-GB"/>
        </w:rPr>
        <w:fldChar w:fldCharType="end"/>
      </w:r>
      <w:r>
        <w:rPr>
          <w:rFonts w:ascii="Times New Roman" w:hAnsi="Times New Roman" w:cs="Times New Roman"/>
          <w:lang w:val="en-GB"/>
        </w:rPr>
        <w:t xml:space="preserve">. By promoting more frequent </w:t>
      </w:r>
      <w:r>
        <w:rPr>
          <w:rFonts w:ascii="Times New Roman" w:hAnsi="Times New Roman" w:cs="Times New Roman"/>
          <w:lang w:val="en-GB"/>
        </w:rPr>
        <w:lastRenderedPageBreak/>
        <w:t xml:space="preserve">exploration of </w:t>
      </w:r>
      <w:r w:rsidR="009D1178">
        <w:rPr>
          <w:rFonts w:ascii="Times New Roman" w:hAnsi="Times New Roman" w:cs="Times New Roman"/>
          <w:lang w:val="en-GB"/>
        </w:rPr>
        <w:t>these brain states rather than</w:t>
      </w:r>
      <w:r>
        <w:rPr>
          <w:rFonts w:ascii="Times New Roman" w:hAnsi="Times New Roman" w:cs="Times New Roman"/>
          <w:lang w:val="en-GB"/>
        </w:rPr>
        <w:t xml:space="preserve"> the typical anticorrelations observed in wakefulness</w:t>
      </w:r>
      <w:r w:rsidR="00C0107C">
        <w:rPr>
          <w:rFonts w:ascii="Times New Roman" w:hAnsi="Times New Roman" w:cs="Times New Roman"/>
          <w:lang w:val="en-GB"/>
        </w:rPr>
        <w:t xml:space="preserve"> </w:t>
      </w:r>
      <w:r w:rsidR="00C0107C">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{"citationID":"a2b17t38vjd","properties":{"unsorted":false,"formattedCitation":"(Demertzi et al., 2019, 2022; Lege et al., 2025)","plainCitation":"(Demertzi et al., 2019, 2022; Lege et al., 2025)","noteIndex":0},"citationItems":[{"id":633,"uris":["http://zotero.org/users/8613739/items/VG74P4BX"],"itemData":{"id":633,"type":"article-journal","citation-key":"demertziHumanConsciousnessSupported2019","container-title":"Science Advances","DOI":"10.1126/sciadv.aat7603","issue":"2","journalAbbreviation":"Sci Adv","page":"eaat7603","publisher":"American Association for the Advancement of Science","source":"science.org (Atypon)","title":"Human consciousness is supported by dynamic complex patterns of brain signal coordination","volume":"5","author":[{"family":"Demertzi","given":"A."},{"family":"Tagliazucchi","given":"E."},{"family":"Dehaene","given":"S."},{"family":"Deco","given":"G."},{"family":"Barttfeld","given":"P."},{"family":"Raimondo","given":"F."},{"family":"Martial","given":"C."},{"family":"Fernández-Espejo","given":"D."},{"family":"Rohaut","given":"B."},{"family":"Voss","given":"H. U."},{"family":"Schiff","given":"N. D."},{"family":"Owen","given":"A. M."},{"family":"Laureys","given":"S."},{"family":"Naccache","given":"L."},{"family":"Sitt","given":"J. D."}],"issued":{"date-parts":[["2019",2,6]]}}},{"id":17,"uris":["http://zotero.org/users/8613739/items/8FEHYMHN"],"itemData":{"id":17,"type":"article-journal","abstract":"Spontaneous brain activity changes across states of consciousness. A particular consciousness-mediated configuration is the anticorrelations between the default mode network and other brain regions. What this antagonistic organization implies about consciousness to date remains inconclusive. In this Perspective Article, we propose that anticorrelations are the physiological expression of the concept of segregation, namely the brain’s capacity to show selectivity in the way areas will be functionally connected. We postulate that this effect is mediated by the process of neural inhibition, by regulating global and local inhibitory activity. While recognizing that this effect can also result from other mechanisms, neural inhibition helps the understanding of how network metastability is affected after disrupting local and global neural balance. In combination with relevant theories of consciousness, we suggest that anticorrelations are a physiological prior that can work as a marker of preserved consciousness. We predict that if the brain is not in a state to host anticorrelations, then most likely the individual does not entertain subjective experience. We believe that this link between anticorrelations and the underlying physiology will help not only to comprehend how consciousness happens, but also conceptualize effective interventions for treating consciousness disorders in which anticorrelations seem particularly affected.The fMRI resting paradigm can quantify brain function by surpassing communication and sophisticated setups, hence helping to infer consciousness in individuals who are unable to communicate with their environment. A particular consciousness-mediated rsfMRI configuration is that of functional anticorrelations, that is, the antagonistic relationship between a specific set of brain regions. We suggest that anticorrelations are a key physiological prior, without which consciousness cannot be supported, because the brain cannot segregate how regions get connected. We postulate that segregation is possible thanks to neural inhibition, by regulating global and local inhibitory activity. We believe that the link between anticorrelations and the underlying physiology can help not only to comprehend how consciousness happens, but also conceptualize effective interventions for treating its disorders.","citation-key":"demertziFunctionalNetworkAntagonism2022","container-title":"Network Neuroscience","DOI":"10.1162/netn_a_00244","ISSN":"2472-1751","issue":"4","journalAbbreviation":"Netw. Neurosci","page":"998-1009","source":"Silverchair","title":"Functional network antagonism and consciousness","volume":"6","author":[{"family":"Demertzi","given":"Athena"},{"family":"Kucyi","given":"Aaron"},{"family":"Ponce-Alvarez","given":"Adrián"},{"family":"Keliris","given":"Georgios A."},{"family":"Whitfield-Gabrieli","given":"Susan"},{"family":"Deco","given":"Gustavo"}],"issued":{"date-parts":[["2022",10,1]]}}},{"id":17919,"uris":["http://zotero.org/users/8613739/items/7M3QL3NL"],"itemData":{"id":17919,"type":"article-journal","abstract":"Background\nThe impact of acute cannabis exposure on brain function and cognitive performance varies among individuals. Acute effects of cannabis on behavior may be absent or benign in chronic users, while occasional users experience significant impairment in day-to-day operations. It is hypothesized that repeated cannabis use induces neuroadaptations leading to tolerance and desensitization, although the precise mechanisms underlying these adaptations remain unclear.\nMethods\nIn this study, we investigated acute and persistent effects of vaporized cannabis on brain dynamics in a placebo-controlled neuroimaging trial involving occasional (n = 23) and chronic (n = 20) cannabis users. Functional resting-state data were collected to assess dynamic functional connectivity changes during intoxication and their association with attentional performance and normative cannabinoid CB1 receptor density.\nResults\nCannabis intoxication induced significant acute alterations in the dynamics of brain network organization, as shown by a reduced occurrence of a hyperconnected brain state in both user groups. Chronic users also displayed decreased segregation of brain networks independent of treatment condition, suggesting persisting neuroadaptations. Dynamic reconfiguration of hyperconnected brain motifs correlated with attentional performance, which was most impaired in occasional users, indicating tolerance in chronic users. Both the acute and persistent effects of cannabis on dynamic brain state organization were significantly associated with spatial CB1 receptor density.\nConclusions\nAcute cannabis-induced cognitive impairment is influenced by (persistent) network reconfigurations and CB1 receptor density. These findings emphasize the relevance of neural dynamics and individual neuroadaptations to (prolonged) cannabis use when assessing the behavioral effects of cannabis in therapeutic, legal, and societal settings.","citation-key":"legeCannabisPerturbsDynamic2025","container-title":"Biological Psychiatry","DOI":"10.1016/j.biopsych.2025.10.015","ISSN":"0006-3223","journalAbbreviation":"Biological Psychiatry","source":"ScienceDirect","title":"Cannabis Perturbs Dynamic Brain States","URL":"https://www.sciencedirect.com/science/article/pii/S0006322325015355","author":[{"family":"Lege","given":"Katharina S."},{"family":"Mallaroni","given":"Pablo"},{"family":"Mortaheb","given":"Sepehr"},{"family":"Mason","given":"Natasha L."},{"family":"Theunissen","given":"Eef L."},{"family":"Tse","given":"Desmond H. Y."},{"family":"Toennes","given":"Stefan W."},{"family":"Demertzi","given":"Athena"},{"family":"Ramaekers","given":"Johannes G."}],"accessed":{"date-parts":[["2026",5,7]]},"issued":{"date-parts":[["2025",10,21]]}}}],"schema":"https://github.com/citation-style-language/schema/raw/master/csl-citation.json"} </w:instrText>
      </w:r>
      <w:r w:rsidR="00C0107C">
        <w:rPr>
          <w:rFonts w:ascii="Times New Roman" w:hAnsi="Times New Roman" w:cs="Times New Roman"/>
          <w:lang w:val="en-GB"/>
        </w:rPr>
        <w:fldChar w:fldCharType="separate"/>
      </w:r>
      <w:r w:rsidR="00B633EE" w:rsidRPr="00B633EE">
        <w:rPr>
          <w:rFonts w:ascii="Times New Roman" w:hAnsi="Times New Roman" w:cs="Times New Roman"/>
        </w:rPr>
        <w:t>(Demertzi et al., 2019, 2022; Lege et al., 2025)</w:t>
      </w:r>
      <w:r w:rsidR="00C0107C">
        <w:rPr>
          <w:rFonts w:ascii="Times New Roman" w:hAnsi="Times New Roman" w:cs="Times New Roman"/>
          <w:lang w:val="en-GB"/>
        </w:rPr>
        <w:fldChar w:fldCharType="end"/>
      </w:r>
      <w:r>
        <w:rPr>
          <w:rFonts w:ascii="Times New Roman" w:hAnsi="Times New Roman" w:cs="Times New Roman"/>
          <w:lang w:val="en-GB"/>
        </w:rPr>
        <w:t xml:space="preserve">, we speculate that this might lead to more frequent MB. </w:t>
      </w:r>
      <w:r w:rsidR="000E7846">
        <w:rPr>
          <w:rFonts w:ascii="Times New Roman" w:hAnsi="Times New Roman" w:cs="Times New Roman"/>
          <w:lang w:val="en-GB"/>
        </w:rPr>
        <w:t xml:space="preserve">On the </w:t>
      </w:r>
      <w:r w:rsidR="008D691F">
        <w:rPr>
          <w:rFonts w:ascii="Times New Roman" w:hAnsi="Times New Roman" w:cs="Times New Roman"/>
          <w:lang w:val="en-GB"/>
        </w:rPr>
        <w:t>phenomenological</w:t>
      </w:r>
      <w:r w:rsidR="000E7846">
        <w:rPr>
          <w:rFonts w:ascii="Times New Roman" w:hAnsi="Times New Roman" w:cs="Times New Roman"/>
          <w:lang w:val="en-GB"/>
        </w:rPr>
        <w:t xml:space="preserve"> level, this suggests that TCH would</w:t>
      </w:r>
      <w:r w:rsidR="008D691F">
        <w:rPr>
          <w:rFonts w:ascii="Times New Roman" w:hAnsi="Times New Roman" w:cs="Times New Roman"/>
          <w:lang w:val="en-GB"/>
        </w:rPr>
        <w:t xml:space="preserve"> </w:t>
      </w:r>
      <w:r w:rsidR="000E7846">
        <w:rPr>
          <w:rFonts w:ascii="Times New Roman" w:hAnsi="Times New Roman" w:cs="Times New Roman"/>
          <w:lang w:val="en-GB"/>
        </w:rPr>
        <w:t xml:space="preserve">lead </w:t>
      </w:r>
      <w:r w:rsidR="008D691F">
        <w:rPr>
          <w:rFonts w:ascii="Times New Roman" w:hAnsi="Times New Roman" w:cs="Times New Roman"/>
          <w:lang w:val="en-GB"/>
        </w:rPr>
        <w:t xml:space="preserve">to altered arousal, which in turn would lead to increased MB report frequency. </w:t>
      </w:r>
      <w:r>
        <w:rPr>
          <w:rFonts w:ascii="Times New Roman" w:hAnsi="Times New Roman" w:cs="Times New Roman"/>
          <w:lang w:val="en-GB"/>
        </w:rPr>
        <w:t>Therefore, we tested whether we could obtain evidence that this study was distinct from our baseline model. Although the posterior distribution shifted toward more frequent MB reports,</w:t>
      </w:r>
      <w:r w:rsidR="00C0107C">
        <w:rPr>
          <w:rFonts w:ascii="Times New Roman" w:hAnsi="Times New Roman" w:cs="Times New Roman"/>
          <w:lang w:val="en-GB"/>
        </w:rPr>
        <w:t xml:space="preserve"> </w:t>
      </w:r>
      <w:r w:rsidR="009D1178">
        <w:rPr>
          <w:rFonts w:ascii="Times New Roman" w:hAnsi="Times New Roman" w:cs="Times New Roman"/>
          <w:lang w:val="en-GB"/>
        </w:rPr>
        <w:t>because it was based solely on</w:t>
      </w:r>
      <w:r w:rsidR="00C0107C">
        <w:rPr>
          <w:rFonts w:ascii="Times New Roman" w:hAnsi="Times New Roman" w:cs="Times New Roman"/>
          <w:lang w:val="en-GB"/>
        </w:rPr>
        <w:t xml:space="preserve"> one study, it</w:t>
      </w:r>
      <w:r>
        <w:rPr>
          <w:rFonts w:ascii="Times New Roman" w:hAnsi="Times New Roman" w:cs="Times New Roman"/>
          <w:lang w:val="en-GB"/>
        </w:rPr>
        <w:t xml:space="preserve"> was too wide to provide evidence for an effect. However, </w:t>
      </w:r>
      <w:r w:rsidR="00514121" w:rsidRPr="00514121">
        <w:rPr>
          <w:rFonts w:ascii="Times New Roman" w:hAnsi="Times New Roman" w:cs="Times New Roman"/>
          <w:lang w:val="en-GB"/>
        </w:rPr>
        <w:t xml:space="preserve">administrating </w:t>
      </w:r>
      <w:r>
        <w:rPr>
          <w:rFonts w:ascii="Times New Roman" w:hAnsi="Times New Roman" w:cs="Times New Roman"/>
          <w:lang w:val="en-GB"/>
        </w:rPr>
        <w:t xml:space="preserve">THC to alter the stream of thought towards more frequent MB is an interesting </w:t>
      </w:r>
      <w:r w:rsidR="00CA0C43">
        <w:rPr>
          <w:rFonts w:ascii="Times New Roman" w:hAnsi="Times New Roman" w:cs="Times New Roman"/>
          <w:lang w:val="en-GB"/>
        </w:rPr>
        <w:t>prospect</w:t>
      </w:r>
      <w:r>
        <w:rPr>
          <w:rFonts w:ascii="Times New Roman" w:hAnsi="Times New Roman" w:cs="Times New Roman"/>
          <w:lang w:val="en-GB"/>
        </w:rPr>
        <w:t xml:space="preserve">. </w:t>
      </w:r>
    </w:p>
    <w:p w14:paraId="4790F817" w14:textId="157D5B06" w:rsidR="008F5DA6" w:rsidRDefault="00C0107C" w:rsidP="00B41C78">
      <w:pPr>
        <w:spacing w:line="360" w:lineRule="auto"/>
        <w:ind w:firstLine="720"/>
        <w:jc w:val="both"/>
      </w:pPr>
      <w:r>
        <w:rPr>
          <w:rFonts w:ascii="Times New Roman" w:hAnsi="Times New Roman" w:cs="Times New Roman"/>
          <w:lang w:val="en-GB"/>
        </w:rPr>
        <w:t>The present meta-analysis and review focused primarily on probe-caught experience-sampling</w:t>
      </w:r>
      <w:r w:rsidR="00B41C78">
        <w:rPr>
          <w:rFonts w:ascii="Times New Roman" w:hAnsi="Times New Roman" w:cs="Times New Roman"/>
          <w:lang w:val="en-GB"/>
        </w:rPr>
        <w:t>, yet MB has been examined using other experience-sampling paradigms</w:t>
      </w:r>
      <w:r>
        <w:rPr>
          <w:rFonts w:ascii="Times New Roman" w:hAnsi="Times New Roman" w:cs="Times New Roman"/>
          <w:lang w:val="en-GB"/>
        </w:rPr>
        <w:t xml:space="preserve">. An alternative approach is self-caught </w:t>
      </w:r>
      <w:r w:rsidR="00B41C78">
        <w:rPr>
          <w:rFonts w:ascii="Times New Roman" w:hAnsi="Times New Roman" w:cs="Times New Roman"/>
          <w:lang w:val="en-GB"/>
        </w:rPr>
        <w:t>reports</w:t>
      </w:r>
      <w:r>
        <w:rPr>
          <w:rFonts w:ascii="Times New Roman" w:hAnsi="Times New Roman" w:cs="Times New Roman"/>
          <w:lang w:val="en-GB"/>
        </w:rPr>
        <w:t xml:space="preserve">. During self-caught experience-sampling, participants are requested to monitor their stream of thought and report any instances of the requested mental state. In a series of studies, Ward and Wegner </w:t>
      </w:r>
      <w:r w:rsidR="00B41C78">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hkmnfg4qs","properties":{"unsorted":false,"formattedCitation":"(2013)","plainCitation":"(2013)","noteIndex":0},"citationItems":[{"id":5027,"uris":["http://zotero.org/users/8613739/items/3NSFSNMY"],"itemData":{"id":5027,"type":"article-journal","citation-key":"wardMindblankingWhenMind2013","container-title":"Frontiers in Psychology","DOI":"10.3389/fpsyg.2013.00650","page":"650","title":"Mind-blanking: when the mind goes away","volume":"4","author":[{"family":"Ward","given":"Adrian"},{"family":"Wegner","given":"Daniel"}],"issued":{"date-parts":[["2013"]]}},"suppress-author":true}],"schema":"https://github.com/citation-style-language/schema/raw/master/csl-citation.json"} </w:instrText>
      </w:r>
      <w:r w:rsidR="00B41C78">
        <w:rPr>
          <w:rFonts w:ascii="Times New Roman" w:hAnsi="Times New Roman" w:cs="Times New Roman"/>
          <w:lang w:val="en-GB"/>
        </w:rPr>
        <w:fldChar w:fldCharType="separate"/>
      </w:r>
      <w:r w:rsidR="00B633EE" w:rsidRPr="00B633EE">
        <w:rPr>
          <w:rFonts w:ascii="Times New Roman" w:hAnsi="Times New Roman" w:cs="Times New Roman"/>
        </w:rPr>
        <w:t>(2013)</w:t>
      </w:r>
      <w:r w:rsidR="00B41C78">
        <w:rPr>
          <w:rFonts w:ascii="Times New Roman" w:hAnsi="Times New Roman" w:cs="Times New Roman"/>
          <w:lang w:val="en-GB"/>
        </w:rPr>
        <w:fldChar w:fldCharType="end"/>
      </w:r>
      <w:r w:rsidR="00B41C78">
        <w:rPr>
          <w:rFonts w:ascii="Times New Roman" w:hAnsi="Times New Roman" w:cs="Times New Roman"/>
          <w:lang w:val="en-GB"/>
        </w:rPr>
        <w:t xml:space="preserve"> </w:t>
      </w:r>
      <w:r>
        <w:rPr>
          <w:rFonts w:ascii="Times New Roman" w:hAnsi="Times New Roman" w:cs="Times New Roman"/>
          <w:lang w:val="en-GB"/>
        </w:rPr>
        <w:t xml:space="preserve">found that the ratio of self-caught to probe-caught instances is greater for MB than for mind-wandering. </w:t>
      </w:r>
      <w:r w:rsidR="00B41C78">
        <w:rPr>
          <w:rFonts w:ascii="Times New Roman" w:hAnsi="Times New Roman" w:cs="Times New Roman"/>
          <w:lang w:val="en-GB"/>
        </w:rPr>
        <w:t>It</w:t>
      </w:r>
      <w:r>
        <w:rPr>
          <w:rFonts w:ascii="Times New Roman" w:hAnsi="Times New Roman" w:cs="Times New Roman"/>
          <w:lang w:val="en-GB"/>
        </w:rPr>
        <w:t xml:space="preserve"> might be the case that MB is self-caught more easily than other mental states, as it represents a </w:t>
      </w:r>
      <w:r w:rsidR="009D1178">
        <w:rPr>
          <w:rFonts w:ascii="Times New Roman" w:hAnsi="Times New Roman" w:cs="Times New Roman"/>
          <w:lang w:val="en-GB"/>
        </w:rPr>
        <w:t>stark decoupling of awareness from</w:t>
      </w:r>
      <w:r>
        <w:rPr>
          <w:rFonts w:ascii="Times New Roman" w:hAnsi="Times New Roman" w:cs="Times New Roman"/>
          <w:lang w:val="en-GB"/>
        </w:rPr>
        <w:t xml:space="preserve"> perception. This implies that it is easier to become metacognitively aware of MB than of other mental states. Another experience-sampling design associated with more retrospective MB is the thinking-aloud paradigm. Garg et al. </w:t>
      </w:r>
      <w:r w:rsidR="00B41C78">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{"citationID":"a23opfb1lin","properties":{"unsorted":false,"formattedCitation":"(2025)","plainCitation":"(2025)","noteIndex":0},"citationItems":[{"id":5556,"uris":["http://zotero.org/users/8613739/items/UAA36AW4"],"itemData":{"id":5556,"type":"article-journal","abstract":"Asking participants to Think Aloud is a common method for studying conscious experience, but it remains unclear whether this approach alters thought qualities—such as meta-awareness, rate of topic shifts, or the content of thoughts in task-absent conditions. To investigate this, we conducted two studies comparing thinking aloud to thinking silently. In Study 1, 111 participants alternated between 15-minute intervals of verbalizing and silently reflecting on their stream of consciousness in a counterbalanced design. A subset also reported topic shifts intermittently via self- and probe-catching methods. Results showed that the stream of consciousness was minimally reactive to the Think Aloud protocol, with no significant differences in meta-awareness and topic shifting rates. Moreover, among 21 thought qualities and 18 content topics analyzed, only three qualities (private thoughts, mind blanking, and session difficulty) and one topic (partner, intimacy, love, and sexual matters) differed between Think Aloud and Silent Think. In Study 2, 102 participants either did Think Aloud or Silent Think while responding to thought probes. Findings replicated the lack of differences in the frequency and meta-awareness of topic shifts between Think Aloud and Silent Think. Furthermore, no differences in reported cognitive load were observed between the two conditions. These results emphasize the value of the Think Aloud procedure for examining the stream of consciousness, demonstrating its reliability and minimal impact on the natural flow of thoughts. Thus, Think Aloud offers a robust model system for examining the otherwise unverbalized stream of consciousness in task-absent contexts.","citation-key":"gargOpeningBlackBox2025","container-title":"Consciousness and Cognition","DOI":"10.1016/j.concog.2025.103815","ISSN":"1053-8100","journalAbbreviation":"Consciousness and Cognition","page":"103815","source":"ScienceDirect","title":"Opening the black box: Think Aloud as a method to study the spontaneous stream of consciousness","title-short":"Opening the black box","volume":"128","author":[{"family":"Garg","given":"Anusha"},{"family":"Shelat","given":"Shivang"},{"family":"Gross","given":"Madeleine E."},{"family":"Smallwood","given":"Jonathan"},{"family":"Seli","given":"Paul"},{"family":"Taxali","given":"Aman"},{"family":"Sripada","given":"Chandra S."},{"family":"Schooler","given":"Jonathan W."}],"issued":{"date-parts":[["2025",2,1]]}},"suppress-author":true}],"schema":"https://github.com/citation-style-language/schema/raw/master/csl-citation.json"} </w:instrText>
      </w:r>
      <w:r w:rsidR="00B41C78">
        <w:rPr>
          <w:rFonts w:ascii="Times New Roman" w:hAnsi="Times New Roman" w:cs="Times New Roman"/>
          <w:lang w:val="en-GB"/>
        </w:rPr>
        <w:fldChar w:fldCharType="separate"/>
      </w:r>
      <w:r w:rsidR="00B633EE" w:rsidRPr="00B633EE">
        <w:rPr>
          <w:rFonts w:ascii="Times New Roman" w:hAnsi="Times New Roman" w:cs="Times New Roman"/>
        </w:rPr>
        <w:t>(2025)</w:t>
      </w:r>
      <w:r w:rsidR="00B41C78">
        <w:rPr>
          <w:rFonts w:ascii="Times New Roman" w:hAnsi="Times New Roman" w:cs="Times New Roman"/>
          <w:lang w:val="en-GB"/>
        </w:rPr>
        <w:fldChar w:fldCharType="end"/>
      </w:r>
      <w:r w:rsidR="00B41C78">
        <w:rPr>
          <w:rFonts w:ascii="Times New Roman" w:hAnsi="Times New Roman" w:cs="Times New Roman"/>
          <w:lang w:val="en-GB"/>
        </w:rPr>
        <w:t xml:space="preserve"> </w:t>
      </w:r>
      <w:r>
        <w:rPr>
          <w:rFonts w:ascii="Times New Roman" w:hAnsi="Times New Roman" w:cs="Times New Roman"/>
          <w:lang w:val="en-GB"/>
        </w:rPr>
        <w:t xml:space="preserve">found that individuals retrospectively evaluated a thinking-aloud session as containing more MB compared to a silent-thinking session. A potential explanation is that the thinking-aloud condition demanded greater meta-awareness of the stream of thought, </w:t>
      </w:r>
      <w:r w:rsidR="009D1178">
        <w:rPr>
          <w:rFonts w:ascii="Times New Roman" w:hAnsi="Times New Roman" w:cs="Times New Roman"/>
          <w:lang w:val="en-GB"/>
        </w:rPr>
        <w:t xml:space="preserve">thereby increasing the saliency of the </w:t>
      </w:r>
      <w:r>
        <w:rPr>
          <w:rFonts w:ascii="Times New Roman" w:hAnsi="Times New Roman" w:cs="Times New Roman"/>
          <w:lang w:val="en-GB"/>
        </w:rPr>
        <w:t xml:space="preserve">MB reported. However, this interpretation seems unlikely, given that thinking-aloud and silent-thinking do not present stark phenomenological and meta-awareness differences </w:t>
      </w:r>
      <w:r w:rsidR="00B41C78">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{"citationID":"a1qptqhh7pr","properties":{"unsorted":false,"formattedCitation":"(Garg et al., 2025; Gilles et al., 2025)","plainCitation":"(Garg et al., 2025; Gilles et al., 2025)","noteIndex":0},"citationItems":[{"id":5556,"uris":["http://zotero.org/users/8613739/items/UAA36AW4"],"itemData":{"id":5556,"type":"article-journal","abstract":"Asking participants to Think Aloud is a common method for studying conscious experience, but it remains unclear whether this approach alters thought qualities—such as meta-awareness, rate of topic shifts, or the content of thoughts in task-absent conditions. To investigate this, we conducted two studies comparing thinking aloud to thinking silently. In Study 1, 111 participants alternated between 15-minute intervals of verbalizing and silently reflecting on their stream of consciousness in a counterbalanced design. A subset also reported topic shifts intermittently via self- and probe-catching methods. Results showed that the stream of consciousness was minimally reactive to the Think Aloud protocol, with no significant differences in meta-awareness and topic shifting rates. Moreover, among 21 thought qualities and 18 content topics analyzed, only three qualities (private thoughts, mind blanking, and session difficulty) and one topic (partner, intimacy, love, and sexual matters) differed between Think Aloud and Silent Think. In Study 2, 102 participants either did Think Aloud or Silent Think while responding to thought probes. Findings replicated the lack of differences in the frequency and meta-awareness of topic shifts between Think Aloud and Silent Think. Furthermore, no differences in reported cognitive load were observed between the two conditions. These results emphasize the value of the Think Aloud procedure for examining the stream of consciousness, demonstrating its reliability and minimal impact on the natural flow of thoughts. Thus, Think Aloud offers a robust model system for examining the otherwise unverbalized stream of consciousness in task-absent contexts.","citation-key":"gargOpeningBlackBox2025","container-title":"Consciousness and Cognition","DOI":"10.1016/j.concog.2025.103815","ISSN":"1053-8100","journalAbbreviation":"Consciousness and Cognition","page":"103815","source":"ScienceDirect","title":"Opening the black box: Think Aloud as a method to study the spontaneous stream of consciousness","title-short":"Opening the black box","volume":"128","author":[{"family":"Garg","given":"Anusha"},{"family":"Shelat","given":"Shivang"},{"family":"Gross","given":"Madeleine E."},{"family":"Smallwood","given":"Jonathan"},{"family":"Seli","given":"Paul"},{"family":"Taxali","given":"Aman"},{"family":"Sripada","given":"Chandra S."},{"family":"Schooler","given":"Jonathan W."}],"issued":{"date-parts":[["2025",2,1]]}}},{"id":17742,"uris":["http://zotero.org/users/8613739/items/VDGGJBSB"],"itemData":{"id":17742,"type":"article-journal","abstract":"A hallmark of the human mind is its tendency to generate spontaneous thoughts, whether during tasks or in idle moments. This phenomenon is typically studied in the laboratory using the Thought-Probe Protocol (TPP), in which participants report the content of their thoughts when prompted at various intervals. Although well validated, the TPP nonetheless suffers from several limitations, such as its inability to track the flow of thoughts between probes. To address these issues, researchers have recently revisited the Think-Aloud Protocol (TAP), which involves the continuous verbalization of spontaneous thoughts. While the TAP offers access to the ongoing flow of thoughts, its validity relative to other methods has not yet been fully established. In this study, we compared four methods for assessing spontaneous thoughts: the TAP, TPP, Daily Life Experience Sampling Protocol (DLESP), and retrospective thought listing. We focused on the phenomenological characteristics of thoughts and features that predicted their recall after a one-day delay. Our results revealed minimal differences between the TAP and TPP in terms of thought characteristics and memory predictors. However, thoughts reported with these two methods differed from those assessed more ecologically with the DLESP, and certain thought features were overrepresented in retrospective thought listing. Overall, our findings suggest that the TAP is as valid as the TPP for investigating spontaneous thought, although thought characteristics may differ between laboratory and real-world settings. They also suggest that concurrent reporting methods, such as the TAP and TPP, provide a more representative view of spontaneous thought features than retrospective assessments.","citation-key":"gillesValidityThinkaloudProcedure2025","container-title":"Consciousness and Cognition","DOI":"10.1016/j.concog.2025.103910","ISSN":"1090-2376","journalAbbreviation":"Conscious Cogn","language":"eng","page":"103910","PMID":"40753816","source":"PubMed","title":"Validity of the think-aloud procedure in comparison to other methods for studying the phenomenological features and memory of spontaneous thought","volume":"134","author":[{"family":"Gilles","given":"Arya"},{"family":"Panneels","given":"Gaëlle"},{"family":"D'Argembeau","given":"Arnaud"},{"family":"Stawarczyk","given":"David"}],"issued":{"date-parts":[["2025",9]]}}}],"schema":"https://github.com/citation-style-language/schema/raw/master/csl-citation.json"} </w:instrText>
      </w:r>
      <w:r w:rsidR="00B41C78">
        <w:rPr>
          <w:rFonts w:ascii="Times New Roman" w:hAnsi="Times New Roman" w:cs="Times New Roman"/>
          <w:lang w:val="en-GB"/>
        </w:rPr>
        <w:fldChar w:fldCharType="separate"/>
      </w:r>
      <w:r w:rsidR="00B633EE" w:rsidRPr="00B633EE">
        <w:rPr>
          <w:rFonts w:ascii="Times New Roman" w:hAnsi="Times New Roman" w:cs="Times New Roman"/>
        </w:rPr>
        <w:t>(Garg et al., 2025; Gilles et al., 2025)</w:t>
      </w:r>
      <w:r w:rsidR="00B41C78">
        <w:rPr>
          <w:rFonts w:ascii="Times New Roman" w:hAnsi="Times New Roman" w:cs="Times New Roman"/>
          <w:lang w:val="en-GB"/>
        </w:rPr>
        <w:fldChar w:fldCharType="end"/>
      </w:r>
      <w:r>
        <w:rPr>
          <w:rFonts w:ascii="Times New Roman" w:hAnsi="Times New Roman" w:cs="Times New Roman"/>
          <w:lang w:val="en-GB"/>
        </w:rPr>
        <w:t xml:space="preserve">. Therefore, a more likely alternative explanation to this increase is that MB reflects moments of inability to verbalise, rather than bring forth mental content, generated by the </w:t>
      </w:r>
      <w:r w:rsidR="00C727E7">
        <w:rPr>
          <w:rFonts w:ascii="Times New Roman" w:hAnsi="Times New Roman" w:cs="Times New Roman"/>
          <w:lang w:val="en-GB"/>
        </w:rPr>
        <w:t>constant</w:t>
      </w:r>
      <w:r>
        <w:rPr>
          <w:rFonts w:ascii="Times New Roman" w:hAnsi="Times New Roman" w:cs="Times New Roman"/>
          <w:lang w:val="en-GB"/>
        </w:rPr>
        <w:t xml:space="preserve"> pressure </w:t>
      </w:r>
      <w:r w:rsidR="00C727E7">
        <w:rPr>
          <w:rFonts w:ascii="Times New Roman" w:hAnsi="Times New Roman" w:cs="Times New Roman"/>
          <w:lang w:val="en-GB"/>
        </w:rPr>
        <w:t>to produce content in thinking-aloud settings</w:t>
      </w:r>
      <w:r>
        <w:rPr>
          <w:rFonts w:ascii="Times New Roman" w:hAnsi="Times New Roman" w:cs="Times New Roman"/>
          <w:lang w:val="en-GB"/>
        </w:rPr>
        <w:t>.</w:t>
      </w:r>
    </w:p>
    <w:p w14:paraId="24296B84" w14:textId="02C68001" w:rsidR="00D9567D" w:rsidRDefault="00FB05D1" w:rsidP="00D9567D">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Another line of MB research relies on </w:t>
      </w:r>
      <w:r w:rsidR="00CE2044">
        <w:rPr>
          <w:rFonts w:ascii="Times New Roman" w:hAnsi="Times New Roman" w:cs="Times New Roman"/>
          <w:lang w:val="en-GB"/>
        </w:rPr>
        <w:t>self-evaluating questionnaires</w:t>
      </w:r>
      <w:r>
        <w:rPr>
          <w:rFonts w:ascii="Times New Roman" w:hAnsi="Times New Roman" w:cs="Times New Roman"/>
          <w:lang w:val="en-GB"/>
        </w:rPr>
        <w:t xml:space="preserve"> rather than experience-sampling reports </w:t>
      </w:r>
      <w:r w:rsidR="00B41C78">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{"citationID":"ani0a70518","properties":{"unsorted":false,"formattedCitation":"(Andrillon et al., 2025)","plainCitation":"(Andrillon et al., 2025)","noteIndex":0},"citationItems":[{"id":8371,"uris":["http://zotero.org/users/8613739/items/QDYKQMGT"],"itemData":{"id":8371,"type":"article-journal","abstract":"Ongoing experience comes in shades with varying richness of mental content. Mind blanking (MB) implies that there can be moments that are seemingly devoid of mental content. MB is gaining attention as a reportable mental state. The multiple definitions it has received point to its current conceptual and methodological ambiguities. MB may be phenomenologically diverse – different types can bear similarities and differences to 'empty minds', such as during meditative practices and sleep (white dreams). MB reports have distinguishable neurobehavioral profiles, pointing to arousal as a key foundational backbone for MB reportability. We propose a mechanistic account in which MB is the end-result of physiological, neural, and cognitive changes, which provides insights for future empirical and phenomenological research of MB. During wakefulness, our thoughts transition between different contents. However, there are moments that are seemingly devoid of reportable content, referred to as mind","citation-key":"andrillonWhereMyMind2025","container-title":"Trends in Cognitive Sciences","ISSN":"1364-6613","issue":"7","page":"600-613","title":"Where is my mind? A neurocognitive investigation of mind blanking.","volume":"29","author":[{"family":"Andrillon","given":"Thomas"},{"family":"Lutz","given":"Antoine"},{"family":"Windt","given":"Jennifer"},{"family":"Demertzi","given":"Athena"}],"issued":{"date-parts":[["2025"]]}}}],"schema":"https://github.com/citation-style-language/schema/raw/master/csl-citation.json"} </w:instrText>
      </w:r>
      <w:r w:rsidR="00B41C78">
        <w:rPr>
          <w:rFonts w:ascii="Times New Roman" w:hAnsi="Times New Roman" w:cs="Times New Roman"/>
        </w:rPr>
        <w:fldChar w:fldCharType="separate"/>
      </w:r>
      <w:r w:rsidR="00B633EE" w:rsidRPr="00B633EE">
        <w:rPr>
          <w:rFonts w:ascii="Times New Roman" w:hAnsi="Times New Roman" w:cs="Times New Roman"/>
        </w:rPr>
        <w:t>(Andrillon et al., 2025)</w:t>
      </w:r>
      <w:r w:rsidR="00B41C78">
        <w:rPr>
          <w:rFonts w:ascii="Times New Roman" w:hAnsi="Times New Roman" w:cs="Times New Roman"/>
        </w:rPr>
        <w:fldChar w:fldCharType="end"/>
      </w:r>
      <w:r w:rsidR="00B41C78">
        <w:rPr>
          <w:rFonts w:ascii="Times New Roman" w:hAnsi="Times New Roman" w:cs="Times New Roman"/>
        </w:rPr>
        <w:t>.</w:t>
      </w:r>
      <w:r w:rsidR="00627D76">
        <w:rPr>
          <w:rFonts w:ascii="Times New Roman" w:hAnsi="Times New Roman" w:cs="Times New Roman"/>
        </w:rPr>
        <w:t xml:space="preserve"> </w:t>
      </w:r>
      <w:r w:rsidR="00627D76" w:rsidRPr="00627D76">
        <w:rPr>
          <w:rFonts w:ascii="Times New Roman" w:hAnsi="Times New Roman" w:cs="Times New Roman"/>
        </w:rPr>
        <w:t xml:space="preserve">In doing so, they describe MB at the trait level, offering a dispositional account of </w:t>
      </w:r>
      <w:r w:rsidR="00F6594B">
        <w:rPr>
          <w:rFonts w:ascii="Times New Roman" w:hAnsi="Times New Roman" w:cs="Times New Roman"/>
        </w:rPr>
        <w:t>MB</w:t>
      </w:r>
      <w:r w:rsidR="00627D76" w:rsidRPr="00627D76">
        <w:rPr>
          <w:rFonts w:ascii="Times New Roman" w:hAnsi="Times New Roman" w:cs="Times New Roman"/>
        </w:rPr>
        <w:t>.</w:t>
      </w:r>
      <w:r w:rsidR="00627D76">
        <w:rPr>
          <w:rFonts w:ascii="Times New Roman" w:hAnsi="Times New Roman" w:cs="Times New Roman"/>
        </w:rPr>
        <w:t xml:space="preserve"> </w:t>
      </w:r>
      <w:r>
        <w:rPr>
          <w:rFonts w:ascii="Times New Roman" w:hAnsi="Times New Roman" w:cs="Times New Roman"/>
          <w:lang w:val="en-GB"/>
        </w:rPr>
        <w:t>Some of these instruments are designed to map individuals’</w:t>
      </w:r>
      <w:r w:rsidR="00FF5A8B">
        <w:rPr>
          <w:rFonts w:ascii="Times New Roman" w:hAnsi="Times New Roman" w:cs="Times New Roman"/>
          <w:lang w:val="en-GB"/>
        </w:rPr>
        <w:t xml:space="preserve"> </w:t>
      </w:r>
      <w:r>
        <w:rPr>
          <w:rFonts w:ascii="Times New Roman" w:hAnsi="Times New Roman" w:cs="Times New Roman"/>
          <w:lang w:val="en-GB"/>
        </w:rPr>
        <w:t>self-reported</w:t>
      </w:r>
      <w:r w:rsidR="00D621E9">
        <w:rPr>
          <w:rFonts w:ascii="Times New Roman" w:hAnsi="Times New Roman" w:cs="Times New Roman"/>
          <w:lang w:val="en-GB"/>
        </w:rPr>
        <w:t xml:space="preserve"> MB</w:t>
      </w:r>
      <w:r>
        <w:rPr>
          <w:rFonts w:ascii="Times New Roman" w:hAnsi="Times New Roman" w:cs="Times New Roman"/>
          <w:lang w:val="en-GB"/>
        </w:rPr>
        <w:t xml:space="preserve"> experiences onto latent structures that capture core components of the MB experience</w:t>
      </w:r>
      <w:r w:rsidR="00D621E9">
        <w:rPr>
          <w:rFonts w:ascii="Times New Roman" w:hAnsi="Times New Roman" w:cs="Times New Roman"/>
          <w:lang w:val="en-GB"/>
        </w:rPr>
        <w:t xml:space="preserve"> </w:t>
      </w:r>
      <w:r w:rsidR="00D621E9">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{"citationID":"auqmiam34m","properties":{"unsorted":false,"formattedCitation":"(Kawagoe et al., 2024; Moraitou &amp; Efklides, 2009)","plainCitation":"(Kawagoe et al., 2024; Moraitou &amp; Efklides, 2009)","noteIndex":0},"citationItems":[{"id":17719,"uris":["http://zotero.org/users/8613739/items/LULF9ZPJ"],"itemData":{"id":17719,"type":"article-journal","abstract":"We occasionally experience moments when our minds go blank, or our attention disappears. This psychological phenomenon, known as mind blanking (MB), has recently garnered increased attention. MB has been assessed at the state level using experience sampling methods in which participants undertake a cognitive task and probes suddenly appear asking them to report the current contents of their thoughts. However, it may be possible to evaluate MB at the “trait level” as is the case with other mental states (e.g., mind wandering, anxiety, and the like). In the present study, we developed a new scale, the Mind Blanking Questionnaire (MBQ), for assessing the tendency of MB at the trait level in both Japanese and English. The MBQ exhibited good psychometric properties including internal consistency, test-retest reliability, and criterion and construct validities. Additionally, it displayed measurement invariance between the language versions, genders, and age groups. The MBQ would be a valuable tool to assess the individual tendency of MB and contribute to cross-cultural studies.","citation-key":"kawagoeDevelopingJapaneseEnglish2024","container-title":"Personality and Individual Differences","DOI":"10.1016/j.paid.2023.112539","ISSN":"0191-8869","journalAbbreviation":"Personality and Individual Differences","page":"112539","source":"ScienceDirect","title":"Developing the Japanese and English versions of the Mind Blanking Questionnaire (MBQ): validation and reliability","title-short":"Developing the Japanese and English versions of the Mind Blanking Questionnaire (MBQ)","volume":"220","author":[{"family":"Kawagoe","given":"Toshikazu"},{"family":"Yoshimura","given":"Shinpei"},{"family":"Muranaka","given":"Seiji"},{"family":"Xethakis","given":"Larry"},{"family":"Onoda","given":"Keiichi"}],"issued":{"date-parts":[["2024",4,1]]}}},{"id":3881,"uris":["http://zotero.org/users/8613739/items/RS2MAKAP"],"itemData":{"id":3881,"type":"article-journal","abstract":"Metacognitive awareness of memory failure may take the form of the “blank in the mind” (BIM) experience. The BIM experience informs the person of a temporary memory failure and takes the form of a disruption in the flow of consciousness, of a moment of no content in awareness. The aim of the present study was to examine the psychometric properties of the Blank in the Mind Questionnaire (BIMQ) designed to tap the BIM experience and differentiate it from other memory-related experiences, such as searching but not having in memory a piece of information (i.e., lack of knowledge). The participants (\nN = 493) were 249 younger adults (18–30 years old) and 244 older adults (63–89 years old) of both genders. Confirmatory factor analysis applied to the BIMQ confirmed a three-factor model with interrelations between the factors. The first factor represented the experience of lack of knowledge, the second represented the experience of BIM, and the third the person’s negative affective reactions to memory failure. The internal consistency of the three factors ranged from Cronbach’s α = .80 to .88. Convergent validity was shown with correlations of the BIMQ factors with self-report measures of cognitive and memory failures, and to the negative-affect subscale of the Positive and Negative Affect Schedule (PANAS). (PsycINFO Database Record (c) 2012 APA, all rights reserved)","citation-key":"moraitouBlankMindQuestionnaire2009","container-title":"European Journal of Psychological Assessment","DOI":"10.1027/1015-5759.25.2.115","journalAbbreviation":"European Journal of Psychological Assessment","page":"115-122","source":"ResearchGate","title":"The blank in the mind questionnaire (BIMQ)","volume":"25","author":[{"family":"Moraitou","given":"Despina"},{"family":"Efklides","given":"Anastasia"}],"issued":{"date-parts":[["2009",1,1]]}}}],"schema":"https://github.com/citation-style-language/schema/raw/master/csl-citation.json"} </w:instrText>
      </w:r>
      <w:r w:rsidR="00D621E9">
        <w:rPr>
          <w:rFonts w:ascii="Times New Roman" w:hAnsi="Times New Roman" w:cs="Times New Roman"/>
          <w:lang w:val="en-GB"/>
        </w:rPr>
        <w:fldChar w:fldCharType="separate"/>
      </w:r>
      <w:r w:rsidR="00B633EE" w:rsidRPr="00B633EE">
        <w:rPr>
          <w:rFonts w:ascii="Times New Roman" w:hAnsi="Times New Roman" w:cs="Times New Roman"/>
        </w:rPr>
        <w:t>(Kawagoe et al., 2024; Moraitou &amp; Efklides, 2009)</w:t>
      </w:r>
      <w:r w:rsidR="00D621E9">
        <w:rPr>
          <w:rFonts w:ascii="Times New Roman" w:hAnsi="Times New Roman" w:cs="Times New Roman"/>
          <w:lang w:val="en-GB"/>
        </w:rPr>
        <w:fldChar w:fldCharType="end"/>
      </w:r>
      <w:r w:rsidR="00627D76">
        <w:rPr>
          <w:rFonts w:ascii="Times New Roman" w:hAnsi="Times New Roman" w:cs="Times New Roman"/>
          <w:lang w:val="en-GB"/>
        </w:rPr>
        <w:t>, while others include MB-related questions</w:t>
      </w:r>
      <w:r w:rsidR="00D621E9">
        <w:rPr>
          <w:rFonts w:ascii="Times New Roman" w:hAnsi="Times New Roman" w:cs="Times New Roman"/>
          <w:lang w:val="en-GB"/>
        </w:rPr>
        <w:t xml:space="preserve"> to general scales that </w:t>
      </w:r>
      <w:r w:rsidR="00F62572">
        <w:rPr>
          <w:rFonts w:ascii="Times New Roman" w:hAnsi="Times New Roman" w:cs="Times New Roman"/>
          <w:lang w:val="en-GB"/>
        </w:rPr>
        <w:t>measure</w:t>
      </w:r>
      <w:r w:rsidR="00D621E9">
        <w:rPr>
          <w:rFonts w:ascii="Times New Roman" w:hAnsi="Times New Roman" w:cs="Times New Roman"/>
          <w:lang w:val="en-GB"/>
        </w:rPr>
        <w:t xml:space="preserve"> properties of spontaneous thinking </w:t>
      </w:r>
      <w:r w:rsidR="00627D76">
        <w:rPr>
          <w:rFonts w:ascii="Times New Roman" w:hAnsi="Times New Roman" w:cs="Times New Roman"/>
          <w:lang w:val="en-GB"/>
        </w:rPr>
        <w:t xml:space="preserve"> </w:t>
      </w:r>
      <w:r w:rsidR="00D621E9">
        <w:rPr>
          <w:rFonts w:ascii="Times New Roman" w:hAnsi="Times New Roman" w:cs="Times New Roman"/>
          <w:lang w:val="en-GB"/>
        </w:rPr>
        <w:t xml:space="preserve">(for some examples, see the </w:t>
      </w:r>
      <w:r w:rsidR="00D621E9" w:rsidRPr="00D621E9">
        <w:rPr>
          <w:rFonts w:ascii="Times New Roman" w:hAnsi="Times New Roman" w:cs="Times New Roman"/>
          <w:lang w:val="en-GB"/>
        </w:rPr>
        <w:t xml:space="preserve">Task-Unrelated Thoughts </w:t>
      </w:r>
      <w:r w:rsidR="00D621E9" w:rsidRPr="00D621E9">
        <w:rPr>
          <w:rFonts w:ascii="Times New Roman" w:hAnsi="Times New Roman" w:cs="Times New Roman"/>
          <w:lang w:val="en-GB"/>
        </w:rPr>
        <w:lastRenderedPageBreak/>
        <w:t>Questionnaire</w:t>
      </w:r>
      <w:r w:rsidR="00D621E9">
        <w:rPr>
          <w:rFonts w:ascii="Times New Roman" w:hAnsi="Times New Roman" w:cs="Times New Roman"/>
          <w:lang w:val="en-GB"/>
        </w:rPr>
        <w:t xml:space="preserve"> </w:t>
      </w:r>
      <w:r w:rsidR="00D621E9">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{"citationID":"ak3mdfhapo","properties":{"unsorted":false,"formattedCitation":"(Kowalczyk et al., 2023)","plainCitation":"(Kowalczyk et al., 2023)","noteIndex":0},"citationItems":[{"id":17925,"uris":["http://zotero.org/users/8613739/items/PLJ6583Y"],"itemData":{"id":17925,"type":"article-journal","abstract":"N","citation-key":"kowalczykSeparatingGeneralContentSpecific2023","container-title":"Journal of Individual Differences","DOI":"10.1027/1614-0001/a000402","ISSN":"1614-0001","issue":"4","page":"271-278","source":"Ovid OCE","title":"Separating the General and Content-Specific Components of Self-Reported Propensity for Mind-Wandering","volume":"44","author":[{"family":"Kowalczyk","given":"Marek"},{"family":"Klonowska","given":"Magdalena"},{"family":"Mikietyńska","given":"Agata"}],"issued":{"date-parts":[["2023",1,1]]}}}],"schema":"https://github.com/citation-style-language/schema/raw/master/csl-citation.json"} </w:instrText>
      </w:r>
      <w:r w:rsidR="00D621E9">
        <w:rPr>
          <w:rFonts w:ascii="Times New Roman" w:hAnsi="Times New Roman" w:cs="Times New Roman"/>
          <w:lang w:val="en-GB"/>
        </w:rPr>
        <w:fldChar w:fldCharType="separate"/>
      </w:r>
      <w:r w:rsidR="00B633EE" w:rsidRPr="00B633EE">
        <w:rPr>
          <w:rFonts w:ascii="Times New Roman" w:hAnsi="Times New Roman" w:cs="Times New Roman"/>
        </w:rPr>
        <w:t>(Kowalczyk et al., 2023)</w:t>
      </w:r>
      <w:r w:rsidR="00D621E9">
        <w:rPr>
          <w:rFonts w:ascii="Times New Roman" w:hAnsi="Times New Roman" w:cs="Times New Roman"/>
          <w:lang w:val="en-GB"/>
        </w:rPr>
        <w:fldChar w:fldCharType="end"/>
      </w:r>
      <w:r w:rsidR="00D621E9">
        <w:rPr>
          <w:rFonts w:ascii="Times New Roman" w:hAnsi="Times New Roman" w:cs="Times New Roman"/>
          <w:lang w:val="en-GB"/>
        </w:rPr>
        <w:t xml:space="preserve"> and the </w:t>
      </w:r>
      <w:r w:rsidR="00D621E9" w:rsidRPr="00D621E9">
        <w:rPr>
          <w:rFonts w:ascii="Times New Roman" w:hAnsi="Times New Roman" w:cs="Times New Roman"/>
          <w:lang w:val="en-GB"/>
        </w:rPr>
        <w:t>Daydreaming Characteristics Questionnaire</w:t>
      </w:r>
      <w:r w:rsidR="00D621E9">
        <w:rPr>
          <w:rFonts w:ascii="Times New Roman" w:hAnsi="Times New Roman" w:cs="Times New Roman"/>
          <w:lang w:val="en-GB"/>
        </w:rPr>
        <w:t xml:space="preserve"> </w:t>
      </w:r>
      <w:r w:rsidR="00D621E9">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{"citationID":"a1qv4uv71it","properties":{"unsorted":false,"formattedCitation":"(Theodor-Katz &amp; Soffer-Dudek, 2025)","plainCitation":"(Theodor-Katz &amp; Soffer-Dudek, 2025)","noteIndex":0},"citationItems":[{"id":17922,"uris":["http://zotero.org/users/8613739/items/6CE5YP3Y"],"itemData":{"id":17922,"type":"article-journal","abstract":"Objective:\nMaladaptive daydreaming (MD) is an impairing condition characterized by addiction to narrative, emotional fantasizing, involving dissociative absorption. By compulsively withdrawing toward vivid imaginative scenarios, MD hinders attentional functioning and replaces social interactions. Previous Interview-based research showed clinical importance in differentiating MD from ADHD and the associated construct of mind-wandering. We aimed to create a self-report tool asking directly about the content and structure of distracting thoughts.\n\nMethod:\nTwo samples, namely, 346 undergraduate students and 381 adults from the general community, completed a novel measure, the Daydreaming Characteristics Questionnaire (DCQ), along with validated measures for ADHD, mind-wandering, MD, dissociation, and general distress.\n\nResults:\nExploratory Factor Analyses on the DCQ, replicated across both samples, yielded two distinct factors (immersive daydreaming and daydream functionality) uniquely associated with MD.\n\nConclusion:\nThe DCQ represents characteristics of immersive daydreaming much more than general attentional deficiency and is thus useful in differentiating MD from ADHD/mind-wandering distractions.","citation-key":"theodor-katzWhereMyMind2025a","container-title":"Journal of Attention Disorders","DOI":"10.1177/10870547251319081","ISSN":"1087-0547","issue":"7","journalAbbreviation":"J Atten Disord","page":"515-528","PMID":"39995208","PMCID":"PMC11956380","source":"PubMed Central","title":"Where Is My Mind? The Daydreaming Characteristics Questionnaire, a New Tool to Differentiate Absorptive Daydreaming From Mind-Wandering","title-short":"Where Is My Mind?","volume":"29","author":[{"family":"Theodor-Katz","given":"Nitzan"},{"family":"Soffer-Dudek","given":"Nirit"}],"issued":{"date-parts":[["2025",5]]}}}],"schema":"https://github.com/citation-style-language/schema/raw/master/csl-citation.json"} </w:instrText>
      </w:r>
      <w:r w:rsidR="00D621E9">
        <w:rPr>
          <w:rFonts w:ascii="Times New Roman" w:hAnsi="Times New Roman" w:cs="Times New Roman"/>
          <w:lang w:val="en-GB"/>
        </w:rPr>
        <w:fldChar w:fldCharType="separate"/>
      </w:r>
      <w:r w:rsidR="00B633EE" w:rsidRPr="00B633EE">
        <w:rPr>
          <w:rFonts w:ascii="Times New Roman" w:hAnsi="Times New Roman" w:cs="Times New Roman"/>
          <w:lang w:val="en-GB"/>
        </w:rPr>
        <w:t>(Theodor-Katz &amp; Soffer-Dudek, 2025)</w:t>
      </w:r>
      <w:r w:rsidR="00D621E9">
        <w:rPr>
          <w:rFonts w:ascii="Times New Roman" w:hAnsi="Times New Roman" w:cs="Times New Roman"/>
          <w:lang w:val="en-GB"/>
        </w:rPr>
        <w:fldChar w:fldCharType="end"/>
      </w:r>
      <w:r w:rsidR="00F6594B" w:rsidRPr="00B633EE">
        <w:rPr>
          <w:rFonts w:ascii="Times New Roman" w:hAnsi="Times New Roman" w:cs="Times New Roman"/>
          <w:lang w:val="en-GB"/>
        </w:rPr>
        <w:t>)</w:t>
      </w:r>
      <w:r w:rsidR="00943D41" w:rsidRPr="00B633EE">
        <w:rPr>
          <w:rFonts w:ascii="Times New Roman" w:hAnsi="Times New Roman" w:cs="Times New Roman"/>
          <w:lang w:val="en-GB"/>
        </w:rPr>
        <w:t>.</w:t>
      </w:r>
      <w:r w:rsidR="00FF5A8B" w:rsidRPr="00B633EE">
        <w:rPr>
          <w:rFonts w:ascii="Times New Roman" w:hAnsi="Times New Roman" w:cs="Times New Roman"/>
          <w:lang w:val="en-GB"/>
        </w:rPr>
        <w:t xml:space="preserve"> </w:t>
      </w:r>
      <w:r w:rsidRPr="00B633EE">
        <w:rPr>
          <w:rFonts w:ascii="Times New Roman" w:hAnsi="Times New Roman" w:cs="Times New Roman"/>
          <w:lang w:val="en-GB"/>
        </w:rPr>
        <w:t xml:space="preserve">Kawagoe et al. </w:t>
      </w:r>
      <w:r w:rsidR="00FF5A8B">
        <w:rPr>
          <w:rFonts w:ascii="Times New Roman" w:hAnsi="Times New Roman" w:cs="Times New Roman"/>
          <w:lang w:val="en-GB"/>
        </w:rPr>
        <w:fldChar w:fldCharType="begin"/>
      </w:r>
      <w:r w:rsidR="00B633EE" w:rsidRPr="00B633EE">
        <w:rPr>
          <w:rFonts w:ascii="Times New Roman" w:hAnsi="Times New Roman" w:cs="Times New Roman"/>
          <w:lang w:val="en-GB"/>
        </w:rPr>
        <w:instrText xml:space="preserve"> ADDIN ZOTERO_ITEM CSL_CITATION {"citationID":"a22qfrnrvc4","properties":{"unsorted":false,"formattedCitation":"(2024)","plainCitation":"(2024)","noteIndex":0},"citationItems":[{"id":17719,"uris":["http://zotero.org/users/8613739/items/LULF9ZPJ"],"itemData":{"id":17719,"type":"article-journal","abstract":"We occasionally experience moments when our minds go blank, or our attention disappears. This psychological phenomenon, known as mind blanking (MB), has recently garnered increased attention. MB has been assessed at the state level using experience sampling methods in which participants undertake a cognitive task and probes suddenly appear asking them to report the current contents of their thoughts. However, it may be possible to evaluate MB at the “trait level” as is the case with other mental states (e.g., mind wandering, anxiety, and the like). In the present study, we developed a new scale, the Mind Blanking Questionnaire (MBQ), for assessing the tendency of MB at the trait level in both Japanese and English. The MBQ exhibited good psychometric properties including internal consistency, test-retest reliability, and criterion and construct validities. Additionally, it displayed measurement invariance between the language versions, genders, and age groups. The MBQ would be a valuable tool to assess the individual tendency of MB and contribute to cross-cultural studies.","citation-key":"kawagoeDevelopingJapaneseEnglish2024","container-title":"Personality and Individual Differences","DOI":"10.1016/j.paid.2023.112539","ISSN":"0191-8869","journalAbbreviation":"Personality and Individual Differences","page":"112539","source":"ScienceDirect","title":"Developing the Japanese and English versions of the Mind Blanking Questionnaire (MBQ): validation and reliability","title-short":"Developing the Japanese and English versions of the Mind Blanking Questionnaire (MBQ)","volume":"220","author":[{"family":"Kawagoe","given":"Toshikazu"},{"family":"Yoshimura","given":"Shinpei"},{"family":"Muranaka","given":"Seiji"},{"family":"Xethakis","given":"Larry"},{"family":"Onoda","given":"Keiichi"}],"issued":{"date-parts":[["2024",4,1]]}},"suppress-author":true}],"schema":"https://github.com/citation-style-language/schema/raw/master/csl-citation.json"} </w:instrText>
      </w:r>
      <w:r w:rsidR="00FF5A8B">
        <w:rPr>
          <w:rFonts w:ascii="Times New Roman" w:hAnsi="Times New Roman" w:cs="Times New Roman"/>
          <w:lang w:val="en-GB"/>
        </w:rPr>
        <w:fldChar w:fldCharType="separate"/>
      </w:r>
      <w:r w:rsidR="00B633EE" w:rsidRPr="00B633EE">
        <w:rPr>
          <w:rFonts w:ascii="Times New Roman" w:hAnsi="Times New Roman" w:cs="Times New Roman"/>
          <w:lang w:val="en-GB"/>
        </w:rPr>
        <w:t>(2024)</w:t>
      </w:r>
      <w:r w:rsidR="00FF5A8B">
        <w:rPr>
          <w:rFonts w:ascii="Times New Roman" w:hAnsi="Times New Roman" w:cs="Times New Roman"/>
          <w:lang w:val="en-GB"/>
        </w:rPr>
        <w:fldChar w:fldCharType="end"/>
      </w:r>
      <w:r w:rsidR="00FF5A8B" w:rsidRPr="00B633EE">
        <w:rPr>
          <w:rFonts w:ascii="Times New Roman" w:hAnsi="Times New Roman" w:cs="Times New Roman"/>
          <w:lang w:val="en-GB"/>
        </w:rPr>
        <w:t xml:space="preserve"> </w:t>
      </w:r>
      <w:r w:rsidRPr="00B633EE">
        <w:rPr>
          <w:rFonts w:ascii="Times New Roman" w:hAnsi="Times New Roman" w:cs="Times New Roman"/>
          <w:lang w:val="en-GB"/>
        </w:rPr>
        <w:t xml:space="preserve">found that </w:t>
      </w:r>
      <w:r w:rsidR="00F62572" w:rsidRPr="00B633EE">
        <w:rPr>
          <w:rFonts w:ascii="Times New Roman" w:hAnsi="Times New Roman" w:cs="Times New Roman"/>
          <w:lang w:val="en-GB"/>
        </w:rPr>
        <w:t xml:space="preserve">a one-factor latent solution of their Mind-Blanking Questionnaire (MBQ) negatively correlated with executive and attentional control and had a </w:t>
      </w:r>
      <w:r w:rsidRPr="00B633EE">
        <w:rPr>
          <w:rFonts w:ascii="Times New Roman" w:hAnsi="Times New Roman" w:cs="Times New Roman"/>
          <w:lang w:val="en-GB"/>
        </w:rPr>
        <w:t xml:space="preserve">positive relationship with sleepiness and lower mental health scores in the Patient Health Questionnaire. </w:t>
      </w:r>
      <w:r>
        <w:rPr>
          <w:rFonts w:ascii="Times New Roman" w:hAnsi="Times New Roman" w:cs="Times New Roman"/>
          <w:lang w:val="en-GB"/>
        </w:rPr>
        <w:t xml:space="preserve">This questionnaire showed invariance across population parameters. </w:t>
      </w:r>
      <w:r w:rsidR="00D9567D">
        <w:rPr>
          <w:rFonts w:ascii="Times New Roman" w:hAnsi="Times New Roman" w:cs="Times New Roman"/>
          <w:lang w:val="en-GB"/>
        </w:rPr>
        <w:t>Another questionnaire, the Blank in the Mind</w:t>
      </w:r>
      <w:r w:rsidR="00FF5A8B">
        <w:rPr>
          <w:rFonts w:ascii="Times New Roman" w:hAnsi="Times New Roman" w:cs="Times New Roman"/>
          <w:lang w:val="en-GB"/>
        </w:rPr>
        <w:t xml:space="preserve"> </w:t>
      </w:r>
      <w:r w:rsidR="00D9567D">
        <w:rPr>
          <w:rFonts w:ascii="Times New Roman" w:hAnsi="Times New Roman" w:cs="Times New Roman"/>
          <w:lang w:val="en-GB"/>
        </w:rPr>
        <w:t xml:space="preserve">Questionnaire </w:t>
      </w:r>
      <w:r w:rsidR="00D9567D" w:rsidRPr="00D9567D">
        <w:rPr>
          <w:rFonts w:ascii="Times New Roman" w:hAnsi="Times New Roman" w:cs="Times New Roman"/>
        </w:rPr>
        <w:t>(</w:t>
      </w:r>
      <w:r w:rsidR="00D9567D">
        <w:rPr>
          <w:rFonts w:ascii="Times New Roman" w:hAnsi="Times New Roman" w:cs="Times New Roman"/>
          <w:lang w:val="el-GR"/>
        </w:rPr>
        <w:t>ΒΙΜ</w:t>
      </w:r>
      <w:r w:rsidR="00D9567D">
        <w:rPr>
          <w:rFonts w:ascii="Times New Roman" w:hAnsi="Times New Roman" w:cs="Times New Roman"/>
        </w:rPr>
        <w:t xml:space="preserve">Q; </w:t>
      </w:r>
      <w:r w:rsidR="00D9567D">
        <w:rPr>
          <w:rFonts w:ascii="Times New Roman" w:hAnsi="Times New Roman" w:cs="Times New Roman"/>
          <w:lang w:val="en-GB"/>
        </w:rPr>
        <w:t xml:space="preserve">Moraitou &amp; </w:t>
      </w:r>
      <w:proofErr w:type="spellStart"/>
      <w:r w:rsidR="00D9567D">
        <w:rPr>
          <w:rFonts w:ascii="Times New Roman" w:hAnsi="Times New Roman" w:cs="Times New Roman"/>
          <w:lang w:val="en-GB"/>
        </w:rPr>
        <w:t>Efklides</w:t>
      </w:r>
      <w:proofErr w:type="spellEnd"/>
      <w:r w:rsidR="00D9567D">
        <w:rPr>
          <w:rFonts w:ascii="Times New Roman" w:hAnsi="Times New Roman" w:cs="Times New Roman"/>
          <w:lang w:val="en-GB"/>
        </w:rPr>
        <w:t xml:space="preserve"> </w:t>
      </w:r>
      <w:r w:rsidR="00D9567D">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1ibtbfl8cr","properties":{"unsorted":false,"formattedCitation":"(2009)","plainCitation":"(2009)","noteIndex":0},"citationItems":[{"id":3881,"uris":["http://zotero.org/users/8613739/items/RS2MAKAP"],"itemData":{"id":3881,"type":"article-journal","abstract":"Metacognitive awareness of memory failure may take the form of the “blank in the mind” (BIM) experience. The BIM experience informs the person of a temporary memory failure and takes the form of a disruption in the flow of consciousness, of a moment of no content in awareness. The aim of the present study was to examine the psychometric properties of the Blank in the Mind Questionnaire (BIMQ) designed to tap the BIM experience and differentiate it from other memory-related experiences, such as searching but not having in memory a piece of information (i.e., lack of knowledge). The participants (\nN = 493) were 249 younger adults (18–30 years old) and 244 older adults (63–89 years old) of both genders. Confirmatory factor analysis applied to the BIMQ confirmed a three-factor model with interrelations between the factors. The first factor represented the experience of lack of knowledge, the second represented the experience of BIM, and the third the person’s negative affective reactions to memory failure. The internal consistency of the three factors ranged from Cronbach’s α = .80 to .88. Convergent validity was shown with correlations of the BIMQ factors with self-report measures of cognitive and memory failures, and to the negative-affect subscale of the Positive and Negative Affect Schedule (PANAS). (PsycINFO Database Record (c) 2012 APA, all rights reserved)","citation-key":"moraitouBlankMindQuestionnaire2009","container-title":"European Journal of Psychological Assessment","DOI":"10.1027/1015-5759.25.2.115","journalAbbreviation":"European Journal of Psychological Assessment","page":"115-122","source":"ResearchGate","title":"The blank in the mind questionnaire (BIMQ)","volume":"25","author":[{"family":"Moraitou","given":"Despina"},{"family":"Efklides","given":"Anastasia"}],"issued":{"date-parts":[["2009",1,1]]}},"suppress-author":true}],"schema":"https://github.com/citation-style-language/schema/raw/master/csl-citation.json"} </w:instrText>
      </w:r>
      <w:r w:rsidR="00D9567D">
        <w:rPr>
          <w:rFonts w:ascii="Times New Roman" w:hAnsi="Times New Roman" w:cs="Times New Roman"/>
          <w:lang w:val="en-GB"/>
        </w:rPr>
        <w:fldChar w:fldCharType="separate"/>
      </w:r>
      <w:r w:rsidR="00B633EE" w:rsidRPr="00B633EE">
        <w:rPr>
          <w:rFonts w:ascii="Times New Roman" w:hAnsi="Times New Roman" w:cs="Times New Roman"/>
        </w:rPr>
        <w:t>(2009)</w:t>
      </w:r>
      <w:r w:rsidR="00D9567D">
        <w:rPr>
          <w:rFonts w:ascii="Times New Roman" w:hAnsi="Times New Roman" w:cs="Times New Roman"/>
          <w:lang w:val="en-GB"/>
        </w:rPr>
        <w:fldChar w:fldCharType="end"/>
      </w:r>
      <w:r w:rsidR="00D9567D">
        <w:rPr>
          <w:rFonts w:ascii="Times New Roman" w:hAnsi="Times New Roman" w:cs="Times New Roman"/>
          <w:lang w:val="en-GB"/>
        </w:rPr>
        <w:t xml:space="preserve">) </w:t>
      </w:r>
      <w:r>
        <w:rPr>
          <w:rFonts w:ascii="Times New Roman" w:hAnsi="Times New Roman" w:cs="Times New Roman"/>
          <w:lang w:val="en-GB"/>
        </w:rPr>
        <w:t xml:space="preserve">reported a three-factor solution to their questionnaire, </w:t>
      </w:r>
      <w:r w:rsidR="00F6594B">
        <w:rPr>
          <w:rFonts w:ascii="Times New Roman" w:hAnsi="Times New Roman" w:cs="Times New Roman"/>
          <w:lang w:val="en-GB"/>
        </w:rPr>
        <w:t>representing</w:t>
      </w:r>
      <w:r>
        <w:rPr>
          <w:rFonts w:ascii="Times New Roman" w:hAnsi="Times New Roman" w:cs="Times New Roman"/>
          <w:lang w:val="en-GB"/>
        </w:rPr>
        <w:t xml:space="preserve"> </w:t>
      </w:r>
      <w:r w:rsidR="00D9567D">
        <w:rPr>
          <w:rFonts w:ascii="Times New Roman" w:hAnsi="Times New Roman" w:cs="Times New Roman"/>
          <w:lang w:val="en-GB"/>
        </w:rPr>
        <w:t xml:space="preserve">the </w:t>
      </w:r>
      <w:r w:rsidR="00CE2044">
        <w:rPr>
          <w:rFonts w:ascii="Times New Roman" w:hAnsi="Times New Roman" w:cs="Times New Roman"/>
          <w:lang w:val="en-GB"/>
        </w:rPr>
        <w:t xml:space="preserve">MB </w:t>
      </w:r>
      <w:r w:rsidR="00D9567D">
        <w:rPr>
          <w:rFonts w:ascii="Times New Roman" w:hAnsi="Times New Roman" w:cs="Times New Roman"/>
          <w:lang w:val="en-GB"/>
        </w:rPr>
        <w:t>experience</w:t>
      </w:r>
      <w:r>
        <w:rPr>
          <w:rFonts w:ascii="Times New Roman" w:hAnsi="Times New Roman" w:cs="Times New Roman"/>
          <w:lang w:val="en-GB"/>
        </w:rPr>
        <w:t xml:space="preserve">, </w:t>
      </w:r>
      <w:r w:rsidR="00D9567D">
        <w:rPr>
          <w:rFonts w:ascii="Times New Roman" w:hAnsi="Times New Roman" w:cs="Times New Roman"/>
          <w:lang w:val="en-GB"/>
        </w:rPr>
        <w:t>lack</w:t>
      </w:r>
      <w:r>
        <w:rPr>
          <w:rFonts w:ascii="Times New Roman" w:hAnsi="Times New Roman" w:cs="Times New Roman"/>
          <w:lang w:val="en-GB"/>
        </w:rPr>
        <w:t xml:space="preserve"> of knowledge and negative affect due to memory failure.</w:t>
      </w:r>
      <w:r w:rsidR="00D9567D">
        <w:rPr>
          <w:rFonts w:ascii="Times New Roman" w:hAnsi="Times New Roman" w:cs="Times New Roman"/>
          <w:lang w:val="en-GB"/>
        </w:rPr>
        <w:t xml:space="preserve"> </w:t>
      </w:r>
      <w:r>
        <w:rPr>
          <w:rFonts w:ascii="Times New Roman" w:hAnsi="Times New Roman" w:cs="Times New Roman"/>
          <w:lang w:val="en-GB"/>
        </w:rPr>
        <w:t xml:space="preserve">The </w:t>
      </w:r>
      <w:r w:rsidR="00D9567D">
        <w:rPr>
          <w:rFonts w:ascii="Times New Roman" w:hAnsi="Times New Roman" w:cs="Times New Roman"/>
          <w:lang w:val="en-GB"/>
        </w:rPr>
        <w:t>MB</w:t>
      </w:r>
      <w:r>
        <w:rPr>
          <w:rFonts w:ascii="Times New Roman" w:hAnsi="Times New Roman" w:cs="Times New Roman"/>
          <w:lang w:val="en-GB"/>
        </w:rPr>
        <w:t xml:space="preserve"> experience factor</w:t>
      </w:r>
      <w:r w:rsidR="00D9567D">
        <w:rPr>
          <w:rFonts w:ascii="Times New Roman" w:hAnsi="Times New Roman" w:cs="Times New Roman"/>
          <w:lang w:val="en-GB"/>
        </w:rPr>
        <w:t>, comprised of items such as “</w:t>
      </w:r>
      <w:r w:rsidR="00D9567D" w:rsidRPr="00D9567D">
        <w:rPr>
          <w:rFonts w:ascii="Times New Roman" w:hAnsi="Times New Roman" w:cs="Times New Roman"/>
          <w:lang w:val="en-GB"/>
        </w:rPr>
        <w:t>Suddenly I felt a blank in my thought because I forgot what I wanted to say</w:t>
      </w:r>
      <w:r w:rsidR="00D9567D">
        <w:rPr>
          <w:rFonts w:ascii="Times New Roman" w:hAnsi="Times New Roman" w:cs="Times New Roman"/>
          <w:lang w:val="en-GB"/>
        </w:rPr>
        <w:t>” and “</w:t>
      </w:r>
      <w:r w:rsidR="00D9567D" w:rsidRPr="00D9567D">
        <w:rPr>
          <w:rFonts w:ascii="Times New Roman" w:hAnsi="Times New Roman" w:cs="Times New Roman"/>
        </w:rPr>
        <w:t>It was like there was a white page in my mind</w:t>
      </w:r>
      <w:r w:rsidR="00D9567D">
        <w:rPr>
          <w:rFonts w:ascii="Times New Roman" w:hAnsi="Times New Roman" w:cs="Times New Roman"/>
        </w:rPr>
        <w:t>”,</w:t>
      </w:r>
      <w:r>
        <w:rPr>
          <w:rFonts w:ascii="Times New Roman" w:hAnsi="Times New Roman" w:cs="Times New Roman"/>
          <w:lang w:val="en-GB"/>
        </w:rPr>
        <w:t xml:space="preserve"> </w:t>
      </w:r>
      <w:r w:rsidR="00D9567D">
        <w:rPr>
          <w:rFonts w:ascii="Times New Roman" w:hAnsi="Times New Roman" w:cs="Times New Roman"/>
          <w:lang w:val="en-GB"/>
        </w:rPr>
        <w:t>positively</w:t>
      </w:r>
      <w:r>
        <w:rPr>
          <w:rFonts w:ascii="Times New Roman" w:hAnsi="Times New Roman" w:cs="Times New Roman"/>
          <w:lang w:val="en-GB"/>
        </w:rPr>
        <w:t xml:space="preserve"> correlated with cognitive failures. Overall, </w:t>
      </w:r>
      <w:r w:rsidR="00D9567D">
        <w:rPr>
          <w:rFonts w:ascii="Times New Roman" w:hAnsi="Times New Roman" w:cs="Times New Roman"/>
          <w:lang w:val="en-GB"/>
        </w:rPr>
        <w:t xml:space="preserve">there exist self-report tools that </w:t>
      </w:r>
      <w:r>
        <w:rPr>
          <w:rFonts w:ascii="Times New Roman" w:hAnsi="Times New Roman" w:cs="Times New Roman"/>
          <w:lang w:val="en-GB"/>
        </w:rPr>
        <w:t>present a low-cost, fast and accessible alternative to probing individuals’ beliefs about their own experiences.</w:t>
      </w:r>
      <w:r w:rsidR="00D9567D">
        <w:rPr>
          <w:rFonts w:ascii="Times New Roman" w:hAnsi="Times New Roman" w:cs="Times New Roman"/>
          <w:lang w:val="en-GB"/>
        </w:rPr>
        <w:t xml:space="preserve"> However, it should be noted that self-report questionnaires depend on </w:t>
      </w:r>
      <w:r w:rsidR="007569E2">
        <w:rPr>
          <w:rFonts w:ascii="Times New Roman" w:hAnsi="Times New Roman" w:cs="Times New Roman"/>
          <w:lang w:val="en-GB"/>
        </w:rPr>
        <w:t>individuals' ability to accurately monitor and recall</w:t>
      </w:r>
      <w:r w:rsidR="000203AB">
        <w:rPr>
          <w:rFonts w:ascii="Times New Roman" w:hAnsi="Times New Roman" w:cs="Times New Roman"/>
          <w:lang w:val="en-GB"/>
        </w:rPr>
        <w:t xml:space="preserve"> how frequently they experience MB. </w:t>
      </w:r>
      <w:r w:rsidR="000A683C">
        <w:rPr>
          <w:rFonts w:ascii="Times New Roman" w:hAnsi="Times New Roman" w:cs="Times New Roman"/>
          <w:lang w:val="en-GB"/>
        </w:rPr>
        <w:t xml:space="preserve">In the case </w:t>
      </w:r>
      <w:r w:rsidR="007569E2">
        <w:rPr>
          <w:rFonts w:ascii="Times New Roman" w:hAnsi="Times New Roman" w:cs="Times New Roman"/>
          <w:lang w:val="en-GB"/>
        </w:rPr>
        <w:t>of experience-sampling, the issues of self-belief bias and recall inaccuracy are</w:t>
      </w:r>
      <w:r w:rsidR="000A683C">
        <w:rPr>
          <w:rFonts w:ascii="Times New Roman" w:hAnsi="Times New Roman" w:cs="Times New Roman"/>
          <w:lang w:val="en-GB"/>
        </w:rPr>
        <w:t xml:space="preserve"> ameliorated by the immediacy of the response</w:t>
      </w:r>
      <w:r w:rsidR="003F6D4B">
        <w:rPr>
          <w:rFonts w:ascii="Times New Roman" w:hAnsi="Times New Roman" w:cs="Times New Roman"/>
          <w:lang w:val="en-GB"/>
        </w:rPr>
        <w:t xml:space="preserve"> </w:t>
      </w:r>
      <w:r w:rsidR="003F6D4B">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{"citationID":"a1v2nd1km2u","properties":{"unsorted":false,"formattedCitation":"(Ellison et al., 2020)","plainCitation":"(Ellison et al., 2020)","noteIndex":0},"citationItems":[{"id":17926,"uris":["http://zotero.org/users/8613739/items/TW99BJAL"],"itemData":{"id":17926,"type":"article-journal","abstract":"The experience sampling method (ESM) is often used in research, and promoted for clinical use, with the rationale that it avoids problematic inaccuracies and biases that attend retrospective measures of mental phenomena. Research suggests that averaged scores from ESM data are more accurate than retrospective ratings. However, it is not known how well individuals can remember information about momentary (rather than averaged) mental states, nor how accurately they estimate the dynamic covariation of these states. Individual differences in retrospective accuracy are also poorly understood. In two pre-registered studies, we examined differences between retrospective memory for stress and self-esteem and data gathered via experience sampling and examined whether alexithymia predicted accuracy. Results of both studies revealed substantial discrepancies between retrospective ratings and ESM ratings, especially for momentary states and their covariation. Alexithymia was positively related to recognition of stress means and variability but unrelated to recall of either stress or self-esteem, their variability, or their covariation. These findings suggest that experience sampling may be more useful than self-report when precise information is needed about the timing of mental states and dynamics among them.","citation-key":"ellisonWhomWhatExperience2020","container-title":"Personality and Individual Differences","DOI":"10.1016/j.paid.2020.110071","ISSN":"0191-8869","journalAbbreviation":"Personality and Individual Differences","page":"110071","source":"ScienceDirect","title":"For whom, and for what, is experience sampling more accurate than retrospective report?","volume":"163","author":[{"family":"Ellison","given":"William D."},{"family":"Trahan","given":"Alec C."},{"family":"Pinzon","given":"Joseph C."},{"family":"Gillespie","given":"Megan E."},{"family":"Simmons","given":"Logan M."},{"family":"King","given":"Kendel Y."}],"issued":{"date-parts":[["2020",9,1]]}}}],"schema":"https://github.com/citation-style-language/schema/raw/master/csl-citation.json"} </w:instrText>
      </w:r>
      <w:r w:rsidR="003F6D4B">
        <w:rPr>
          <w:rFonts w:ascii="Times New Roman" w:hAnsi="Times New Roman" w:cs="Times New Roman"/>
          <w:lang w:val="en-GB"/>
        </w:rPr>
        <w:fldChar w:fldCharType="separate"/>
      </w:r>
      <w:r w:rsidR="00B633EE" w:rsidRPr="00B633EE">
        <w:rPr>
          <w:rFonts w:ascii="Times New Roman" w:hAnsi="Times New Roman" w:cs="Times New Roman"/>
        </w:rPr>
        <w:t>(Ellison et al., 2020)</w:t>
      </w:r>
      <w:r w:rsidR="003F6D4B">
        <w:rPr>
          <w:rFonts w:ascii="Times New Roman" w:hAnsi="Times New Roman" w:cs="Times New Roman"/>
          <w:lang w:val="en-GB"/>
        </w:rPr>
        <w:fldChar w:fldCharType="end"/>
      </w:r>
      <w:r w:rsidR="000A683C">
        <w:rPr>
          <w:rFonts w:ascii="Times New Roman" w:hAnsi="Times New Roman" w:cs="Times New Roman"/>
          <w:lang w:val="en-GB"/>
        </w:rPr>
        <w:t xml:space="preserve">. </w:t>
      </w:r>
      <w:r w:rsidR="003F6D4B">
        <w:rPr>
          <w:rFonts w:ascii="Times New Roman" w:hAnsi="Times New Roman" w:cs="Times New Roman"/>
          <w:lang w:val="en-GB"/>
        </w:rPr>
        <w:t>While there are some preliminary evidence that self-reported</w:t>
      </w:r>
      <w:r w:rsidR="00CE2044">
        <w:rPr>
          <w:rFonts w:ascii="Times New Roman" w:hAnsi="Times New Roman" w:cs="Times New Roman"/>
          <w:lang w:val="en-GB"/>
        </w:rPr>
        <w:t xml:space="preserve"> questionnaire scores</w:t>
      </w:r>
      <w:r w:rsidR="003F6D4B">
        <w:rPr>
          <w:rFonts w:ascii="Times New Roman" w:hAnsi="Times New Roman" w:cs="Times New Roman"/>
          <w:lang w:val="en-GB"/>
        </w:rPr>
        <w:t xml:space="preserve"> and probe-caught frequency correlate for other mental states, such as mind-wandering </w:t>
      </w:r>
      <w:r w:rsidR="003F6D4B">
        <w:rPr>
          <w:rFonts w:ascii="Times New Roman" w:hAnsi="Times New Roman" w:cs="Times New Roman"/>
          <w:lang w:val="en-GB"/>
        </w:rPr>
        <w:fldChar w:fldCharType="begin"/>
      </w:r>
      <w:r w:rsidR="00B633EE">
        <w:rPr>
          <w:rFonts w:ascii="Times New Roman" w:hAnsi="Times New Roman" w:cs="Times New Roman"/>
          <w:lang w:val="en-GB"/>
        </w:rPr>
        <w:instrText xml:space="preserve"> ADDIN ZOTERO_ITEM CSL_CITATION {"citationID":"a2foo9stm4i","properties":{"unsorted":false,"formattedCitation":"(Mrazek et al., 2013)","plainCitation":"(Mrazek et al., 2013)","noteIndex":0},"citationItems":[{"id":17928,"uris":["http://zotero.org/users/8613739/items/6W34TJ88"],"itemData":{"id":17928,"type":"article-journal","abstract":"Mind-wandering is the focus of extensive investigation, yet until recently there has been no validated scale to directly measure trait levels of task-unrelated thought. Scales commonly used to assess mind-wandering lack face validity, measuring related constructs such as daydreaming or behavioral errors. Here we report four studies validating a Mind-Wandering Questionnaire (MWQ) across college, high school, and middle school samples. The 5-item scale showed high internal consistency, as well as convergent validity with existing measures of mind-wandering and related constructs. Trait levels of mind-wandering, as measured by the MWQ, were correlated with task-unrelated thought measured by thought sampling during a test of reading comprehension. In both middle school and high school samples, mind-wandering during testing was associated with worse reading comprehension. By contrast, elevated trait levels of mind-wandering predicted worse mood, less life-satisfaction, greater stress, and lower self-esteem. By extending the use of thought sampling to measure mind-wandering among adolescents, our findings also validate the use of this methodology with younger populations. Both the MWQ and thought sampling indicate that mind-wandering is a pervasive – and problematic – influence on the performance and well-being of adolescents.","citation-key":"mrazekYoungRestlessValidation2013a","container-title":"Frontiers in Psychology","DOI":"10.3389/fpsyg.2013.00560","ISSN":"1664-1078","journalAbbreviation":"Front. Psychol.","language":"English","publisher":"Frontiers","source":"Frontiers","title":"Young and restless: validation of the Mind-Wandering Questionnaire (MWQ) reveals disruptive impact of mind-wandering for youth","title-short":"Young and restless","URL":"https://www.frontiersin.org/journals/psychology/articles/10.3389/fpsyg.2013.00560/full","volume":"4","author":[{"family":"Mrazek","given":"Michael D."},{"family":"Phillips","given":"Dawa T."},{"family":"Franklin","given":"Michael S."},{"family":"Broadway","given":"James M."},{"family":"Schooler","given":"Jonathan W."}],"accessed":{"date-parts":[["2026",5,8]]},"issued":{"date-parts":[["2013",8,27]]}}}],"schema":"https://github.com/citation-style-language/schema/raw/master/csl-citation.json"} </w:instrText>
      </w:r>
      <w:r w:rsidR="003F6D4B">
        <w:rPr>
          <w:rFonts w:ascii="Times New Roman" w:hAnsi="Times New Roman" w:cs="Times New Roman"/>
          <w:lang w:val="en-GB"/>
        </w:rPr>
        <w:fldChar w:fldCharType="separate"/>
      </w:r>
      <w:r w:rsidR="00B633EE" w:rsidRPr="00B633EE">
        <w:rPr>
          <w:rFonts w:ascii="Times New Roman" w:hAnsi="Times New Roman" w:cs="Times New Roman"/>
        </w:rPr>
        <w:t>(Mrazek et al., 2013)</w:t>
      </w:r>
      <w:r w:rsidR="003F6D4B">
        <w:rPr>
          <w:rFonts w:ascii="Times New Roman" w:hAnsi="Times New Roman" w:cs="Times New Roman"/>
          <w:lang w:val="en-GB"/>
        </w:rPr>
        <w:fldChar w:fldCharType="end"/>
      </w:r>
      <w:r w:rsidR="003F6D4B">
        <w:rPr>
          <w:rFonts w:ascii="Times New Roman" w:hAnsi="Times New Roman" w:cs="Times New Roman"/>
          <w:lang w:val="en-GB"/>
        </w:rPr>
        <w:t xml:space="preserve">, prospective MB questionnaire </w:t>
      </w:r>
      <w:r w:rsidR="00F6594B">
        <w:rPr>
          <w:rFonts w:ascii="Times New Roman" w:hAnsi="Times New Roman" w:cs="Times New Roman"/>
          <w:lang w:val="en-GB"/>
        </w:rPr>
        <w:t>studies</w:t>
      </w:r>
      <w:r w:rsidR="003F6D4B">
        <w:rPr>
          <w:rFonts w:ascii="Times New Roman" w:hAnsi="Times New Roman" w:cs="Times New Roman"/>
          <w:lang w:val="en-GB"/>
        </w:rPr>
        <w:t xml:space="preserve"> should aim to quantify what aspects of the MB experience they capture and whether they reflect individuals’ beliefs about their MB experiences rather than spontaneous MB occurrences. </w:t>
      </w:r>
    </w:p>
    <w:p w14:paraId="6D61E22B" w14:textId="0168D87B" w:rsidR="008F5DA6" w:rsidRDefault="00FB05D1">
      <w:pPr>
        <w:spacing w:line="360" w:lineRule="auto"/>
        <w:ind w:firstLine="360"/>
        <w:jc w:val="both"/>
        <w:rPr>
          <w:rFonts w:ascii="Times New Roman" w:hAnsi="Times New Roman" w:cs="Times New Roman"/>
        </w:rPr>
      </w:pPr>
      <w:r>
        <w:rPr>
          <w:rFonts w:ascii="Times New Roman" w:hAnsi="Times New Roman" w:cs="Times New Roman"/>
        </w:rPr>
        <w:t xml:space="preserve">Having established a baseline MB report rate, we further examined what constitutes an appropriate sample size for different effect sizes and experience-sampling probes in a </w:t>
      </w:r>
      <w:proofErr w:type="spellStart"/>
      <w:r>
        <w:rPr>
          <w:rFonts w:ascii="Times New Roman" w:hAnsi="Times New Roman" w:cs="Times New Roman"/>
        </w:rPr>
        <w:t>within-subjects</w:t>
      </w:r>
      <w:proofErr w:type="spellEnd"/>
      <w:r>
        <w:rPr>
          <w:rFonts w:ascii="Times New Roman" w:hAnsi="Times New Roman" w:cs="Times New Roman"/>
        </w:rPr>
        <w:t xml:space="preserve"> design. We simulated a two-condition logistic regression for effect sizes ranging from small to large. Type-I and Type-II were set at 0.01 and 0.05, </w:t>
      </w:r>
      <w:r w:rsidR="00F62572">
        <w:rPr>
          <w:rFonts w:ascii="Times New Roman" w:hAnsi="Times New Roman" w:cs="Times New Roman"/>
        </w:rPr>
        <w:t>respectively, consistent with current registered-report</w:t>
      </w:r>
      <w:r>
        <w:rPr>
          <w:rFonts w:ascii="Times New Roman" w:hAnsi="Times New Roman" w:cs="Times New Roman"/>
        </w:rPr>
        <w:t xml:space="preserve"> standards and recommendations for well-powered studies </w:t>
      </w:r>
      <w:r w:rsidR="0006677F">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{"citationID":"ahfgmca2pl","properties":{"unsorted":false,"formattedCitation":"(Maier &amp; Lakens, 2022)","plainCitation":"(Maier &amp; Lakens, 2022)","noteIndex":0},"citationItems":[{"id":4606,"uris":["http://zotero.org/users/8613739/items/CDRUP9FE"],"itemData":{"id":4606,"type":"article-journal","abstract":"The default use of an alpha level of .05 is suboptimal for two reasons. First, decisions based on data can be made more efficiently by choosing an alpha level that minimizes the combined Type 1 and Type 2 error rate. Second, it is possible that in studies with very high statistical power, p values lower than the alpha level can be more likely when the null hypothesis is true than when the alternative hypothesis is true (i.e., Lindley’s paradox). In this article, we explain two approaches that can be used to justify a better choice of an alpha level than relying on the default threshold of .05. The first approach is based on the idea to either minimize or balance Type 1 and Type 2 error rates. The second approach lowers the alpha level as a function of the sample size to prevent Lindley’s paradox. An R package and Shiny app are provided to perform the required calculations. Both approaches have their limitations (e.g., the challenge of specifying relative costs and priors) but can offer an improvement to current practices, especially when sample sizes are large. The use of alpha levels that are better justified should improve statistical inferences and can increase the efficiency and informativeness of scientific research.","citation-key":"maierJustifyYourAlpha2022","container-title":"Advances in Methods and Practices in Psychological Science","DOI":"10.1177/25152459221080396","ISSN":"2515-2459","issue":"2","language":"en","page":"25152459221080396","publisher":"SAGE Publications Inc","source":"SAGE Journals","title":"Justify Your Alpha: A Primer on Two Practical Approaches","title-short":"Justify Your Alpha","volume":"5","author":[{"family":"Maier","given":"Maximilian"},{"family":"Lakens","given":"Daniël"}],"issued":{"date-parts":[["2022",4,1]]}}}],"schema":"https://github.com/citation-style-language/schema/raw/master/csl-citation.json"} </w:instrText>
      </w:r>
      <w:r w:rsidR="0006677F">
        <w:rPr>
          <w:rFonts w:ascii="Times New Roman" w:hAnsi="Times New Roman" w:cs="Times New Roman"/>
        </w:rPr>
        <w:fldChar w:fldCharType="separate"/>
      </w:r>
      <w:r w:rsidR="00B633EE" w:rsidRPr="00B633EE">
        <w:rPr>
          <w:rFonts w:ascii="Times New Roman" w:hAnsi="Times New Roman" w:cs="Times New Roman"/>
        </w:rPr>
        <w:t>(Maier &amp; Lakens, 2022)</w:t>
      </w:r>
      <w:r w:rsidR="0006677F">
        <w:rPr>
          <w:rFonts w:ascii="Times New Roman" w:hAnsi="Times New Roman" w:cs="Times New Roman"/>
        </w:rPr>
        <w:fldChar w:fldCharType="end"/>
      </w:r>
      <w:r>
        <w:rPr>
          <w:rFonts w:ascii="Times New Roman" w:hAnsi="Times New Roman" w:cs="Times New Roman"/>
        </w:rPr>
        <w:t>. In addition to requiring statistical significance, we implemented an equivalence criterion to ensure that observed effects were meaningfully different from zero rather than trivially small.</w:t>
      </w:r>
      <w:r>
        <w:rPr>
          <w:rFonts w:ascii="Times New Roman" w:hAnsi="Times New Roman" w:cs="Times New Roman"/>
          <w:lang w:val="en-GB"/>
        </w:rPr>
        <w:t xml:space="preserve"> </w:t>
      </w:r>
      <w:r>
        <w:rPr>
          <w:rFonts w:ascii="Times New Roman" w:hAnsi="Times New Roman" w:cs="Times New Roman"/>
        </w:rPr>
        <w:t>We observed that a larger number of probes (from 30 to 50) had a small effect on reducing sample size (~5-10 participants). What was interesting was the relative increase in expected MB across probes: For small effect sizes (log odds=0.35), the expected difference corresponded to approximately one additional MB report across 30 probes and two additional reports across 50 probes. Such a modest increase may have limited practical relevance. Accordingly, future studies should carefully consider whether powering exclusively for medium-to-large effect sizes would be more appropriate, as this would reflect a meaningful smallest effect size of interest</w:t>
      </w:r>
      <w:r w:rsidR="0006677F">
        <w:rPr>
          <w:rFonts w:ascii="Times New Roman" w:hAnsi="Times New Roman" w:cs="Times New Roman"/>
        </w:rPr>
        <w:t xml:space="preserve"> </w:t>
      </w:r>
      <w:r w:rsidR="0006677F">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{"citationID":"a2p1te16rtt","properties":{"unsorted":false,"formattedCitation":"(Anvari &amp; Lakens, 2021; Riesthuis, 2024)","plainCitation":"(Anvari &amp; Lakens, 2021; Riesthuis, 2024)","noteIndex":0},"citationItems":[{"id":17793,"uris":["http://zotero.org/users/8613739/items/ALFT9KWL"],"itemData":{"id":17793,"type":"article-journal","abstract":"Effect sizes are an important outcome of quantitative research, but few guidelines exist that explain how researchers can determine which effect sizes are meaningful. Psychologists often want to study effects that are large enough to make a difference to people's subjective experience. Thus, subjective experience is one way to gauge the meaningfulness of an effect. We propose and illustrate one method for how to quantify the smallest subjectively experienced difference—the smallest change in an outcome measure that individuals consider to be meaningful enough in their subjective experience such that they are willing to rate themselves as feeling different—using an anchor-based method with a global rating of change question applied to the positive and negative affect scale. We provide a step-by-step guide for the questions that researchers need to consider in deciding whether and how to use the anchor-based method, and we make explicit the assumptions of the method that future research can examine. For researchers interested in people's subjective experiences, this anchor-based method provides one way to specify a smallest effect size of interest, which allows researchers to interpret observed results in terms of their theoretical and practical significance.","citation-key":"anvariUsingAnchorbasedMethods2021","container-title":"Journal of Experimental Social Psychology","DOI":"10.1016/j.jesp.2021.104159","ISSN":"0022-1031","journalAbbreviation":"Journal of Experimental Social Psychology","page":"104159","source":"ScienceDirect","title":"Using anchor-based methods to determine the smallest effect size of interest","volume":"96","author":[{"family":"Anvari","given":"Farid"},{"family":"Lakens","given":"Daniël"}],"issued":{"date-parts":[["2021",9,1]]}}},{"id":17743,"uris":["http://zotero.org/users/8613739/items/TELZF7TM"],"itemData":{"id":17743,"type":"article-journal","abstract":"Effect sizes are often used in psychology because they are crucial when determining the required sample size of a study and when interpreting the implications of a result. Recently, researchers have been encouraged to contextualize their effect sizes and determine what the smallest effect size is that yields theoretical or practical implications, also known as the “smallest effect size of interest” (SESOI). Having a SESOI will allow researchers to have more specific hypotheses, such as whether their findings are truly meaningful (i.e., minimum-effect testing) or whether no meaningful effect exists (i.e., equivalence testing). These types of hypotheses should be reflected in power analyses to accurately determine the required sample size. Through a confidence-interval-focused approach and simulations, I show how to conduct power analyses for minimum-effect and equivalence testing. Moreover, I show that conducting a power analysis for the SESOI might result in inconclusive results. This confidence-interval-focused simulation-based power analysis can be easily adopted to different types of research areas and designs. Last, I provide recommendations on how to conduct such simulation-based power analyses.","citation-key":"riesthuisSimulationBasedPowerAnalyses2024","container-title":"Advances in Methods and Practices in Psychological Science","DOI":"10.1177/25152459241240722","ISSN":"2515-2459","issue":"2","language":"EN","page":"25152459241240722","publisher":"SAGE Publications Inc","source":"SAGE Journals","title":"Simulation-Based Power Analyses for the Smallest Effect Size of Interest: A Confidence-Interval Approach for Minimum-Effect and Equivalence Testing","title-short":"Simulation-Based Power Analyses for the Smallest Effect Size of Interest","volume":"7","author":[{"family":"Riesthuis","given":"Paul"}],"issued":{"date-parts":[["2024",4,1]]}}}],"schema":"https://github.com/citation-style-language/schema/raw/master/csl-citation.json"} </w:instrText>
      </w:r>
      <w:r w:rsidR="0006677F">
        <w:rPr>
          <w:rFonts w:ascii="Times New Roman" w:hAnsi="Times New Roman" w:cs="Times New Roman"/>
        </w:rPr>
        <w:fldChar w:fldCharType="separate"/>
      </w:r>
      <w:r w:rsidR="00B633EE" w:rsidRPr="00B633EE">
        <w:rPr>
          <w:rFonts w:ascii="Times New Roman" w:hAnsi="Times New Roman" w:cs="Times New Roman"/>
        </w:rPr>
        <w:t xml:space="preserve">(Anvari &amp; Lakens, </w:t>
      </w:r>
      <w:r w:rsidR="00B633EE" w:rsidRPr="00B633EE">
        <w:rPr>
          <w:rFonts w:ascii="Times New Roman" w:hAnsi="Times New Roman" w:cs="Times New Roman"/>
        </w:rPr>
        <w:lastRenderedPageBreak/>
        <w:t>2021; Riesthuis, 2024)</w:t>
      </w:r>
      <w:r w:rsidR="0006677F">
        <w:rPr>
          <w:rFonts w:ascii="Times New Roman" w:hAnsi="Times New Roman" w:cs="Times New Roman"/>
        </w:rPr>
        <w:fldChar w:fldCharType="end"/>
      </w:r>
      <w:r w:rsidR="00CE2044">
        <w:rPr>
          <w:rFonts w:ascii="Times New Roman" w:hAnsi="Times New Roman" w:cs="Times New Roman"/>
        </w:rPr>
        <w:t xml:space="preserve">. </w:t>
      </w:r>
      <w:r w:rsidR="005141F4" w:rsidRPr="005141F4">
        <w:rPr>
          <w:rFonts w:ascii="Times New Roman" w:hAnsi="Times New Roman" w:cs="Times New Roman"/>
        </w:rPr>
        <w:t xml:space="preserve">In any case, because MB occurs sparsely, changes in reported MB are likely to translate into only very small absolute differences (e.g., one or two additional MBs). We therefore strongly encourage researchers to estimate how many MBs their manipulation is expected to produce given the number of probes in their specific design, </w:t>
      </w:r>
      <w:proofErr w:type="gramStart"/>
      <w:r w:rsidR="005141F4" w:rsidRPr="005141F4">
        <w:rPr>
          <w:rFonts w:ascii="Times New Roman" w:hAnsi="Times New Roman" w:cs="Times New Roman"/>
        </w:rPr>
        <w:t>in order to</w:t>
      </w:r>
      <w:proofErr w:type="gramEnd"/>
      <w:r w:rsidR="005141F4" w:rsidRPr="005141F4">
        <w:rPr>
          <w:rFonts w:ascii="Times New Roman" w:hAnsi="Times New Roman" w:cs="Times New Roman"/>
        </w:rPr>
        <w:t xml:space="preserve"> assess the combined sensitivity of probe number and effect size.</w:t>
      </w:r>
      <w:r w:rsidR="005141F4">
        <w:rPr>
          <w:rFonts w:ascii="Times New Roman" w:hAnsi="Times New Roman" w:cs="Times New Roman"/>
        </w:rPr>
        <w:t xml:space="preserve"> </w:t>
      </w:r>
      <w:r>
        <w:rPr>
          <w:rFonts w:ascii="Times New Roman" w:hAnsi="Times New Roman" w:cs="Times New Roman"/>
        </w:rPr>
        <w:t xml:space="preserve">To facilitate this process, we provide an online script that allows users to specify key parameters of their experience-sampling protocol, including the number of probes and a range of effect </w:t>
      </w:r>
      <w:bookmarkStart w:id="2" w:name="_Int_B9JAOy5R"/>
      <w:r>
        <w:rPr>
          <w:rFonts w:ascii="Times New Roman" w:hAnsi="Times New Roman" w:cs="Times New Roman"/>
        </w:rPr>
        <w:t>sizes</w:t>
      </w:r>
      <w:bookmarkEnd w:id="2"/>
      <w:r w:rsidR="00C5112B">
        <w:rPr>
          <w:rFonts w:ascii="Times New Roman" w:hAnsi="Times New Roman" w:cs="Times New Roman"/>
        </w:rPr>
        <w:t xml:space="preserve"> (</w:t>
      </w:r>
      <w:hyperlink r:id="rId23" w:history="1">
        <w:r w:rsidR="00C5112B" w:rsidRPr="00581C85">
          <w:rPr>
            <w:rStyle w:val="Hyperlink"/>
            <w:rFonts w:ascii="Times New Roman" w:hAnsi="Times New Roman" w:cs="Times New Roman"/>
          </w:rPr>
          <w:t>https://gitlab.uliege.be/poc/mb-meta-analysis</w:t>
        </w:r>
      </w:hyperlink>
      <w:r w:rsidR="00C5112B">
        <w:rPr>
          <w:rFonts w:ascii="Times New Roman" w:hAnsi="Times New Roman" w:cs="Times New Roman"/>
        </w:rPr>
        <w:t>)</w:t>
      </w:r>
      <w:r>
        <w:rPr>
          <w:rFonts w:ascii="Times New Roman" w:hAnsi="Times New Roman" w:cs="Times New Roman"/>
        </w:rPr>
        <w:t>. The script enables simulation of statistical power and provides interpretable estimates of the expected magnitude of change in MB reports.</w:t>
      </w:r>
    </w:p>
    <w:p w14:paraId="1567369D" w14:textId="5E21806B" w:rsidR="0006677F" w:rsidRDefault="0006677F" w:rsidP="0006677F">
      <w:pPr>
        <w:spacing w:line="360" w:lineRule="auto"/>
        <w:ind w:firstLine="720"/>
        <w:jc w:val="both"/>
      </w:pPr>
      <w:r w:rsidRPr="69CF6134">
        <w:rPr>
          <w:rFonts w:ascii="Times New Roman" w:hAnsi="Times New Roman" w:cs="Times New Roman"/>
        </w:rPr>
        <w:t xml:space="preserve">Upon exploration of our meta-analytic database, we recurrently observed a tendency to group MB with other mental states, particularly mind-wandering and external distractions, under the category of task-unrelated thoughts, and solely </w:t>
      </w:r>
      <w:proofErr w:type="spellStart"/>
      <w:r w:rsidRPr="69CF6134">
        <w:rPr>
          <w:rFonts w:ascii="Times New Roman" w:hAnsi="Times New Roman" w:cs="Times New Roman"/>
        </w:rPr>
        <w:t>analysing</w:t>
      </w:r>
      <w:proofErr w:type="spellEnd"/>
      <w:r w:rsidRPr="69CF6134">
        <w:rPr>
          <w:rFonts w:ascii="Times New Roman" w:hAnsi="Times New Roman" w:cs="Times New Roman"/>
        </w:rPr>
        <w:t xml:space="preserve"> this grouping. This approach was adopted in approximately 22% of the studies in the database. This was also a reason why some studies were excluded from the database, as we were unable to isolate MB from other mental states. The approach of aggregating MB with other states, and not treating it as a separate event, is problematic for two reasons: first, from a statistical perspective, this approach might inflate the estimated proportion of other mental states, particularly that of mind-wandering. Since appropriate power planning for mental state effects is contingent on their proportion, powering for an inflated proportion estimate risks an underpowered design. Second, this approach risks mixing separate physio-cognitive mental state profiles. An emergent literature has shown that MB has a unique and dissociable </w:t>
      </w:r>
      <w:r w:rsidR="00EC6FBA">
        <w:rPr>
          <w:rFonts w:ascii="Times New Roman" w:hAnsi="Times New Roman" w:cs="Times New Roman"/>
        </w:rPr>
        <w:t>phenomenological</w:t>
      </w:r>
      <w:r w:rsidRPr="69CF6134">
        <w:rPr>
          <w:rFonts w:ascii="Times New Roman" w:hAnsi="Times New Roman" w:cs="Times New Roman"/>
        </w:rPr>
        <w:t xml:space="preserve"> </w:t>
      </w:r>
      <w:r w:rsidRPr="69CF6134">
        <w:rPr>
          <w:rFonts w:ascii="Times New Roman" w:hAnsi="Times New Roman" w:cs="Times New Roman"/>
          <w:lang w:val="de-DE"/>
        </w:rPr>
        <w:fldChar w:fldCharType="begin"/>
      </w:r>
      <w:r w:rsidR="00B633EE">
        <w:rPr>
          <w:rFonts w:ascii="Times New Roman" w:hAnsi="Times New Roman" w:cs="Times New Roman"/>
          <w:lang w:val="de-DE"/>
        </w:rPr>
        <w:instrText xml:space="preserve"> ADDIN ZOTERO_ITEM CSL_CITATION {"citationID":"a93gpn5fkp","properties":{"unsorted":false,"formattedCitation":"(Ward &amp; Wegner, 2013)","plainCitation":"(Ward &amp; Wegner, 2013)","noteIndex":0},"citationItems":[{"id":5027,"uris":["http://zotero.org/users/8613739/items/3NSFSNMY"],"itemData":{"id":5027,"type":"article-journal","citation-key":"wardMindblankingWhenMind2013","container-title":"Frontiers in Psychology","DOI":"10.3389/fpsyg.2013.00650","page":"650","title":"Mind-blanking: when the mind goes away","volume":"4","author":[{"family":"Ward","given":"Adrian"},{"family":"Wegner","given":"Daniel"}],"issued":{"date-parts":[["2013"]]}}}],"schema":"https://github.com/citation-style-language/schema/raw/master/csl-citation.json"} </w:instrText>
      </w:r>
      <w:r w:rsidRPr="69CF6134">
        <w:rPr>
          <w:rFonts w:ascii="Times New Roman" w:hAnsi="Times New Roman" w:cs="Times New Roman"/>
          <w:lang w:val="de-DE"/>
        </w:rPr>
        <w:fldChar w:fldCharType="separate"/>
      </w:r>
      <w:r w:rsidR="00B633EE" w:rsidRPr="00B633EE">
        <w:rPr>
          <w:rFonts w:ascii="Times New Roman" w:hAnsi="Times New Roman" w:cs="Times New Roman"/>
        </w:rPr>
        <w:t>(Ward &amp; Wegner, 2013)</w:t>
      </w:r>
      <w:r w:rsidRPr="69CF6134">
        <w:rPr>
          <w:rFonts w:ascii="Times New Roman" w:hAnsi="Times New Roman" w:cs="Times New Roman"/>
          <w:lang w:val="de-DE"/>
        </w:rPr>
        <w:fldChar w:fldCharType="end"/>
      </w:r>
      <w:r w:rsidRPr="69CF6134">
        <w:rPr>
          <w:rFonts w:ascii="Times New Roman" w:hAnsi="Times New Roman" w:cs="Times New Roman"/>
        </w:rPr>
        <w:t xml:space="preserve">, neural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{"citationID":"a607k4ujic","properties":{"unsorted":false,"formattedCitation":"(Boulakis et al., 2023; Boulakis, Kusztor, et al., 2025; Kawagoe et al., 2019; Mortaheb et al., 2022)","plainCitation":"(Boulakis et al., 2023; Boulakis, Kusztor, et al., 2025; Kawagoe et al., 2019; Mortaheb et al., 2022)","noteIndex":0},"citationItems":[{"id":16233,"uris":["http://zotero.org/groups/6160358/items/4JI4ULLD"],"itemData":{"id":16233,"type":"article-journal","abstract":"Mind-blanking (MB) is termed as the inability to report our immediate-past mental content. In contrast to mental states with reportable content, such as mind-wandering or sensory perceptions, the neural correlates of MB started getting elucidated only recently. A notable particularity that pertains to MB studies is the way MB is instructed for reporting, like by deliberately asking participants to \"empty their minds.\" Such instructions were shown to induce fMRI activations in frontal brain regions, typically associated with metacognition and self-evaluative processes, suggesting that MB may be a result of intentional mental content suppression. Here, we aim at examining this hypothesis by determining the neural correlates of MB without induction. Using fMRI combined with experience-sampling in 31 participants (22 female), univariate analysis of MB reports revealed deactivations in occipital, frontal, parietal, and thalamic areas, but no activations in prefrontal regions. These findings were confirmed using Bayesian region-of-interest analysis on areas previously shown to be implicated in induced MB, where we report evidence for frontal deactivations during MB reports compared with other mental states. Contrast analysis between reports of MB and content-oriented mental states also revealed deactivations in the left angular gyrus. We propose that these effects characterize a neuronal profile of MB, where key thalamocortical nodes are unable to communicate and formulate reportable content. Collectively, we show that study instructions for MB lead to differential neural activation. These results provide mechanistic insights linked to the phenomenology of MB and point to the possibility of MB being expressed in different forms.SIGNIFICANCE STATEMENT This study explores how brain activity changes when individuals report unidentifiable thoughts, a phenomenon known as mind-blanking (MB). It aims to detect changes in brain activations and deactivations when MB is reported spontaneously, as opposed to the neural responses that have been previously reported when MB is induced. By means of brain imaging and experience-sampling, the study points to reduced brain activity in a wide number of regions, including those mesio-frontally which were previously detected as activated during induced MB. These results enhance our understanding of the complexity of spontaneous thinking and contribute to broader discussions on consciousness and reportable experience.","citation-key":"boulakisWholeBrainDeactivationsPrecede2023a","container-title":"The Journal of neuroscience : the official journal of the Society for Neuroscience","DOI":"10.1523/JNEUROSCI.0696-23.2023","ISSN":"1529-2401 0270-6474","issue":"40","language":"eng","license":"Copyright © 2023 the authors.","page":"6807–6815","PMID":"37643862","PMCID":"PMC10552942","title":"Whole-Brain Deactivations Precede Uninduced Mind-Blanking Reports.","volume":"43","author":[{"family":"Boulakis","given":"Paradeisios Alexandros"},{"family":"Mortaheb","given":"Sepehr"},{"family":"Calster","given":"Laurens","non-dropping-particle":"van"},{"family":"Majerus","given":"Steve"},{"family":"Demertzi","given":"Athena"}],"issued":{"date-parts":[["2023",10]]}}},{"id":17569,"uris":["http://zotero.org/users/8613739/items/ALEP8YKX"],"itemData":{"id":17569,"type":"article","abstract":"Mind blanking (MB) is a mental state of seemingly no reportable thought content. The question of how we can entertain no thoughts while awake is challenging for the study of spontaneous thinking. By combining EEG-fMRI with experience sampling during task performance, we categorised changes in mental content and self-reported vigilance to map the neurophysiological signatures of MB. We demonstrate that fMRI connectivity around MB reports is characterised by a \"rich\" pattern of long and short-range signal anticorrelations. At the same time, sleepiness reports are linked to a \"simpler\" hyperconnected fMRI pattern, characterised by overall positive connectivity. Put together, an interaction appears: when people report being alert, connectomes around MB reports resemble the hyperconnected pattern, indicating that the neuronal correlates of MB depend on self-rated vigilance. The hyperconnected pattern also correlated with EEG slow wave activity, tying MB's topology to sleep-like electrophysiology during wakefulness. Collectively, we show that distinct cortical events underlie the shared phenomenology of a thought-free mind. We conclude that MB's neurophysiological correlates vary across perceived vigilance levels and that more refined characterisation of the neuronal correlates of thought-less mental states exist. Our findings build on the quest to bridge mental content and its absence with measurable brain activity and provide insights into how ongoing thinking is maintained during wakefulness.","citation-key":"boulakisDistinctCorticalProfiles2025","DOI":"10.1101/2025.10.14.681984","language":"en","license":"© 2025, Posted by Cold Spring Harbor Laboratory. This pre-print is available under a Creative Commons License (Attribution 4.0 International), CC BY 4.0, as described at http://creativecommons.org/licenses/by/4.0/","note":"ISSN: 2692-8205\npage: 2025.10.14.681984\nsection: New Results","publisher":"bioRxiv","source":"bioRxiv","title":"Distinct cortical profiles underlie the common reportability of thought-free experiences","URL":"https://www.biorxiv.org/content/10.1101/2025.10.14.681984v1","author":[{"family":"Boulakis","given":"Paradeisios Alexandros"},{"family":"Kusztor","given":"Anikó"},{"family":"Tsuchiya","given":"Naotsugu"},{"family":"Andrillon","given":"Thomas"},{"family":"Demertzi","given":"Athena"}],"accessed":{"date-parts":[["2025",10,15]]},"issued":{"date-parts":[["2025",10,15]]}}},{"id":16206,"uris":["http://zotero.org/groups/6160358/items/WBMX7CTM"],"itemData":{"id":16206,"type":"article-journal","abstract":"Mind blanking (MB) is the state where our minds are seemingly \"nowhere,\" and attention calls no perceptual input into conscious awareness. It is little investigated, perhaps partly because it is difficult to detect the mysterious periods of blanking. In this study, we found that our participants could intentionally produce a state of MB whose neural correlates were deactivation of Broca's area and parts of the default mode network (namely, the hippocampus) which would be active during mind wandering (MW), in addition to activity in another region in the default mode network (namely, anterior cingulate cortex). Because the behavioral finding replicates a previous report of ours, we suggest that the simple instructions that we used to induce MB should be effective. From the neuroimaging data, we conclude that we cannot define the content of our thoughts during MB because our inner speech system does not work at that time. Another possibility is that we actually think of nothing in the MB state. Although more sophisticated studies would be needed to uncover the mechanism of such a phenomenon, the present study provides a methodology and clues for understanding MB and related concepts such as MW, awareness, and metacognitive ability.","citation-key":"kawagoeNeuralCorrelatesMind2019a","container-title":"Human brain mapping","DOI":"10.1002/hbm.24748","ISSN":"1097-0193 1065-9471","issue":"17","language":"eng","license":"© 2019 Wiley Periodicals, Inc.","page":"4934–4940","PMID":"31389642","PMCID":"PMC6865483","title":"The neural correlates of \"mind blanking\": When the mind goes away.","volume":"40","author":[{"family":"Kawagoe","given":"Toshikazu"},{"family":"Onoda","given":"Keiichi"},{"family":"Yamaguchi","given":"Shuhei"}],"issued":{"date-parts":[["2019",12]]}}},{"id":15027,"uris":["http://zotero.org/users/8613739/items/8TT9V8WL"],"itemData":{"id":15027,"type":"article-journal","abstract":"Mind blanking (MB) is a waking state during which we do not report any mental content. The phenomenology of MB challenges the view of a constantly thinking mind. Here, we comprehensively characterize the MB’s neurobehavioral profile with the aim to delineate its role during ongoing mentation. Using functional MRI experience sampling, we show that the reportability of MB is less frequent, faster, and with lower transitional dynamics than other mental states, pointing to its role as a transient mental relay. Regarding its neural underpinnings, we observed higher global signal amplitude during MB reports, indicating a distinct physiological state. Using the time-varying functional connectome, we show that MB reports can be classified with high accuracy, suggesting that MB has a unique neural composition. Indeed, a pattern of global positive-phase coherence shows the highest similarity to the connectivity</w:instrText>
      </w:r>
      <w:r w:rsidR="00B633EE" w:rsidRPr="00B633EE">
        <w:rPr>
          <w:rFonts w:ascii="Times New Roman" w:hAnsi="Times New Roman" w:cs="Times New Roman"/>
          <w:lang w:val="fr-BE"/>
        </w:rPr>
        <w:instrText xml:space="preserve"> patterns associated with MB reports. We interpret this pattern’s rigid signal architecture as hindering content reportability due to the brain’s inability to differentiate signals in an informative way. Collectively, we show that MB has a unique neurobehavioral profile, indicating that nonreportable mental events can happen during wakefulness. Our results add to the characterization of spontaneous mentation and pave the way for more mechanistic investigations of MB’s phenomenology.","citation-key":"mortahebMindBlankingDistinct2022","container-title":"Proceedings of the National Academy of Sciences","DOI":"10.1073/pnas.2200511119","issue":"41","journalAbbreviation":"Proc Natl Acad Sci U S A","page":"e2200511119","publisher":"Proceedings of the National Academy of Sciences","source":"pnas.org (Atypon)","title":"Mind blanking is a distinct mental state linked to a recurrent brain profile of globally positive connectivity during ongoing mentation","volume":"119","author":[{"family":"Mortaheb","given":"Sepehr"},{"family":"Van Calster","given":"Laurens"},{"family":"Raimondo","given":"Federico"},{"family":"Klados","given":"Manousos A."},{"family":"Boulakis","given":"Paradeisios Alexandros"},{"family":"Georgoula","given":"Kleio"},{"family":"Majerus","given":"Steve"},{"family":"Van De Ville","given":"Dimitri"},{"family":"Demertzi","given":"Athena"}],"issued":{"date-parts":[["2022",10,11]]}}}],"schema":"https://github.com/citation-style-language/schema/raw/master/csl-citation.json"}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lang w:val="fr-BE"/>
        </w:rPr>
        <w:t>(Boulakis et al., 2023; Boulakis, Kusztor, et al., 2025; Kawagoe et al., 2019; Mortaheb et al., 2022)</w:t>
      </w:r>
      <w:r w:rsidRPr="69CF6134">
        <w:rPr>
          <w:rFonts w:ascii="Times New Roman" w:hAnsi="Times New Roman" w:cs="Times New Roman"/>
        </w:rPr>
        <w:fldChar w:fldCharType="end"/>
      </w:r>
      <w:r w:rsidRPr="69CF6134">
        <w:rPr>
          <w:rFonts w:ascii="Times New Roman" w:hAnsi="Times New Roman" w:cs="Times New Roman"/>
          <w:lang w:val="fr-BE"/>
        </w:rPr>
        <w:t xml:space="preserve">, </w:t>
      </w:r>
      <w:proofErr w:type="spellStart"/>
      <w:r w:rsidRPr="69CF6134">
        <w:rPr>
          <w:rFonts w:ascii="Times New Roman" w:hAnsi="Times New Roman" w:cs="Times New Roman"/>
          <w:lang w:val="fr-BE"/>
        </w:rPr>
        <w:t>electrophysiological</w:t>
      </w:r>
      <w:proofErr w:type="spellEnd"/>
      <w:r w:rsidRPr="69CF6134">
        <w:rPr>
          <w:rFonts w:ascii="Times New Roman" w:hAnsi="Times New Roman" w:cs="Times New Roman"/>
          <w:lang w:val="fr-BE"/>
        </w:rPr>
        <w:t xml:space="preserve"> </w:t>
      </w:r>
      <w:r w:rsidRPr="69CF6134">
        <w:rPr>
          <w:rFonts w:ascii="Times New Roman" w:hAnsi="Times New Roman" w:cs="Times New Roman"/>
          <w:lang w:val="fr-BE"/>
        </w:rPr>
        <w:fldChar w:fldCharType="begin"/>
      </w:r>
      <w:r w:rsidR="00B633EE">
        <w:rPr>
          <w:rFonts w:ascii="Times New Roman" w:hAnsi="Times New Roman" w:cs="Times New Roman"/>
          <w:lang w:val="fr-BE"/>
        </w:rPr>
        <w:instrText xml:space="preserve"> ADDIN ZOTERO_ITEM CSL_CITATION {"citationID":"asl9a806dc","properties":{"unsorted":false,"formattedCitation":"(Andrillon et al., 2021; Boulakis, Kusztor, et al., 2025; Munoz-Musat et al., 2025)","plainCitation":"(Andrillon et al., 2021; Boulakis, Kusztor, et al., 2025; Munoz-Musat et al., 2025)","noteIndex":0},"citationItems":[{"id":5757,"uris":["http://zotero.org/users/8613739/items/44AG6C8P"],"itemData":{"id":5757,"type":"article-journal","abstract":"Attentional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17569,"uris":["http://zotero.org/users/8613739/items/ALEP8YKX"],"itemData":{"id":17569,"type":"article","abstract":"Mind blanking (MB) is a mental state of seemingly no reportable thought content. The question of how we can entertain no thoughts while awake is challenging for the study of spontaneous thinking. By combining EEG-fMRI with experience sampling during task performance, we categorised changes in mental content and self-reported vigilance to map the neurophysiological signatures of MB. We demonstrate that fMRI connectivity around MB reports is characterised by a \"rich\" pattern of long and short-range signal anticorrelations. At the same time, sleepiness reports are linked to a \"simpler\" hyperconnected fMRI pattern, characterised by overall positive connectivity. Put together, an interaction appears: when people report being alert, connectomes around MB reports resemble the hyperconnected pattern, indicating that the neuronal correlates of MB depend on self-rated vigilance. The hyperconnected pattern also correlated with EEG slow wave activity, tying MB's topology to sleep-like electrophysiology during wakefulness. Collectively, we show that distinct cortical events underlie the shared phenomenology of a thought-free mind. We conclude that MB's neurophysiological correlates vary across perceived vigilance levels and that more refined characterisation of the neuronal correlates of thought-less mental states exist. Our findings build on the quest to bridge mental content and its absence with measurable brain activity and provide insights into how ongoing thinking is maintained during wakefulness.","citation-key":"boulakisDistinctCorticalProfiles2025","DOI":"10.1101/2025.10.14.681984","language":"en","license":"© 2025, Posted by Cold Spring Harbor Laboratory. This pre-print is available under a Creative Commons License (Attribution 4.0 International), CC BY 4.0, as described at http://creativecommons.org/licenses/by/4.0/","note":"ISSN: 2692-8205\npage: 2025.10.14.681984\nsection: New Results","publisher":"bioRxiv","source":"bioRxiv","title":"Distinct cortical profiles underlie the common reportability of thought-free experiences","URL":"https://www.biorxiv.org/content/10.1101/2025.10.14.681984v1","author":[{"family":"Boulakis","given":"Paradeisios Alexandros"},{"family":"Kusztor","given":"Anikó"},{"family":"Tsuchiya","given":"Naotsugu"},{"family":"Andrillon","given":"Thomas"},{"family":"Demertzi","given":"Athena"}],"accessed":{"date-parts":[["2025",10,15]]},"issued":{"date-parts":[["2025",10,15]]}}},{"id":17626,"uris":["http://zotero.org/users/8613739/items/CGUZB2WI"],"itemData":{"id":17626,"type":"article-journal","abstract":"Does being awake necessarily mean being conscious of something? This study investigates the phenomenon of mind blanking (MB), characterized by an “emptiness of mind,” comparing it with mind wandering (MW) and on-task (ON) states. Using a sustained attention task and electroencephalogram monitoring, behavioral, and neurophysiological signatures of MB were examined in 62 participants. MB exhibited a specific pattern of behavioral lapses, as well as decreased fast oscillatory activity and complexity over posterior electrodes compared to MW. Functional connectivity analyses revealed decreased long-range interareal connectivity during MB, compared to both ON and MW states. Event-related potentials with source reconstruction and temporal decoding techniques indicated a significant disruption in visual processing during MB, starting from 200 ms post stimulus and echoing into the late-stage of visual processing, suggesting a disruption of conscious access to sensory information during MB. Electroencephalogram-derived markers allowed the prediction of mental states at the trial level, offering a finer view of conscious dynamics than subjective reports alone. Overall, these findings challenge the notion of the wakeful conscious mind as inherently content-oriented, suggesting that MB reflects genuine gaps in the stream of conscious thoughts, arising from disruptions in the generation or accessibility of thought content.","citation-key":"munoz-musatBehavioralExperientialPhysiological2025","container-title":"Proceedings of the National Academy of Sciences","DOI":"10.1073/pnas.2510262122","issue":"52","page":"e2510262122","publisher":"Proceedings of the National Academy of Sciences","source":"pnas.org (Atypon)","title":"Behavioral, experiential, and physiological signatures of mind blanking","volume":"122","author":[{"family":"Munoz-Musat","given":"Esteban"},{"family":"Le Coz","given":"Arthur"},{"family":"Corcoran","given":"Andrew W."},{"family":"Belloli","given":"Laouen"},{"family":"Naccache","given":"Lionel"},{"family":"Andrillon","given":"Thomas"}],"issued":{"date-parts":[["2025",12,30]]}}}],"schema":"https://github.com/citation-style-language/schema/raw/master/csl-citation.json"} </w:instrText>
      </w:r>
      <w:r w:rsidRPr="69CF6134">
        <w:rPr>
          <w:rFonts w:ascii="Times New Roman" w:hAnsi="Times New Roman" w:cs="Times New Roman"/>
          <w:lang w:val="fr-BE"/>
        </w:rPr>
        <w:fldChar w:fldCharType="separate"/>
      </w:r>
      <w:r w:rsidR="00B633EE" w:rsidRPr="00B633EE">
        <w:rPr>
          <w:rFonts w:ascii="Times New Roman" w:hAnsi="Times New Roman" w:cs="Times New Roman"/>
          <w:lang w:val="fr-BE"/>
        </w:rPr>
        <w:t>(Andrillon et al., 2021; Boulakis, Kusztor, et al., 2025; Munoz-Musat et al., 2025)</w:t>
      </w:r>
      <w:r w:rsidRPr="69CF6134">
        <w:rPr>
          <w:rFonts w:ascii="Times New Roman" w:hAnsi="Times New Roman" w:cs="Times New Roman"/>
          <w:lang w:val="fr-BE"/>
        </w:rPr>
        <w:fldChar w:fldCharType="end"/>
      </w:r>
      <w:r w:rsidRPr="69CF6134">
        <w:rPr>
          <w:rFonts w:ascii="Times New Roman" w:hAnsi="Times New Roman" w:cs="Times New Roman"/>
          <w:lang w:val="fr-BE"/>
        </w:rPr>
        <w:t xml:space="preserve"> and </w:t>
      </w:r>
      <w:proofErr w:type="spellStart"/>
      <w:r w:rsidRPr="69CF6134">
        <w:rPr>
          <w:rFonts w:ascii="Times New Roman" w:hAnsi="Times New Roman" w:cs="Times New Roman"/>
          <w:lang w:val="fr-BE"/>
        </w:rPr>
        <w:t>physiological</w:t>
      </w:r>
      <w:proofErr w:type="spellEnd"/>
      <w:r w:rsidRPr="69CF6134">
        <w:rPr>
          <w:rFonts w:ascii="Times New Roman" w:hAnsi="Times New Roman" w:cs="Times New Roman"/>
          <w:lang w:val="fr-BE"/>
        </w:rPr>
        <w:t xml:space="preserve"> profile </w:t>
      </w:r>
      <w:r w:rsidRPr="69CF6134">
        <w:rPr>
          <w:rFonts w:ascii="Times New Roman" w:hAnsi="Times New Roman" w:cs="Times New Roman"/>
          <w:lang w:val="fr-BE"/>
        </w:rPr>
        <w:fldChar w:fldCharType="begin"/>
      </w:r>
      <w:r w:rsidR="00B633EE">
        <w:rPr>
          <w:rFonts w:ascii="Times New Roman" w:hAnsi="Times New Roman" w:cs="Times New Roman"/>
          <w:lang w:val="fr-BE"/>
        </w:rPr>
        <w:instrText xml:space="preserve"> ADDIN ZOTERO_ITEM CSL_CITATION {"citationID":"a19q6bjvhsm","properties":{"unsorted":false,"formattedCitation":"(Boulakis, Simos, et al., 2025; Corcoran et al., 2025; Unsworth &amp; Robison, 2018)","plainCitation":"(Boulakis, Simos, et al., 2025; Corcoran et al., 2025; Unsworth &amp; Robison, 2018)","noteIndex":0},"citationItems":[{"id":17715,"uris":["http://zotero.org/users/8613739/items/5A4PNAM3"],"itemData":{"id":17715,"type":"article-journal","abstract":"Mind blanking (MB) is the inability to report mental events during unconstraint thinking. Previous work shows that MB is linked to decreased levels of cortical arousal, indicating dominance of cerebral mechanisms when reporting mental states. What remains inconclusive is whether MB can also ensue from autonomic arousal manipulations, pointing to the implication of peripheral physiology to mental events. Using experience sampling, neural, and physiological measurements in 26 participants, we first show that MB was reported more frequently in low arousal conditions, elicited by sleep deprivation. Also, there was partial evidence for a higher occurence of MB reports in high arousal conditions, elicited by intense physical exercise. Transition probabilities revealed that, after sleep deprivation, mind wandering was more likely to be followed by MB and less likely to be followed by more mind wandering reports. Using classification schemes, we found higher performance of a balanced random forest classifier trained on both neural and physiological markers in comparison to performance when solely neural or physiological were used. Collectively, we show that both cortical and autonomic arousal affect MB report occurrences. Our results establish that MB is supported by combined brain-body configurations, and, by linking mental and physiological states, they pave the way for novel embodied accounts of spontaneous thinking.","citation-key":"boulakisVariationsAutonomicArousal2025","container-title":"Scientific Reports","DOI":"10.1038/s41598-024-81618-1","ISSN":"2045-2322","issue":"1","journalAbbreviation":"Sci Rep","language":"en","license":"2025 The Author(s)","page":"4956","publisher":"Nature Publishing Group","source":"www.nature.com","title":"Variations of autonomic arousal mediate the reportability of mind blanking occurrences","volume":"15","author":[{"family":"Boulakis","given":"Paradeisios Alexandros"},{"family":"Simos","given":"Nicholas John"},{"family":"Zoi","given":"Stefania"},{"family":"Mortaheb","given":"Sepehr"},{"family":"Schmidt","given":"Christina"},{"family":"Raimondo","given":"Federico"},{"family":"Demertzi","given":"Athena"}],"issued":{"date-parts":[["2025",2,10]]}}},{"id":17735,"uris":["http://zotero.org/users/8613739/items/VI2WSF4X"],"itemData":{"id":17735,"type":"article-journal","abstract":"Neuroscience is beginning to uncover the role of interoceptive feedback in perception, learning, and decision-making; however, the relation between spontaneous visceral and cognitive dynamics has received surprisingly little scrutiny. Here, we investigate how subjective, physiological, and behavioural indicators of arousal and attentional state vary in relation to ongoing cardiac activity and brain-heart coupling. Electroencephalogram, electrocardiogram, and pupillometric records were obtained from 65 adults during the performance of a sustained attention to response task (SART). Thought probes were intermittently administered during the SART to collect subjective reports of attentional state (on-task, mind-wandering, mind-blanking) and vigilance level (alertness vs. sleepiness). Mind-wandering and mind-blanking reports increased in frequency with time-on-task and were accompanied by decreases in alertness and pupil-linked arousal, but evinced distinct psychophysiological and behavioural profiles: While mind-wandering was associated with greater heart-rate variability and late modulation of the heartbeat-evoked potential, mind-blanking was characterised by more profound decreases in heart-rate, pupil size, and brain-heart coupling. Lower heart-rate predicted decreased vigilance and pupil size, in addition to slower, less-biased responses; increased heart-rate variability predicted more impulsive behaviour and pupil dilation. Together, these findings reveal that cardiac parameters and brain-heart connectivity measures afford complementary information about arousal states and attentional dynamics during task performance.","citation-key":"corcoranWhenYourHeart2025","container-title":"Communications Biology","DOI":"10.1038/s42003-025-09026-3","ISSN":"2399-3642","issue":"1","journalAbbreviation":"Commun Biol","language":"en","license":"2025 The Author(s)","page":"1646","publisher":"Nature Publishing Group","source":"www.nature.com","title":"When your heart isn’t in it anymore: cardiac correlates of task disengagement","title-short":"When your heart isn’t in it anymore","volume":"8","author":[{"family":"Corcoran","given":"Andrew W."},{"family":"Le Coz","given":"Arthur"},{"family":"Hohwy","given":"Jakob"},{"family":"Andrillon","given":"Thomas"}],"issued":{"date-parts":[["2025",11,24]]}}},{"id":126,"uris":["http://zotero.org/users/8613739/items/GAGYGTQS"],"itemData":{"id":126,"type":"article-journal","abstract":"In four experiments, the association between arousal state and different mind-wandering states was examined. Participants performed a sustained attention task while pupil responses were continuously recorded. Periodically during the task, participants were presented with thought probes to determine if they were on task or mind wandering. Across the four experiments, the results suggested that in situations that promoted on-task behaviors and focused external attention,</w:instrText>
      </w:r>
      <w:r w:rsidR="00B633EE" w:rsidRPr="00806A84">
        <w:rPr>
          <w:rFonts w:ascii="Times New Roman" w:hAnsi="Times New Roman" w:cs="Times New Roman"/>
        </w:rPr>
        <w:instrText xml:space="preserve"> mind wandering was associated with lowered arousal, as seen by smaller tonic pupil diameters and smaller phasic pupillary responses. However, in situations that promoted a more internal focus of attention, there were no differences between on-task states and mind wandering in tonic pupil diameter (although differences emerged for phasic pupillary responses), suggesting similar arousal levels. Furthermore, across the four experiments, mind blanking and mind wandering dissociated in terms of whether the situation promoted focused external attention or focused internal attention. These results are broadly consistent with the notion that mind wandering is a heterogeneous construct, with different forms of mind wandering being associated with different arousal states, and suggest that a combination of behavioral and pupillary measures can be used to track these various states.","citation-key":"unsworthTrackingArousalState2018","container-title":"Cognitive, Affective &amp; Behavioral Neuroscience","DOI":"10.3758/s13415-018-0594-4","ISSN":"1531-135X","issue":"4","journalAbbreviation":"Cogn. Affect. Behav. Neurosci.","language":"eng","page":"638-664","PMID":"29654476","source":"PubMed","title":"Tracking arousal state and mind wandering with pupillometry","volume":"18","author":[{"family":"Unsworth","given":"Nash"},{"family":"Robison","given":"Matthew K."}],"issued":{"date-parts":[["2018",8]]}}}],"schema":"https://github.com/citation-style-language/schema/raw/master/csl-citation.json"} </w:instrText>
      </w:r>
      <w:r w:rsidRPr="69CF6134">
        <w:rPr>
          <w:rFonts w:ascii="Times New Roman" w:hAnsi="Times New Roman" w:cs="Times New Roman"/>
          <w:lang w:val="fr-BE"/>
        </w:rPr>
        <w:fldChar w:fldCharType="separate"/>
      </w:r>
      <w:r w:rsidR="00B633EE" w:rsidRPr="00B633EE">
        <w:rPr>
          <w:rFonts w:ascii="Times New Roman" w:hAnsi="Times New Roman" w:cs="Times New Roman"/>
        </w:rPr>
        <w:t>(Boulakis et al., 2025; Corcoran et al., 2025; Unsworth &amp; Robison, 2018)</w:t>
      </w:r>
      <w:r w:rsidRPr="69CF6134">
        <w:rPr>
          <w:rFonts w:ascii="Times New Roman" w:hAnsi="Times New Roman" w:cs="Times New Roman"/>
          <w:lang w:val="fr-BE"/>
        </w:rPr>
        <w:fldChar w:fldCharType="end"/>
      </w:r>
      <w:r w:rsidRPr="69CF6134">
        <w:rPr>
          <w:rFonts w:ascii="Times New Roman" w:hAnsi="Times New Roman" w:cs="Times New Roman"/>
        </w:rPr>
        <w:t xml:space="preserve">. Additionally, MB is dissociable from other states at the </w:t>
      </w:r>
      <w:proofErr w:type="spellStart"/>
      <w:r w:rsidR="00F62572" w:rsidRPr="69CF6134">
        <w:rPr>
          <w:rFonts w:ascii="Times New Roman" w:hAnsi="Times New Roman" w:cs="Times New Roman"/>
        </w:rPr>
        <w:t>behavioural</w:t>
      </w:r>
      <w:proofErr w:type="spellEnd"/>
      <w:r w:rsidR="00F62572" w:rsidRPr="69CF6134">
        <w:rPr>
          <w:rFonts w:ascii="Times New Roman" w:hAnsi="Times New Roman" w:cs="Times New Roman"/>
        </w:rPr>
        <w:t xml:space="preserve"> level, based on the type of errors participants commit in the cognitive task, which differ</w:t>
      </w:r>
      <w:r w:rsidR="50FDDD65" w:rsidRPr="69CF6134">
        <w:rPr>
          <w:rFonts w:ascii="Times New Roman" w:hAnsi="Times New Roman" w:cs="Times New Roman"/>
        </w:rPr>
        <w:t>s</w:t>
      </w:r>
      <w:r w:rsidRPr="69CF6134">
        <w:rPr>
          <w:rFonts w:ascii="Times New Roman" w:hAnsi="Times New Roman" w:cs="Times New Roman"/>
        </w:rPr>
        <w:t xml:space="preserve"> across mental states. For example, in sustained attention tasks, mind-wandering is typically associated with more impulsive </w:t>
      </w:r>
      <w:proofErr w:type="spellStart"/>
      <w:r w:rsidRPr="69CF6134">
        <w:rPr>
          <w:rFonts w:ascii="Times New Roman" w:hAnsi="Times New Roman" w:cs="Times New Roman"/>
        </w:rPr>
        <w:t>behaviour</w:t>
      </w:r>
      <w:proofErr w:type="spellEnd"/>
      <w:r w:rsidRPr="69CF6134">
        <w:rPr>
          <w:rFonts w:ascii="Times New Roman" w:hAnsi="Times New Roman" w:cs="Times New Roman"/>
        </w:rPr>
        <w:t xml:space="preserve">, as indexed by more false errors. Inversely, MB is </w:t>
      </w:r>
      <w:proofErr w:type="spellStart"/>
      <w:r w:rsidRPr="69CF6134">
        <w:rPr>
          <w:rFonts w:ascii="Times New Roman" w:hAnsi="Times New Roman" w:cs="Times New Roman"/>
        </w:rPr>
        <w:t>characterised</w:t>
      </w:r>
      <w:proofErr w:type="spellEnd"/>
      <w:r w:rsidRPr="69CF6134">
        <w:rPr>
          <w:rFonts w:ascii="Times New Roman" w:hAnsi="Times New Roman" w:cs="Times New Roman"/>
        </w:rPr>
        <w:t xml:space="preserve"> by sluggishness, indexed by more misses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{"citationID":"a2f23cjg6g1","properties":{"unsorted":false,"formattedCitation":"(Andrillon et al., 2021; Munoz-Musat et al., 2025)","plainCitation":"(Andrillon et al., 2021; Munoz-Musat et al., 2025)","noteIndex":0},"citationItems":[{"id":5757,"uris":["http://zotero.org/users/8613739/items/44AG6C8P"],"itemData":{"id":5757,"type":"article-journal","abstract":"Attentional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id":17626,"uris":["http://zotero.org/users/8613739/items/CGUZB2WI"],"itemData":{"id":17626,"type":"article-journal","abstract":"Does being awake necessarily mean being conscious of something? This study investigates the phenomenon of mind blanking (MB), characterized by an “emptiness of mind,” comparing it with mind wandering (MW) and on-task (ON) states. Using a sustained attention task and electroencephalogram monitoring, behavioral, and neurophysiological signatures of MB were examined in 62 participants. MB exhibited a specific pattern of behavioral lapses, as well as decreased fast oscillatory activity and complexity over posterior electrodes compared to MW. Functional connectivity analyses revealed decreased long-range interareal connectivity during MB, compared to both ON and MW states. Event-related potentials with source reconstruction and temporal decoding techniques indicated a significant disruption in visual processing during MB, starting from 200 ms post stimulus and echoing into the late-stage of visual processing, suggesting a disruption of conscious access to sensory information during MB. Electroencephalogram-derived markers allowed the prediction of mental states at the trial level, offering a finer view of conscious dynamics than subjective reports alone. Overall, these findings challenge the notion of the wakeful conscious mind as inherently content-oriented, suggesting that MB reflects genuine gaps in the stream of conscious thoughts, arising from disruptions in the generation or accessibility of thought content.","citation-key":"munoz-musatBehavioralExperientialPhysiological2025","container-title":"Proceedings of the National Academy of Sciences","DOI":"10.1073/pnas.2510262122","issue":"52","page":"e2510262122","publisher":"Proceedings of the National Academy of Sciences","source":"pnas.org (Atypon)","title":"Behavioral, experiential, and physiological signatures of mind blanking","volume":"122","author":[{"family":"Munoz-Musat","given":"Esteban"},{"family":"Le Coz","given":"Arthur"},{"family":"Corcoran","given":"Andrew W."},{"family":"Belloli","given":"Laouen"},{"family":"Naccache","given":"Lionel"},{"family":"Andrillon","given":"Thomas"}],"issued":{"date-parts":[["2025",12,30]]}}}],"schema":"https://github.com/citation-style-language/schema/raw/master/csl-citation.json"}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(Andrillon et al., 2021; Munoz-Musat et al., 2025)</w:t>
      </w:r>
      <w:r w:rsidRPr="69CF6134">
        <w:rPr>
          <w:rFonts w:ascii="Times New Roman" w:hAnsi="Times New Roman" w:cs="Times New Roman"/>
        </w:rPr>
        <w:fldChar w:fldCharType="end"/>
      </w:r>
      <w:r w:rsidRPr="69CF6134">
        <w:rPr>
          <w:rFonts w:ascii="Times New Roman" w:hAnsi="Times New Roman" w:cs="Times New Roman"/>
        </w:rPr>
        <w:t xml:space="preserve">. Grouping these results without a per-state examination risks misattributing MB-related </w:t>
      </w:r>
      <w:proofErr w:type="spellStart"/>
      <w:r w:rsidRPr="69CF6134">
        <w:rPr>
          <w:rFonts w:ascii="Times New Roman" w:hAnsi="Times New Roman" w:cs="Times New Roman"/>
        </w:rPr>
        <w:t>behaviour</w:t>
      </w:r>
      <w:proofErr w:type="spellEnd"/>
      <w:r w:rsidRPr="69CF6134">
        <w:rPr>
          <w:rFonts w:ascii="Times New Roman" w:hAnsi="Times New Roman" w:cs="Times New Roman"/>
        </w:rPr>
        <w:t xml:space="preserve"> to task-unrelated thoughts, and vice versa. Similarly, the neural markers of MB </w:t>
      </w:r>
      <w:r w:rsidR="0075190F" w:rsidRPr="69CF6134">
        <w:rPr>
          <w:rFonts w:ascii="Times New Roman" w:hAnsi="Times New Roman" w:cs="Times New Roman"/>
        </w:rPr>
        <w:t>do not always align</w:t>
      </w:r>
      <w:r w:rsidRPr="69CF6134">
        <w:rPr>
          <w:rFonts w:ascii="Times New Roman" w:hAnsi="Times New Roman" w:cs="Times New Roman"/>
        </w:rPr>
        <w:t xml:space="preserve"> with mind-wandering. Andrillon et al. </w:t>
      </w:r>
      <w:r w:rsidRPr="69CF6134">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siclmm7gr","properties":{"unsorted":false,"formattedCitation":"(2021)","plainCitation":"(2021)","noteIndex":0},"citationItems":[{"id":5757,"uris":["http://zotero.org/users/8613739/items/44AG6C8P"],"itemData":{"id":5757,"type":"article-journal","abstract":"Attentional lapses occur commonly and are associated with mind wandering, where focus is turned to thoughts unrelated to ongoing tasks and environmental demands,  or mind blanking, where the stream of consciousness itself comes to a halt. To  understand the neural mechanisms underlying attentional lapses, we studied the  behaviour, subjective experience and neural activity of healthy participants  performing a task. Random interruptions prompted participants to indicate their  mental states as task-focused, mind-wandering or mind-blanking. Using  high-density electroencephalography, we report here that spatially and temporally  localized slow waves, a pattern of neural activity characteristic of the  transition toward sleep, accompany behavioural markers of lapses and preceded  reports of mind wandering and mind blanking. The location of slow waves could  distinguish between sluggish and impulsive behaviours, and between mind wandering  and mind blanking. Our results suggest attentional lapses share a common  physiological origin: the emergence of local sleep-like activity within the awake  brain.","citation-key":"andrillonPredictingLapsesAttention2021","container-title":"Nature communications","DOI":"10.1038/s41467-021-23890-7","ISSN":"2041-1723","issue":"1","journalAbbreviation":"Nat Commun","language":"eng","page":"3657","PMID":"34188023","PMCID":"PMC8241869","publisher-place":"England","title":"Predicting lapses of attention with sleep-like slow waves.","volume":"12","author":[{"family":"Andrillon","given":"Thomas"},{"family":"Burns","given":"Angus"},{"family":"Mackay","given":"Teigane"},{"family":"Windt","given":"Jennifer"},{"family":"Tsuchiya","given":"Naotsugu"}],"issued":{"date-parts":[["2021",6,29]]}},"suppress-author":true}],"schema":"https://github.com/citation-style-language/schema/raw/master/csl-citation.json"} </w:instrText>
      </w:r>
      <w:r w:rsidRPr="69CF6134">
        <w:rPr>
          <w:rFonts w:ascii="Times New Roman" w:hAnsi="Times New Roman" w:cs="Times New Roman"/>
        </w:rPr>
        <w:fldChar w:fldCharType="separate"/>
      </w:r>
      <w:r w:rsidR="00B633EE" w:rsidRPr="00B633EE">
        <w:rPr>
          <w:rFonts w:ascii="Times New Roman" w:hAnsi="Times New Roman" w:cs="Times New Roman"/>
        </w:rPr>
        <w:t>(2021)</w:t>
      </w:r>
      <w:r w:rsidRPr="69CF6134">
        <w:rPr>
          <w:rFonts w:ascii="Times New Roman" w:hAnsi="Times New Roman" w:cs="Times New Roman"/>
        </w:rPr>
        <w:fldChar w:fldCharType="end"/>
      </w:r>
      <w:r w:rsidRPr="69CF6134">
        <w:rPr>
          <w:rFonts w:ascii="Times New Roman" w:hAnsi="Times New Roman" w:cs="Times New Roman"/>
        </w:rPr>
        <w:t xml:space="preserve"> found that MB-related slow-wave-like activity is </w:t>
      </w:r>
      <w:proofErr w:type="spellStart"/>
      <w:r w:rsidRPr="69CF6134">
        <w:rPr>
          <w:rFonts w:ascii="Times New Roman" w:hAnsi="Times New Roman" w:cs="Times New Roman"/>
        </w:rPr>
        <w:t>localised</w:t>
      </w:r>
      <w:proofErr w:type="spellEnd"/>
      <w:r w:rsidRPr="69CF6134">
        <w:rPr>
          <w:rFonts w:ascii="Times New Roman" w:hAnsi="Times New Roman" w:cs="Times New Roman"/>
        </w:rPr>
        <w:t xml:space="preserve"> parietally, but mind-wandering slow-wave-like activity is </w:t>
      </w:r>
      <w:proofErr w:type="spellStart"/>
      <w:r w:rsidRPr="69CF6134">
        <w:rPr>
          <w:rFonts w:ascii="Times New Roman" w:hAnsi="Times New Roman" w:cs="Times New Roman"/>
        </w:rPr>
        <w:t>localised</w:t>
      </w:r>
      <w:proofErr w:type="spellEnd"/>
      <w:r w:rsidRPr="69CF6134">
        <w:rPr>
          <w:rFonts w:ascii="Times New Roman" w:hAnsi="Times New Roman" w:cs="Times New Roman"/>
        </w:rPr>
        <w:t xml:space="preserve"> frontally. Consequently, </w:t>
      </w:r>
      <w:r w:rsidRPr="69CF6134">
        <w:rPr>
          <w:rFonts w:ascii="Times New Roman" w:hAnsi="Times New Roman" w:cs="Times New Roman"/>
        </w:rPr>
        <w:lastRenderedPageBreak/>
        <w:t xml:space="preserve">grouping off-task states may smooth out state-specific neural and </w:t>
      </w:r>
      <w:proofErr w:type="spellStart"/>
      <w:r w:rsidRPr="69CF6134">
        <w:rPr>
          <w:rFonts w:ascii="Times New Roman" w:hAnsi="Times New Roman" w:cs="Times New Roman"/>
        </w:rPr>
        <w:t>behavioural</w:t>
      </w:r>
      <w:proofErr w:type="spellEnd"/>
      <w:r w:rsidRPr="69CF6134">
        <w:rPr>
          <w:rFonts w:ascii="Times New Roman" w:hAnsi="Times New Roman" w:cs="Times New Roman"/>
        </w:rPr>
        <w:t xml:space="preserve"> signatures, leading to reduced granularity and potential effect misattribution to an incorrect state. </w:t>
      </w:r>
    </w:p>
    <w:p w14:paraId="5F2E8F1E" w14:textId="1D07D12F" w:rsidR="008F5DA6" w:rsidRPr="00992D25" w:rsidRDefault="00FB05D1">
      <w:pPr>
        <w:spacing w:line="360" w:lineRule="auto"/>
        <w:jc w:val="both"/>
        <w:rPr>
          <w:rFonts w:ascii="Times New Roman" w:hAnsi="Times New Roman" w:cs="Times New Roman"/>
        </w:rPr>
      </w:pPr>
      <w:r>
        <w:rPr>
          <w:rFonts w:ascii="Times New Roman" w:hAnsi="Times New Roman" w:cs="Times New Roman"/>
        </w:rPr>
        <w:tab/>
        <w:t xml:space="preserve">When it comes to limitations, a key challenge in MB research is the rarity of MB reports. Because these events occur infrequently, researchers have limited data to work with. This makes it difficult to estimate parameters precisely or to calculate narrow confidence intervals. As a result, it is often unclear whether imprecise estimates reflect genuine variability in the phenomenon or simply insufficient sampling of MB reports. Therefore, it is important to consider potential avenues for more efficient MB sampling. Looking at our meta-analytic database, one study reported a ~25% MB rate. In this study, the authors embedded thought probes within a mandala </w:t>
      </w:r>
      <w:proofErr w:type="spellStart"/>
      <w:r>
        <w:rPr>
          <w:rFonts w:ascii="Times New Roman" w:hAnsi="Times New Roman" w:cs="Times New Roman"/>
        </w:rPr>
        <w:t>colouring</w:t>
      </w:r>
      <w:proofErr w:type="spellEnd"/>
      <w:r>
        <w:rPr>
          <w:rFonts w:ascii="Times New Roman" w:hAnsi="Times New Roman" w:cs="Times New Roman"/>
        </w:rPr>
        <w:t xml:space="preserve"> session, aiming to reduce anxiety </w:t>
      </w:r>
      <w:r w:rsidR="00C04D15">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{"citationID":"a1m3dulbjfr","properties":{"unsorted":false,"formattedCitation":"(Flicker et al., 2025)","plainCitation":"(Flicker et al., 2025)","noteIndex":0},"citationItems":[{"id":16224,"uris":["http://zotero.org/groups/6160358/items/H6YL5ANU"],"itemData":{"id":16224,"type":"article-journal","abstract":"Objectives Coloring mandalas has been consistently associated with reduced self-reported anxiety. While much of the literature attributes its anxiety-reducing properties to mindfulness, this has not yet been empirically tested. The current study examined mindfulness and other potential mechanisms of action, including flow, the undoing effect (through enjoyment), and distraction from anxious thoughts. Method Following an anxiety induction, 188 participants ( M = 21.14 years) colored mandalas for 20 min. Anxiety was measured before and after coloring. In-the-moment and retrospective reports of state mindfulness, flow, enjoyment, and other mind states were examined to identify which were most predictive of anxiety reduction. Results The strongest predictors of anxiety reduction were self-reported flow and enjoyment, followed by state mindfulness and anxious mind-wandering (in a negative direction). Conclusions By examining mindfulness, flow, enjoyment, and other mind states as predictors of change in anxiety during mandala coloring, the relevance and potentially even greater predictive validity of flow and enjoyment were identified. Additionally, anxious mind-wandering had not been previously examined in relation to mandala coloring; thus, this was the first time it was identified as a predictor of change in anxiety during mandala coloring. Moving away from focusing on mindfulness as the presumed mechanism of action to explore other factors, such as flow, enjoyment, and distraction from anxious thoughts, has the potential to yield unique insights into how mandala coloring relates to anxiety reduction and facilitate the development of empirically based instructions to increase the anxiety-reducing effect of mandala coloring, and potentially other art-making activities.","citation-key":"flickerMechanismsAnxietyReduction2025a","container-title":"Mindfulness","ISSN":"1868-8527","issue":"6","language":"eng","license":"The Author(s), under exclusive licence to Springer Science+Business Media, LLC, part of Springer Nature 2025 Springer Nature or its licensor (e.g. a society or other partner) holds exclusive rights to this article under a publishing agreement with the author(s) or other rightsholder(s); author self-archiving of the accepted manuscript version of this article is solely governed by the terms of such publishing agreement and applicable law.","page":"1693–1704","title":"Mechanisms of Anxiety Reduction During Adult Coloring: Mindfulness, Flow, Enjoyment, and Distraction","volume":"16","author":[{"family":"Flicker","given":"Sharon M."},{"family":"Sancier-Barbosa","given":"Flavia"},{"family":"Tang","given":"A. N."},{"family":"Ho","given":"Amanda"},{"family":"Zhong","given":"S."},{"family":"Alafranji","given":"R. R."},{"family":"Clemons-Castanos","given":"Channing R."}],"issued":{"date-parts":[["2025",6]]}}}],"schema":"https://github.com/citation-style-language/schema/raw/master/csl-citation.json"} </w:instrText>
      </w:r>
      <w:r w:rsidR="00C04D15">
        <w:rPr>
          <w:rFonts w:ascii="Times New Roman" w:hAnsi="Times New Roman" w:cs="Times New Roman"/>
        </w:rPr>
        <w:fldChar w:fldCharType="separate"/>
      </w:r>
      <w:r w:rsidR="00B633EE" w:rsidRPr="00B633EE">
        <w:rPr>
          <w:rFonts w:ascii="Times New Roman" w:hAnsi="Times New Roman" w:cs="Times New Roman"/>
        </w:rPr>
        <w:t>(Flicker et al., 2025)</w:t>
      </w:r>
      <w:r w:rsidR="00C04D15">
        <w:rPr>
          <w:rFonts w:ascii="Times New Roman" w:hAnsi="Times New Roman" w:cs="Times New Roman"/>
        </w:rPr>
        <w:fldChar w:fldCharType="end"/>
      </w:r>
      <w:r>
        <w:rPr>
          <w:rFonts w:ascii="Times New Roman" w:hAnsi="Times New Roman" w:cs="Times New Roman"/>
        </w:rPr>
        <w:t xml:space="preserve">. Post-hoc reports of mental states showed a positive correlation between a flow state during </w:t>
      </w:r>
      <w:proofErr w:type="spellStart"/>
      <w:r>
        <w:rPr>
          <w:rFonts w:ascii="Times New Roman" w:hAnsi="Times New Roman" w:cs="Times New Roman"/>
        </w:rPr>
        <w:t>colouring</w:t>
      </w:r>
      <w:proofErr w:type="spellEnd"/>
      <w:r>
        <w:rPr>
          <w:rFonts w:ascii="Times New Roman" w:hAnsi="Times New Roman" w:cs="Times New Roman"/>
        </w:rPr>
        <w:t xml:space="preserve">. Presumably, MB and the flow state present experiential similarities, namely, loss of self-awareness and an altered sense of time </w:t>
      </w:r>
      <w:r w:rsidR="00C04D15">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{"citationID":"a265qetetan","properties":{"unsorted":false,"formattedCitation":"(Nakamura &amp; Csikszentmihalyi, 2014)","plainCitation":"(Nakamura &amp; Csikszentmihalyi, 2014)","noteIndex":0},"citationItems":[{"id":17930,"uris":["http://zotero.org/users/8613739/items/Y7JFNL4Y"],"itemData":{"id":17930,"type":"chapter","abstract":"What constitutes a good life? Few questions are of more fundamental importance to a positive psychology. Flow research has yielded one answer, providing an understanding of experiences during which individuals are fully involved in the present moment. Viewed through the experiential lens of flow, a good life is one that is characterized by complete absorption in what one does. In this chapter, we describe the flow model of optimal experience and optimal development, explain how flow and related constructs have been measured, discuss recent work in this area, and identify some promising directions for future research.","citation-key":"nakamuraConceptFlow2014","container-title":"Flow and the Foundations of Positive Psychology: The Collected Works of Mihaly Csikszentmihalyi","DOI":"10.1007/978-94-017-9088-8_16","ISBN":"978-94-017-9088-8","language":"en","page":"239-263","publisher":"Springer Netherlands","publisher-place":"Dordrecht","source":"Springer Link","title":"The Concept of Flow","URL":"https://doi.org/10.1007/978-94-017-9088-8_16","author":[{"family":"Nakamura","given":"Jeanne"},{"family":"Csikszentmihalyi","given":"Mihaly"}],"editor":[{"family":"Csikszentmihalyi","given":"Mihaly"}],"accessed":{"date-parts":[["2026",5,8]]},"issued":{"date-parts":[["2014"]]}}}],"schema":"https://github.com/citation-style-language/schema/raw/master/csl-citation.json"} </w:instrText>
      </w:r>
      <w:r w:rsidR="00C04D15">
        <w:rPr>
          <w:rFonts w:ascii="Times New Roman" w:hAnsi="Times New Roman" w:cs="Times New Roman"/>
        </w:rPr>
        <w:fldChar w:fldCharType="separate"/>
      </w:r>
      <w:r w:rsidR="00B633EE" w:rsidRPr="00B633EE">
        <w:rPr>
          <w:rFonts w:ascii="Times New Roman" w:hAnsi="Times New Roman" w:cs="Times New Roman"/>
        </w:rPr>
        <w:t>(Nakamura &amp; Csikszentmihalyi, 2014)</w:t>
      </w:r>
      <w:r w:rsidR="00C04D15">
        <w:rPr>
          <w:rFonts w:ascii="Times New Roman" w:hAnsi="Times New Roman" w:cs="Times New Roman"/>
        </w:rPr>
        <w:fldChar w:fldCharType="end"/>
      </w:r>
      <w:r>
        <w:rPr>
          <w:rFonts w:ascii="Times New Roman" w:hAnsi="Times New Roman" w:cs="Times New Roman"/>
        </w:rPr>
        <w:t xml:space="preserve">. Therefore, we </w:t>
      </w:r>
      <w:proofErr w:type="spellStart"/>
      <w:r>
        <w:rPr>
          <w:rFonts w:ascii="Times New Roman" w:hAnsi="Times New Roman" w:cs="Times New Roman"/>
        </w:rPr>
        <w:t>hypothesise</w:t>
      </w:r>
      <w:proofErr w:type="spellEnd"/>
      <w:r>
        <w:rPr>
          <w:rFonts w:ascii="Times New Roman" w:hAnsi="Times New Roman" w:cs="Times New Roman"/>
        </w:rPr>
        <w:t xml:space="preserve"> that tasks that promote flow states inadvertently lower monitoring of the stream of thought and increase MB propensity. Another approach to improving the efficiency of MB sampling is to present thought probes during critical periods rather than at random intervals. The rationale is that, if off-task states are associated with poorer task performance, then administering probes during periods of reduced performance should increase the likelihood of sampling off-task episodes. So far, there is experimental evidence that presenting online “catch” probes at moments of worsened </w:t>
      </w:r>
      <w:proofErr w:type="spellStart"/>
      <w:r w:rsidR="00F62572">
        <w:rPr>
          <w:rFonts w:ascii="Times New Roman" w:hAnsi="Times New Roman" w:cs="Times New Roman"/>
        </w:rPr>
        <w:t>behavioural</w:t>
      </w:r>
      <w:proofErr w:type="spellEnd"/>
      <w:r>
        <w:rPr>
          <w:rFonts w:ascii="Times New Roman" w:hAnsi="Times New Roman" w:cs="Times New Roman"/>
        </w:rPr>
        <w:t xml:space="preserve"> performance can capture specific attentional states</w:t>
      </w:r>
      <w:r w:rsidR="00C04D15">
        <w:rPr>
          <w:rFonts w:ascii="Times New Roman" w:hAnsi="Times New Roman" w:cs="Times New Roman"/>
        </w:rPr>
        <w:t xml:space="preserve"> </w:t>
      </w:r>
      <w:r w:rsidR="00C04D15">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{"citationID":"a1mg2ssbgic","properties":{"unsorted":false,"formattedCitation":"(deBettencourt et al., 2019; Franklin et al., 2011; Robison &amp; Unsworth, 2019)","plainCitation":"(deBettencourt et al., 2019; Franklin et al., 2011; Robison &amp; Unsworth, 2019)","noteIndex":0},"citationItems":[{"id":17740,"uris":["http://zotero.org/users/8613739/items/UNBADKF8"],"itemData":{"id":17740,"type":"article-journal","abstract":"Attention and working memory are clearly intertwined, as shown by co-variations in individual ability and the recruitment of similar neural substrates. Both processes fluctuate over time–, and these fluctuations may be a key determinant of individual variations in ability,. If these fluctuations are due to the waxing and waning of a common cognitive resource, attention and working memory should co-vary on a moment-to-moment basis. To test this, we developed a hybrid task that interleaved a sustained attention task and a whole-report working memory task. Experiment 1 established that performance fluctuations on these tasks correlated across and within participants: attention lapses led to worse working memory performance. Experiment 2 extended this finding using a real-time triggering procedure that monitored attention fluctuations to probe working memory during optimal (high-attention) or suboptimal (low-attention) moments. In low-attention moments, participants stored fewer items in working memory. Experiment 3 ruled out task-general fluctuations as an explanation for these co-variations by showing that the precision of colour memory was unaffected by variations in attention state. In summary, we demonstrate that attention and working memory lapse together, providing additional evidence for the tight integration of these cognitive processes.","citation-key":"debettencourtRealtimeTriggeringReveals2019","container-title":"Nature human behaviour","DOI":"10.1038/s41562-019-0606-6","ISSN":"2397-3374","issue":"8","journalAbbreviation":"Nat Hum Behav","page":"808-816","PMID":"31110335","PMCID":"PMC7304425","source":"PubMed Central","title":"Real-time triggering reveals concurrent lapses of attention and working memory","volume":"3","author":[{"family":"deBettencourt","given":"Megan T."},{"family":"Keene","given":"Paul A."},{"family":"Awh","given":"Edward"},{"family":"Vogel","given":"Edward K."}],"issued":{"date-parts":[["2019",8]]}}},{"id":17741,"uris":["http://zotero.org/users/8613739/items/UJPNY9BP"],"itemData":{"id":17741,"type":"article-journal","abstract":"Although mind wandering during reading is extremely common, researchers have only recently begun to study how it relates to reading behavior. In the present study, we used a word-by-word reading paradigm to investigate whether it could be possible to predict in real time whether a participant would report mind wandering when probed. By taking advantage of the finding that reaction times to individual words vary based on reports of mind wandering (with participants being less affected by length, number of syllables, and familiarity, and also showing an overall speed-up, during mindless reading), we were able to develop an algorithm that could successfully predict in real time whether a participant would report being on versus off task. In addition, for participants run without thought probes, there was a significant negative correlation between the number of predicted mind-wandering episodes and reading comprehension. Together, these findings offer a key advance toward the development of pedagogical tools for minimizing the negative impact of mindless reading, and they provide a new covert measure that could be used to study mind wandering without requiring participants to report on their mental states.","citation-key":"franklinCatchingMindFlight2011","container-title":"Psychonomic Bulletin &amp; Review","DOI":"10.3758/s13423-011-0109-6","ISSN":"1531-5320","issue":"5","journalAbbreviation":"Psychon Bull Rev","language":"en","page":"992-997","source":"Springer Link","title":"Catching the mind in flight: Using behavioral indices to detect mindless reading in real time","title-short":"Catching the mind in flight","volume":"18","author":[{"family":"Franklin","given":"Michael S."},{"family":"Smallwood","given":"Jonathan"},{"family":"Schooler","given":"Jonathan W."}],"issued":{"date-parts":[["2011",10,1]]}}},{"id":5940,"uris":["http://zotero.org/users/8613739/items/RV356WUP"],"itemData":{"id":5940,"type":"article-journal","abstract":"In 3 experiments, we examined fluctuations in working memory (WM) performance and associated changes in pretrial and task-evoked pupil diameter. Additionally, we examined whether particularly poor trials were accompanied by self-reports of off-task attentional states. The results demonstrated that task-evoked pupillary responses can be used to measure moment-to-moment fluctuations in the success of WM maintenance during delay intervals. Further, when individuals reported being in an off-task attentional state, their WM performance suffered. Additionally, when probed directly after a particularly poor trial, participants reported being in an off-task attentional state more often than at random intervals throughout the task. So behavioral, subjective, and physiological data converged when people experienced WM failures. Although pretrial pupil diameter did not consistently differentiate between successful and unsuccessful trials, variability in pretrial pupil diameter accounted for a significant portion of variance in WM task performance. This effect persisted after controlling for mean task-evoked pupillary response and variability in task-evoked pupillary responses. Thus, one of the major reasons people varied in the consistency with which they utilized their WM system was variability in arousal. Such variability in arousal is potentially due to variation in the functioning of the locus coeruleus-norepinephrine (LC-NE) neuromodulatory system, and thus may underlie individual differences in WM capacity and attention control.","citation-key":"robisonPupillometryTracksFluctuations2019","container-title":"Attention, perception &amp; psychophysics","ISSN":"1943-3921","issue":"2","language":"eng","note":"tex.copyright: The Psychonomic Society, Inc. 2018","page":"407-419","publisher":"Springer US","publisher-place":"New York","title":"Pupillometry tracks fluctuations in working memory performance","volume":"81","author":[{"family":"Robison","given":"Matthew K."},{"family":"Unsworth","given":"Nash"}],"issued":{"date-parts":[["2019",2,1]]}}}],"schema":"https://github.com/citation-style-language/schema/raw/master/csl-citation.json"} </w:instrText>
      </w:r>
      <w:r w:rsidR="00C04D15">
        <w:rPr>
          <w:rFonts w:ascii="Times New Roman" w:hAnsi="Times New Roman" w:cs="Times New Roman"/>
        </w:rPr>
        <w:fldChar w:fldCharType="separate"/>
      </w:r>
      <w:r w:rsidR="00B633EE" w:rsidRPr="00B633EE">
        <w:rPr>
          <w:rFonts w:ascii="Times New Roman" w:hAnsi="Times New Roman" w:cs="Times New Roman"/>
        </w:rPr>
        <w:t>(deBettencourt et al., 2019; Franklin et al., 2011; Robison &amp; Unsworth, 2019)</w:t>
      </w:r>
      <w:r w:rsidR="00C04D15">
        <w:rPr>
          <w:rFonts w:ascii="Times New Roman" w:hAnsi="Times New Roman" w:cs="Times New Roman"/>
        </w:rPr>
        <w:fldChar w:fldCharType="end"/>
      </w:r>
      <w:r>
        <w:rPr>
          <w:rFonts w:ascii="Times New Roman" w:hAnsi="Times New Roman" w:cs="Times New Roman"/>
        </w:rPr>
        <w:t>. Pertinent to MB, Robison and Unsworth</w:t>
      </w:r>
      <w:r w:rsidR="00C04D15">
        <w:rPr>
          <w:rFonts w:ascii="Times New Roman" w:hAnsi="Times New Roman" w:cs="Times New Roman"/>
        </w:rPr>
        <w:t xml:space="preserve"> </w:t>
      </w:r>
      <w:r w:rsidR="00C04D15">
        <w:rPr>
          <w:rFonts w:ascii="Times New Roman" w:hAnsi="Times New Roman" w:cs="Times New Roman"/>
        </w:rPr>
        <w:fldChar w:fldCharType="begin"/>
      </w:r>
      <w:r w:rsidR="00B633EE">
        <w:rPr>
          <w:rFonts w:ascii="Times New Roman" w:hAnsi="Times New Roman" w:cs="Times New Roman"/>
        </w:rPr>
        <w:instrText xml:space="preserve"> ADDIN ZOTERO_ITEM CSL_CITATION {"citationID":"a101243mvnv","properties":{"unsorted":false,"formattedCitation":"(2019)","plainCitation":"(2019)","noteIndex":0},"citationItems":[{"id":5940,"uris":["http://zotero.org/users/8613739/items/RV356WUP"],"itemData":{"id":5940,"type":"article-journal","abstract":"In 3 experiments, we examined fluctuations in working memory (WM) performance and associated changes in pretrial and task-evoked pupil diameter. Additionally, we examined whether particularly poor trials were accompanied by self-reports of off-task attentional states. The results demonstrated that task-evoked pupillary responses can be used to measure moment-to-moment fluctuations in the success of WM maintenance during delay intervals. Further, when individuals reported being in an off-task attentional state, their WM performance suffered. Additionally, when probed directly after a particularly poor trial, participants reported being in an off-task attentional state more often than at random intervals throughout the task. So behavioral, subjective, and physiological data converged when people experienced WM failures. Although pretrial pupil diameter did not consistently differentiate between successful and unsuccessful trials, variability in pretrial pupil diameter accounted for a significant portion of variance in WM task performance. This effect persisted after controlling for mean task-evoked pupillary response and variability in task-evoked pupillary responses. Thus, one of the major reasons people varied in the consistency with which they utilized their WM system was variability in arousal. Such variability in arousal is potentially due to variation in the functioning of the locus coeruleus-norepinephrine (LC-NE) neuromodulatory system, and thus may underlie individual differences in WM capacity and attention control.","citation-key":"robisonPupillometryTracksFluctuations2019","container-title":"Attention, perception &amp; psychophysics","ISSN":"1943-3921","issue":"2","language":"eng","note":"tex.copyright: The Psychonomic Society, Inc. 2018","page":"407-419","publisher":"Springer US","publisher-place":"New York","title":"Pupillometry tracks fluctuations in working memory performance","volume":"81","author":[{"family":"Robison","given":"Matthew K."},{"family":"Unsworth","given":"Nash"}],"issued":{"date-parts":[["2019",2,1]]}},"suppress-author":true}],"schema":"https://github.com/citation-style-language/schema/raw/master/csl-citation.json"} </w:instrText>
      </w:r>
      <w:r w:rsidR="00C04D15">
        <w:rPr>
          <w:rFonts w:ascii="Times New Roman" w:hAnsi="Times New Roman" w:cs="Times New Roman"/>
        </w:rPr>
        <w:fldChar w:fldCharType="separate"/>
      </w:r>
      <w:r w:rsidR="00B633EE" w:rsidRPr="00B633EE">
        <w:rPr>
          <w:rFonts w:ascii="Times New Roman" w:hAnsi="Times New Roman" w:cs="Times New Roman"/>
        </w:rPr>
        <w:t>(2019)</w:t>
      </w:r>
      <w:r w:rsidR="00C04D15">
        <w:rPr>
          <w:rFonts w:ascii="Times New Roman" w:hAnsi="Times New Roman" w:cs="Times New Roman"/>
        </w:rPr>
        <w:fldChar w:fldCharType="end"/>
      </w:r>
      <w:r>
        <w:rPr>
          <w:rFonts w:ascii="Times New Roman" w:hAnsi="Times New Roman" w:cs="Times New Roman"/>
        </w:rPr>
        <w:t xml:space="preserve"> reported an 18% MB rate when </w:t>
      </w:r>
      <w:proofErr w:type="spellStart"/>
      <w:r>
        <w:rPr>
          <w:rFonts w:ascii="Times New Roman" w:hAnsi="Times New Roman" w:cs="Times New Roman"/>
        </w:rPr>
        <w:t>utilising</w:t>
      </w:r>
      <w:proofErr w:type="spellEnd"/>
      <w:r>
        <w:rPr>
          <w:rFonts w:ascii="Times New Roman" w:hAnsi="Times New Roman" w:cs="Times New Roman"/>
        </w:rPr>
        <w:t xml:space="preserve"> catch-probes. Accordingly, a promising direction for future MB research is</w:t>
      </w:r>
      <w:r w:rsidR="00992D25">
        <w:rPr>
          <w:rFonts w:ascii="Times New Roman" w:hAnsi="Times New Roman" w:cs="Times New Roman"/>
        </w:rPr>
        <w:t xml:space="preserve"> to</w:t>
      </w:r>
      <w:r>
        <w:rPr>
          <w:rFonts w:ascii="Times New Roman" w:hAnsi="Times New Roman" w:cs="Times New Roman"/>
        </w:rPr>
        <w:t xml:space="preserve"> </w:t>
      </w:r>
      <w:r w:rsidR="00992D25">
        <w:rPr>
          <w:rFonts w:ascii="Times New Roman" w:hAnsi="Times New Roman" w:cs="Times New Roman"/>
        </w:rPr>
        <w:t xml:space="preserve">validate the </w:t>
      </w:r>
      <w:r w:rsidR="00F62572">
        <w:rPr>
          <w:rFonts w:ascii="Times New Roman" w:hAnsi="Times New Roman" w:cs="Times New Roman"/>
        </w:rPr>
        <w:t xml:space="preserve">conditions under which the </w:t>
      </w:r>
      <w:proofErr w:type="spellStart"/>
      <w:r w:rsidR="00F62572">
        <w:rPr>
          <w:rFonts w:ascii="Times New Roman" w:hAnsi="Times New Roman" w:cs="Times New Roman"/>
        </w:rPr>
        <w:t>behavioural</w:t>
      </w:r>
      <w:proofErr w:type="spellEnd"/>
      <w:r w:rsidR="00F62572">
        <w:rPr>
          <w:rFonts w:ascii="Times New Roman" w:hAnsi="Times New Roman" w:cs="Times New Roman"/>
        </w:rPr>
        <w:t xml:space="preserve"> differences between MB and other on- and off-task states are most pronounced</w:t>
      </w:r>
      <w:r w:rsidR="00992D25">
        <w:rPr>
          <w:rFonts w:ascii="Times New Roman" w:hAnsi="Times New Roman" w:cs="Times New Roman"/>
        </w:rPr>
        <w:t xml:space="preserve"> </w:t>
      </w:r>
      <w:r>
        <w:rPr>
          <w:rFonts w:ascii="Times New Roman" w:hAnsi="Times New Roman" w:cs="Times New Roman"/>
        </w:rPr>
        <w:t>(e.g.,</w:t>
      </w:r>
      <w:r w:rsidR="00992D25">
        <w:rPr>
          <w:rFonts w:ascii="Times New Roman" w:hAnsi="Times New Roman" w:cs="Times New Roman"/>
        </w:rPr>
        <w:t xml:space="preserve"> </w:t>
      </w:r>
      <w:r>
        <w:rPr>
          <w:rFonts w:ascii="Times New Roman" w:hAnsi="Times New Roman" w:cs="Times New Roman"/>
        </w:rPr>
        <w:t>miss vs false-alarm errors during SART)</w:t>
      </w:r>
      <w:r w:rsidR="00992D25">
        <w:rPr>
          <w:rFonts w:ascii="Times New Roman" w:hAnsi="Times New Roman" w:cs="Times New Roman"/>
        </w:rPr>
        <w:t xml:space="preserve"> and to leverage these differences</w:t>
      </w:r>
      <w:r>
        <w:rPr>
          <w:rFonts w:ascii="Times New Roman" w:hAnsi="Times New Roman" w:cs="Times New Roman"/>
        </w:rPr>
        <w:t xml:space="preserve"> to more efficiently sample MB.</w:t>
      </w:r>
      <w:r w:rsidR="00992D25">
        <w:rPr>
          <w:rFonts w:ascii="Times New Roman" w:hAnsi="Times New Roman" w:cs="Times New Roman"/>
        </w:rPr>
        <w:t xml:space="preserve"> </w:t>
      </w:r>
      <w:r w:rsidR="00992D25">
        <w:rPr>
          <w:rFonts w:ascii="Times New Roman" w:hAnsi="Times New Roman" w:cs="Times New Roman"/>
        </w:rPr>
        <w:tab/>
      </w:r>
    </w:p>
    <w:p w14:paraId="5E45D793" w14:textId="3564AF47" w:rsidR="00A811D3" w:rsidRPr="00B633EE" w:rsidRDefault="00FB05D1" w:rsidP="00B633EE">
      <w:pPr>
        <w:spacing w:line="360" w:lineRule="auto"/>
        <w:jc w:val="both"/>
        <w:rPr>
          <w:rFonts w:ascii="Times New Roman" w:hAnsi="Times New Roman" w:cs="Times New Roman"/>
        </w:rPr>
      </w:pPr>
      <w:r>
        <w:rPr>
          <w:rFonts w:ascii="Times New Roman" w:hAnsi="Times New Roman" w:cs="Times New Roman"/>
        </w:rPr>
        <w:tab/>
      </w:r>
      <w:r w:rsidR="03EEAE50">
        <w:rPr>
          <w:rFonts w:ascii="Times New Roman" w:hAnsi="Times New Roman" w:cs="Times New Roman"/>
        </w:rPr>
        <w:t xml:space="preserve">In conclusion, the present </w:t>
      </w:r>
      <w:r w:rsidR="00EC6FBA">
        <w:rPr>
          <w:rFonts w:ascii="Times New Roman" w:hAnsi="Times New Roman" w:cs="Times New Roman"/>
        </w:rPr>
        <w:t>study</w:t>
      </w:r>
      <w:r w:rsidR="03EEAE50">
        <w:rPr>
          <w:rFonts w:ascii="Times New Roman" w:hAnsi="Times New Roman" w:cs="Times New Roman"/>
        </w:rPr>
        <w:t xml:space="preserve"> </w:t>
      </w:r>
      <w:proofErr w:type="spellStart"/>
      <w:r w:rsidR="03EEAE50">
        <w:rPr>
          <w:rFonts w:ascii="Times New Roman" w:hAnsi="Times New Roman" w:cs="Times New Roman"/>
        </w:rPr>
        <w:t>synthesised</w:t>
      </w:r>
      <w:proofErr w:type="spellEnd"/>
      <w:r w:rsidR="03EEAE50">
        <w:rPr>
          <w:rFonts w:ascii="Times New Roman" w:hAnsi="Times New Roman" w:cs="Times New Roman"/>
        </w:rPr>
        <w:t xml:space="preserve"> the available literature on MB report rates with the dual objective of reassessing commonly held assumptions about MB and informing the design of subsequent experience-sampling studies. Our findings suggest that MB occurs infrequently, is mediated by </w:t>
      </w:r>
      <w:r w:rsidR="11F9F662" w:rsidRPr="69CF6134">
        <w:rPr>
          <w:rFonts w:ascii="Times New Roman" w:hAnsi="Times New Roman" w:cs="Times New Roman"/>
        </w:rPr>
        <w:t xml:space="preserve">modifications in </w:t>
      </w:r>
      <w:r w:rsidR="03EEAE50">
        <w:rPr>
          <w:rFonts w:ascii="Times New Roman" w:hAnsi="Times New Roman" w:cs="Times New Roman"/>
        </w:rPr>
        <w:t>arousal</w:t>
      </w:r>
      <w:r w:rsidR="6BBD7701" w:rsidRPr="69CF6134">
        <w:rPr>
          <w:rFonts w:ascii="Times New Roman" w:hAnsi="Times New Roman" w:cs="Times New Roman"/>
        </w:rPr>
        <w:t xml:space="preserve"> levels</w:t>
      </w:r>
      <w:r w:rsidR="03EEAE50">
        <w:rPr>
          <w:rFonts w:ascii="Times New Roman" w:hAnsi="Times New Roman" w:cs="Times New Roman"/>
        </w:rPr>
        <w:t>, and exhibits substantial consistency across sampling approach</w:t>
      </w:r>
      <w:r w:rsidR="00EC6FBA">
        <w:rPr>
          <w:rFonts w:ascii="Times New Roman" w:hAnsi="Times New Roman" w:cs="Times New Roman"/>
        </w:rPr>
        <w:t>es.</w:t>
      </w:r>
      <w:r w:rsidR="03EEAE50">
        <w:rPr>
          <w:rFonts w:ascii="Times New Roman" w:hAnsi="Times New Roman" w:cs="Times New Roman"/>
        </w:rPr>
        <w:t xml:space="preserve"> Accordingly, we argue that MB should be systematically included as a separate category in future thought-sampling studies to </w:t>
      </w:r>
      <w:r w:rsidR="537A0968" w:rsidRPr="69CF6134">
        <w:rPr>
          <w:rFonts w:ascii="Times New Roman" w:hAnsi="Times New Roman" w:cs="Times New Roman"/>
        </w:rPr>
        <w:t xml:space="preserve">promote a more </w:t>
      </w:r>
      <w:r w:rsidR="00EC6FBA">
        <w:rPr>
          <w:rFonts w:ascii="Times New Roman" w:hAnsi="Times New Roman" w:cs="Times New Roman"/>
        </w:rPr>
        <w:t>granular</w:t>
      </w:r>
      <w:r w:rsidR="537A0968" w:rsidRPr="69CF6134">
        <w:rPr>
          <w:rFonts w:ascii="Times New Roman" w:hAnsi="Times New Roman" w:cs="Times New Roman"/>
        </w:rPr>
        <w:t xml:space="preserve"> </w:t>
      </w:r>
      <w:proofErr w:type="spellStart"/>
      <w:r w:rsidR="44B6B56C" w:rsidRPr="69CF6134">
        <w:rPr>
          <w:rFonts w:ascii="Times New Roman" w:hAnsi="Times New Roman" w:cs="Times New Roman"/>
        </w:rPr>
        <w:t>characterisation</w:t>
      </w:r>
      <w:proofErr w:type="spellEnd"/>
      <w:r w:rsidR="44B6B56C" w:rsidRPr="69CF6134">
        <w:rPr>
          <w:rFonts w:ascii="Times New Roman" w:hAnsi="Times New Roman" w:cs="Times New Roman"/>
        </w:rPr>
        <w:t xml:space="preserve"> </w:t>
      </w:r>
      <w:r w:rsidR="03EEAE50">
        <w:rPr>
          <w:rFonts w:ascii="Times New Roman" w:hAnsi="Times New Roman" w:cs="Times New Roman"/>
        </w:rPr>
        <w:t xml:space="preserve">of the physio-cognitive correlates of mental </w:t>
      </w:r>
      <w:r w:rsidR="03EEAE50">
        <w:rPr>
          <w:rFonts w:ascii="Times New Roman" w:hAnsi="Times New Roman" w:cs="Times New Roman"/>
        </w:rPr>
        <w:lastRenderedPageBreak/>
        <w:t>states</w:t>
      </w:r>
      <w:r w:rsidR="6DF3D502" w:rsidRPr="69CF6134">
        <w:rPr>
          <w:rFonts w:ascii="Times New Roman" w:hAnsi="Times New Roman" w:cs="Times New Roman"/>
        </w:rPr>
        <w:t xml:space="preserve"> during spontaneous thought</w:t>
      </w:r>
      <w:r w:rsidR="03EEAE50">
        <w:rPr>
          <w:rFonts w:ascii="Times New Roman" w:hAnsi="Times New Roman" w:cs="Times New Roman"/>
        </w:rPr>
        <w:t>.</w:t>
      </w:r>
      <w:r w:rsidR="00EC6FBA">
        <w:rPr>
          <w:rFonts w:ascii="Times New Roman" w:hAnsi="Times New Roman" w:cs="Times New Roman"/>
        </w:rPr>
        <w:t xml:space="preserve"> To facilitate this inclusion, we recommend that prospective studies target medium effect sizes as </w:t>
      </w:r>
      <w:r w:rsidR="00477ED9">
        <w:rPr>
          <w:rFonts w:ascii="Times New Roman" w:hAnsi="Times New Roman" w:cs="Times New Roman"/>
        </w:rPr>
        <w:t xml:space="preserve">the </w:t>
      </w:r>
      <w:r w:rsidR="00542555">
        <w:rPr>
          <w:rFonts w:ascii="Times New Roman" w:hAnsi="Times New Roman" w:cs="Times New Roman"/>
        </w:rPr>
        <w:t>smallest</w:t>
      </w:r>
      <w:r w:rsidR="00EC6FBA">
        <w:rPr>
          <w:rFonts w:ascii="Times New Roman" w:hAnsi="Times New Roman" w:cs="Times New Roman"/>
        </w:rPr>
        <w:t xml:space="preserve"> effect sizes of interest, with a sample size of at least 35 participants</w:t>
      </w:r>
      <w:r w:rsidR="00A811D3">
        <w:rPr>
          <w:rFonts w:ascii="Times New Roman" w:hAnsi="Times New Roman" w:cs="Times New Roman"/>
        </w:rPr>
        <w:t xml:space="preserve"> and 50 probes per participant</w:t>
      </w:r>
      <w:r w:rsidR="00EC6FBA">
        <w:rPr>
          <w:rFonts w:ascii="Times New Roman" w:hAnsi="Times New Roman" w:cs="Times New Roman"/>
        </w:rPr>
        <w:t xml:space="preserve">. </w:t>
      </w:r>
    </w:p>
    <w:p w14:paraId="0294D3A9" w14:textId="6D2F1953" w:rsidR="00A811D3" w:rsidRPr="00A811D3" w:rsidRDefault="00A811D3" w:rsidP="00A811D3">
      <w:pPr>
        <w:pStyle w:val="Bibliography"/>
        <w:spacing w:line="276" w:lineRule="auto"/>
        <w:rPr>
          <w:rFonts w:ascii="Times New Roman" w:hAnsi="Times New Roman" w:cs="Times New Roman"/>
          <w:u w:val="single"/>
        </w:rPr>
      </w:pPr>
      <w:r w:rsidRPr="00A811D3">
        <w:rPr>
          <w:rFonts w:ascii="Times New Roman" w:hAnsi="Times New Roman" w:cs="Times New Roman"/>
          <w:u w:val="single"/>
        </w:rPr>
        <w:t>References</w:t>
      </w:r>
    </w:p>
    <w:p w14:paraId="7B3FC06D" w14:textId="77777777" w:rsidR="00B633EE" w:rsidRPr="00F30462" w:rsidRDefault="00B633EE" w:rsidP="00F30462">
      <w:pPr>
        <w:pStyle w:val="Bibliography"/>
        <w:spacing w:line="360" w:lineRule="auto"/>
        <w:rPr>
          <w:rFonts w:ascii="Times New Roman" w:hAnsi="Times New Roman" w:cs="Times New Roman"/>
        </w:rPr>
      </w:pPr>
    </w:p>
    <w:p w14:paraId="53DE1AD2" w14:textId="77777777" w:rsidR="00B633EE" w:rsidRPr="00F30462" w:rsidRDefault="00A811D3" w:rsidP="00F30462">
      <w:pPr>
        <w:pStyle w:val="Bibliography"/>
        <w:spacing w:line="360" w:lineRule="auto"/>
        <w:rPr>
          <w:rFonts w:ascii="Times New Roman" w:hAnsi="Times New Roman" w:cs="Times New Roman"/>
          <w:lang w:val="fr-BE"/>
        </w:rPr>
      </w:pPr>
      <w:r w:rsidRPr="00F30462">
        <w:rPr>
          <w:rFonts w:ascii="Times New Roman" w:hAnsi="Times New Roman" w:cs="Times New Roman"/>
        </w:rPr>
        <w:fldChar w:fldCharType="begin"/>
      </w:r>
      <w:r w:rsidR="00B633EE" w:rsidRPr="00F30462">
        <w:rPr>
          <w:rFonts w:ascii="Times New Roman" w:hAnsi="Times New Roman" w:cs="Times New Roman"/>
        </w:rPr>
        <w:instrText xml:space="preserve"> ADDIN ZOTERO_BIBL {"uncited":[],"omitted":[],"custom":[]} CSL_BIBLIOGRAPHY </w:instrText>
      </w:r>
      <w:r w:rsidRPr="00F30462">
        <w:rPr>
          <w:rFonts w:ascii="Times New Roman" w:hAnsi="Times New Roman" w:cs="Times New Roman"/>
        </w:rPr>
        <w:fldChar w:fldCharType="separate"/>
      </w:r>
      <w:r w:rsidR="00B633EE" w:rsidRPr="00F30462">
        <w:rPr>
          <w:rFonts w:ascii="Times New Roman" w:hAnsi="Times New Roman" w:cs="Times New Roman"/>
        </w:rPr>
        <w:t xml:space="preserve">Aasen, S. R., Babiker, S. M. E., Vangen, A. M. K., Haugan, S. B., Sandell, S. A. O., Saksvik-Lehouillier, I., Kam, J., Mittner, M., &amp; Csifcsák, G. (2025). </w:t>
      </w:r>
      <w:r w:rsidR="00B633EE" w:rsidRPr="00F30462">
        <w:rPr>
          <w:rFonts w:ascii="Times New Roman" w:hAnsi="Times New Roman" w:cs="Times New Roman"/>
          <w:i/>
          <w:iCs/>
        </w:rPr>
        <w:t>The Effects of Partial Sleep Deprivation on Mind Wandering, Executive Performance and Affect</w:t>
      </w:r>
      <w:r w:rsidR="00B633EE" w:rsidRPr="00F30462">
        <w:rPr>
          <w:rFonts w:ascii="Times New Roman" w:hAnsi="Times New Roman" w:cs="Times New Roman"/>
        </w:rPr>
        <w:t xml:space="preserve"> (Kmqfz_v3). </w:t>
      </w:r>
      <w:r w:rsidR="00B633EE" w:rsidRPr="00F30462">
        <w:rPr>
          <w:rFonts w:ascii="Times New Roman" w:hAnsi="Times New Roman" w:cs="Times New Roman"/>
          <w:lang w:val="fr-BE"/>
        </w:rPr>
        <w:t>OSF Preprints. https://doi.org/10.31219/osf.io/kmqfz_v3</w:t>
      </w:r>
    </w:p>
    <w:p w14:paraId="0AB7D225"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lang w:val="fr-BE"/>
        </w:rPr>
        <w:t xml:space="preserve">Adam, K. C. S., Doss, M. K., Pabon, E., Vogel, E. K., &amp; de Wit, H. (2020). </w:t>
      </w:r>
      <w:r w:rsidRPr="00F30462">
        <w:rPr>
          <w:rFonts w:ascii="Times New Roman" w:hAnsi="Times New Roman" w:cs="Times New Roman"/>
        </w:rPr>
        <w:t xml:space="preserve">Δ9-Tetrahydrocannabinol (THC) impairs visual working memory performance: A randomized crossover trial. </w:t>
      </w:r>
      <w:r w:rsidRPr="00F30462">
        <w:rPr>
          <w:rFonts w:ascii="Times New Roman" w:hAnsi="Times New Roman" w:cs="Times New Roman"/>
          <w:i/>
          <w:iCs/>
        </w:rPr>
        <w:t>Neuropsychopharmacology (New York, N.Y.)</w:t>
      </w:r>
      <w:r w:rsidRPr="00F30462">
        <w:rPr>
          <w:rFonts w:ascii="Times New Roman" w:hAnsi="Times New Roman" w:cs="Times New Roman"/>
        </w:rPr>
        <w:t xml:space="preserve">, </w:t>
      </w:r>
      <w:r w:rsidRPr="00F30462">
        <w:rPr>
          <w:rFonts w:ascii="Times New Roman" w:hAnsi="Times New Roman" w:cs="Times New Roman"/>
          <w:i/>
          <w:iCs/>
        </w:rPr>
        <w:t>45</w:t>
      </w:r>
      <w:r w:rsidRPr="00F30462">
        <w:rPr>
          <w:rFonts w:ascii="Times New Roman" w:hAnsi="Times New Roman" w:cs="Times New Roman"/>
        </w:rPr>
        <w:t>(11), 1807–1816.</w:t>
      </w:r>
    </w:p>
    <w:p w14:paraId="49057F7A"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Aedo-Jury, F., Schwalm, M., Hamzehpour, L., &amp; Stroh, A. (2020). Brain states govern the spatio-temporal dynamics of resting-state functional connectivity. </w:t>
      </w:r>
      <w:r w:rsidRPr="00F30462">
        <w:rPr>
          <w:rFonts w:ascii="Times New Roman" w:hAnsi="Times New Roman" w:cs="Times New Roman"/>
          <w:i/>
          <w:iCs/>
        </w:rPr>
        <w:t>eLife</w:t>
      </w:r>
      <w:r w:rsidRPr="00F30462">
        <w:rPr>
          <w:rFonts w:ascii="Times New Roman" w:hAnsi="Times New Roman" w:cs="Times New Roman"/>
        </w:rPr>
        <w:t xml:space="preserve">, </w:t>
      </w:r>
      <w:r w:rsidRPr="00F30462">
        <w:rPr>
          <w:rFonts w:ascii="Times New Roman" w:hAnsi="Times New Roman" w:cs="Times New Roman"/>
          <w:i/>
          <w:iCs/>
        </w:rPr>
        <w:t>9</w:t>
      </w:r>
      <w:r w:rsidRPr="00F30462">
        <w:rPr>
          <w:rFonts w:ascii="Times New Roman" w:hAnsi="Times New Roman" w:cs="Times New Roman"/>
        </w:rPr>
        <w:t>, e53186. https://doi.org/10.7554/eLife.53186</w:t>
      </w:r>
    </w:p>
    <w:p w14:paraId="72F84156"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Alexandersen, A., Aasen, S. R., Csifcsák, G., &amp; Mittner, M. (2025). Evidence for the efficacy of theta-burst stimulation above the angular gyrus for reducing mind wandering propensity: A successful pre-registered study. </w:t>
      </w:r>
      <w:r w:rsidRPr="00F30462">
        <w:rPr>
          <w:rFonts w:ascii="Times New Roman" w:hAnsi="Times New Roman" w:cs="Times New Roman"/>
          <w:i/>
          <w:iCs/>
        </w:rPr>
        <w:t>Cortex</w:t>
      </w:r>
      <w:r w:rsidRPr="00F30462">
        <w:rPr>
          <w:rFonts w:ascii="Times New Roman" w:hAnsi="Times New Roman" w:cs="Times New Roman"/>
        </w:rPr>
        <w:t xml:space="preserve">, </w:t>
      </w:r>
      <w:r w:rsidRPr="00F30462">
        <w:rPr>
          <w:rFonts w:ascii="Times New Roman" w:hAnsi="Times New Roman" w:cs="Times New Roman"/>
          <w:i/>
          <w:iCs/>
        </w:rPr>
        <w:t>191</w:t>
      </w:r>
      <w:r w:rsidRPr="00F30462">
        <w:rPr>
          <w:rFonts w:ascii="Times New Roman" w:hAnsi="Times New Roman" w:cs="Times New Roman"/>
        </w:rPr>
        <w:t>, 25–40. Scopus. https://doi.org/10.1016/j.cortex.2025.07.006</w:t>
      </w:r>
    </w:p>
    <w:p w14:paraId="38EF6E2A"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Anderson, F. T., &amp; McDaniel, M. A. (2019). Hey buddy, why don’t we take it outside: An experience sampling study of prospective memory. </w:t>
      </w:r>
      <w:r w:rsidRPr="00F30462">
        <w:rPr>
          <w:rFonts w:ascii="Times New Roman" w:hAnsi="Times New Roman" w:cs="Times New Roman"/>
          <w:i/>
          <w:iCs/>
        </w:rPr>
        <w:t>Memory &amp; Cognition</w:t>
      </w:r>
      <w:r w:rsidRPr="00F30462">
        <w:rPr>
          <w:rFonts w:ascii="Times New Roman" w:hAnsi="Times New Roman" w:cs="Times New Roman"/>
        </w:rPr>
        <w:t xml:space="preserve">, </w:t>
      </w:r>
      <w:r w:rsidRPr="00F30462">
        <w:rPr>
          <w:rFonts w:ascii="Times New Roman" w:hAnsi="Times New Roman" w:cs="Times New Roman"/>
          <w:i/>
          <w:iCs/>
        </w:rPr>
        <w:t>47</w:t>
      </w:r>
      <w:r w:rsidRPr="00F30462">
        <w:rPr>
          <w:rFonts w:ascii="Times New Roman" w:hAnsi="Times New Roman" w:cs="Times New Roman"/>
        </w:rPr>
        <w:t>(1), 47–62.</w:t>
      </w:r>
    </w:p>
    <w:p w14:paraId="546206B7"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Andrillon, T., Burns, A., Mackay, T., Windt, J., &amp; Tsuchiya, N. (2021). Predicting lapses of attention with sleep-like slow waves. </w:t>
      </w:r>
      <w:r w:rsidRPr="00F30462">
        <w:rPr>
          <w:rFonts w:ascii="Times New Roman" w:hAnsi="Times New Roman" w:cs="Times New Roman"/>
          <w:i/>
          <w:iCs/>
        </w:rPr>
        <w:t>Nature Communications</w:t>
      </w:r>
      <w:r w:rsidRPr="00F30462">
        <w:rPr>
          <w:rFonts w:ascii="Times New Roman" w:hAnsi="Times New Roman" w:cs="Times New Roman"/>
        </w:rPr>
        <w:t xml:space="preserve">, </w:t>
      </w:r>
      <w:r w:rsidRPr="00F30462">
        <w:rPr>
          <w:rFonts w:ascii="Times New Roman" w:hAnsi="Times New Roman" w:cs="Times New Roman"/>
          <w:i/>
          <w:iCs/>
        </w:rPr>
        <w:t>12</w:t>
      </w:r>
      <w:r w:rsidRPr="00F30462">
        <w:rPr>
          <w:rFonts w:ascii="Times New Roman" w:hAnsi="Times New Roman" w:cs="Times New Roman"/>
        </w:rPr>
        <w:t>(1), 3657. https://doi.org/10.1038/s41467-021-23890-7</w:t>
      </w:r>
    </w:p>
    <w:p w14:paraId="4FA882EE"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lang w:val="fr-BE"/>
        </w:rPr>
        <w:t xml:space="preserve">Andrillon, T., Lutz, A., Windt, J., &amp; Demertzi, A. (2025). </w:t>
      </w:r>
      <w:r w:rsidRPr="00F30462">
        <w:rPr>
          <w:rFonts w:ascii="Times New Roman" w:hAnsi="Times New Roman" w:cs="Times New Roman"/>
        </w:rPr>
        <w:t xml:space="preserve">Where is my mind? A neurocognitive investigation of mind blanking. </w:t>
      </w:r>
      <w:r w:rsidRPr="00F30462">
        <w:rPr>
          <w:rFonts w:ascii="Times New Roman" w:hAnsi="Times New Roman" w:cs="Times New Roman"/>
          <w:i/>
          <w:iCs/>
        </w:rPr>
        <w:t>Trends in Cognitive Sciences</w:t>
      </w:r>
      <w:r w:rsidRPr="00F30462">
        <w:rPr>
          <w:rFonts w:ascii="Times New Roman" w:hAnsi="Times New Roman" w:cs="Times New Roman"/>
        </w:rPr>
        <w:t xml:space="preserve">, </w:t>
      </w:r>
      <w:r w:rsidRPr="00F30462">
        <w:rPr>
          <w:rFonts w:ascii="Times New Roman" w:hAnsi="Times New Roman" w:cs="Times New Roman"/>
          <w:i/>
          <w:iCs/>
        </w:rPr>
        <w:t>29</w:t>
      </w:r>
      <w:r w:rsidRPr="00F30462">
        <w:rPr>
          <w:rFonts w:ascii="Times New Roman" w:hAnsi="Times New Roman" w:cs="Times New Roman"/>
        </w:rPr>
        <w:t>(7), 600–613.</w:t>
      </w:r>
    </w:p>
    <w:p w14:paraId="0EB3C63F"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Anvari, F., &amp; Lakens, D. (2021). Using anchor-based methods to determine the smallest effect size of interest. </w:t>
      </w:r>
      <w:r w:rsidRPr="00F30462">
        <w:rPr>
          <w:rFonts w:ascii="Times New Roman" w:hAnsi="Times New Roman" w:cs="Times New Roman"/>
          <w:i/>
          <w:iCs/>
        </w:rPr>
        <w:t>Journal of Experimental Social Psychology</w:t>
      </w:r>
      <w:r w:rsidRPr="00F30462">
        <w:rPr>
          <w:rFonts w:ascii="Times New Roman" w:hAnsi="Times New Roman" w:cs="Times New Roman"/>
        </w:rPr>
        <w:t xml:space="preserve">, </w:t>
      </w:r>
      <w:r w:rsidRPr="00F30462">
        <w:rPr>
          <w:rFonts w:ascii="Times New Roman" w:hAnsi="Times New Roman" w:cs="Times New Roman"/>
          <w:i/>
          <w:iCs/>
        </w:rPr>
        <w:t>96</w:t>
      </w:r>
      <w:r w:rsidRPr="00F30462">
        <w:rPr>
          <w:rFonts w:ascii="Times New Roman" w:hAnsi="Times New Roman" w:cs="Times New Roman"/>
        </w:rPr>
        <w:t>, 104159. https://doi.org/10.1016/j.jesp.2021.104159</w:t>
      </w:r>
    </w:p>
    <w:p w14:paraId="21C913F0"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Bates, D., Mächler, M., Bolker, B., &amp; Walker, S. (2015). Fitting Linear Mixed-Effects Models Using lme4. </w:t>
      </w:r>
      <w:r w:rsidRPr="00F30462">
        <w:rPr>
          <w:rFonts w:ascii="Times New Roman" w:hAnsi="Times New Roman" w:cs="Times New Roman"/>
          <w:i/>
          <w:iCs/>
        </w:rPr>
        <w:t>Journal of Statistical Software</w:t>
      </w:r>
      <w:r w:rsidRPr="00F30462">
        <w:rPr>
          <w:rFonts w:ascii="Times New Roman" w:hAnsi="Times New Roman" w:cs="Times New Roman"/>
        </w:rPr>
        <w:t xml:space="preserve">, </w:t>
      </w:r>
      <w:r w:rsidRPr="00F30462">
        <w:rPr>
          <w:rFonts w:ascii="Times New Roman" w:hAnsi="Times New Roman" w:cs="Times New Roman"/>
          <w:i/>
          <w:iCs/>
        </w:rPr>
        <w:t>67</w:t>
      </w:r>
      <w:r w:rsidRPr="00F30462">
        <w:rPr>
          <w:rFonts w:ascii="Times New Roman" w:hAnsi="Times New Roman" w:cs="Times New Roman"/>
        </w:rPr>
        <w:t>, 1–48. https://doi.org/10.18637/jss.v067.i01</w:t>
      </w:r>
    </w:p>
    <w:p w14:paraId="3A0EA8BE"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lastRenderedPageBreak/>
        <w:t xml:space="preserve">Beikmohamadi, L. A., &amp; Meier, M. E. (2024). Examining the relations among working memory capacity, attention-deficit/hyperactivity disorder symptomology, and conscious experience. </w:t>
      </w:r>
      <w:r w:rsidRPr="00F30462">
        <w:rPr>
          <w:rFonts w:ascii="Times New Roman" w:hAnsi="Times New Roman" w:cs="Times New Roman"/>
          <w:i/>
          <w:iCs/>
        </w:rPr>
        <w:t>Psychology of Consciousness (Washington, D.C.)</w:t>
      </w:r>
      <w:r w:rsidRPr="00F30462">
        <w:rPr>
          <w:rFonts w:ascii="Times New Roman" w:hAnsi="Times New Roman" w:cs="Times New Roman"/>
        </w:rPr>
        <w:t xml:space="preserve">, </w:t>
      </w:r>
      <w:r w:rsidRPr="00F30462">
        <w:rPr>
          <w:rFonts w:ascii="Times New Roman" w:hAnsi="Times New Roman" w:cs="Times New Roman"/>
          <w:i/>
          <w:iCs/>
        </w:rPr>
        <w:t>11</w:t>
      </w:r>
      <w:r w:rsidRPr="00F30462">
        <w:rPr>
          <w:rFonts w:ascii="Times New Roman" w:hAnsi="Times New Roman" w:cs="Times New Roman"/>
        </w:rPr>
        <w:t>(2), 217–233.</w:t>
      </w:r>
    </w:p>
    <w:p w14:paraId="5F6C5098"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Bertschi, S., Rosenberg, M. D., Vogel, E. K., &amp; Chidharom, M. (2025). </w:t>
      </w:r>
      <w:r w:rsidRPr="00F30462">
        <w:rPr>
          <w:rFonts w:ascii="Times New Roman" w:hAnsi="Times New Roman" w:cs="Times New Roman"/>
          <w:i/>
          <w:iCs/>
        </w:rPr>
        <w:t>The Subjective Experience of Being Out-of-the-Zone: Investigating Objective and Subjective Attention Fluctuations</w:t>
      </w:r>
      <w:r w:rsidRPr="00F30462">
        <w:rPr>
          <w:rFonts w:ascii="Times New Roman" w:hAnsi="Times New Roman" w:cs="Times New Roman"/>
        </w:rPr>
        <w:t xml:space="preserve"> (Fzqug_v1). PsyArXiv. https://doi.org/10.31234/osf.io/fzqug_v1</w:t>
      </w:r>
    </w:p>
    <w:p w14:paraId="595CD3AC"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Boayue, N. M., Csifcsák, G., Kreis, I. V., Schmidt, C., Finn, I., Hovde Vollsund, A. E., &amp; Mittner, M. (2021). The interplay between executive control, behavioural variability and mind wandering: Insights from a high-definition transcranial direct-current stimulation study. </w:t>
      </w:r>
      <w:r w:rsidRPr="00F30462">
        <w:rPr>
          <w:rFonts w:ascii="Times New Roman" w:hAnsi="Times New Roman" w:cs="Times New Roman"/>
          <w:i/>
          <w:iCs/>
        </w:rPr>
        <w:t>European Journal of Neuroscience</w:t>
      </w:r>
      <w:r w:rsidRPr="00F30462">
        <w:rPr>
          <w:rFonts w:ascii="Times New Roman" w:hAnsi="Times New Roman" w:cs="Times New Roman"/>
        </w:rPr>
        <w:t xml:space="preserve">, </w:t>
      </w:r>
      <w:r w:rsidRPr="00F30462">
        <w:rPr>
          <w:rFonts w:ascii="Times New Roman" w:hAnsi="Times New Roman" w:cs="Times New Roman"/>
          <w:i/>
          <w:iCs/>
        </w:rPr>
        <w:t>53</w:t>
      </w:r>
      <w:r w:rsidRPr="00F30462">
        <w:rPr>
          <w:rFonts w:ascii="Times New Roman" w:hAnsi="Times New Roman" w:cs="Times New Roman"/>
        </w:rPr>
        <w:t>(5), 1498–1516. https://doi.org/10.1111/ejn.15049</w:t>
      </w:r>
    </w:p>
    <w:p w14:paraId="5931625F"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Boulakis, P. A., &amp; Demertzi, A. (2025). Relating mind-blanking to the content and dynamics of spontaneous thinking. </w:t>
      </w:r>
      <w:r w:rsidRPr="00F30462">
        <w:rPr>
          <w:rFonts w:ascii="Times New Roman" w:hAnsi="Times New Roman" w:cs="Times New Roman"/>
          <w:i/>
          <w:iCs/>
        </w:rPr>
        <w:t>Current Opinion in Behavioral Sciences</w:t>
      </w:r>
      <w:r w:rsidRPr="00F30462">
        <w:rPr>
          <w:rFonts w:ascii="Times New Roman" w:hAnsi="Times New Roman" w:cs="Times New Roman"/>
        </w:rPr>
        <w:t xml:space="preserve">, </w:t>
      </w:r>
      <w:r w:rsidRPr="00F30462">
        <w:rPr>
          <w:rFonts w:ascii="Times New Roman" w:hAnsi="Times New Roman" w:cs="Times New Roman"/>
          <w:i/>
          <w:iCs/>
        </w:rPr>
        <w:t>61</w:t>
      </w:r>
      <w:r w:rsidRPr="00F30462">
        <w:rPr>
          <w:rFonts w:ascii="Times New Roman" w:hAnsi="Times New Roman" w:cs="Times New Roman"/>
        </w:rPr>
        <w:t>, 101481. https://doi.org/10.1016/j.cobeha.2024.101481</w:t>
      </w:r>
    </w:p>
    <w:p w14:paraId="5697BE23"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lang w:val="fr-BE"/>
        </w:rPr>
        <w:t xml:space="preserve">Boulakis, P. A., Kusztor, A., Tsuchiya, N., Andrillon, T., &amp; Demertzi, A. (2025). </w:t>
      </w:r>
      <w:r w:rsidRPr="00F30462">
        <w:rPr>
          <w:rFonts w:ascii="Times New Roman" w:hAnsi="Times New Roman" w:cs="Times New Roman"/>
          <w:i/>
          <w:iCs/>
        </w:rPr>
        <w:t>Distinct cortical profiles underlie the common reportability of thought-free experiences</w:t>
      </w:r>
      <w:r w:rsidRPr="00F30462">
        <w:rPr>
          <w:rFonts w:ascii="Times New Roman" w:hAnsi="Times New Roman" w:cs="Times New Roman"/>
        </w:rPr>
        <w:t xml:space="preserve"> (p. 2025.10.14.681984). bioRxiv. https://doi.org/10.1101/2025.10.14.681984</w:t>
      </w:r>
    </w:p>
    <w:p w14:paraId="16662693"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Boulakis, P. A., Mortaheb, S., van Calster, L., Majerus, S., &amp; Demertzi, A. (2023). Whole-Brain Deactivations Precede Uninduced Mind-Blanking Reports. </w:t>
      </w:r>
      <w:r w:rsidRPr="00F30462">
        <w:rPr>
          <w:rFonts w:ascii="Times New Roman" w:hAnsi="Times New Roman" w:cs="Times New Roman"/>
          <w:i/>
          <w:iCs/>
        </w:rPr>
        <w:t>The Journal of Neuroscience : The Official Journal of the Society for Neuroscience</w:t>
      </w:r>
      <w:r w:rsidRPr="00F30462">
        <w:rPr>
          <w:rFonts w:ascii="Times New Roman" w:hAnsi="Times New Roman" w:cs="Times New Roman"/>
        </w:rPr>
        <w:t xml:space="preserve">, </w:t>
      </w:r>
      <w:r w:rsidRPr="00F30462">
        <w:rPr>
          <w:rFonts w:ascii="Times New Roman" w:hAnsi="Times New Roman" w:cs="Times New Roman"/>
          <w:i/>
          <w:iCs/>
        </w:rPr>
        <w:t>43</w:t>
      </w:r>
      <w:r w:rsidRPr="00F30462">
        <w:rPr>
          <w:rFonts w:ascii="Times New Roman" w:hAnsi="Times New Roman" w:cs="Times New Roman"/>
        </w:rPr>
        <w:t>(40), 6807–6815. https://doi.org/10.1523/JNEUROSCI.0696-23.2023</w:t>
      </w:r>
    </w:p>
    <w:p w14:paraId="67E2916B"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Boulakis, P. A., Simos, N. J., Zoi, S., Mortaheb, S., Schmidt, C., Raimondo, F., &amp; Demertzi, A. (2025). Variations of autonomic arousal mediate the reportability of mind blanking occurrences. </w:t>
      </w:r>
      <w:r w:rsidRPr="00F30462">
        <w:rPr>
          <w:rFonts w:ascii="Times New Roman" w:hAnsi="Times New Roman" w:cs="Times New Roman"/>
          <w:i/>
          <w:iCs/>
        </w:rPr>
        <w:t>Scientific Reports</w:t>
      </w:r>
      <w:r w:rsidRPr="00F30462">
        <w:rPr>
          <w:rFonts w:ascii="Times New Roman" w:hAnsi="Times New Roman" w:cs="Times New Roman"/>
        </w:rPr>
        <w:t xml:space="preserve">, </w:t>
      </w:r>
      <w:r w:rsidRPr="00F30462">
        <w:rPr>
          <w:rFonts w:ascii="Times New Roman" w:hAnsi="Times New Roman" w:cs="Times New Roman"/>
          <w:i/>
          <w:iCs/>
        </w:rPr>
        <w:t>15</w:t>
      </w:r>
      <w:r w:rsidRPr="00F30462">
        <w:rPr>
          <w:rFonts w:ascii="Times New Roman" w:hAnsi="Times New Roman" w:cs="Times New Roman"/>
        </w:rPr>
        <w:t>(1), 4956. https://doi.org/10.1038/s41598-024-81618-1</w:t>
      </w:r>
    </w:p>
    <w:p w14:paraId="79F1A2AA"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Burdett, B. R. D., Charlton, S. G., &amp; Starkey, N. J. (2018). Inside the commuting driver’s wandering mind. </w:t>
      </w:r>
      <w:r w:rsidRPr="00F30462">
        <w:rPr>
          <w:rFonts w:ascii="Times New Roman" w:hAnsi="Times New Roman" w:cs="Times New Roman"/>
          <w:i/>
          <w:iCs/>
        </w:rPr>
        <w:t>Transportation Research. Part F, Traffic Psychology and Behaviour</w:t>
      </w:r>
      <w:r w:rsidRPr="00F30462">
        <w:rPr>
          <w:rFonts w:ascii="Times New Roman" w:hAnsi="Times New Roman" w:cs="Times New Roman"/>
        </w:rPr>
        <w:t xml:space="preserve">, </w:t>
      </w:r>
      <w:r w:rsidRPr="00F30462">
        <w:rPr>
          <w:rFonts w:ascii="Times New Roman" w:hAnsi="Times New Roman" w:cs="Times New Roman"/>
          <w:i/>
          <w:iCs/>
        </w:rPr>
        <w:t>57</w:t>
      </w:r>
      <w:r w:rsidRPr="00F30462">
        <w:rPr>
          <w:rFonts w:ascii="Times New Roman" w:hAnsi="Times New Roman" w:cs="Times New Roman"/>
        </w:rPr>
        <w:t>, 59–74.</w:t>
      </w:r>
    </w:p>
    <w:p w14:paraId="45FA4A12"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Bürkner, P.-C. (2017). brms: An R Package for Bayesian Multilevel Models Using Stan. </w:t>
      </w:r>
      <w:r w:rsidRPr="00F30462">
        <w:rPr>
          <w:rFonts w:ascii="Times New Roman" w:hAnsi="Times New Roman" w:cs="Times New Roman"/>
          <w:i/>
          <w:iCs/>
        </w:rPr>
        <w:t>Journal of Statistical Software</w:t>
      </w:r>
      <w:r w:rsidRPr="00F30462">
        <w:rPr>
          <w:rFonts w:ascii="Times New Roman" w:hAnsi="Times New Roman" w:cs="Times New Roman"/>
        </w:rPr>
        <w:t xml:space="preserve">, </w:t>
      </w:r>
      <w:r w:rsidRPr="00F30462">
        <w:rPr>
          <w:rFonts w:ascii="Times New Roman" w:hAnsi="Times New Roman" w:cs="Times New Roman"/>
          <w:i/>
          <w:iCs/>
        </w:rPr>
        <w:t>80</w:t>
      </w:r>
      <w:r w:rsidRPr="00F30462">
        <w:rPr>
          <w:rFonts w:ascii="Times New Roman" w:hAnsi="Times New Roman" w:cs="Times New Roman"/>
        </w:rPr>
        <w:t>, 1–28. https://doi.org/10.18637/jss.v080.i01</w:t>
      </w:r>
    </w:p>
    <w:p w14:paraId="2DF86730"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Castro, P., Luppi, A., Tagliazucchi, E., Perl, Y. S., Naci, L., Owen, A. M., Sitt, J. D., Destexhe, A., &amp; Cofré, R. (2024). Dynamical structure-function correlations provide robust and generalizable signatures of consciousness in humans. </w:t>
      </w:r>
      <w:r w:rsidRPr="00F30462">
        <w:rPr>
          <w:rFonts w:ascii="Times New Roman" w:hAnsi="Times New Roman" w:cs="Times New Roman"/>
          <w:i/>
          <w:iCs/>
        </w:rPr>
        <w:t>Communications Biology</w:t>
      </w:r>
      <w:r w:rsidRPr="00F30462">
        <w:rPr>
          <w:rFonts w:ascii="Times New Roman" w:hAnsi="Times New Roman" w:cs="Times New Roman"/>
        </w:rPr>
        <w:t xml:space="preserve">, </w:t>
      </w:r>
      <w:r w:rsidRPr="00F30462">
        <w:rPr>
          <w:rFonts w:ascii="Times New Roman" w:hAnsi="Times New Roman" w:cs="Times New Roman"/>
          <w:i/>
          <w:iCs/>
        </w:rPr>
        <w:t>7</w:t>
      </w:r>
      <w:r w:rsidRPr="00F30462">
        <w:rPr>
          <w:rFonts w:ascii="Times New Roman" w:hAnsi="Times New Roman" w:cs="Times New Roman"/>
        </w:rPr>
        <w:t>(1), 1–12. https://doi.org/10.1038/s42003-024-06858-3</w:t>
      </w:r>
    </w:p>
    <w:p w14:paraId="2D9B5D54"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lastRenderedPageBreak/>
        <w:t xml:space="preserve">Chen, H.-T., &amp; Mackie, K. (2020). Adolescent Δ9-Tetrahydrocannabinol Exposure Selectively Impairs Working Memory but Not Several Other mPFC-Mediated Behaviors. </w:t>
      </w:r>
      <w:r w:rsidRPr="00F30462">
        <w:rPr>
          <w:rFonts w:ascii="Times New Roman" w:hAnsi="Times New Roman" w:cs="Times New Roman"/>
          <w:i/>
          <w:iCs/>
        </w:rPr>
        <w:t>Frontiers in Psychiatry</w:t>
      </w:r>
      <w:r w:rsidRPr="00F30462">
        <w:rPr>
          <w:rFonts w:ascii="Times New Roman" w:hAnsi="Times New Roman" w:cs="Times New Roman"/>
        </w:rPr>
        <w:t xml:space="preserve">, </w:t>
      </w:r>
      <w:r w:rsidRPr="00F30462">
        <w:rPr>
          <w:rFonts w:ascii="Times New Roman" w:hAnsi="Times New Roman" w:cs="Times New Roman"/>
          <w:i/>
          <w:iCs/>
        </w:rPr>
        <w:t>11</w:t>
      </w:r>
      <w:r w:rsidRPr="00F30462">
        <w:rPr>
          <w:rFonts w:ascii="Times New Roman" w:hAnsi="Times New Roman" w:cs="Times New Roman"/>
        </w:rPr>
        <w:t>, 576214. https://doi.org/10.3389/fpsyt.2020.576214</w:t>
      </w:r>
    </w:p>
    <w:p w14:paraId="3C581E88"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Cohen, J. (2013). </w:t>
      </w:r>
      <w:r w:rsidRPr="00F30462">
        <w:rPr>
          <w:rFonts w:ascii="Times New Roman" w:hAnsi="Times New Roman" w:cs="Times New Roman"/>
          <w:i/>
          <w:iCs/>
        </w:rPr>
        <w:t>Statistical Power Analysis for the Behavioral Sciences</w:t>
      </w:r>
      <w:r w:rsidRPr="00F30462">
        <w:rPr>
          <w:rFonts w:ascii="Times New Roman" w:hAnsi="Times New Roman" w:cs="Times New Roman"/>
        </w:rPr>
        <w:t xml:space="preserve"> (2nd ed.). Routledge. https://doi.org/10.4324/9780203771587</w:t>
      </w:r>
    </w:p>
    <w:p w14:paraId="1B981808"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Corcoran, A. W., Le Coz, A., Hohwy, J., &amp; Andrillon, T. (2025). When your heart isn’t in it anymore: Cardiac correlates of task disengagement. </w:t>
      </w:r>
      <w:r w:rsidRPr="00F30462">
        <w:rPr>
          <w:rFonts w:ascii="Times New Roman" w:hAnsi="Times New Roman" w:cs="Times New Roman"/>
          <w:i/>
          <w:iCs/>
        </w:rPr>
        <w:t>Communications Biology</w:t>
      </w:r>
      <w:r w:rsidRPr="00F30462">
        <w:rPr>
          <w:rFonts w:ascii="Times New Roman" w:hAnsi="Times New Roman" w:cs="Times New Roman"/>
        </w:rPr>
        <w:t xml:space="preserve">, </w:t>
      </w:r>
      <w:r w:rsidRPr="00F30462">
        <w:rPr>
          <w:rFonts w:ascii="Times New Roman" w:hAnsi="Times New Roman" w:cs="Times New Roman"/>
          <w:i/>
          <w:iCs/>
        </w:rPr>
        <w:t>8</w:t>
      </w:r>
      <w:r w:rsidRPr="00F30462">
        <w:rPr>
          <w:rFonts w:ascii="Times New Roman" w:hAnsi="Times New Roman" w:cs="Times New Roman"/>
        </w:rPr>
        <w:t>(1), 1646. https://doi.org/10.1038/s42003-025-09026-3</w:t>
      </w:r>
    </w:p>
    <w:p w14:paraId="34DEAF77"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deBettencourt, M. T., Keene, P. A., Awh, E., &amp; Vogel, E. K. (2019). Real-time triggering reveals concurrent lapses of attention and working memory. </w:t>
      </w:r>
      <w:r w:rsidRPr="00F30462">
        <w:rPr>
          <w:rFonts w:ascii="Times New Roman" w:hAnsi="Times New Roman" w:cs="Times New Roman"/>
          <w:i/>
          <w:iCs/>
        </w:rPr>
        <w:t>Nature Human Behaviour</w:t>
      </w:r>
      <w:r w:rsidRPr="00F30462">
        <w:rPr>
          <w:rFonts w:ascii="Times New Roman" w:hAnsi="Times New Roman" w:cs="Times New Roman"/>
        </w:rPr>
        <w:t xml:space="preserve">, </w:t>
      </w:r>
      <w:r w:rsidRPr="00F30462">
        <w:rPr>
          <w:rFonts w:ascii="Times New Roman" w:hAnsi="Times New Roman" w:cs="Times New Roman"/>
          <w:i/>
          <w:iCs/>
        </w:rPr>
        <w:t>3</w:t>
      </w:r>
      <w:r w:rsidRPr="00F30462">
        <w:rPr>
          <w:rFonts w:ascii="Times New Roman" w:hAnsi="Times New Roman" w:cs="Times New Roman"/>
        </w:rPr>
        <w:t>(8), 808–816. https://doi.org/10.1038/s41562-019-0606-6</w:t>
      </w:r>
    </w:p>
    <w:p w14:paraId="5DFE49C9"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DeBruine, L. M., &amp; Barr, D. J. (2021). Understanding Mixed-Effects Models Through Data Simulation. </w:t>
      </w:r>
      <w:r w:rsidRPr="00F30462">
        <w:rPr>
          <w:rFonts w:ascii="Times New Roman" w:hAnsi="Times New Roman" w:cs="Times New Roman"/>
          <w:i/>
          <w:iCs/>
        </w:rPr>
        <w:t>Advances in Methods and Practices in Psychological Science</w:t>
      </w:r>
      <w:r w:rsidRPr="00F30462">
        <w:rPr>
          <w:rFonts w:ascii="Times New Roman" w:hAnsi="Times New Roman" w:cs="Times New Roman"/>
        </w:rPr>
        <w:t xml:space="preserve">, </w:t>
      </w:r>
      <w:r w:rsidRPr="00F30462">
        <w:rPr>
          <w:rFonts w:ascii="Times New Roman" w:hAnsi="Times New Roman" w:cs="Times New Roman"/>
          <w:i/>
          <w:iCs/>
        </w:rPr>
        <w:t>4</w:t>
      </w:r>
      <w:r w:rsidRPr="00F30462">
        <w:rPr>
          <w:rFonts w:ascii="Times New Roman" w:hAnsi="Times New Roman" w:cs="Times New Roman"/>
        </w:rPr>
        <w:t>(1), 2515245920965119. https://doi.org/10.1177/2515245920965119</w:t>
      </w:r>
    </w:p>
    <w:p w14:paraId="7F6190E3"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Demertzi, A., Kucyi, A., Ponce-Alvarez, A., Keliris, G. A., Whitfield-Gabrieli, S., &amp; Deco, G. (2022). Functional network antagonism and consciousness. </w:t>
      </w:r>
      <w:r w:rsidRPr="00F30462">
        <w:rPr>
          <w:rFonts w:ascii="Times New Roman" w:hAnsi="Times New Roman" w:cs="Times New Roman"/>
          <w:i/>
          <w:iCs/>
        </w:rPr>
        <w:t>Network Neuroscience</w:t>
      </w:r>
      <w:r w:rsidRPr="00F30462">
        <w:rPr>
          <w:rFonts w:ascii="Times New Roman" w:hAnsi="Times New Roman" w:cs="Times New Roman"/>
        </w:rPr>
        <w:t xml:space="preserve">, </w:t>
      </w:r>
      <w:r w:rsidRPr="00F30462">
        <w:rPr>
          <w:rFonts w:ascii="Times New Roman" w:hAnsi="Times New Roman" w:cs="Times New Roman"/>
          <w:i/>
          <w:iCs/>
        </w:rPr>
        <w:t>6</w:t>
      </w:r>
      <w:r w:rsidRPr="00F30462">
        <w:rPr>
          <w:rFonts w:ascii="Times New Roman" w:hAnsi="Times New Roman" w:cs="Times New Roman"/>
        </w:rPr>
        <w:t>(4), 998–1009. https://doi.org/10.1162/netn_a_00244</w:t>
      </w:r>
    </w:p>
    <w:p w14:paraId="5D0051BE"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Demertzi, A., Tagliazucchi, E., Dehaene, S., Deco, G., Barttfeld, P., Raimondo, F., Martial, C., Fernández-Espejo, D., Rohaut, B., Voss, H. U., Schiff, N. D., Owen, A. M., Laureys, S., Naccache, L., &amp; Sitt, J. D. (2019). Human consciousness is supported by dynamic complex patterns of brain signal coordination. </w:t>
      </w:r>
      <w:r w:rsidRPr="00F30462">
        <w:rPr>
          <w:rFonts w:ascii="Times New Roman" w:hAnsi="Times New Roman" w:cs="Times New Roman"/>
          <w:i/>
          <w:iCs/>
        </w:rPr>
        <w:t>Science Advances</w:t>
      </w:r>
      <w:r w:rsidRPr="00F30462">
        <w:rPr>
          <w:rFonts w:ascii="Times New Roman" w:hAnsi="Times New Roman" w:cs="Times New Roman"/>
        </w:rPr>
        <w:t xml:space="preserve">, </w:t>
      </w:r>
      <w:r w:rsidRPr="00F30462">
        <w:rPr>
          <w:rFonts w:ascii="Times New Roman" w:hAnsi="Times New Roman" w:cs="Times New Roman"/>
          <w:i/>
          <w:iCs/>
        </w:rPr>
        <w:t>5</w:t>
      </w:r>
      <w:r w:rsidRPr="00F30462">
        <w:rPr>
          <w:rFonts w:ascii="Times New Roman" w:hAnsi="Times New Roman" w:cs="Times New Roman"/>
        </w:rPr>
        <w:t>(2), eaat7603. https://doi.org/10.1126/sciadv.aat7603</w:t>
      </w:r>
    </w:p>
    <w:p w14:paraId="704CDAD6"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Dinges, D. F., &amp; Powell, J. W. (1985). Microcomputer analyses of performance on a portable, simple visual RT task during sustained operations. </w:t>
      </w:r>
      <w:r w:rsidRPr="00F30462">
        <w:rPr>
          <w:rFonts w:ascii="Times New Roman" w:hAnsi="Times New Roman" w:cs="Times New Roman"/>
          <w:i/>
          <w:iCs/>
        </w:rPr>
        <w:t>Behavior Research Methods, Instruments, &amp; Computers</w:t>
      </w:r>
      <w:r w:rsidRPr="00F30462">
        <w:rPr>
          <w:rFonts w:ascii="Times New Roman" w:hAnsi="Times New Roman" w:cs="Times New Roman"/>
        </w:rPr>
        <w:t xml:space="preserve">, </w:t>
      </w:r>
      <w:r w:rsidRPr="00F30462">
        <w:rPr>
          <w:rFonts w:ascii="Times New Roman" w:hAnsi="Times New Roman" w:cs="Times New Roman"/>
          <w:i/>
          <w:iCs/>
        </w:rPr>
        <w:t>17</w:t>
      </w:r>
      <w:r w:rsidRPr="00F30462">
        <w:rPr>
          <w:rFonts w:ascii="Times New Roman" w:hAnsi="Times New Roman" w:cs="Times New Roman"/>
        </w:rPr>
        <w:t>(6), 652–655. https://doi.org/10.3758/BF03200977</w:t>
      </w:r>
    </w:p>
    <w:p w14:paraId="4F742466"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Drevland, R. N., Aasen, S. R., Csifcsák, G., &amp; Mittner, M. (2025). Reducing mind wandering using continuous theta burst stimulation. </w:t>
      </w:r>
      <w:r w:rsidRPr="00F30462">
        <w:rPr>
          <w:rFonts w:ascii="Times New Roman" w:hAnsi="Times New Roman" w:cs="Times New Roman"/>
          <w:i/>
          <w:iCs/>
        </w:rPr>
        <w:t>Transcranial Magnetic Stimulation</w:t>
      </w:r>
      <w:r w:rsidRPr="00F30462">
        <w:rPr>
          <w:rFonts w:ascii="Times New Roman" w:hAnsi="Times New Roman" w:cs="Times New Roman"/>
        </w:rPr>
        <w:t>, 100181.</w:t>
      </w:r>
    </w:p>
    <w:p w14:paraId="35A5432F"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El-Baba, M., Lewis, D. J., Fang, Z., Owen, A. M., Fogel, S. M., &amp; Morton, J. B. (2019). Functional connectivity dynamics slow with descent from wakefulness to sleep. </w:t>
      </w:r>
      <w:r w:rsidRPr="00F30462">
        <w:rPr>
          <w:rFonts w:ascii="Times New Roman" w:hAnsi="Times New Roman" w:cs="Times New Roman"/>
          <w:i/>
          <w:iCs/>
        </w:rPr>
        <w:t>PLOS ONE</w:t>
      </w:r>
      <w:r w:rsidRPr="00F30462">
        <w:rPr>
          <w:rFonts w:ascii="Times New Roman" w:hAnsi="Times New Roman" w:cs="Times New Roman"/>
        </w:rPr>
        <w:t xml:space="preserve">, </w:t>
      </w:r>
      <w:r w:rsidRPr="00F30462">
        <w:rPr>
          <w:rFonts w:ascii="Times New Roman" w:hAnsi="Times New Roman" w:cs="Times New Roman"/>
          <w:i/>
          <w:iCs/>
        </w:rPr>
        <w:t>14</w:t>
      </w:r>
      <w:r w:rsidRPr="00F30462">
        <w:rPr>
          <w:rFonts w:ascii="Times New Roman" w:hAnsi="Times New Roman" w:cs="Times New Roman"/>
        </w:rPr>
        <w:t>(12), e0224669. https://doi.org/10.1371/journal.pone.0224669</w:t>
      </w:r>
    </w:p>
    <w:p w14:paraId="200F2BA8"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lastRenderedPageBreak/>
        <w:t xml:space="preserve">Ellison, W. D., Trahan, A. C., Pinzon, J. C., Gillespie, M. E., Simmons, L. M., &amp; King, K. Y. (2020). For whom, and for what, is experience sampling more accurate than retrospective report? </w:t>
      </w:r>
      <w:r w:rsidRPr="00F30462">
        <w:rPr>
          <w:rFonts w:ascii="Times New Roman" w:hAnsi="Times New Roman" w:cs="Times New Roman"/>
          <w:i/>
          <w:iCs/>
        </w:rPr>
        <w:t>Personality and Individual Differences</w:t>
      </w:r>
      <w:r w:rsidRPr="00F30462">
        <w:rPr>
          <w:rFonts w:ascii="Times New Roman" w:hAnsi="Times New Roman" w:cs="Times New Roman"/>
        </w:rPr>
        <w:t xml:space="preserve">, </w:t>
      </w:r>
      <w:r w:rsidRPr="00F30462">
        <w:rPr>
          <w:rFonts w:ascii="Times New Roman" w:hAnsi="Times New Roman" w:cs="Times New Roman"/>
          <w:i/>
          <w:iCs/>
        </w:rPr>
        <w:t>163</w:t>
      </w:r>
      <w:r w:rsidRPr="00F30462">
        <w:rPr>
          <w:rFonts w:ascii="Times New Roman" w:hAnsi="Times New Roman" w:cs="Times New Roman"/>
        </w:rPr>
        <w:t>, 110071. https://doi.org/10.1016/j.paid.2020.110071</w:t>
      </w:r>
    </w:p>
    <w:p w14:paraId="010A8DBF"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Farkas, B. C., Krajcsi, A., Janacsek, K., &amp; Nemeth, D. (2024). The complexity of measuring reliability in learning tasks: An illustration using the Alternating Serial Reaction Time Task. </w:t>
      </w:r>
      <w:r w:rsidRPr="00F30462">
        <w:rPr>
          <w:rFonts w:ascii="Times New Roman" w:hAnsi="Times New Roman" w:cs="Times New Roman"/>
          <w:i/>
          <w:iCs/>
        </w:rPr>
        <w:t>Behavior Research Methods</w:t>
      </w:r>
      <w:r w:rsidRPr="00F30462">
        <w:rPr>
          <w:rFonts w:ascii="Times New Roman" w:hAnsi="Times New Roman" w:cs="Times New Roman"/>
        </w:rPr>
        <w:t xml:space="preserve">, </w:t>
      </w:r>
      <w:r w:rsidRPr="00F30462">
        <w:rPr>
          <w:rFonts w:ascii="Times New Roman" w:hAnsi="Times New Roman" w:cs="Times New Roman"/>
          <w:i/>
          <w:iCs/>
        </w:rPr>
        <w:t>56</w:t>
      </w:r>
      <w:r w:rsidRPr="00F30462">
        <w:rPr>
          <w:rFonts w:ascii="Times New Roman" w:hAnsi="Times New Roman" w:cs="Times New Roman"/>
        </w:rPr>
        <w:t>(1), 301–317. https://doi.org/10.3758/s13428-022-02038-5</w:t>
      </w:r>
    </w:p>
    <w:p w14:paraId="0CEC9754"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Fell, J. (2022). What is mind blanking: A conceptual clarification. </w:t>
      </w:r>
      <w:r w:rsidRPr="00F30462">
        <w:rPr>
          <w:rFonts w:ascii="Times New Roman" w:hAnsi="Times New Roman" w:cs="Times New Roman"/>
          <w:i/>
          <w:iCs/>
        </w:rPr>
        <w:t>The European Journal of Neuroscience</w:t>
      </w:r>
      <w:r w:rsidRPr="00F30462">
        <w:rPr>
          <w:rFonts w:ascii="Times New Roman" w:hAnsi="Times New Roman" w:cs="Times New Roman"/>
        </w:rPr>
        <w:t xml:space="preserve">, </w:t>
      </w:r>
      <w:r w:rsidRPr="00F30462">
        <w:rPr>
          <w:rFonts w:ascii="Times New Roman" w:hAnsi="Times New Roman" w:cs="Times New Roman"/>
          <w:i/>
          <w:iCs/>
        </w:rPr>
        <w:t>56</w:t>
      </w:r>
      <w:r w:rsidRPr="00F30462">
        <w:rPr>
          <w:rFonts w:ascii="Times New Roman" w:hAnsi="Times New Roman" w:cs="Times New Roman"/>
        </w:rPr>
        <w:t>(6), 4837–4842. https://doi.org/10.1111/ejn.15782</w:t>
      </w:r>
    </w:p>
    <w:p w14:paraId="6B763B2B"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Flicker, S. M., Sancier-Barbosa, F., Tang, A. N., Ho, A., Zhong, S., Alafranji, R. R., &amp; Clemons-Castanos, C. R. (2025). Mechanisms of Anxiety Reduction During Adult Coloring: Mindfulness, Flow, Enjoyment, and Distraction. </w:t>
      </w:r>
      <w:r w:rsidRPr="00F30462">
        <w:rPr>
          <w:rFonts w:ascii="Times New Roman" w:hAnsi="Times New Roman" w:cs="Times New Roman"/>
          <w:i/>
          <w:iCs/>
        </w:rPr>
        <w:t>Mindfulness</w:t>
      </w:r>
      <w:r w:rsidRPr="00F30462">
        <w:rPr>
          <w:rFonts w:ascii="Times New Roman" w:hAnsi="Times New Roman" w:cs="Times New Roman"/>
        </w:rPr>
        <w:t xml:space="preserve">, </w:t>
      </w:r>
      <w:r w:rsidRPr="00F30462">
        <w:rPr>
          <w:rFonts w:ascii="Times New Roman" w:hAnsi="Times New Roman" w:cs="Times New Roman"/>
          <w:i/>
          <w:iCs/>
        </w:rPr>
        <w:t>16</w:t>
      </w:r>
      <w:r w:rsidRPr="00F30462">
        <w:rPr>
          <w:rFonts w:ascii="Times New Roman" w:hAnsi="Times New Roman" w:cs="Times New Roman"/>
        </w:rPr>
        <w:t>(6), 1693–1704.</w:t>
      </w:r>
    </w:p>
    <w:p w14:paraId="31C8DB2B"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Frank, D. J., Nara, B., Zavagnin, M., Touron, D. R., &amp; Kane, M. J. (2015). Validating older adults’ reports of less mind-wandering: An examination of eye movements and dispositional influences. </w:t>
      </w:r>
      <w:r w:rsidRPr="00F30462">
        <w:rPr>
          <w:rFonts w:ascii="Times New Roman" w:hAnsi="Times New Roman" w:cs="Times New Roman"/>
          <w:i/>
          <w:iCs/>
        </w:rPr>
        <w:t>Psychology and Aging</w:t>
      </w:r>
      <w:r w:rsidRPr="00F30462">
        <w:rPr>
          <w:rFonts w:ascii="Times New Roman" w:hAnsi="Times New Roman" w:cs="Times New Roman"/>
        </w:rPr>
        <w:t xml:space="preserve">, </w:t>
      </w:r>
      <w:r w:rsidRPr="00F30462">
        <w:rPr>
          <w:rFonts w:ascii="Times New Roman" w:hAnsi="Times New Roman" w:cs="Times New Roman"/>
          <w:i/>
          <w:iCs/>
        </w:rPr>
        <w:t>30</w:t>
      </w:r>
      <w:r w:rsidRPr="00F30462">
        <w:rPr>
          <w:rFonts w:ascii="Times New Roman" w:hAnsi="Times New Roman" w:cs="Times New Roman"/>
        </w:rPr>
        <w:t>(2), 266–278. https://doi.org/10.1037/pag0000031</w:t>
      </w:r>
    </w:p>
    <w:p w14:paraId="018CCA21"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Franklin, M. S., Smallwood, J., &amp; Schooler, J. W. (2011). Catching the mind in flight: Using behavioral indices to detect mindless reading in real time. </w:t>
      </w:r>
      <w:r w:rsidRPr="00F30462">
        <w:rPr>
          <w:rFonts w:ascii="Times New Roman" w:hAnsi="Times New Roman" w:cs="Times New Roman"/>
          <w:i/>
          <w:iCs/>
        </w:rPr>
        <w:t>Psychonomic Bulletin &amp; Review</w:t>
      </w:r>
      <w:r w:rsidRPr="00F30462">
        <w:rPr>
          <w:rFonts w:ascii="Times New Roman" w:hAnsi="Times New Roman" w:cs="Times New Roman"/>
        </w:rPr>
        <w:t xml:space="preserve">, </w:t>
      </w:r>
      <w:r w:rsidRPr="00F30462">
        <w:rPr>
          <w:rFonts w:ascii="Times New Roman" w:hAnsi="Times New Roman" w:cs="Times New Roman"/>
          <w:i/>
          <w:iCs/>
        </w:rPr>
        <w:t>18</w:t>
      </w:r>
      <w:r w:rsidRPr="00F30462">
        <w:rPr>
          <w:rFonts w:ascii="Times New Roman" w:hAnsi="Times New Roman" w:cs="Times New Roman"/>
        </w:rPr>
        <w:t>(5), 992–997. https://doi.org/10.3758/s13423-011-0109-6</w:t>
      </w:r>
    </w:p>
    <w:p w14:paraId="11330EBC"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Garg, A., Shelat, S., Gross, M. E., Smallwood, J., Seli, P., Taxali, A., Sripada, C. S., &amp; Schooler, J. W. (2025). Opening the black box: Think Aloud as a method to study the spontaneous stream of consciousness. </w:t>
      </w:r>
      <w:r w:rsidRPr="00F30462">
        <w:rPr>
          <w:rFonts w:ascii="Times New Roman" w:hAnsi="Times New Roman" w:cs="Times New Roman"/>
          <w:i/>
          <w:iCs/>
        </w:rPr>
        <w:t>Consciousness and Cognition</w:t>
      </w:r>
      <w:r w:rsidRPr="00F30462">
        <w:rPr>
          <w:rFonts w:ascii="Times New Roman" w:hAnsi="Times New Roman" w:cs="Times New Roman"/>
        </w:rPr>
        <w:t xml:space="preserve">, </w:t>
      </w:r>
      <w:r w:rsidRPr="00F30462">
        <w:rPr>
          <w:rFonts w:ascii="Times New Roman" w:hAnsi="Times New Roman" w:cs="Times New Roman"/>
          <w:i/>
          <w:iCs/>
        </w:rPr>
        <w:t>128</w:t>
      </w:r>
      <w:r w:rsidRPr="00F30462">
        <w:rPr>
          <w:rFonts w:ascii="Times New Roman" w:hAnsi="Times New Roman" w:cs="Times New Roman"/>
        </w:rPr>
        <w:t>, 103815. https://doi.org/10.1016/j.concog.2025.103815</w:t>
      </w:r>
    </w:p>
    <w:p w14:paraId="6EC9055B"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Gilles, A., Panneels, G., D’Argembeau, A., &amp; Stawarczyk, D. (2025). Validity of the think-aloud procedure in comparison to other methods for studying the phenomenological features and memory of spontaneous thought. </w:t>
      </w:r>
      <w:r w:rsidRPr="00F30462">
        <w:rPr>
          <w:rFonts w:ascii="Times New Roman" w:hAnsi="Times New Roman" w:cs="Times New Roman"/>
          <w:i/>
          <w:iCs/>
        </w:rPr>
        <w:t>Consciousness and Cognition</w:t>
      </w:r>
      <w:r w:rsidRPr="00F30462">
        <w:rPr>
          <w:rFonts w:ascii="Times New Roman" w:hAnsi="Times New Roman" w:cs="Times New Roman"/>
        </w:rPr>
        <w:t xml:space="preserve">, </w:t>
      </w:r>
      <w:r w:rsidRPr="00F30462">
        <w:rPr>
          <w:rFonts w:ascii="Times New Roman" w:hAnsi="Times New Roman" w:cs="Times New Roman"/>
          <w:i/>
          <w:iCs/>
        </w:rPr>
        <w:t>134</w:t>
      </w:r>
      <w:r w:rsidRPr="00F30462">
        <w:rPr>
          <w:rFonts w:ascii="Times New Roman" w:hAnsi="Times New Roman" w:cs="Times New Roman"/>
        </w:rPr>
        <w:t>, 103910. https://doi.org/10.1016/j.concog.2025.103910</w:t>
      </w:r>
    </w:p>
    <w:p w14:paraId="30DF6F34"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Gronau, Q. F., Heck, D. W., Berkhout, S. W., Haaf, J. M., &amp; Wagenmakers, E.-J. (2021). A Primer on Bayesian Model-Averaged Meta-Analysis. </w:t>
      </w:r>
      <w:r w:rsidRPr="00F30462">
        <w:rPr>
          <w:rFonts w:ascii="Times New Roman" w:hAnsi="Times New Roman" w:cs="Times New Roman"/>
          <w:i/>
          <w:iCs/>
        </w:rPr>
        <w:t>Advances in Methods and Practices in Psychological Science</w:t>
      </w:r>
      <w:r w:rsidRPr="00F30462">
        <w:rPr>
          <w:rFonts w:ascii="Times New Roman" w:hAnsi="Times New Roman" w:cs="Times New Roman"/>
        </w:rPr>
        <w:t xml:space="preserve">, </w:t>
      </w:r>
      <w:r w:rsidRPr="00F30462">
        <w:rPr>
          <w:rFonts w:ascii="Times New Roman" w:hAnsi="Times New Roman" w:cs="Times New Roman"/>
          <w:i/>
          <w:iCs/>
        </w:rPr>
        <w:t>4</w:t>
      </w:r>
      <w:r w:rsidRPr="00F30462">
        <w:rPr>
          <w:rFonts w:ascii="Times New Roman" w:hAnsi="Times New Roman" w:cs="Times New Roman"/>
        </w:rPr>
        <w:t>(3), 25152459211031256. https://doi.org/10.1177/25152459211031256</w:t>
      </w:r>
    </w:p>
    <w:p w14:paraId="06B9F8C8"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Harris, C. R., Millman, K. J., van der Walt, S. J., Gommers, R., Virtanen, P., Cournapeau, D., Wieser, E., Taylor, J., Berg, S., Smith, N. J., Kern, R., Picus, M., Hoyer, S., van Kerkwijk, M. H., Brett, M., Haldane, A., del Río, J. F., Wiebe, M., Peterson, P., … Oliphant, T. E. (2020). Array </w:t>
      </w:r>
      <w:r w:rsidRPr="00F30462">
        <w:rPr>
          <w:rFonts w:ascii="Times New Roman" w:hAnsi="Times New Roman" w:cs="Times New Roman"/>
        </w:rPr>
        <w:lastRenderedPageBreak/>
        <w:t xml:space="preserve">programming with NumPy. </w:t>
      </w:r>
      <w:r w:rsidRPr="00F30462">
        <w:rPr>
          <w:rFonts w:ascii="Times New Roman" w:hAnsi="Times New Roman" w:cs="Times New Roman"/>
          <w:i/>
          <w:iCs/>
        </w:rPr>
        <w:t>Nature</w:t>
      </w:r>
      <w:r w:rsidRPr="00F30462">
        <w:rPr>
          <w:rFonts w:ascii="Times New Roman" w:hAnsi="Times New Roman" w:cs="Times New Roman"/>
        </w:rPr>
        <w:t xml:space="preserve">, </w:t>
      </w:r>
      <w:r w:rsidRPr="00F30462">
        <w:rPr>
          <w:rFonts w:ascii="Times New Roman" w:hAnsi="Times New Roman" w:cs="Times New Roman"/>
          <w:i/>
          <w:iCs/>
        </w:rPr>
        <w:t>585</w:t>
      </w:r>
      <w:r w:rsidRPr="00F30462">
        <w:rPr>
          <w:rFonts w:ascii="Times New Roman" w:hAnsi="Times New Roman" w:cs="Times New Roman"/>
        </w:rPr>
        <w:t>(7825), 357–362. https://doi.org/10.1038/s41586-020-2649-2</w:t>
      </w:r>
    </w:p>
    <w:p w14:paraId="2789D0CC"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Harrison, R. L. (2010). Introduction To Monte Carlo Simulation. </w:t>
      </w:r>
      <w:r w:rsidRPr="00F30462">
        <w:rPr>
          <w:rFonts w:ascii="Times New Roman" w:hAnsi="Times New Roman" w:cs="Times New Roman"/>
          <w:i/>
          <w:iCs/>
        </w:rPr>
        <w:t>AIP Conference Proceedings</w:t>
      </w:r>
      <w:r w:rsidRPr="00F30462">
        <w:rPr>
          <w:rFonts w:ascii="Times New Roman" w:hAnsi="Times New Roman" w:cs="Times New Roman"/>
        </w:rPr>
        <w:t xml:space="preserve">, </w:t>
      </w:r>
      <w:r w:rsidRPr="00F30462">
        <w:rPr>
          <w:rFonts w:ascii="Times New Roman" w:hAnsi="Times New Roman" w:cs="Times New Roman"/>
          <w:i/>
          <w:iCs/>
        </w:rPr>
        <w:t>1204</w:t>
      </w:r>
      <w:r w:rsidRPr="00F30462">
        <w:rPr>
          <w:rFonts w:ascii="Times New Roman" w:hAnsi="Times New Roman" w:cs="Times New Roman"/>
        </w:rPr>
        <w:t>, 17–21. https://doi.org/10.1063/1.3295638</w:t>
      </w:r>
    </w:p>
    <w:p w14:paraId="6D1BE82A"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Higgins, J. P. T., Thompson, S. G., &amp; Spiegelhalter, D. J. (2009). A re-evaluation of random-effects meta-analysis. </w:t>
      </w:r>
      <w:r w:rsidRPr="00F30462">
        <w:rPr>
          <w:rFonts w:ascii="Times New Roman" w:hAnsi="Times New Roman" w:cs="Times New Roman"/>
          <w:i/>
          <w:iCs/>
        </w:rPr>
        <w:t>Journal of the Royal Statistical Society. Series A, (Statistics in Society)</w:t>
      </w:r>
      <w:r w:rsidRPr="00F30462">
        <w:rPr>
          <w:rFonts w:ascii="Times New Roman" w:hAnsi="Times New Roman" w:cs="Times New Roman"/>
        </w:rPr>
        <w:t xml:space="preserve">, </w:t>
      </w:r>
      <w:r w:rsidRPr="00F30462">
        <w:rPr>
          <w:rFonts w:ascii="Times New Roman" w:hAnsi="Times New Roman" w:cs="Times New Roman"/>
          <w:i/>
          <w:iCs/>
        </w:rPr>
        <w:t>172</w:t>
      </w:r>
      <w:r w:rsidRPr="00F30462">
        <w:rPr>
          <w:rFonts w:ascii="Times New Roman" w:hAnsi="Times New Roman" w:cs="Times New Roman"/>
        </w:rPr>
        <w:t>(1), 137–159. https://doi.org/10.1111/j.1467-985X.2008.00552.x</w:t>
      </w:r>
    </w:p>
    <w:p w14:paraId="62A68D17"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Hoffman, M. D., &amp; Gelman, A. (2011). </w:t>
      </w:r>
      <w:r w:rsidRPr="00F30462">
        <w:rPr>
          <w:rFonts w:ascii="Times New Roman" w:hAnsi="Times New Roman" w:cs="Times New Roman"/>
          <w:i/>
          <w:iCs/>
        </w:rPr>
        <w:t>The No-U-Turn Sampler: Adaptively Setting Path Lengths in Hamiltonian Monte Carlo</w:t>
      </w:r>
      <w:r w:rsidRPr="00F30462">
        <w:rPr>
          <w:rFonts w:ascii="Times New Roman" w:hAnsi="Times New Roman" w:cs="Times New Roman"/>
        </w:rPr>
        <w:t xml:space="preserve"> (arXiv:1111.4246). arXiv. https://doi.org/10.48550/arXiv.1111.4246</w:t>
      </w:r>
    </w:p>
    <w:p w14:paraId="2A7F92AF"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Huijser, S., Verkaik, M., van Vugt, M. K., &amp; Taatgen, N. A. (2020). Captivated by thought: “Sticky” thinking leaves traces of perceptual decoupling in task-evoked pupil size. </w:t>
      </w:r>
      <w:r w:rsidRPr="00F30462">
        <w:rPr>
          <w:rFonts w:ascii="Times New Roman" w:hAnsi="Times New Roman" w:cs="Times New Roman"/>
          <w:i/>
          <w:iCs/>
        </w:rPr>
        <w:t>PloS One</w:t>
      </w:r>
      <w:r w:rsidRPr="00F30462">
        <w:rPr>
          <w:rFonts w:ascii="Times New Roman" w:hAnsi="Times New Roman" w:cs="Times New Roman"/>
        </w:rPr>
        <w:t xml:space="preserve">, </w:t>
      </w:r>
      <w:r w:rsidRPr="00F30462">
        <w:rPr>
          <w:rFonts w:ascii="Times New Roman" w:hAnsi="Times New Roman" w:cs="Times New Roman"/>
          <w:i/>
          <w:iCs/>
        </w:rPr>
        <w:t>15</w:t>
      </w:r>
      <w:r w:rsidRPr="00F30462">
        <w:rPr>
          <w:rFonts w:ascii="Times New Roman" w:hAnsi="Times New Roman" w:cs="Times New Roman"/>
        </w:rPr>
        <w:t>(12), e0243532-.</w:t>
      </w:r>
    </w:p>
    <w:p w14:paraId="7B2B098E"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Jin, C. Y., Borst, J. P., &amp; van Vugt, M. K. (2019). Predicting task-general mind-wandering with EEG. </w:t>
      </w:r>
      <w:r w:rsidRPr="00F30462">
        <w:rPr>
          <w:rFonts w:ascii="Times New Roman" w:hAnsi="Times New Roman" w:cs="Times New Roman"/>
          <w:i/>
          <w:iCs/>
        </w:rPr>
        <w:t>Cognitive, Affective, &amp; Behavioral Neuroscience</w:t>
      </w:r>
      <w:r w:rsidRPr="00F30462">
        <w:rPr>
          <w:rFonts w:ascii="Times New Roman" w:hAnsi="Times New Roman" w:cs="Times New Roman"/>
        </w:rPr>
        <w:t xml:space="preserve">, </w:t>
      </w:r>
      <w:r w:rsidRPr="00F30462">
        <w:rPr>
          <w:rFonts w:ascii="Times New Roman" w:hAnsi="Times New Roman" w:cs="Times New Roman"/>
          <w:i/>
          <w:iCs/>
        </w:rPr>
        <w:t>19</w:t>
      </w:r>
      <w:r w:rsidRPr="00F30462">
        <w:rPr>
          <w:rFonts w:ascii="Times New Roman" w:hAnsi="Times New Roman" w:cs="Times New Roman"/>
        </w:rPr>
        <w:t>(4), 1059–1073.</w:t>
      </w:r>
    </w:p>
    <w:p w14:paraId="3D1A7F74"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Jordão, M., Ferreira-Santos, F., Pinho, M. S., &amp; St Jacques, P. L. (2019). Meta-analysis of aging effects in mind wandering: Methodological and sociodemographic factors. </w:t>
      </w:r>
      <w:r w:rsidRPr="00F30462">
        <w:rPr>
          <w:rFonts w:ascii="Times New Roman" w:hAnsi="Times New Roman" w:cs="Times New Roman"/>
          <w:i/>
          <w:iCs/>
        </w:rPr>
        <w:t>Psychology and Aging</w:t>
      </w:r>
      <w:r w:rsidRPr="00F30462">
        <w:rPr>
          <w:rFonts w:ascii="Times New Roman" w:hAnsi="Times New Roman" w:cs="Times New Roman"/>
        </w:rPr>
        <w:t xml:space="preserve">, </w:t>
      </w:r>
      <w:r w:rsidRPr="00F30462">
        <w:rPr>
          <w:rFonts w:ascii="Times New Roman" w:hAnsi="Times New Roman" w:cs="Times New Roman"/>
          <w:i/>
          <w:iCs/>
        </w:rPr>
        <w:t>34</w:t>
      </w:r>
      <w:r w:rsidRPr="00F30462">
        <w:rPr>
          <w:rFonts w:ascii="Times New Roman" w:hAnsi="Times New Roman" w:cs="Times New Roman"/>
        </w:rPr>
        <w:t>(4), 531–544. https://doi.org/10.1037/pag0000356</w:t>
      </w:r>
    </w:p>
    <w:p w14:paraId="3C984A26"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Kaufmann, A., Parmigiani, S., Kawagoe, T., Zabaroff, E., &amp; Wells, B. (2024). Two models of mind blanking. </w:t>
      </w:r>
      <w:r w:rsidRPr="00F30462">
        <w:rPr>
          <w:rFonts w:ascii="Times New Roman" w:hAnsi="Times New Roman" w:cs="Times New Roman"/>
          <w:i/>
          <w:iCs/>
        </w:rPr>
        <w:t>European Journal of Neuroscience</w:t>
      </w:r>
      <w:r w:rsidRPr="00F30462">
        <w:rPr>
          <w:rFonts w:ascii="Times New Roman" w:hAnsi="Times New Roman" w:cs="Times New Roman"/>
        </w:rPr>
        <w:t xml:space="preserve">, </w:t>
      </w:r>
      <w:r w:rsidRPr="00F30462">
        <w:rPr>
          <w:rFonts w:ascii="Times New Roman" w:hAnsi="Times New Roman" w:cs="Times New Roman"/>
          <w:i/>
          <w:iCs/>
        </w:rPr>
        <w:t>59</w:t>
      </w:r>
      <w:r w:rsidRPr="00F30462">
        <w:rPr>
          <w:rFonts w:ascii="Times New Roman" w:hAnsi="Times New Roman" w:cs="Times New Roman"/>
        </w:rPr>
        <w:t>(5), 786–795. https://doi.org/10.1111/ejn.16164</w:t>
      </w:r>
    </w:p>
    <w:p w14:paraId="396178CF"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Kawagoe, T., Onoda, K., &amp; Yamaguchi, S. (2018). Different pre-scanning instructions induce distinct psychological and resting brain states during functional magnetic resonance imaging. </w:t>
      </w:r>
      <w:r w:rsidRPr="00F30462">
        <w:rPr>
          <w:rFonts w:ascii="Times New Roman" w:hAnsi="Times New Roman" w:cs="Times New Roman"/>
          <w:i/>
          <w:iCs/>
        </w:rPr>
        <w:t>The European Journal of Neuroscience</w:t>
      </w:r>
      <w:r w:rsidRPr="00F30462">
        <w:rPr>
          <w:rFonts w:ascii="Times New Roman" w:hAnsi="Times New Roman" w:cs="Times New Roman"/>
        </w:rPr>
        <w:t xml:space="preserve">, </w:t>
      </w:r>
      <w:r w:rsidRPr="00F30462">
        <w:rPr>
          <w:rFonts w:ascii="Times New Roman" w:hAnsi="Times New Roman" w:cs="Times New Roman"/>
          <w:i/>
          <w:iCs/>
        </w:rPr>
        <w:t>47</w:t>
      </w:r>
      <w:r w:rsidRPr="00F30462">
        <w:rPr>
          <w:rFonts w:ascii="Times New Roman" w:hAnsi="Times New Roman" w:cs="Times New Roman"/>
        </w:rPr>
        <w:t>(1), 77–82. https://doi.org/10.1111/ejn.13787</w:t>
      </w:r>
    </w:p>
    <w:p w14:paraId="6B647157"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Kawagoe, T., Onoda, K., &amp; Yamaguchi, S. (2019). The neural correlates of “mind blanking”: When the mind goes away. </w:t>
      </w:r>
      <w:r w:rsidRPr="00F30462">
        <w:rPr>
          <w:rFonts w:ascii="Times New Roman" w:hAnsi="Times New Roman" w:cs="Times New Roman"/>
          <w:i/>
          <w:iCs/>
        </w:rPr>
        <w:t>Human Brain Mapping</w:t>
      </w:r>
      <w:r w:rsidRPr="00F30462">
        <w:rPr>
          <w:rFonts w:ascii="Times New Roman" w:hAnsi="Times New Roman" w:cs="Times New Roman"/>
        </w:rPr>
        <w:t xml:space="preserve">, </w:t>
      </w:r>
      <w:r w:rsidRPr="00F30462">
        <w:rPr>
          <w:rFonts w:ascii="Times New Roman" w:hAnsi="Times New Roman" w:cs="Times New Roman"/>
          <w:i/>
          <w:iCs/>
        </w:rPr>
        <w:t>40</w:t>
      </w:r>
      <w:r w:rsidRPr="00F30462">
        <w:rPr>
          <w:rFonts w:ascii="Times New Roman" w:hAnsi="Times New Roman" w:cs="Times New Roman"/>
        </w:rPr>
        <w:t>(17), 4934–4940. https://doi.org/10.1002/hbm.24748</w:t>
      </w:r>
    </w:p>
    <w:p w14:paraId="075D1623"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Kawagoe, T., Yoshimura, S., Muranaka, S., Xethakis, L., &amp; Onoda, K. (2024). Developing the Japanese and English versions of the Mind Blanking Questionnaire (MBQ): Validation and reliability. </w:t>
      </w:r>
      <w:r w:rsidRPr="00F30462">
        <w:rPr>
          <w:rFonts w:ascii="Times New Roman" w:hAnsi="Times New Roman" w:cs="Times New Roman"/>
          <w:i/>
          <w:iCs/>
        </w:rPr>
        <w:t>Personality and Individual Differences</w:t>
      </w:r>
      <w:r w:rsidRPr="00F30462">
        <w:rPr>
          <w:rFonts w:ascii="Times New Roman" w:hAnsi="Times New Roman" w:cs="Times New Roman"/>
        </w:rPr>
        <w:t xml:space="preserve">, </w:t>
      </w:r>
      <w:r w:rsidRPr="00F30462">
        <w:rPr>
          <w:rFonts w:ascii="Times New Roman" w:hAnsi="Times New Roman" w:cs="Times New Roman"/>
          <w:i/>
          <w:iCs/>
        </w:rPr>
        <w:t>220</w:t>
      </w:r>
      <w:r w:rsidRPr="00F30462">
        <w:rPr>
          <w:rFonts w:ascii="Times New Roman" w:hAnsi="Times New Roman" w:cs="Times New Roman"/>
        </w:rPr>
        <w:t>, 112539. https://doi.org/10.1016/j.paid.2023.112539</w:t>
      </w:r>
    </w:p>
    <w:p w14:paraId="1926F630" w14:textId="77777777" w:rsidR="00B633EE" w:rsidRPr="00F30462" w:rsidRDefault="00B633EE" w:rsidP="00F30462">
      <w:pPr>
        <w:pStyle w:val="Bibliography"/>
        <w:spacing w:line="360" w:lineRule="auto"/>
        <w:rPr>
          <w:rFonts w:ascii="Times New Roman" w:hAnsi="Times New Roman" w:cs="Times New Roman"/>
          <w:lang w:val="fr-BE"/>
        </w:rPr>
      </w:pPr>
      <w:r w:rsidRPr="00F30462">
        <w:rPr>
          <w:rFonts w:ascii="Times New Roman" w:hAnsi="Times New Roman" w:cs="Times New Roman"/>
        </w:rPr>
        <w:t xml:space="preserve">Kiss, L., &amp; Linnell, K. J. (2024). The role of mood and arousal in the effect of background music on attentional state and performance during a sustained attention task. </w:t>
      </w:r>
      <w:r w:rsidRPr="00F30462">
        <w:rPr>
          <w:rFonts w:ascii="Times New Roman" w:hAnsi="Times New Roman" w:cs="Times New Roman"/>
          <w:i/>
          <w:iCs/>
          <w:lang w:val="fr-BE"/>
        </w:rPr>
        <w:t>Scientific Reports</w:t>
      </w:r>
      <w:r w:rsidRPr="00F30462">
        <w:rPr>
          <w:rFonts w:ascii="Times New Roman" w:hAnsi="Times New Roman" w:cs="Times New Roman"/>
          <w:lang w:val="fr-BE"/>
        </w:rPr>
        <w:t xml:space="preserve">, </w:t>
      </w:r>
      <w:r w:rsidRPr="00F30462">
        <w:rPr>
          <w:rFonts w:ascii="Times New Roman" w:hAnsi="Times New Roman" w:cs="Times New Roman"/>
          <w:i/>
          <w:iCs/>
          <w:lang w:val="fr-BE"/>
        </w:rPr>
        <w:t>14</w:t>
      </w:r>
      <w:r w:rsidRPr="00F30462">
        <w:rPr>
          <w:rFonts w:ascii="Times New Roman" w:hAnsi="Times New Roman" w:cs="Times New Roman"/>
          <w:lang w:val="fr-BE"/>
        </w:rPr>
        <w:t>(1), 9485–19.</w:t>
      </w:r>
    </w:p>
    <w:p w14:paraId="06BF4F21"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lang w:val="fr-BE"/>
        </w:rPr>
        <w:lastRenderedPageBreak/>
        <w:t xml:space="preserve">Koroma, M., Robert de Beauchamp, A., Mortaheb, S., Boulakis, P. A., Bastin, C., &amp; Demertzi, A. (2023). </w:t>
      </w:r>
      <w:r w:rsidRPr="00F30462">
        <w:rPr>
          <w:rFonts w:ascii="Times New Roman" w:hAnsi="Times New Roman" w:cs="Times New Roman"/>
        </w:rPr>
        <w:t xml:space="preserve">Elsewhere or Blanked? Ongoing mental states are regulated by pupil-linked arousal and attentional style in healthy ageing. </w:t>
      </w:r>
      <w:r w:rsidRPr="00F30462">
        <w:rPr>
          <w:rFonts w:ascii="Times New Roman" w:hAnsi="Times New Roman" w:cs="Times New Roman"/>
          <w:i/>
          <w:iCs/>
        </w:rPr>
        <w:t>bioRxiv : The Preprint Server for Biology</w:t>
      </w:r>
      <w:r w:rsidRPr="00F30462">
        <w:rPr>
          <w:rFonts w:ascii="Times New Roman" w:hAnsi="Times New Roman" w:cs="Times New Roman"/>
        </w:rPr>
        <w:t>.</w:t>
      </w:r>
    </w:p>
    <w:p w14:paraId="744B6799"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Kowalczyk, M., Klonowska, M., &amp; Mikietyńska, A. (2023). Separating the General and Content-Specific Components of Self-Reported Propensity for Mind-Wandering. </w:t>
      </w:r>
      <w:r w:rsidRPr="00F30462">
        <w:rPr>
          <w:rFonts w:ascii="Times New Roman" w:hAnsi="Times New Roman" w:cs="Times New Roman"/>
          <w:i/>
          <w:iCs/>
        </w:rPr>
        <w:t>Journal of Individual Differences</w:t>
      </w:r>
      <w:r w:rsidRPr="00F30462">
        <w:rPr>
          <w:rFonts w:ascii="Times New Roman" w:hAnsi="Times New Roman" w:cs="Times New Roman"/>
        </w:rPr>
        <w:t xml:space="preserve">, </w:t>
      </w:r>
      <w:r w:rsidRPr="00F30462">
        <w:rPr>
          <w:rFonts w:ascii="Times New Roman" w:hAnsi="Times New Roman" w:cs="Times New Roman"/>
          <w:i/>
          <w:iCs/>
        </w:rPr>
        <w:t>44</w:t>
      </w:r>
      <w:r w:rsidRPr="00F30462">
        <w:rPr>
          <w:rFonts w:ascii="Times New Roman" w:hAnsi="Times New Roman" w:cs="Times New Roman"/>
        </w:rPr>
        <w:t>(4), 271–278. https://doi.org/10.1027/1614-0001/a000402</w:t>
      </w:r>
    </w:p>
    <w:p w14:paraId="0BD244C8"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Kruschke, J. (2014). </w:t>
      </w:r>
      <w:r w:rsidRPr="00F30462">
        <w:rPr>
          <w:rFonts w:ascii="Times New Roman" w:hAnsi="Times New Roman" w:cs="Times New Roman"/>
          <w:i/>
          <w:iCs/>
        </w:rPr>
        <w:t>Doing Bayesian Data Analysis: A Tutorial with R, JAGS, and Stan</w:t>
      </w:r>
      <w:r w:rsidRPr="00F30462">
        <w:rPr>
          <w:rFonts w:ascii="Times New Roman" w:hAnsi="Times New Roman" w:cs="Times New Roman"/>
        </w:rPr>
        <w:t>. Academic Press.</w:t>
      </w:r>
    </w:p>
    <w:p w14:paraId="1CA56B39"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Kumle, L., Võ, M. L.-H., &amp; Draschkow, D. (2021). Estimating power in (generalized) linear mixed models: An open introduction and tutorial in R. </w:t>
      </w:r>
      <w:r w:rsidRPr="00F30462">
        <w:rPr>
          <w:rFonts w:ascii="Times New Roman" w:hAnsi="Times New Roman" w:cs="Times New Roman"/>
          <w:i/>
          <w:iCs/>
        </w:rPr>
        <w:t>Behavior Research Methods</w:t>
      </w:r>
      <w:r w:rsidRPr="00F30462">
        <w:rPr>
          <w:rFonts w:ascii="Times New Roman" w:hAnsi="Times New Roman" w:cs="Times New Roman"/>
        </w:rPr>
        <w:t xml:space="preserve">, </w:t>
      </w:r>
      <w:r w:rsidRPr="00F30462">
        <w:rPr>
          <w:rFonts w:ascii="Times New Roman" w:hAnsi="Times New Roman" w:cs="Times New Roman"/>
          <w:i/>
          <w:iCs/>
        </w:rPr>
        <w:t>53</w:t>
      </w:r>
      <w:r w:rsidRPr="00F30462">
        <w:rPr>
          <w:rFonts w:ascii="Times New Roman" w:hAnsi="Times New Roman" w:cs="Times New Roman"/>
        </w:rPr>
        <w:t>(6), 2528–2543. https://doi.org/10.3758/s13428-021-01546-0</w:t>
      </w:r>
    </w:p>
    <w:p w14:paraId="110F36E3"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Lege, K. S., Mallaroni, P., Mortaheb, S., Mason, N. L., Theunissen, E. L., Tse, D. H. Y., Toennes, S. W., Demertzi, A., &amp; Ramaekers, J. G. (2025). Cannabis Perturbs Dynamic Brain States. </w:t>
      </w:r>
      <w:r w:rsidRPr="00F30462">
        <w:rPr>
          <w:rFonts w:ascii="Times New Roman" w:hAnsi="Times New Roman" w:cs="Times New Roman"/>
          <w:i/>
          <w:iCs/>
        </w:rPr>
        <w:t>Biological Psychiatry</w:t>
      </w:r>
      <w:r w:rsidRPr="00F30462">
        <w:rPr>
          <w:rFonts w:ascii="Times New Roman" w:hAnsi="Times New Roman" w:cs="Times New Roman"/>
        </w:rPr>
        <w:t>. https://doi.org/10.1016/j.biopsych.2025.10.015</w:t>
      </w:r>
    </w:p>
    <w:p w14:paraId="0FB95964"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Lenth, R. V. (2025). </w:t>
      </w:r>
      <w:r w:rsidRPr="00F30462">
        <w:rPr>
          <w:rFonts w:ascii="Times New Roman" w:hAnsi="Times New Roman" w:cs="Times New Roman"/>
          <w:i/>
          <w:iCs/>
        </w:rPr>
        <w:t>emmeans: Estimated marginal means, aka least-squares means</w:t>
      </w:r>
      <w:r w:rsidRPr="00F30462">
        <w:rPr>
          <w:rFonts w:ascii="Times New Roman" w:hAnsi="Times New Roman" w:cs="Times New Roman"/>
        </w:rPr>
        <w:t xml:space="preserve"> [Manual]. https://rvlenth.github.io/emmeans/</w:t>
      </w:r>
    </w:p>
    <w:p w14:paraId="54A70A46"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Lindley, D. V. (1957). A Statistical Paradox. </w:t>
      </w:r>
      <w:r w:rsidRPr="00F30462">
        <w:rPr>
          <w:rFonts w:ascii="Times New Roman" w:hAnsi="Times New Roman" w:cs="Times New Roman"/>
          <w:i/>
          <w:iCs/>
        </w:rPr>
        <w:t>Biometrika</w:t>
      </w:r>
      <w:r w:rsidRPr="00F30462">
        <w:rPr>
          <w:rFonts w:ascii="Times New Roman" w:hAnsi="Times New Roman" w:cs="Times New Roman"/>
        </w:rPr>
        <w:t xml:space="preserve">, </w:t>
      </w:r>
      <w:r w:rsidRPr="00F30462">
        <w:rPr>
          <w:rFonts w:ascii="Times New Roman" w:hAnsi="Times New Roman" w:cs="Times New Roman"/>
          <w:i/>
          <w:iCs/>
        </w:rPr>
        <w:t>44</w:t>
      </w:r>
      <w:r w:rsidRPr="00F30462">
        <w:rPr>
          <w:rFonts w:ascii="Times New Roman" w:hAnsi="Times New Roman" w:cs="Times New Roman"/>
        </w:rPr>
        <w:t>(1/2), 187–192. https://doi.org/10.2307/2333251</w:t>
      </w:r>
    </w:p>
    <w:p w14:paraId="2741FB12"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Lipsey, M. W., &amp; Wilson, D. B. (2001). </w:t>
      </w:r>
      <w:r w:rsidRPr="00F30462">
        <w:rPr>
          <w:rFonts w:ascii="Times New Roman" w:hAnsi="Times New Roman" w:cs="Times New Roman"/>
          <w:i/>
          <w:iCs/>
        </w:rPr>
        <w:t>Practical meta-analysis</w:t>
      </w:r>
      <w:r w:rsidRPr="00F30462">
        <w:rPr>
          <w:rFonts w:ascii="Times New Roman" w:hAnsi="Times New Roman" w:cs="Times New Roman"/>
        </w:rPr>
        <w:t xml:space="preserve"> (pp. ix, 247). Sage Publications, Inc.</w:t>
      </w:r>
    </w:p>
    <w:p w14:paraId="29499AA3"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Lüdecke, D., Ben-Shachar, M. S., Patil, I., Wiernik, B. M., Bacher, E., Thériault, R., &amp; Makowski, D. (2022). easystats: Framework for Easy Statistical Modeling, Visualization, and Reporting. </w:t>
      </w:r>
      <w:r w:rsidRPr="00F30462">
        <w:rPr>
          <w:rFonts w:ascii="Times New Roman" w:hAnsi="Times New Roman" w:cs="Times New Roman"/>
          <w:i/>
          <w:iCs/>
        </w:rPr>
        <w:t>CRAN</w:t>
      </w:r>
      <w:r w:rsidRPr="00F30462">
        <w:rPr>
          <w:rFonts w:ascii="Times New Roman" w:hAnsi="Times New Roman" w:cs="Times New Roman"/>
        </w:rPr>
        <w:t>. https://doi.org/10.32614/CRAN.package.easystats</w:t>
      </w:r>
    </w:p>
    <w:p w14:paraId="07BE226E"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Madiouni, C., Lopez, R., Gély-Nargeot, M.-C., Lebrun, C., &amp; Bayard, S. (2020). Mind-wandering and sleepiness in adults with attention-deficit/hyperactivity disorder. </w:t>
      </w:r>
      <w:r w:rsidRPr="00F30462">
        <w:rPr>
          <w:rFonts w:ascii="Times New Roman" w:hAnsi="Times New Roman" w:cs="Times New Roman"/>
          <w:i/>
          <w:iCs/>
        </w:rPr>
        <w:t>Psychiatry Research</w:t>
      </w:r>
      <w:r w:rsidRPr="00F30462">
        <w:rPr>
          <w:rFonts w:ascii="Times New Roman" w:hAnsi="Times New Roman" w:cs="Times New Roman"/>
        </w:rPr>
        <w:t xml:space="preserve">, </w:t>
      </w:r>
      <w:r w:rsidRPr="00F30462">
        <w:rPr>
          <w:rFonts w:ascii="Times New Roman" w:hAnsi="Times New Roman" w:cs="Times New Roman"/>
          <w:i/>
          <w:iCs/>
        </w:rPr>
        <w:t>287</w:t>
      </w:r>
      <w:r w:rsidRPr="00F30462">
        <w:rPr>
          <w:rFonts w:ascii="Times New Roman" w:hAnsi="Times New Roman" w:cs="Times New Roman"/>
        </w:rPr>
        <w:t>, 112901. https://doi.org/10.1016/j.psychres.2020.112901</w:t>
      </w:r>
    </w:p>
    <w:p w14:paraId="243B86D1"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Maier, M., &amp; Lakens, D. (2022). Justify Your Alpha: A Primer on Two Practical Approaches. </w:t>
      </w:r>
      <w:r w:rsidRPr="00F30462">
        <w:rPr>
          <w:rFonts w:ascii="Times New Roman" w:hAnsi="Times New Roman" w:cs="Times New Roman"/>
          <w:i/>
          <w:iCs/>
        </w:rPr>
        <w:t>Advances in Methods and Practices in Psychological Science</w:t>
      </w:r>
      <w:r w:rsidRPr="00F30462">
        <w:rPr>
          <w:rFonts w:ascii="Times New Roman" w:hAnsi="Times New Roman" w:cs="Times New Roman"/>
        </w:rPr>
        <w:t xml:space="preserve">, </w:t>
      </w:r>
      <w:r w:rsidRPr="00F30462">
        <w:rPr>
          <w:rFonts w:ascii="Times New Roman" w:hAnsi="Times New Roman" w:cs="Times New Roman"/>
          <w:i/>
          <w:iCs/>
        </w:rPr>
        <w:t>5</w:t>
      </w:r>
      <w:r w:rsidRPr="00F30462">
        <w:rPr>
          <w:rFonts w:ascii="Times New Roman" w:hAnsi="Times New Roman" w:cs="Times New Roman"/>
        </w:rPr>
        <w:t>(2), 25152459221080396. https://doi.org/10.1177/25152459221080396</w:t>
      </w:r>
    </w:p>
    <w:p w14:paraId="1AAFC3E3" w14:textId="77777777" w:rsidR="00B633EE" w:rsidRPr="00F30462" w:rsidRDefault="00B633EE" w:rsidP="00F30462">
      <w:pPr>
        <w:pStyle w:val="Bibliography"/>
        <w:spacing w:line="360" w:lineRule="auto"/>
        <w:rPr>
          <w:rFonts w:ascii="Times New Roman" w:hAnsi="Times New Roman" w:cs="Times New Roman"/>
          <w:lang w:val="fr-BE"/>
        </w:rPr>
      </w:pPr>
      <w:r w:rsidRPr="00F30462">
        <w:rPr>
          <w:rFonts w:ascii="Times New Roman" w:hAnsi="Times New Roman" w:cs="Times New Roman"/>
          <w:lang w:val="fr-BE"/>
        </w:rPr>
        <w:t xml:space="preserve">Maillet, D., &amp; Schacter, D. L. (2016). </w:t>
      </w:r>
      <w:r w:rsidRPr="00F30462">
        <w:rPr>
          <w:rFonts w:ascii="Times New Roman" w:hAnsi="Times New Roman" w:cs="Times New Roman"/>
        </w:rPr>
        <w:t xml:space="preserve">From mind wandering to involuntary retrieval: Age-related differences in spontaneous cognitive processes. </w:t>
      </w:r>
      <w:r w:rsidRPr="00F30462">
        <w:rPr>
          <w:rFonts w:ascii="Times New Roman" w:hAnsi="Times New Roman" w:cs="Times New Roman"/>
          <w:i/>
          <w:iCs/>
          <w:lang w:val="fr-BE"/>
        </w:rPr>
        <w:t>Neuropsychologia</w:t>
      </w:r>
      <w:r w:rsidRPr="00F30462">
        <w:rPr>
          <w:rFonts w:ascii="Times New Roman" w:hAnsi="Times New Roman" w:cs="Times New Roman"/>
          <w:lang w:val="fr-BE"/>
        </w:rPr>
        <w:t xml:space="preserve">, </w:t>
      </w:r>
      <w:r w:rsidRPr="00F30462">
        <w:rPr>
          <w:rFonts w:ascii="Times New Roman" w:hAnsi="Times New Roman" w:cs="Times New Roman"/>
          <w:i/>
          <w:iCs/>
          <w:lang w:val="fr-BE"/>
        </w:rPr>
        <w:t>80</w:t>
      </w:r>
      <w:r w:rsidRPr="00F30462">
        <w:rPr>
          <w:rFonts w:ascii="Times New Roman" w:hAnsi="Times New Roman" w:cs="Times New Roman"/>
          <w:lang w:val="fr-BE"/>
        </w:rPr>
        <w:t>, 142–156. https://doi.org/10.1016/j.neuropsychologia.2015.11.017</w:t>
      </w:r>
    </w:p>
    <w:p w14:paraId="63FAABA3"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lang w:val="fr-BE"/>
        </w:rPr>
        <w:lastRenderedPageBreak/>
        <w:t xml:space="preserve">McCormick, C., Rosenthal, C. R., Miller, T. D., &amp; Maguire, E. A. (2018). </w:t>
      </w:r>
      <w:r w:rsidRPr="00F30462">
        <w:rPr>
          <w:rFonts w:ascii="Times New Roman" w:hAnsi="Times New Roman" w:cs="Times New Roman"/>
        </w:rPr>
        <w:t xml:space="preserve">Mind-Wandering in People with Hippocampal Damage. </w:t>
      </w:r>
      <w:r w:rsidRPr="00F30462">
        <w:rPr>
          <w:rFonts w:ascii="Times New Roman" w:hAnsi="Times New Roman" w:cs="Times New Roman"/>
          <w:i/>
          <w:iCs/>
        </w:rPr>
        <w:t>Journal of Neuroscience</w:t>
      </w:r>
      <w:r w:rsidRPr="00F30462">
        <w:rPr>
          <w:rFonts w:ascii="Times New Roman" w:hAnsi="Times New Roman" w:cs="Times New Roman"/>
        </w:rPr>
        <w:t xml:space="preserve">, </w:t>
      </w:r>
      <w:r w:rsidRPr="00F30462">
        <w:rPr>
          <w:rFonts w:ascii="Times New Roman" w:hAnsi="Times New Roman" w:cs="Times New Roman"/>
          <w:i/>
          <w:iCs/>
        </w:rPr>
        <w:t>38</w:t>
      </w:r>
      <w:r w:rsidRPr="00F30462">
        <w:rPr>
          <w:rFonts w:ascii="Times New Roman" w:hAnsi="Times New Roman" w:cs="Times New Roman"/>
        </w:rPr>
        <w:t>(11), 2745–2754. https://doi.org/10.1523/JNEUROSCI.1812-17.2018</w:t>
      </w:r>
    </w:p>
    <w:p w14:paraId="229773B1"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McElreath, R. (2020). </w:t>
      </w:r>
      <w:r w:rsidRPr="00F30462">
        <w:rPr>
          <w:rFonts w:ascii="Times New Roman" w:hAnsi="Times New Roman" w:cs="Times New Roman"/>
          <w:i/>
          <w:iCs/>
        </w:rPr>
        <w:t>Statistical Rethinking: A Bayesian Course with Examples in R and STAN</w:t>
      </w:r>
      <w:r w:rsidRPr="00F30462">
        <w:rPr>
          <w:rFonts w:ascii="Times New Roman" w:hAnsi="Times New Roman" w:cs="Times New Roman"/>
        </w:rPr>
        <w:t xml:space="preserve"> (2nd ed.). Chapman and Hall/CRC. https://doi.org/10.1201/9780429029608</w:t>
      </w:r>
    </w:p>
    <w:p w14:paraId="273E2139"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McKinney, W. (2010). Data Structures for Statistical Computing in Python. In S. van der Walt &amp; J. Millman (Eds.), </w:t>
      </w:r>
      <w:r w:rsidRPr="00F30462">
        <w:rPr>
          <w:rFonts w:ascii="Times New Roman" w:hAnsi="Times New Roman" w:cs="Times New Roman"/>
          <w:i/>
          <w:iCs/>
        </w:rPr>
        <w:t>Proceedings of the 9th Python in Science Conference</w:t>
      </w:r>
      <w:r w:rsidRPr="00F30462">
        <w:rPr>
          <w:rFonts w:ascii="Times New Roman" w:hAnsi="Times New Roman" w:cs="Times New Roman"/>
        </w:rPr>
        <w:t xml:space="preserve"> (pp. 56–61). https://doi.org/10.25080/Majora-92bf1922-00a</w:t>
      </w:r>
    </w:p>
    <w:p w14:paraId="158D4BF8"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McVay, J. C., &amp; Kane, M. J. (2010). Does Mind Wandering Reflect Executive Function or Executive Failure? Comment on  and. </w:t>
      </w:r>
      <w:r w:rsidRPr="00F30462">
        <w:rPr>
          <w:rFonts w:ascii="Times New Roman" w:hAnsi="Times New Roman" w:cs="Times New Roman"/>
          <w:i/>
          <w:iCs/>
        </w:rPr>
        <w:t>Psychological Bulletin</w:t>
      </w:r>
      <w:r w:rsidRPr="00F30462">
        <w:rPr>
          <w:rFonts w:ascii="Times New Roman" w:hAnsi="Times New Roman" w:cs="Times New Roman"/>
        </w:rPr>
        <w:t xml:space="preserve">, </w:t>
      </w:r>
      <w:r w:rsidRPr="00F30462">
        <w:rPr>
          <w:rFonts w:ascii="Times New Roman" w:hAnsi="Times New Roman" w:cs="Times New Roman"/>
          <w:i/>
          <w:iCs/>
        </w:rPr>
        <w:t>136</w:t>
      </w:r>
      <w:r w:rsidRPr="00F30462">
        <w:rPr>
          <w:rFonts w:ascii="Times New Roman" w:hAnsi="Times New Roman" w:cs="Times New Roman"/>
        </w:rPr>
        <w:t>(2), 188–207. https://doi.org/10.1037/a0018298</w:t>
      </w:r>
    </w:p>
    <w:p w14:paraId="68A82EC6"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Miller, A. L., &amp; Castel, A. D. (2025). Mind-wandering when studying valuable information: The roles of age, dispositional traits, and contextual factors. </w:t>
      </w:r>
      <w:r w:rsidRPr="00F30462">
        <w:rPr>
          <w:rFonts w:ascii="Times New Roman" w:hAnsi="Times New Roman" w:cs="Times New Roman"/>
          <w:i/>
          <w:iCs/>
        </w:rPr>
        <w:t>Journal of Experimental Psychology. General</w:t>
      </w:r>
      <w:r w:rsidRPr="00F30462">
        <w:rPr>
          <w:rFonts w:ascii="Times New Roman" w:hAnsi="Times New Roman" w:cs="Times New Roman"/>
        </w:rPr>
        <w:t xml:space="preserve">, </w:t>
      </w:r>
      <w:r w:rsidRPr="00F30462">
        <w:rPr>
          <w:rFonts w:ascii="Times New Roman" w:hAnsi="Times New Roman" w:cs="Times New Roman"/>
          <w:i/>
          <w:iCs/>
        </w:rPr>
        <w:t>154</w:t>
      </w:r>
      <w:r w:rsidRPr="00F30462">
        <w:rPr>
          <w:rFonts w:ascii="Times New Roman" w:hAnsi="Times New Roman" w:cs="Times New Roman"/>
        </w:rPr>
        <w:t>(1), 190–227.</w:t>
      </w:r>
    </w:p>
    <w:p w14:paraId="17175F4A"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Mittner, M., Hawkins, G. E., Boekel, W., &amp; Forstmann, B. U. (2016). A neural model of mind wandering. </w:t>
      </w:r>
      <w:r w:rsidRPr="00F30462">
        <w:rPr>
          <w:rFonts w:ascii="Times New Roman" w:hAnsi="Times New Roman" w:cs="Times New Roman"/>
          <w:i/>
          <w:iCs/>
        </w:rPr>
        <w:t>Trends in Cognitive Sciences</w:t>
      </w:r>
      <w:r w:rsidRPr="00F30462">
        <w:rPr>
          <w:rFonts w:ascii="Times New Roman" w:hAnsi="Times New Roman" w:cs="Times New Roman"/>
        </w:rPr>
        <w:t xml:space="preserve">, </w:t>
      </w:r>
      <w:r w:rsidRPr="00F30462">
        <w:rPr>
          <w:rFonts w:ascii="Times New Roman" w:hAnsi="Times New Roman" w:cs="Times New Roman"/>
          <w:i/>
          <w:iCs/>
        </w:rPr>
        <w:t>20</w:t>
      </w:r>
      <w:r w:rsidRPr="00F30462">
        <w:rPr>
          <w:rFonts w:ascii="Times New Roman" w:hAnsi="Times New Roman" w:cs="Times New Roman"/>
        </w:rPr>
        <w:t>(8), 570–578. https://doi.org/10.1016/j.tics.2016.06.004</w:t>
      </w:r>
    </w:p>
    <w:p w14:paraId="76AF48EF"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Moher, D., Shamseer, L., Clarke, M., Ghersi, D., Liberati, A., Petticrew, M., Shekelle, P., Stewart, L. A., &amp; PRISMA-P Group. (2015). Preferred reporting items for systematic review and meta-analysis protocols (PRISMA-P) 2015 statement. </w:t>
      </w:r>
      <w:r w:rsidRPr="00F30462">
        <w:rPr>
          <w:rFonts w:ascii="Times New Roman" w:hAnsi="Times New Roman" w:cs="Times New Roman"/>
          <w:i/>
          <w:iCs/>
        </w:rPr>
        <w:t>Systematic Reviews</w:t>
      </w:r>
      <w:r w:rsidRPr="00F30462">
        <w:rPr>
          <w:rFonts w:ascii="Times New Roman" w:hAnsi="Times New Roman" w:cs="Times New Roman"/>
        </w:rPr>
        <w:t xml:space="preserve">, </w:t>
      </w:r>
      <w:r w:rsidRPr="00F30462">
        <w:rPr>
          <w:rFonts w:ascii="Times New Roman" w:hAnsi="Times New Roman" w:cs="Times New Roman"/>
          <w:i/>
          <w:iCs/>
        </w:rPr>
        <w:t>4</w:t>
      </w:r>
      <w:r w:rsidRPr="00F30462">
        <w:rPr>
          <w:rFonts w:ascii="Times New Roman" w:hAnsi="Times New Roman" w:cs="Times New Roman"/>
        </w:rPr>
        <w:t>(1), 1. https://doi.org/10.1186/2046-4053-4-1</w:t>
      </w:r>
    </w:p>
    <w:p w14:paraId="3D8DFBB9"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Moraitou, D., &amp; Efklides, A. (2009). The blank in the mind questionnaire (BIMQ). </w:t>
      </w:r>
      <w:r w:rsidRPr="00F30462">
        <w:rPr>
          <w:rFonts w:ascii="Times New Roman" w:hAnsi="Times New Roman" w:cs="Times New Roman"/>
          <w:i/>
          <w:iCs/>
        </w:rPr>
        <w:t>European Journal of Psychological Assessment</w:t>
      </w:r>
      <w:r w:rsidRPr="00F30462">
        <w:rPr>
          <w:rFonts w:ascii="Times New Roman" w:hAnsi="Times New Roman" w:cs="Times New Roman"/>
        </w:rPr>
        <w:t xml:space="preserve">, </w:t>
      </w:r>
      <w:r w:rsidRPr="00F30462">
        <w:rPr>
          <w:rFonts w:ascii="Times New Roman" w:hAnsi="Times New Roman" w:cs="Times New Roman"/>
          <w:i/>
          <w:iCs/>
        </w:rPr>
        <w:t>25</w:t>
      </w:r>
      <w:r w:rsidRPr="00F30462">
        <w:rPr>
          <w:rFonts w:ascii="Times New Roman" w:hAnsi="Times New Roman" w:cs="Times New Roman"/>
        </w:rPr>
        <w:t>, 115–122. https://doi.org/10.1027/1015-5759.25.2.115</w:t>
      </w:r>
    </w:p>
    <w:p w14:paraId="0AFECEA3"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Mortaheb, S., Van Calster, L., Raimondo, F., Klados, M. A., Boulakis, P. A., Georgoula, K., Majerus, S., Van De Ville, D., &amp; Demertzi, A. (2022). Mind blanking is a distinct mental state linked to a recurrent brain profile of globally positive connectivity during ongoing mentation. </w:t>
      </w:r>
      <w:r w:rsidRPr="00F30462">
        <w:rPr>
          <w:rFonts w:ascii="Times New Roman" w:hAnsi="Times New Roman" w:cs="Times New Roman"/>
          <w:i/>
          <w:iCs/>
        </w:rPr>
        <w:t>Proceedings of the National Academy of Sciences</w:t>
      </w:r>
      <w:r w:rsidRPr="00F30462">
        <w:rPr>
          <w:rFonts w:ascii="Times New Roman" w:hAnsi="Times New Roman" w:cs="Times New Roman"/>
        </w:rPr>
        <w:t xml:space="preserve">, </w:t>
      </w:r>
      <w:r w:rsidRPr="00F30462">
        <w:rPr>
          <w:rFonts w:ascii="Times New Roman" w:hAnsi="Times New Roman" w:cs="Times New Roman"/>
          <w:i/>
          <w:iCs/>
        </w:rPr>
        <w:t>119</w:t>
      </w:r>
      <w:r w:rsidRPr="00F30462">
        <w:rPr>
          <w:rFonts w:ascii="Times New Roman" w:hAnsi="Times New Roman" w:cs="Times New Roman"/>
        </w:rPr>
        <w:t>(41), e2200511119. https://doi.org/10.1073/pnas.2200511119</w:t>
      </w:r>
    </w:p>
    <w:p w14:paraId="6C4A024D" w14:textId="77777777" w:rsidR="00B633EE" w:rsidRPr="00F30462" w:rsidRDefault="00B633EE" w:rsidP="00F30462">
      <w:pPr>
        <w:pStyle w:val="Bibliography"/>
        <w:spacing w:line="360" w:lineRule="auto"/>
        <w:rPr>
          <w:rFonts w:ascii="Times New Roman" w:hAnsi="Times New Roman" w:cs="Times New Roman"/>
          <w:lang w:val="fr-BE"/>
        </w:rPr>
      </w:pPr>
      <w:r w:rsidRPr="00F30462">
        <w:rPr>
          <w:rFonts w:ascii="Times New Roman" w:hAnsi="Times New Roman" w:cs="Times New Roman"/>
        </w:rPr>
        <w:t xml:space="preserve">Mrazek, M. D., Phillips, D. T., Franklin, M. S., Broadway, J. M., &amp; Schooler, J. W. (2013). Young and restless: Validation of the Mind-Wandering Questionnaire (MWQ) reveals disruptive impact of mind-wandering for youth. </w:t>
      </w:r>
      <w:r w:rsidRPr="00F30462">
        <w:rPr>
          <w:rFonts w:ascii="Times New Roman" w:hAnsi="Times New Roman" w:cs="Times New Roman"/>
          <w:i/>
          <w:iCs/>
          <w:lang w:val="fr-BE"/>
        </w:rPr>
        <w:t>Frontiers in Psychology</w:t>
      </w:r>
      <w:r w:rsidRPr="00F30462">
        <w:rPr>
          <w:rFonts w:ascii="Times New Roman" w:hAnsi="Times New Roman" w:cs="Times New Roman"/>
          <w:lang w:val="fr-BE"/>
        </w:rPr>
        <w:t xml:space="preserve">, </w:t>
      </w:r>
      <w:r w:rsidRPr="00F30462">
        <w:rPr>
          <w:rFonts w:ascii="Times New Roman" w:hAnsi="Times New Roman" w:cs="Times New Roman"/>
          <w:i/>
          <w:iCs/>
          <w:lang w:val="fr-BE"/>
        </w:rPr>
        <w:t>4</w:t>
      </w:r>
      <w:r w:rsidRPr="00F30462">
        <w:rPr>
          <w:rFonts w:ascii="Times New Roman" w:hAnsi="Times New Roman" w:cs="Times New Roman"/>
          <w:lang w:val="fr-BE"/>
        </w:rPr>
        <w:t>. https://doi.org/10.3389/fpsyg.2013.00560</w:t>
      </w:r>
    </w:p>
    <w:p w14:paraId="6E4741ED"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lang w:val="fr-BE"/>
        </w:rPr>
        <w:lastRenderedPageBreak/>
        <w:t xml:space="preserve">Munoz-Musat, E., Le Coz, A., Corcoran, A. W., Belloli, L., Naccache, L., &amp; Andrillon, T. (2025). </w:t>
      </w:r>
      <w:r w:rsidRPr="00F30462">
        <w:rPr>
          <w:rFonts w:ascii="Times New Roman" w:hAnsi="Times New Roman" w:cs="Times New Roman"/>
        </w:rPr>
        <w:t xml:space="preserve">Behavioral, experiential, and physiological signatures of mind blanking. </w:t>
      </w:r>
      <w:r w:rsidRPr="00F30462">
        <w:rPr>
          <w:rFonts w:ascii="Times New Roman" w:hAnsi="Times New Roman" w:cs="Times New Roman"/>
          <w:i/>
          <w:iCs/>
        </w:rPr>
        <w:t>Proceedings of the National Academy of Sciences</w:t>
      </w:r>
      <w:r w:rsidRPr="00F30462">
        <w:rPr>
          <w:rFonts w:ascii="Times New Roman" w:hAnsi="Times New Roman" w:cs="Times New Roman"/>
        </w:rPr>
        <w:t xml:space="preserve">, </w:t>
      </w:r>
      <w:r w:rsidRPr="00F30462">
        <w:rPr>
          <w:rFonts w:ascii="Times New Roman" w:hAnsi="Times New Roman" w:cs="Times New Roman"/>
          <w:i/>
          <w:iCs/>
        </w:rPr>
        <w:t>122</w:t>
      </w:r>
      <w:r w:rsidRPr="00F30462">
        <w:rPr>
          <w:rFonts w:ascii="Times New Roman" w:hAnsi="Times New Roman" w:cs="Times New Roman"/>
        </w:rPr>
        <w:t>(52), e2510262122. https://doi.org/10.1073/pnas.2510262122</w:t>
      </w:r>
    </w:p>
    <w:p w14:paraId="3EB907FA"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Murray, C. H., &amp; Srinivasa-Desikan, B. (2022). The altered state of consciousness induced by Δ9-THC. </w:t>
      </w:r>
      <w:r w:rsidRPr="00F30462">
        <w:rPr>
          <w:rFonts w:ascii="Times New Roman" w:hAnsi="Times New Roman" w:cs="Times New Roman"/>
          <w:i/>
          <w:iCs/>
        </w:rPr>
        <w:t>Consciousness and Cognition: An International Journal</w:t>
      </w:r>
      <w:r w:rsidRPr="00F30462">
        <w:rPr>
          <w:rFonts w:ascii="Times New Roman" w:hAnsi="Times New Roman" w:cs="Times New Roman"/>
        </w:rPr>
        <w:t xml:space="preserve">, </w:t>
      </w:r>
      <w:r w:rsidRPr="00F30462">
        <w:rPr>
          <w:rFonts w:ascii="Times New Roman" w:hAnsi="Times New Roman" w:cs="Times New Roman"/>
          <w:i/>
          <w:iCs/>
        </w:rPr>
        <w:t>102</w:t>
      </w:r>
      <w:r w:rsidRPr="00F30462">
        <w:rPr>
          <w:rFonts w:ascii="Times New Roman" w:hAnsi="Times New Roman" w:cs="Times New Roman"/>
        </w:rPr>
        <w:t>, 1–13. https://doi.org/10.1016/j.concog.2022.103357</w:t>
      </w:r>
    </w:p>
    <w:p w14:paraId="5B73C46E"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Myin-Germeys, I., &amp; Kuppens, P. (2021). </w:t>
      </w:r>
      <w:r w:rsidRPr="00F30462">
        <w:rPr>
          <w:rFonts w:ascii="Times New Roman" w:hAnsi="Times New Roman" w:cs="Times New Roman"/>
          <w:i/>
          <w:iCs/>
        </w:rPr>
        <w:t>The Open Handbook of Experience Sampling Methodology: A Step-by-step Guide to Designing, Conducting, and Analyzing ESM Studies</w:t>
      </w:r>
      <w:r w:rsidRPr="00F30462">
        <w:rPr>
          <w:rFonts w:ascii="Times New Roman" w:hAnsi="Times New Roman" w:cs="Times New Roman"/>
        </w:rPr>
        <w:t>. Center for Research on Experience Sampling and Ambulatory Methods Leuven (REAL).</w:t>
      </w:r>
    </w:p>
    <w:p w14:paraId="03439C29"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Nakamura, J., &amp; Csikszentmihalyi, M. (2014). The Concept of Flow. In M. Csikszentmihalyi (Ed.), </w:t>
      </w:r>
      <w:r w:rsidRPr="00F30462">
        <w:rPr>
          <w:rFonts w:ascii="Times New Roman" w:hAnsi="Times New Roman" w:cs="Times New Roman"/>
          <w:i/>
          <w:iCs/>
        </w:rPr>
        <w:t>Flow and the Foundations of Positive Psychology: The Collected Works of Mihaly Csikszentmihalyi</w:t>
      </w:r>
      <w:r w:rsidRPr="00F30462">
        <w:rPr>
          <w:rFonts w:ascii="Times New Roman" w:hAnsi="Times New Roman" w:cs="Times New Roman"/>
        </w:rPr>
        <w:t xml:space="preserve"> (pp. 239–263). Springer Netherlands. https://doi.org/10.1007/978-94-017-9088-8_16</w:t>
      </w:r>
    </w:p>
    <w:p w14:paraId="53CA8F75"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Ortega, J. R., Gross, M. E., &amp; Schooler, J. W. (2025). When life is but a dream: Does transliminality predict continuity of thought across the sleep-wake cycle? </w:t>
      </w:r>
      <w:r w:rsidRPr="00F30462">
        <w:rPr>
          <w:rFonts w:ascii="Times New Roman" w:hAnsi="Times New Roman" w:cs="Times New Roman"/>
          <w:i/>
          <w:iCs/>
        </w:rPr>
        <w:t>Philosophy and the Mind Sciences</w:t>
      </w:r>
      <w:r w:rsidRPr="00F30462">
        <w:rPr>
          <w:rFonts w:ascii="Times New Roman" w:hAnsi="Times New Roman" w:cs="Times New Roman"/>
        </w:rPr>
        <w:t xml:space="preserve">, </w:t>
      </w:r>
      <w:r w:rsidRPr="00F30462">
        <w:rPr>
          <w:rFonts w:ascii="Times New Roman" w:hAnsi="Times New Roman" w:cs="Times New Roman"/>
          <w:i/>
          <w:iCs/>
        </w:rPr>
        <w:t>6</w:t>
      </w:r>
      <w:r w:rsidRPr="00F30462">
        <w:rPr>
          <w:rFonts w:ascii="Times New Roman" w:hAnsi="Times New Roman" w:cs="Times New Roman"/>
        </w:rPr>
        <w:t>.</w:t>
      </w:r>
    </w:p>
    <w:p w14:paraId="1CEE6F0C"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Owens, M. M., McNally, S., Petker, T., Amlung, M. T., Balodis, I. M., Sweet, L. H., &amp; MacKillop, J. (2019). Urinary tetrahydrocannabinol is associated with poorer working memory performance and alterations in associated brain activity. </w:t>
      </w:r>
      <w:r w:rsidRPr="00F30462">
        <w:rPr>
          <w:rFonts w:ascii="Times New Roman" w:hAnsi="Times New Roman" w:cs="Times New Roman"/>
          <w:i/>
          <w:iCs/>
        </w:rPr>
        <w:t>Neuropsychopharmacology</w:t>
      </w:r>
      <w:r w:rsidRPr="00F30462">
        <w:rPr>
          <w:rFonts w:ascii="Times New Roman" w:hAnsi="Times New Roman" w:cs="Times New Roman"/>
        </w:rPr>
        <w:t xml:space="preserve">, </w:t>
      </w:r>
      <w:r w:rsidRPr="00F30462">
        <w:rPr>
          <w:rFonts w:ascii="Times New Roman" w:hAnsi="Times New Roman" w:cs="Times New Roman"/>
          <w:i/>
          <w:iCs/>
        </w:rPr>
        <w:t>44</w:t>
      </w:r>
      <w:r w:rsidRPr="00F30462">
        <w:rPr>
          <w:rFonts w:ascii="Times New Roman" w:hAnsi="Times New Roman" w:cs="Times New Roman"/>
        </w:rPr>
        <w:t>(3), 613–619. https://doi.org/10.1038/s41386-018-0240-4</w:t>
      </w:r>
    </w:p>
    <w:p w14:paraId="0226ED4A"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Perogamvros, L., Baird, B., Seibold, M., Riedner, B., Boly, M., &amp; Tononi, G. (2017). The phenomenal contents and neural correlates of spontaneous thoughts across wakefulness, nrem sleep, and rem sleep. </w:t>
      </w:r>
      <w:r w:rsidRPr="00F30462">
        <w:rPr>
          <w:rFonts w:ascii="Times New Roman" w:hAnsi="Times New Roman" w:cs="Times New Roman"/>
          <w:i/>
          <w:iCs/>
        </w:rPr>
        <w:t>Journal of Cognitive Neuroscience</w:t>
      </w:r>
      <w:r w:rsidRPr="00F30462">
        <w:rPr>
          <w:rFonts w:ascii="Times New Roman" w:hAnsi="Times New Roman" w:cs="Times New Roman"/>
        </w:rPr>
        <w:t xml:space="preserve">, </w:t>
      </w:r>
      <w:r w:rsidRPr="00F30462">
        <w:rPr>
          <w:rFonts w:ascii="Times New Roman" w:hAnsi="Times New Roman" w:cs="Times New Roman"/>
          <w:i/>
          <w:iCs/>
        </w:rPr>
        <w:t>29</w:t>
      </w:r>
      <w:r w:rsidRPr="00F30462">
        <w:rPr>
          <w:rFonts w:ascii="Times New Roman" w:hAnsi="Times New Roman" w:cs="Times New Roman"/>
        </w:rPr>
        <w:t>(10), 1766–1777. https://doi.org/10.1162/jocn_a_01155</w:t>
      </w:r>
    </w:p>
    <w:p w14:paraId="2A69DFC3"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Pinggal, E., Jackson, J., Kusztor, A., Chapman, D., Windt, J., Drummond, S. P. A., Silk, T. J., Bellgrove, M. A., &amp; Andrillon, T. (2025). </w:t>
      </w:r>
      <w:r w:rsidRPr="00F30462">
        <w:rPr>
          <w:rFonts w:ascii="Times New Roman" w:hAnsi="Times New Roman" w:cs="Times New Roman"/>
          <w:i/>
          <w:iCs/>
        </w:rPr>
        <w:t>Sleep-like Slow Waves During Wakefulness Mediate Attention and Vigilance Difficulties in Adult Attention-Deficit/Hyperactivity Disorder</w:t>
      </w:r>
      <w:r w:rsidRPr="00F30462">
        <w:rPr>
          <w:rFonts w:ascii="Times New Roman" w:hAnsi="Times New Roman" w:cs="Times New Roman"/>
        </w:rPr>
        <w:t xml:space="preserve"> (p. 2025.07.27.666103). bioRxiv. https://doi.org/10.1101/2025.07.27.666103</w:t>
      </w:r>
    </w:p>
    <w:p w14:paraId="3ABA184E"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Pinggal, E., Jackson, J., Kusztor, A., Chapman, D., Windt, J., Drummond, S. P. A., Silk, T. J., Bellgrove, M. A., &amp; Andrillon, T. (2026). Sleep-Like Slow Waves during Wakefulness Mediate Attention and Vigilance Difficulties in Adult Attention-Deficit/Hyperactivity Disorder. </w:t>
      </w:r>
      <w:r w:rsidRPr="00F30462">
        <w:rPr>
          <w:rFonts w:ascii="Times New Roman" w:hAnsi="Times New Roman" w:cs="Times New Roman"/>
          <w:i/>
          <w:iCs/>
        </w:rPr>
        <w:t xml:space="preserve">The </w:t>
      </w:r>
      <w:r w:rsidRPr="00F30462">
        <w:rPr>
          <w:rFonts w:ascii="Times New Roman" w:hAnsi="Times New Roman" w:cs="Times New Roman"/>
          <w:i/>
          <w:iCs/>
        </w:rPr>
        <w:lastRenderedPageBreak/>
        <w:t>Journal of Neuroscience: The Official Journal of the Society for Neuroscience</w:t>
      </w:r>
      <w:r w:rsidRPr="00F30462">
        <w:rPr>
          <w:rFonts w:ascii="Times New Roman" w:hAnsi="Times New Roman" w:cs="Times New Roman"/>
        </w:rPr>
        <w:t xml:space="preserve">, </w:t>
      </w:r>
      <w:r w:rsidRPr="00F30462">
        <w:rPr>
          <w:rFonts w:ascii="Times New Roman" w:hAnsi="Times New Roman" w:cs="Times New Roman"/>
          <w:i/>
          <w:iCs/>
        </w:rPr>
        <w:t>46</w:t>
      </w:r>
      <w:r w:rsidRPr="00F30462">
        <w:rPr>
          <w:rFonts w:ascii="Times New Roman" w:hAnsi="Times New Roman" w:cs="Times New Roman"/>
        </w:rPr>
        <w:t>(15), e1694252025. https://doi.org/10.1523/JNEUROSCI.1694-25.2025</w:t>
      </w:r>
    </w:p>
    <w:p w14:paraId="1043385D"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R Core Team. (2025). </w:t>
      </w:r>
      <w:r w:rsidRPr="00F30462">
        <w:rPr>
          <w:rFonts w:ascii="Times New Roman" w:hAnsi="Times New Roman" w:cs="Times New Roman"/>
          <w:i/>
          <w:iCs/>
        </w:rPr>
        <w:t>R: A Language and Environment for Statistical Computing</w:t>
      </w:r>
      <w:r w:rsidRPr="00F30462">
        <w:rPr>
          <w:rFonts w:ascii="Times New Roman" w:hAnsi="Times New Roman" w:cs="Times New Roman"/>
        </w:rPr>
        <w:t>. R Foundation for Statistical Computing. https://www.R-project.org/</w:t>
      </w:r>
    </w:p>
    <w:p w14:paraId="7DD5FAF5"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Randall, J. G., Oswald, F. L., &amp; Beier, M. E. (2014). Mind-wandering, cognition, and performance: A theory-driven meta-analysis of attention regulation. </w:t>
      </w:r>
      <w:r w:rsidRPr="00F30462">
        <w:rPr>
          <w:rFonts w:ascii="Times New Roman" w:hAnsi="Times New Roman" w:cs="Times New Roman"/>
          <w:i/>
          <w:iCs/>
        </w:rPr>
        <w:t>Psychological Bulletin</w:t>
      </w:r>
      <w:r w:rsidRPr="00F30462">
        <w:rPr>
          <w:rFonts w:ascii="Times New Roman" w:hAnsi="Times New Roman" w:cs="Times New Roman"/>
        </w:rPr>
        <w:t xml:space="preserve">, </w:t>
      </w:r>
      <w:r w:rsidRPr="00F30462">
        <w:rPr>
          <w:rFonts w:ascii="Times New Roman" w:hAnsi="Times New Roman" w:cs="Times New Roman"/>
          <w:i/>
          <w:iCs/>
        </w:rPr>
        <w:t>140</w:t>
      </w:r>
      <w:r w:rsidRPr="00F30462">
        <w:rPr>
          <w:rFonts w:ascii="Times New Roman" w:hAnsi="Times New Roman" w:cs="Times New Roman"/>
        </w:rPr>
        <w:t>(6), 1411–1431. https://doi.org/10.1037/a0037428</w:t>
      </w:r>
    </w:p>
    <w:p w14:paraId="15098B88"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Riesthuis, P. (2024). Simulation-Based Power Analyses for the Smallest Effect Size of Interest: A Confidence-Interval Approach for Minimum-Effect and Equivalence Testing. </w:t>
      </w:r>
      <w:r w:rsidRPr="00F30462">
        <w:rPr>
          <w:rFonts w:ascii="Times New Roman" w:hAnsi="Times New Roman" w:cs="Times New Roman"/>
          <w:i/>
          <w:iCs/>
        </w:rPr>
        <w:t>Advances in Methods and Practices in Psychological Science</w:t>
      </w:r>
      <w:r w:rsidRPr="00F30462">
        <w:rPr>
          <w:rFonts w:ascii="Times New Roman" w:hAnsi="Times New Roman" w:cs="Times New Roman"/>
        </w:rPr>
        <w:t xml:space="preserve">, </w:t>
      </w:r>
      <w:r w:rsidRPr="00F30462">
        <w:rPr>
          <w:rFonts w:ascii="Times New Roman" w:hAnsi="Times New Roman" w:cs="Times New Roman"/>
          <w:i/>
          <w:iCs/>
        </w:rPr>
        <w:t>7</w:t>
      </w:r>
      <w:r w:rsidRPr="00F30462">
        <w:rPr>
          <w:rFonts w:ascii="Times New Roman" w:hAnsi="Times New Roman" w:cs="Times New Roman"/>
        </w:rPr>
        <w:t>(2), 25152459241240722. https://doi.org/10.1177/25152459241240722</w:t>
      </w:r>
    </w:p>
    <w:p w14:paraId="2A3AA411" w14:textId="77777777" w:rsidR="00B633EE" w:rsidRPr="00F30462" w:rsidRDefault="00B633EE" w:rsidP="00F30462">
      <w:pPr>
        <w:pStyle w:val="Bibliography"/>
        <w:spacing w:line="360" w:lineRule="auto"/>
        <w:rPr>
          <w:rFonts w:ascii="Times New Roman" w:hAnsi="Times New Roman" w:cs="Times New Roman"/>
          <w:lang w:val="fr-BE"/>
        </w:rPr>
      </w:pPr>
      <w:r w:rsidRPr="00F30462">
        <w:rPr>
          <w:rFonts w:ascii="Times New Roman" w:hAnsi="Times New Roman" w:cs="Times New Roman"/>
        </w:rPr>
        <w:t xml:space="preserve">Robertson, I. H., Manly, T., Andrade, J., Baddeley, B. T., &amp; Yiend, J. (1997). `Oops!’: Performance correlates of everyday attentional failures in traumatic brain injured and normal subjects. </w:t>
      </w:r>
      <w:r w:rsidRPr="00F30462">
        <w:rPr>
          <w:rFonts w:ascii="Times New Roman" w:hAnsi="Times New Roman" w:cs="Times New Roman"/>
          <w:i/>
          <w:iCs/>
          <w:lang w:val="fr-BE"/>
        </w:rPr>
        <w:t>Neuropsychologia</w:t>
      </w:r>
      <w:r w:rsidRPr="00F30462">
        <w:rPr>
          <w:rFonts w:ascii="Times New Roman" w:hAnsi="Times New Roman" w:cs="Times New Roman"/>
          <w:lang w:val="fr-BE"/>
        </w:rPr>
        <w:t xml:space="preserve">, </w:t>
      </w:r>
      <w:r w:rsidRPr="00F30462">
        <w:rPr>
          <w:rFonts w:ascii="Times New Roman" w:hAnsi="Times New Roman" w:cs="Times New Roman"/>
          <w:i/>
          <w:iCs/>
          <w:lang w:val="fr-BE"/>
        </w:rPr>
        <w:t>35</w:t>
      </w:r>
      <w:r w:rsidRPr="00F30462">
        <w:rPr>
          <w:rFonts w:ascii="Times New Roman" w:hAnsi="Times New Roman" w:cs="Times New Roman"/>
          <w:lang w:val="fr-BE"/>
        </w:rPr>
        <w:t>(6), 747–758. https://doi.org/10.1016/S0028-3932(97)00015-8</w:t>
      </w:r>
    </w:p>
    <w:p w14:paraId="26B4FAD7"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lang w:val="fr-BE"/>
        </w:rPr>
        <w:t xml:space="preserve">Robison, M. K., &amp; Brewer, G. A. (2022). </w:t>
      </w:r>
      <w:r w:rsidRPr="00F30462">
        <w:rPr>
          <w:rFonts w:ascii="Times New Roman" w:hAnsi="Times New Roman" w:cs="Times New Roman"/>
        </w:rPr>
        <w:t xml:space="preserve">Individual differences in working memory capacity, attention control, fluid intelligence, and pupillary measures of arousal. </w:t>
      </w:r>
      <w:r w:rsidRPr="00F30462">
        <w:rPr>
          <w:rFonts w:ascii="Times New Roman" w:hAnsi="Times New Roman" w:cs="Times New Roman"/>
          <w:i/>
          <w:iCs/>
        </w:rPr>
        <w:t>Journal of Experimental Psychology. Learning, Memory, and Cognition</w:t>
      </w:r>
      <w:r w:rsidRPr="00F30462">
        <w:rPr>
          <w:rFonts w:ascii="Times New Roman" w:hAnsi="Times New Roman" w:cs="Times New Roman"/>
        </w:rPr>
        <w:t xml:space="preserve">, </w:t>
      </w:r>
      <w:r w:rsidRPr="00F30462">
        <w:rPr>
          <w:rFonts w:ascii="Times New Roman" w:hAnsi="Times New Roman" w:cs="Times New Roman"/>
          <w:i/>
          <w:iCs/>
        </w:rPr>
        <w:t>48</w:t>
      </w:r>
      <w:r w:rsidRPr="00F30462">
        <w:rPr>
          <w:rFonts w:ascii="Times New Roman" w:hAnsi="Times New Roman" w:cs="Times New Roman"/>
        </w:rPr>
        <w:t>(9), 1296–1310.</w:t>
      </w:r>
    </w:p>
    <w:p w14:paraId="0807DBB5"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Robison, M. K., Diede, N. T., Nicosia, J., Ball, B. H., &amp; Bugg, J. M. (2022). A multimodal analysis of sustained attention in younger and older adults. </w:t>
      </w:r>
      <w:r w:rsidRPr="00F30462">
        <w:rPr>
          <w:rFonts w:ascii="Times New Roman" w:hAnsi="Times New Roman" w:cs="Times New Roman"/>
          <w:i/>
          <w:iCs/>
        </w:rPr>
        <w:t>Psychology and Aging</w:t>
      </w:r>
      <w:r w:rsidRPr="00F30462">
        <w:rPr>
          <w:rFonts w:ascii="Times New Roman" w:hAnsi="Times New Roman" w:cs="Times New Roman"/>
        </w:rPr>
        <w:t xml:space="preserve">, </w:t>
      </w:r>
      <w:r w:rsidRPr="00F30462">
        <w:rPr>
          <w:rFonts w:ascii="Times New Roman" w:hAnsi="Times New Roman" w:cs="Times New Roman"/>
          <w:i/>
          <w:iCs/>
        </w:rPr>
        <w:t>37</w:t>
      </w:r>
      <w:r w:rsidRPr="00F30462">
        <w:rPr>
          <w:rFonts w:ascii="Times New Roman" w:hAnsi="Times New Roman" w:cs="Times New Roman"/>
        </w:rPr>
        <w:t>(3), 307–325.</w:t>
      </w:r>
    </w:p>
    <w:p w14:paraId="30845AD0"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Robison, M. K., Ellis, D. M., Pitaes, M. M., Karoly, P., &amp; Brewer, G. A. (2021). Acute Pain Impairs Sustained Attention. </w:t>
      </w:r>
      <w:r w:rsidRPr="00F30462">
        <w:rPr>
          <w:rFonts w:ascii="Times New Roman" w:hAnsi="Times New Roman" w:cs="Times New Roman"/>
          <w:i/>
          <w:iCs/>
        </w:rPr>
        <w:t>Journal of Experimental Psychology. Applied</w:t>
      </w:r>
      <w:r w:rsidRPr="00F30462">
        <w:rPr>
          <w:rFonts w:ascii="Times New Roman" w:hAnsi="Times New Roman" w:cs="Times New Roman"/>
        </w:rPr>
        <w:t xml:space="preserve">, </w:t>
      </w:r>
      <w:r w:rsidRPr="00F30462">
        <w:rPr>
          <w:rFonts w:ascii="Times New Roman" w:hAnsi="Times New Roman" w:cs="Times New Roman"/>
          <w:i/>
          <w:iCs/>
        </w:rPr>
        <w:t>27</w:t>
      </w:r>
      <w:r w:rsidRPr="00F30462">
        <w:rPr>
          <w:rFonts w:ascii="Times New Roman" w:hAnsi="Times New Roman" w:cs="Times New Roman"/>
        </w:rPr>
        <w:t>(3), 563–577.</w:t>
      </w:r>
    </w:p>
    <w:p w14:paraId="609CAFE8"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Robison, M. K., Miller, A. L., &amp; Unsworth, N. (2019). Examining the effects of probe frequency, response options, and framing within the thought-probe method. </w:t>
      </w:r>
      <w:r w:rsidRPr="00F30462">
        <w:rPr>
          <w:rFonts w:ascii="Times New Roman" w:hAnsi="Times New Roman" w:cs="Times New Roman"/>
          <w:i/>
          <w:iCs/>
        </w:rPr>
        <w:t>Behavior Research Methods</w:t>
      </w:r>
      <w:r w:rsidRPr="00F30462">
        <w:rPr>
          <w:rFonts w:ascii="Times New Roman" w:hAnsi="Times New Roman" w:cs="Times New Roman"/>
        </w:rPr>
        <w:t xml:space="preserve">, </w:t>
      </w:r>
      <w:r w:rsidRPr="00F30462">
        <w:rPr>
          <w:rFonts w:ascii="Times New Roman" w:hAnsi="Times New Roman" w:cs="Times New Roman"/>
          <w:i/>
          <w:iCs/>
        </w:rPr>
        <w:t>51</w:t>
      </w:r>
      <w:r w:rsidRPr="00F30462">
        <w:rPr>
          <w:rFonts w:ascii="Times New Roman" w:hAnsi="Times New Roman" w:cs="Times New Roman"/>
        </w:rPr>
        <w:t>(1), 398–408. https://doi.org/10.3758/s13428-019-01212-6</w:t>
      </w:r>
    </w:p>
    <w:p w14:paraId="76154905"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Robison, M. K., Miller, A. L., &amp; Unsworth, N. (2020). A multi-faceted approach to understanding individual differences in mind-wandering. </w:t>
      </w:r>
      <w:r w:rsidRPr="00F30462">
        <w:rPr>
          <w:rFonts w:ascii="Times New Roman" w:hAnsi="Times New Roman" w:cs="Times New Roman"/>
          <w:i/>
          <w:iCs/>
        </w:rPr>
        <w:t>Cognition</w:t>
      </w:r>
      <w:r w:rsidRPr="00F30462">
        <w:rPr>
          <w:rFonts w:ascii="Times New Roman" w:hAnsi="Times New Roman" w:cs="Times New Roman"/>
        </w:rPr>
        <w:t xml:space="preserve">, </w:t>
      </w:r>
      <w:r w:rsidRPr="00F30462">
        <w:rPr>
          <w:rFonts w:ascii="Times New Roman" w:hAnsi="Times New Roman" w:cs="Times New Roman"/>
          <w:i/>
          <w:iCs/>
        </w:rPr>
        <w:t>198</w:t>
      </w:r>
      <w:r w:rsidRPr="00F30462">
        <w:rPr>
          <w:rFonts w:ascii="Times New Roman" w:hAnsi="Times New Roman" w:cs="Times New Roman"/>
        </w:rPr>
        <w:t>. https://doi.org/10.1016/j.cognition.2019.104078</w:t>
      </w:r>
    </w:p>
    <w:p w14:paraId="299F3AAE"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Robison, M. K., Obulasetty, M., Blais, C., Wingert, K. M., &amp; Brewer, G. A. (2022). The effect of binaural beat stimulation on sustained attention. </w:t>
      </w:r>
      <w:r w:rsidRPr="00F30462">
        <w:rPr>
          <w:rFonts w:ascii="Times New Roman" w:hAnsi="Times New Roman" w:cs="Times New Roman"/>
          <w:i/>
          <w:iCs/>
        </w:rPr>
        <w:t>Psychological Research</w:t>
      </w:r>
      <w:r w:rsidRPr="00F30462">
        <w:rPr>
          <w:rFonts w:ascii="Times New Roman" w:hAnsi="Times New Roman" w:cs="Times New Roman"/>
        </w:rPr>
        <w:t xml:space="preserve">, </w:t>
      </w:r>
      <w:r w:rsidRPr="00F30462">
        <w:rPr>
          <w:rFonts w:ascii="Times New Roman" w:hAnsi="Times New Roman" w:cs="Times New Roman"/>
          <w:i/>
          <w:iCs/>
        </w:rPr>
        <w:t>86</w:t>
      </w:r>
      <w:r w:rsidRPr="00F30462">
        <w:rPr>
          <w:rFonts w:ascii="Times New Roman" w:hAnsi="Times New Roman" w:cs="Times New Roman"/>
        </w:rPr>
        <w:t>(3), 808–822.</w:t>
      </w:r>
    </w:p>
    <w:p w14:paraId="5C9AF469"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Robison, M. K., &amp; Unsworth, N. (2017). Variation in the use of cues to guide visual working memory. </w:t>
      </w:r>
      <w:r w:rsidRPr="00F30462">
        <w:rPr>
          <w:rFonts w:ascii="Times New Roman" w:hAnsi="Times New Roman" w:cs="Times New Roman"/>
          <w:i/>
          <w:iCs/>
        </w:rPr>
        <w:t>Attention, Perception &amp; Psychophysics</w:t>
      </w:r>
      <w:r w:rsidRPr="00F30462">
        <w:rPr>
          <w:rFonts w:ascii="Times New Roman" w:hAnsi="Times New Roman" w:cs="Times New Roman"/>
        </w:rPr>
        <w:t xml:space="preserve">, </w:t>
      </w:r>
      <w:r w:rsidRPr="00F30462">
        <w:rPr>
          <w:rFonts w:ascii="Times New Roman" w:hAnsi="Times New Roman" w:cs="Times New Roman"/>
          <w:i/>
          <w:iCs/>
        </w:rPr>
        <w:t>79</w:t>
      </w:r>
      <w:r w:rsidRPr="00F30462">
        <w:rPr>
          <w:rFonts w:ascii="Times New Roman" w:hAnsi="Times New Roman" w:cs="Times New Roman"/>
        </w:rPr>
        <w:t>(6), 1652–1665.</w:t>
      </w:r>
    </w:p>
    <w:p w14:paraId="3F9F39C2"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lastRenderedPageBreak/>
        <w:t xml:space="preserve">Robison, M. K., &amp; Unsworth, N. (2018). Cognitive and contextual correlates of spontaneous and deliberate mind-wandering. </w:t>
      </w:r>
      <w:r w:rsidRPr="00F30462">
        <w:rPr>
          <w:rFonts w:ascii="Times New Roman" w:hAnsi="Times New Roman" w:cs="Times New Roman"/>
          <w:i/>
          <w:iCs/>
        </w:rPr>
        <w:t>Journal of Experimental Psychology. Learning, Memory, and Cognition</w:t>
      </w:r>
      <w:r w:rsidRPr="00F30462">
        <w:rPr>
          <w:rFonts w:ascii="Times New Roman" w:hAnsi="Times New Roman" w:cs="Times New Roman"/>
        </w:rPr>
        <w:t xml:space="preserve">, </w:t>
      </w:r>
      <w:r w:rsidRPr="00F30462">
        <w:rPr>
          <w:rFonts w:ascii="Times New Roman" w:hAnsi="Times New Roman" w:cs="Times New Roman"/>
          <w:i/>
          <w:iCs/>
        </w:rPr>
        <w:t>44</w:t>
      </w:r>
      <w:r w:rsidRPr="00F30462">
        <w:rPr>
          <w:rFonts w:ascii="Times New Roman" w:hAnsi="Times New Roman" w:cs="Times New Roman"/>
        </w:rPr>
        <w:t>(1), 85–98.</w:t>
      </w:r>
    </w:p>
    <w:p w14:paraId="5A77AA9B"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Robison, M. K., &amp; Unsworth, N. (2019). Pupillometry tracks fluctuations in working memory performance. </w:t>
      </w:r>
      <w:r w:rsidRPr="00F30462">
        <w:rPr>
          <w:rFonts w:ascii="Times New Roman" w:hAnsi="Times New Roman" w:cs="Times New Roman"/>
          <w:i/>
          <w:iCs/>
        </w:rPr>
        <w:t>Attention, Perception &amp; Psychophysics</w:t>
      </w:r>
      <w:r w:rsidRPr="00F30462">
        <w:rPr>
          <w:rFonts w:ascii="Times New Roman" w:hAnsi="Times New Roman" w:cs="Times New Roman"/>
        </w:rPr>
        <w:t xml:space="preserve">, </w:t>
      </w:r>
      <w:r w:rsidRPr="00F30462">
        <w:rPr>
          <w:rFonts w:ascii="Times New Roman" w:hAnsi="Times New Roman" w:cs="Times New Roman"/>
          <w:i/>
          <w:iCs/>
        </w:rPr>
        <w:t>81</w:t>
      </w:r>
      <w:r w:rsidRPr="00F30462">
        <w:rPr>
          <w:rFonts w:ascii="Times New Roman" w:hAnsi="Times New Roman" w:cs="Times New Roman"/>
        </w:rPr>
        <w:t>(2), 407–419.</w:t>
      </w:r>
    </w:p>
    <w:p w14:paraId="3BD8E210"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Robison, M. K., Unsworth, N., &amp; Brewer, G. A. (2021). Examining the effects of goal-setting, feedback, and incentives on sustained attention. </w:t>
      </w:r>
      <w:r w:rsidRPr="00F30462">
        <w:rPr>
          <w:rFonts w:ascii="Times New Roman" w:hAnsi="Times New Roman" w:cs="Times New Roman"/>
          <w:i/>
          <w:iCs/>
        </w:rPr>
        <w:t>Journal of Experimental Psychology. Human Perception and Performance</w:t>
      </w:r>
      <w:r w:rsidRPr="00F30462">
        <w:rPr>
          <w:rFonts w:ascii="Times New Roman" w:hAnsi="Times New Roman" w:cs="Times New Roman"/>
        </w:rPr>
        <w:t xml:space="preserve">, </w:t>
      </w:r>
      <w:r w:rsidRPr="00F30462">
        <w:rPr>
          <w:rFonts w:ascii="Times New Roman" w:hAnsi="Times New Roman" w:cs="Times New Roman"/>
          <w:i/>
          <w:iCs/>
        </w:rPr>
        <w:t>47</w:t>
      </w:r>
      <w:r w:rsidRPr="00F30462">
        <w:rPr>
          <w:rFonts w:ascii="Times New Roman" w:hAnsi="Times New Roman" w:cs="Times New Roman"/>
        </w:rPr>
        <w:t>(6), 869–891.</w:t>
      </w:r>
    </w:p>
    <w:p w14:paraId="0A654CEB" w14:textId="77777777" w:rsidR="00B633EE" w:rsidRPr="00F30462" w:rsidRDefault="00B633EE" w:rsidP="00F30462">
      <w:pPr>
        <w:pStyle w:val="Bibliography"/>
        <w:spacing w:line="360" w:lineRule="auto"/>
        <w:rPr>
          <w:rFonts w:ascii="Times New Roman" w:hAnsi="Times New Roman" w:cs="Times New Roman"/>
          <w:lang w:val="fr-BE"/>
        </w:rPr>
      </w:pPr>
      <w:r w:rsidRPr="00F30462">
        <w:rPr>
          <w:rFonts w:ascii="Times New Roman" w:hAnsi="Times New Roman" w:cs="Times New Roman"/>
        </w:rPr>
        <w:t xml:space="preserve">Rosenberg, M., Noonan, S., DeGutis, J., &amp; Esterman, M. (2013). Sustaining visual attention in the face of distraction: A novel gradual-onset continuous performance task. </w:t>
      </w:r>
      <w:r w:rsidRPr="00F30462">
        <w:rPr>
          <w:rFonts w:ascii="Times New Roman" w:hAnsi="Times New Roman" w:cs="Times New Roman"/>
          <w:i/>
          <w:iCs/>
          <w:lang w:val="fr-BE"/>
        </w:rPr>
        <w:t>Attention, Perception &amp; Psychophysics</w:t>
      </w:r>
      <w:r w:rsidRPr="00F30462">
        <w:rPr>
          <w:rFonts w:ascii="Times New Roman" w:hAnsi="Times New Roman" w:cs="Times New Roman"/>
          <w:lang w:val="fr-BE"/>
        </w:rPr>
        <w:t xml:space="preserve">, </w:t>
      </w:r>
      <w:r w:rsidRPr="00F30462">
        <w:rPr>
          <w:rFonts w:ascii="Times New Roman" w:hAnsi="Times New Roman" w:cs="Times New Roman"/>
          <w:i/>
          <w:iCs/>
          <w:lang w:val="fr-BE"/>
        </w:rPr>
        <w:t>75</w:t>
      </w:r>
      <w:r w:rsidRPr="00F30462">
        <w:rPr>
          <w:rFonts w:ascii="Times New Roman" w:hAnsi="Times New Roman" w:cs="Times New Roman"/>
          <w:lang w:val="fr-BE"/>
        </w:rPr>
        <w:t>(3), 426–439. https://doi.org/10.3758/s13414-012-0413-x</w:t>
      </w:r>
    </w:p>
    <w:p w14:paraId="6B448353"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lang w:val="fr-BE"/>
        </w:rPr>
        <w:t xml:space="preserve">Röver, C. (2020). </w:t>
      </w:r>
      <w:r w:rsidRPr="00F30462">
        <w:rPr>
          <w:rFonts w:ascii="Times New Roman" w:hAnsi="Times New Roman" w:cs="Times New Roman"/>
        </w:rPr>
        <w:t xml:space="preserve">Bayesian Random-Effects Meta-Analysis Using the bayesmeta R Package. </w:t>
      </w:r>
      <w:r w:rsidRPr="00F30462">
        <w:rPr>
          <w:rFonts w:ascii="Times New Roman" w:hAnsi="Times New Roman" w:cs="Times New Roman"/>
          <w:i/>
          <w:iCs/>
        </w:rPr>
        <w:t>Journal of Statistical Software</w:t>
      </w:r>
      <w:r w:rsidRPr="00F30462">
        <w:rPr>
          <w:rFonts w:ascii="Times New Roman" w:hAnsi="Times New Roman" w:cs="Times New Roman"/>
        </w:rPr>
        <w:t xml:space="preserve">, </w:t>
      </w:r>
      <w:r w:rsidRPr="00F30462">
        <w:rPr>
          <w:rFonts w:ascii="Times New Roman" w:hAnsi="Times New Roman" w:cs="Times New Roman"/>
          <w:i/>
          <w:iCs/>
        </w:rPr>
        <w:t>93</w:t>
      </w:r>
      <w:r w:rsidRPr="00F30462">
        <w:rPr>
          <w:rFonts w:ascii="Times New Roman" w:hAnsi="Times New Roman" w:cs="Times New Roman"/>
        </w:rPr>
        <w:t>, 1–51. https://doi.org/10.18637/jss.v093.i06</w:t>
      </w:r>
    </w:p>
    <w:p w14:paraId="3E6EEA95"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Sakuragi, M., Shinagawa, K., Terasawa, Y., &amp; Umeda, S. (2024). The body mirroring thought: The relationship between thought transitions and fluctuations in autonomic nervous activity mediated by interoception. </w:t>
      </w:r>
      <w:r w:rsidRPr="00F30462">
        <w:rPr>
          <w:rFonts w:ascii="Times New Roman" w:hAnsi="Times New Roman" w:cs="Times New Roman"/>
          <w:i/>
          <w:iCs/>
        </w:rPr>
        <w:t>Consciousness and Cognition</w:t>
      </w:r>
      <w:r w:rsidRPr="00F30462">
        <w:rPr>
          <w:rFonts w:ascii="Times New Roman" w:hAnsi="Times New Roman" w:cs="Times New Roman"/>
        </w:rPr>
        <w:t xml:space="preserve">, </w:t>
      </w:r>
      <w:r w:rsidRPr="00F30462">
        <w:rPr>
          <w:rFonts w:ascii="Times New Roman" w:hAnsi="Times New Roman" w:cs="Times New Roman"/>
          <w:i/>
          <w:iCs/>
        </w:rPr>
        <w:t>125</w:t>
      </w:r>
      <w:r w:rsidRPr="00F30462">
        <w:rPr>
          <w:rFonts w:ascii="Times New Roman" w:hAnsi="Times New Roman" w:cs="Times New Roman"/>
        </w:rPr>
        <w:t>, 103770. https://doi.org/10.1016/j.concog.2024.103770</w:t>
      </w:r>
    </w:p>
    <w:p w14:paraId="402A3178"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Sakuragi, M., &amp; Umeda, S. (2025). How the heart shapes the mind: The role of cardiac interoception in the interaction between bodily reactions and self-related thoughts. </w:t>
      </w:r>
      <w:r w:rsidRPr="00F30462">
        <w:rPr>
          <w:rFonts w:ascii="Times New Roman" w:hAnsi="Times New Roman" w:cs="Times New Roman"/>
          <w:i/>
          <w:iCs/>
        </w:rPr>
        <w:t>Acta Psychologica</w:t>
      </w:r>
      <w:r w:rsidRPr="00F30462">
        <w:rPr>
          <w:rFonts w:ascii="Times New Roman" w:hAnsi="Times New Roman" w:cs="Times New Roman"/>
        </w:rPr>
        <w:t xml:space="preserve">, </w:t>
      </w:r>
      <w:r w:rsidRPr="00F30462">
        <w:rPr>
          <w:rFonts w:ascii="Times New Roman" w:hAnsi="Times New Roman" w:cs="Times New Roman"/>
          <w:i/>
          <w:iCs/>
        </w:rPr>
        <w:t>261</w:t>
      </w:r>
      <w:r w:rsidRPr="00F30462">
        <w:rPr>
          <w:rFonts w:ascii="Times New Roman" w:hAnsi="Times New Roman" w:cs="Times New Roman"/>
        </w:rPr>
        <w:t>, 105931. https://doi.org/10.1016/j.actpsy.2025.105931</w:t>
      </w:r>
    </w:p>
    <w:p w14:paraId="2DB88C2E"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Schwalm, M., Schmid, F., Wachsmuth, L., Backhaus, H., Kronfeld, A., Aedo Jury, F., Prouvot, P.-H., Fois, C., Albers, F., van Alst, T., Faber, C., &amp; Stroh, A. (2017). Cortex-wide BOLD fMRI activity reflects locally-recorded slow oscillation-associated calcium waves. </w:t>
      </w:r>
      <w:r w:rsidRPr="00F30462">
        <w:rPr>
          <w:rFonts w:ascii="Times New Roman" w:hAnsi="Times New Roman" w:cs="Times New Roman"/>
          <w:i/>
          <w:iCs/>
        </w:rPr>
        <w:t>eLife</w:t>
      </w:r>
      <w:r w:rsidRPr="00F30462">
        <w:rPr>
          <w:rFonts w:ascii="Times New Roman" w:hAnsi="Times New Roman" w:cs="Times New Roman"/>
        </w:rPr>
        <w:t xml:space="preserve">, </w:t>
      </w:r>
      <w:r w:rsidRPr="00F30462">
        <w:rPr>
          <w:rFonts w:ascii="Times New Roman" w:hAnsi="Times New Roman" w:cs="Times New Roman"/>
          <w:i/>
          <w:iCs/>
        </w:rPr>
        <w:t>6</w:t>
      </w:r>
      <w:r w:rsidRPr="00F30462">
        <w:rPr>
          <w:rFonts w:ascii="Times New Roman" w:hAnsi="Times New Roman" w:cs="Times New Roman"/>
        </w:rPr>
        <w:t>, e27602. https://doi.org/10.7554/eLife.27602</w:t>
      </w:r>
    </w:p>
    <w:p w14:paraId="1BE69469"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Scott, J. C., Slomiak, S. T., Jones, J. D., Rosen, A. F. G., Moore, T. M., &amp; Gur, R. C. (2018). Association of Cannabis With Cognitive Functioning in Adolescents and Young Adults. </w:t>
      </w:r>
      <w:r w:rsidRPr="00F30462">
        <w:rPr>
          <w:rFonts w:ascii="Times New Roman" w:hAnsi="Times New Roman" w:cs="Times New Roman"/>
          <w:i/>
          <w:iCs/>
        </w:rPr>
        <w:t>JAMA Psychiatry</w:t>
      </w:r>
      <w:r w:rsidRPr="00F30462">
        <w:rPr>
          <w:rFonts w:ascii="Times New Roman" w:hAnsi="Times New Roman" w:cs="Times New Roman"/>
        </w:rPr>
        <w:t xml:space="preserve">, </w:t>
      </w:r>
      <w:r w:rsidRPr="00F30462">
        <w:rPr>
          <w:rFonts w:ascii="Times New Roman" w:hAnsi="Times New Roman" w:cs="Times New Roman"/>
          <w:i/>
          <w:iCs/>
        </w:rPr>
        <w:t>75</w:t>
      </w:r>
      <w:r w:rsidRPr="00F30462">
        <w:rPr>
          <w:rFonts w:ascii="Times New Roman" w:hAnsi="Times New Roman" w:cs="Times New Roman"/>
        </w:rPr>
        <w:t>(6), 585–595. https://doi.org/10.1001/jamapsychiatry.2018.0335</w:t>
      </w:r>
    </w:p>
    <w:p w14:paraId="77D82F7F"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Seli, P., O’Neill, K., Carriere, J. S. A., Smilek, D., Beaty, R. E., &amp; Schacter, D. L. (2021). Mind-Wandering Across the Age Gap: Age-Related Differences in Mind-Wandering Are Partially Attributable to Age-Related Differences in Motivation. </w:t>
      </w:r>
      <w:r w:rsidRPr="00F30462">
        <w:rPr>
          <w:rFonts w:ascii="Times New Roman" w:hAnsi="Times New Roman" w:cs="Times New Roman"/>
          <w:i/>
          <w:iCs/>
        </w:rPr>
        <w:t xml:space="preserve">The Journals of Gerontology. Series B, </w:t>
      </w:r>
      <w:r w:rsidRPr="00F30462">
        <w:rPr>
          <w:rFonts w:ascii="Times New Roman" w:hAnsi="Times New Roman" w:cs="Times New Roman"/>
          <w:i/>
          <w:iCs/>
        </w:rPr>
        <w:lastRenderedPageBreak/>
        <w:t>Psychological Sciences and Social Sciences</w:t>
      </w:r>
      <w:r w:rsidRPr="00F30462">
        <w:rPr>
          <w:rFonts w:ascii="Times New Roman" w:hAnsi="Times New Roman" w:cs="Times New Roman"/>
        </w:rPr>
        <w:t xml:space="preserve">, </w:t>
      </w:r>
      <w:r w:rsidRPr="00F30462">
        <w:rPr>
          <w:rFonts w:ascii="Times New Roman" w:hAnsi="Times New Roman" w:cs="Times New Roman"/>
          <w:i/>
          <w:iCs/>
        </w:rPr>
        <w:t>76</w:t>
      </w:r>
      <w:r w:rsidRPr="00F30462">
        <w:rPr>
          <w:rFonts w:ascii="Times New Roman" w:hAnsi="Times New Roman" w:cs="Times New Roman"/>
        </w:rPr>
        <w:t>(7), 1264–1271. https://doi.org/10.1093/geronb/gbaa031</w:t>
      </w:r>
    </w:p>
    <w:p w14:paraId="3BA3138C"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Shake, M. C., Shulley, L. J., &amp; Soto-Freita, A. M. (2016). Effects of Individual Differences and Situational Features on Age Differences in Mindless Reading. </w:t>
      </w:r>
      <w:r w:rsidRPr="00F30462">
        <w:rPr>
          <w:rFonts w:ascii="Times New Roman" w:hAnsi="Times New Roman" w:cs="Times New Roman"/>
          <w:i/>
          <w:iCs/>
        </w:rPr>
        <w:t>The Journals of Gerontology: Series B</w:t>
      </w:r>
      <w:r w:rsidRPr="00F30462">
        <w:rPr>
          <w:rFonts w:ascii="Times New Roman" w:hAnsi="Times New Roman" w:cs="Times New Roman"/>
        </w:rPr>
        <w:t xml:space="preserve">, </w:t>
      </w:r>
      <w:r w:rsidRPr="00F30462">
        <w:rPr>
          <w:rFonts w:ascii="Times New Roman" w:hAnsi="Times New Roman" w:cs="Times New Roman"/>
          <w:i/>
          <w:iCs/>
        </w:rPr>
        <w:t>71</w:t>
      </w:r>
      <w:r w:rsidRPr="00F30462">
        <w:rPr>
          <w:rFonts w:ascii="Times New Roman" w:hAnsi="Times New Roman" w:cs="Times New Roman"/>
        </w:rPr>
        <w:t>(5), 808–820. https://doi.org/10.1093/geronb/gbv012</w:t>
      </w:r>
    </w:p>
    <w:p w14:paraId="7A31B7CD"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Shinagawa, K., Itagaki, Y., &amp; Umeda, S. (2023). Coexistence of thought types as an attentional state during a sustained attention task. </w:t>
      </w:r>
      <w:r w:rsidRPr="00F30462">
        <w:rPr>
          <w:rFonts w:ascii="Times New Roman" w:hAnsi="Times New Roman" w:cs="Times New Roman"/>
          <w:i/>
          <w:iCs/>
        </w:rPr>
        <w:t>Scientific Reports</w:t>
      </w:r>
      <w:r w:rsidRPr="00F30462">
        <w:rPr>
          <w:rFonts w:ascii="Times New Roman" w:hAnsi="Times New Roman" w:cs="Times New Roman"/>
        </w:rPr>
        <w:t xml:space="preserve">, </w:t>
      </w:r>
      <w:r w:rsidRPr="00F30462">
        <w:rPr>
          <w:rFonts w:ascii="Times New Roman" w:hAnsi="Times New Roman" w:cs="Times New Roman"/>
          <w:i/>
          <w:iCs/>
        </w:rPr>
        <w:t>13</w:t>
      </w:r>
      <w:r w:rsidRPr="00F30462">
        <w:rPr>
          <w:rFonts w:ascii="Times New Roman" w:hAnsi="Times New Roman" w:cs="Times New Roman"/>
        </w:rPr>
        <w:t>(1), Article 1. https://doi.org/10.1038/s41598-023-28690-1</w:t>
      </w:r>
    </w:p>
    <w:p w14:paraId="60651A6C"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Simor, P., Vékony, T., Farkas, B. C., Szalárdy, O., Bogdány, T., Brezóczki, B., Csifcsák, G., &amp; Németh, D. (2025). Mind Wandering during Implicit Learning Is Associated with Increased Periodic EEG Activity and Improved Extraction of Hidden Probabilistic Patterns. </w:t>
      </w:r>
      <w:r w:rsidRPr="00F30462">
        <w:rPr>
          <w:rFonts w:ascii="Times New Roman" w:hAnsi="Times New Roman" w:cs="Times New Roman"/>
          <w:i/>
          <w:iCs/>
        </w:rPr>
        <w:t>The Journal of Neuroscience: The Official Journal of the Society for Neuroscience</w:t>
      </w:r>
      <w:r w:rsidRPr="00F30462">
        <w:rPr>
          <w:rFonts w:ascii="Times New Roman" w:hAnsi="Times New Roman" w:cs="Times New Roman"/>
        </w:rPr>
        <w:t xml:space="preserve">, </w:t>
      </w:r>
      <w:r w:rsidRPr="00F30462">
        <w:rPr>
          <w:rFonts w:ascii="Times New Roman" w:hAnsi="Times New Roman" w:cs="Times New Roman"/>
          <w:i/>
          <w:iCs/>
        </w:rPr>
        <w:t>45</w:t>
      </w:r>
      <w:r w:rsidRPr="00F30462">
        <w:rPr>
          <w:rFonts w:ascii="Times New Roman" w:hAnsi="Times New Roman" w:cs="Times New Roman"/>
        </w:rPr>
        <w:t>(19), e1421242025. https://doi.org/10.1523/JNEUROSCI.1421-24.2025</w:t>
      </w:r>
    </w:p>
    <w:p w14:paraId="21B39141"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Smallwood, J., &amp; Schooler, J. W. (2006). The restless mind. </w:t>
      </w:r>
      <w:r w:rsidRPr="00F30462">
        <w:rPr>
          <w:rFonts w:ascii="Times New Roman" w:hAnsi="Times New Roman" w:cs="Times New Roman"/>
          <w:i/>
          <w:iCs/>
        </w:rPr>
        <w:t>Psychological Bulletin</w:t>
      </w:r>
      <w:r w:rsidRPr="00F30462">
        <w:rPr>
          <w:rFonts w:ascii="Times New Roman" w:hAnsi="Times New Roman" w:cs="Times New Roman"/>
        </w:rPr>
        <w:t xml:space="preserve">, </w:t>
      </w:r>
      <w:r w:rsidRPr="00F30462">
        <w:rPr>
          <w:rFonts w:ascii="Times New Roman" w:hAnsi="Times New Roman" w:cs="Times New Roman"/>
          <w:i/>
          <w:iCs/>
        </w:rPr>
        <w:t>132</w:t>
      </w:r>
      <w:r w:rsidRPr="00F30462">
        <w:rPr>
          <w:rFonts w:ascii="Times New Roman" w:hAnsi="Times New Roman" w:cs="Times New Roman"/>
        </w:rPr>
        <w:t>(6), 946–958. https://doi.org/10.1037/0033-2909.132.6.946</w:t>
      </w:r>
    </w:p>
    <w:p w14:paraId="00D8334C"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Smallwood, J., &amp; Schooler, J. W. (2015). The science of mind wandering: Empirically navigating the stream of consciousness. </w:t>
      </w:r>
      <w:r w:rsidRPr="00F30462">
        <w:rPr>
          <w:rFonts w:ascii="Times New Roman" w:hAnsi="Times New Roman" w:cs="Times New Roman"/>
          <w:i/>
          <w:iCs/>
        </w:rPr>
        <w:t>Annual Review of Psychology</w:t>
      </w:r>
      <w:r w:rsidRPr="00F30462">
        <w:rPr>
          <w:rFonts w:ascii="Times New Roman" w:hAnsi="Times New Roman" w:cs="Times New Roman"/>
        </w:rPr>
        <w:t xml:space="preserve">, </w:t>
      </w:r>
      <w:r w:rsidRPr="00F30462">
        <w:rPr>
          <w:rFonts w:ascii="Times New Roman" w:hAnsi="Times New Roman" w:cs="Times New Roman"/>
          <w:i/>
          <w:iCs/>
        </w:rPr>
        <w:t>66</w:t>
      </w:r>
      <w:r w:rsidRPr="00F30462">
        <w:rPr>
          <w:rFonts w:ascii="Times New Roman" w:hAnsi="Times New Roman" w:cs="Times New Roman"/>
        </w:rPr>
        <w:t>, 487–518. https://doi.org/10.1146/annurev-psych-010814-015331</w:t>
      </w:r>
    </w:p>
    <w:p w14:paraId="0134A56F"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Smith, K. E., Woodard, K., &amp; Pollak, S. D. (2025). Arousal May Not Be Anything to Get Excited About. </w:t>
      </w:r>
      <w:r w:rsidRPr="00F30462">
        <w:rPr>
          <w:rFonts w:ascii="Times New Roman" w:hAnsi="Times New Roman" w:cs="Times New Roman"/>
          <w:i/>
          <w:iCs/>
        </w:rPr>
        <w:t>Emotion Review</w:t>
      </w:r>
      <w:r w:rsidRPr="00F30462">
        <w:rPr>
          <w:rFonts w:ascii="Times New Roman" w:hAnsi="Times New Roman" w:cs="Times New Roman"/>
        </w:rPr>
        <w:t xml:space="preserve">, </w:t>
      </w:r>
      <w:r w:rsidRPr="00F30462">
        <w:rPr>
          <w:rFonts w:ascii="Times New Roman" w:hAnsi="Times New Roman" w:cs="Times New Roman"/>
          <w:i/>
          <w:iCs/>
        </w:rPr>
        <w:t>17</w:t>
      </w:r>
      <w:r w:rsidRPr="00F30462">
        <w:rPr>
          <w:rFonts w:ascii="Times New Roman" w:hAnsi="Times New Roman" w:cs="Times New Roman"/>
        </w:rPr>
        <w:t>(1), 3–15. https://doi.org/10.1177/17540739241303499</w:t>
      </w:r>
    </w:p>
    <w:p w14:paraId="5BBB36FD"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Stawarczyk, D., &amp; D’Argembeau, A. (2016). </w:t>
      </w:r>
      <w:r w:rsidRPr="00F30462">
        <w:rPr>
          <w:rFonts w:ascii="Times New Roman" w:hAnsi="Times New Roman" w:cs="Times New Roman"/>
          <w:i/>
          <w:iCs/>
        </w:rPr>
        <w:t>Conjoint influence of mind-wandering and sleepiness on task performance</w:t>
      </w:r>
      <w:r w:rsidRPr="00F30462">
        <w:rPr>
          <w:rFonts w:ascii="Times New Roman" w:hAnsi="Times New Roman" w:cs="Times New Roman"/>
        </w:rPr>
        <w:t>.</w:t>
      </w:r>
    </w:p>
    <w:p w14:paraId="38397EEF"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lang w:val="fr-BE"/>
        </w:rPr>
        <w:t xml:space="preserve">Stawarczyk, D., François, C., Wertz, J., &amp; D’Argembeau, A. (2020). </w:t>
      </w:r>
      <w:r w:rsidRPr="00F30462">
        <w:rPr>
          <w:rFonts w:ascii="Times New Roman" w:hAnsi="Times New Roman" w:cs="Times New Roman"/>
        </w:rPr>
        <w:t xml:space="preserve">Drowsiness or mind-wandering? Fluctuations in ocular parameters during attentional lapses. </w:t>
      </w:r>
      <w:r w:rsidRPr="00F30462">
        <w:rPr>
          <w:rFonts w:ascii="Times New Roman" w:hAnsi="Times New Roman" w:cs="Times New Roman"/>
          <w:i/>
          <w:iCs/>
        </w:rPr>
        <w:t>Biological Psychology</w:t>
      </w:r>
      <w:r w:rsidRPr="00F30462">
        <w:rPr>
          <w:rFonts w:ascii="Times New Roman" w:hAnsi="Times New Roman" w:cs="Times New Roman"/>
        </w:rPr>
        <w:t xml:space="preserve">, </w:t>
      </w:r>
      <w:r w:rsidRPr="00F30462">
        <w:rPr>
          <w:rFonts w:ascii="Times New Roman" w:hAnsi="Times New Roman" w:cs="Times New Roman"/>
          <w:i/>
          <w:iCs/>
        </w:rPr>
        <w:t>156</w:t>
      </w:r>
      <w:r w:rsidRPr="00F30462">
        <w:rPr>
          <w:rFonts w:ascii="Times New Roman" w:hAnsi="Times New Roman" w:cs="Times New Roman"/>
        </w:rPr>
        <w:t>, 107950. https://doi.org/10.1016/j.biopsycho.2020.107950</w:t>
      </w:r>
    </w:p>
    <w:p w14:paraId="10C75B16"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Theodor-Katz, N., &amp; Soffer-Dudek, N. (2025). Where Is My Mind? The Daydreaming Characteristics Questionnaire, a New Tool to Differentiate Absorptive Daydreaming From Mind-Wandering. </w:t>
      </w:r>
      <w:r w:rsidRPr="00F30462">
        <w:rPr>
          <w:rFonts w:ascii="Times New Roman" w:hAnsi="Times New Roman" w:cs="Times New Roman"/>
          <w:i/>
          <w:iCs/>
        </w:rPr>
        <w:t>Journal of Attention Disorders</w:t>
      </w:r>
      <w:r w:rsidRPr="00F30462">
        <w:rPr>
          <w:rFonts w:ascii="Times New Roman" w:hAnsi="Times New Roman" w:cs="Times New Roman"/>
        </w:rPr>
        <w:t xml:space="preserve">, </w:t>
      </w:r>
      <w:r w:rsidRPr="00F30462">
        <w:rPr>
          <w:rFonts w:ascii="Times New Roman" w:hAnsi="Times New Roman" w:cs="Times New Roman"/>
          <w:i/>
          <w:iCs/>
        </w:rPr>
        <w:t>29</w:t>
      </w:r>
      <w:r w:rsidRPr="00F30462">
        <w:rPr>
          <w:rFonts w:ascii="Times New Roman" w:hAnsi="Times New Roman" w:cs="Times New Roman"/>
        </w:rPr>
        <w:t>(7), 515–528. https://doi.org/10.1177/10870547251319081</w:t>
      </w:r>
    </w:p>
    <w:p w14:paraId="4AFE20AD"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Torres, A. S., Robison, M. K., McClure, S. M., &amp; Brewer, G. A. (2024). The influence of transcranial direct current stimulation to the trigeminal nerve on attention and arousal. </w:t>
      </w:r>
      <w:r w:rsidRPr="00F30462">
        <w:rPr>
          <w:rFonts w:ascii="Times New Roman" w:hAnsi="Times New Roman" w:cs="Times New Roman"/>
          <w:i/>
          <w:iCs/>
        </w:rPr>
        <w:t>Cognitive, Affective, &amp; Behavioral Neuroscience</w:t>
      </w:r>
      <w:r w:rsidRPr="00F30462">
        <w:rPr>
          <w:rFonts w:ascii="Times New Roman" w:hAnsi="Times New Roman" w:cs="Times New Roman"/>
        </w:rPr>
        <w:t xml:space="preserve">, </w:t>
      </w:r>
      <w:r w:rsidRPr="00F30462">
        <w:rPr>
          <w:rFonts w:ascii="Times New Roman" w:hAnsi="Times New Roman" w:cs="Times New Roman"/>
          <w:i/>
          <w:iCs/>
        </w:rPr>
        <w:t>24</w:t>
      </w:r>
      <w:r w:rsidRPr="00F30462">
        <w:rPr>
          <w:rFonts w:ascii="Times New Roman" w:hAnsi="Times New Roman" w:cs="Times New Roman"/>
        </w:rPr>
        <w:t>(5), 860–880.</w:t>
      </w:r>
    </w:p>
    <w:p w14:paraId="123863D8"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lastRenderedPageBreak/>
        <w:t xml:space="preserve">Unsworth, N., &amp; Miller, A. L. (2024). The importance of conative factors for individual differences in attention control. </w:t>
      </w:r>
      <w:r w:rsidRPr="00F30462">
        <w:rPr>
          <w:rFonts w:ascii="Times New Roman" w:hAnsi="Times New Roman" w:cs="Times New Roman"/>
          <w:i/>
          <w:iCs/>
        </w:rPr>
        <w:t>Journal of Experimental Psychology. Learning, Memory, and Cognition</w:t>
      </w:r>
      <w:r w:rsidRPr="00F30462">
        <w:rPr>
          <w:rFonts w:ascii="Times New Roman" w:hAnsi="Times New Roman" w:cs="Times New Roman"/>
        </w:rPr>
        <w:t xml:space="preserve">, </w:t>
      </w:r>
      <w:r w:rsidRPr="00F30462">
        <w:rPr>
          <w:rFonts w:ascii="Times New Roman" w:hAnsi="Times New Roman" w:cs="Times New Roman"/>
          <w:i/>
          <w:iCs/>
        </w:rPr>
        <w:t>50</w:t>
      </w:r>
      <w:r w:rsidRPr="00F30462">
        <w:rPr>
          <w:rFonts w:ascii="Times New Roman" w:hAnsi="Times New Roman" w:cs="Times New Roman"/>
        </w:rPr>
        <w:t>(9), 1361–1384.</w:t>
      </w:r>
    </w:p>
    <w:p w14:paraId="185B0487"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Unsworth, N., Miller, A. L., &amp; Aghel, S. (2022). Effort mobilization and lapses of sustained attention. </w:t>
      </w:r>
      <w:r w:rsidRPr="00F30462">
        <w:rPr>
          <w:rFonts w:ascii="Times New Roman" w:hAnsi="Times New Roman" w:cs="Times New Roman"/>
          <w:i/>
          <w:iCs/>
        </w:rPr>
        <w:t>Cognitive, Affective, &amp; Behavioral Neuroscience</w:t>
      </w:r>
      <w:r w:rsidRPr="00F30462">
        <w:rPr>
          <w:rFonts w:ascii="Times New Roman" w:hAnsi="Times New Roman" w:cs="Times New Roman"/>
        </w:rPr>
        <w:t xml:space="preserve">, </w:t>
      </w:r>
      <w:r w:rsidRPr="00F30462">
        <w:rPr>
          <w:rFonts w:ascii="Times New Roman" w:hAnsi="Times New Roman" w:cs="Times New Roman"/>
          <w:i/>
          <w:iCs/>
        </w:rPr>
        <w:t>22</w:t>
      </w:r>
      <w:r w:rsidRPr="00F30462">
        <w:rPr>
          <w:rFonts w:ascii="Times New Roman" w:hAnsi="Times New Roman" w:cs="Times New Roman"/>
        </w:rPr>
        <w:t>(1), 42–56.</w:t>
      </w:r>
    </w:p>
    <w:p w14:paraId="76C96537"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Unsworth, N., Miller, A. L., &amp; Robison, M. K. (2021). Is working memory capacity related to baseline pupil diameter? </w:t>
      </w:r>
      <w:r w:rsidRPr="00F30462">
        <w:rPr>
          <w:rFonts w:ascii="Times New Roman" w:hAnsi="Times New Roman" w:cs="Times New Roman"/>
          <w:i/>
          <w:iCs/>
        </w:rPr>
        <w:t>Psychonomic Bulletin &amp; Review</w:t>
      </w:r>
      <w:r w:rsidRPr="00F30462">
        <w:rPr>
          <w:rFonts w:ascii="Times New Roman" w:hAnsi="Times New Roman" w:cs="Times New Roman"/>
        </w:rPr>
        <w:t xml:space="preserve">, </w:t>
      </w:r>
      <w:r w:rsidRPr="00F30462">
        <w:rPr>
          <w:rFonts w:ascii="Times New Roman" w:hAnsi="Times New Roman" w:cs="Times New Roman"/>
          <w:i/>
          <w:iCs/>
        </w:rPr>
        <w:t>28</w:t>
      </w:r>
      <w:r w:rsidRPr="00F30462">
        <w:rPr>
          <w:rFonts w:ascii="Times New Roman" w:hAnsi="Times New Roman" w:cs="Times New Roman"/>
        </w:rPr>
        <w:t>(1), 228–237.</w:t>
      </w:r>
    </w:p>
    <w:p w14:paraId="273CD556"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Unsworth, N., Miller, A. L., &amp; Strayer, D. L. (2025). Does deep processing protect against mind wandering and other lapses of attention during learning? </w:t>
      </w:r>
      <w:r w:rsidRPr="00F30462">
        <w:rPr>
          <w:rFonts w:ascii="Times New Roman" w:hAnsi="Times New Roman" w:cs="Times New Roman"/>
          <w:i/>
          <w:iCs/>
        </w:rPr>
        <w:t>Memory</w:t>
      </w:r>
      <w:r w:rsidRPr="00F30462">
        <w:rPr>
          <w:rFonts w:ascii="Times New Roman" w:hAnsi="Times New Roman" w:cs="Times New Roman"/>
        </w:rPr>
        <w:t xml:space="preserve">, </w:t>
      </w:r>
      <w:r w:rsidRPr="00F30462">
        <w:rPr>
          <w:rFonts w:ascii="Times New Roman" w:hAnsi="Times New Roman" w:cs="Times New Roman"/>
          <w:i/>
          <w:iCs/>
        </w:rPr>
        <w:t>33</w:t>
      </w:r>
      <w:r w:rsidRPr="00F30462">
        <w:rPr>
          <w:rFonts w:ascii="Times New Roman" w:hAnsi="Times New Roman" w:cs="Times New Roman"/>
        </w:rPr>
        <w:t>(2), 157–165. https://doi.org/10.1080/09658211.2024.2413162</w:t>
      </w:r>
    </w:p>
    <w:p w14:paraId="63D0FC83"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Unsworth, N., &amp; Robison, M. K. (2016). Pupillary correlates of lapses of sustained attention. </w:t>
      </w:r>
      <w:r w:rsidRPr="00F30462">
        <w:rPr>
          <w:rFonts w:ascii="Times New Roman" w:hAnsi="Times New Roman" w:cs="Times New Roman"/>
          <w:i/>
          <w:iCs/>
        </w:rPr>
        <w:t>Cognitive, Affective, &amp; Behavioral Neuroscience</w:t>
      </w:r>
      <w:r w:rsidRPr="00F30462">
        <w:rPr>
          <w:rFonts w:ascii="Times New Roman" w:hAnsi="Times New Roman" w:cs="Times New Roman"/>
        </w:rPr>
        <w:t xml:space="preserve">, </w:t>
      </w:r>
      <w:r w:rsidRPr="00F30462">
        <w:rPr>
          <w:rFonts w:ascii="Times New Roman" w:hAnsi="Times New Roman" w:cs="Times New Roman"/>
          <w:i/>
          <w:iCs/>
        </w:rPr>
        <w:t>16</w:t>
      </w:r>
      <w:r w:rsidRPr="00F30462">
        <w:rPr>
          <w:rFonts w:ascii="Times New Roman" w:hAnsi="Times New Roman" w:cs="Times New Roman"/>
        </w:rPr>
        <w:t>(4), 601–615.</w:t>
      </w:r>
    </w:p>
    <w:p w14:paraId="6374173D"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Unsworth, N., &amp; Robison, M. K. (2018). Tracking arousal state and mind wandering with pupillometry. </w:t>
      </w:r>
      <w:r w:rsidRPr="00F30462">
        <w:rPr>
          <w:rFonts w:ascii="Times New Roman" w:hAnsi="Times New Roman" w:cs="Times New Roman"/>
          <w:i/>
          <w:iCs/>
        </w:rPr>
        <w:t>Cognitive, Affective &amp; Behavioral Neuroscience</w:t>
      </w:r>
      <w:r w:rsidRPr="00F30462">
        <w:rPr>
          <w:rFonts w:ascii="Times New Roman" w:hAnsi="Times New Roman" w:cs="Times New Roman"/>
        </w:rPr>
        <w:t xml:space="preserve">, </w:t>
      </w:r>
      <w:r w:rsidRPr="00F30462">
        <w:rPr>
          <w:rFonts w:ascii="Times New Roman" w:hAnsi="Times New Roman" w:cs="Times New Roman"/>
          <w:i/>
          <w:iCs/>
        </w:rPr>
        <w:t>18</w:t>
      </w:r>
      <w:r w:rsidRPr="00F30462">
        <w:rPr>
          <w:rFonts w:ascii="Times New Roman" w:hAnsi="Times New Roman" w:cs="Times New Roman"/>
        </w:rPr>
        <w:t>(4), 638–664. https://doi.org/10.3758/s13415-018-0594-4</w:t>
      </w:r>
    </w:p>
    <w:p w14:paraId="77AC5D58"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Unsworth, N., &amp; Robison, M. K. (2020). Working memory capacity and sustained attention: A cognitive-energetic perspective. </w:t>
      </w:r>
      <w:r w:rsidRPr="00F30462">
        <w:rPr>
          <w:rFonts w:ascii="Times New Roman" w:hAnsi="Times New Roman" w:cs="Times New Roman"/>
          <w:i/>
          <w:iCs/>
        </w:rPr>
        <w:t>Journal of Experimental Psychology: Learning Memory and Cognition</w:t>
      </w:r>
      <w:r w:rsidRPr="00F30462">
        <w:rPr>
          <w:rFonts w:ascii="Times New Roman" w:hAnsi="Times New Roman" w:cs="Times New Roman"/>
        </w:rPr>
        <w:t xml:space="preserve">, </w:t>
      </w:r>
      <w:r w:rsidRPr="00F30462">
        <w:rPr>
          <w:rFonts w:ascii="Times New Roman" w:hAnsi="Times New Roman" w:cs="Times New Roman"/>
          <w:i/>
          <w:iCs/>
        </w:rPr>
        <w:t>46</w:t>
      </w:r>
      <w:r w:rsidRPr="00F30462">
        <w:rPr>
          <w:rFonts w:ascii="Times New Roman" w:hAnsi="Times New Roman" w:cs="Times New Roman"/>
        </w:rPr>
        <w:t>(1), 77–103. Scopus. https://doi.org/10.1037/xlm0000712</w:t>
      </w:r>
    </w:p>
    <w:p w14:paraId="2A85DF2C"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Unsworth, N., Robison, M. K., &amp; Miller, A. L. (2018). Pupillary correlates of fluctuations in sustained attention. </w:t>
      </w:r>
      <w:r w:rsidRPr="00F30462">
        <w:rPr>
          <w:rFonts w:ascii="Times New Roman" w:hAnsi="Times New Roman" w:cs="Times New Roman"/>
          <w:i/>
          <w:iCs/>
        </w:rPr>
        <w:t>Journal of Cognitive Neuroscience</w:t>
      </w:r>
      <w:r w:rsidRPr="00F30462">
        <w:rPr>
          <w:rFonts w:ascii="Times New Roman" w:hAnsi="Times New Roman" w:cs="Times New Roman"/>
        </w:rPr>
        <w:t xml:space="preserve">, </w:t>
      </w:r>
      <w:r w:rsidRPr="00F30462">
        <w:rPr>
          <w:rFonts w:ascii="Times New Roman" w:hAnsi="Times New Roman" w:cs="Times New Roman"/>
          <w:i/>
          <w:iCs/>
        </w:rPr>
        <w:t>30</w:t>
      </w:r>
      <w:r w:rsidRPr="00F30462">
        <w:rPr>
          <w:rFonts w:ascii="Times New Roman" w:hAnsi="Times New Roman" w:cs="Times New Roman"/>
        </w:rPr>
        <w:t>(9), 1241–1253.</w:t>
      </w:r>
    </w:p>
    <w:p w14:paraId="6CCF6B88"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Unsworth, N., Robison, M. K., &amp; Miller, A. L. (2019). Individual differences in baseline oculometrics: Examining variation in baseline pupil diameter, spontaneous eye blink rate, and fixation stability. </w:t>
      </w:r>
      <w:r w:rsidRPr="00F30462">
        <w:rPr>
          <w:rFonts w:ascii="Times New Roman" w:hAnsi="Times New Roman" w:cs="Times New Roman"/>
          <w:i/>
          <w:iCs/>
        </w:rPr>
        <w:t>Cognitive, Affective, &amp; Behavioral Neuroscience</w:t>
      </w:r>
      <w:r w:rsidRPr="00F30462">
        <w:rPr>
          <w:rFonts w:ascii="Times New Roman" w:hAnsi="Times New Roman" w:cs="Times New Roman"/>
        </w:rPr>
        <w:t xml:space="preserve">, </w:t>
      </w:r>
      <w:r w:rsidRPr="00F30462">
        <w:rPr>
          <w:rFonts w:ascii="Times New Roman" w:hAnsi="Times New Roman" w:cs="Times New Roman"/>
          <w:i/>
          <w:iCs/>
        </w:rPr>
        <w:t>19</w:t>
      </w:r>
      <w:r w:rsidRPr="00F30462">
        <w:rPr>
          <w:rFonts w:ascii="Times New Roman" w:hAnsi="Times New Roman" w:cs="Times New Roman"/>
        </w:rPr>
        <w:t>(4), 1074–1093.</w:t>
      </w:r>
    </w:p>
    <w:p w14:paraId="6C5D245C"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Unsworth, N., Robison, M. K., &amp; Miller, A. L. (2021). Individual differences in lapses of attention: A latent variable analysis. </w:t>
      </w:r>
      <w:r w:rsidRPr="00F30462">
        <w:rPr>
          <w:rFonts w:ascii="Times New Roman" w:hAnsi="Times New Roman" w:cs="Times New Roman"/>
          <w:i/>
          <w:iCs/>
        </w:rPr>
        <w:t>Journal of Experimental Psychology. General</w:t>
      </w:r>
      <w:r w:rsidRPr="00F30462">
        <w:rPr>
          <w:rFonts w:ascii="Times New Roman" w:hAnsi="Times New Roman" w:cs="Times New Roman"/>
        </w:rPr>
        <w:t xml:space="preserve">, </w:t>
      </w:r>
      <w:r w:rsidRPr="00F30462">
        <w:rPr>
          <w:rFonts w:ascii="Times New Roman" w:hAnsi="Times New Roman" w:cs="Times New Roman"/>
          <w:i/>
          <w:iCs/>
        </w:rPr>
        <w:t>150</w:t>
      </w:r>
      <w:r w:rsidRPr="00F30462">
        <w:rPr>
          <w:rFonts w:ascii="Times New Roman" w:hAnsi="Times New Roman" w:cs="Times New Roman"/>
        </w:rPr>
        <w:t>(7), 1303–1331.</w:t>
      </w:r>
    </w:p>
    <w:p w14:paraId="4C48C340"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Unsworth, N., Robison, M. K., &amp; Miller, A. L. (2025). Mobilizing effort to reduce lapses of sustained attention: Examining the effects of content-free cues, feedback, and points. </w:t>
      </w:r>
      <w:r w:rsidRPr="00F30462">
        <w:rPr>
          <w:rFonts w:ascii="Times New Roman" w:hAnsi="Times New Roman" w:cs="Times New Roman"/>
          <w:i/>
          <w:iCs/>
        </w:rPr>
        <w:t>Cognitive, Affective, &amp; Behavioral Neuroscience</w:t>
      </w:r>
      <w:r w:rsidRPr="00F30462">
        <w:rPr>
          <w:rFonts w:ascii="Times New Roman" w:hAnsi="Times New Roman" w:cs="Times New Roman"/>
        </w:rPr>
        <w:t xml:space="preserve">, </w:t>
      </w:r>
      <w:r w:rsidRPr="00F30462">
        <w:rPr>
          <w:rFonts w:ascii="Times New Roman" w:hAnsi="Times New Roman" w:cs="Times New Roman"/>
          <w:i/>
          <w:iCs/>
        </w:rPr>
        <w:t>25</w:t>
      </w:r>
      <w:r w:rsidRPr="00F30462">
        <w:rPr>
          <w:rFonts w:ascii="Times New Roman" w:hAnsi="Times New Roman" w:cs="Times New Roman"/>
        </w:rPr>
        <w:t>(3), 631–649.</w:t>
      </w:r>
    </w:p>
    <w:p w14:paraId="1E774266"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Ushey, K., &amp; Wickham, H. (2026). </w:t>
      </w:r>
      <w:r w:rsidRPr="00F30462">
        <w:rPr>
          <w:rFonts w:ascii="Times New Roman" w:hAnsi="Times New Roman" w:cs="Times New Roman"/>
          <w:i/>
          <w:iCs/>
        </w:rPr>
        <w:t>renv: Project Environments</w:t>
      </w:r>
      <w:r w:rsidRPr="00F30462">
        <w:rPr>
          <w:rFonts w:ascii="Times New Roman" w:hAnsi="Times New Roman" w:cs="Times New Roman"/>
        </w:rPr>
        <w:t>. https://rstudio.github.io/renv/</w:t>
      </w:r>
    </w:p>
    <w:p w14:paraId="603AF5DB"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Van Calster, L., D’Argembeau, A., Salmon, E., Peters, F., &amp; Majerus, S. (2017). Fluctuations of Attentional Networks and Default Mode Network during the Resting State Reflect Variations in </w:t>
      </w:r>
      <w:r w:rsidRPr="00F30462">
        <w:rPr>
          <w:rFonts w:ascii="Times New Roman" w:hAnsi="Times New Roman" w:cs="Times New Roman"/>
        </w:rPr>
        <w:lastRenderedPageBreak/>
        <w:t xml:space="preserve">Cognitive States: Evidence from a Novel Resting-state Experience Sampling Method. </w:t>
      </w:r>
      <w:r w:rsidRPr="00F30462">
        <w:rPr>
          <w:rFonts w:ascii="Times New Roman" w:hAnsi="Times New Roman" w:cs="Times New Roman"/>
          <w:i/>
          <w:iCs/>
        </w:rPr>
        <w:t>Journal of Cognitive Neuroscience</w:t>
      </w:r>
      <w:r w:rsidRPr="00F30462">
        <w:rPr>
          <w:rFonts w:ascii="Times New Roman" w:hAnsi="Times New Roman" w:cs="Times New Roman"/>
        </w:rPr>
        <w:t xml:space="preserve">, </w:t>
      </w:r>
      <w:r w:rsidRPr="00F30462">
        <w:rPr>
          <w:rFonts w:ascii="Times New Roman" w:hAnsi="Times New Roman" w:cs="Times New Roman"/>
          <w:i/>
          <w:iCs/>
        </w:rPr>
        <w:t>29</w:t>
      </w:r>
      <w:r w:rsidRPr="00F30462">
        <w:rPr>
          <w:rFonts w:ascii="Times New Roman" w:hAnsi="Times New Roman" w:cs="Times New Roman"/>
        </w:rPr>
        <w:t>(1), 95–113. https://doi.org/10.1162/jocn_a_01025</w:t>
      </w:r>
    </w:p>
    <w:p w14:paraId="50F6B23E"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van den Akker, O. R., Peters, G.-J. Y., Bakker, C. J., Carlsson, R., Coles, N. A., Corker, K. S., Feldman, G., Moreau, D., Nordström, T., Pickering, J. S., Riegelman, A., Topor, M. K., van Veggel, N., Yeung, S. K., Call, M., Mellor, D. T., &amp; Pfeiffer, N. (2023). Increasing the transparency of systematic reviews: Presenting a generalized registration form. </w:t>
      </w:r>
      <w:r w:rsidRPr="00F30462">
        <w:rPr>
          <w:rFonts w:ascii="Times New Roman" w:hAnsi="Times New Roman" w:cs="Times New Roman"/>
          <w:i/>
          <w:iCs/>
        </w:rPr>
        <w:t>Systematic Reviews</w:t>
      </w:r>
      <w:r w:rsidRPr="00F30462">
        <w:rPr>
          <w:rFonts w:ascii="Times New Roman" w:hAnsi="Times New Roman" w:cs="Times New Roman"/>
        </w:rPr>
        <w:t xml:space="preserve">, </w:t>
      </w:r>
      <w:r w:rsidRPr="00F30462">
        <w:rPr>
          <w:rFonts w:ascii="Times New Roman" w:hAnsi="Times New Roman" w:cs="Times New Roman"/>
          <w:i/>
          <w:iCs/>
        </w:rPr>
        <w:t>12</w:t>
      </w:r>
      <w:r w:rsidRPr="00F30462">
        <w:rPr>
          <w:rFonts w:ascii="Times New Roman" w:hAnsi="Times New Roman" w:cs="Times New Roman"/>
        </w:rPr>
        <w:t>(1), 170. https://doi.org/10.1186/s13643-023-02281-7</w:t>
      </w:r>
    </w:p>
    <w:p w14:paraId="2320CCA4"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Van den Driessche, C., Bastian, M., Peyre, H., Stordeur, C., Acquaviva, É., Bahadori, S., Delorme, R., &amp; Sackur, J. (2017). Attentional Lapses in Attention-Deficit/Hyperactivity Disorder: Blank Rather Than Wandering Thoughts. </w:t>
      </w:r>
      <w:r w:rsidRPr="00F30462">
        <w:rPr>
          <w:rFonts w:ascii="Times New Roman" w:hAnsi="Times New Roman" w:cs="Times New Roman"/>
          <w:i/>
          <w:iCs/>
        </w:rPr>
        <w:t>Psychological Science</w:t>
      </w:r>
      <w:r w:rsidRPr="00F30462">
        <w:rPr>
          <w:rFonts w:ascii="Times New Roman" w:hAnsi="Times New Roman" w:cs="Times New Roman"/>
        </w:rPr>
        <w:t xml:space="preserve">, </w:t>
      </w:r>
      <w:r w:rsidRPr="00F30462">
        <w:rPr>
          <w:rFonts w:ascii="Times New Roman" w:hAnsi="Times New Roman" w:cs="Times New Roman"/>
          <w:i/>
          <w:iCs/>
        </w:rPr>
        <w:t>28</w:t>
      </w:r>
      <w:r w:rsidRPr="00F30462">
        <w:rPr>
          <w:rFonts w:ascii="Times New Roman" w:hAnsi="Times New Roman" w:cs="Times New Roman"/>
        </w:rPr>
        <w:t>(10), 1375–1386. https://doi.org/10.1177/0956797617708234</w:t>
      </w:r>
    </w:p>
    <w:p w14:paraId="3C577A6F"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Van den Driessche, C., Chappé, C., Konishi, M., Cleeremans, A., &amp; Sackur, J. (2025). States of mind: Towards a common classification of mental states. </w:t>
      </w:r>
      <w:r w:rsidRPr="00F30462">
        <w:rPr>
          <w:rFonts w:ascii="Times New Roman" w:hAnsi="Times New Roman" w:cs="Times New Roman"/>
          <w:i/>
          <w:iCs/>
        </w:rPr>
        <w:t>Consciousness and Cognition</w:t>
      </w:r>
      <w:r w:rsidRPr="00F30462">
        <w:rPr>
          <w:rFonts w:ascii="Times New Roman" w:hAnsi="Times New Roman" w:cs="Times New Roman"/>
        </w:rPr>
        <w:t xml:space="preserve">, </w:t>
      </w:r>
      <w:r w:rsidRPr="00F30462">
        <w:rPr>
          <w:rFonts w:ascii="Times New Roman" w:hAnsi="Times New Roman" w:cs="Times New Roman"/>
          <w:i/>
          <w:iCs/>
        </w:rPr>
        <w:t>129</w:t>
      </w:r>
      <w:r w:rsidRPr="00F30462">
        <w:rPr>
          <w:rFonts w:ascii="Times New Roman" w:hAnsi="Times New Roman" w:cs="Times New Roman"/>
        </w:rPr>
        <w:t>, 103828. https://doi.org/10.1016/j.concog.2025.103828</w:t>
      </w:r>
    </w:p>
    <w:p w14:paraId="0300B96A"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Vekony, T., Brezoczki, B., Csifcsak, G., Nemeth, D., &amp; Simor, P. (2025). A functional trade-off between executive control and implicit statistical learning is dynamically gated by mind wandering. </w:t>
      </w:r>
      <w:r w:rsidRPr="00F30462">
        <w:rPr>
          <w:rFonts w:ascii="Times New Roman" w:hAnsi="Times New Roman" w:cs="Times New Roman"/>
          <w:i/>
          <w:iCs/>
        </w:rPr>
        <w:t>bioRxiv</w:t>
      </w:r>
      <w:r w:rsidRPr="00F30462">
        <w:rPr>
          <w:rFonts w:ascii="Times New Roman" w:hAnsi="Times New Roman" w:cs="Times New Roman"/>
        </w:rPr>
        <w:t>, 2025–08.</w:t>
      </w:r>
    </w:p>
    <w:p w14:paraId="4DD5B6C1"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Vékony, T., Farkas, B. C., Brezóczki, B., Mittner, M., Csifcsák, G., Simor, P., &amp; Németh, D. (2025). Mind wandering enhances statistical learning. </w:t>
      </w:r>
      <w:r w:rsidRPr="00F30462">
        <w:rPr>
          <w:rFonts w:ascii="Times New Roman" w:hAnsi="Times New Roman" w:cs="Times New Roman"/>
          <w:i/>
          <w:iCs/>
        </w:rPr>
        <w:t>iScience</w:t>
      </w:r>
      <w:r w:rsidRPr="00F30462">
        <w:rPr>
          <w:rFonts w:ascii="Times New Roman" w:hAnsi="Times New Roman" w:cs="Times New Roman"/>
        </w:rPr>
        <w:t xml:space="preserve">, </w:t>
      </w:r>
      <w:r w:rsidRPr="00F30462">
        <w:rPr>
          <w:rFonts w:ascii="Times New Roman" w:hAnsi="Times New Roman" w:cs="Times New Roman"/>
          <w:i/>
          <w:iCs/>
        </w:rPr>
        <w:t>28</w:t>
      </w:r>
      <w:r w:rsidRPr="00F30462">
        <w:rPr>
          <w:rFonts w:ascii="Times New Roman" w:hAnsi="Times New Roman" w:cs="Times New Roman"/>
        </w:rPr>
        <w:t>(2). https://doi.org/10.1016/j.isci.2024.111703</w:t>
      </w:r>
    </w:p>
    <w:p w14:paraId="1AD0DA24"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Verde, P. E. (2019). The hierarchical metaregression approach and learning from clinical evidence. </w:t>
      </w:r>
      <w:r w:rsidRPr="00F30462">
        <w:rPr>
          <w:rFonts w:ascii="Times New Roman" w:hAnsi="Times New Roman" w:cs="Times New Roman"/>
          <w:i/>
          <w:iCs/>
        </w:rPr>
        <w:t>Biometrical Journal. Biometrische Zeitschrift</w:t>
      </w:r>
      <w:r w:rsidRPr="00F30462">
        <w:rPr>
          <w:rFonts w:ascii="Times New Roman" w:hAnsi="Times New Roman" w:cs="Times New Roman"/>
        </w:rPr>
        <w:t xml:space="preserve">, </w:t>
      </w:r>
      <w:r w:rsidRPr="00F30462">
        <w:rPr>
          <w:rFonts w:ascii="Times New Roman" w:hAnsi="Times New Roman" w:cs="Times New Roman"/>
          <w:i/>
          <w:iCs/>
        </w:rPr>
        <w:t>61</w:t>
      </w:r>
      <w:r w:rsidRPr="00F30462">
        <w:rPr>
          <w:rFonts w:ascii="Times New Roman" w:hAnsi="Times New Roman" w:cs="Times New Roman"/>
        </w:rPr>
        <w:t>(3), 535–557. https://doi.org/10.1002/bimj.201700266</w:t>
      </w:r>
    </w:p>
    <w:p w14:paraId="594D6142"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Ward, A., &amp; Wegner, D. (2013). Mind-blanking: When the mind goes away. </w:t>
      </w:r>
      <w:r w:rsidRPr="00F30462">
        <w:rPr>
          <w:rFonts w:ascii="Times New Roman" w:hAnsi="Times New Roman" w:cs="Times New Roman"/>
          <w:i/>
          <w:iCs/>
        </w:rPr>
        <w:t>Frontiers in Psychology</w:t>
      </w:r>
      <w:r w:rsidRPr="00F30462">
        <w:rPr>
          <w:rFonts w:ascii="Times New Roman" w:hAnsi="Times New Roman" w:cs="Times New Roman"/>
        </w:rPr>
        <w:t xml:space="preserve">, </w:t>
      </w:r>
      <w:r w:rsidRPr="00F30462">
        <w:rPr>
          <w:rFonts w:ascii="Times New Roman" w:hAnsi="Times New Roman" w:cs="Times New Roman"/>
          <w:i/>
          <w:iCs/>
        </w:rPr>
        <w:t>4</w:t>
      </w:r>
      <w:r w:rsidRPr="00F30462">
        <w:rPr>
          <w:rFonts w:ascii="Times New Roman" w:hAnsi="Times New Roman" w:cs="Times New Roman"/>
        </w:rPr>
        <w:t>, 650. https://doi.org/10.3389/fpsyg.2013.00650</w:t>
      </w:r>
    </w:p>
    <w:p w14:paraId="0898F413"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t xml:space="preserve">Welhaf, M. S., Balota, D. A., Schindler, S. E., Morris, J. C., Hassenstab, J., &amp; Aschenbrenner, A. J. (2025). Using objective and subjective measures of mind wandering to predict progression to development of cognitive impairment and test associations with Alzheimer disease biomarkers. </w:t>
      </w:r>
      <w:r w:rsidRPr="00F30462">
        <w:rPr>
          <w:rFonts w:ascii="Times New Roman" w:hAnsi="Times New Roman" w:cs="Times New Roman"/>
          <w:i/>
          <w:iCs/>
        </w:rPr>
        <w:t>Journal of Clinical and Experimental Neuropsychology</w:t>
      </w:r>
      <w:r w:rsidRPr="00F30462">
        <w:rPr>
          <w:rFonts w:ascii="Times New Roman" w:hAnsi="Times New Roman" w:cs="Times New Roman"/>
        </w:rPr>
        <w:t xml:space="preserve">, </w:t>
      </w:r>
      <w:r w:rsidRPr="00F30462">
        <w:rPr>
          <w:rFonts w:ascii="Times New Roman" w:hAnsi="Times New Roman" w:cs="Times New Roman"/>
          <w:i/>
          <w:iCs/>
        </w:rPr>
        <w:t>47</w:t>
      </w:r>
      <w:r w:rsidRPr="00F30462">
        <w:rPr>
          <w:rFonts w:ascii="Times New Roman" w:hAnsi="Times New Roman" w:cs="Times New Roman"/>
        </w:rPr>
        <w:t>(3), 169–184. https://doi.org/10.1080/13803395.2025.2498025</w:t>
      </w:r>
    </w:p>
    <w:p w14:paraId="6ED8413C" w14:textId="77777777" w:rsidR="00B633EE" w:rsidRPr="00F30462" w:rsidRDefault="00B633EE" w:rsidP="00F30462">
      <w:pPr>
        <w:pStyle w:val="Bibliography"/>
        <w:spacing w:line="360" w:lineRule="auto"/>
        <w:rPr>
          <w:rFonts w:ascii="Times New Roman" w:hAnsi="Times New Roman" w:cs="Times New Roman"/>
        </w:rPr>
      </w:pPr>
      <w:r w:rsidRPr="00F30462">
        <w:rPr>
          <w:rFonts w:ascii="Times New Roman" w:hAnsi="Times New Roman" w:cs="Times New Roman"/>
        </w:rPr>
        <w:lastRenderedPageBreak/>
        <w:t xml:space="preserve">Wiggs, K. K., Fredrick, J. W., Tamm, L., Epstein, J. N., Simon, J. O., &amp; Becker, S. P. (2024). Preliminary examination of ADHD inattentive and cognitive disengagement syndrome symptoms in relation to probe-caught mind-wandering during a sustained attention to response task. </w:t>
      </w:r>
      <w:r w:rsidRPr="00F30462">
        <w:rPr>
          <w:rFonts w:ascii="Times New Roman" w:hAnsi="Times New Roman" w:cs="Times New Roman"/>
          <w:i/>
          <w:iCs/>
        </w:rPr>
        <w:t>Journal of Psychiatric Research</w:t>
      </w:r>
      <w:r w:rsidRPr="00F30462">
        <w:rPr>
          <w:rFonts w:ascii="Times New Roman" w:hAnsi="Times New Roman" w:cs="Times New Roman"/>
        </w:rPr>
        <w:t xml:space="preserve">, </w:t>
      </w:r>
      <w:r w:rsidRPr="00F30462">
        <w:rPr>
          <w:rFonts w:ascii="Times New Roman" w:hAnsi="Times New Roman" w:cs="Times New Roman"/>
          <w:i/>
          <w:iCs/>
        </w:rPr>
        <w:t>172</w:t>
      </w:r>
      <w:r w:rsidRPr="00F30462">
        <w:rPr>
          <w:rFonts w:ascii="Times New Roman" w:hAnsi="Times New Roman" w:cs="Times New Roman"/>
        </w:rPr>
        <w:t>, 181–186.</w:t>
      </w:r>
    </w:p>
    <w:p w14:paraId="2FB03240" w14:textId="628C3782" w:rsidR="00A811D3" w:rsidRPr="00F30462" w:rsidRDefault="00A811D3" w:rsidP="00F30462">
      <w:pPr>
        <w:spacing w:line="360" w:lineRule="auto"/>
        <w:jc w:val="both"/>
        <w:rPr>
          <w:rFonts w:ascii="Times New Roman" w:hAnsi="Times New Roman" w:cs="Times New Roman"/>
        </w:rPr>
      </w:pPr>
      <w:r w:rsidRPr="00F30462">
        <w:rPr>
          <w:rFonts w:ascii="Times New Roman" w:hAnsi="Times New Roman" w:cs="Times New Roman"/>
        </w:rPr>
        <w:fldChar w:fldCharType="end"/>
      </w:r>
    </w:p>
    <w:p w14:paraId="0A0D49F5" w14:textId="3835D267" w:rsidR="00A27274" w:rsidRPr="00B633EE" w:rsidRDefault="00A27274" w:rsidP="00B633EE">
      <w:pPr>
        <w:spacing w:line="360" w:lineRule="auto"/>
        <w:jc w:val="both"/>
        <w:rPr>
          <w:rFonts w:ascii="Times New Roman" w:hAnsi="Times New Roman" w:cs="Times New Roman"/>
        </w:rPr>
      </w:pPr>
    </w:p>
    <w:sectPr w:rsidR="00A27274" w:rsidRPr="00B633EE">
      <w:footerReference w:type="default" r:id="rId24"/>
      <w:pgSz w:w="12240" w:h="15840"/>
      <w:pgMar w:top="1440" w:right="1080" w:bottom="1440" w:left="1080" w:header="720" w:footer="720" w:gutter="0"/>
      <w:lnNumType w:countBy="1" w:distance="180"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FCCD2" w14:textId="77777777" w:rsidR="00317537" w:rsidRDefault="00317537">
      <w:pPr>
        <w:spacing w:after="0" w:line="240" w:lineRule="auto"/>
      </w:pPr>
      <w:r>
        <w:separator/>
      </w:r>
    </w:p>
  </w:endnote>
  <w:endnote w:type="continuationSeparator" w:id="0">
    <w:p w14:paraId="23854063" w14:textId="77777777" w:rsidR="00317537" w:rsidRDefault="00317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53731"/>
      <w:docPartObj>
        <w:docPartGallery w:val="Page Numbers (Bottom of Page)"/>
        <w:docPartUnique/>
      </w:docPartObj>
    </w:sdtPr>
    <w:sdtContent>
      <w:p w14:paraId="32C2181E" w14:textId="10866123" w:rsidR="00F23AA2" w:rsidRDefault="00F23AA2">
        <w:pPr>
          <w:pStyle w:val="Footer"/>
          <w:jc w:val="right"/>
        </w:pPr>
        <w:r>
          <w:fldChar w:fldCharType="begin"/>
        </w:r>
        <w:r>
          <w:instrText>PAGE   \* MERGEFORMAT</w:instrText>
        </w:r>
        <w:r>
          <w:fldChar w:fldCharType="separate"/>
        </w:r>
        <w:r>
          <w:rPr>
            <w:lang w:val="en-GB"/>
          </w:rPr>
          <w:t>2</w:t>
        </w:r>
        <w:r>
          <w:fldChar w:fldCharType="end"/>
        </w:r>
      </w:p>
    </w:sdtContent>
  </w:sdt>
  <w:p w14:paraId="2852D674" w14:textId="77777777" w:rsidR="00F23AA2" w:rsidRDefault="00F23A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B4F87" w14:textId="77777777" w:rsidR="00317537" w:rsidRDefault="00317537">
      <w:pPr>
        <w:spacing w:after="0" w:line="240" w:lineRule="auto"/>
      </w:pPr>
      <w:r>
        <w:rPr>
          <w:color w:val="000000"/>
        </w:rPr>
        <w:separator/>
      </w:r>
    </w:p>
  </w:footnote>
  <w:footnote w:type="continuationSeparator" w:id="0">
    <w:p w14:paraId="21563BF5" w14:textId="77777777" w:rsidR="00317537" w:rsidRDefault="00317537">
      <w:pPr>
        <w:spacing w:after="0" w:line="240" w:lineRule="auto"/>
      </w:pPr>
      <w:r>
        <w:continuationSeparator/>
      </w:r>
    </w:p>
  </w:footnote>
  <w:footnote w:id="1">
    <w:p w14:paraId="68EA5413" w14:textId="60945DA9" w:rsidR="00AE5F57" w:rsidRPr="00AE5F57" w:rsidRDefault="00AE5F57">
      <w:pPr>
        <w:pStyle w:val="FootnoteText"/>
        <w:rPr>
          <w:rFonts w:ascii="Times New Roman" w:hAnsi="Times New Roman" w:cs="Times New Roman"/>
          <w:sz w:val="16"/>
          <w:szCs w:val="16"/>
        </w:rPr>
      </w:pPr>
      <w:r w:rsidRPr="00AE5F57">
        <w:rPr>
          <w:rStyle w:val="FootnoteReference"/>
          <w:rFonts w:ascii="Times New Roman" w:hAnsi="Times New Roman" w:cs="Times New Roman"/>
          <w:sz w:val="16"/>
          <w:szCs w:val="16"/>
        </w:rPr>
        <w:footnoteRef/>
      </w:r>
      <w:r w:rsidRPr="00AE5F57">
        <w:rPr>
          <w:rFonts w:ascii="Times New Roman" w:hAnsi="Times New Roman" w:cs="Times New Roman"/>
          <w:sz w:val="16"/>
          <w:szCs w:val="16"/>
        </w:rPr>
        <w:t xml:space="preserve"> When the duration of the experience-sampling session was not directly stated in the manuscript, we approximated the duration of the session by considering the number of trials and the duration of each trial. We did not allow for a buffer time for experience-sampling probes.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DA6"/>
    <w:rsid w:val="000203AB"/>
    <w:rsid w:val="000257E1"/>
    <w:rsid w:val="000277EB"/>
    <w:rsid w:val="00055B32"/>
    <w:rsid w:val="00061EF8"/>
    <w:rsid w:val="0006677F"/>
    <w:rsid w:val="00077D5D"/>
    <w:rsid w:val="00082B60"/>
    <w:rsid w:val="000A683C"/>
    <w:rsid w:val="000B0E53"/>
    <w:rsid w:val="000D2098"/>
    <w:rsid w:val="000E553E"/>
    <w:rsid w:val="000E7846"/>
    <w:rsid w:val="000F4D3F"/>
    <w:rsid w:val="001004C0"/>
    <w:rsid w:val="00104617"/>
    <w:rsid w:val="001115B8"/>
    <w:rsid w:val="00115AB1"/>
    <w:rsid w:val="00125924"/>
    <w:rsid w:val="00130038"/>
    <w:rsid w:val="00135E53"/>
    <w:rsid w:val="00136269"/>
    <w:rsid w:val="00150A65"/>
    <w:rsid w:val="00165041"/>
    <w:rsid w:val="00170913"/>
    <w:rsid w:val="00194384"/>
    <w:rsid w:val="001B67F1"/>
    <w:rsid w:val="001D7FDA"/>
    <w:rsid w:val="00201604"/>
    <w:rsid w:val="002117D5"/>
    <w:rsid w:val="00224616"/>
    <w:rsid w:val="002305A0"/>
    <w:rsid w:val="00256347"/>
    <w:rsid w:val="00261279"/>
    <w:rsid w:val="00263875"/>
    <w:rsid w:val="0026533F"/>
    <w:rsid w:val="00270BA1"/>
    <w:rsid w:val="002846A2"/>
    <w:rsid w:val="002A4710"/>
    <w:rsid w:val="002B2BBC"/>
    <w:rsid w:val="002C404F"/>
    <w:rsid w:val="002C48D6"/>
    <w:rsid w:val="002C5B08"/>
    <w:rsid w:val="003009DF"/>
    <w:rsid w:val="00313566"/>
    <w:rsid w:val="00316CF3"/>
    <w:rsid w:val="00317537"/>
    <w:rsid w:val="00335D3C"/>
    <w:rsid w:val="003368AC"/>
    <w:rsid w:val="00354572"/>
    <w:rsid w:val="003617D9"/>
    <w:rsid w:val="00372E94"/>
    <w:rsid w:val="00386C3F"/>
    <w:rsid w:val="00396D99"/>
    <w:rsid w:val="003A420F"/>
    <w:rsid w:val="003A514F"/>
    <w:rsid w:val="003C5929"/>
    <w:rsid w:val="003D5755"/>
    <w:rsid w:val="003E1FFA"/>
    <w:rsid w:val="003F25C5"/>
    <w:rsid w:val="003F30AD"/>
    <w:rsid w:val="003F6D4B"/>
    <w:rsid w:val="0042207F"/>
    <w:rsid w:val="00423256"/>
    <w:rsid w:val="0042603E"/>
    <w:rsid w:val="00431045"/>
    <w:rsid w:val="004315BB"/>
    <w:rsid w:val="004522B1"/>
    <w:rsid w:val="004559C4"/>
    <w:rsid w:val="00471AF2"/>
    <w:rsid w:val="00471DF7"/>
    <w:rsid w:val="00477ED9"/>
    <w:rsid w:val="00480F0D"/>
    <w:rsid w:val="004931CD"/>
    <w:rsid w:val="004D282D"/>
    <w:rsid w:val="004D4A04"/>
    <w:rsid w:val="004D67E1"/>
    <w:rsid w:val="0050078A"/>
    <w:rsid w:val="00504A07"/>
    <w:rsid w:val="00506A1F"/>
    <w:rsid w:val="00510161"/>
    <w:rsid w:val="00513281"/>
    <w:rsid w:val="00514121"/>
    <w:rsid w:val="005141F4"/>
    <w:rsid w:val="00520023"/>
    <w:rsid w:val="00534525"/>
    <w:rsid w:val="00542555"/>
    <w:rsid w:val="00557F4A"/>
    <w:rsid w:val="0056783E"/>
    <w:rsid w:val="00575E8D"/>
    <w:rsid w:val="00581C85"/>
    <w:rsid w:val="00595DA7"/>
    <w:rsid w:val="005B1B72"/>
    <w:rsid w:val="005C23E1"/>
    <w:rsid w:val="005C23F1"/>
    <w:rsid w:val="005D02DB"/>
    <w:rsid w:val="005E0206"/>
    <w:rsid w:val="006249B0"/>
    <w:rsid w:val="00627D76"/>
    <w:rsid w:val="0063298E"/>
    <w:rsid w:val="006408D1"/>
    <w:rsid w:val="0064517F"/>
    <w:rsid w:val="00647BC7"/>
    <w:rsid w:val="0065213A"/>
    <w:rsid w:val="0066540B"/>
    <w:rsid w:val="00671F29"/>
    <w:rsid w:val="006761A5"/>
    <w:rsid w:val="00682EF0"/>
    <w:rsid w:val="00692AAC"/>
    <w:rsid w:val="006B1331"/>
    <w:rsid w:val="006B1D5F"/>
    <w:rsid w:val="006F0035"/>
    <w:rsid w:val="006F110A"/>
    <w:rsid w:val="006F1149"/>
    <w:rsid w:val="00702396"/>
    <w:rsid w:val="00714746"/>
    <w:rsid w:val="0071684C"/>
    <w:rsid w:val="007216B7"/>
    <w:rsid w:val="00723449"/>
    <w:rsid w:val="0072391A"/>
    <w:rsid w:val="0073226D"/>
    <w:rsid w:val="00732942"/>
    <w:rsid w:val="00735A69"/>
    <w:rsid w:val="0075190F"/>
    <w:rsid w:val="007569E2"/>
    <w:rsid w:val="00770EBE"/>
    <w:rsid w:val="0077159F"/>
    <w:rsid w:val="007B7524"/>
    <w:rsid w:val="007C602B"/>
    <w:rsid w:val="007D6973"/>
    <w:rsid w:val="00801735"/>
    <w:rsid w:val="008039B7"/>
    <w:rsid w:val="00806A84"/>
    <w:rsid w:val="00807B10"/>
    <w:rsid w:val="0082112E"/>
    <w:rsid w:val="0082F063"/>
    <w:rsid w:val="00853ED9"/>
    <w:rsid w:val="00874EE6"/>
    <w:rsid w:val="00884F5F"/>
    <w:rsid w:val="0089190E"/>
    <w:rsid w:val="008A1798"/>
    <w:rsid w:val="008C3BB9"/>
    <w:rsid w:val="008D1AA1"/>
    <w:rsid w:val="008D4958"/>
    <w:rsid w:val="008D691F"/>
    <w:rsid w:val="008E5CAE"/>
    <w:rsid w:val="008F5DA6"/>
    <w:rsid w:val="00920B0C"/>
    <w:rsid w:val="00926C23"/>
    <w:rsid w:val="00931AC2"/>
    <w:rsid w:val="0093567C"/>
    <w:rsid w:val="00943D41"/>
    <w:rsid w:val="00974B73"/>
    <w:rsid w:val="00992D25"/>
    <w:rsid w:val="009A715A"/>
    <w:rsid w:val="009B1684"/>
    <w:rsid w:val="009B7DDB"/>
    <w:rsid w:val="009D1178"/>
    <w:rsid w:val="009E7A69"/>
    <w:rsid w:val="009F0B66"/>
    <w:rsid w:val="00A07F04"/>
    <w:rsid w:val="00A1216F"/>
    <w:rsid w:val="00A12B34"/>
    <w:rsid w:val="00A27274"/>
    <w:rsid w:val="00A34FFE"/>
    <w:rsid w:val="00A811D3"/>
    <w:rsid w:val="00A821AC"/>
    <w:rsid w:val="00A92DC1"/>
    <w:rsid w:val="00AE3D02"/>
    <w:rsid w:val="00AE5F57"/>
    <w:rsid w:val="00AF14CE"/>
    <w:rsid w:val="00B05C45"/>
    <w:rsid w:val="00B4026F"/>
    <w:rsid w:val="00B41C78"/>
    <w:rsid w:val="00B568B6"/>
    <w:rsid w:val="00B633EE"/>
    <w:rsid w:val="00B71D93"/>
    <w:rsid w:val="00B968D6"/>
    <w:rsid w:val="00B97073"/>
    <w:rsid w:val="00BA2471"/>
    <w:rsid w:val="00BA720C"/>
    <w:rsid w:val="00BD4689"/>
    <w:rsid w:val="00BD76C0"/>
    <w:rsid w:val="00BE4A0F"/>
    <w:rsid w:val="00C0015A"/>
    <w:rsid w:val="00C00778"/>
    <w:rsid w:val="00C0107C"/>
    <w:rsid w:val="00C04D15"/>
    <w:rsid w:val="00C07F22"/>
    <w:rsid w:val="00C142D5"/>
    <w:rsid w:val="00C2561A"/>
    <w:rsid w:val="00C30CB3"/>
    <w:rsid w:val="00C5112B"/>
    <w:rsid w:val="00C6384E"/>
    <w:rsid w:val="00C727E7"/>
    <w:rsid w:val="00C75351"/>
    <w:rsid w:val="00C76817"/>
    <w:rsid w:val="00CA0C43"/>
    <w:rsid w:val="00CB4000"/>
    <w:rsid w:val="00CB7A13"/>
    <w:rsid w:val="00CE2044"/>
    <w:rsid w:val="00CF24F4"/>
    <w:rsid w:val="00D0323B"/>
    <w:rsid w:val="00D0518D"/>
    <w:rsid w:val="00D06159"/>
    <w:rsid w:val="00D17565"/>
    <w:rsid w:val="00D253B9"/>
    <w:rsid w:val="00D341FD"/>
    <w:rsid w:val="00D40160"/>
    <w:rsid w:val="00D5003A"/>
    <w:rsid w:val="00D61EA1"/>
    <w:rsid w:val="00D621E9"/>
    <w:rsid w:val="00D65253"/>
    <w:rsid w:val="00D80DD6"/>
    <w:rsid w:val="00D930E7"/>
    <w:rsid w:val="00D9567D"/>
    <w:rsid w:val="00DA218A"/>
    <w:rsid w:val="00DA5A49"/>
    <w:rsid w:val="00DC14ED"/>
    <w:rsid w:val="00DD1E3A"/>
    <w:rsid w:val="00DD5104"/>
    <w:rsid w:val="00DE4FB4"/>
    <w:rsid w:val="00DF06B3"/>
    <w:rsid w:val="00DF651E"/>
    <w:rsid w:val="00E130C9"/>
    <w:rsid w:val="00E1586B"/>
    <w:rsid w:val="00E5516C"/>
    <w:rsid w:val="00E567A6"/>
    <w:rsid w:val="00EA7416"/>
    <w:rsid w:val="00EC6FBA"/>
    <w:rsid w:val="00ED43AB"/>
    <w:rsid w:val="00EE05A2"/>
    <w:rsid w:val="00EE1BDA"/>
    <w:rsid w:val="00EE42C0"/>
    <w:rsid w:val="00EF0B4D"/>
    <w:rsid w:val="00F07F9C"/>
    <w:rsid w:val="00F22D83"/>
    <w:rsid w:val="00F23AA2"/>
    <w:rsid w:val="00F30462"/>
    <w:rsid w:val="00F51BA3"/>
    <w:rsid w:val="00F55CF2"/>
    <w:rsid w:val="00F6210B"/>
    <w:rsid w:val="00F62572"/>
    <w:rsid w:val="00F6594B"/>
    <w:rsid w:val="00F66844"/>
    <w:rsid w:val="00F740F8"/>
    <w:rsid w:val="00F9376F"/>
    <w:rsid w:val="00FB05D1"/>
    <w:rsid w:val="00FC28E3"/>
    <w:rsid w:val="00FE6FC3"/>
    <w:rsid w:val="00FF5A8B"/>
    <w:rsid w:val="03EEAE50"/>
    <w:rsid w:val="041F5730"/>
    <w:rsid w:val="08348AC5"/>
    <w:rsid w:val="0909BFFE"/>
    <w:rsid w:val="09406097"/>
    <w:rsid w:val="09760558"/>
    <w:rsid w:val="0C26BD04"/>
    <w:rsid w:val="0F2CD3DE"/>
    <w:rsid w:val="0F57F236"/>
    <w:rsid w:val="1150C34D"/>
    <w:rsid w:val="11547B97"/>
    <w:rsid w:val="11F9F662"/>
    <w:rsid w:val="12BC2617"/>
    <w:rsid w:val="14644158"/>
    <w:rsid w:val="15C40CF2"/>
    <w:rsid w:val="1656D4D1"/>
    <w:rsid w:val="18C82E26"/>
    <w:rsid w:val="1912E223"/>
    <w:rsid w:val="19F9A737"/>
    <w:rsid w:val="1A2A0D7F"/>
    <w:rsid w:val="1AEEF393"/>
    <w:rsid w:val="1AFE25BC"/>
    <w:rsid w:val="1BEB102C"/>
    <w:rsid w:val="1C99D080"/>
    <w:rsid w:val="1DEEAD21"/>
    <w:rsid w:val="1F7C7FC2"/>
    <w:rsid w:val="203CD036"/>
    <w:rsid w:val="21062A3A"/>
    <w:rsid w:val="2119A193"/>
    <w:rsid w:val="22DB2182"/>
    <w:rsid w:val="22EF93EC"/>
    <w:rsid w:val="246B0A7A"/>
    <w:rsid w:val="25C87EE2"/>
    <w:rsid w:val="28AA5811"/>
    <w:rsid w:val="2B872E86"/>
    <w:rsid w:val="2BBE188E"/>
    <w:rsid w:val="2BDC03DE"/>
    <w:rsid w:val="2FCDD8C7"/>
    <w:rsid w:val="303B7A6C"/>
    <w:rsid w:val="305ADA64"/>
    <w:rsid w:val="309423C0"/>
    <w:rsid w:val="3273AF3E"/>
    <w:rsid w:val="3387093C"/>
    <w:rsid w:val="33C28DB3"/>
    <w:rsid w:val="341B764E"/>
    <w:rsid w:val="3631DD80"/>
    <w:rsid w:val="3647497F"/>
    <w:rsid w:val="37B528CC"/>
    <w:rsid w:val="3A9CB62B"/>
    <w:rsid w:val="3AD6B107"/>
    <w:rsid w:val="3B423A44"/>
    <w:rsid w:val="3DADC95C"/>
    <w:rsid w:val="3DD1064A"/>
    <w:rsid w:val="40330124"/>
    <w:rsid w:val="41E177AE"/>
    <w:rsid w:val="44B6B56C"/>
    <w:rsid w:val="44D70A25"/>
    <w:rsid w:val="456EB39A"/>
    <w:rsid w:val="45B0F439"/>
    <w:rsid w:val="45DA0521"/>
    <w:rsid w:val="48A6F81B"/>
    <w:rsid w:val="48C57776"/>
    <w:rsid w:val="491E750E"/>
    <w:rsid w:val="4A4D8287"/>
    <w:rsid w:val="4BAA23F4"/>
    <w:rsid w:val="4C51C7C7"/>
    <w:rsid w:val="4C5EB008"/>
    <w:rsid w:val="4D796089"/>
    <w:rsid w:val="4ED60CD1"/>
    <w:rsid w:val="4F55703F"/>
    <w:rsid w:val="507BEA21"/>
    <w:rsid w:val="50FDDD65"/>
    <w:rsid w:val="529D2EAA"/>
    <w:rsid w:val="52BEE9F7"/>
    <w:rsid w:val="5349ABF4"/>
    <w:rsid w:val="537A0968"/>
    <w:rsid w:val="542A9D36"/>
    <w:rsid w:val="547AAFB9"/>
    <w:rsid w:val="54FF5F56"/>
    <w:rsid w:val="569FA265"/>
    <w:rsid w:val="5768BA2F"/>
    <w:rsid w:val="5771D69A"/>
    <w:rsid w:val="57C486E1"/>
    <w:rsid w:val="58A83F47"/>
    <w:rsid w:val="5936EF52"/>
    <w:rsid w:val="5A4F785B"/>
    <w:rsid w:val="5ABC0000"/>
    <w:rsid w:val="5B656BF0"/>
    <w:rsid w:val="5DC4A610"/>
    <w:rsid w:val="5F492A53"/>
    <w:rsid w:val="62336D6B"/>
    <w:rsid w:val="63E25FE5"/>
    <w:rsid w:val="65E1DBF8"/>
    <w:rsid w:val="66ACCD9F"/>
    <w:rsid w:val="67599C9D"/>
    <w:rsid w:val="68B8A71D"/>
    <w:rsid w:val="69CF6134"/>
    <w:rsid w:val="69F3EFB2"/>
    <w:rsid w:val="6A23CF9F"/>
    <w:rsid w:val="6A5721D2"/>
    <w:rsid w:val="6A677D83"/>
    <w:rsid w:val="6B5762DF"/>
    <w:rsid w:val="6BBD7701"/>
    <w:rsid w:val="6CECA74E"/>
    <w:rsid w:val="6D7BE4AA"/>
    <w:rsid w:val="6DF3D502"/>
    <w:rsid w:val="6EEF77C4"/>
    <w:rsid w:val="70FE7FA1"/>
    <w:rsid w:val="715E7C52"/>
    <w:rsid w:val="71924ECF"/>
    <w:rsid w:val="72330DEC"/>
    <w:rsid w:val="725ED7FE"/>
    <w:rsid w:val="73B1A574"/>
    <w:rsid w:val="7418F39B"/>
    <w:rsid w:val="745E68C7"/>
    <w:rsid w:val="76579E94"/>
    <w:rsid w:val="775073F3"/>
    <w:rsid w:val="7811403B"/>
    <w:rsid w:val="78A5083E"/>
    <w:rsid w:val="78FBB000"/>
    <w:rsid w:val="7ADC43FB"/>
    <w:rsid w:val="7EF893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BABE6"/>
  <w15:docId w15:val="{1929100B-5625-41F5-B74A-E5238FAA5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MS Mincho" w:hAnsi="Aptos" w:cs="Arial"/>
        <w:sz w:val="24"/>
        <w:szCs w:val="24"/>
        <w:lang w:val="en-US" w:eastAsia="ja-JP"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C85"/>
    <w:pPr>
      <w:suppressAutoHyphens/>
      <w:textAlignment w:val="baseline"/>
    </w:pPr>
  </w:style>
  <w:style w:type="paragraph" w:styleId="Heading1">
    <w:name w:val="heading 1"/>
    <w:basedOn w:val="Normal"/>
    <w:next w:val="Normal"/>
    <w:uiPriority w:val="9"/>
    <w:qFormat/>
    <w:pPr>
      <w:keepNext/>
      <w:keepLines/>
      <w:spacing w:before="240" w:after="0"/>
      <w:outlineLvl w:val="0"/>
    </w:pPr>
    <w:rPr>
      <w:rFonts w:ascii="Aptos Display" w:eastAsia="MS Gothic" w:hAnsi="Aptos Display" w:cs="Times New Roman"/>
      <w:color w:val="0F4761"/>
      <w:sz w:val="32"/>
      <w:szCs w:val="32"/>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MS Gothic" w:hAnsi="Aptos Display" w:cs="Times New Roman"/>
      <w:color w:val="0F4761"/>
      <w:kern w:val="3"/>
      <w:sz w:val="32"/>
      <w:szCs w:val="32"/>
      <w:lang w:eastAsia="en-US"/>
    </w:rPr>
  </w:style>
  <w:style w:type="paragraph" w:styleId="Heading3">
    <w:name w:val="heading 3"/>
    <w:basedOn w:val="Normal"/>
    <w:next w:val="Normal"/>
    <w:uiPriority w:val="9"/>
    <w:semiHidden/>
    <w:unhideWhenUsed/>
    <w:qFormat/>
    <w:pPr>
      <w:keepNext/>
      <w:keepLines/>
      <w:spacing w:before="160" w:after="80"/>
      <w:outlineLvl w:val="2"/>
    </w:pPr>
    <w:rPr>
      <w:rFonts w:eastAsia="MS Gothic" w:cs="Times New Roman"/>
      <w:color w:val="0F4761"/>
      <w:kern w:val="3"/>
      <w:sz w:val="28"/>
      <w:szCs w:val="28"/>
      <w:lang w:eastAsia="en-US"/>
    </w:rPr>
  </w:style>
  <w:style w:type="paragraph" w:styleId="Heading4">
    <w:name w:val="heading 4"/>
    <w:basedOn w:val="Normal"/>
    <w:next w:val="Normal"/>
    <w:uiPriority w:val="9"/>
    <w:semiHidden/>
    <w:unhideWhenUsed/>
    <w:qFormat/>
    <w:pPr>
      <w:keepNext/>
      <w:keepLines/>
      <w:spacing w:before="80" w:after="40"/>
      <w:outlineLvl w:val="3"/>
    </w:pPr>
    <w:rPr>
      <w:rFonts w:eastAsia="MS Gothic" w:cs="Times New Roman"/>
      <w:i/>
      <w:iCs/>
      <w:color w:val="0F4761"/>
      <w:kern w:val="3"/>
      <w:lang w:eastAsia="en-US"/>
    </w:rPr>
  </w:style>
  <w:style w:type="paragraph" w:styleId="Heading5">
    <w:name w:val="heading 5"/>
    <w:basedOn w:val="Normal"/>
    <w:next w:val="Normal"/>
    <w:uiPriority w:val="9"/>
    <w:semiHidden/>
    <w:unhideWhenUsed/>
    <w:qFormat/>
    <w:pPr>
      <w:keepNext/>
      <w:keepLines/>
      <w:spacing w:before="80" w:after="40"/>
      <w:outlineLvl w:val="4"/>
    </w:pPr>
    <w:rPr>
      <w:rFonts w:eastAsia="MS Gothic" w:cs="Times New Roman"/>
      <w:color w:val="0F4761"/>
      <w:kern w:val="3"/>
      <w:lang w:eastAsia="en-US"/>
    </w:rPr>
  </w:style>
  <w:style w:type="paragraph" w:styleId="Heading6">
    <w:name w:val="heading 6"/>
    <w:basedOn w:val="Normal"/>
    <w:next w:val="Normal"/>
    <w:uiPriority w:val="9"/>
    <w:semiHidden/>
    <w:unhideWhenUsed/>
    <w:qFormat/>
    <w:pPr>
      <w:keepNext/>
      <w:keepLines/>
      <w:spacing w:before="40" w:after="0"/>
      <w:outlineLvl w:val="5"/>
    </w:pPr>
    <w:rPr>
      <w:rFonts w:eastAsia="MS Gothic" w:cs="Times New Roman"/>
      <w:i/>
      <w:iCs/>
      <w:color w:val="595959"/>
      <w:kern w:val="3"/>
      <w:lang w:eastAsia="en-US"/>
    </w:rPr>
  </w:style>
  <w:style w:type="paragraph" w:styleId="Heading7">
    <w:name w:val="heading 7"/>
    <w:basedOn w:val="Normal"/>
    <w:next w:val="Normal"/>
    <w:pPr>
      <w:keepNext/>
      <w:keepLines/>
      <w:spacing w:before="40" w:after="0"/>
      <w:outlineLvl w:val="6"/>
    </w:pPr>
    <w:rPr>
      <w:rFonts w:eastAsia="MS Gothic" w:cs="Times New Roman"/>
      <w:color w:val="595959"/>
      <w:kern w:val="3"/>
      <w:lang w:eastAsia="en-US"/>
    </w:rPr>
  </w:style>
  <w:style w:type="paragraph" w:styleId="Heading8">
    <w:name w:val="heading 8"/>
    <w:basedOn w:val="Normal"/>
    <w:next w:val="Normal"/>
    <w:pPr>
      <w:keepNext/>
      <w:keepLines/>
      <w:spacing w:after="0"/>
      <w:outlineLvl w:val="7"/>
    </w:pPr>
    <w:rPr>
      <w:rFonts w:eastAsia="MS Gothic" w:cs="Times New Roman"/>
      <w:i/>
      <w:iCs/>
      <w:color w:val="272727"/>
      <w:kern w:val="3"/>
      <w:lang w:eastAsia="en-US"/>
    </w:rPr>
  </w:style>
  <w:style w:type="paragraph" w:styleId="Heading9">
    <w:name w:val="heading 9"/>
    <w:basedOn w:val="Normal"/>
    <w:next w:val="Normal"/>
    <w:pPr>
      <w:keepNext/>
      <w:keepLines/>
      <w:spacing w:after="0"/>
      <w:outlineLvl w:val="8"/>
    </w:pPr>
    <w:rPr>
      <w:rFonts w:eastAsia="MS Gothic" w:cs="Times New Roman"/>
      <w:color w:val="272727"/>
      <w:kern w:val="3"/>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467886"/>
      <w:u w:val="single"/>
    </w:rPr>
  </w:style>
  <w:style w:type="paragraph" w:styleId="ListParagraph">
    <w:name w:val="List Paragraph"/>
    <w:basedOn w:val="Normal"/>
    <w:pPr>
      <w:ind w:left="720"/>
    </w:pPr>
  </w:style>
  <w:style w:type="character" w:customStyle="1" w:styleId="CommentReference1">
    <w:name w:val="Comment Reference1"/>
    <w:basedOn w:val="DefaultParagraphFont"/>
    <w:rPr>
      <w:sz w:val="16"/>
      <w:szCs w:val="16"/>
    </w:rPr>
  </w:style>
  <w:style w:type="character" w:styleId="LineNumber">
    <w:name w:val="line number"/>
    <w:basedOn w:val="DefaultParagraphFont"/>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ascii="Aptos" w:eastAsia="MS Mincho" w:hAnsi="Aptos" w:cs="Arial"/>
    </w:rPr>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rPr>
      <w:rFonts w:ascii="Aptos" w:eastAsia="MS Mincho" w:hAnsi="Aptos" w:cs="Arial"/>
    </w:rPr>
  </w:style>
  <w:style w:type="paragraph" w:styleId="NoSpacing">
    <w:name w:val="No Spacing"/>
    <w:pPr>
      <w:suppressAutoHyphens/>
      <w:spacing w:after="0" w:line="240" w:lineRule="auto"/>
      <w:textAlignment w:val="baseline"/>
    </w:pPr>
  </w:style>
  <w:style w:type="character" w:customStyle="1" w:styleId="Heading1Char">
    <w:name w:val="Heading 1 Char"/>
    <w:basedOn w:val="DefaultParagraphFont"/>
    <w:rPr>
      <w:rFonts w:ascii="Aptos Display" w:eastAsia="MS Gothic" w:hAnsi="Aptos Display" w:cs="Times New Roman"/>
      <w:color w:val="0F4761"/>
      <w:sz w:val="32"/>
      <w:szCs w:val="32"/>
    </w:rPr>
  </w:style>
  <w:style w:type="character" w:styleId="UnresolvedMention">
    <w:name w:val="Unresolved Mention"/>
    <w:basedOn w:val="DefaultParagraphFont"/>
    <w:rPr>
      <w:color w:val="605E5C"/>
      <w:shd w:val="clear" w:color="auto" w:fill="E1DFDD"/>
    </w:rPr>
  </w:style>
  <w:style w:type="character" w:styleId="PlaceholderText">
    <w:name w:val="Placeholder Text"/>
    <w:basedOn w:val="DefaultParagraphFont"/>
    <w:rPr>
      <w:color w:val="666666"/>
    </w:rPr>
  </w:style>
  <w:style w:type="paragraph" w:styleId="Bibliography">
    <w:name w:val="Bibliography"/>
    <w:basedOn w:val="Normal"/>
    <w:next w:val="Normal"/>
    <w:pPr>
      <w:spacing w:after="0" w:line="480" w:lineRule="auto"/>
      <w:ind w:left="720" w:hanging="720"/>
    </w:pPr>
  </w:style>
  <w:style w:type="paragraph" w:styleId="Caption">
    <w:name w:val="caption"/>
    <w:basedOn w:val="Normal"/>
    <w:next w:val="Normal"/>
    <w:pPr>
      <w:spacing w:after="200" w:line="240" w:lineRule="auto"/>
    </w:pPr>
    <w:rPr>
      <w:i/>
      <w:iCs/>
      <w:color w:val="0E2841"/>
      <w:sz w:val="18"/>
      <w:szCs w:val="18"/>
    </w:rPr>
  </w:style>
  <w:style w:type="character" w:styleId="FollowedHyperlink">
    <w:name w:val="FollowedHyperlink"/>
    <w:basedOn w:val="DefaultParagraphFont"/>
    <w:uiPriority w:val="99"/>
    <w:rPr>
      <w:color w:val="96607D"/>
      <w:u w:val="single"/>
    </w:rPr>
  </w:style>
  <w:style w:type="paragraph" w:customStyle="1" w:styleId="msonormal0">
    <w:name w:val="msonormal"/>
    <w:basedOn w:val="Normal"/>
    <w:pPr>
      <w:spacing w:before="100" w:after="100" w:line="240" w:lineRule="auto"/>
    </w:pPr>
    <w:rPr>
      <w:rFonts w:ascii="Times New Roman" w:eastAsia="Times New Roman" w:hAnsi="Times New Roman" w:cs="Times New Roman"/>
    </w:rPr>
  </w:style>
  <w:style w:type="paragraph" w:customStyle="1" w:styleId="xl65">
    <w:name w:val="xl65"/>
    <w:basedOn w:val="Normal"/>
    <w:pPr>
      <w:spacing w:before="100" w:after="100" w:line="240" w:lineRule="auto"/>
      <w:textAlignment w:val="top"/>
    </w:pPr>
    <w:rPr>
      <w:rFonts w:ascii="Times New Roman" w:eastAsia="Times New Roman" w:hAnsi="Times New Roman" w:cs="Times New Roman"/>
    </w:rPr>
  </w:style>
  <w:style w:type="paragraph" w:customStyle="1" w:styleId="xl66">
    <w:name w:val="xl66"/>
    <w:basedOn w:val="Normal"/>
    <w:pPr>
      <w:spacing w:before="100" w:after="100" w:line="240" w:lineRule="auto"/>
      <w:textAlignment w:val="top"/>
    </w:pPr>
    <w:rPr>
      <w:rFonts w:ascii="Times New Roman" w:eastAsia="Times New Roman" w:hAnsi="Times New Roman" w:cs="Times New Roman"/>
      <w:color w:val="000000"/>
    </w:rPr>
  </w:style>
  <w:style w:type="paragraph" w:customStyle="1" w:styleId="xl67">
    <w:name w:val="xl67"/>
    <w:basedOn w:val="Normal"/>
    <w:pPr>
      <w:spacing w:before="100" w:after="100" w:line="240" w:lineRule="auto"/>
      <w:textAlignment w:val="top"/>
    </w:pPr>
    <w:rPr>
      <w:rFonts w:ascii="Times New Roman" w:eastAsia="Times New Roman" w:hAnsi="Times New Roman" w:cs="Times New Roman"/>
      <w:color w:val="333333"/>
    </w:rPr>
  </w:style>
  <w:style w:type="paragraph" w:customStyle="1" w:styleId="xl68">
    <w:name w:val="xl68"/>
    <w:basedOn w:val="Normal"/>
    <w:pPr>
      <w:spacing w:before="100" w:after="100" w:line="240" w:lineRule="auto"/>
      <w:textAlignment w:val="top"/>
    </w:pPr>
    <w:rPr>
      <w:rFonts w:ascii="Times New Roman" w:eastAsia="Times New Roman" w:hAnsi="Times New Roman" w:cs="Times New Roman"/>
      <w:color w:val="1F1F1F"/>
    </w:rPr>
  </w:style>
  <w:style w:type="paragraph" w:customStyle="1" w:styleId="xl69">
    <w:name w:val="xl69"/>
    <w:basedOn w:val="Normal"/>
    <w:pPr>
      <w:spacing w:before="100" w:after="100" w:line="240" w:lineRule="auto"/>
      <w:textAlignment w:val="top"/>
    </w:pPr>
    <w:rPr>
      <w:rFonts w:ascii="Times New Roman" w:eastAsia="Times New Roman" w:hAnsi="Times New Roman" w:cs="Times New Roman"/>
      <w:color w:val="000000"/>
    </w:rPr>
  </w:style>
  <w:style w:type="paragraph" w:customStyle="1" w:styleId="xl70">
    <w:name w:val="xl70"/>
    <w:basedOn w:val="Normal"/>
    <w:pPr>
      <w:spacing w:before="100" w:after="100" w:line="240" w:lineRule="auto"/>
      <w:textAlignment w:val="top"/>
    </w:pPr>
    <w:rPr>
      <w:rFonts w:ascii="Times New Roman" w:eastAsia="Times New Roman" w:hAnsi="Times New Roman" w:cs="Times New Roman"/>
      <w:color w:val="242424"/>
    </w:rPr>
  </w:style>
  <w:style w:type="paragraph" w:customStyle="1" w:styleId="xl71">
    <w:name w:val="xl71"/>
    <w:basedOn w:val="Normal"/>
    <w:pPr>
      <w:spacing w:before="100" w:after="100" w:line="240" w:lineRule="auto"/>
      <w:textAlignment w:val="center"/>
    </w:pPr>
    <w:rPr>
      <w:rFonts w:ascii="Times New Roman" w:eastAsia="Times New Roman" w:hAnsi="Times New Roman" w:cs="Times New Roman"/>
    </w:rPr>
  </w:style>
  <w:style w:type="paragraph" w:customStyle="1" w:styleId="xl72">
    <w:name w:val="xl72"/>
    <w:basedOn w:val="Normal"/>
    <w:pPr>
      <w:spacing w:before="100" w:after="100" w:line="240" w:lineRule="auto"/>
      <w:textAlignment w:val="center"/>
    </w:pPr>
    <w:rPr>
      <w:rFonts w:ascii="Times New Roman" w:eastAsia="Times New Roman" w:hAnsi="Times New Roman" w:cs="Times New Roman"/>
    </w:rPr>
  </w:style>
  <w:style w:type="paragraph" w:customStyle="1" w:styleId="xl73">
    <w:name w:val="xl73"/>
    <w:basedOn w:val="Normal"/>
    <w:pPr>
      <w:spacing w:before="100" w:after="100" w:line="240" w:lineRule="auto"/>
      <w:textAlignment w:val="top"/>
    </w:pPr>
    <w:rPr>
      <w:rFonts w:ascii="Times New Roman" w:eastAsia="Times New Roman" w:hAnsi="Times New Roman" w:cs="Times New Roman"/>
      <w:b/>
      <w:bCs/>
      <w:color w:val="000000"/>
    </w:rPr>
  </w:style>
  <w:style w:type="paragraph" w:customStyle="1" w:styleId="xl74">
    <w:name w:val="xl74"/>
    <w:basedOn w:val="Normal"/>
    <w:pPr>
      <w:spacing w:before="100" w:after="100" w:line="240" w:lineRule="auto"/>
      <w:textAlignment w:val="top"/>
    </w:pPr>
    <w:rPr>
      <w:rFonts w:ascii="Times New Roman" w:eastAsia="Times New Roman" w:hAnsi="Times New Roman" w:cs="Times New Roman"/>
    </w:rPr>
  </w:style>
  <w:style w:type="paragraph" w:customStyle="1" w:styleId="xl75">
    <w:name w:val="xl75"/>
    <w:basedOn w:val="Normal"/>
    <w:pPr>
      <w:spacing w:before="100" w:after="100" w:line="240" w:lineRule="auto"/>
      <w:textAlignment w:val="top"/>
    </w:pPr>
    <w:rPr>
      <w:rFonts w:ascii="Times New Roman" w:eastAsia="Times New Roman" w:hAnsi="Times New Roman" w:cs="Times New Roman"/>
    </w:rPr>
  </w:style>
  <w:style w:type="paragraph" w:customStyle="1" w:styleId="xl76">
    <w:name w:val="xl76"/>
    <w:basedOn w:val="Normal"/>
    <w:pPr>
      <w:spacing w:before="100" w:after="100" w:line="240" w:lineRule="auto"/>
      <w:textAlignment w:val="top"/>
    </w:pPr>
    <w:rPr>
      <w:rFonts w:ascii="Times New Roman" w:eastAsia="Times New Roman" w:hAnsi="Times New Roman" w:cs="Times New Roman"/>
      <w:color w:val="222222"/>
    </w:rPr>
  </w:style>
  <w:style w:type="paragraph" w:customStyle="1" w:styleId="xl77">
    <w:name w:val="xl77"/>
    <w:basedOn w:val="Normal"/>
    <w:pPr>
      <w:spacing w:before="100" w:after="100" w:line="240" w:lineRule="auto"/>
      <w:textAlignment w:val="top"/>
    </w:pPr>
    <w:rPr>
      <w:rFonts w:ascii="Aptos Narrow" w:eastAsia="Times New Roman" w:hAnsi="Aptos Narrow" w:cs="Times New Roman"/>
      <w:b/>
      <w:bCs/>
    </w:rPr>
  </w:style>
  <w:style w:type="paragraph" w:customStyle="1" w:styleId="xl78">
    <w:name w:val="xl78"/>
    <w:basedOn w:val="Normal"/>
    <w:pPr>
      <w:spacing w:before="100" w:after="100" w:line="240" w:lineRule="auto"/>
      <w:textAlignment w:val="top"/>
    </w:pPr>
    <w:rPr>
      <w:rFonts w:ascii="Times New Roman" w:eastAsia="Times New Roman" w:hAnsi="Times New Roman" w:cs="Times New Roman"/>
    </w:rPr>
  </w:style>
  <w:style w:type="paragraph" w:customStyle="1" w:styleId="xl79">
    <w:name w:val="xl79"/>
    <w:basedOn w:val="Normal"/>
    <w:pPr>
      <w:spacing w:before="100" w:after="100" w:line="240" w:lineRule="auto"/>
      <w:textAlignment w:val="top"/>
    </w:pPr>
    <w:rPr>
      <w:rFonts w:ascii="Times New Roman" w:eastAsia="Times New Roman" w:hAnsi="Times New Roman" w:cs="Times New Roman"/>
      <w:b/>
      <w:bCs/>
      <w:color w:val="000000"/>
    </w:rPr>
  </w:style>
  <w:style w:type="paragraph" w:customStyle="1" w:styleId="xl80">
    <w:name w:val="xl80"/>
    <w:basedOn w:val="Normal"/>
    <w:pPr>
      <w:spacing w:before="100" w:after="100" w:line="240" w:lineRule="auto"/>
      <w:textAlignment w:val="top"/>
    </w:pPr>
    <w:rPr>
      <w:rFonts w:ascii="Times New Roman" w:eastAsia="Times New Roman" w:hAnsi="Times New Roman" w:cs="Times New Roman"/>
      <w:color w:val="000000"/>
    </w:rPr>
  </w:style>
  <w:style w:type="paragraph" w:customStyle="1" w:styleId="xl81">
    <w:name w:val="xl81"/>
    <w:basedOn w:val="Normal"/>
    <w:pPr>
      <w:spacing w:before="100" w:after="100" w:line="240" w:lineRule="auto"/>
      <w:textAlignment w:val="top"/>
    </w:pPr>
    <w:rPr>
      <w:rFonts w:ascii="Times New Roman" w:eastAsia="Times New Roman" w:hAnsi="Times New Roman" w:cs="Times New Roman"/>
    </w:rPr>
  </w:style>
  <w:style w:type="paragraph" w:customStyle="1" w:styleId="xl82">
    <w:name w:val="xl82"/>
    <w:basedOn w:val="Normal"/>
    <w:pPr>
      <w:spacing w:before="100" w:after="100" w:line="240" w:lineRule="auto"/>
      <w:textAlignment w:val="top"/>
    </w:pPr>
    <w:rPr>
      <w:rFonts w:ascii="Times New Roman" w:eastAsia="Times New Roman" w:hAnsi="Times New Roman" w:cs="Times New Roman"/>
    </w:rPr>
  </w:style>
  <w:style w:type="paragraph" w:customStyle="1" w:styleId="xl83">
    <w:name w:val="xl83"/>
    <w:basedOn w:val="Normal"/>
    <w:pPr>
      <w:spacing w:before="100" w:after="100" w:line="240" w:lineRule="auto"/>
      <w:textAlignment w:val="top"/>
    </w:pPr>
    <w:rPr>
      <w:rFonts w:ascii="Times New Roman" w:eastAsia="Times New Roman" w:hAnsi="Times New Roman" w:cs="Times New Roman"/>
    </w:rPr>
  </w:style>
  <w:style w:type="paragraph" w:styleId="HTMLPreformatted">
    <w:name w:val="HTML Preformatted"/>
    <w:basedOn w:val="Normal"/>
    <w:pPr>
      <w:spacing w:after="0" w:line="240" w:lineRule="auto"/>
    </w:pPr>
    <w:rPr>
      <w:rFonts w:ascii="Consolas" w:hAnsi="Consolas"/>
      <w:sz w:val="20"/>
      <w:szCs w:val="20"/>
    </w:rPr>
  </w:style>
  <w:style w:type="character" w:customStyle="1" w:styleId="HTMLPreformattedChar">
    <w:name w:val="HTML Preformatted Char"/>
    <w:basedOn w:val="DefaultParagraphFont"/>
    <w:rPr>
      <w:rFonts w:ascii="Consolas" w:eastAsia="MS Mincho" w:hAnsi="Consolas" w:cs="Arial"/>
      <w:sz w:val="20"/>
      <w:szCs w:val="20"/>
    </w:rPr>
  </w:style>
  <w:style w:type="character" w:customStyle="1" w:styleId="Heading2Char">
    <w:name w:val="Heading 2 Char"/>
    <w:basedOn w:val="DefaultParagraphFont"/>
    <w:rPr>
      <w:rFonts w:ascii="Aptos Display" w:eastAsia="MS Gothic" w:hAnsi="Aptos Display" w:cs="Times New Roman"/>
      <w:color w:val="0F4761"/>
      <w:kern w:val="3"/>
      <w:sz w:val="32"/>
      <w:szCs w:val="32"/>
      <w:lang w:eastAsia="en-US"/>
    </w:rPr>
  </w:style>
  <w:style w:type="character" w:customStyle="1" w:styleId="Heading3Char">
    <w:name w:val="Heading 3 Char"/>
    <w:basedOn w:val="DefaultParagraphFont"/>
    <w:rPr>
      <w:rFonts w:ascii="Aptos" w:eastAsia="MS Gothic" w:hAnsi="Aptos" w:cs="Times New Roman"/>
      <w:color w:val="0F4761"/>
      <w:kern w:val="3"/>
      <w:sz w:val="28"/>
      <w:szCs w:val="28"/>
      <w:lang w:eastAsia="en-US"/>
    </w:rPr>
  </w:style>
  <w:style w:type="character" w:customStyle="1" w:styleId="Heading4Char">
    <w:name w:val="Heading 4 Char"/>
    <w:basedOn w:val="DefaultParagraphFont"/>
    <w:rPr>
      <w:rFonts w:ascii="Aptos" w:eastAsia="MS Gothic" w:hAnsi="Aptos" w:cs="Times New Roman"/>
      <w:i/>
      <w:iCs/>
      <w:color w:val="0F4761"/>
      <w:kern w:val="3"/>
      <w:lang w:eastAsia="en-US"/>
    </w:rPr>
  </w:style>
  <w:style w:type="character" w:customStyle="1" w:styleId="Heading5Char">
    <w:name w:val="Heading 5 Char"/>
    <w:basedOn w:val="DefaultParagraphFont"/>
    <w:rPr>
      <w:rFonts w:ascii="Aptos" w:eastAsia="MS Gothic" w:hAnsi="Aptos" w:cs="Times New Roman"/>
      <w:color w:val="0F4761"/>
      <w:kern w:val="3"/>
      <w:lang w:eastAsia="en-US"/>
    </w:rPr>
  </w:style>
  <w:style w:type="character" w:customStyle="1" w:styleId="Heading6Char">
    <w:name w:val="Heading 6 Char"/>
    <w:basedOn w:val="DefaultParagraphFont"/>
    <w:rPr>
      <w:rFonts w:ascii="Aptos" w:eastAsia="MS Gothic" w:hAnsi="Aptos" w:cs="Times New Roman"/>
      <w:i/>
      <w:iCs/>
      <w:color w:val="595959"/>
      <w:kern w:val="3"/>
      <w:lang w:eastAsia="en-US"/>
    </w:rPr>
  </w:style>
  <w:style w:type="character" w:customStyle="1" w:styleId="Heading7Char">
    <w:name w:val="Heading 7 Char"/>
    <w:basedOn w:val="DefaultParagraphFont"/>
    <w:rPr>
      <w:rFonts w:ascii="Aptos" w:eastAsia="MS Gothic" w:hAnsi="Aptos" w:cs="Times New Roman"/>
      <w:color w:val="595959"/>
      <w:kern w:val="3"/>
      <w:lang w:eastAsia="en-US"/>
    </w:rPr>
  </w:style>
  <w:style w:type="character" w:customStyle="1" w:styleId="Heading8Char">
    <w:name w:val="Heading 8 Char"/>
    <w:basedOn w:val="DefaultParagraphFont"/>
    <w:rPr>
      <w:rFonts w:ascii="Aptos" w:eastAsia="MS Gothic" w:hAnsi="Aptos" w:cs="Times New Roman"/>
      <w:i/>
      <w:iCs/>
      <w:color w:val="272727"/>
      <w:kern w:val="3"/>
      <w:lang w:eastAsia="en-US"/>
    </w:rPr>
  </w:style>
  <w:style w:type="character" w:customStyle="1" w:styleId="Heading9Char">
    <w:name w:val="Heading 9 Char"/>
    <w:basedOn w:val="DefaultParagraphFont"/>
    <w:rPr>
      <w:rFonts w:ascii="Aptos" w:eastAsia="MS Gothic" w:hAnsi="Aptos" w:cs="Times New Roman"/>
      <w:color w:val="272727"/>
      <w:kern w:val="3"/>
      <w:lang w:eastAsia="en-US"/>
    </w:rPr>
  </w:style>
  <w:style w:type="paragraph" w:styleId="Title">
    <w:name w:val="Title"/>
    <w:basedOn w:val="Normal"/>
    <w:next w:val="Normal"/>
    <w:uiPriority w:val="10"/>
    <w:qFormat/>
    <w:pPr>
      <w:spacing w:after="80" w:line="240" w:lineRule="auto"/>
    </w:pPr>
    <w:rPr>
      <w:rFonts w:ascii="Aptos Display" w:eastAsia="MS Gothic" w:hAnsi="Aptos Display" w:cs="Times New Roman"/>
      <w:spacing w:val="-10"/>
      <w:kern w:val="3"/>
      <w:sz w:val="56"/>
      <w:szCs w:val="56"/>
      <w:lang w:eastAsia="en-US"/>
    </w:rPr>
  </w:style>
  <w:style w:type="character" w:customStyle="1" w:styleId="TitleChar">
    <w:name w:val="Title Char"/>
    <w:basedOn w:val="DefaultParagraphFont"/>
    <w:rPr>
      <w:rFonts w:ascii="Aptos Display" w:eastAsia="MS Gothic" w:hAnsi="Aptos Display" w:cs="Times New Roman"/>
      <w:spacing w:val="-10"/>
      <w:kern w:val="3"/>
      <w:sz w:val="56"/>
      <w:szCs w:val="56"/>
      <w:lang w:eastAsia="en-US"/>
    </w:rPr>
  </w:style>
  <w:style w:type="paragraph" w:styleId="Subtitle">
    <w:name w:val="Subtitle"/>
    <w:basedOn w:val="Normal"/>
    <w:next w:val="Normal"/>
    <w:uiPriority w:val="11"/>
    <w:qFormat/>
    <w:rPr>
      <w:rFonts w:eastAsia="MS Gothic" w:cs="Times New Roman"/>
      <w:color w:val="595959"/>
      <w:spacing w:val="15"/>
      <w:kern w:val="3"/>
      <w:sz w:val="28"/>
      <w:szCs w:val="28"/>
      <w:lang w:eastAsia="en-US"/>
    </w:rPr>
  </w:style>
  <w:style w:type="character" w:customStyle="1" w:styleId="SubtitleChar">
    <w:name w:val="Subtitle Char"/>
    <w:basedOn w:val="DefaultParagraphFont"/>
    <w:rPr>
      <w:rFonts w:ascii="Aptos" w:eastAsia="MS Gothic" w:hAnsi="Aptos" w:cs="Times New Roman"/>
      <w:color w:val="595959"/>
      <w:spacing w:val="15"/>
      <w:kern w:val="3"/>
      <w:sz w:val="28"/>
      <w:szCs w:val="28"/>
      <w:lang w:eastAsia="en-US"/>
    </w:rPr>
  </w:style>
  <w:style w:type="paragraph" w:styleId="Quote">
    <w:name w:val="Quote"/>
    <w:basedOn w:val="Normal"/>
    <w:next w:val="Normal"/>
    <w:pPr>
      <w:spacing w:before="160"/>
      <w:jc w:val="center"/>
    </w:pPr>
    <w:rPr>
      <w:rFonts w:eastAsia="Aptos"/>
      <w:i/>
      <w:iCs/>
      <w:color w:val="404040"/>
      <w:kern w:val="3"/>
      <w:lang w:eastAsia="en-US"/>
    </w:rPr>
  </w:style>
  <w:style w:type="character" w:customStyle="1" w:styleId="QuoteChar">
    <w:name w:val="Quote Char"/>
    <w:basedOn w:val="DefaultParagraphFont"/>
    <w:rPr>
      <w:rFonts w:ascii="Aptos" w:eastAsia="Aptos" w:hAnsi="Aptos" w:cs="Arial"/>
      <w:i/>
      <w:iCs/>
      <w:color w:val="404040"/>
      <w:kern w:val="3"/>
      <w:lang w:eastAsia="en-US"/>
    </w:r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rFonts w:eastAsia="Aptos"/>
      <w:i/>
      <w:iCs/>
      <w:color w:val="0F4761"/>
      <w:kern w:val="3"/>
      <w:lang w:eastAsia="en-US"/>
    </w:rPr>
  </w:style>
  <w:style w:type="character" w:customStyle="1" w:styleId="IntenseQuoteChar">
    <w:name w:val="Intense Quote Char"/>
    <w:basedOn w:val="DefaultParagraphFont"/>
    <w:rPr>
      <w:rFonts w:ascii="Aptos" w:eastAsia="Aptos" w:hAnsi="Aptos" w:cs="Arial"/>
      <w:i/>
      <w:iCs/>
      <w:color w:val="0F4761"/>
      <w:kern w:val="3"/>
      <w:lang w:eastAsia="en-US"/>
    </w:rPr>
  </w:style>
  <w:style w:type="character" w:styleId="IntenseReference">
    <w:name w:val="Intense Reference"/>
    <w:basedOn w:val="DefaultParagraphFont"/>
    <w:rPr>
      <w:b/>
      <w:bCs/>
      <w:smallCaps/>
      <w:color w:val="0F4761"/>
      <w:spacing w:val="5"/>
    </w:rPr>
  </w:style>
  <w:style w:type="paragraph" w:customStyle="1" w:styleId="CommentText1">
    <w:name w:val="Comment Text1"/>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Revision">
    <w:name w:val="Revision"/>
    <w:pPr>
      <w:suppressAutoHyphens/>
      <w:spacing w:after="0" w:line="240" w:lineRule="auto"/>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2"/>
    <w:uiPriority w:val="99"/>
    <w:pPr>
      <w:spacing w:line="240" w:lineRule="auto"/>
    </w:pPr>
    <w:rPr>
      <w:sz w:val="20"/>
      <w:szCs w:val="20"/>
    </w:rPr>
  </w:style>
  <w:style w:type="character" w:customStyle="1" w:styleId="CommentTextChar1">
    <w:name w:val="Comment Text Char1"/>
    <w:basedOn w:val="DefaultParagraphFont"/>
    <w:rPr>
      <w:rFonts w:ascii="Aptos" w:eastAsia="MS Mincho" w:hAnsi="Aptos" w:cs="Arial"/>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1"/>
    <w:rPr>
      <w:rFonts w:ascii="Aptos" w:eastAsia="MS Mincho" w:hAnsi="Aptos" w:cs="Arial"/>
      <w:b/>
      <w:bCs/>
      <w:sz w:val="20"/>
      <w:szCs w:val="20"/>
    </w:rPr>
  </w:style>
  <w:style w:type="paragraph" w:styleId="FootnoteText">
    <w:name w:val="footnote text"/>
    <w:basedOn w:val="Normal"/>
    <w:link w:val="FootnoteTextChar"/>
    <w:uiPriority w:val="99"/>
    <w:semiHidden/>
    <w:unhideWhenUsed/>
    <w:rsid w:val="00115A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5AB1"/>
    <w:rPr>
      <w:sz w:val="20"/>
      <w:szCs w:val="20"/>
    </w:rPr>
  </w:style>
  <w:style w:type="character" w:styleId="FootnoteReference">
    <w:name w:val="footnote reference"/>
    <w:basedOn w:val="DefaultParagraphFont"/>
    <w:uiPriority w:val="99"/>
    <w:semiHidden/>
    <w:unhideWhenUsed/>
    <w:rsid w:val="00115AB1"/>
    <w:rPr>
      <w:vertAlign w:val="superscript"/>
    </w:rPr>
  </w:style>
  <w:style w:type="character" w:customStyle="1" w:styleId="CommentReference2">
    <w:name w:val="Comment Reference2"/>
    <w:basedOn w:val="DefaultParagraphFont"/>
    <w:rsid w:val="00263875"/>
    <w:rPr>
      <w:sz w:val="16"/>
      <w:szCs w:val="16"/>
    </w:rPr>
  </w:style>
  <w:style w:type="character" w:customStyle="1" w:styleId="CommentTextChar2">
    <w:name w:val="Comment Text Char2"/>
    <w:basedOn w:val="DefaultParagraphFont"/>
    <w:link w:val="CommentText"/>
    <w:uiPriority w:val="99"/>
    <w:rsid w:val="0026387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783384">
      <w:marLeft w:val="0"/>
      <w:marRight w:val="0"/>
      <w:marTop w:val="0"/>
      <w:marBottom w:val="0"/>
      <w:divBdr>
        <w:top w:val="none" w:sz="0" w:space="0" w:color="auto"/>
        <w:left w:val="none" w:sz="0" w:space="0" w:color="auto"/>
        <w:bottom w:val="none" w:sz="0" w:space="0" w:color="auto"/>
        <w:right w:val="none" w:sz="0" w:space="0" w:color="auto"/>
      </w:divBdr>
    </w:div>
    <w:div w:id="1054082850">
      <w:marLeft w:val="0"/>
      <w:marRight w:val="0"/>
      <w:marTop w:val="0"/>
      <w:marBottom w:val="0"/>
      <w:divBdr>
        <w:top w:val="none" w:sz="0" w:space="0" w:color="auto"/>
        <w:left w:val="none" w:sz="0" w:space="0" w:color="auto"/>
        <w:bottom w:val="none" w:sz="0" w:space="0" w:color="auto"/>
        <w:right w:val="none" w:sz="0" w:space="0" w:color="auto"/>
      </w:divBdr>
    </w:div>
    <w:div w:id="1134641829">
      <w:marLeft w:val="0"/>
      <w:marRight w:val="0"/>
      <w:marTop w:val="0"/>
      <w:marBottom w:val="0"/>
      <w:divBdr>
        <w:top w:val="none" w:sz="0" w:space="0" w:color="auto"/>
        <w:left w:val="none" w:sz="0" w:space="0" w:color="auto"/>
        <w:bottom w:val="none" w:sz="0" w:space="0" w:color="auto"/>
        <w:right w:val="none" w:sz="0" w:space="0" w:color="auto"/>
      </w:divBdr>
    </w:div>
    <w:div w:id="1288241177">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itlab.uliege.be/poc/mb-meta-analysis"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hyperlink" Target="https://osf.io/js7ag/overview"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itlab.uliege.be/poc/mb-meta-analysis"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sf.io/js7ag/overview"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zotero.org/" TargetMode="External"/><Relationship Id="rId23" Type="http://schemas.openxmlformats.org/officeDocument/2006/relationships/hyperlink" Target="https://gitlab.uliege.be/poc/mb-meta-analysis" TargetMode="External"/><Relationship Id="rId10" Type="http://schemas.openxmlformats.org/officeDocument/2006/relationships/hyperlink" Target="mailto:a.demertzi@uliege.be" TargetMode="Externa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doi.org/10.58119/ULG/ESYDU2"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E1A47BF1A27145902E61DBFD23FB92" ma:contentTypeVersion="3" ma:contentTypeDescription="Crée un document." ma:contentTypeScope="" ma:versionID="3379ad0a0d48f80d64d80de05a0f8253">
  <xsd:schema xmlns:xsd="http://www.w3.org/2001/XMLSchema" xmlns:xs="http://www.w3.org/2001/XMLSchema" xmlns:p="http://schemas.microsoft.com/office/2006/metadata/properties" xmlns:ns2="9053cdab-4589-48ec-8c06-3045da27a9c2" targetNamespace="http://schemas.microsoft.com/office/2006/metadata/properties" ma:root="true" ma:fieldsID="8f07f06a26ecd1eac0630ba565337f6a" ns2:_="">
    <xsd:import namespace="9053cdab-4589-48ec-8c06-3045da27a9c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3cdab-4589-48ec-8c06-3045da27a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A2BCA8-D76B-492F-9BF5-289F299D0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53cdab-4589-48ec-8c06-3045da27a9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E67B87-2FD7-4AC8-8DF3-25584E719327}">
  <ds:schemaRefs>
    <ds:schemaRef ds:uri="http://schemas.openxmlformats.org/officeDocument/2006/bibliography"/>
  </ds:schemaRefs>
</ds:datastoreItem>
</file>

<file path=customXml/itemProps3.xml><?xml version="1.0" encoding="utf-8"?>
<ds:datastoreItem xmlns:ds="http://schemas.openxmlformats.org/officeDocument/2006/customXml" ds:itemID="{A1FF03D6-2D94-4E48-A808-833822FA2DCD}">
  <ds:schemaRefs>
    <ds:schemaRef ds:uri="http://schemas.microsoft.com/sharepoint/v3/contenttype/forms"/>
  </ds:schemaRefs>
</ds:datastoreItem>
</file>

<file path=customXml/itemProps4.xml><?xml version="1.0" encoding="utf-8"?>
<ds:datastoreItem xmlns:ds="http://schemas.openxmlformats.org/officeDocument/2006/customXml" ds:itemID="{215E4B81-1BEE-41CE-9C52-B808BE86FA1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44</Pages>
  <Words>110718</Words>
  <Characters>631096</Characters>
  <Application>Microsoft Office Word</Application>
  <DocSecurity>0</DocSecurity>
  <Lines>5259</Lines>
  <Paragraphs>1480</Paragraphs>
  <ScaleCrop>false</ScaleCrop>
  <Company/>
  <LinksUpToDate>false</LinksUpToDate>
  <CharactersWithSpaces>740334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Boulakis Paradeisios Alexandros</dc:creator>
  <dc:description/>
  <cp:lastModifiedBy>Boulakis Paradeisios Alexandros</cp:lastModifiedBy>
  <cp:revision>104</cp:revision>
  <dcterms:created xsi:type="dcterms:W3CDTF">2026-05-04T08:12:00Z</dcterms:created>
  <dcterms:modified xsi:type="dcterms:W3CDTF">2026-05-28T07:38:00Z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0x01010015E1A47BF1A27145902E61DBFD23FB92</vt:lpwstr>
  </property>
  <property fmtid="{D5CDD505-2E9C-101B-9397-08002B2CF9AE}" pid="3" name="GrammarlyDocumentId">
    <vt:lpwstr>d66e634a-14c0-4f0d-8f2d-1d1ab9aee4b5</vt:lpwstr>
  </property>
  <property fmtid="{D5CDD505-2E9C-101B-9397-08002B2CF9AE}" pid="4" name="ZOTERO_PREF_2">
    <vt:lpwstr>lAbbreviations" value="true"/&gt;&lt;pref name="delayCitationUpdates" value="true"/&gt;&lt;pref name="dontAskDelayCitationUpdates" value="true"/&gt;&lt;/prefs&gt;&lt;/data&gt;</vt:lpwstr>
  </property>
  <property fmtid="{D5CDD505-2E9C-101B-9397-08002B2CF9AE}" pid="5" name="ZOTERO_PREF_1">
    <vt:lpwstr>&lt;data data-version="3" zotero-version="9.0.4"&gt;&lt;session id="GeGrGPJZ"/&gt;&lt;style id="http://www.zotero.org/styles/apa" locale="en-US" hasBibliography="1" bibliographyStyleHasBeenSet="1"/&gt;&lt;prefs&gt;&lt;pref name="fieldType" value="Field"/&gt;&lt;pref name="automaticJourna</vt:lpwstr>
  </property>
</Properties>
</file>