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8CE9D">
      <w:pPr>
        <w:ind w:firstLine="0" w:firstLineChars="0"/>
        <w:jc w:val="center"/>
        <w:rPr>
          <w:rFonts w:hint="eastAsia"/>
          <w:b/>
          <w:bCs/>
        </w:rPr>
      </w:pPr>
      <w:r>
        <w:rPr>
          <w:rFonts w:hint="eastAsia"/>
          <w:b/>
          <w:bCs/>
        </w:rPr>
        <w:t>Effects of Feed Intake-Regulated Nutritional Compensation Strategies on Growth Performance, Blood Indices and Rumen Microbiota of Gangba Sheep</w:t>
      </w:r>
    </w:p>
    <w:p w14:paraId="75CDF9E2">
      <w:pPr>
        <w:ind w:firstLine="0" w:firstLineChars="0"/>
        <w:jc w:val="center"/>
        <w:rPr>
          <w:rFonts w:hint="eastAsia"/>
        </w:rPr>
      </w:pPr>
      <w:r>
        <w:rPr>
          <w:rFonts w:hint="eastAsia"/>
          <w:b/>
          <w:bCs/>
        </w:rPr>
        <w:t>A</w:t>
      </w:r>
      <w:r>
        <w:rPr>
          <w:b/>
          <w:bCs/>
        </w:rPr>
        <w:t>uthor</w:t>
      </w:r>
      <w:r>
        <w:rPr>
          <w:rFonts w:hint="eastAsia"/>
          <w:b/>
          <w:bCs/>
        </w:rPr>
        <w:t xml:space="preserve">: </w:t>
      </w:r>
      <w:r>
        <w:rPr>
          <w:rFonts w:hint="eastAsia"/>
          <w:u w:val="single"/>
        </w:rPr>
        <w:t>Xie Yining</w:t>
      </w:r>
    </w:p>
    <w:p w14:paraId="031B21AC">
      <w:pPr>
        <w:ind w:firstLine="482"/>
        <w:jc w:val="center"/>
        <w:rPr>
          <w:rFonts w:hint="eastAsia"/>
          <w:b/>
          <w:bCs/>
        </w:rPr>
      </w:pPr>
      <w:bookmarkStart w:id="0" w:name="_GoBack"/>
      <w:r>
        <w:rPr>
          <w:b/>
          <w:bCs/>
        </w:rPr>
        <w:t>Abstract</w:t>
      </w:r>
      <w:bookmarkEnd w:id="0"/>
    </w:p>
    <w:p w14:paraId="05E601CD">
      <w:pPr>
        <w:ind w:firstLine="482"/>
        <w:rPr>
          <w:rFonts w:hint="eastAsia"/>
        </w:rPr>
      </w:pPr>
      <w:r>
        <w:rPr>
          <w:b/>
          <w:bCs/>
        </w:rPr>
        <w:t>Introduction:</w:t>
      </w:r>
      <w:r>
        <w:t xml:space="preserve"> Nutritional compensation is an efficient feeding strategy that improves feed utilization and holds potential for Gangba sheep in forage-limited areas of the Qinghai-Tibet Plateau. However, its effects on this indigenous breed remain poorly studied.</w:t>
      </w:r>
    </w:p>
    <w:p w14:paraId="1B689E43">
      <w:pPr>
        <w:ind w:firstLine="482"/>
        <w:rPr>
          <w:rFonts w:hint="eastAsia"/>
        </w:rPr>
      </w:pPr>
      <w:r>
        <w:rPr>
          <w:b/>
          <w:bCs/>
        </w:rPr>
        <w:t>Objectives:</w:t>
      </w:r>
      <w:r>
        <w:t xml:space="preserve"> This study evaluated the effects of feed intake–regulated nutritional compensation affects Gangba sheep’s growth, serum parameters, nutrient digestibility,</w:t>
      </w:r>
      <w:r>
        <w:rPr>
          <w:rFonts w:hint="eastAsia"/>
        </w:rPr>
        <w:t xml:space="preserve"> </w:t>
      </w:r>
      <w:r>
        <w:t>gastrointestinal morphology,</w:t>
      </w:r>
      <w:r>
        <w:rPr>
          <w:rFonts w:hint="eastAsia"/>
          <w:lang w:val="en-US" w:eastAsia="zh-CN"/>
        </w:rPr>
        <w:t xml:space="preserve"> </w:t>
      </w:r>
      <w:r>
        <w:t>and rumen</w:t>
      </w:r>
      <w:r>
        <w:rPr>
          <w:rFonts w:hint="eastAsia"/>
          <w:lang w:val="en-US" w:eastAsia="zh-CN"/>
        </w:rPr>
        <w:t xml:space="preserve"> </w:t>
      </w:r>
      <w:r>
        <w:t>microbial communities</w:t>
      </w:r>
      <w:r>
        <w:rPr>
          <w:rFonts w:hint="eastAsia"/>
        </w:rPr>
        <w:t>.</w:t>
      </w:r>
    </w:p>
    <w:p w14:paraId="1CF5EF64">
      <w:pPr>
        <w:ind w:firstLine="482"/>
        <w:rPr>
          <w:rFonts w:hint="eastAsia"/>
        </w:rPr>
      </w:pPr>
      <w:r>
        <w:rPr>
          <w:b/>
          <w:bCs/>
        </w:rPr>
        <w:t>Methods:</w:t>
      </w:r>
      <w:r>
        <w:t xml:space="preserve"> Ninety-six male lambs were randomly assigned to four feeding groups: ad libitum (ALF), low restriction (LRF, 85% of ALF), medium restriction (MRF, 70% of ALF), and high restriction (HRF, 55% of ALF). The trial included a 30-day restriction, and 60-day compensatory feeding. Feces were collected during the final week of each phase. At the end of each phase, six lambs per group were fasted for 24 hours before blood collection and slaughter, after which rumen fluid, rumen epithelium, and jejunal tissue were sampled for analysis.</w:t>
      </w:r>
    </w:p>
    <w:p w14:paraId="21ED7F49">
      <w:pPr>
        <w:ind w:firstLine="482"/>
        <w:rPr>
          <w:rFonts w:hint="eastAsia"/>
        </w:rPr>
      </w:pPr>
      <w:r>
        <w:rPr>
          <w:b/>
          <w:bCs/>
        </w:rPr>
        <w:t>Results:</w:t>
      </w:r>
      <w:r>
        <w:t xml:space="preserve"> During restriction, increasing feed limitation linearly reduced body weight, average daily feed intake, and average daily gain (</w:t>
      </w:r>
      <w:r>
        <w:rPr>
          <w:i/>
          <w:iCs/>
        </w:rPr>
        <w:t>P</w:t>
      </w:r>
      <w:r>
        <w:t xml:space="preserve"> &lt; 0.05), with HRF showing the highest feed-to-gain ratio (</w:t>
      </w:r>
      <w:r>
        <w:rPr>
          <w:i/>
          <w:iCs/>
        </w:rPr>
        <w:t>P</w:t>
      </w:r>
      <w:r>
        <w:t xml:space="preserve"> &lt; 0.05). </w:t>
      </w:r>
      <w:r>
        <w:rPr>
          <w:rFonts w:hint="eastAsia"/>
        </w:rPr>
        <w:t>During</w:t>
      </w:r>
      <w:r>
        <w:t xml:space="preserve"> compensatory phase, LRF exhibited a lower feed-to-gain ratio (</w:t>
      </w:r>
      <w:r>
        <w:rPr>
          <w:i/>
          <w:iCs/>
        </w:rPr>
        <w:t>P</w:t>
      </w:r>
      <w:r>
        <w:t xml:space="preserve"> &lt; 0.05). Restricted feeding decreased serum total antioxidant capacity and immunoglobulins A and M, but increased malondialdehyde and growth hormone-releasing hormone (</w:t>
      </w:r>
      <w:r>
        <w:rPr>
          <w:i/>
          <w:iCs/>
        </w:rPr>
        <w:t>P</w:t>
      </w:r>
      <w:r>
        <w:t xml:space="preserve"> &lt; 0.05). Apparent digestibility of crude protein and ether extract declined under restriction, whereas crude protein digestibility improved in LRF and fiber digestibility increased in MRF and HRF during compensation (</w:t>
      </w:r>
      <w:r>
        <w:rPr>
          <w:i/>
          <w:iCs/>
        </w:rPr>
        <w:t>P</w:t>
      </w:r>
      <w:r>
        <w:t xml:space="preserve"> &lt; 0.05). Restricted feeding also reduced rumen papillae and jejunal villus height, volatile fatty acids, and enzyme activities, accompanied by decreased microbial diversity; compensatory feeding partially restored fermentation and structural functions.</w:t>
      </w:r>
    </w:p>
    <w:p w14:paraId="2F38D096">
      <w:pPr>
        <w:ind w:firstLine="482"/>
      </w:pPr>
      <w:r>
        <w:rPr>
          <w:b/>
          <w:bCs/>
        </w:rPr>
        <w:t>Conclusion:</w:t>
      </w:r>
      <w:r>
        <w:t xml:space="preserve"> Moderate restriction at 85% of ad libitum intake enhances feed efficiency, maintains physiological balance, and supports sustainable production of Gangba sheep in high-altitude regions.</w:t>
      </w:r>
    </w:p>
    <w:p w14:paraId="132632D3">
      <w:pPr>
        <w:ind w:firstLine="0" w:firstLineChars="0"/>
        <w:rPr>
          <w:rFonts w:hint="eastAsia"/>
        </w:rPr>
      </w:pPr>
      <w:r>
        <w:rPr>
          <w:rFonts w:hint="eastAsia"/>
          <w:b/>
          <w:bCs/>
        </w:rPr>
        <w:t>Keywords:</w:t>
      </w:r>
      <w:r>
        <w:rPr>
          <w:rFonts w:hint="eastAsia"/>
        </w:rPr>
        <w:t xml:space="preserve"> Feed restriction, Nutritional compensation, Growth performance, </w:t>
      </w:r>
      <w:r>
        <w:rPr>
          <w:rFonts w:hint="eastAsia"/>
          <w:lang w:val="en-US" w:eastAsia="zh-CN"/>
        </w:rPr>
        <w:t>Serum indexes</w:t>
      </w:r>
      <w:r>
        <w:rPr>
          <w:rFonts w:hint="eastAsia"/>
        </w:rPr>
        <w:t>, Rumen microbiota</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imes New Roman Uni">
    <w:panose1 w:val="02020603050405020304"/>
    <w:charset w:val="86"/>
    <w:family w:val="roman"/>
    <w:pitch w:val="default"/>
    <w:sig w:usb0="B334AAFF" w:usb1="F9FFFFFF" w:usb2="0000003E" w:usb3="00000000" w:csb0="601F01FF" w:csb1="FFFF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4232A">
    <w:pPr>
      <w:pStyle w:val="11"/>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2208F">
    <w:pPr>
      <w:pStyle w:val="11"/>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EFAF6">
    <w:pPr>
      <w:pStyle w:val="11"/>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480"/>
      </w:pPr>
      <w:r>
        <w:separator/>
      </w:r>
    </w:p>
  </w:footnote>
  <w:footnote w:type="continuationSeparator" w:id="1">
    <w:p>
      <w:pPr>
        <w:spacing w:before="0" w:after="0"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F5211">
    <w:pPr>
      <w:pStyle w:val="12"/>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BD159">
    <w:pPr>
      <w:pStyle w:val="12"/>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85EA4">
    <w:pPr>
      <w:pStyle w:val="12"/>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C74"/>
    <w:rsid w:val="00011CAD"/>
    <w:rsid w:val="00063B04"/>
    <w:rsid w:val="000E4C74"/>
    <w:rsid w:val="001359F0"/>
    <w:rsid w:val="003B2C5A"/>
    <w:rsid w:val="00690CD0"/>
    <w:rsid w:val="007C7E28"/>
    <w:rsid w:val="00AA065D"/>
    <w:rsid w:val="00AE6DFA"/>
    <w:rsid w:val="00B47DAF"/>
    <w:rsid w:val="00C97E96"/>
    <w:rsid w:val="00D95442"/>
    <w:rsid w:val="00E82F8C"/>
    <w:rsid w:val="00EE7A64"/>
    <w:rsid w:val="00F17555"/>
    <w:rsid w:val="2F7F6822"/>
    <w:rsid w:val="6E300B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00" w:lineRule="exact"/>
      <w:ind w:firstLine="200" w:firstLineChars="200"/>
      <w:jc w:val="both"/>
    </w:pPr>
    <w:rPr>
      <w:rFonts w:ascii="Times New Roman Uni" w:hAnsi="Times New Roman Uni" w:eastAsia="宋体" w:cstheme="minorBidi"/>
      <w:kern w:val="2"/>
      <w:sz w:val="24"/>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autoRedefine/>
    <w:unhideWhenUsed/>
    <w:qFormat/>
    <w:uiPriority w:val="9"/>
    <w:pPr>
      <w:keepNext/>
      <w:keepLines/>
      <w:spacing w:before="160" w:after="80"/>
      <w:outlineLvl w:val="1"/>
    </w:pPr>
    <w:rPr>
      <w:rFonts w:cstheme="majorBidi"/>
      <w:color w:val="000000" w:themeColor="text1"/>
      <w:szCs w:val="40"/>
      <w14:textFill>
        <w14:solidFill>
          <w14:schemeClr w14:val="tx1"/>
        </w14:solidFill>
      </w14:textFill>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after="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after="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spacing w:after="0"/>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spacing w:after="0"/>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pPr>
    <w:rPr>
      <w:sz w:val="18"/>
      <w:szCs w:val="18"/>
    </w:rPr>
  </w:style>
  <w:style w:type="paragraph" w:styleId="12">
    <w:name w:val="header"/>
    <w:basedOn w:val="1"/>
    <w:link w:val="36"/>
    <w:unhideWhenUsed/>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rPr>
      <w:rFonts w:ascii="Times New Roman" w:hAnsi="Times New Roman" w:cs="Times New Roman"/>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2 字符"/>
    <w:basedOn w:val="17"/>
    <w:link w:val="3"/>
    <w:qFormat/>
    <w:uiPriority w:val="9"/>
    <w:rPr>
      <w:rFonts w:ascii="Times New Roman Uni" w:hAnsi="Times New Roman Uni" w:cstheme="majorBidi"/>
      <w:color w:val="000000" w:themeColor="text1"/>
      <w:sz w:val="24"/>
      <w:szCs w:val="40"/>
      <w14:textFill>
        <w14:solidFill>
          <w14:schemeClr w14:val="tx1"/>
        </w14:solidFill>
      </w14:textFill>
    </w:rPr>
  </w:style>
  <w:style w:type="character" w:customStyle="1" w:styleId="19">
    <w:name w:val="标题 1 字符"/>
    <w:basedOn w:val="17"/>
    <w:link w:val="2"/>
    <w:uiPriority w:val="9"/>
    <w:rPr>
      <w:rFonts w:asciiTheme="majorHAnsi" w:hAnsiTheme="majorHAnsi" w:eastAsiaTheme="majorEastAsia" w:cstheme="majorBidi"/>
      <w:color w:val="104862" w:themeColor="accent1" w:themeShade="BF"/>
      <w:sz w:val="48"/>
      <w:szCs w:val="48"/>
    </w:rPr>
  </w:style>
  <w:style w:type="character" w:customStyle="1" w:styleId="20">
    <w:name w:val="标题 3 字符"/>
    <w:basedOn w:val="17"/>
    <w:link w:val="4"/>
    <w:semiHidden/>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uiPriority w:val="9"/>
    <w:rPr>
      <w:rFonts w:cstheme="majorBidi"/>
      <w:color w:val="104862" w:themeColor="accent1" w:themeShade="BF"/>
      <w:sz w:val="28"/>
      <w:szCs w:val="28"/>
    </w:rPr>
  </w:style>
  <w:style w:type="character" w:customStyle="1" w:styleId="22">
    <w:name w:val="标题 5 字符"/>
    <w:basedOn w:val="17"/>
    <w:link w:val="6"/>
    <w:semiHidden/>
    <w:uiPriority w:val="9"/>
    <w:rPr>
      <w:rFonts w:cstheme="majorBidi"/>
      <w:color w:val="104862" w:themeColor="accent1" w:themeShade="BF"/>
      <w:sz w:val="24"/>
    </w:rPr>
  </w:style>
  <w:style w:type="character" w:customStyle="1" w:styleId="23">
    <w:name w:val="标题 6 字符"/>
    <w:basedOn w:val="17"/>
    <w:link w:val="7"/>
    <w:semiHidden/>
    <w:qFormat/>
    <w:uiPriority w:val="9"/>
    <w:rPr>
      <w:rFonts w:cstheme="majorBidi"/>
      <w:b/>
      <w:bCs/>
      <w:color w:val="104862" w:themeColor="accent1" w:themeShade="BF"/>
      <w:sz w:val="24"/>
    </w:rPr>
  </w:style>
  <w:style w:type="character" w:customStyle="1" w:styleId="24">
    <w:name w:val="标题 7 字符"/>
    <w:basedOn w:val="17"/>
    <w:link w:val="8"/>
    <w:semiHidden/>
    <w:uiPriority w:val="9"/>
    <w:rPr>
      <w:rFonts w:cstheme="majorBidi"/>
      <w:b/>
      <w:bCs/>
      <w:color w:val="595959" w:themeColor="text1" w:themeTint="A6"/>
      <w:sz w:val="24"/>
      <w14:textFill>
        <w14:solidFill>
          <w14:schemeClr w14:val="tx1">
            <w14:lumMod w14:val="65000"/>
            <w14:lumOff w14:val="35000"/>
          </w14:schemeClr>
        </w14:solidFill>
      </w14:textFill>
    </w:rPr>
  </w:style>
  <w:style w:type="character" w:customStyle="1" w:styleId="25">
    <w:name w:val="标题 8 字符"/>
    <w:basedOn w:val="17"/>
    <w:link w:val="9"/>
    <w:semiHidden/>
    <w:uiPriority w:val="9"/>
    <w:rPr>
      <w:rFonts w:cstheme="majorBidi"/>
      <w:color w:val="595959" w:themeColor="text1" w:themeTint="A6"/>
      <w:sz w:val="24"/>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sz w:val="24"/>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uiPriority w:val="29"/>
    <w:rPr>
      <w:rFonts w:ascii="Times New Roman Uni" w:hAnsi="Times New Roman Uni" w:eastAsia="宋体"/>
      <w:i/>
      <w:iCs/>
      <w:color w:val="404040" w:themeColor="text1" w:themeTint="BF"/>
      <w:sz w:val="24"/>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uiPriority w:val="30"/>
    <w:rPr>
      <w:rFonts w:ascii="Times New Roman Uni" w:hAnsi="Times New Roman Uni" w:eastAsia="宋体"/>
      <w:i/>
      <w:iCs/>
      <w:color w:val="104862" w:themeColor="accent1" w:themeShade="BF"/>
      <w:sz w:val="24"/>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uiPriority w:val="99"/>
    <w:rPr>
      <w:rFonts w:ascii="Times New Roman Uni" w:hAnsi="Times New Roman Uni" w:eastAsia="宋体"/>
      <w:sz w:val="18"/>
      <w:szCs w:val="18"/>
    </w:rPr>
  </w:style>
  <w:style w:type="character" w:customStyle="1" w:styleId="37">
    <w:name w:val="页脚 字符"/>
    <w:basedOn w:val="17"/>
    <w:link w:val="11"/>
    <w:uiPriority w:val="99"/>
    <w:rPr>
      <w:rFonts w:ascii="Times New Roman Uni" w:hAnsi="Times New Roman Uni" w:eastAsia="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2</Pages>
  <Words>333</Words>
  <Characters>2100</Characters>
  <Lines>17</Lines>
  <Paragraphs>4</Paragraphs>
  <TotalTime>17</TotalTime>
  <ScaleCrop>false</ScaleCrop>
  <LinksUpToDate>false</LinksUpToDate>
  <CharactersWithSpaces>2420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2025-10-09T18:07:00Z</dcterms:created>
  <dc:creator>乙宁 谢</dc:creator>
  <cp:lastModifiedBy>漠郎</cp:lastModifiedBy>
  <cp:lastPrinted>2025-10-09T18:59:00Z</cp:lastPrinted>
  <dcterms:modified xsi:type="dcterms:W3CDTF">2025-10-09T19:20:39Z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eyJoZGlkIjoiMGEwMTJhYzRlM2IyN2IyZDE1NTIzZDRiMWIxYWUyNzkiLCJ1c2VySWQiOiI0MjIxNjU0NDYifQ==</vt:lpwstr>
  </property>
  <property fmtid="{D5CDD505-2E9C-101B-9397-08002B2CF9AE}" pid="3" name="KSOProductBuildVer">
    <vt:lpwstr>2052-12.1.0.22529</vt:lpwstr>
  </property>
  <property fmtid="{D5CDD505-2E9C-101B-9397-08002B2CF9AE}" pid="4" name="ICV">
    <vt:lpwstr>74800790831441EBA17747E77563A52A_12</vt:lpwstr>
  </property>
</Properties>
</file>