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wmf" ContentType="image/x-wmf"/>
  <Override PartName="/word/media/image3.jpeg" ContentType="image/jpeg"/>
  <Override PartName="/word/media/image4.png" ContentType="image/png"/>
  <Override PartName="/word/media/image5.jpeg" ContentType="image/jpeg"/>
  <Override PartName="/word/media/image6.jpeg" ContentType="image/jpeg"/>
  <Override PartName="/word/media/image7.jpeg" ContentType="image/jpeg"/>
  <Override PartName="/word/fonts/font13.odttf" ContentType="application/vnd.openxmlformats-officedocument.obfuscatedFont"/>
  <Override PartName="/word/fonts/font12.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360" w:after="80"/>
        <w:rPr>
          <w:rFonts w:ascii="Times New Roman" w:hAnsi="Times New Roman" w:eastAsia="Times New Roman" w:cs="Times New Roman"/>
          <w:b/>
          <w:b/>
          <w:sz w:val="40"/>
          <w:szCs w:val="40"/>
          <w:lang w:val="en-US"/>
        </w:rPr>
      </w:pPr>
      <w:r>
        <w:rPr>
          <w:rFonts w:eastAsia="Times New Roman" w:cs="Times New Roman" w:ascii="Times New Roman" w:hAnsi="Times New Roman"/>
          <w:b/>
          <w:sz w:val="40"/>
          <w:szCs w:val="40"/>
          <w:lang w:val="en-US"/>
        </w:rPr>
        <w:t xml:space="preserve">Materials and methods </w:t>
      </w:r>
    </w:p>
    <w:p>
      <w:pPr>
        <w:pStyle w:val="Normal"/>
        <w:spacing w:before="0" w:after="240"/>
        <w:rPr>
          <w:sz w:val="24"/>
          <w:szCs w:val="24"/>
          <w:lang w:val="en-US"/>
        </w:rPr>
      </w:pPr>
      <w:r>
        <w:rPr>
          <w:rFonts w:eastAsia="Times New Roman" w:cs="Times New Roman" w:ascii="Times New Roman" w:hAnsi="Times New Roman"/>
          <w:b/>
          <w:lang w:val="en-US"/>
        </w:rPr>
        <w:t>Inference of SQR-I orthologous sequences</w:t>
      </w:r>
    </w:p>
    <w:p>
      <w:pPr>
        <w:pStyle w:val="Normal"/>
        <w:spacing w:before="240" w:after="240"/>
        <w:jc w:val="both"/>
        <w:rPr>
          <w:rFonts w:ascii="Times New Roman" w:hAnsi="Times New Roman" w:eastAsia="Times New Roman" w:cs="Times New Roman"/>
          <w:lang w:val="nl-BE"/>
        </w:rPr>
      </w:pPr>
      <w:r>
        <w:rPr>
          <w:rFonts w:eastAsia="Times New Roman" w:cs="Times New Roman" w:ascii="Times New Roman" w:hAnsi="Times New Roman"/>
          <w:lang w:val="en-US"/>
        </w:rPr>
        <w:t xml:space="preserve">We used OrthoFinder v2.5.5 (1) to identify the orthologous group corresponding to the SQR-I sequence. </w:t>
      </w:r>
      <w:r>
        <w:rPr>
          <w:rFonts w:eastAsia="Times New Roman" w:cs="Times New Roman" w:ascii="Times New Roman" w:hAnsi="Times New Roman"/>
          <w:lang w:val="nl-BE"/>
        </w:rPr>
        <w:t>To work around OrthoFinder’s memory limit of 950 genomes, we first performed a dereplication of the 45,316 representative genomes of Terrabacteria species downloaded from GTDB r220 (2). The purpose of the dereplication was to select the most complete and least contaminated genomes while preserving the diversity of Terrabacteria in GTDB.</w:t>
      </w:r>
    </w:p>
    <w:p>
      <w:pPr>
        <w:pStyle w:val="Normal"/>
        <w:spacing w:before="240" w:after="240"/>
        <w:jc w:val="both"/>
        <w:rPr>
          <w:rFonts w:ascii="Times New Roman" w:hAnsi="Times New Roman" w:eastAsia="Times New Roman" w:cs="Times New Roman"/>
          <w:lang w:val="nl-BE"/>
        </w:rPr>
      </w:pPr>
      <w:r>
        <w:rPr>
          <w:rFonts w:eastAsia="Times New Roman" w:cs="Times New Roman" w:ascii="Times New Roman" w:hAnsi="Times New Roman"/>
          <w:lang w:val="nl-BE"/>
        </w:rPr>
        <w:t xml:space="preserve">Genomes that passed the GUNC (3) contamination test were grouped by GTDB taxonomy order and ranked based on their CheckM2 (4) completeness minus CheckM2 contamination score. If an order contained only one genus, the two best genomes were selected; otherwise, one genome was chosen per order. This resulted in 1450 genomes without Cyanobacteria, which were added separately. The genome set for the Cyanobacteria phylum was sampled more extensively, resulting in 432 genomes. The list of cyanobacterial genomes was obtained from GTDB release r220 (2). One to two representative genomes were selected for each genus, with preference given to assemblies exhibiting high completeness (&gt;80%) and low contamination (&lt;10%) as assessed by CheckM2 (4). To ensure adequate representation of basal cyanobacterial lineages, all available genomes from NCBI corresponding to the orders </w:t>
      </w:r>
      <w:r>
        <w:rPr>
          <w:rFonts w:eastAsia="Times New Roman" w:cs="Times New Roman" w:ascii="Times New Roman" w:hAnsi="Times New Roman"/>
          <w:i/>
          <w:lang w:val="nl-BE"/>
        </w:rPr>
        <w:t>Gloeobacterales</w:t>
      </w:r>
      <w:r>
        <w:rPr>
          <w:rFonts w:eastAsia="Times New Roman" w:cs="Times New Roman" w:ascii="Times New Roman" w:hAnsi="Times New Roman"/>
          <w:lang w:val="nl-BE"/>
        </w:rPr>
        <w:t xml:space="preserve">, </w:t>
      </w:r>
      <w:r>
        <w:rPr>
          <w:rFonts w:eastAsia="Times New Roman" w:cs="Times New Roman" w:ascii="Times New Roman" w:hAnsi="Times New Roman"/>
          <w:i/>
          <w:lang w:val="nl-BE"/>
        </w:rPr>
        <w:t>Thermostichales</w:t>
      </w:r>
      <w:r>
        <w:rPr>
          <w:rFonts w:eastAsia="Times New Roman" w:cs="Times New Roman" w:ascii="Times New Roman" w:hAnsi="Times New Roman"/>
          <w:lang w:val="nl-BE"/>
        </w:rPr>
        <w:t xml:space="preserve">, </w:t>
      </w:r>
      <w:r>
        <w:rPr>
          <w:rFonts w:eastAsia="Times New Roman" w:cs="Times New Roman" w:ascii="Times New Roman" w:hAnsi="Times New Roman"/>
          <w:i/>
          <w:lang w:val="nl-BE"/>
        </w:rPr>
        <w:t>Pseudanabaenales</w:t>
      </w:r>
      <w:r>
        <w:rPr>
          <w:rFonts w:eastAsia="Times New Roman" w:cs="Times New Roman" w:ascii="Times New Roman" w:hAnsi="Times New Roman"/>
          <w:lang w:val="nl-BE"/>
        </w:rPr>
        <w:t xml:space="preserve">, and </w:t>
      </w:r>
      <w:r>
        <w:rPr>
          <w:rFonts w:eastAsia="Times New Roman" w:cs="Times New Roman" w:ascii="Times New Roman" w:hAnsi="Times New Roman"/>
          <w:i/>
          <w:lang w:val="nl-BE"/>
        </w:rPr>
        <w:t>Gloeomargaritales</w:t>
      </w:r>
      <w:r>
        <w:rPr>
          <w:rFonts w:eastAsia="Times New Roman" w:cs="Times New Roman" w:ascii="Times New Roman" w:hAnsi="Times New Roman"/>
          <w:lang w:val="nl-BE"/>
        </w:rPr>
        <w:t xml:space="preserve"> were included. The </w:t>
      </w:r>
      <w:r>
        <w:rPr>
          <w:rFonts w:eastAsia="Times New Roman" w:cs="Times New Roman" w:ascii="Times New Roman" w:hAnsi="Times New Roman"/>
          <w:i/>
          <w:lang w:val="nl-BE"/>
        </w:rPr>
        <w:t>Pseudanabaenales</w:t>
      </w:r>
      <w:r>
        <w:rPr>
          <w:rFonts w:eastAsia="Times New Roman" w:cs="Times New Roman" w:ascii="Times New Roman" w:hAnsi="Times New Roman"/>
          <w:lang w:val="nl-BE"/>
        </w:rPr>
        <w:t xml:space="preserve"> dataset was subsequently dereplicated using ToRQuEMaDA (v0.2.1) (5). The proteomes of the 1882 genomes were obtained from the NCBI database when available and otherwise predicted using Prodigal v2.6.3 (6). A ribosomal tree was subsequently inferred using the GEN-ERA toolbox (7), using IQ-TREE v2.4.0 (8) with the best model parameter </w:t>
      </w:r>
      <w:r>
        <w:rPr>
          <w:rFonts w:eastAsia="Times New Roman" w:cs="Times New Roman" w:ascii="Times New Roman" w:hAnsi="Times New Roman"/>
          <w:color w:val="000000"/>
          <w:lang w:val="en-US"/>
        </w:rPr>
        <w:t xml:space="preserve">(Q.YEAST+I+R10) </w:t>
      </w:r>
      <w:r>
        <w:rPr>
          <w:rFonts w:eastAsia="Times New Roman" w:cs="Times New Roman" w:ascii="Times New Roman" w:hAnsi="Times New Roman"/>
          <w:lang w:val="nl-BE"/>
        </w:rPr>
        <w:t>and 1000 ultrafast bootstrap replicates. The ribosomal tree was then pruned using PARNAS v0.1.6 (9) by selecting 950 representative species, covering 90% of the overall diversity based on the generated diversity scores.</w:t>
      </w:r>
    </w:p>
    <w:p>
      <w:pPr>
        <w:pStyle w:val="Normal"/>
        <w:spacing w:before="0" w:after="240"/>
        <w:jc w:val="both"/>
        <w:rPr>
          <w:rFonts w:ascii="Times New Roman" w:hAnsi="Times New Roman" w:eastAsia="Times New Roman" w:cs="Times New Roman"/>
          <w:lang w:val="nl-BE"/>
        </w:rPr>
      </w:pPr>
      <w:r>
        <w:rPr>
          <w:rFonts w:eastAsia="Times New Roman" w:cs="Times New Roman" w:ascii="Times New Roman" w:hAnsi="Times New Roman"/>
          <w:lang w:val="nl-BE"/>
        </w:rPr>
        <w:t xml:space="preserve">The orthogroup, computed with OrthoFinder v2.5.5 (1) on the 950 representative species, corresponding to SQR-I was identified based on sequence similarity with the </w:t>
      </w:r>
      <w:r>
        <w:rPr>
          <w:rFonts w:eastAsia="Times New Roman" w:cs="Times New Roman" w:ascii="Times New Roman" w:hAnsi="Times New Roman"/>
          <w:i/>
          <w:lang w:val="nl-BE"/>
        </w:rPr>
        <w:t xml:space="preserve">Synechocystis </w:t>
      </w:r>
      <w:r>
        <w:rPr>
          <w:rFonts w:eastAsia="Times New Roman" w:cs="Times New Roman" w:ascii="Times New Roman" w:hAnsi="Times New Roman"/>
          <w:lang w:val="nl-BE"/>
        </w:rPr>
        <w:t>sp. PCC 6803 substr. Kazusa Sll5036 (NCBI Protein Accession Number: BAD01806.1) using BLASTp searches (BLAST v2.9.0+ (10)). A phylogenetic tree of the SQR orthogroup was then generated using IQ-TREE v3.0.0 (8) with the best-fit model parameter (LG+I+G) and 1000 ultrafast bootstrap replicates. The sequences included in the phylogenetic tree were aligned using MAFFT v7.505 (11). The sites of the alignment were conserved if they had at most 30% gaps and the sequences with a minimum of 30% length were exported using ali2phylip.pl (D. Baurain;</w:t>
      </w:r>
      <w:hyperlink r:id="rId2">
        <w:r>
          <w:rPr>
            <w:rFonts w:eastAsia="Times New Roman" w:cs="Times New Roman" w:ascii="Times New Roman" w:hAnsi="Times New Roman"/>
            <w:lang w:val="nl-BE"/>
          </w:rPr>
          <w:t xml:space="preserve"> https://metacpan.org/release/Bio-MUST-Core</w:t>
        </w:r>
      </w:hyperlink>
      <w:r>
        <w:rPr>
          <w:rFonts w:eastAsia="Times New Roman" w:cs="Times New Roman" w:ascii="Times New Roman" w:hAnsi="Times New Roman"/>
          <w:lang w:val="nl-BE"/>
        </w:rPr>
        <w:t xml:space="preserve">). To avoid problems of paralogy during orthologous sequence inference, the sequences corresponding to SQR-I were located within the multigenic family tree based on their sequence similarity to the reference sequence Sll5036. </w:t>
      </w:r>
      <w:r>
        <w:rPr>
          <w:rFonts w:eastAsia="Times New Roman" w:cs="Times New Roman" w:ascii="Times New Roman" w:hAnsi="Times New Roman"/>
          <w:lang w:val="en-US"/>
        </w:rPr>
        <w:t xml:space="preserve">A profile HMM (HMMER v3.4 (12)) was then generated from 11 cyanobacterial SQR-I orthologous sequences. This HMM profile was then used to search the proteomes of 432 Cyanobacteriota genomes to increase the sampling beyond the 950-sequence limit imposed by OrthoFinder’s memory constraints. </w:t>
      </w:r>
      <w:r>
        <w:rPr>
          <w:rFonts w:eastAsia="Times New Roman" w:cs="Times New Roman" w:ascii="Times New Roman" w:hAnsi="Times New Roman"/>
          <w:lang w:val="nl-BE"/>
        </w:rPr>
        <w:t xml:space="preserve">This resulted in the discovery of three SQR-I sequences in </w:t>
      </w:r>
      <w:r>
        <w:rPr>
          <w:rFonts w:eastAsia="Times New Roman" w:cs="Times New Roman" w:ascii="Times New Roman" w:hAnsi="Times New Roman"/>
          <w:i/>
          <w:lang w:val="nl-BE"/>
        </w:rPr>
        <w:t>Gloeobacter</w:t>
      </w:r>
      <w:r>
        <w:rPr>
          <w:rFonts w:eastAsia="Times New Roman" w:cs="Times New Roman" w:ascii="Times New Roman" w:hAnsi="Times New Roman"/>
          <w:lang w:val="nl-BE"/>
        </w:rPr>
        <w:t xml:space="preserve"> MAGs.</w:t>
      </w:r>
    </w:p>
    <w:p>
      <w:pPr>
        <w:pStyle w:val="Normal"/>
        <w:spacing w:before="0" w:after="240"/>
        <w:rPr>
          <w:rFonts w:ascii="Times New Roman" w:hAnsi="Times New Roman" w:eastAsia="Times New Roman" w:cs="Times New Roman"/>
          <w:b/>
          <w:b/>
          <w:lang w:val="nl-BE"/>
        </w:rPr>
      </w:pPr>
      <w:r>
        <w:rPr>
          <w:rFonts w:eastAsia="Times New Roman" w:cs="Times New Roman" w:ascii="Times New Roman" w:hAnsi="Times New Roman"/>
          <w:b/>
          <w:lang w:val="nl-BE"/>
        </w:rPr>
        <w:t>SQR phylogenetic tree inference using GTDB representative species</w:t>
      </w:r>
    </w:p>
    <w:p>
      <w:pPr>
        <w:pStyle w:val="Normal"/>
        <w:spacing w:before="0" w:after="240"/>
        <w:jc w:val="both"/>
        <w:rPr>
          <w:rFonts w:ascii="Times New Roman" w:hAnsi="Times New Roman" w:eastAsia="Times New Roman" w:cs="Times New Roman"/>
          <w:lang w:val="fr-BE"/>
        </w:rPr>
      </w:pPr>
      <w:r>
        <w:rPr>
          <w:rFonts w:eastAsia="Times New Roman" w:cs="Times New Roman" w:ascii="Times New Roman" w:hAnsi="Times New Roman"/>
          <w:lang w:val="nl-BE"/>
        </w:rPr>
        <w:t xml:space="preserve">An HMM search was conducted across a dataset containing the conceptual proteomes of all representative species (107,237) from GTDB release r220 (2) and the proteomes of the three Gloeobacter MAGs. The proteomes of the selected genomes were inferred using Prodigal v2.6.3 (6). A preliminary tree was generated based on the sequences selected according to the criteria listed in </w:t>
      </w:r>
      <w:r>
        <w:rPr>
          <w:rFonts w:eastAsia="Times New Roman" w:cs="Times New Roman" w:ascii="Times New Roman" w:hAnsi="Times New Roman"/>
          <w:b/>
          <w:lang w:val="nl-BE"/>
        </w:rPr>
        <w:t xml:space="preserve">Supplementary Table 1 </w:t>
      </w:r>
      <w:r>
        <w:rPr>
          <w:rFonts w:eastAsia="Times New Roman" w:cs="Times New Roman" w:ascii="Times New Roman" w:hAnsi="Times New Roman"/>
          <w:lang w:val="nl-BE"/>
        </w:rPr>
        <w:t>with Ompa-Pa v0.251830 (D. Baurain;</w:t>
      </w:r>
      <w:hyperlink r:id="rId3">
        <w:r>
          <w:rPr>
            <w:rFonts w:eastAsia="Times New Roman" w:cs="Times New Roman" w:ascii="Times New Roman" w:hAnsi="Times New Roman"/>
            <w:u w:val="single"/>
            <w:lang w:val="nl-BE"/>
          </w:rPr>
          <w:t xml:space="preserve"> https://metacpan.org/dist/Bio-MUST-Apps-OmpaPa</w:t>
        </w:r>
      </w:hyperlink>
      <w:r>
        <w:rPr>
          <w:rFonts w:eastAsia="Times New Roman" w:cs="Times New Roman" w:ascii="Times New Roman" w:hAnsi="Times New Roman"/>
          <w:lang w:val="nl-BE"/>
        </w:rPr>
        <w:t>) using FastTree v2.1.11 (14). The selection of the sequences used to build the tree was visualized with Ompa-Pa based on taxonomy, t</w:t>
      </w:r>
      <w:r>
        <w:rPr>
          <w:rFonts w:eastAsia="Times New Roman" w:cs="Times New Roman" w:ascii="Times New Roman" w:hAnsi="Times New Roman"/>
          <w:color w:val="000000"/>
          <w:lang w:val="nl-BE"/>
        </w:rPr>
        <w:t>he fraction of the sequence covered by the alignment (alignment coverage) and number of copies per genome (</w:t>
      </w:r>
      <w:r>
        <w:rPr>
          <w:rFonts w:eastAsia="Times New Roman" w:cs="Times New Roman" w:ascii="Times New Roman" w:hAnsi="Times New Roman"/>
          <w:b/>
          <w:color w:val="000000"/>
          <w:lang w:val="nl-BE"/>
        </w:rPr>
        <w:t>Supplementary Figure 1</w:t>
      </w:r>
      <w:r>
        <w:rPr>
          <w:rFonts w:eastAsia="Times New Roman" w:cs="Times New Roman" w:ascii="Times New Roman" w:hAnsi="Times New Roman"/>
          <w:color w:val="000000"/>
          <w:lang w:val="nl-BE"/>
        </w:rPr>
        <w:t>). Selected sequences were annotated by performing BLASTp searches against a database comprising the different SQR types identified in a previous study (19).</w:t>
      </w:r>
      <w:r>
        <w:rPr>
          <w:rFonts w:eastAsia="Times New Roman" w:cs="Times New Roman" w:ascii="Times New Roman" w:hAnsi="Times New Roman"/>
          <w:lang w:val="nl-BE"/>
        </w:rPr>
        <w:t xml:space="preserve"> </w:t>
      </w:r>
      <w:r>
        <w:rPr>
          <w:rFonts w:eastAsia="Times New Roman" w:cs="Times New Roman" w:ascii="Times New Roman" w:hAnsi="Times New Roman"/>
          <w:lang w:val="en-US"/>
        </w:rPr>
        <w:t>This tree (</w:t>
      </w:r>
      <w:r>
        <w:rPr>
          <w:rFonts w:eastAsia="Times New Roman" w:cs="Times New Roman" w:ascii="Times New Roman" w:hAnsi="Times New Roman"/>
          <w:b/>
          <w:lang w:val="en-US"/>
        </w:rPr>
        <w:t>Supplementary Figure 2</w:t>
      </w:r>
      <w:r>
        <w:rPr>
          <w:rFonts w:eastAsia="Times New Roman" w:cs="Times New Roman" w:ascii="Times New Roman" w:hAnsi="Times New Roman"/>
          <w:lang w:val="en-US"/>
        </w:rPr>
        <w:t>) contains a subtree represented exclusively by cyanobacterial SQR-I sequences. A phylogenetic tree of the proteins contained in this subtree was subsequently performed using IQ-TREE (8) with best-fit model (Q.PFAM+I+R8) and 1000 ultrafast bootstrap replicates (</w:t>
      </w:r>
      <w:r>
        <w:rPr>
          <w:rFonts w:eastAsia="Times New Roman" w:cs="Times New Roman" w:ascii="Times New Roman" w:hAnsi="Times New Roman"/>
          <w:b/>
          <w:lang w:val="en-US"/>
        </w:rPr>
        <w:t>Figure 1</w:t>
      </w:r>
      <w:r>
        <w:rPr>
          <w:rFonts w:eastAsia="Times New Roman" w:cs="Times New Roman" w:ascii="Times New Roman" w:hAnsi="Times New Roman"/>
          <w:lang w:val="en-US"/>
        </w:rPr>
        <w:t>). For each tree, sequences were aligned using MAFFT v7.505 (11). The sites of the alignment were conserved if they had at most 30% gaps and the sequences with a minimum of 30% length were exported using ali2phylip.pl (D. Baurain;</w:t>
      </w:r>
      <w:hyperlink r:id="rId4">
        <w:r>
          <w:rPr>
            <w:rFonts w:eastAsia="Times New Roman" w:cs="Times New Roman" w:ascii="Times New Roman" w:hAnsi="Times New Roman"/>
            <w:lang w:val="en-US"/>
          </w:rPr>
          <w:t xml:space="preserve"> https://metacpan.org/release/Bio-MUST-Core</w:t>
        </w:r>
      </w:hyperlink>
      <w:r>
        <w:rPr>
          <w:rFonts w:eastAsia="Times New Roman" w:cs="Times New Roman" w:ascii="Times New Roman" w:hAnsi="Times New Roman"/>
          <w:lang w:val="en-US"/>
        </w:rPr>
        <w:t xml:space="preserve">). </w:t>
      </w:r>
      <w:r>
        <w:rPr>
          <w:rFonts w:eastAsia="Times New Roman" w:cs="Times New Roman" w:ascii="Times New Roman" w:hAnsi="Times New Roman"/>
          <w:lang w:val="nl-BE"/>
        </w:rPr>
        <w:t xml:space="preserve">The sequence similarity between the reference SQR-I (Sll5036) and the selected proteins was assessed with a BLASTp search (10).  </w:t>
      </w:r>
      <w:r>
        <w:rPr>
          <w:rFonts w:eastAsia="Times New Roman" w:cs="Times New Roman" w:ascii="Times New Roman" w:hAnsi="Times New Roman"/>
          <w:lang w:val="fr-BE"/>
        </w:rPr>
        <w:t xml:space="preserve">The associated supplementary data, including the sequence alignment and phylogenetic tree files, are available on Figshare </w:t>
      </w:r>
      <w:r>
        <w:rPr>
          <w:rFonts w:eastAsia="Times New Roman" w:cs="Times New Roman" w:ascii="Times New Roman" w:hAnsi="Times New Roman"/>
          <w:shd w:fill="auto" w:val="clear"/>
          <w:lang w:val="fr-BE"/>
        </w:rPr>
        <w:t>(10.6084/m9.figshare.31333204</w:t>
      </w:r>
      <w:r>
        <w:rPr>
          <w:rFonts w:eastAsia="Times New Roman" w:cs="Times New Roman" w:ascii="Times New Roman" w:hAnsi="Times New Roman"/>
          <w:shd w:fill="auto" w:val="clear"/>
          <w:lang w:val="fr-BE"/>
        </w:rPr>
        <w:t>)</w:t>
      </w:r>
      <w:r>
        <w:rPr>
          <w:rFonts w:eastAsia="Times New Roman" w:cs="Times New Roman" w:ascii="Times New Roman" w:hAnsi="Times New Roman"/>
          <w:shd w:fill="auto" w:val="clear"/>
          <w:lang w:val="fr-BE"/>
        </w:rPr>
        <w:t>.</w:t>
      </w:r>
    </w:p>
    <w:p>
      <w:pPr>
        <w:pStyle w:val="Normal"/>
        <w:spacing w:before="0" w:after="240"/>
        <w:jc w:val="both"/>
        <w:rPr>
          <w:rFonts w:ascii="Times New Roman" w:hAnsi="Times New Roman" w:eastAsia="Times New Roman" w:cs="Times New Roman"/>
          <w:lang w:val="nl-BE"/>
        </w:rPr>
      </w:pPr>
      <w:r>
        <w:rPr>
          <w:rFonts w:eastAsia="Times New Roman" w:cs="Times New Roman" w:ascii="Times New Roman" w:hAnsi="Times New Roman"/>
          <w:b/>
          <w:bCs/>
          <w:lang w:val="nl-BE"/>
        </w:rPr>
        <w:t>An overview of the workflow is presented in Supplemental Figure 5</w:t>
      </w:r>
      <w:r>
        <w:rPr>
          <w:rFonts w:eastAsia="Times New Roman" w:cs="Times New Roman" w:ascii="Times New Roman" w:hAnsi="Times New Roman"/>
          <w:lang w:val="nl-BE"/>
        </w:rPr>
        <w:t>.</w:t>
      </w:r>
    </w:p>
    <w:p>
      <w:pPr>
        <w:pStyle w:val="Normal"/>
        <w:spacing w:before="0" w:after="240"/>
        <w:jc w:val="both"/>
        <w:rPr>
          <w:rFonts w:ascii="Times New Roman" w:hAnsi="Times New Roman" w:eastAsia="Times New Roman" w:cs="Times New Roman"/>
          <w:b/>
          <w:b/>
          <w:lang w:val="nl-BE"/>
        </w:rPr>
      </w:pPr>
      <w:r>
        <w:rPr>
          <w:rFonts w:eastAsia="Times New Roman" w:cs="Times New Roman" w:ascii="Times New Roman" w:hAnsi="Times New Roman"/>
          <w:b/>
          <w:lang w:val="nl-BE"/>
        </w:rPr>
        <w:t xml:space="preserve">Contamination assessment of the three </w:t>
      </w:r>
      <w:r>
        <w:rPr>
          <w:rFonts w:eastAsia="Times New Roman" w:cs="Times New Roman" w:ascii="Times New Roman" w:hAnsi="Times New Roman"/>
          <w:b/>
          <w:i/>
          <w:lang w:val="nl-BE"/>
        </w:rPr>
        <w:t>Gloeobacter</w:t>
      </w:r>
      <w:r>
        <w:rPr>
          <w:rFonts w:eastAsia="Times New Roman" w:cs="Times New Roman" w:ascii="Times New Roman" w:hAnsi="Times New Roman"/>
          <w:b/>
          <w:lang w:val="nl-BE"/>
        </w:rPr>
        <w:t xml:space="preserve"> MAGs</w:t>
      </w:r>
    </w:p>
    <w:p>
      <w:pPr>
        <w:pStyle w:val="Normal"/>
        <w:spacing w:before="0" w:after="240"/>
        <w:jc w:val="both"/>
        <w:rPr>
          <w:rFonts w:ascii="Times New Roman" w:hAnsi="Times New Roman" w:eastAsia="Times New Roman" w:cs="Times New Roman"/>
          <w:lang w:val="nl-BE"/>
        </w:rPr>
      </w:pPr>
      <w:r>
        <w:rPr>
          <w:rFonts w:eastAsia="Times New Roman" w:cs="Times New Roman" w:ascii="Times New Roman" w:hAnsi="Times New Roman"/>
          <w:lang w:val="nl-BE"/>
        </w:rPr>
        <w:t xml:space="preserve">The three Gloeobacterales MAGs were subjected to contamination assessment using GUNC (3) and CheckM2 (4) within the GEN-ERA toolbox, and the results are summarized in </w:t>
      </w:r>
      <w:r>
        <w:rPr>
          <w:rFonts w:eastAsia="Times New Roman" w:cs="Times New Roman" w:ascii="Times New Roman" w:hAnsi="Times New Roman"/>
          <w:b/>
          <w:lang w:val="nl-BE"/>
        </w:rPr>
        <w:t>Supplemental Tables 3 and 4</w:t>
      </w:r>
      <w:r>
        <w:rPr>
          <w:rFonts w:eastAsia="Times New Roman" w:cs="Times New Roman" w:ascii="Times New Roman" w:hAnsi="Times New Roman"/>
          <w:lang w:val="nl-BE"/>
        </w:rPr>
        <w:t>.</w:t>
      </w:r>
    </w:p>
    <w:p>
      <w:pPr>
        <w:pStyle w:val="Normal"/>
        <w:spacing w:before="0" w:after="240"/>
        <w:jc w:val="both"/>
        <w:rPr>
          <w:rFonts w:ascii="Times New Roman" w:hAnsi="Times New Roman" w:eastAsia="Times New Roman" w:cs="Times New Roman"/>
          <w:b/>
          <w:b/>
          <w:lang w:val="nl-BE"/>
        </w:rPr>
      </w:pPr>
      <w:r>
        <w:rPr>
          <w:rFonts w:eastAsia="Times New Roman" w:cs="Times New Roman" w:ascii="Times New Roman" w:hAnsi="Times New Roman"/>
          <w:b/>
          <w:lang w:val="nl-BE"/>
        </w:rPr>
        <w:t xml:space="preserve">Functional predictions of </w:t>
      </w:r>
      <w:r>
        <w:rPr>
          <w:rFonts w:eastAsia="Times New Roman" w:cs="Times New Roman" w:ascii="Times New Roman" w:hAnsi="Times New Roman"/>
          <w:b/>
          <w:i/>
          <w:iCs/>
          <w:lang w:val="nl-BE"/>
        </w:rPr>
        <w:t>Gloeobacterales</w:t>
      </w:r>
      <w:r>
        <w:rPr>
          <w:rFonts w:eastAsia="Times New Roman" w:cs="Times New Roman" w:ascii="Times New Roman" w:hAnsi="Times New Roman"/>
          <w:b/>
          <w:lang w:val="nl-BE"/>
        </w:rPr>
        <w:t xml:space="preserve"> SQR-I</w:t>
      </w:r>
    </w:p>
    <w:p>
      <w:pPr>
        <w:pStyle w:val="Normal"/>
        <w:spacing w:before="0" w:after="240"/>
        <w:jc w:val="both"/>
        <w:rPr>
          <w:lang w:val="nl-BE"/>
        </w:rPr>
      </w:pPr>
      <w:r>
        <w:rPr>
          <w:rFonts w:eastAsia="Times New Roman" w:cs="Times New Roman" w:ascii="Times New Roman" w:hAnsi="Times New Roman"/>
          <w:lang w:val="nl-BE"/>
        </w:rPr>
        <w:t xml:space="preserve">Functional domains were predicted using the web-based version of InterProScan 5 v106.0 (15). The multiple sequence alignment in </w:t>
      </w:r>
      <w:r>
        <w:rPr>
          <w:rFonts w:eastAsia="Times New Roman" w:cs="Times New Roman" w:ascii="Times New Roman" w:hAnsi="Times New Roman"/>
          <w:b/>
          <w:bCs/>
          <w:lang w:val="nl-BE"/>
        </w:rPr>
        <w:t xml:space="preserve">Supplemental Figure 4 </w:t>
      </w:r>
      <w:r>
        <w:rPr>
          <w:rFonts w:eastAsia="Times New Roman" w:cs="Times New Roman" w:ascii="Times New Roman" w:hAnsi="Times New Roman"/>
          <w:lang w:val="nl-BE"/>
        </w:rPr>
        <w:t>was annotated based on (16).</w:t>
      </w:r>
    </w:p>
    <w:p>
      <w:pPr>
        <w:pStyle w:val="Normal"/>
        <w:jc w:val="both"/>
        <w:rPr>
          <w:rFonts w:ascii="Times New Roman" w:hAnsi="Times New Roman" w:eastAsia="Times New Roman" w:cs="Times New Roman"/>
          <w:b/>
          <w:b/>
          <w:lang w:val="nl-BE"/>
        </w:rPr>
      </w:pPr>
      <w:r>
        <w:rPr>
          <w:rFonts w:eastAsia="Times New Roman" w:cs="Times New Roman" w:ascii="Times New Roman" w:hAnsi="Times New Roman"/>
          <w:b/>
          <w:lang w:val="nl-BE"/>
        </w:rPr>
        <w:t>Logan kmer search</w:t>
      </w:r>
    </w:p>
    <w:p>
      <w:pPr>
        <w:pStyle w:val="Normal"/>
        <w:spacing w:before="360" w:after="80"/>
        <w:jc w:val="both"/>
        <w:rPr>
          <w:rFonts w:ascii="Times New Roman" w:hAnsi="Times New Roman" w:eastAsia="Times New Roman" w:cs="Times New Roman"/>
          <w:lang w:val="nl-BE"/>
        </w:rPr>
      </w:pPr>
      <w:r>
        <w:rPr>
          <w:rFonts w:eastAsia="Times New Roman" w:cs="Times New Roman" w:ascii="Times New Roman" w:hAnsi="Times New Roman"/>
          <w:lang w:val="nl-BE"/>
        </w:rPr>
        <w:t xml:space="preserve">Logan SRA search was performed using the first 1,000 bp of both Candidatus </w:t>
      </w:r>
      <w:r>
        <w:rPr>
          <w:rFonts w:eastAsia="Times New Roman" w:cs="Times New Roman" w:ascii="Times New Roman" w:hAnsi="Times New Roman"/>
          <w:i/>
          <w:lang w:val="nl-BE"/>
        </w:rPr>
        <w:t>Sivonenia alaskensis</w:t>
      </w:r>
      <w:r>
        <w:rPr>
          <w:rFonts w:eastAsia="Times New Roman" w:cs="Times New Roman" w:ascii="Times New Roman" w:hAnsi="Times New Roman"/>
          <w:lang w:val="nl-BE"/>
        </w:rPr>
        <w:t xml:space="preserve"> </w:t>
      </w:r>
      <w:r>
        <w:rPr>
          <w:rFonts w:eastAsia="Times New Roman" w:cs="Times New Roman" w:ascii="Times New Roman" w:hAnsi="Times New Roman"/>
          <w:color w:val="1D1C1D"/>
          <w:lang w:val="nl-BE"/>
        </w:rPr>
        <w:t xml:space="preserve">GCA_949127895.1 </w:t>
      </w:r>
      <w:r>
        <w:rPr>
          <w:rFonts w:eastAsia="Times New Roman" w:cs="Times New Roman" w:ascii="Times New Roman" w:hAnsi="Times New Roman"/>
          <w:lang w:val="nl-BE"/>
        </w:rPr>
        <w:t>and GCA_949127685.1 as queries in the web interface of Logan Search (https://logan-search.org/; (17)). The search was performed against the “All” database using the default similarity threshold (0.5).</w:t>
      </w:r>
    </w:p>
    <w:p>
      <w:pPr>
        <w:pStyle w:val="Normal"/>
        <w:spacing w:before="360" w:after="80"/>
        <w:jc w:val="both"/>
        <w:rPr>
          <w:b/>
          <w:b/>
          <w:bCs/>
          <w:lang w:val="nl-BE"/>
        </w:rPr>
      </w:pPr>
      <w:r>
        <w:rPr>
          <w:rFonts w:eastAsia="Times New Roman" w:cs="Times New Roman" w:ascii="Times New Roman" w:hAnsi="Times New Roman"/>
          <w:b/>
          <w:bCs/>
          <w:lang w:val="nl-BE"/>
        </w:rPr>
        <w:t>PsbA (D1) phylogenetic tree inference using Cyanobacteria species</w:t>
      </w:r>
    </w:p>
    <w:p>
      <w:pPr>
        <w:pStyle w:val="Normal"/>
        <w:spacing w:before="0" w:after="240"/>
        <w:jc w:val="both"/>
        <w:rPr/>
      </w:pPr>
      <w:r>
        <w:rPr>
          <w:rFonts w:eastAsia="Times New Roman" w:cs="Times New Roman" w:ascii="Times New Roman" w:hAnsi="Times New Roman"/>
          <w:lang w:val="nl-BE"/>
        </w:rPr>
        <w:t xml:space="preserve">The tree was constructed following a similar approach as SQR-I. The orthogroup was identified based on sequence similarity with the two distinct copies of </w:t>
      </w:r>
      <w:r>
        <w:rPr>
          <w:rFonts w:eastAsia="Times New Roman" w:cs="Times New Roman" w:ascii="Times New Roman" w:hAnsi="Times New Roman"/>
          <w:i/>
          <w:lang w:val="nl-BE"/>
        </w:rPr>
        <w:t xml:space="preserve">Synechocystis </w:t>
      </w:r>
      <w:r>
        <w:rPr>
          <w:rFonts w:eastAsia="Times New Roman" w:cs="Times New Roman" w:ascii="Times New Roman" w:hAnsi="Times New Roman"/>
          <w:lang w:val="nl-BE"/>
        </w:rPr>
        <w:t xml:space="preserve">sp. </w:t>
      </w:r>
      <w:r>
        <w:rPr>
          <w:rFonts w:eastAsia="Times New Roman" w:cs="Times New Roman" w:ascii="Times New Roman" w:hAnsi="Times New Roman"/>
          <w:lang w:val="fr-BE"/>
        </w:rPr>
        <w:t xml:space="preserve">PCC 6803 substr. Kazusa PsbA </w:t>
      </w:r>
      <w:r>
        <w:rPr>
          <w:rStyle w:val="StrongEmphasis"/>
          <w:rFonts w:eastAsia="Times New Roman" w:cs="Times New Roman" w:ascii="Times New Roman" w:hAnsi="Times New Roman"/>
          <w:b w:val="false"/>
          <w:bCs w:val="false"/>
          <w:lang w:val="fr-BE"/>
        </w:rPr>
        <w:t xml:space="preserve">(slr1311 [NCBI Protein Accession Number: P16033.1], slr1181 [NCBI Protein Accession Number: P07826.3]) </w:t>
      </w:r>
      <w:r>
        <w:rPr>
          <w:rFonts w:eastAsia="Times New Roman" w:cs="Times New Roman" w:ascii="Times New Roman" w:hAnsi="Times New Roman"/>
          <w:lang w:val="fr-BE"/>
        </w:rPr>
        <w:t xml:space="preserve">using BLASTp searches (BLAST v2.9.0+ (10)). </w:t>
      </w:r>
      <w:r>
        <w:rPr>
          <w:rFonts w:eastAsia="Times New Roman" w:cs="Times New Roman" w:ascii="Times New Roman" w:hAnsi="Times New Roman"/>
          <w:lang w:val="nl-BE"/>
        </w:rPr>
        <w:t>A phylogenetic tree of the SQR orthogroup was then generated using IQ-TREE v3.0.0 (8) with the best-fit model parameter (LG+F+R5) and 1000 ultrafast bootstrap replicates. The sequences included in the phylogenetic tree were aligned using MAFFT v7.505 (11). The sites of the alignment were conserved if they had at most 30% gaps and the sequences with a minimum of 30% length were exported using ali2phylip.pl (D. Baurain;</w:t>
      </w:r>
      <w:hyperlink r:id="rId5">
        <w:r>
          <w:rPr>
            <w:rFonts w:eastAsia="Times New Roman" w:cs="Times New Roman" w:ascii="Times New Roman" w:hAnsi="Times New Roman"/>
            <w:lang w:val="nl-BE"/>
          </w:rPr>
          <w:t xml:space="preserve"> https://metacpan.org/release/Bio-MUST-Core</w:t>
        </w:r>
      </w:hyperlink>
      <w:r>
        <w:rPr>
          <w:rFonts w:eastAsia="Times New Roman" w:cs="Times New Roman" w:ascii="Times New Roman" w:hAnsi="Times New Roman"/>
          <w:lang w:val="nl-BE"/>
        </w:rPr>
        <w:t xml:space="preserve">). To avoid problems of paralogy during orthologous sequence inference, the sequences corresponding to PsbA were located within the multigenic family tree based on their sequence similarity to the two reference sequences. </w:t>
      </w:r>
      <w:r>
        <w:rPr>
          <w:rFonts w:eastAsia="Times New Roman" w:cs="Times New Roman" w:ascii="Times New Roman" w:hAnsi="Times New Roman"/>
          <w:lang w:val="en-US"/>
        </w:rPr>
        <w:t xml:space="preserve">A profile HMM (HMMER v3.4 (12)) was then generated from 79 PsbA orthologous sequences. This HMM profile was then used to search the proteomes of 432 Cyanobacteriota genomes to increase the sampling beyond the 950-sequence limit imposed by OrthoFinder’s memory constraints. </w:t>
      </w:r>
      <w:r>
        <w:rPr>
          <w:rFonts w:eastAsia="Times New Roman" w:cs="Times New Roman" w:ascii="Times New Roman" w:hAnsi="Times New Roman"/>
          <w:lang w:val="nl-BE"/>
        </w:rPr>
        <w:t xml:space="preserve">This resulted in the expansion of the initial dataset from 79 to 726 sequences. D1 variants were annotated based on their highest similarity with consensus sequences retrieved from Sheridan et al., 2020. Only the top BLASTp hit was retained, using an e-value threshold of 1 × 10⁻³. </w:t>
      </w:r>
      <w:r>
        <w:rPr>
          <w:rFonts w:eastAsia="Times New Roman" w:cs="Times New Roman" w:ascii="Times New Roman" w:hAnsi="Times New Roman"/>
          <w:lang w:val="fr-BE"/>
        </w:rPr>
        <w:t xml:space="preserve">The associated supplementary data, including the sequence alignment and phylogenetic tree files, are available on Figshare </w:t>
      </w:r>
      <w:r>
        <w:rPr>
          <w:rFonts w:eastAsia="Times New Roman" w:cs="Times New Roman" w:ascii="Times New Roman" w:hAnsi="Times New Roman"/>
          <w:shd w:fill="auto" w:val="clear"/>
          <w:lang w:val="fr-BE"/>
        </w:rPr>
        <w:t>(10.6084/m9.figshare.31333204)</w:t>
      </w:r>
      <w:r>
        <w:rPr>
          <w:rFonts w:eastAsia="Times New Roman" w:cs="Times New Roman" w:ascii="Times New Roman" w:hAnsi="Times New Roman"/>
          <w:shd w:fill="auto" w:val="clear"/>
          <w:lang w:val="fr-BE"/>
        </w:rPr>
        <w:t>.</w:t>
      </w:r>
    </w:p>
    <w:p>
      <w:pPr>
        <w:pStyle w:val="Normal"/>
        <w:spacing w:before="0" w:after="240"/>
        <w:jc w:val="both"/>
        <w:rPr>
          <w:rFonts w:ascii="Times New Roman" w:hAnsi="Times New Roman" w:eastAsia="Times New Roman" w:cs="Times New Roman"/>
          <w:lang w:val="fr-BE"/>
        </w:rPr>
      </w:pPr>
      <w:r>
        <w:rPr>
          <w:rFonts w:eastAsia="Times New Roman" w:cs="Times New Roman" w:ascii="Times New Roman" w:hAnsi="Times New Roman"/>
          <w:b/>
          <w:lang w:val="en-US"/>
        </w:rPr>
        <w:t>References</w:t>
      </w:r>
    </w:p>
    <w:p>
      <w:pPr>
        <w:pStyle w:val="Normal"/>
        <w:keepNext w:val="true"/>
        <w:widowControl w:val="false"/>
        <w:spacing w:lineRule="auto" w:line="240"/>
        <w:jc w:val="both"/>
        <w:rPr>
          <w:lang w:val="en-US"/>
        </w:rPr>
      </w:pPr>
      <w:r>
        <w:rPr>
          <w:rFonts w:eastAsia="Times New Roman" w:cs="Times New Roman" w:ascii="Times New Roman" w:hAnsi="Times New Roman"/>
          <w:sz w:val="20"/>
          <w:szCs w:val="20"/>
          <w:lang w:val="en-US"/>
        </w:rPr>
        <w:t>1.</w:t>
        <w:tab/>
        <w:t xml:space="preserve">Emms DM, Kelly S. 2019. OrthoFinder: phylogenetic orthology inference for comparative genomics. </w:t>
      </w:r>
      <w:r>
        <w:rPr>
          <w:rFonts w:eastAsia="Times New Roman" w:cs="Times New Roman" w:ascii="Times New Roman" w:hAnsi="Times New Roman"/>
          <w:sz w:val="20"/>
          <w:szCs w:val="20"/>
          <w:lang w:val="nl-BE"/>
        </w:rPr>
        <w:t>Genome Biol 20:238.</w:t>
      </w:r>
    </w:p>
    <w:p>
      <w:pPr>
        <w:pStyle w:val="Normal"/>
        <w:keepNext w:val="true"/>
        <w:widowControl w:val="false"/>
        <w:spacing w:lineRule="auto" w:line="240"/>
        <w:jc w:val="both"/>
        <w:rPr>
          <w:lang w:val="en-US"/>
        </w:rPr>
      </w:pPr>
      <w:r>
        <w:rPr>
          <w:rFonts w:eastAsia="Times New Roman" w:cs="Times New Roman" w:ascii="Times New Roman" w:hAnsi="Times New Roman"/>
          <w:sz w:val="20"/>
          <w:szCs w:val="20"/>
          <w:lang w:val="nl-BE"/>
        </w:rPr>
        <w:t xml:space="preserve">2. </w:t>
        <w:tab/>
        <w:t xml:space="preserve">Parks DH, Chuvochina M, Rinke C, Mussig AJ, Chaumeil P-A, Hugenholtz P. 2021. GTDB: an ongoing census of bacterial and archaeal diversity through a phylogenetically consistent, rank normalized and complete genome-based taxonomy. gkab776. Nucleic Acids Research </w:t>
      </w:r>
      <w:hyperlink r:id="rId6">
        <w:r>
          <w:rPr>
            <w:rFonts w:eastAsia="Times New Roman" w:cs="Times New Roman" w:ascii="Times New Roman" w:hAnsi="Times New Roman"/>
            <w:color w:val="1155CC"/>
            <w:sz w:val="20"/>
            <w:szCs w:val="20"/>
            <w:u w:val="single"/>
            <w:lang w:val="nl-BE"/>
          </w:rPr>
          <w:t>https://doi.org/10.1093/nar/gkab776</w:t>
        </w:r>
      </w:hyperlink>
      <w:r>
        <w:rPr>
          <w:rFonts w:eastAsia="Times New Roman" w:cs="Times New Roman" w:ascii="Times New Roman" w:hAnsi="Times New Roman"/>
          <w:sz w:val="20"/>
          <w:szCs w:val="20"/>
          <w:lang w:val="nl-BE"/>
        </w:rPr>
        <w:t>.</w:t>
      </w:r>
    </w:p>
    <w:p>
      <w:pPr>
        <w:pStyle w:val="Normal"/>
        <w:keepNext w:val="true"/>
        <w:widowControl w:val="false"/>
        <w:spacing w:lineRule="auto" w:line="240"/>
        <w:jc w:val="both"/>
        <w:rPr>
          <w:lang w:val="en-US"/>
        </w:rPr>
      </w:pPr>
      <w:r>
        <w:rPr>
          <w:rFonts w:eastAsia="Times New Roman" w:cs="Times New Roman" w:ascii="Times New Roman" w:hAnsi="Times New Roman"/>
          <w:sz w:val="20"/>
          <w:szCs w:val="20"/>
          <w:lang w:val="nl-BE"/>
        </w:rPr>
        <w:t xml:space="preserve">3. </w:t>
        <w:tab/>
        <w:t>Orakov A, Fullam A, Coelho LP, Khedkar S, Szklarczyk D, Mende DR, Schmidt TSB, Bork P. 2021. GUNC: detection of chimerism and contamination in prokaryotic genomes. 1. Genome Biology 22:178</w:t>
      </w:r>
    </w:p>
    <w:p>
      <w:pPr>
        <w:pStyle w:val="Normal"/>
        <w:keepNext w:val="true"/>
        <w:widowControl w:val="false"/>
        <w:spacing w:lineRule="auto" w:line="240"/>
        <w:jc w:val="both"/>
        <w:rPr>
          <w:lang w:val="en-US"/>
        </w:rPr>
      </w:pPr>
      <w:r>
        <w:rPr>
          <w:rFonts w:eastAsia="Times New Roman" w:cs="Times New Roman" w:ascii="Times New Roman" w:hAnsi="Times New Roman"/>
          <w:sz w:val="20"/>
          <w:szCs w:val="20"/>
          <w:lang w:val="en-US"/>
        </w:rPr>
        <w:t>4.</w:t>
        <w:tab/>
        <w:t xml:space="preserve">Chklovski A, Parks DH, Woodcroft BJ, Tyson GW. 2023. </w:t>
      </w:r>
      <w:r>
        <w:rPr>
          <w:rFonts w:eastAsia="Times New Roman" w:cs="Times New Roman" w:ascii="Times New Roman" w:hAnsi="Times New Roman"/>
          <w:sz w:val="20"/>
          <w:szCs w:val="20"/>
          <w:lang w:val="nl-BE"/>
        </w:rPr>
        <w:t>CheckM2: a rapid, scalable and accurate tool for assessing microbial genome quality using machine learning. Nat Methods 20:1203–1212.</w:t>
      </w:r>
    </w:p>
    <w:p>
      <w:pPr>
        <w:pStyle w:val="Normal"/>
        <w:keepNext w:val="true"/>
        <w:widowControl w:val="false"/>
        <w:spacing w:lineRule="auto" w:line="240"/>
        <w:jc w:val="both"/>
        <w:rPr>
          <w:lang w:val="en-US"/>
        </w:rPr>
      </w:pPr>
      <w:r>
        <w:rPr>
          <w:rFonts w:eastAsia="Times New Roman" w:cs="Times New Roman" w:ascii="Times New Roman" w:hAnsi="Times New Roman"/>
          <w:sz w:val="20"/>
          <w:szCs w:val="20"/>
          <w:lang w:val="nl-BE"/>
        </w:rPr>
        <w:t>5.</w:t>
        <w:tab/>
        <w:t>Léonard RR, Leleu M, Vlierberghe MV, Cornet L, Kerff F, Baurain D. 2021. ToRQuEMaDA: tool for retrieving queried Eubacteria, metadata and dereplicating assemblies. PeerJ 9:e11348.</w:t>
      </w:r>
    </w:p>
    <w:p>
      <w:pPr>
        <w:pStyle w:val="Normal"/>
        <w:keepNext w:val="true"/>
        <w:widowControl w:val="false"/>
        <w:spacing w:lineRule="auto" w:line="240"/>
        <w:jc w:val="both"/>
        <w:rPr>
          <w:lang w:val="en-US"/>
        </w:rPr>
      </w:pPr>
      <w:r>
        <w:rPr>
          <w:rFonts w:eastAsia="Times New Roman" w:cs="Times New Roman" w:ascii="Times New Roman" w:hAnsi="Times New Roman"/>
          <w:sz w:val="20"/>
          <w:szCs w:val="20"/>
          <w:lang w:val="en-US"/>
        </w:rPr>
        <w:t>6.</w:t>
        <w:tab/>
        <w:t xml:space="preserve">Hyatt D, Chen G-L, LoCascio PF, Land ML, Larimer FW, Hauser LJ. 2010. </w:t>
      </w:r>
      <w:r>
        <w:rPr>
          <w:rFonts w:eastAsia="Times New Roman" w:cs="Times New Roman" w:ascii="Times New Roman" w:hAnsi="Times New Roman"/>
          <w:sz w:val="20"/>
          <w:szCs w:val="20"/>
        </w:rPr>
        <w:t xml:space="preserve">Prodigal: prokaryotic gene recognition and translation initiation site identification. </w:t>
      </w:r>
      <w:r>
        <w:rPr>
          <w:rFonts w:eastAsia="Times New Roman" w:cs="Times New Roman" w:ascii="Times New Roman" w:hAnsi="Times New Roman"/>
          <w:sz w:val="20"/>
          <w:szCs w:val="20"/>
          <w:lang w:val="en-US"/>
        </w:rPr>
        <w:t>1. BMC Bioinformatics 11:119.</w:t>
      </w:r>
    </w:p>
    <w:p>
      <w:pPr>
        <w:pStyle w:val="Normal"/>
        <w:keepNext w:val="true"/>
        <w:widowControl w:val="false"/>
        <w:spacing w:lineRule="auto" w:line="240"/>
        <w:jc w:val="both"/>
        <w:rPr>
          <w:lang w:val="nl-BE"/>
        </w:rPr>
      </w:pPr>
      <w:r>
        <w:rPr>
          <w:rFonts w:eastAsia="Times New Roman" w:cs="Times New Roman" w:ascii="Times New Roman" w:hAnsi="Times New Roman"/>
          <w:sz w:val="20"/>
          <w:szCs w:val="20"/>
          <w:lang w:val="en-US"/>
        </w:rPr>
        <w:t>7.</w:t>
        <w:tab/>
        <w:t xml:space="preserve">Cornet L, Durieu B, Baert F, D’hooge E, Colignon D, Meunier L, Lupo V, Cleenwerck I, Daniel H-M, Rigouts L, Sirjacobs D, Declerck S, Vandamme P, Wilmotte A, Baurain D, Becker P. 2023. </w:t>
      </w:r>
      <w:r>
        <w:rPr>
          <w:rFonts w:eastAsia="Times New Roman" w:cs="Times New Roman" w:ascii="Times New Roman" w:hAnsi="Times New Roman"/>
          <w:sz w:val="20"/>
          <w:szCs w:val="20"/>
          <w:lang w:val="nl-BE"/>
        </w:rPr>
        <w:t>The GEN-ERA toolbox: unified and reproducible workflows for research in microbial genomics. GigaScience 12:giad022.</w:t>
      </w:r>
    </w:p>
    <w:p>
      <w:pPr>
        <w:pStyle w:val="Normal"/>
        <w:spacing w:lineRule="auto" w:line="240"/>
        <w:jc w:val="both"/>
        <w:rPr>
          <w:lang w:val="en-US"/>
        </w:rPr>
      </w:pPr>
      <w:r>
        <w:rPr>
          <w:rFonts w:eastAsia="Times New Roman" w:cs="Times New Roman" w:ascii="Times New Roman" w:hAnsi="Times New Roman"/>
          <w:sz w:val="20"/>
          <w:szCs w:val="20"/>
          <w:lang w:val="nl-BE"/>
        </w:rPr>
        <w:t>8..       Wong TKF, Ly-Trong N, Ren H, Baños H, Roger AJ, Susko E, Bielow C, Maio ND, Goldman N, Hahn MW, Huttley G, Lanfear R, Minh BQ. 2025. IQ-TREE 3: Phylogenomic Inference Software using Complex Evolutionary Models.</w:t>
      </w:r>
    </w:p>
    <w:p>
      <w:pPr>
        <w:pStyle w:val="Normal"/>
        <w:spacing w:lineRule="auto" w:line="240"/>
        <w:jc w:val="both"/>
        <w:rPr>
          <w:lang w:val="en-US"/>
        </w:rPr>
      </w:pPr>
      <w:r>
        <w:rPr>
          <w:rFonts w:eastAsia="Times New Roman" w:cs="Times New Roman" w:ascii="Times New Roman" w:hAnsi="Times New Roman"/>
          <w:sz w:val="20"/>
          <w:szCs w:val="20"/>
          <w:lang w:val="nl-BE"/>
        </w:rPr>
        <w:t>9.</w:t>
        <w:tab/>
        <w:t xml:space="preserve">Markin A, Wagle S, Grover S, Vincent Baker AL, Eulenstein O, Anderson TK. 2023. </w:t>
      </w:r>
      <w:r>
        <w:rPr>
          <w:rFonts w:eastAsia="Times New Roman" w:cs="Times New Roman" w:ascii="Times New Roman" w:hAnsi="Times New Roman"/>
          <w:sz w:val="20"/>
          <w:szCs w:val="20"/>
          <w:lang w:val="en-US"/>
        </w:rPr>
        <w:t>PARNAS: Objectively Selecting the Most Representative Taxa on a Phylogeny. Syst Biol 72:1052–1063.</w:t>
      </w:r>
    </w:p>
    <w:p>
      <w:pPr>
        <w:pStyle w:val="Normal"/>
        <w:spacing w:lineRule="auto" w:line="240"/>
        <w:jc w:val="both"/>
        <w:rPr>
          <w:lang w:val="en-US"/>
        </w:rPr>
      </w:pPr>
      <w:r>
        <w:rPr>
          <w:rFonts w:eastAsia="Times New Roman" w:cs="Times New Roman" w:ascii="Times New Roman" w:hAnsi="Times New Roman"/>
          <w:sz w:val="20"/>
          <w:szCs w:val="20"/>
          <w:lang w:val="en-US"/>
        </w:rPr>
        <w:t>10.       Camacho C, Coulouris G, Avagyan V, Ma N, Papadopoulos J, Bealer K, Madden TL. 2009. BLAST+: architecture and applications. 1. BMC Bioinformatics 10:421.</w:t>
      </w:r>
    </w:p>
    <w:p>
      <w:pPr>
        <w:pStyle w:val="Normal"/>
        <w:spacing w:lineRule="auto" w:line="240"/>
        <w:jc w:val="both"/>
        <w:rPr>
          <w:lang w:val="en-US"/>
        </w:rPr>
      </w:pPr>
      <w:r>
        <w:rPr>
          <w:rFonts w:eastAsia="Times New Roman" w:cs="Times New Roman" w:ascii="Times New Roman" w:hAnsi="Times New Roman"/>
          <w:sz w:val="20"/>
          <w:szCs w:val="20"/>
          <w:lang w:val="en-US"/>
        </w:rPr>
        <w:t xml:space="preserve">11. </w:t>
        <w:tab/>
        <w:t>Katoh K, Standley DM. 2013. MAFFT Multiple Sequence Alignment Software Version 7: Improvements in Performance and Usability. 4. Mol Biol Evol 30:772–780.</w:t>
      </w:r>
    </w:p>
    <w:p>
      <w:pPr>
        <w:pStyle w:val="Normal"/>
        <w:spacing w:lineRule="auto" w:line="240"/>
        <w:jc w:val="both"/>
        <w:rPr>
          <w:lang w:val="en-US"/>
        </w:rPr>
      </w:pPr>
      <w:r>
        <w:rPr>
          <w:rFonts w:eastAsia="Times New Roman" w:cs="Times New Roman" w:ascii="Times New Roman" w:hAnsi="Times New Roman"/>
          <w:sz w:val="20"/>
          <w:szCs w:val="20"/>
          <w:lang w:val="en-US"/>
        </w:rPr>
        <w:t>12.</w:t>
        <w:tab/>
        <w:t>Finn RD, Clements J, Eddy SR. 2011. HMMER web server: interactive sequence similarity searching. Nucleic Acids Res 39:W29–W37.</w:t>
      </w:r>
    </w:p>
    <w:p>
      <w:pPr>
        <w:pStyle w:val="Normal"/>
        <w:spacing w:lineRule="auto" w:line="240"/>
        <w:jc w:val="both"/>
        <w:rPr>
          <w:lang w:val="en-US"/>
        </w:rPr>
      </w:pPr>
      <w:r>
        <w:rPr>
          <w:rFonts w:eastAsia="Times New Roman" w:cs="Times New Roman" w:ascii="Times New Roman" w:hAnsi="Times New Roman"/>
          <w:sz w:val="20"/>
          <w:szCs w:val="20"/>
          <w:lang w:val="en-US"/>
        </w:rPr>
        <w:t>13.</w:t>
        <w:tab/>
        <w:t>Lefort V, Desper R, Gascuel O. 2015. FastME 2.0: A Comprehensive, Accurate, and Fast Distance-Based Phylogeny Inference Program. Mol Biol Evol 32:2798–2800.</w:t>
      </w:r>
    </w:p>
    <w:p>
      <w:pPr>
        <w:pStyle w:val="Normal"/>
        <w:spacing w:lineRule="auto" w:line="240"/>
        <w:jc w:val="both"/>
        <w:rPr>
          <w:lang w:val="en-US"/>
        </w:rPr>
      </w:pPr>
      <w:r>
        <w:rPr>
          <w:rFonts w:eastAsia="Times New Roman" w:cs="Times New Roman" w:ascii="Times New Roman" w:hAnsi="Times New Roman"/>
          <w:sz w:val="20"/>
          <w:szCs w:val="20"/>
          <w:lang w:val="en-US"/>
        </w:rPr>
        <w:t>14.</w:t>
        <w:tab/>
        <w:t>Price MN, Dehal PS, Arkin AP. 2010. FastTree 2 – Approximately Maximum-Likelihood Trees for Large Alignments. PLOS ONE 5:e9490.</w:t>
      </w:r>
    </w:p>
    <w:p>
      <w:pPr>
        <w:pStyle w:val="Normal"/>
        <w:spacing w:lineRule="auto" w:line="240"/>
        <w:jc w:val="both"/>
        <w:rPr>
          <w:lang w:val="en-US"/>
        </w:rPr>
      </w:pPr>
      <w:r>
        <w:rPr>
          <w:rFonts w:eastAsia="Times New Roman" w:cs="Times New Roman" w:ascii="Times New Roman" w:hAnsi="Times New Roman"/>
          <w:sz w:val="20"/>
          <w:szCs w:val="20"/>
          <w:lang w:val="en-US"/>
        </w:rPr>
        <w:t>15.</w:t>
        <w:tab/>
        <w:t>Jones P, Binns D, Chang H-Y, Fraser M, Li W, McAnulla C, McWilliam H, Maslen J, Mitchell A, Nuka G, Pesseat S, Quinn AF, Sangrador-Vegas A, Scheremetjew M, Yong S-Y, Lopez R, Hunter S. 2014. InterProScan 5: genome-scale protein function classification. Bioinformatics 30:1236–1240.</w:t>
      </w:r>
    </w:p>
    <w:p>
      <w:pPr>
        <w:pStyle w:val="Normal"/>
        <w:spacing w:lineRule="auto" w:line="240"/>
        <w:jc w:val="both"/>
        <w:rPr>
          <w:rFonts w:ascii="Times New Roman" w:hAnsi="Times New Roman"/>
          <w:sz w:val="20"/>
          <w:szCs w:val="20"/>
        </w:rPr>
      </w:pPr>
      <w:r>
        <w:rPr>
          <w:rFonts w:ascii="Times New Roman" w:hAnsi="Times New Roman"/>
          <w:sz w:val="20"/>
          <w:szCs w:val="20"/>
        </w:rPr>
        <w:t>16.</w:t>
        <w:tab/>
        <w:t xml:space="preserve">Brito, J. A. et al. Structural and Functional Insights into Sulfide:Quinone Oxidoreductase,. Biochemistry </w:t>
      </w:r>
      <w:r>
        <w:rPr>
          <w:rFonts w:ascii="Times New Roman" w:hAnsi="Times New Roman"/>
          <w:b/>
          <w:bCs/>
          <w:sz w:val="20"/>
          <w:szCs w:val="20"/>
        </w:rPr>
        <w:t>48</w:t>
      </w:r>
      <w:r>
        <w:rPr>
          <w:rFonts w:ascii="Times New Roman" w:hAnsi="Times New Roman"/>
          <w:sz w:val="20"/>
          <w:szCs w:val="20"/>
        </w:rPr>
        <w:t>, 5613–5622 (2009).</w:t>
      </w:r>
    </w:p>
    <w:p>
      <w:pPr>
        <w:pStyle w:val="Normal"/>
        <w:spacing w:lineRule="auto" w:line="240"/>
        <w:jc w:val="both"/>
        <w:rPr>
          <w:lang w:val="en-US"/>
        </w:rPr>
      </w:pPr>
      <w:r>
        <w:rPr>
          <w:rFonts w:eastAsia="Times New Roman" w:cs="Times New Roman" w:ascii="Times New Roman" w:hAnsi="Times New Roman"/>
          <w:sz w:val="20"/>
          <w:szCs w:val="20"/>
          <w:lang w:val="en-US"/>
        </w:rPr>
        <w:t>17.</w:t>
        <w:tab/>
        <w:t xml:space="preserve">Chikhi R, Raffestin B, Korobeynikov A, Edgar R, Babaian A. 2024. Logan: Planetary-Scale Genome Assembly Surveys Life’s Diversity. bioRxiv </w:t>
      </w:r>
      <w:hyperlink r:id="rId7">
        <w:r>
          <w:rPr>
            <w:rFonts w:eastAsia="Times New Roman" w:cs="Times New Roman" w:ascii="Times New Roman" w:hAnsi="Times New Roman"/>
            <w:color w:val="1155CC"/>
            <w:sz w:val="20"/>
            <w:szCs w:val="20"/>
            <w:u w:val="single"/>
            <w:lang w:val="en-US"/>
          </w:rPr>
          <w:t>https://doi.org/10.1101/2024.07.30.605881</w:t>
        </w:r>
      </w:hyperlink>
      <w:r>
        <w:rPr>
          <w:rFonts w:eastAsia="Times New Roman" w:cs="Times New Roman" w:ascii="Times New Roman" w:hAnsi="Times New Roman"/>
          <w:sz w:val="20"/>
          <w:szCs w:val="20"/>
          <w:lang w:val="en-US"/>
        </w:rPr>
        <w:t>.</w:t>
      </w:r>
    </w:p>
    <w:p>
      <w:pPr>
        <w:pStyle w:val="Normal"/>
        <w:spacing w:lineRule="auto" w:line="240"/>
        <w:jc w:val="both"/>
        <w:rPr>
          <w:lang w:val="en-US"/>
        </w:rPr>
      </w:pPr>
      <w:r>
        <w:rPr>
          <w:rFonts w:eastAsia="Times New Roman" w:cs="Times New Roman" w:ascii="Times New Roman" w:hAnsi="Times New Roman"/>
          <w:sz w:val="20"/>
          <w:szCs w:val="20"/>
          <w:lang w:val="en-US"/>
        </w:rPr>
        <w:t>18.</w:t>
        <w:tab/>
      </w:r>
      <w:r>
        <w:rPr>
          <w:rFonts w:ascii="Times New Roman" w:hAnsi="Times New Roman"/>
          <w:sz w:val="20"/>
          <w:szCs w:val="20"/>
          <w:lang w:val="en-US"/>
        </w:rPr>
        <w:t xml:space="preserve">Gascuel, O. BIONJ: an improved version of the NJ algorithm based on a simple model of sequence data. </w:t>
      </w:r>
      <w:r>
        <w:rPr>
          <w:rFonts w:ascii="Times New Roman" w:hAnsi="Times New Roman"/>
          <w:i/>
          <w:sz w:val="20"/>
          <w:szCs w:val="20"/>
          <w:lang w:val="en-US"/>
        </w:rPr>
        <w:t>Molecular Biology and Evolution</w:t>
      </w:r>
      <w:r>
        <w:rPr>
          <w:rFonts w:ascii="Times New Roman" w:hAnsi="Times New Roman"/>
          <w:sz w:val="20"/>
          <w:szCs w:val="20"/>
          <w:lang w:val="en-US"/>
        </w:rPr>
        <w:t xml:space="preserve"> </w:t>
      </w:r>
      <w:r>
        <w:rPr>
          <w:rFonts w:ascii="Times New Roman" w:hAnsi="Times New Roman"/>
          <w:b/>
          <w:sz w:val="20"/>
          <w:szCs w:val="20"/>
          <w:lang w:val="en-US"/>
        </w:rPr>
        <w:t>14</w:t>
      </w:r>
      <w:r>
        <w:rPr>
          <w:rFonts w:ascii="Times New Roman" w:hAnsi="Times New Roman"/>
          <w:sz w:val="20"/>
          <w:szCs w:val="20"/>
          <w:lang w:val="en-US"/>
        </w:rPr>
        <w:t>, 685–695 (1997).</w:t>
      </w:r>
    </w:p>
    <w:p>
      <w:pPr>
        <w:pStyle w:val="Normal"/>
        <w:spacing w:lineRule="auto" w:line="240"/>
        <w:jc w:val="both"/>
        <w:rPr>
          <w:rFonts w:ascii="Times New Roman" w:hAnsi="Times New Roman"/>
          <w:sz w:val="20"/>
          <w:szCs w:val="20"/>
        </w:rPr>
      </w:pPr>
      <w:r>
        <w:rPr>
          <w:rFonts w:eastAsia="Times New Roman" w:cs="Times New Roman" w:ascii="Times New Roman" w:hAnsi="Times New Roman"/>
          <w:color w:val="000000"/>
          <w:sz w:val="20"/>
          <w:szCs w:val="20"/>
          <w:lang w:val="en-US"/>
        </w:rPr>
        <w:t>19.</w:t>
        <w:tab/>
      </w:r>
      <w:r>
        <w:rPr>
          <w:rFonts w:eastAsia="Times New Roman" w:cs="Times New Roman" w:ascii="Times New Roman" w:hAnsi="Times New Roman"/>
          <w:sz w:val="20"/>
          <w:szCs w:val="20"/>
          <w:lang w:val="en-US"/>
        </w:rPr>
        <w:t xml:space="preserve">Marcia, M., Ermler, U., Peng, G. &amp; Michel, H. A new structure‐based classification of sulfide:quinone oxidoreductases. </w:t>
      </w:r>
      <w:r>
        <w:rPr>
          <w:rFonts w:eastAsia="Times New Roman" w:cs="Times New Roman" w:ascii="Times New Roman" w:hAnsi="Times New Roman"/>
          <w:i/>
          <w:sz w:val="20"/>
          <w:szCs w:val="20"/>
          <w:lang w:val="en-US"/>
        </w:rPr>
        <w:t>Proteins</w:t>
      </w:r>
      <w:r>
        <w:rPr>
          <w:rFonts w:eastAsia="Times New Roman" w:cs="Times New Roman" w:ascii="Times New Roman" w:hAnsi="Times New Roman"/>
          <w:sz w:val="20"/>
          <w:szCs w:val="20"/>
          <w:lang w:val="en-US"/>
        </w:rPr>
        <w:t xml:space="preserve"> </w:t>
      </w:r>
      <w:r>
        <w:rPr>
          <w:rFonts w:eastAsia="Times New Roman" w:cs="Times New Roman" w:ascii="Times New Roman" w:hAnsi="Times New Roman"/>
          <w:b/>
          <w:sz w:val="20"/>
          <w:szCs w:val="20"/>
          <w:lang w:val="en-US"/>
        </w:rPr>
        <w:t>78</w:t>
      </w:r>
      <w:r>
        <w:rPr>
          <w:rFonts w:eastAsia="Times New Roman" w:cs="Times New Roman" w:ascii="Times New Roman" w:hAnsi="Times New Roman"/>
          <w:sz w:val="20"/>
          <w:szCs w:val="20"/>
          <w:lang w:val="en-US"/>
        </w:rPr>
        <w:t>, 1073–1083 (2010).</w:t>
      </w:r>
    </w:p>
    <w:p>
      <w:pPr>
        <w:pStyle w:val="Normal"/>
        <w:spacing w:lineRule="auto" w:line="240"/>
        <w:jc w:val="both"/>
        <w:rPr>
          <w:rFonts w:ascii="Times New Roman" w:hAnsi="Times New Roman" w:eastAsia="Times New Roman" w:cs="Times New Roman"/>
          <w:b/>
          <w:b/>
          <w:sz w:val="40"/>
          <w:szCs w:val="40"/>
        </w:rPr>
      </w:pPr>
      <w:r>
        <w:rPr>
          <w:rFonts w:eastAsia="Times New Roman" w:cs="Times New Roman" w:ascii="Times New Roman" w:hAnsi="Times New Roman"/>
          <w:b/>
          <w:sz w:val="40"/>
          <w:szCs w:val="40"/>
        </w:rPr>
      </w:r>
      <w:r>
        <w:br w:type="page"/>
      </w:r>
    </w:p>
    <w:p>
      <w:pPr>
        <w:pStyle w:val="Normal"/>
        <w:rPr>
          <w:rFonts w:ascii="Times New Roman" w:hAnsi="Times New Roman" w:eastAsia="Times New Roman" w:cs="Times New Roman"/>
          <w:b/>
          <w:b/>
          <w:sz w:val="40"/>
          <w:szCs w:val="40"/>
        </w:rPr>
      </w:pPr>
      <w:r>
        <w:rPr>
          <w:rFonts w:eastAsia="Times New Roman" w:cs="Times New Roman" w:ascii="Times New Roman" w:hAnsi="Times New Roman"/>
          <w:b/>
          <w:sz w:val="40"/>
          <w:szCs w:val="40"/>
        </w:rPr>
        <w:t>Supplemental Figures and Tables</w:t>
      </w:r>
    </w:p>
    <w:p>
      <w:pPr>
        <w:pStyle w:val="Normal"/>
        <w:rPr>
          <w:rFonts w:ascii="Times New Roman" w:hAnsi="Times New Roman" w:eastAsia="Times New Roman" w:cs="Times New Roman"/>
          <w:b/>
          <w:b/>
        </w:rPr>
      </w:pPr>
      <w:r>
        <w:rPr>
          <w:rFonts w:eastAsia="Times New Roman" w:cs="Times New Roman" w:ascii="Times New Roman" w:hAnsi="Times New Roman"/>
          <w:b/>
        </w:rPr>
      </w:r>
    </w:p>
    <w:p>
      <w:pPr>
        <w:pStyle w:val="Normal"/>
        <w:rPr>
          <w:rFonts w:ascii="Times New Roman" w:hAnsi="Times New Roman" w:eastAsia="Times New Roman" w:cs="Times New Roman"/>
          <w:b/>
          <w:b/>
        </w:rPr>
      </w:pPr>
      <w:r>
        <w:rPr>
          <w:rFonts w:eastAsia="Times New Roman" w:cs="Times New Roman" w:ascii="Times New Roman" w:hAnsi="Times New Roman"/>
          <w:b/>
        </w:rPr>
      </w:r>
    </w:p>
    <w:p>
      <w:pPr>
        <w:pStyle w:val="Normal"/>
        <w:rPr>
          <w:rFonts w:ascii="Times New Roman" w:hAnsi="Times New Roman" w:eastAsia="Times New Roman" w:cs="Times New Roman"/>
          <w:b/>
          <w:b/>
        </w:rPr>
      </w:pPr>
      <w:r>
        <w:rPr/>
        <w:drawing>
          <wp:inline distT="0" distB="0" distL="0" distR="0">
            <wp:extent cx="5734050" cy="3286125"/>
            <wp:effectExtent l="0" t="0" r="0" b="0"/>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8"/>
                    <a:srcRect l="0" t="10458" r="0" b="49002"/>
                    <a:stretch>
                      <a:fillRect/>
                    </a:stretch>
                  </pic:blipFill>
                  <pic:spPr bwMode="auto">
                    <a:xfrm>
                      <a:off x="0" y="0"/>
                      <a:ext cx="5734050" cy="3286125"/>
                    </a:xfrm>
                    <a:prstGeom prst="rect">
                      <a:avLst/>
                    </a:prstGeom>
                  </pic:spPr>
                </pic:pic>
              </a:graphicData>
            </a:graphic>
          </wp:inline>
        </w:drawing>
      </w:r>
    </w:p>
    <w:p>
      <w:pPr>
        <w:pStyle w:val="Normal"/>
        <w:jc w:val="both"/>
        <w:rPr>
          <w:rFonts w:ascii="Times New Roman" w:hAnsi="Times New Roman" w:eastAsia="Times New Roman" w:cs="Times New Roman"/>
          <w:lang w:val="en-US"/>
        </w:rPr>
      </w:pPr>
      <w:r>
        <w:rPr>
          <w:rFonts w:eastAsia="Times New Roman" w:cs="Times New Roman" w:ascii="Times New Roman" w:hAnsi="Times New Roman"/>
          <w:b/>
          <w:lang w:val="en-US"/>
        </w:rPr>
        <w:t xml:space="preserve">Supplemental Figure 1: Visualization of the selection of the sequences similar to </w:t>
      </w:r>
      <w:r>
        <w:rPr>
          <w:rFonts w:eastAsia="Times New Roman" w:cs="Times New Roman" w:ascii="Times New Roman" w:hAnsi="Times New Roman"/>
          <w:b/>
          <w:i/>
          <w:iCs/>
          <w:lang w:val="en-US"/>
        </w:rPr>
        <w:t>Gloeobacterales</w:t>
      </w:r>
      <w:r>
        <w:rPr>
          <w:rFonts w:eastAsia="Times New Roman" w:cs="Times New Roman" w:ascii="Times New Roman" w:hAnsi="Times New Roman"/>
          <w:b/>
          <w:lang w:val="en-US"/>
        </w:rPr>
        <w:t xml:space="preserve"> SQR-I with Ompa-Pa. </w:t>
      </w:r>
      <w:r>
        <w:rPr>
          <w:rFonts w:eastAsia="Times New Roman" w:cs="Times New Roman" w:ascii="Times New Roman" w:hAnsi="Times New Roman"/>
          <w:lang w:val="en-US"/>
        </w:rPr>
        <w:t>Matching sequences were plotted based on their sequence length in function of their -log10(e-value). The blue box corresponds to the selection. Sequences were visualized based on their (A) taxonomy, (B) alignment coverage and (C) number of copies per genome.</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 xml:space="preserve"> </w:t>
      </w:r>
    </w:p>
    <w:p>
      <w:pPr>
        <w:pStyle w:val="Normal"/>
        <w:rPr>
          <w:rFonts w:ascii="Times New Roman" w:hAnsi="Times New Roman" w:eastAsia="Times New Roman" w:cs="Times New Roman"/>
          <w:b/>
          <w:b/>
          <w:lang w:val="en-US"/>
        </w:rPr>
      </w:pPr>
      <w:r>
        <w:drawing>
          <wp:anchor behindDoc="0" distT="0" distB="0" distL="114300" distR="114300" simplePos="0" locked="0" layoutInCell="0" allowOverlap="1" relativeHeight="6">
            <wp:simplePos x="0" y="0"/>
            <wp:positionH relativeFrom="column">
              <wp:posOffset>-127000</wp:posOffset>
            </wp:positionH>
            <wp:positionV relativeFrom="paragraph">
              <wp:posOffset>304165</wp:posOffset>
            </wp:positionV>
            <wp:extent cx="6041390" cy="2597150"/>
            <wp:effectExtent l="0" t="0" r="0" b="0"/>
            <wp:wrapSquare wrapText="bothSides"/>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9"/>
                    <a:srcRect l="0" t="8083" r="3265" b="5889"/>
                    <a:stretch>
                      <a:fillRect/>
                    </a:stretch>
                  </pic:blipFill>
                  <pic:spPr bwMode="auto">
                    <a:xfrm>
                      <a:off x="0" y="0"/>
                      <a:ext cx="6041390" cy="2597150"/>
                    </a:xfrm>
                    <a:prstGeom prst="rect">
                      <a:avLst/>
                    </a:prstGeom>
                  </pic:spPr>
                </pic:pic>
              </a:graphicData>
            </a:graphic>
          </wp:anchor>
        </w:drawing>
      </w:r>
      <w:r>
        <w:rPr>
          <w:rFonts w:eastAsia="Times New Roman" w:cs="Times New Roman" w:ascii="Times New Roman" w:hAnsi="Times New Roman"/>
          <w:b/>
          <w:lang w:val="en-US"/>
        </w:rPr>
        <w:t xml:space="preserve"> </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 xml:space="preserve"> </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 xml:space="preserve"> </w:t>
      </w:r>
    </w:p>
    <w:p>
      <w:pPr>
        <w:pStyle w:val="Normal"/>
        <w:jc w:val="both"/>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31510" cy="298958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0"/>
                    <a:stretch>
                      <a:fillRect/>
                    </a:stretch>
                  </pic:blipFill>
                  <pic:spPr bwMode="auto">
                    <a:xfrm>
                      <a:off x="0" y="0"/>
                      <a:ext cx="5731510" cy="2989580"/>
                    </a:xfrm>
                    <a:prstGeom prst="rect">
                      <a:avLst/>
                    </a:prstGeom>
                  </pic:spPr>
                </pic:pic>
              </a:graphicData>
            </a:graphic>
          </wp:anchor>
        </w:drawing>
      </w:r>
      <w:r>
        <w:rPr>
          <w:rFonts w:eastAsia="Times New Roman" w:cs="Times New Roman" w:ascii="Times New Roman" w:hAnsi="Times New Roman"/>
          <w:b/>
          <w:color w:val="000000"/>
          <w:lang w:val="en-US"/>
        </w:rPr>
        <w:t xml:space="preserve">Supplemental Figure 2: SQR phylogenetic tree prior to selection. </w:t>
      </w:r>
      <w:r>
        <w:rPr>
          <w:rFonts w:eastAsia="Times New Roman" w:cs="Times New Roman" w:ascii="Times New Roman" w:hAnsi="Times New Roman"/>
          <w:color w:val="000000"/>
          <w:lang w:val="en-US"/>
        </w:rPr>
        <w:t xml:space="preserve"> (A) Preliminary multigenic family tree. The subtree corresponding to SQR-I sequences is shown in black. The tree was constructed from 19,081 sequences, corresponding to 453 unambiguously aligned positions, using FastTree with default parameters. The subtree highlighted in black represents the selected SQR-I subtree, corresponding to 192 sequences. (B) Subtree limited to cyanobacterial SQR-I sequences (highlighted in grey on panel A)). Gloeobacterales sequences are highlighted in red while the Phycobacteria sequences are highlighted in pink. The node support values are based on the Shimodaira-Hasegawa (SH) test (18).</w:t>
      </w:r>
    </w:p>
    <w:p>
      <w:pPr>
        <w:pStyle w:val="Normal"/>
        <w:spacing w:lineRule="auto" w:line="240" w:before="0" w:after="24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spacing w:lineRule="auto" w:line="240"/>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pPr>
      <w:r>
        <w:rPr/>
        <w:drawing>
          <wp:inline distT="0" distB="0" distL="0" distR="0">
            <wp:extent cx="5731510" cy="1955800"/>
            <wp:effectExtent l="0" t="0" r="0" b="0"/>
            <wp:docPr id="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
                    <pic:cNvPicPr>
                      <a:picLocks noChangeAspect="1" noChangeArrowheads="1"/>
                    </pic:cNvPicPr>
                  </pic:nvPicPr>
                  <pic:blipFill>
                    <a:blip r:embed="rId11"/>
                    <a:stretch>
                      <a:fillRect/>
                    </a:stretch>
                  </pic:blipFill>
                  <pic:spPr bwMode="auto">
                    <a:xfrm>
                      <a:off x="0" y="0"/>
                      <a:ext cx="5731510" cy="1955800"/>
                    </a:xfrm>
                    <a:prstGeom prst="rect">
                      <a:avLst/>
                    </a:prstGeom>
                  </pic:spPr>
                </pic:pic>
              </a:graphicData>
            </a:graphic>
          </wp:inline>
        </w:drawing>
      </w:r>
    </w:p>
    <w:p>
      <w:pPr>
        <w:pStyle w:val="Normal"/>
        <w:jc w:val="both"/>
        <w:rPr>
          <w:rFonts w:ascii="Times New Roman" w:hAnsi="Times New Roman" w:eastAsia="Times New Roman" w:cs="Times New Roman"/>
          <w:b/>
          <w:b/>
          <w:lang w:val="en-US"/>
        </w:rPr>
      </w:pPr>
      <w:r>
        <w:rPr>
          <w:rFonts w:eastAsia="Times New Roman" w:cs="Times New Roman" w:ascii="Times New Roman" w:hAnsi="Times New Roman"/>
          <w:lang w:val="en-US"/>
        </w:rPr>
        <w:t xml:space="preserve"> </w:t>
      </w:r>
    </w:p>
    <w:p>
      <w:pPr>
        <w:pStyle w:val="Normal"/>
        <w:rPr/>
      </w:pPr>
      <w:r>
        <w:rPr>
          <w:rFonts w:eastAsia="Times New Roman" w:cs="Times New Roman" w:ascii="Times New Roman" w:hAnsi="Times New Roman"/>
          <w:b/>
          <w:lang w:val="en-US"/>
        </w:rPr>
        <w:t xml:space="preserve">Supplemental Figure 3: Functional domains of the SQR-I sequence from </w:t>
      </w:r>
      <w:r>
        <w:rPr>
          <w:rFonts w:eastAsia="Times New Roman" w:cs="Times New Roman" w:ascii="Times New Roman" w:hAnsi="Times New Roman"/>
          <w:b/>
          <w:color w:val="1D1C1D"/>
          <w:lang w:val="en-US"/>
        </w:rPr>
        <w:t>GCA_949127895.1</w:t>
      </w:r>
      <w:r>
        <w:rPr>
          <w:rFonts w:eastAsia="Times New Roman" w:cs="Times New Roman" w:ascii="Times New Roman" w:hAnsi="Times New Roman"/>
          <w:b/>
          <w:lang w:val="en-US"/>
        </w:rPr>
        <w:t>.</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rPr>
      </w:pPr>
      <w:r>
        <w:rPr/>
        <w:drawing>
          <wp:inline distT="0" distB="0" distL="0" distR="0">
            <wp:extent cx="5734050" cy="3505200"/>
            <wp:effectExtent l="0" t="0" r="0" b="0"/>
            <wp:docPr id="5"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descr=""/>
                    <pic:cNvPicPr>
                      <a:picLocks noChangeAspect="1" noChangeArrowheads="1"/>
                    </pic:cNvPicPr>
                  </pic:nvPicPr>
                  <pic:blipFill>
                    <a:blip r:embed="rId12"/>
                    <a:srcRect l="0" t="0" r="0" b="15808"/>
                    <a:stretch>
                      <a:fillRect/>
                    </a:stretch>
                  </pic:blipFill>
                  <pic:spPr bwMode="auto">
                    <a:xfrm>
                      <a:off x="0" y="0"/>
                      <a:ext cx="5734050" cy="3505200"/>
                    </a:xfrm>
                    <a:prstGeom prst="rect">
                      <a:avLst/>
                    </a:prstGeom>
                  </pic:spPr>
                </pic:pic>
              </a:graphicData>
            </a:graphic>
          </wp:inline>
        </w:drawing>
      </w:r>
    </w:p>
    <w:p>
      <w:pPr>
        <w:pStyle w:val="Normal"/>
        <w:rPr>
          <w:rFonts w:ascii="Times New Roman" w:hAnsi="Times New Roman" w:eastAsia="Times New Roman" w:cs="Times New Roman"/>
          <w:b/>
          <w:b/>
        </w:rPr>
      </w:pPr>
      <w:r>
        <w:rPr/>
        <w:drawing>
          <wp:inline distT="0" distB="0" distL="0" distR="0">
            <wp:extent cx="5734050" cy="840740"/>
            <wp:effectExtent l="0" t="0" r="0" b="0"/>
            <wp:docPr id="6"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descr=""/>
                    <pic:cNvPicPr>
                      <a:picLocks noChangeAspect="1" noChangeArrowheads="1"/>
                    </pic:cNvPicPr>
                  </pic:nvPicPr>
                  <pic:blipFill>
                    <a:blip r:embed="rId13"/>
                    <a:srcRect l="0" t="1528" r="0" b="78397"/>
                    <a:stretch>
                      <a:fillRect/>
                    </a:stretch>
                  </pic:blipFill>
                  <pic:spPr bwMode="auto">
                    <a:xfrm>
                      <a:off x="0" y="0"/>
                      <a:ext cx="5734050" cy="840740"/>
                    </a:xfrm>
                    <a:prstGeom prst="rect">
                      <a:avLst/>
                    </a:prstGeom>
                  </pic:spPr>
                </pic:pic>
              </a:graphicData>
            </a:graphic>
          </wp:inline>
        </w:drawing>
      </w:r>
    </w:p>
    <w:p>
      <w:pPr>
        <w:pStyle w:val="Normal"/>
        <w:jc w:val="both"/>
        <w:rPr>
          <w:rFonts w:ascii="Times New Roman" w:hAnsi="Times New Roman" w:eastAsia="Times New Roman" w:cs="Times New Roman"/>
          <w:lang w:val="en-US"/>
        </w:rPr>
      </w:pPr>
      <w:r>
        <w:rPr>
          <w:rFonts w:eastAsia="Times New Roman" w:cs="Times New Roman" w:ascii="Times New Roman" w:hAnsi="Times New Roman"/>
          <w:b/>
          <w:lang w:val="en-US"/>
        </w:rPr>
        <w:t xml:space="preserve">Supplemental Figure 4: Amino acid sequence alignment of the three </w:t>
      </w:r>
      <w:r>
        <w:rPr>
          <w:rFonts w:eastAsia="Times New Roman" w:cs="Times New Roman" w:ascii="Times New Roman" w:hAnsi="Times New Roman"/>
          <w:b/>
          <w:i/>
          <w:lang w:val="en-US"/>
        </w:rPr>
        <w:t>Gloeobacter</w:t>
      </w:r>
      <w:r>
        <w:rPr>
          <w:rFonts w:eastAsia="Times New Roman" w:cs="Times New Roman" w:ascii="Times New Roman" w:hAnsi="Times New Roman"/>
          <w:b/>
          <w:lang w:val="en-US"/>
        </w:rPr>
        <w:t xml:space="preserve"> SQR-I with SQR-I sequences of other basal lineages and the sequence of </w:t>
      </w:r>
      <w:r>
        <w:rPr>
          <w:rFonts w:eastAsia="Times New Roman" w:cs="Times New Roman" w:ascii="Times New Roman" w:hAnsi="Times New Roman"/>
          <w:b/>
          <w:i/>
          <w:iCs/>
          <w:lang w:val="en-US"/>
        </w:rPr>
        <w:t>Synechocystis</w:t>
      </w:r>
      <w:r>
        <w:rPr>
          <w:rFonts w:eastAsia="Times New Roman" w:cs="Times New Roman" w:ascii="Times New Roman" w:hAnsi="Times New Roman"/>
          <w:b/>
          <w:lang w:val="en-US"/>
        </w:rPr>
        <w:t xml:space="preserve"> PCC 6803 substr. Kazusa Sll5036. </w:t>
      </w:r>
      <w:r>
        <w:rPr>
          <w:rFonts w:eastAsia="Times New Roman" w:cs="Times New Roman" w:ascii="Times New Roman" w:hAnsi="Times New Roman"/>
          <w:lang w:val="en-US"/>
        </w:rPr>
        <w:t>The residues playing a direct role in the catalytic mechanism of the enzyme, by covalently binding FAD or creating a sulfide bond, are annotated. The C-ter putative amphipathic helix supposedly anchors the protein within a membrane (16). Residues that are 100% conserved are indicated by an asterisk (*); residues conserved in more than 50% of the sequences are indicated by a colon (:); and poorly conserved residues are indicated by a dot (·).</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nl-BE"/>
        </w:rPr>
      </w:pPr>
      <w:r>
        <w:drawing>
          <wp:anchor behindDoc="0" distT="0" distB="0" distL="0" distR="0" simplePos="0" locked="0" layoutInCell="0" allowOverlap="1" relativeHeight="8">
            <wp:simplePos x="0" y="0"/>
            <wp:positionH relativeFrom="column">
              <wp:posOffset>184785</wp:posOffset>
            </wp:positionH>
            <wp:positionV relativeFrom="paragraph">
              <wp:posOffset>20955</wp:posOffset>
            </wp:positionV>
            <wp:extent cx="5367655" cy="3735070"/>
            <wp:effectExtent l="0" t="0" r="0" b="0"/>
            <wp:wrapTopAndBottom/>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4"/>
                    <a:srcRect l="3345" t="4533" r="2996" b="5992"/>
                    <a:stretch>
                      <a:fillRect/>
                    </a:stretch>
                  </pic:blipFill>
                  <pic:spPr bwMode="auto">
                    <a:xfrm>
                      <a:off x="0" y="0"/>
                      <a:ext cx="5367655" cy="3735070"/>
                    </a:xfrm>
                    <a:prstGeom prst="rect">
                      <a:avLst/>
                    </a:prstGeom>
                  </pic:spPr>
                </pic:pic>
              </a:graphicData>
            </a:graphic>
          </wp:anchor>
        </w:drawing>
      </w:r>
      <w:r>
        <w:rPr>
          <w:rFonts w:eastAsia="Times New Roman" w:cs="Times New Roman" w:ascii="Times New Roman" w:hAnsi="Times New Roman"/>
          <w:b/>
          <w:lang w:val="nl-BE"/>
        </w:rPr>
        <w:t xml:space="preserve">Suppl​​emental Figure 5: Workflow overview. </w:t>
      </w:r>
    </w:p>
    <w:p>
      <w:pPr>
        <w:pStyle w:val="Normal"/>
        <w:rPr>
          <w:rFonts w:ascii="Times New Roman" w:hAnsi="Times New Roman" w:eastAsia="Times New Roman" w:cs="Times New Roman"/>
          <w:b/>
          <w:b/>
          <w:lang w:val="nl-BE"/>
        </w:rPr>
      </w:pPr>
      <w:r>
        <w:rPr>
          <w:rFonts w:eastAsia="Times New Roman" w:cs="Times New Roman" w:ascii="Times New Roman" w:hAnsi="Times New Roman"/>
          <w:b/>
          <w:lang w:val="nl-BE"/>
        </w:rPr>
        <w:t xml:space="preserve"> </w:t>
      </w:r>
    </w:p>
    <w:tbl>
      <w:tblPr>
        <w:tblW w:w="8895" w:type="dxa"/>
        <w:jc w:val="left"/>
        <w:tblInd w:w="110" w:type="dxa"/>
        <w:tblLayout w:type="fixed"/>
        <w:tblCellMar>
          <w:top w:w="0" w:type="dxa"/>
          <w:left w:w="100" w:type="dxa"/>
          <w:bottom w:w="0" w:type="dxa"/>
          <w:right w:w="100" w:type="dxa"/>
        </w:tblCellMar>
        <w:tblLook w:val="0600" w:noHBand="1" w:noVBand="1" w:firstColumn="0" w:lastRow="0" w:lastColumn="0" w:firstRow="0"/>
      </w:tblPr>
      <w:tblGrid>
        <w:gridCol w:w="1545"/>
        <w:gridCol w:w="1755"/>
        <w:gridCol w:w="1472"/>
        <w:gridCol w:w="1482"/>
        <w:gridCol w:w="1369"/>
        <w:gridCol w:w="1271"/>
      </w:tblGrid>
      <w:tr>
        <w:trPr>
          <w:trHeight w:val="195" w:hRule="atLeast"/>
        </w:trPr>
        <w:tc>
          <w:tcPr>
            <w:tcW w:w="1545" w:type="dxa"/>
            <w:tcBorders>
              <w:top w:val="single" w:sz="8"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Accession</w:t>
            </w:r>
          </w:p>
        </w:tc>
        <w:tc>
          <w:tcPr>
            <w:tcW w:w="1755" w:type="dxa"/>
            <w:tcBorders>
              <w:top w:val="single" w:sz="8"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Biosample</w:t>
            </w:r>
          </w:p>
        </w:tc>
        <w:tc>
          <w:tcPr>
            <w:tcW w:w="1472" w:type="dxa"/>
            <w:tcBorders>
              <w:top w:val="single" w:sz="8"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Longitude</w:t>
            </w:r>
          </w:p>
        </w:tc>
        <w:tc>
          <w:tcPr>
            <w:tcW w:w="1482" w:type="dxa"/>
            <w:tcBorders>
              <w:top w:val="single" w:sz="8"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Latitude</w:t>
            </w:r>
          </w:p>
        </w:tc>
        <w:tc>
          <w:tcPr>
            <w:tcW w:w="1369" w:type="dxa"/>
            <w:tcBorders>
              <w:top w:val="single" w:sz="8"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Country</w:t>
            </w:r>
          </w:p>
        </w:tc>
        <w:tc>
          <w:tcPr>
            <w:tcW w:w="1271" w:type="dxa"/>
            <w:tcBorders>
              <w:top w:val="single" w:sz="8"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Cold criterion</w:t>
            </w:r>
          </w:p>
        </w:tc>
      </w:tr>
      <w:tr>
        <w:trPr>
          <w:trHeight w:val="37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SRR7514503</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SAMN09633317</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-111.338851</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58.778056</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Alberta, Canada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Subarctic (50°–66°N)</w:t>
            </w:r>
          </w:p>
        </w:tc>
      </w:tr>
      <w:tr>
        <w:trPr>
          <w:trHeight w:val="55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ERR10836081</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SAMEA112464045</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158.8320278</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-54.71655556</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Macquarie Island, Australia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lang w:val="en-US"/>
              </w:rPr>
            </w:pPr>
            <w:r>
              <w:rPr>
                <w:rFonts w:eastAsia="Times New Roman" w:cs="Times New Roman" w:ascii="Times New Roman" w:hAnsi="Times New Roman"/>
                <w:sz w:val="16"/>
                <w:szCs w:val="16"/>
                <w:lang w:val="en-US"/>
              </w:rPr>
              <w:t>Subantarctic island (explicit polar region)</w:t>
            </w:r>
          </w:p>
        </w:tc>
      </w:tr>
      <w:tr>
        <w:trPr>
          <w:trHeight w:val="649"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ERR10836083</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SAMEA112464047</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37.58983333</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-46.94294444</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Marion Island, South-Africa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lang w:val="en-US"/>
              </w:rPr>
            </w:pPr>
            <w:r>
              <w:rPr>
                <w:rFonts w:eastAsia="Times New Roman" w:cs="Times New Roman" w:ascii="Times New Roman" w:hAnsi="Times New Roman"/>
                <w:sz w:val="16"/>
                <w:szCs w:val="16"/>
                <w:lang w:val="en-US"/>
              </w:rPr>
              <w:t>Subantarctic island (explicit polar region)</w:t>
            </w:r>
          </w:p>
        </w:tc>
      </w:tr>
      <w:tr>
        <w:trPr>
          <w:trHeight w:val="55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ERR12143029</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SAMEA114504931</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-73.41625</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47.81176</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St. Maurice River, Canada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Temperate (&lt;50°N, non-polar)</w:t>
            </w:r>
          </w:p>
        </w:tc>
      </w:tr>
      <w:tr>
        <w:trPr>
          <w:trHeight w:val="55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ERR12143032</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SAMEA114504934</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-73.41625</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47.81176</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St. Maurice River, Canada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Temperate (&lt;50°N, non-polar)</w:t>
            </w:r>
          </w:p>
        </w:tc>
      </w:tr>
      <w:tr>
        <w:trPr>
          <w:trHeight w:val="37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ERR3772646</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SAMEA6430891</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102.289</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72.399</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Tundra, Russia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Polar (&gt;66°N, Arctic tundra)</w:t>
            </w:r>
          </w:p>
        </w:tc>
      </w:tr>
      <w:tr>
        <w:trPr>
          <w:trHeight w:val="37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SRR10595505</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SAMN13483817</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Artic</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Polar (explicit Arctic location)</w:t>
            </w:r>
          </w:p>
        </w:tc>
      </w:tr>
      <w:tr>
        <w:trPr>
          <w:trHeight w:val="37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SRR3480285</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SAMN04958484</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-170.25</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57.18</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Lake Hill Alaska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Subarctic (50°–66°N)</w:t>
            </w:r>
          </w:p>
        </w:tc>
      </w:tr>
      <w:tr>
        <w:trPr>
          <w:trHeight w:val="19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SRR3985421</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SAMN05421611</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-156.61</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71.2999</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Barrow, Alaska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Polar (&gt;66°N)</w:t>
            </w:r>
          </w:p>
        </w:tc>
      </w:tr>
      <w:tr>
        <w:trPr>
          <w:trHeight w:val="19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SRR3985424</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SAMN05422056</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-156.61</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71.2999</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Barrow, Alaska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Polar (&gt;66°N)</w:t>
            </w:r>
          </w:p>
        </w:tc>
      </w:tr>
      <w:tr>
        <w:trPr>
          <w:trHeight w:val="195" w:hRule="atLeast"/>
        </w:trPr>
        <w:tc>
          <w:tcPr>
            <w:tcW w:w="1545" w:type="dxa"/>
            <w:tcBorders>
              <w:top w:val="single" w:sz="6" w:space="0" w:color="000000"/>
              <w:left w:val="single" w:sz="8"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SRR3985527</w:t>
            </w:r>
          </w:p>
        </w:tc>
        <w:tc>
          <w:tcPr>
            <w:tcW w:w="1755"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SAMN05422055</w:t>
            </w:r>
          </w:p>
        </w:tc>
        <w:tc>
          <w:tcPr>
            <w:tcW w:w="147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-156.61</w:t>
            </w:r>
          </w:p>
        </w:tc>
        <w:tc>
          <w:tcPr>
            <w:tcW w:w="1482"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71.2999</w:t>
            </w:r>
          </w:p>
        </w:tc>
        <w:tc>
          <w:tcPr>
            <w:tcW w:w="1369" w:type="dxa"/>
            <w:tcBorders>
              <w:top w:val="single" w:sz="6" w:space="0" w:color="000000"/>
              <w:left w:val="single" w:sz="6" w:space="0" w:color="000000"/>
              <w:bottom w:val="single" w:sz="8" w:space="0" w:color="000000"/>
              <w:right w:val="single" w:sz="8" w:space="0" w:color="000000"/>
            </w:tcBorders>
            <w:vAlign w:val="bottom"/>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Barrow, Alaska</w:t>
            </w:r>
          </w:p>
        </w:tc>
        <w:tc>
          <w:tcPr>
            <w:tcW w:w="1271" w:type="dxa"/>
            <w:tcBorders>
              <w:top w:val="single" w:sz="6" w:space="0" w:color="000000"/>
              <w:left w:val="single" w:sz="6"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Polar (&gt;66°N)</w:t>
            </w:r>
          </w:p>
        </w:tc>
      </w:tr>
    </w:tbl>
    <w:p>
      <w:pPr>
        <w:pStyle w:val="Normal"/>
        <w:rPr>
          <w:rFonts w:ascii="Times New Roman" w:hAnsi="Times New Roman" w:eastAsia="Times New Roman" w:cs="Times New Roman"/>
          <w:b/>
          <w:b/>
        </w:rPr>
      </w:pPr>
      <w:r>
        <w:rPr>
          <w:rFonts w:eastAsia="Times New Roman" w:cs="Times New Roman" w:ascii="Times New Roman" w:hAnsi="Times New Roman"/>
          <w:b/>
        </w:rPr>
        <w:t xml:space="preserve"> </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Supplemental Table 1: Information on SRA entries identified by Logan search.</w:t>
      </w:r>
    </w:p>
    <w:p>
      <w:pPr>
        <w:pStyle w:val="Normal"/>
        <w:rPr>
          <w:lang w:val="en-US"/>
        </w:rPr>
      </w:pPr>
      <w:r>
        <w:rPr>
          <w:lang w:val="en-US"/>
        </w:rPr>
      </w:r>
    </w:p>
    <w:p>
      <w:pPr>
        <w:pStyle w:val="Normal"/>
        <w:rPr>
          <w:rFonts w:ascii="Times New Roman" w:hAnsi="Times New Roman" w:eastAsia="Times New Roman" w:cs="Times New Roman"/>
          <w:lang w:val="en-US"/>
        </w:rPr>
      </w:pPr>
      <w:r>
        <w:rPr>
          <w:rFonts w:eastAsia="Times New Roman" w:cs="Times New Roman" w:ascii="Times New Roman" w:hAnsi="Times New Roman"/>
          <w:lang w:val="en-US"/>
        </w:rPr>
      </w:r>
    </w:p>
    <w:tbl>
      <w:tblPr>
        <w:tblW w:w="8760" w:type="dxa"/>
        <w:jc w:val="left"/>
        <w:tblInd w:w="110" w:type="dxa"/>
        <w:tblLayout w:type="fixed"/>
        <w:tblCellMar>
          <w:top w:w="100" w:type="dxa"/>
          <w:left w:w="100" w:type="dxa"/>
          <w:bottom w:w="100" w:type="dxa"/>
          <w:right w:w="100" w:type="dxa"/>
        </w:tblCellMar>
        <w:tblLook w:val="0600" w:noHBand="1" w:noVBand="1" w:firstColumn="0" w:lastRow="0" w:lastColumn="0" w:firstRow="0"/>
      </w:tblPr>
      <w:tblGrid>
        <w:gridCol w:w="3135"/>
        <w:gridCol w:w="2535"/>
        <w:gridCol w:w="3090"/>
      </w:tblGrid>
      <w:tr>
        <w:trPr>
          <w:trHeight w:val="361" w:hRule="atLeast"/>
        </w:trPr>
        <w:tc>
          <w:tcPr>
            <w:tcW w:w="3135" w:type="dxa"/>
            <w:tcBorders>
              <w:top w:val="single" w:sz="8" w:space="0" w:color="000000"/>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Criteria</w:t>
            </w:r>
          </w:p>
        </w:tc>
        <w:tc>
          <w:tcPr>
            <w:tcW w:w="2535" w:type="dxa"/>
            <w:tcBorders>
              <w:top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Cyanobacteria sampling</w:t>
            </w:r>
          </w:p>
        </w:tc>
        <w:tc>
          <w:tcPr>
            <w:tcW w:w="3090" w:type="dxa"/>
            <w:tcBorders>
              <w:top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b/>
                <w:b/>
                <w:sz w:val="16"/>
                <w:szCs w:val="16"/>
              </w:rPr>
            </w:pPr>
            <w:r>
              <w:rPr>
                <w:rFonts w:eastAsia="Times New Roman" w:cs="Times New Roman" w:ascii="Times New Roman" w:hAnsi="Times New Roman"/>
                <w:b/>
                <w:sz w:val="16"/>
                <w:szCs w:val="16"/>
              </w:rPr>
              <w:t>GTDB representative species</w:t>
            </w:r>
          </w:p>
        </w:tc>
      </w:tr>
      <w:tr>
        <w:trPr>
          <w:trHeight w:val="405"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Maximum copy number</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3</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10</w:t>
            </w:r>
          </w:p>
        </w:tc>
      </w:tr>
      <w:tr>
        <w:trPr>
          <w:trHeight w:val="405"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Maximum sequence coverage</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w:t>
            </w:r>
          </w:p>
        </w:tc>
      </w:tr>
      <w:tr>
        <w:trPr>
          <w:trHeight w:val="375"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Maximum –log(e-value)</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241</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233</w:t>
            </w:r>
          </w:p>
        </w:tc>
      </w:tr>
      <w:tr>
        <w:trPr>
          <w:trHeight w:val="435"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Maximum sequence length</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515</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646</w:t>
            </w:r>
          </w:p>
        </w:tc>
      </w:tr>
      <w:tr>
        <w:trPr>
          <w:trHeight w:val="420"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Minimum copy number</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w:t>
            </w:r>
          </w:p>
        </w:tc>
      </w:tr>
      <w:tr>
        <w:trPr>
          <w:trHeight w:val="405"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Minimum sequence coverage</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0</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0</w:t>
            </w:r>
          </w:p>
        </w:tc>
      </w:tr>
      <w:tr>
        <w:trPr>
          <w:trHeight w:val="450"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Minimum –log(e-value)</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154</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18</w:t>
            </w:r>
          </w:p>
        </w:tc>
      </w:tr>
      <w:tr>
        <w:trPr>
          <w:trHeight w:val="465" w:hRule="atLeast"/>
        </w:trPr>
        <w:tc>
          <w:tcPr>
            <w:tcW w:w="3135" w:type="dxa"/>
            <w:tcBorders>
              <w:left w:val="single" w:sz="8" w:space="0" w:color="000000"/>
              <w:bottom w:val="single" w:sz="8" w:space="0" w:color="000000"/>
              <w:right w:val="single" w:sz="8" w:space="0" w:color="000000"/>
            </w:tcBorders>
          </w:tcPr>
          <w:p>
            <w:pPr>
              <w:pStyle w:val="Normal"/>
              <w:widowControl w:val="false"/>
              <w:rPr>
                <w:rFonts w:ascii="Times New Roman" w:hAnsi="Times New Roman" w:eastAsia="Times New Roman" w:cs="Times New Roman"/>
                <w:sz w:val="16"/>
                <w:szCs w:val="16"/>
              </w:rPr>
            </w:pPr>
            <w:r>
              <w:rPr>
                <w:rFonts w:eastAsia="Times New Roman" w:cs="Times New Roman" w:ascii="Times New Roman" w:hAnsi="Times New Roman"/>
                <w:sz w:val="16"/>
                <w:szCs w:val="16"/>
              </w:rPr>
              <w:t>Minimum sequence length</w:t>
            </w:r>
          </w:p>
        </w:tc>
        <w:tc>
          <w:tcPr>
            <w:tcW w:w="2535"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282</w:t>
            </w:r>
          </w:p>
        </w:tc>
        <w:tc>
          <w:tcPr>
            <w:tcW w:w="3090" w:type="dxa"/>
            <w:tcBorders>
              <w:bottom w:val="single" w:sz="8" w:space="0" w:color="000000"/>
              <w:right w:val="single" w:sz="8"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215</w:t>
            </w:r>
          </w:p>
        </w:tc>
      </w:tr>
    </w:tbl>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 xml:space="preserve">Supplemental Table 2: Criteria applied for the selection of similar SQR-I sequences using Ompa-Pa.  </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ab/>
        <w:t xml:space="preserve"> </w:t>
        <w:tab/>
        <w:t xml:space="preserve"> </w:t>
        <w:tab/>
        <w:t xml:space="preserve"> </w:t>
        <w:tab/>
        <w:t xml:space="preserve"> </w:t>
        <w:tab/>
        <w:t xml:space="preserve"> </w:t>
        <w:tab/>
      </w:r>
    </w:p>
    <w:tbl>
      <w:tblPr>
        <w:tblW w:w="9015" w:type="dxa"/>
        <w:jc w:val="left"/>
        <w:tblInd w:w="108" w:type="dxa"/>
        <w:tblLayout w:type="fixed"/>
        <w:tblCellMar>
          <w:top w:w="100" w:type="dxa"/>
          <w:left w:w="100" w:type="dxa"/>
          <w:bottom w:w="100" w:type="dxa"/>
          <w:right w:w="100" w:type="dxa"/>
        </w:tblCellMar>
        <w:tblLook w:val="0600" w:noHBand="1" w:noVBand="1" w:firstColumn="0" w:lastRow="0" w:lastColumn="0" w:firstRow="0"/>
      </w:tblPr>
      <w:tblGrid>
        <w:gridCol w:w="704"/>
        <w:gridCol w:w="467"/>
        <w:gridCol w:w="602"/>
        <w:gridCol w:w="372"/>
        <w:gridCol w:w="540"/>
        <w:gridCol w:w="1323"/>
        <w:gridCol w:w="705"/>
        <w:gridCol w:w="762"/>
        <w:gridCol w:w="705"/>
        <w:gridCol w:w="840"/>
        <w:gridCol w:w="585"/>
        <w:gridCol w:w="641"/>
        <w:gridCol w:w="768"/>
      </w:tblGrid>
      <w:tr>
        <w:trPr>
          <w:trHeight w:val="455" w:hRule="atLeast"/>
        </w:trPr>
        <w:tc>
          <w:tcPr>
            <w:tcW w:w="704"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genome</w:t>
            </w:r>
          </w:p>
        </w:tc>
        <w:tc>
          <w:tcPr>
            <w:tcW w:w="467"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n_genes_called</w:t>
            </w:r>
          </w:p>
        </w:tc>
        <w:tc>
          <w:tcPr>
            <w:tcW w:w="602"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n_genes_mapped</w:t>
            </w:r>
          </w:p>
        </w:tc>
        <w:tc>
          <w:tcPr>
            <w:tcW w:w="372"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n_contigs</w:t>
            </w:r>
          </w:p>
        </w:tc>
        <w:tc>
          <w:tcPr>
            <w:tcW w:w="540"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taxonomic_level</w:t>
            </w:r>
          </w:p>
        </w:tc>
        <w:tc>
          <w:tcPr>
            <w:tcW w:w="1323"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lang w:val="en-US"/>
              </w:rPr>
            </w:pPr>
            <w:r>
              <w:rPr>
                <w:rFonts w:eastAsia="Times New Roman" w:cs="Times New Roman" w:ascii="Times New Roman" w:hAnsi="Times New Roman"/>
                <w:b/>
                <w:bCs/>
                <w:sz w:val="10"/>
                <w:szCs w:val="10"/>
                <w:lang w:val="en-US"/>
              </w:rPr>
              <w:t>proportion_genes_retained_in_major_clades</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genes_retained_index</w:t>
            </w:r>
          </w:p>
        </w:tc>
        <w:tc>
          <w:tcPr>
            <w:tcW w:w="762"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clade_separation_score</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contamination_portion</w:t>
            </w:r>
          </w:p>
        </w:tc>
        <w:tc>
          <w:tcPr>
            <w:tcW w:w="840"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n_effective_surplus_clades</w:t>
            </w:r>
          </w:p>
        </w:tc>
        <w:tc>
          <w:tcPr>
            <w:tcW w:w="585"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mean_hit_identity</w:t>
            </w:r>
          </w:p>
        </w:tc>
        <w:tc>
          <w:tcPr>
            <w:tcW w:w="641"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reference_representation_score</w:t>
            </w:r>
          </w:p>
        </w:tc>
        <w:tc>
          <w:tcPr>
            <w:tcW w:w="76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0"/>
                <w:szCs w:val="10"/>
              </w:rPr>
            </w:pPr>
            <w:r>
              <w:rPr>
                <w:rFonts w:eastAsia="Times New Roman" w:cs="Times New Roman" w:ascii="Times New Roman" w:hAnsi="Times New Roman"/>
                <w:b/>
                <w:bCs/>
                <w:sz w:val="10"/>
                <w:szCs w:val="10"/>
              </w:rPr>
              <w:t>pass.GUNC</w:t>
            </w:r>
          </w:p>
        </w:tc>
      </w:tr>
      <w:tr>
        <w:trPr>
          <w:trHeight w:val="455" w:hRule="atLeast"/>
        </w:trPr>
        <w:tc>
          <w:tcPr>
            <w:tcW w:w="704"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sz w:val="10"/>
                <w:szCs w:val="10"/>
              </w:rPr>
            </w:pPr>
            <w:r>
              <w:rPr>
                <w:rFonts w:eastAsia="Times New Roman" w:cs="Times New Roman" w:ascii="Times New Roman" w:hAnsi="Times New Roman"/>
                <w:sz w:val="10"/>
                <w:szCs w:val="10"/>
              </w:rPr>
              <w:t>GCA_038245785.1</w:t>
            </w:r>
          </w:p>
        </w:tc>
        <w:tc>
          <w:tcPr>
            <w:tcW w:w="467"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5142</w:t>
            </w:r>
          </w:p>
        </w:tc>
        <w:tc>
          <w:tcPr>
            <w:tcW w:w="60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4612</w:t>
            </w:r>
          </w:p>
        </w:tc>
        <w:tc>
          <w:tcPr>
            <w:tcW w:w="37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224</w:t>
            </w:r>
          </w:p>
        </w:tc>
        <w:tc>
          <w:tcPr>
            <w:tcW w:w="540"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phylum</w:t>
            </w:r>
          </w:p>
        </w:tc>
        <w:tc>
          <w:tcPr>
            <w:tcW w:w="1323"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0.92</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0.82</w:t>
            </w:r>
          </w:p>
        </w:tc>
        <w:tc>
          <w:tcPr>
            <w:tcW w:w="76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0.26</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0.12</w:t>
            </w:r>
          </w:p>
        </w:tc>
        <w:tc>
          <w:tcPr>
            <w:tcW w:w="840"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0.26</w:t>
            </w:r>
          </w:p>
        </w:tc>
        <w:tc>
          <w:tcPr>
            <w:tcW w:w="58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0.62</w:t>
            </w:r>
          </w:p>
        </w:tc>
        <w:tc>
          <w:tcPr>
            <w:tcW w:w="641"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0.51</w:t>
            </w:r>
          </w:p>
        </w:tc>
        <w:tc>
          <w:tcPr>
            <w:tcW w:w="768"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TRUE</w:t>
            </w:r>
          </w:p>
        </w:tc>
      </w:tr>
      <w:tr>
        <w:trPr>
          <w:trHeight w:val="455" w:hRule="atLeast"/>
        </w:trPr>
        <w:tc>
          <w:tcPr>
            <w:tcW w:w="704"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sz w:val="10"/>
                <w:szCs w:val="10"/>
              </w:rPr>
            </w:pPr>
            <w:r>
              <w:rPr>
                <w:rFonts w:eastAsia="Times New Roman" w:cs="Times New Roman" w:ascii="Times New Roman" w:hAnsi="Times New Roman"/>
                <w:sz w:val="10"/>
                <w:szCs w:val="10"/>
              </w:rPr>
              <w:t>GCA_949127685.1</w:t>
            </w:r>
          </w:p>
        </w:tc>
        <w:tc>
          <w:tcPr>
            <w:tcW w:w="467"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2942</w:t>
            </w:r>
          </w:p>
        </w:tc>
        <w:tc>
          <w:tcPr>
            <w:tcW w:w="60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2658</w:t>
            </w:r>
          </w:p>
        </w:tc>
        <w:tc>
          <w:tcPr>
            <w:tcW w:w="37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344</w:t>
            </w:r>
          </w:p>
        </w:tc>
        <w:tc>
          <w:tcPr>
            <w:tcW w:w="540"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phylum</w:t>
            </w:r>
          </w:p>
        </w:tc>
        <w:tc>
          <w:tcPr>
            <w:tcW w:w="1323"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0.94</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0.85</w:t>
            </w:r>
          </w:p>
        </w:tc>
        <w:tc>
          <w:tcPr>
            <w:tcW w:w="76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0.16</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0.06</w:t>
            </w:r>
          </w:p>
        </w:tc>
        <w:tc>
          <w:tcPr>
            <w:tcW w:w="840"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0.12</w:t>
            </w:r>
          </w:p>
        </w:tc>
        <w:tc>
          <w:tcPr>
            <w:tcW w:w="58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0.62</w:t>
            </w:r>
          </w:p>
        </w:tc>
        <w:tc>
          <w:tcPr>
            <w:tcW w:w="641"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0.53</w:t>
            </w:r>
          </w:p>
        </w:tc>
        <w:tc>
          <w:tcPr>
            <w:tcW w:w="768"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TRUE</w:t>
            </w:r>
          </w:p>
        </w:tc>
      </w:tr>
      <w:tr>
        <w:trPr>
          <w:trHeight w:val="455" w:hRule="atLeast"/>
        </w:trPr>
        <w:tc>
          <w:tcPr>
            <w:tcW w:w="704"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sz w:val="10"/>
                <w:szCs w:val="10"/>
              </w:rPr>
            </w:pPr>
            <w:r>
              <w:rPr>
                <w:rFonts w:eastAsia="Times New Roman" w:cs="Times New Roman" w:ascii="Times New Roman" w:hAnsi="Times New Roman"/>
                <w:sz w:val="10"/>
                <w:szCs w:val="10"/>
              </w:rPr>
              <w:t>GCA_949127895.1</w:t>
            </w:r>
          </w:p>
        </w:tc>
        <w:tc>
          <w:tcPr>
            <w:tcW w:w="467"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3042</w:t>
            </w:r>
          </w:p>
        </w:tc>
        <w:tc>
          <w:tcPr>
            <w:tcW w:w="60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2742</w:t>
            </w:r>
          </w:p>
        </w:tc>
        <w:tc>
          <w:tcPr>
            <w:tcW w:w="37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380</w:t>
            </w:r>
          </w:p>
        </w:tc>
        <w:tc>
          <w:tcPr>
            <w:tcW w:w="540"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phylum</w:t>
            </w:r>
          </w:p>
        </w:tc>
        <w:tc>
          <w:tcPr>
            <w:tcW w:w="1323"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0.94</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0.84</w:t>
            </w:r>
          </w:p>
        </w:tc>
        <w:tc>
          <w:tcPr>
            <w:tcW w:w="762"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0.34</w:t>
            </w:r>
          </w:p>
        </w:tc>
        <w:tc>
          <w:tcPr>
            <w:tcW w:w="70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0.07</w:t>
            </w:r>
          </w:p>
        </w:tc>
        <w:tc>
          <w:tcPr>
            <w:tcW w:w="840"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0.15</w:t>
            </w:r>
          </w:p>
        </w:tc>
        <w:tc>
          <w:tcPr>
            <w:tcW w:w="58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0.62</w:t>
            </w:r>
          </w:p>
        </w:tc>
        <w:tc>
          <w:tcPr>
            <w:tcW w:w="641"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0.52</w:t>
            </w:r>
          </w:p>
        </w:tc>
        <w:tc>
          <w:tcPr>
            <w:tcW w:w="768"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0"/>
                <w:szCs w:val="10"/>
              </w:rPr>
            </w:pPr>
            <w:r>
              <w:rPr>
                <w:rFonts w:eastAsia="Times New Roman" w:cs="Times New Roman" w:ascii="Times New Roman" w:hAnsi="Times New Roman"/>
                <w:sz w:val="10"/>
                <w:szCs w:val="10"/>
              </w:rPr>
              <w:t>TRUE</w:t>
            </w:r>
          </w:p>
        </w:tc>
      </w:tr>
    </w:tbl>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 xml:space="preserve">Supplemental Table 3: GUNC metrics for contamination assessment of the three </w:t>
      </w:r>
      <w:r>
        <w:rPr>
          <w:rFonts w:eastAsia="Times New Roman" w:cs="Times New Roman" w:ascii="Times New Roman" w:hAnsi="Times New Roman"/>
          <w:b/>
          <w:i/>
          <w:lang w:val="en-US"/>
        </w:rPr>
        <w:t xml:space="preserve">Gloeobacter </w:t>
      </w:r>
      <w:r>
        <w:rPr>
          <w:rFonts w:eastAsia="Times New Roman" w:cs="Times New Roman" w:ascii="Times New Roman" w:hAnsi="Times New Roman"/>
          <w:b/>
          <w:lang w:val="en-US"/>
        </w:rPr>
        <w:t>MAGs.</w:t>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r>
    </w:p>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ab/>
        <w:t xml:space="preserve"> </w:t>
        <w:tab/>
        <w:t xml:space="preserve"> </w:t>
        <w:tab/>
        <w:t xml:space="preserve"> </w:t>
        <w:tab/>
        <w:t xml:space="preserve"> </w:t>
        <w:tab/>
        <w:t xml:space="preserve"> </w:t>
        <w:tab/>
      </w:r>
    </w:p>
    <w:tbl>
      <w:tblPr>
        <w:tblW w:w="9030" w:type="dxa"/>
        <w:jc w:val="left"/>
        <w:tblInd w:w="108" w:type="dxa"/>
        <w:tblLayout w:type="fixed"/>
        <w:tblCellMar>
          <w:top w:w="100" w:type="dxa"/>
          <w:left w:w="100" w:type="dxa"/>
          <w:bottom w:w="100" w:type="dxa"/>
          <w:right w:w="100" w:type="dxa"/>
        </w:tblCellMar>
        <w:tblLook w:val="0600" w:noHBand="1" w:noVBand="1" w:firstColumn="0" w:lastRow="0" w:lastColumn="0" w:firstRow="0"/>
      </w:tblPr>
      <w:tblGrid>
        <w:gridCol w:w="1666"/>
        <w:gridCol w:w="1376"/>
        <w:gridCol w:w="1488"/>
        <w:gridCol w:w="2385"/>
        <w:gridCol w:w="2115"/>
      </w:tblGrid>
      <w:tr>
        <w:trPr>
          <w:trHeight w:val="455" w:hRule="atLeast"/>
        </w:trPr>
        <w:tc>
          <w:tcPr>
            <w:tcW w:w="1666"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6"/>
                <w:szCs w:val="16"/>
              </w:rPr>
            </w:pPr>
            <w:r>
              <w:rPr>
                <w:rFonts w:eastAsia="Times New Roman" w:cs="Times New Roman" w:ascii="Times New Roman" w:hAnsi="Times New Roman"/>
                <w:b/>
                <w:bCs/>
                <w:sz w:val="16"/>
                <w:szCs w:val="16"/>
              </w:rPr>
              <w:t>Name</w:t>
            </w:r>
          </w:p>
        </w:tc>
        <w:tc>
          <w:tcPr>
            <w:tcW w:w="1376"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6"/>
                <w:szCs w:val="16"/>
              </w:rPr>
            </w:pPr>
            <w:r>
              <w:rPr>
                <w:rFonts w:eastAsia="Times New Roman" w:cs="Times New Roman" w:ascii="Times New Roman" w:hAnsi="Times New Roman"/>
                <w:b/>
                <w:bCs/>
                <w:sz w:val="16"/>
                <w:szCs w:val="16"/>
              </w:rPr>
              <w:t>Completeness</w:t>
            </w:r>
          </w:p>
        </w:tc>
        <w:tc>
          <w:tcPr>
            <w:tcW w:w="1488"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6"/>
                <w:szCs w:val="16"/>
              </w:rPr>
            </w:pPr>
            <w:r>
              <w:rPr>
                <w:rFonts w:eastAsia="Times New Roman" w:cs="Times New Roman" w:ascii="Times New Roman" w:hAnsi="Times New Roman"/>
                <w:b/>
                <w:bCs/>
                <w:sz w:val="16"/>
                <w:szCs w:val="16"/>
              </w:rPr>
              <w:t>Contamination</w:t>
            </w:r>
          </w:p>
        </w:tc>
        <w:tc>
          <w:tcPr>
            <w:tcW w:w="2385"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6"/>
                <w:szCs w:val="16"/>
              </w:rPr>
            </w:pPr>
            <w:r>
              <w:rPr>
                <w:rFonts w:eastAsia="Times New Roman" w:cs="Times New Roman" w:ascii="Times New Roman" w:hAnsi="Times New Roman"/>
                <w:b/>
                <w:bCs/>
                <w:sz w:val="16"/>
                <w:szCs w:val="16"/>
              </w:rPr>
              <w:t>Completeness_Model_Used</w:t>
            </w:r>
          </w:p>
        </w:tc>
        <w:tc>
          <w:tcPr>
            <w:tcW w:w="2115"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b/>
                <w:b/>
                <w:bCs/>
                <w:sz w:val="16"/>
                <w:szCs w:val="16"/>
              </w:rPr>
            </w:pPr>
            <w:r>
              <w:rPr>
                <w:rFonts w:eastAsia="Times New Roman" w:cs="Times New Roman" w:ascii="Times New Roman" w:hAnsi="Times New Roman"/>
                <w:b/>
                <w:bCs/>
                <w:sz w:val="16"/>
                <w:szCs w:val="16"/>
              </w:rPr>
              <w:t>Translation_Table_Used</w:t>
            </w:r>
          </w:p>
        </w:tc>
      </w:tr>
      <w:tr>
        <w:trPr>
          <w:trHeight w:val="605" w:hRule="atLeast"/>
        </w:trPr>
        <w:tc>
          <w:tcPr>
            <w:tcW w:w="1666"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GCA_038245785.1</w:t>
            </w:r>
          </w:p>
        </w:tc>
        <w:tc>
          <w:tcPr>
            <w:tcW w:w="1376"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98.24</w:t>
            </w:r>
          </w:p>
        </w:tc>
        <w:tc>
          <w:tcPr>
            <w:tcW w:w="1488"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1.42</w:t>
            </w:r>
          </w:p>
        </w:tc>
        <w:tc>
          <w:tcPr>
            <w:tcW w:w="238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Gradient Boost (General Model)</w:t>
            </w:r>
          </w:p>
        </w:tc>
        <w:tc>
          <w:tcPr>
            <w:tcW w:w="211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11</w:t>
            </w:r>
          </w:p>
        </w:tc>
      </w:tr>
      <w:tr>
        <w:trPr>
          <w:trHeight w:val="605" w:hRule="atLeast"/>
        </w:trPr>
        <w:tc>
          <w:tcPr>
            <w:tcW w:w="1666"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GCA_949127685.1</w:t>
            </w:r>
          </w:p>
        </w:tc>
        <w:tc>
          <w:tcPr>
            <w:tcW w:w="1376"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94.6</w:t>
            </w:r>
          </w:p>
        </w:tc>
        <w:tc>
          <w:tcPr>
            <w:tcW w:w="1488"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0.45</w:t>
            </w:r>
          </w:p>
        </w:tc>
        <w:tc>
          <w:tcPr>
            <w:tcW w:w="238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Gradient Boost (General Model)</w:t>
            </w:r>
          </w:p>
        </w:tc>
        <w:tc>
          <w:tcPr>
            <w:tcW w:w="211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11</w:t>
            </w:r>
          </w:p>
        </w:tc>
      </w:tr>
      <w:tr>
        <w:trPr>
          <w:trHeight w:val="605" w:hRule="atLeast"/>
        </w:trPr>
        <w:tc>
          <w:tcPr>
            <w:tcW w:w="1666" w:type="dxa"/>
            <w:tcBorders>
              <w:top w:val="single" w:sz="6" w:space="0" w:color="000000"/>
              <w:left w:val="single" w:sz="6" w:space="0" w:color="000000"/>
              <w:bottom w:val="single" w:sz="6" w:space="0" w:color="000000"/>
              <w:right w:val="single" w:sz="6" w:space="0" w:color="000000"/>
            </w:tcBorders>
          </w:tcPr>
          <w:p>
            <w:pPr>
              <w:pStyle w:val="Normal"/>
              <w:widowControl w:val="false"/>
              <w:jc w:val="center"/>
              <w:rPr>
                <w:rFonts w:ascii="Times New Roman" w:hAnsi="Times New Roman" w:eastAsia="Times New Roman" w:cs="Times New Roman"/>
                <w:sz w:val="16"/>
                <w:szCs w:val="16"/>
              </w:rPr>
            </w:pPr>
            <w:r>
              <w:rPr>
                <w:rFonts w:eastAsia="Times New Roman" w:cs="Times New Roman" w:ascii="Times New Roman" w:hAnsi="Times New Roman"/>
                <w:sz w:val="16"/>
                <w:szCs w:val="16"/>
              </w:rPr>
              <w:t>GCA_949127895.1</w:t>
            </w:r>
          </w:p>
        </w:tc>
        <w:tc>
          <w:tcPr>
            <w:tcW w:w="1376"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92.74</w:t>
            </w:r>
          </w:p>
        </w:tc>
        <w:tc>
          <w:tcPr>
            <w:tcW w:w="1488"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1.93</w:t>
            </w:r>
          </w:p>
        </w:tc>
        <w:tc>
          <w:tcPr>
            <w:tcW w:w="238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Gradient Boost (General Model)</w:t>
            </w:r>
          </w:p>
        </w:tc>
        <w:tc>
          <w:tcPr>
            <w:tcW w:w="2115" w:type="dxa"/>
            <w:tcBorders>
              <w:top w:val="single" w:sz="6" w:space="0" w:color="000000"/>
              <w:left w:val="single" w:sz="6" w:space="0" w:color="000000"/>
              <w:bottom w:val="single" w:sz="6" w:space="0" w:color="000000"/>
              <w:right w:val="single" w:sz="6" w:space="0" w:color="000000"/>
            </w:tcBorders>
          </w:tcPr>
          <w:p>
            <w:pPr>
              <w:pStyle w:val="Normal"/>
              <w:widowControl w:val="false"/>
              <w:jc w:val="right"/>
              <w:rPr>
                <w:rFonts w:ascii="Times New Roman" w:hAnsi="Times New Roman" w:eastAsia="Times New Roman" w:cs="Times New Roman"/>
                <w:sz w:val="16"/>
                <w:szCs w:val="16"/>
              </w:rPr>
            </w:pPr>
            <w:r>
              <w:rPr>
                <w:rFonts w:eastAsia="Times New Roman" w:cs="Times New Roman" w:ascii="Times New Roman" w:hAnsi="Times New Roman"/>
                <w:sz w:val="16"/>
                <w:szCs w:val="16"/>
              </w:rPr>
              <w:t>11</w:t>
            </w:r>
          </w:p>
        </w:tc>
      </w:tr>
    </w:tbl>
    <w:p>
      <w:pPr>
        <w:pStyle w:val="Normal"/>
        <w:rPr>
          <w:rFonts w:ascii="Times New Roman" w:hAnsi="Times New Roman" w:eastAsia="Times New Roman" w:cs="Times New Roman"/>
          <w:b/>
          <w:b/>
          <w:lang w:val="en-US"/>
        </w:rPr>
      </w:pPr>
      <w:r>
        <w:rPr>
          <w:rFonts w:eastAsia="Times New Roman" w:cs="Times New Roman" w:ascii="Times New Roman" w:hAnsi="Times New Roman"/>
          <w:b/>
          <w:lang w:val="en-US"/>
        </w:rPr>
        <w:t xml:space="preserve">Supplemental Table 4: CheckM2 metrics for contamination assessment for the three </w:t>
      </w:r>
      <w:r>
        <w:rPr>
          <w:rFonts w:eastAsia="Times New Roman" w:cs="Times New Roman" w:ascii="Times New Roman" w:hAnsi="Times New Roman"/>
          <w:b/>
          <w:i/>
          <w:lang w:val="en-US"/>
        </w:rPr>
        <w:t xml:space="preserve">Gloeobacter </w:t>
      </w:r>
      <w:r>
        <w:rPr>
          <w:rFonts w:eastAsia="Times New Roman" w:cs="Times New Roman" w:ascii="Times New Roman" w:hAnsi="Times New Roman"/>
          <w:b/>
          <w:lang w:val="en-US"/>
        </w:rPr>
        <w:t>MAGs.</w:t>
      </w:r>
    </w:p>
    <w:sectPr>
      <w:footerReference w:type="default" r:id="rId15"/>
      <w:type w:val="nextPage"/>
      <w:pgSz w:w="11906" w:h="16838"/>
      <w:pgMar w:left="1440" w:right="1440" w:gutter="0" w:header="0" w:top="1440" w:footer="720" w:bottom="1440"/>
      <w:pgNumType w:start="1" w:fmt="decimal"/>
      <w:formProt w:val="false"/>
      <w:textDirection w:val="lrTb"/>
      <w:docGrid w:type="default" w:linePitch="10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font>
  <w:font w:name="Liberation Serif">
    <w:altName w:val="Times New Roman"/>
    <w:charset w:val="01"/>
    <w:family w:val="roman"/>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 w:name="Arial">
    <w:charset w:val="01"/>
    <w:family w:val="roman"/>
    <w:pitch w:val="variable"/>
  </w:font>
  <w:font w:name="Liberation Sans">
    <w:altName w:val="Arial"/>
    <w:charset w:val="01"/>
    <w:family w:val="roman"/>
    <w:pitch w:val="variable"/>
    <w:embedRegular r:id="rId12" w:fontKey="{0C014A78-CABC-4EF0-12AC-5CD89AEFDE0C}"/>
    <w:embedBold r:id="rId13" w:fontKey="{0D014A78-CABC-4EF0-12AC-5CD89AEFDE0D}"/>
    <w:embedItalic r:id="rId14" w:fontKey="{0E014A78-CABC-4EF0-12AC-5CD89AEFDE0E}"/>
    <w:embedBoldItalic r:id="rId15" w:fontKey="{0F014A78-CABC-4EF0-12AC-5CD89AEFDE0F}"/>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settings.xml><?xml version="1.0" encoding="utf-8"?>
<w:settings xmlns:w="http://schemas.openxmlformats.org/wordprocessingml/2006/main">
  <w:zoom w:percent="15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CommentaireCar" w:customStyle="1">
    <w:name w:val="Commentaire Car"/>
    <w:basedOn w:val="DefaultParagraphFont"/>
    <w:link w:val="Annotationtex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InternetLink">
    <w:name w:val="Hyperlink"/>
    <w:basedOn w:val="DefaultParagraphFont"/>
    <w:uiPriority w:val="99"/>
    <w:semiHidden/>
    <w:unhideWhenUsed/>
    <w:rsid w:val="002e0bd5"/>
    <w:rPr>
      <w:color w:val="0000FF"/>
      <w:u w:val="single"/>
    </w:rPr>
  </w:style>
  <w:style w:type="character" w:styleId="LineNumbering" w:customStyle="1">
    <w:name w:val="Line Numbering"/>
    <w:rPr/>
  </w:style>
  <w:style w:type="character" w:styleId="ObjetducommentaireCar" w:customStyle="1">
    <w:name w:val="Objet du commentaire Car"/>
    <w:basedOn w:val="CommentaireCar"/>
    <w:link w:val="Annotationsubject"/>
    <w:uiPriority w:val="99"/>
    <w:semiHidden/>
    <w:qFormat/>
    <w:rsid w:val="007f4c81"/>
    <w:rPr>
      <w:b/>
      <w:bCs/>
      <w:sz w:val="20"/>
      <w:szCs w:val="20"/>
    </w:rPr>
  </w:style>
  <w:style w:type="character" w:styleId="StrongEmphasis" w:customStyle="1">
    <w:name w:val="Strong Emphasis"/>
    <w:qFormat/>
    <w:rPr>
      <w:b/>
      <w:bCs/>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Annotationtext">
    <w:name w:val="annotation text"/>
    <w:basedOn w:val="Normal"/>
    <w:link w:val="CommentaireCar"/>
    <w:uiPriority w:val="99"/>
    <w:semiHidden/>
    <w:unhideWhenUsed/>
    <w:qFormat/>
    <w:pPr>
      <w:spacing w:lineRule="auto" w:line="240"/>
    </w:pPr>
    <w:rPr>
      <w:sz w:val="20"/>
      <w:szCs w:val="20"/>
    </w:rPr>
  </w:style>
  <w:style w:type="paragraph" w:styleId="NormalWeb">
    <w:name w:val="Normal (Web)"/>
    <w:basedOn w:val="Normal"/>
    <w:uiPriority w:val="99"/>
    <w:semiHidden/>
    <w:unhideWhenUsed/>
    <w:qFormat/>
    <w:rsid w:val="002e0bd5"/>
    <w:pPr>
      <w:spacing w:lineRule="auto" w:line="240" w:beforeAutospacing="1" w:afterAutospacing="1"/>
    </w:pPr>
    <w:rPr>
      <w:rFonts w:ascii="Times New Roman" w:hAnsi="Times New Roman" w:eastAsia="Times New Roman" w:cs="Times New Roman"/>
      <w:sz w:val="24"/>
      <w:szCs w:val="24"/>
      <w:lang w:val="fr-BE"/>
    </w:rPr>
  </w:style>
  <w:style w:type="paragraph" w:styleId="HeaderandFooter" w:customStyle="1">
    <w:name w:val="Header and Footer"/>
    <w:basedOn w:val="Normal"/>
    <w:qFormat/>
    <w:pPr/>
    <w:rPr/>
  </w:style>
  <w:style w:type="paragraph" w:styleId="Footer">
    <w:name w:val="Footer"/>
    <w:basedOn w:val="HeaderandFooter"/>
    <w:pPr/>
    <w:rPr/>
  </w:style>
  <w:style w:type="paragraph" w:styleId="Revision">
    <w:name w:val="Revision"/>
    <w:uiPriority w:val="99"/>
    <w:semiHidden/>
    <w:qFormat/>
    <w:rsid w:val="002a44b3"/>
    <w:pPr>
      <w:widowControl/>
      <w:suppressAutoHyphens w:val="false"/>
      <w:bidi w:val="0"/>
      <w:spacing w:before="0" w:after="0"/>
      <w:jc w:val="left"/>
    </w:pPr>
    <w:rPr>
      <w:rFonts w:ascii="Arial" w:hAnsi="Arial" w:eastAsia="Arial" w:cs="Arial"/>
      <w:color w:val="auto"/>
      <w:kern w:val="0"/>
      <w:sz w:val="22"/>
      <w:szCs w:val="22"/>
      <w:lang w:val="fr-FR" w:eastAsia="fr-FR" w:bidi="ar-SA"/>
    </w:rPr>
  </w:style>
  <w:style w:type="paragraph" w:styleId="Annotationsubject">
    <w:name w:val="annotation subject"/>
    <w:basedOn w:val="Annotationtext"/>
    <w:next w:val="Annotationtext"/>
    <w:link w:val="ObjetducommentaireCar"/>
    <w:uiPriority w:val="99"/>
    <w:semiHidden/>
    <w:unhideWhenUsed/>
    <w:qFormat/>
    <w:rsid w:val="007f4c81"/>
    <w:pPr/>
    <w:rPr>
      <w:b/>
      <w:bCs/>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etacpan.org/release/Bio-MUST-Core" TargetMode="External"/><Relationship Id="rId3" Type="http://schemas.openxmlformats.org/officeDocument/2006/relationships/hyperlink" Target="https://metacpan.org/dist/Bio-MUST-Apps-OmpaPa" TargetMode="External"/><Relationship Id="rId4" Type="http://schemas.openxmlformats.org/officeDocument/2006/relationships/hyperlink" Target="https://metacpan.org/release/Bio-MUST-Core" TargetMode="External"/><Relationship Id="rId5" Type="http://schemas.openxmlformats.org/officeDocument/2006/relationships/hyperlink" Target="https://metacpan.org/release/Bio-MUST-Core" TargetMode="External"/><Relationship Id="rId6" Type="http://schemas.openxmlformats.org/officeDocument/2006/relationships/hyperlink" Target="https://doi.org/10.1093/nar/gkab776" TargetMode="External"/><Relationship Id="rId7" Type="http://schemas.openxmlformats.org/officeDocument/2006/relationships/hyperlink" Target="https://doi.org/10.1101/2024.07.30.605881" TargetMode="External"/><Relationship Id="rId8" Type="http://schemas.openxmlformats.org/officeDocument/2006/relationships/image" Target="media/image1.jpeg"/><Relationship Id="rId9" Type="http://schemas.openxmlformats.org/officeDocument/2006/relationships/image" Target="media/image2.wmf"/><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LibreOffice/7.3.7.2$Linux_X86_64 LibreOffice_project/30$Build-2</Application>
  <AppVersion>15.0000</AppVersion>
  <Pages>8</Pages>
  <Words>2213</Words>
  <Characters>13535</Characters>
  <CharactersWithSpaces>15609</CharactersWithSpaces>
  <Paragraphs>228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2026-02-24T13:02:00Z</dcterms:created>
  <dc:creator>Cornet Luc</dc:creator>
  <dc:description/>
  <dc:language>en-US</dc:language>
  <cp:lastModifiedBy/>
  <dcterms:modified xsi:type="dcterms:W3CDTF">2026-02-24T14:51:48Z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id="e7Hvzd9e"/&gt;&lt;style id="http://www.zotero.org/styles/nature" hasBibliography="1" bibliographyStyleHasBeenSet="0"/&gt;&lt;prefs&gt;&lt;pref name="fieldType" value="ReferenceMark"/&gt;&lt;/prefs&gt;&lt;/data&gt;</vt:lpwstr>
  </property>
</Properties>
</file>