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7EF14" w14:textId="77777777" w:rsidR="00695667" w:rsidRDefault="00695667" w:rsidP="00695667">
      <w:pPr>
        <w:spacing w:line="480" w:lineRule="auto"/>
        <w:jc w:val="center"/>
        <w:rPr>
          <w:rFonts w:ascii="Arial" w:hAnsi="Arial" w:cs="Arial"/>
          <w:sz w:val="40"/>
          <w:szCs w:val="40"/>
          <w:lang w:val="en-US"/>
        </w:rPr>
      </w:pPr>
      <w:bookmarkStart w:id="0" w:name="_GoBack"/>
      <w:r>
        <w:rPr>
          <w:rFonts w:ascii="Arial" w:hAnsi="Arial" w:cs="Arial"/>
          <w:sz w:val="40"/>
          <w:szCs w:val="40"/>
          <w:lang w:val="en-US"/>
        </w:rPr>
        <w:t>Lumbopelvic manipulation</w:t>
      </w:r>
      <w:r w:rsidRPr="004C036C">
        <w:rPr>
          <w:rFonts w:ascii="Arial" w:hAnsi="Arial" w:cs="Arial"/>
          <w:sz w:val="40"/>
          <w:szCs w:val="40"/>
          <w:lang w:val="en-US"/>
        </w:rPr>
        <w:t xml:space="preserve"> </w:t>
      </w:r>
      <w:r>
        <w:rPr>
          <w:rFonts w:ascii="Arial" w:hAnsi="Arial" w:cs="Arial"/>
          <w:sz w:val="40"/>
          <w:szCs w:val="40"/>
          <w:lang w:val="en-US"/>
        </w:rPr>
        <w:t>for</w:t>
      </w:r>
      <w:r w:rsidRPr="004C036C">
        <w:rPr>
          <w:rFonts w:ascii="Arial" w:hAnsi="Arial" w:cs="Arial"/>
          <w:sz w:val="40"/>
          <w:szCs w:val="40"/>
          <w:lang w:val="en-US"/>
        </w:rPr>
        <w:t xml:space="preserve"> anterior knee pain: </w:t>
      </w:r>
      <w:bookmarkEnd w:id="0"/>
      <w:r>
        <w:rPr>
          <w:rFonts w:ascii="Arial" w:hAnsi="Arial" w:cs="Arial"/>
          <w:sz w:val="40"/>
          <w:szCs w:val="40"/>
          <w:lang w:val="en-US"/>
        </w:rPr>
        <w:t xml:space="preserve">protocol for </w:t>
      </w:r>
      <w:r w:rsidRPr="004C036C">
        <w:rPr>
          <w:rFonts w:ascii="Arial" w:hAnsi="Arial" w:cs="Arial"/>
          <w:sz w:val="40"/>
          <w:szCs w:val="40"/>
          <w:lang w:val="en-US"/>
        </w:rPr>
        <w:t xml:space="preserve">a </w:t>
      </w:r>
      <w:r>
        <w:rPr>
          <w:rFonts w:ascii="Arial" w:hAnsi="Arial" w:cs="Arial"/>
          <w:sz w:val="40"/>
          <w:szCs w:val="40"/>
          <w:lang w:val="en-US"/>
        </w:rPr>
        <w:t xml:space="preserve">multicenter, pilot </w:t>
      </w:r>
      <w:r w:rsidRPr="004C036C">
        <w:rPr>
          <w:rFonts w:ascii="Arial" w:hAnsi="Arial" w:cs="Arial"/>
          <w:sz w:val="40"/>
          <w:szCs w:val="40"/>
          <w:lang w:val="en-US"/>
        </w:rPr>
        <w:t>randomized control</w:t>
      </w:r>
      <w:r>
        <w:rPr>
          <w:rFonts w:ascii="Arial" w:hAnsi="Arial" w:cs="Arial"/>
          <w:sz w:val="40"/>
          <w:szCs w:val="40"/>
          <w:lang w:val="en-US"/>
        </w:rPr>
        <w:t xml:space="preserve">led </w:t>
      </w:r>
      <w:r w:rsidRPr="004C036C">
        <w:rPr>
          <w:rFonts w:ascii="Arial" w:hAnsi="Arial" w:cs="Arial"/>
          <w:sz w:val="40"/>
          <w:szCs w:val="40"/>
          <w:lang w:val="en-US"/>
        </w:rPr>
        <w:t>trial.</w:t>
      </w:r>
    </w:p>
    <w:p w14:paraId="55FBD0AB" w14:textId="77777777" w:rsidR="00695667" w:rsidRPr="004C036C" w:rsidRDefault="00695667" w:rsidP="00695667">
      <w:pPr>
        <w:spacing w:line="480" w:lineRule="auto"/>
        <w:jc w:val="both"/>
        <w:rPr>
          <w:rFonts w:ascii="Arial" w:hAnsi="Arial" w:cs="Arial"/>
          <w:lang w:val="en-US"/>
        </w:rPr>
      </w:pPr>
    </w:p>
    <w:p w14:paraId="38811A72" w14:textId="77777777" w:rsidR="00695667" w:rsidRPr="0079620E" w:rsidRDefault="00695667" w:rsidP="00695667">
      <w:pPr>
        <w:spacing w:line="480" w:lineRule="auto"/>
        <w:jc w:val="center"/>
        <w:rPr>
          <w:rFonts w:ascii="Arial" w:hAnsi="Arial" w:cs="Arial"/>
          <w:lang w:val="en-US"/>
        </w:rPr>
      </w:pPr>
      <w:r w:rsidRPr="0079620E">
        <w:rPr>
          <w:rFonts w:ascii="Arial" w:hAnsi="Arial" w:cs="Arial"/>
          <w:lang w:val="en-US"/>
        </w:rPr>
        <w:t xml:space="preserve">Wilfried </w:t>
      </w:r>
      <w:proofErr w:type="spellStart"/>
      <w:r w:rsidRPr="0079620E">
        <w:rPr>
          <w:rFonts w:ascii="Arial" w:hAnsi="Arial" w:cs="Arial"/>
          <w:lang w:val="en-US"/>
        </w:rPr>
        <w:t>Serres</w:t>
      </w:r>
      <w:proofErr w:type="spellEnd"/>
      <w:r w:rsidRPr="0079620E">
        <w:rPr>
          <w:rFonts w:ascii="Arial" w:hAnsi="Arial" w:cs="Arial"/>
          <w:lang w:val="en-US"/>
        </w:rPr>
        <w:t>, PT, MSc</w:t>
      </w:r>
      <w:r w:rsidRPr="0079620E">
        <w:rPr>
          <w:rFonts w:ascii="Arial" w:hAnsi="Arial" w:cs="Arial"/>
          <w:vertAlign w:val="superscript"/>
          <w:lang w:val="en-US"/>
        </w:rPr>
        <w:t>1</w:t>
      </w:r>
      <w:r w:rsidRPr="0079620E">
        <w:rPr>
          <w:rFonts w:ascii="Arial" w:hAnsi="Arial" w:cs="Arial"/>
          <w:lang w:val="en-US"/>
        </w:rPr>
        <w:t>*; Pierre Langevin, PT, PhD</w:t>
      </w:r>
      <w:r w:rsidRPr="0079620E">
        <w:rPr>
          <w:rFonts w:ascii="Arial" w:hAnsi="Arial" w:cs="Arial"/>
          <w:vertAlign w:val="superscript"/>
          <w:lang w:val="en-US"/>
        </w:rPr>
        <w:t>2,3</w:t>
      </w:r>
      <w:r w:rsidRPr="0079620E">
        <w:rPr>
          <w:rFonts w:ascii="Arial" w:hAnsi="Arial" w:cs="Arial"/>
          <w:lang w:val="en-US"/>
        </w:rPr>
        <w:t xml:space="preserve">; Christophe </w:t>
      </w:r>
      <w:proofErr w:type="spellStart"/>
      <w:r w:rsidRPr="0079620E">
        <w:rPr>
          <w:rFonts w:ascii="Arial" w:hAnsi="Arial" w:cs="Arial"/>
          <w:lang w:val="en-US"/>
        </w:rPr>
        <w:t>Demoulin</w:t>
      </w:r>
      <w:proofErr w:type="spellEnd"/>
      <w:r>
        <w:rPr>
          <w:rFonts w:ascii="Arial" w:hAnsi="Arial" w:cs="Arial"/>
          <w:lang w:val="en-US"/>
        </w:rPr>
        <w:t>,</w:t>
      </w:r>
      <w:r w:rsidRPr="0079620E">
        <w:rPr>
          <w:rFonts w:ascii="Arial" w:hAnsi="Arial" w:cs="Arial"/>
          <w:lang w:val="en-US"/>
        </w:rPr>
        <w:t xml:space="preserve"> PT, PhD</w:t>
      </w:r>
      <w:r>
        <w:rPr>
          <w:rFonts w:ascii="Arial" w:hAnsi="Arial" w:cs="Arial"/>
          <w:vertAlign w:val="superscript"/>
          <w:lang w:val="en-US"/>
        </w:rPr>
        <w:t>4</w:t>
      </w:r>
      <w:r w:rsidRPr="0079620E">
        <w:rPr>
          <w:rFonts w:ascii="Arial" w:hAnsi="Arial" w:cs="Arial"/>
          <w:lang w:val="en-US"/>
        </w:rPr>
        <w:t>; Marie Bourgeois PT</w:t>
      </w:r>
      <w:r>
        <w:rPr>
          <w:rFonts w:ascii="Arial" w:hAnsi="Arial" w:cs="Arial"/>
          <w:vertAlign w:val="superscript"/>
          <w:lang w:val="en-US"/>
        </w:rPr>
        <w:t>5</w:t>
      </w:r>
      <w:r w:rsidRPr="0079620E">
        <w:rPr>
          <w:rFonts w:ascii="Arial" w:hAnsi="Arial" w:cs="Arial"/>
          <w:lang w:val="en-US"/>
        </w:rPr>
        <w:t xml:space="preserve">; Joachim Van </w:t>
      </w:r>
      <w:proofErr w:type="gramStart"/>
      <w:r w:rsidRPr="0079620E">
        <w:rPr>
          <w:rFonts w:ascii="Arial" w:hAnsi="Arial" w:cs="Arial"/>
          <w:lang w:val="en-US"/>
        </w:rPr>
        <w:t>Cant</w:t>
      </w:r>
      <w:proofErr w:type="gramEnd"/>
      <w:r w:rsidRPr="0079620E">
        <w:rPr>
          <w:rFonts w:ascii="Arial" w:hAnsi="Arial" w:cs="Arial"/>
          <w:lang w:val="en-US"/>
        </w:rPr>
        <w:t>, PT, PhD</w:t>
      </w:r>
      <w:r w:rsidRPr="0079620E">
        <w:rPr>
          <w:rFonts w:ascii="Arial" w:hAnsi="Arial" w:cs="Arial"/>
          <w:vertAlign w:val="superscript"/>
          <w:lang w:val="en-US"/>
        </w:rPr>
        <w:t>1</w:t>
      </w:r>
    </w:p>
    <w:p w14:paraId="4BE05796" w14:textId="77777777" w:rsidR="00695667" w:rsidRPr="0079620E" w:rsidRDefault="00695667" w:rsidP="00695667">
      <w:pPr>
        <w:spacing w:line="480" w:lineRule="auto"/>
        <w:jc w:val="both"/>
        <w:rPr>
          <w:rFonts w:ascii="Arial" w:hAnsi="Arial" w:cs="Arial"/>
          <w:lang w:val="en-US"/>
        </w:rPr>
      </w:pPr>
    </w:p>
    <w:p w14:paraId="788CFCF7" w14:textId="77777777" w:rsidR="00695667" w:rsidRPr="004C036C" w:rsidRDefault="00695667" w:rsidP="00695667">
      <w:pPr>
        <w:autoSpaceDE w:val="0"/>
        <w:autoSpaceDN w:val="0"/>
        <w:adjustRightInd w:val="0"/>
        <w:spacing w:line="480" w:lineRule="auto"/>
        <w:rPr>
          <w:rFonts w:ascii="Arial" w:hAnsi="Arial" w:cs="Arial"/>
        </w:rPr>
      </w:pPr>
      <w:r w:rsidRPr="004C036C">
        <w:rPr>
          <w:rFonts w:ascii="Arial" w:hAnsi="Arial" w:cs="Arial"/>
          <w:vertAlign w:val="superscript"/>
        </w:rPr>
        <w:t>1</w:t>
      </w:r>
      <w:r w:rsidRPr="004C036C">
        <w:rPr>
          <w:rFonts w:ascii="Arial" w:hAnsi="Arial" w:cs="Arial"/>
        </w:rPr>
        <w:t>Unité de Recherche en Sciences de la Réadaptation, Faculté des Sciences de la Motricité Humaine, Université Libre de Bruxelles, Bruxelles, Belgique.</w:t>
      </w:r>
    </w:p>
    <w:p w14:paraId="53D18A03" w14:textId="77777777" w:rsidR="00695667" w:rsidRPr="002E0F6D" w:rsidRDefault="00695667" w:rsidP="00695667">
      <w:pPr>
        <w:autoSpaceDE w:val="0"/>
        <w:autoSpaceDN w:val="0"/>
        <w:adjustRightInd w:val="0"/>
        <w:spacing w:line="480" w:lineRule="auto"/>
        <w:rPr>
          <w:rFonts w:ascii="Arial" w:hAnsi="Arial" w:cs="Arial"/>
          <w:lang w:val="en-US"/>
        </w:rPr>
      </w:pPr>
      <w:r w:rsidRPr="002E0F6D">
        <w:rPr>
          <w:rFonts w:ascii="Arial" w:hAnsi="Arial" w:cs="Arial"/>
          <w:vertAlign w:val="superscript"/>
          <w:lang w:val="en-US"/>
        </w:rPr>
        <w:t>2</w:t>
      </w:r>
      <w:r w:rsidRPr="002E0F6D">
        <w:rPr>
          <w:rFonts w:ascii="Arial" w:hAnsi="Arial" w:cs="Arial"/>
          <w:lang w:val="en-US"/>
        </w:rPr>
        <w:t xml:space="preserve">School of Rehabilitation Science, Faculty of Medicine, </w:t>
      </w:r>
      <w:proofErr w:type="spellStart"/>
      <w:r w:rsidRPr="002E0F6D">
        <w:rPr>
          <w:rFonts w:ascii="Arial" w:hAnsi="Arial" w:cs="Arial"/>
          <w:lang w:val="en-US"/>
        </w:rPr>
        <w:t>Université</w:t>
      </w:r>
      <w:proofErr w:type="spellEnd"/>
      <w:r w:rsidRPr="002E0F6D">
        <w:rPr>
          <w:rFonts w:ascii="Arial" w:hAnsi="Arial" w:cs="Arial"/>
          <w:lang w:val="en-US"/>
        </w:rPr>
        <w:t xml:space="preserve"> Laval, Quebec City, Canada.</w:t>
      </w:r>
    </w:p>
    <w:p w14:paraId="28A87FB7" w14:textId="77777777" w:rsidR="00695667" w:rsidRDefault="00695667" w:rsidP="00695667">
      <w:pPr>
        <w:autoSpaceDE w:val="0"/>
        <w:autoSpaceDN w:val="0"/>
        <w:adjustRightInd w:val="0"/>
        <w:spacing w:line="480" w:lineRule="auto"/>
        <w:rPr>
          <w:rFonts w:ascii="Arial" w:hAnsi="Arial" w:cs="Arial"/>
        </w:rPr>
      </w:pPr>
      <w:r>
        <w:rPr>
          <w:rFonts w:ascii="Arial" w:hAnsi="Arial" w:cs="Arial"/>
          <w:vertAlign w:val="superscript"/>
        </w:rPr>
        <w:t>3</w:t>
      </w:r>
      <w:r w:rsidRPr="002E0F6D">
        <w:rPr>
          <w:rFonts w:ascii="Arial" w:hAnsi="Arial" w:cs="Arial"/>
        </w:rPr>
        <w:t>Centre interdisciplinaire de recherche en réadaptation et intégration sociale,</w:t>
      </w:r>
      <w:r>
        <w:rPr>
          <w:rFonts w:ascii="Arial" w:hAnsi="Arial" w:cs="Arial"/>
        </w:rPr>
        <w:t xml:space="preserve"> </w:t>
      </w:r>
      <w:r w:rsidRPr="002E0F6D">
        <w:rPr>
          <w:rFonts w:ascii="Arial" w:hAnsi="Arial" w:cs="Arial"/>
        </w:rPr>
        <w:t>Québec City, Canada.</w:t>
      </w:r>
    </w:p>
    <w:p w14:paraId="63385529" w14:textId="77777777" w:rsidR="00695667" w:rsidRDefault="00695667" w:rsidP="00695667">
      <w:pPr>
        <w:autoSpaceDE w:val="0"/>
        <w:autoSpaceDN w:val="0"/>
        <w:adjustRightInd w:val="0"/>
        <w:spacing w:line="480" w:lineRule="auto"/>
        <w:rPr>
          <w:rFonts w:ascii="Helvetica Neue" w:hAnsi="Helvetica Neue"/>
          <w:color w:val="222222"/>
          <w:lang w:val="en-US"/>
        </w:rPr>
      </w:pPr>
      <w:r w:rsidRPr="0079620E">
        <w:rPr>
          <w:rFonts w:ascii="Arial" w:hAnsi="Arial" w:cs="Arial"/>
          <w:vertAlign w:val="superscript"/>
          <w:lang w:val="en-US"/>
        </w:rPr>
        <w:t>4</w:t>
      </w:r>
      <w:r w:rsidRPr="0079620E">
        <w:rPr>
          <w:rFonts w:ascii="Helvetica Neue" w:hAnsi="Helvetica Neue"/>
          <w:color w:val="222222"/>
          <w:lang w:val="en-US"/>
        </w:rPr>
        <w:t xml:space="preserve"> Department of </w:t>
      </w:r>
      <w:r>
        <w:rPr>
          <w:rFonts w:ascii="Helvetica Neue" w:hAnsi="Helvetica Neue"/>
          <w:color w:val="222222"/>
          <w:lang w:val="en-US"/>
        </w:rPr>
        <w:t>Physical Activity</w:t>
      </w:r>
      <w:r w:rsidRPr="0079620E">
        <w:rPr>
          <w:rFonts w:ascii="Helvetica Neue" w:hAnsi="Helvetica Neue"/>
          <w:color w:val="222222"/>
          <w:lang w:val="en-US"/>
        </w:rPr>
        <w:t xml:space="preserve"> and Rehabilitation Sciences, University of Liège, Liege, Belgium</w:t>
      </w:r>
      <w:r>
        <w:rPr>
          <w:rFonts w:ascii="Helvetica Neue" w:hAnsi="Helvetica Neue"/>
          <w:color w:val="222222"/>
          <w:lang w:val="en-US"/>
        </w:rPr>
        <w:t>.</w:t>
      </w:r>
    </w:p>
    <w:p w14:paraId="03280341" w14:textId="77777777" w:rsidR="00695667" w:rsidRPr="00DB1F88" w:rsidRDefault="00695667" w:rsidP="00695667">
      <w:pPr>
        <w:autoSpaceDE w:val="0"/>
        <w:autoSpaceDN w:val="0"/>
        <w:adjustRightInd w:val="0"/>
        <w:spacing w:line="480" w:lineRule="auto"/>
        <w:rPr>
          <w:rFonts w:ascii="Arial" w:hAnsi="Arial" w:cs="Arial"/>
        </w:rPr>
      </w:pPr>
      <w:r w:rsidRPr="00DB1F88">
        <w:rPr>
          <w:rFonts w:ascii="Helvetica Neue" w:hAnsi="Helvetica Neue"/>
          <w:color w:val="222222"/>
          <w:vertAlign w:val="superscript"/>
        </w:rPr>
        <w:t>5</w:t>
      </w:r>
      <w:r w:rsidRPr="00DB1F88">
        <w:rPr>
          <w:rFonts w:ascii="Helvetica Neue" w:hAnsi="Helvetica Neue"/>
          <w:color w:val="222222"/>
        </w:rPr>
        <w:t xml:space="preserve"> </w:t>
      </w:r>
      <w:proofErr w:type="spellStart"/>
      <w:r w:rsidRPr="00DB1F88">
        <w:rPr>
          <w:rFonts w:ascii="Helvetica Neue" w:hAnsi="Helvetica Neue"/>
          <w:color w:val="222222"/>
        </w:rPr>
        <w:t>Physiotherapist</w:t>
      </w:r>
      <w:proofErr w:type="spellEnd"/>
      <w:r w:rsidRPr="00DB1F88">
        <w:rPr>
          <w:rFonts w:ascii="Helvetica Neue" w:hAnsi="Helvetica Neue"/>
          <w:color w:val="222222"/>
        </w:rPr>
        <w:t xml:space="preserve"> in </w:t>
      </w:r>
      <w:proofErr w:type="spellStart"/>
      <w:r w:rsidRPr="00DB1F88">
        <w:rPr>
          <w:rFonts w:ascii="Helvetica Neue" w:hAnsi="Helvetica Neue"/>
          <w:color w:val="222222"/>
        </w:rPr>
        <w:t>private</w:t>
      </w:r>
      <w:proofErr w:type="spellEnd"/>
      <w:r w:rsidRPr="00DB1F88">
        <w:rPr>
          <w:rFonts w:ascii="Helvetica Neue" w:hAnsi="Helvetica Neue"/>
          <w:color w:val="222222"/>
        </w:rPr>
        <w:t xml:space="preserve"> practice, Toulouse, France.</w:t>
      </w:r>
    </w:p>
    <w:p w14:paraId="311183AB" w14:textId="77777777" w:rsidR="00695667" w:rsidRPr="00DB1F88" w:rsidRDefault="00695667" w:rsidP="00695667">
      <w:pPr>
        <w:autoSpaceDE w:val="0"/>
        <w:autoSpaceDN w:val="0"/>
        <w:adjustRightInd w:val="0"/>
        <w:spacing w:line="480" w:lineRule="auto"/>
        <w:rPr>
          <w:rFonts w:ascii="Arial" w:hAnsi="Arial" w:cs="Arial"/>
        </w:rPr>
      </w:pPr>
    </w:p>
    <w:p w14:paraId="07F513AA" w14:textId="77777777" w:rsidR="00695667" w:rsidRPr="004C036C" w:rsidRDefault="00695667" w:rsidP="00695667">
      <w:pPr>
        <w:spacing w:line="480" w:lineRule="auto"/>
        <w:rPr>
          <w:rFonts w:ascii="Arial" w:hAnsi="Arial" w:cs="Arial"/>
          <w:lang w:val="en-US"/>
        </w:rPr>
      </w:pPr>
      <w:r w:rsidRPr="004C036C">
        <w:rPr>
          <w:rFonts w:ascii="Arial" w:hAnsi="Arial" w:cs="Arial"/>
        </w:rPr>
        <w:t xml:space="preserve">*Corresponding author : Wilfried Serres, Unité de Recherche en Sciences de la Réadaptation, Faculté des Sciences de la Motricité Humaine, Route de </w:t>
      </w:r>
      <w:proofErr w:type="spellStart"/>
      <w:r w:rsidRPr="004C036C">
        <w:rPr>
          <w:rFonts w:ascii="Arial" w:hAnsi="Arial" w:cs="Arial"/>
        </w:rPr>
        <w:t>Lennik</w:t>
      </w:r>
      <w:proofErr w:type="spellEnd"/>
      <w:r w:rsidRPr="004C036C">
        <w:rPr>
          <w:rFonts w:ascii="Arial" w:hAnsi="Arial" w:cs="Arial"/>
        </w:rPr>
        <w:t xml:space="preserve"> 808, Université Libre de Bruxelles, 1070 Anderlecht, Belgique. </w:t>
      </w:r>
      <w:r w:rsidRPr="004C036C">
        <w:rPr>
          <w:rFonts w:ascii="Arial" w:hAnsi="Arial" w:cs="Arial"/>
          <w:lang w:val="en-US"/>
        </w:rPr>
        <w:t>E-mail: wilfried.serres@ulb.be</w:t>
      </w:r>
    </w:p>
    <w:p w14:paraId="7DDDFAF4" w14:textId="77777777" w:rsidR="004C036C" w:rsidRDefault="004C036C" w:rsidP="0037195D">
      <w:pPr>
        <w:spacing w:line="480" w:lineRule="auto"/>
        <w:rPr>
          <w:rFonts w:ascii="Arial" w:hAnsi="Arial" w:cs="Arial"/>
          <w:lang w:val="en-US"/>
        </w:rPr>
      </w:pPr>
      <w:r>
        <w:rPr>
          <w:rFonts w:ascii="Arial" w:hAnsi="Arial" w:cs="Arial"/>
          <w:lang w:val="en-US"/>
        </w:rPr>
        <w:br w:type="page"/>
      </w:r>
    </w:p>
    <w:p w14:paraId="47F15714" w14:textId="77777777" w:rsidR="004C036C" w:rsidRDefault="004C036C" w:rsidP="0037195D">
      <w:pPr>
        <w:spacing w:line="480" w:lineRule="auto"/>
        <w:jc w:val="both"/>
        <w:rPr>
          <w:rFonts w:ascii="Arial" w:hAnsi="Arial" w:cs="Arial"/>
          <w:b/>
          <w:bCs/>
          <w:lang w:val="en-US"/>
        </w:rPr>
      </w:pPr>
      <w:r w:rsidRPr="004C036C">
        <w:rPr>
          <w:rFonts w:ascii="Arial" w:hAnsi="Arial" w:cs="Arial"/>
          <w:b/>
          <w:bCs/>
          <w:lang w:val="en-US"/>
        </w:rPr>
        <w:lastRenderedPageBreak/>
        <w:t>Abstract</w:t>
      </w:r>
    </w:p>
    <w:p w14:paraId="10A67E99" w14:textId="77777777" w:rsidR="004C036C" w:rsidRDefault="004C036C" w:rsidP="0037195D">
      <w:pPr>
        <w:spacing w:line="480" w:lineRule="auto"/>
        <w:jc w:val="both"/>
        <w:rPr>
          <w:rFonts w:ascii="Arial" w:hAnsi="Arial" w:cs="Arial"/>
          <w:b/>
          <w:bCs/>
          <w:lang w:val="en-US"/>
        </w:rPr>
      </w:pPr>
    </w:p>
    <w:p w14:paraId="5E536F60" w14:textId="655B3F2B" w:rsidR="004C036C" w:rsidRDefault="00DE6BAB" w:rsidP="0037195D">
      <w:pPr>
        <w:spacing w:line="480" w:lineRule="auto"/>
        <w:jc w:val="both"/>
        <w:rPr>
          <w:rFonts w:ascii="Arial" w:hAnsi="Arial" w:cs="Arial"/>
          <w:b/>
          <w:bCs/>
          <w:lang w:val="en-US"/>
        </w:rPr>
      </w:pPr>
      <w:r>
        <w:rPr>
          <w:rFonts w:ascii="Arial" w:hAnsi="Arial" w:cs="Arial"/>
          <w:b/>
          <w:bCs/>
          <w:lang w:val="en-US"/>
        </w:rPr>
        <w:t>Background</w:t>
      </w:r>
    </w:p>
    <w:p w14:paraId="4DD282D9" w14:textId="341ADCAF" w:rsidR="00FF2C8B" w:rsidRPr="00890D35" w:rsidRDefault="00F10D21" w:rsidP="0037195D">
      <w:pPr>
        <w:spacing w:line="480" w:lineRule="auto"/>
        <w:jc w:val="both"/>
        <w:rPr>
          <w:lang w:val="en-US"/>
        </w:rPr>
      </w:pPr>
      <w:r w:rsidRPr="00CA4FC7">
        <w:rPr>
          <w:rFonts w:ascii="Arial" w:hAnsi="Arial" w:cs="Arial"/>
          <w:lang w:val="en-US"/>
        </w:rPr>
        <w:t xml:space="preserve">Anterior knee pain is </w:t>
      </w:r>
      <w:r w:rsidR="00BF5DD6" w:rsidRPr="00CA4FC7">
        <w:rPr>
          <w:rFonts w:ascii="Arial" w:hAnsi="Arial" w:cs="Arial"/>
          <w:lang w:val="en-US"/>
        </w:rPr>
        <w:t>a</w:t>
      </w:r>
      <w:r w:rsidRPr="00CA4FC7">
        <w:rPr>
          <w:rFonts w:ascii="Arial" w:hAnsi="Arial" w:cs="Arial"/>
          <w:lang w:val="en-US"/>
        </w:rPr>
        <w:t xml:space="preserve"> common </w:t>
      </w:r>
      <w:r w:rsidR="00BF5DD6" w:rsidRPr="00CA4FC7">
        <w:rPr>
          <w:rFonts w:ascii="Arial" w:hAnsi="Arial" w:cs="Arial"/>
          <w:lang w:val="en-US"/>
        </w:rPr>
        <w:t xml:space="preserve">overload-related musculoskeletal condition </w:t>
      </w:r>
      <w:r w:rsidRPr="00CA4FC7">
        <w:rPr>
          <w:rFonts w:ascii="Arial" w:hAnsi="Arial" w:cs="Arial"/>
          <w:lang w:val="en-US"/>
        </w:rPr>
        <w:t xml:space="preserve">affecting </w:t>
      </w:r>
      <w:r w:rsidR="00BF5DD6" w:rsidRPr="00CA4FC7">
        <w:rPr>
          <w:rFonts w:ascii="Arial" w:hAnsi="Arial" w:cs="Arial"/>
          <w:lang w:val="en-US"/>
        </w:rPr>
        <w:t>nearly</w:t>
      </w:r>
      <w:r w:rsidRPr="00CA4FC7">
        <w:rPr>
          <w:rFonts w:ascii="Arial" w:hAnsi="Arial" w:cs="Arial"/>
          <w:lang w:val="en-US"/>
        </w:rPr>
        <w:t xml:space="preserve"> one </w:t>
      </w:r>
      <w:r w:rsidR="00BF5DD6" w:rsidRPr="00CA4FC7">
        <w:rPr>
          <w:rFonts w:ascii="Arial" w:hAnsi="Arial" w:cs="Arial"/>
          <w:lang w:val="en-US"/>
        </w:rPr>
        <w:t>in</w:t>
      </w:r>
      <w:r w:rsidRPr="00CA4FC7">
        <w:rPr>
          <w:rFonts w:ascii="Arial" w:hAnsi="Arial" w:cs="Arial"/>
          <w:lang w:val="en-US"/>
        </w:rPr>
        <w:t xml:space="preserve"> five </w:t>
      </w:r>
      <w:r w:rsidR="00BF5DD6" w:rsidRPr="00CA4FC7">
        <w:rPr>
          <w:rFonts w:ascii="Arial" w:hAnsi="Arial" w:cs="Arial"/>
          <w:lang w:val="en-US"/>
        </w:rPr>
        <w:t>individuals</w:t>
      </w:r>
      <w:r w:rsidRPr="00CA4FC7">
        <w:rPr>
          <w:rFonts w:ascii="Arial" w:hAnsi="Arial" w:cs="Arial"/>
          <w:lang w:val="en-US"/>
        </w:rPr>
        <w:t xml:space="preserve"> in </w:t>
      </w:r>
      <w:r w:rsidR="00BF5DD6" w:rsidRPr="00CA4FC7">
        <w:rPr>
          <w:rFonts w:ascii="Arial" w:hAnsi="Arial" w:cs="Arial"/>
          <w:lang w:val="en-US"/>
        </w:rPr>
        <w:t xml:space="preserve">both the </w:t>
      </w:r>
      <w:r w:rsidRPr="00CA4FC7">
        <w:rPr>
          <w:rFonts w:ascii="Arial" w:hAnsi="Arial" w:cs="Arial"/>
          <w:lang w:val="en-US"/>
        </w:rPr>
        <w:t>general and athletic populations.</w:t>
      </w:r>
      <w:r>
        <w:rPr>
          <w:rFonts w:ascii="Arial" w:hAnsi="Arial" w:cs="Arial"/>
          <w:lang w:val="en-US"/>
        </w:rPr>
        <w:t xml:space="preserve"> </w:t>
      </w:r>
      <w:r w:rsidR="00890D35" w:rsidRPr="00890D35">
        <w:rPr>
          <w:rFonts w:ascii="Arial" w:hAnsi="Arial" w:cs="Arial"/>
          <w:lang w:val="en-US"/>
        </w:rPr>
        <w:t xml:space="preserve">Lumbopelvic manipulation is </w:t>
      </w:r>
      <w:r w:rsidR="00E151CC" w:rsidRPr="00CA4FC7">
        <w:rPr>
          <w:rFonts w:ascii="Arial" w:hAnsi="Arial" w:cs="Arial"/>
          <w:lang w:val="en-US"/>
        </w:rPr>
        <w:t>frequently used by manual therapists</w:t>
      </w:r>
      <w:r w:rsidR="00E151CC" w:rsidRPr="00890D35">
        <w:rPr>
          <w:rFonts w:ascii="Arial" w:hAnsi="Arial" w:cs="Arial"/>
          <w:lang w:val="en-US"/>
        </w:rPr>
        <w:t xml:space="preserve"> </w:t>
      </w:r>
      <w:r w:rsidR="00890D35" w:rsidRPr="00890D35">
        <w:rPr>
          <w:rFonts w:ascii="Arial" w:hAnsi="Arial" w:cs="Arial"/>
          <w:lang w:val="en-US"/>
        </w:rPr>
        <w:t>to reduce pain and improve function. Emerging evidence suggests that, when combined with other therapies, it may reduce pain in individuals with anterior knee pain. However, its specific contribution and role in routine care remain unclear.</w:t>
      </w:r>
      <w:r w:rsidR="00890D35">
        <w:rPr>
          <w:lang w:val="en-US"/>
        </w:rPr>
        <w:t xml:space="preserve"> </w:t>
      </w:r>
      <w:r w:rsidR="00FF2C8B" w:rsidRPr="00CA4FC7">
        <w:rPr>
          <w:rFonts w:ascii="Arial" w:hAnsi="Arial" w:cs="Arial"/>
          <w:lang w:val="en-US"/>
        </w:rPr>
        <w:t>This study aims to evaluate the feasibility of a future full-scale trial comparing lumbopelvic manipulation with a sham technique, both combined with an exercise program.</w:t>
      </w:r>
    </w:p>
    <w:p w14:paraId="781F7483" w14:textId="0E82DAC1" w:rsidR="004C036C" w:rsidRDefault="004C036C" w:rsidP="0037195D">
      <w:pPr>
        <w:spacing w:line="480" w:lineRule="auto"/>
        <w:jc w:val="both"/>
        <w:rPr>
          <w:rFonts w:ascii="Arial" w:hAnsi="Arial" w:cs="Arial"/>
          <w:b/>
          <w:bCs/>
          <w:lang w:val="en-US"/>
        </w:rPr>
      </w:pPr>
      <w:r>
        <w:rPr>
          <w:rFonts w:ascii="Arial" w:hAnsi="Arial" w:cs="Arial"/>
          <w:b/>
          <w:bCs/>
          <w:lang w:val="en-US"/>
        </w:rPr>
        <w:t>Methods</w:t>
      </w:r>
    </w:p>
    <w:p w14:paraId="73DD31B6" w14:textId="77777777" w:rsidR="00890D35" w:rsidRPr="00890D35" w:rsidRDefault="00890D35" w:rsidP="00890D35">
      <w:pPr>
        <w:spacing w:line="480" w:lineRule="auto"/>
        <w:jc w:val="both"/>
        <w:rPr>
          <w:rFonts w:ascii="Arial" w:hAnsi="Arial" w:cs="Arial"/>
          <w:lang w:val="en-US"/>
        </w:rPr>
      </w:pPr>
      <w:r w:rsidRPr="00890D35">
        <w:rPr>
          <w:rFonts w:ascii="Arial" w:hAnsi="Arial" w:cs="Arial"/>
          <w:lang w:val="en-US"/>
        </w:rPr>
        <w:t>This article describes a multicenter pilot randomized controlled trial. Participants with anterior knee pain will be randomized to usual care plus one lumbopelvic manipulation (HVLA thrust) or usual care plus sham manipulation. The intervention will last 4 weeks (weekly sessions), followed by a 6-week follow-up. Usual care will be delivered according to current clinical guidelines. The primary objective is to assess feasibility based on recruitment, retention, adherence, intervention fidelity and safety, blinding, and data completeness. Secondary outcomes include exploratory analyses of pain and function, accounting for participants’ expectations.</w:t>
      </w:r>
    </w:p>
    <w:p w14:paraId="61FFDCFA" w14:textId="77777777" w:rsidR="004C036C" w:rsidRDefault="004C036C" w:rsidP="0037195D">
      <w:pPr>
        <w:spacing w:line="480" w:lineRule="auto"/>
        <w:jc w:val="both"/>
        <w:rPr>
          <w:rFonts w:ascii="Arial" w:hAnsi="Arial" w:cs="Arial"/>
          <w:b/>
          <w:bCs/>
          <w:lang w:val="en-US"/>
        </w:rPr>
      </w:pPr>
      <w:r>
        <w:rPr>
          <w:rFonts w:ascii="Arial" w:hAnsi="Arial" w:cs="Arial"/>
          <w:b/>
          <w:bCs/>
          <w:lang w:val="en-US"/>
        </w:rPr>
        <w:t>Discussion</w:t>
      </w:r>
    </w:p>
    <w:p w14:paraId="6117D21C" w14:textId="1E24ACAA" w:rsidR="001C04CA" w:rsidRPr="002E0F6D" w:rsidRDefault="001C04CA" w:rsidP="0037195D">
      <w:pPr>
        <w:spacing w:before="100" w:beforeAutospacing="1" w:after="100" w:afterAutospacing="1" w:line="480" w:lineRule="auto"/>
        <w:jc w:val="both"/>
        <w:rPr>
          <w:rFonts w:ascii="Arial" w:hAnsi="Arial" w:cs="Arial"/>
          <w:lang w:val="en-US"/>
        </w:rPr>
      </w:pPr>
      <w:r w:rsidRPr="002E0F6D">
        <w:rPr>
          <w:rFonts w:ascii="Arial" w:hAnsi="Arial" w:cs="Arial"/>
          <w:lang w:val="en-US"/>
        </w:rPr>
        <w:t xml:space="preserve">This pilot study will determine whether a large-scale randomized controlled trial assessing the clinical effectiveness of lumbopelvic manipulation for anterior knee pain is feasible. Additionally, it will generate preliminary evidence regarding the potential </w:t>
      </w:r>
      <w:r w:rsidRPr="002E0F6D">
        <w:rPr>
          <w:rFonts w:ascii="Arial" w:hAnsi="Arial" w:cs="Arial"/>
          <w:lang w:val="en-US"/>
        </w:rPr>
        <w:lastRenderedPageBreak/>
        <w:t xml:space="preserve">added value of integrating this intervention with </w:t>
      </w:r>
      <w:r w:rsidR="0097754B">
        <w:rPr>
          <w:rFonts w:ascii="Arial" w:hAnsi="Arial" w:cs="Arial"/>
          <w:lang w:val="en-US"/>
        </w:rPr>
        <w:t>usual care</w:t>
      </w:r>
      <w:r w:rsidRPr="002E0F6D">
        <w:rPr>
          <w:rFonts w:ascii="Arial" w:hAnsi="Arial" w:cs="Arial"/>
          <w:lang w:val="en-US"/>
        </w:rPr>
        <w:t xml:space="preserve"> strategies for managing anterior knee pain.</w:t>
      </w:r>
    </w:p>
    <w:p w14:paraId="6F27BF85" w14:textId="77777777" w:rsidR="00AC094A" w:rsidRDefault="00AC094A" w:rsidP="0037195D">
      <w:pPr>
        <w:spacing w:line="480" w:lineRule="auto"/>
        <w:jc w:val="both"/>
        <w:rPr>
          <w:rFonts w:ascii="Arial" w:hAnsi="Arial" w:cs="Arial"/>
          <w:lang w:val="en-US"/>
        </w:rPr>
      </w:pPr>
      <w:r w:rsidRPr="00CA4FC7">
        <w:rPr>
          <w:rFonts w:ascii="Arial" w:hAnsi="Arial" w:cs="Arial"/>
          <w:b/>
          <w:bCs/>
          <w:lang w:val="en-US"/>
        </w:rPr>
        <w:t xml:space="preserve">Keywords: </w:t>
      </w:r>
      <w:r w:rsidRPr="00CA4FC7">
        <w:rPr>
          <w:rFonts w:ascii="Arial" w:hAnsi="Arial" w:cs="Arial"/>
          <w:lang w:val="en-US"/>
        </w:rPr>
        <w:t>Lumbopelvic manipulation, anterior knee pain, regional interdependence, randomized controlled trial, musculoskeletal manipulations</w:t>
      </w:r>
    </w:p>
    <w:p w14:paraId="70C503BE" w14:textId="77777777" w:rsidR="004C036C" w:rsidRDefault="004C036C" w:rsidP="0037195D">
      <w:pPr>
        <w:spacing w:line="480" w:lineRule="auto"/>
        <w:jc w:val="both"/>
        <w:rPr>
          <w:rFonts w:ascii="Arial" w:hAnsi="Arial" w:cs="Arial"/>
          <w:b/>
          <w:bCs/>
          <w:lang w:val="en-US"/>
        </w:rPr>
      </w:pPr>
      <w:r>
        <w:rPr>
          <w:rFonts w:ascii="Arial" w:hAnsi="Arial" w:cs="Arial"/>
          <w:b/>
          <w:bCs/>
          <w:lang w:val="en-US"/>
        </w:rPr>
        <w:t>Trial registration</w:t>
      </w:r>
    </w:p>
    <w:p w14:paraId="512D8D4E" w14:textId="2F3C77D7" w:rsidR="004C036C" w:rsidRPr="00CA4FC7" w:rsidRDefault="007D679B" w:rsidP="00CA4FC7">
      <w:pPr>
        <w:pStyle w:val="Default"/>
        <w:spacing w:line="360" w:lineRule="auto"/>
        <w:jc w:val="both"/>
        <w:rPr>
          <w:rFonts w:ascii="Arial" w:hAnsi="Arial" w:cs="Arial"/>
          <w:lang w:val="en-US"/>
        </w:rPr>
      </w:pPr>
      <w:r w:rsidRPr="00CA4FC7">
        <w:rPr>
          <w:rFonts w:ascii="Arial" w:hAnsi="Arial" w:cs="Arial"/>
          <w:lang w:val="en-US"/>
        </w:rPr>
        <w:t xml:space="preserve">Prospectively registered in OSF registries </w:t>
      </w:r>
      <w:r w:rsidR="00CA4FC7" w:rsidRPr="00CA4FC7">
        <w:rPr>
          <w:rFonts w:ascii="Arial" w:hAnsi="Arial" w:cs="Arial"/>
          <w:lang w:val="en-US"/>
        </w:rPr>
        <w:t>(</w:t>
      </w:r>
      <w:r w:rsidR="00CA4FC7" w:rsidRPr="00CA4FC7">
        <w:rPr>
          <w:rFonts w:ascii="Arial" w:hAnsi="Arial" w:cs="Arial"/>
          <w:color w:val="2196D1"/>
          <w:lang w:val="en-US"/>
        </w:rPr>
        <w:t>https://doi.org/10.17605/OSF.IO/TD3V6</w:t>
      </w:r>
      <w:r w:rsidR="00CA4FC7" w:rsidRPr="00CA4FC7">
        <w:rPr>
          <w:rFonts w:ascii="Arial" w:hAnsi="Arial" w:cs="Arial"/>
          <w:lang w:val="en-US"/>
        </w:rPr>
        <w:t xml:space="preserve">) </w:t>
      </w:r>
      <w:r w:rsidRPr="00CA4FC7">
        <w:rPr>
          <w:rFonts w:ascii="Arial" w:hAnsi="Arial" w:cs="Arial"/>
          <w:lang w:val="en-US"/>
        </w:rPr>
        <w:t xml:space="preserve">on </w:t>
      </w:r>
      <w:r w:rsidR="00FB66AE" w:rsidRPr="00CA4FC7">
        <w:rPr>
          <w:rFonts w:ascii="Arial" w:hAnsi="Arial" w:cs="Arial"/>
          <w:lang w:val="en-US"/>
        </w:rPr>
        <w:t>06</w:t>
      </w:r>
      <w:r w:rsidRPr="00CA4FC7">
        <w:rPr>
          <w:rFonts w:ascii="Arial" w:hAnsi="Arial" w:cs="Arial"/>
          <w:lang w:val="en-US"/>
        </w:rPr>
        <w:t>/</w:t>
      </w:r>
      <w:r w:rsidR="00FB66AE" w:rsidRPr="00CA4FC7">
        <w:rPr>
          <w:rFonts w:ascii="Arial" w:hAnsi="Arial" w:cs="Arial"/>
          <w:lang w:val="en-US"/>
        </w:rPr>
        <w:t>02</w:t>
      </w:r>
      <w:r w:rsidRPr="00CA4FC7">
        <w:rPr>
          <w:rFonts w:ascii="Arial" w:hAnsi="Arial" w:cs="Arial"/>
          <w:lang w:val="en-US"/>
        </w:rPr>
        <w:t>/</w:t>
      </w:r>
      <w:r w:rsidR="00FB66AE" w:rsidRPr="00CA4FC7">
        <w:rPr>
          <w:rFonts w:ascii="Arial" w:hAnsi="Arial" w:cs="Arial"/>
          <w:lang w:val="en-US"/>
        </w:rPr>
        <w:t>2026</w:t>
      </w:r>
      <w:r w:rsidRPr="00CA4FC7">
        <w:rPr>
          <w:rFonts w:ascii="Arial" w:hAnsi="Arial" w:cs="Arial"/>
          <w:lang w:val="en-US"/>
        </w:rPr>
        <w:t xml:space="preserve">. </w:t>
      </w:r>
    </w:p>
    <w:p w14:paraId="26A17AAE" w14:textId="77777777" w:rsidR="004C036C" w:rsidRDefault="004C036C" w:rsidP="0037195D">
      <w:pPr>
        <w:spacing w:line="480" w:lineRule="auto"/>
        <w:jc w:val="both"/>
        <w:rPr>
          <w:rFonts w:ascii="Arial" w:hAnsi="Arial" w:cs="Arial"/>
          <w:lang w:val="en-US"/>
        </w:rPr>
      </w:pPr>
    </w:p>
    <w:p w14:paraId="1BEC24D4" w14:textId="77777777" w:rsidR="004C036C" w:rsidRDefault="004C036C" w:rsidP="0037195D">
      <w:pPr>
        <w:spacing w:line="480" w:lineRule="auto"/>
        <w:rPr>
          <w:rFonts w:ascii="Arial" w:hAnsi="Arial" w:cs="Arial"/>
          <w:lang w:val="en-US"/>
        </w:rPr>
      </w:pPr>
      <w:r>
        <w:rPr>
          <w:rFonts w:ascii="Arial" w:hAnsi="Arial" w:cs="Arial"/>
          <w:lang w:val="en-US"/>
        </w:rPr>
        <w:br w:type="page"/>
      </w:r>
    </w:p>
    <w:p w14:paraId="4D4D94A8" w14:textId="77777777" w:rsidR="004C036C" w:rsidRPr="00150370" w:rsidRDefault="004C036C" w:rsidP="0037195D">
      <w:pPr>
        <w:spacing w:line="480" w:lineRule="auto"/>
        <w:jc w:val="both"/>
        <w:rPr>
          <w:rFonts w:ascii="Arial" w:hAnsi="Arial" w:cs="Arial"/>
          <w:b/>
          <w:bCs/>
          <w:sz w:val="32"/>
          <w:szCs w:val="32"/>
          <w:lang w:val="en-US"/>
        </w:rPr>
      </w:pPr>
      <w:r w:rsidRPr="00150370">
        <w:rPr>
          <w:rFonts w:ascii="Arial" w:hAnsi="Arial" w:cs="Arial"/>
          <w:b/>
          <w:bCs/>
          <w:sz w:val="32"/>
          <w:szCs w:val="32"/>
          <w:lang w:val="en-US"/>
        </w:rPr>
        <w:lastRenderedPageBreak/>
        <w:t>Background</w:t>
      </w:r>
    </w:p>
    <w:p w14:paraId="30820A75" w14:textId="5831A2F5" w:rsidR="004C036C" w:rsidRDefault="004C036C" w:rsidP="0037195D">
      <w:pPr>
        <w:spacing w:line="480" w:lineRule="auto"/>
        <w:jc w:val="both"/>
        <w:rPr>
          <w:rFonts w:ascii="Arial" w:hAnsi="Arial" w:cs="Arial"/>
          <w:lang w:val="en-US"/>
        </w:rPr>
      </w:pPr>
      <w:r>
        <w:rPr>
          <w:rFonts w:ascii="Arial" w:hAnsi="Arial" w:cs="Arial"/>
          <w:lang w:val="en-US"/>
        </w:rPr>
        <w:t>Anterior knee pain (AKP) is a broad term related to heterogeneous conditions, including patellofemoral pain</w:t>
      </w:r>
      <w:r w:rsidR="00924CFA">
        <w:rPr>
          <w:rFonts w:ascii="Arial" w:hAnsi="Arial" w:cs="Arial"/>
          <w:lang w:val="en-US"/>
        </w:rPr>
        <w:t xml:space="preserve"> (PFP)</w:t>
      </w:r>
      <w:r w:rsidR="001E39E8">
        <w:rPr>
          <w:rFonts w:ascii="Arial" w:hAnsi="Arial" w:cs="Arial"/>
          <w:lang w:val="en-US"/>
        </w:rPr>
        <w:t>,</w:t>
      </w:r>
      <w:r w:rsidR="009B1F2E">
        <w:rPr>
          <w:rFonts w:ascii="Arial" w:hAnsi="Arial" w:cs="Arial"/>
          <w:lang w:val="en-US"/>
        </w:rPr>
        <w:t xml:space="preserve"> </w:t>
      </w:r>
      <w:r>
        <w:rPr>
          <w:rFonts w:ascii="Arial" w:hAnsi="Arial" w:cs="Arial"/>
          <w:lang w:val="en-US"/>
        </w:rPr>
        <w:t>bursitis, patellar or quadriceps tendinopathy, fat pad impingement syndrome and, plica</w:t>
      </w:r>
      <w:r w:rsidR="00683345">
        <w:rPr>
          <w:rFonts w:ascii="Arial" w:hAnsi="Arial" w:cs="Arial"/>
          <w:lang w:val="en-US"/>
        </w:rPr>
        <w:t>e</w:t>
      </w:r>
      <w:r>
        <w:rPr>
          <w:rFonts w:ascii="Arial" w:hAnsi="Arial" w:cs="Arial"/>
          <w:lang w:val="en-US"/>
        </w:rPr>
        <w:t xml:space="preserve"> syndrome</w:t>
      </w:r>
      <w:r w:rsidR="004B60D2">
        <w:rPr>
          <w:rFonts w:ascii="Arial" w:hAnsi="Arial" w:cs="Arial"/>
          <w:lang w:val="en-US"/>
        </w:rPr>
        <w:t xml:space="preserve"> </w:t>
      </w:r>
      <w:r w:rsidR="004B60D2">
        <w:rPr>
          <w:rFonts w:ascii="Arial" w:hAnsi="Arial" w:cs="Arial"/>
          <w:lang w:val="en-US"/>
        </w:rPr>
        <w:fldChar w:fldCharType="begin"/>
      </w:r>
      <w:r w:rsidR="004B60D2">
        <w:rPr>
          <w:rFonts w:ascii="Arial" w:hAnsi="Arial" w:cs="Arial"/>
          <w:lang w:val="en-US"/>
        </w:rPr>
        <w:instrText xml:space="preserve"> ADDIN ZOTERO_ITEM CSL_CITATION {"citationID":"OoWYrGQb","properties":{"formattedCitation":"(1)","plainCitation":"(1)","noteIndex":0},"citationItems":[{"id":20160,"uris":["http://zotero.org/users/5535897/items/IPBUAEZA"],"itemData":{"id":20160,"type":"article-journal","abstract":"Purpose of Review This review presents a framework for constructing a differential diagnosis for chronic anterior knee pain associated with overuse other than patellofemoral pain. Traumatic, systemic, and pediatric injuries will not be covered. Recent Findings From superficial to deep, the anterior knee can be conceptually organized into four layers: (1) soft tissue, (2) extensor mechanism, (3) intracapsular/extrasynovial, and (4) intra-articular. Summary From superficial to deep, diagnoses to consider include bursitis, patellar and quadriceps tendinosis, fat pad impingement, and plica syndromes.","container-title":"Current Reviews in Musculoskeletal Medicine","DOI":"10.1007/s12178-021-09704-9","ISSN":"1935-9748","issue":"3","journalAbbreviation":"Curr Rev Musculoskelet Med","language":"en","page":"232-238","source":"DOI.org (Crossref)","title":"Narrative: Review of Anterior Knee Pain Differential Diagnosis (Other than Patellofemoral Pain)","title-short":"Narrative","volume":"14","author":[{"family":"Kuwabara","given":"Anne"},{"family":"Fredericson","given":"Michael"}],"issued":{"date-parts":[["2021",6]]}}}],"schema":"https://github.com/citation-style-language/schema/raw/master/csl-citation.json"} </w:instrText>
      </w:r>
      <w:r w:rsidR="004B60D2">
        <w:rPr>
          <w:rFonts w:ascii="Arial" w:hAnsi="Arial" w:cs="Arial"/>
          <w:lang w:val="en-US"/>
        </w:rPr>
        <w:fldChar w:fldCharType="separate"/>
      </w:r>
      <w:r w:rsidR="004B60D2">
        <w:rPr>
          <w:rFonts w:ascii="Arial" w:hAnsi="Arial" w:cs="Arial"/>
          <w:noProof/>
          <w:lang w:val="en-US"/>
        </w:rPr>
        <w:t>(1)</w:t>
      </w:r>
      <w:r w:rsidR="004B60D2">
        <w:rPr>
          <w:rFonts w:ascii="Arial" w:hAnsi="Arial" w:cs="Arial"/>
          <w:lang w:val="en-US"/>
        </w:rPr>
        <w:fldChar w:fldCharType="end"/>
      </w:r>
      <w:r w:rsidR="004B60D2">
        <w:rPr>
          <w:rFonts w:ascii="Arial" w:hAnsi="Arial" w:cs="Arial"/>
          <w:lang w:val="en-US"/>
        </w:rPr>
        <w:t>.</w:t>
      </w:r>
      <w:r>
        <w:rPr>
          <w:rFonts w:ascii="Arial" w:hAnsi="Arial" w:cs="Arial"/>
          <w:lang w:val="en-US"/>
        </w:rPr>
        <w:t xml:space="preserve"> </w:t>
      </w:r>
      <w:r w:rsidR="001127BC">
        <w:rPr>
          <w:rFonts w:ascii="Arial" w:hAnsi="Arial" w:cs="Arial"/>
          <w:lang w:val="en-US"/>
        </w:rPr>
        <w:t xml:space="preserve">It is one of the most common musculoskeletal </w:t>
      </w:r>
      <w:r w:rsidR="001127BC" w:rsidRPr="00451740">
        <w:rPr>
          <w:rFonts w:ascii="Arial" w:hAnsi="Arial" w:cs="Arial"/>
          <w:lang w:val="en-US"/>
        </w:rPr>
        <w:t>complaint affect</w:t>
      </w:r>
      <w:r w:rsidR="00451740" w:rsidRPr="002E0F6D">
        <w:rPr>
          <w:rFonts w:ascii="Arial" w:hAnsi="Arial" w:cs="Arial"/>
          <w:lang w:val="en-US"/>
        </w:rPr>
        <w:t>ing</w:t>
      </w:r>
      <w:r w:rsidR="001127BC" w:rsidRPr="00451740">
        <w:rPr>
          <w:rFonts w:ascii="Arial" w:hAnsi="Arial" w:cs="Arial"/>
          <w:lang w:val="en-US"/>
        </w:rPr>
        <w:t xml:space="preserve"> the knee,</w:t>
      </w:r>
      <w:r w:rsidR="001127BC">
        <w:rPr>
          <w:rFonts w:ascii="Arial" w:hAnsi="Arial" w:cs="Arial"/>
          <w:lang w:val="en-US"/>
        </w:rPr>
        <w:t xml:space="preserve"> with an estimated prevalence of 22.7% in general population and 18.3% in athlet</w:t>
      </w:r>
      <w:r w:rsidR="00451740">
        <w:rPr>
          <w:rFonts w:ascii="Arial" w:hAnsi="Arial" w:cs="Arial"/>
          <w:lang w:val="en-US"/>
        </w:rPr>
        <w:t>ic</w:t>
      </w:r>
      <w:r w:rsidR="001127BC">
        <w:rPr>
          <w:rFonts w:ascii="Arial" w:hAnsi="Arial" w:cs="Arial"/>
          <w:lang w:val="en-US"/>
        </w:rPr>
        <w:t xml:space="preserve"> population</w:t>
      </w:r>
      <w:r w:rsidR="00451740">
        <w:rPr>
          <w:rFonts w:ascii="Arial" w:hAnsi="Arial" w:cs="Arial"/>
          <w:lang w:val="en-US"/>
        </w:rPr>
        <w:t>s</w:t>
      </w:r>
      <w:r w:rsidR="001127BC">
        <w:rPr>
          <w:rFonts w:ascii="Arial" w:hAnsi="Arial" w:cs="Arial"/>
          <w:lang w:val="en-US"/>
        </w:rPr>
        <w:t xml:space="preserve"> for </w:t>
      </w:r>
      <w:r w:rsidR="0093357C">
        <w:rPr>
          <w:rFonts w:ascii="Arial" w:hAnsi="Arial" w:cs="Arial"/>
          <w:lang w:val="en-US"/>
        </w:rPr>
        <w:t>PFP</w:t>
      </w:r>
      <w:r w:rsidR="00451740">
        <w:rPr>
          <w:rFonts w:ascii="Arial" w:hAnsi="Arial" w:cs="Arial"/>
          <w:lang w:val="en-US"/>
        </w:rPr>
        <w:t xml:space="preserve"> </w:t>
      </w:r>
      <w:r w:rsidR="001127BC">
        <w:rPr>
          <w:rFonts w:ascii="Arial" w:hAnsi="Arial" w:cs="Arial"/>
          <w:lang w:val="en-US"/>
        </w:rPr>
        <w:t>and patellar tendinopathy</w:t>
      </w:r>
      <w:r w:rsidR="00451740">
        <w:rPr>
          <w:rFonts w:ascii="Arial" w:hAnsi="Arial" w:cs="Arial"/>
          <w:lang w:val="en-US"/>
        </w:rPr>
        <w:t xml:space="preserve"> (PT)</w:t>
      </w:r>
      <w:r w:rsidR="001127BC">
        <w:rPr>
          <w:rFonts w:ascii="Arial" w:hAnsi="Arial" w:cs="Arial"/>
          <w:lang w:val="en-US"/>
        </w:rPr>
        <w:t>, respectively</w:t>
      </w:r>
      <w:r w:rsidR="004B60D2">
        <w:rPr>
          <w:rFonts w:ascii="Arial" w:hAnsi="Arial" w:cs="Arial"/>
          <w:lang w:val="en-US"/>
        </w:rPr>
        <w:t xml:space="preserve"> </w:t>
      </w:r>
      <w:r w:rsidR="004B60D2">
        <w:rPr>
          <w:rFonts w:ascii="Arial" w:hAnsi="Arial" w:cs="Arial"/>
          <w:lang w:val="en-US"/>
        </w:rPr>
        <w:fldChar w:fldCharType="begin"/>
      </w:r>
      <w:r w:rsidR="004B60D2">
        <w:rPr>
          <w:rFonts w:ascii="Arial" w:hAnsi="Arial" w:cs="Arial"/>
          <w:lang w:val="en-US"/>
        </w:rPr>
        <w:instrText xml:space="preserve"> ADDIN ZOTERO_ITEM CSL_CITATION {"citationID":"8B3Zw1A3","properties":{"formattedCitation":"(2,3)","plainCitation":"(2,3)","noteIndex":0},"citationItems":[{"id":20329,"uris":["http://zotero.org/users/5535897/items/6UG9E5H5"],"itemData":{"id":20329,"type":"article-journal","abstract":"Importance\n              Approximately 5% of all primary care visits in adults are related to knee pain. Osteoarthritis (OA), patellofemoral pain, and meniscal tears are among the most common causes of knee pain.\n            \n            \n              Observations\n              Knee OA, affecting an estimated 654 million people worldwide, is the most likely diagnosis of knee pain in patients aged 45 years or older who present with activity-related knee joint pain with no or less than 30 minutes of morning stiffness (95% sensitivity; 69% specificity). Patellofemoral pain typically affects people younger than 40 years who are physically active and has a lifetime prevalence of approximately 25%. The presence of anterior knee pain during a squat is approximately 91% sensitive and 50% specific for patellofemoral pain. Meniscal tears affect an estimated 12% of the adult population and can occur following acute trauma (eg, twisting injury) in people younger than 40 years. Alternatively, a meniscal tear may be a degenerative condition present in patients with knee OA who are aged 40 years or older. The McMurray test, consisting of concurrent knee rotation (internal or external to test lateral or medial meniscus, respectively) and extension (61% sensitivity; 84% specificity), and joint line tenderness (83% sensitivity; 83% specificity) assist diagnosis of meniscal tears. Radiographic imaging of all patients with possible knee OA is not recommended. First-line management of OA comprises exercise therapy, weight loss (if overweight), education, and self-management programs to empower patients to better manage their condition. Surgical referral for knee joint replacement can be considered for patients with end-stage OA (ie, no or minimal joint space with inability to cope with pain) after using all appropriate conservative options. For patellofemoral pain, hip and knee strengthening exercises in combination with foot orthoses or patellar taping are recommended, with no indication for surgery. Conservative management (exercise therapy for 4-6 weeks) is also appropriate for most meniscal tears. For severe traumatic (eg, bucket-handle) tears, consisting of displaced meniscal tissue, surgery is likely required. For degenerative meniscal tears, exercise therapy is first-line treatment; surgery is not indicated even in the presence of mechanical symptoms (eg, locking, catching).\n            \n            \n              Conclusions and Relevance\n              Knee OA, patellofemoral pain, and meniscal tears are common causes of knee pain, can be diagnosed clinically, and can be associated with significant disability. First-line treatment for each condition consists of conservative management, with a focus on exercise, education, and self-management.","container-title":"JAMA","DOI":"10.1001/jama.2023.19675","ISSN":"0098-7484","issue":"16","journalAbbreviation":"JAMA","language":"en","page":"1568","source":"DOI.org (Crossref)","title":"Evaluation and Treatment of Knee Pain: A Review","title-short":"Evaluation and Treatment of Knee Pain","volume":"330","author":[{"family":"Duong","given":"Vicky"},{"family":"Oo","given":"Win Min"},{"family":"Ding","given":"Changhai"},{"family":"Culvenor","given":"Adam G."},{"family":"Hunter","given":"David J."}],"issued":{"date-parts":[["2023",10,24]]}}},{"id":9556,"uris":["http://zotero.org/users/5535897/items/CCT33HYG"],"itemData":{"id":9556,"type":"article-journal","abstract":"Background: Patellar tendinopathy (PT) mainly affects athletes who use the tendon for repeated energy storage and release activities. It can have a striking impact on athletes’ careers, although data on its real prevalence and incidence are sparse. Research efforts should start from the results of reliable and updated epidemiological research to help better understand the impact of PT and underpin preventative measures.\nPurpose: To determine the prevalence and incidence of PT in athletes and the general population. Design: Systematic review; Level of evidence, 3.\nMethods: A systematic review of the literature was performed on January 17, 2022, and conducted according to the PRISMA (Preferred Reporting Items for Systematic Reviews and Meta-Analyses) guidelines. The PubMed, Web of Science, and Wiley Cochrane Library databases were searched for epidemiological reports of any evidence level and clinical studies reporting data on the incidence or prevalence of PT for the 11,488 retrieved records. The primary endpoint was the prevalence and incidence of PT in sport-active patients. The secondary endpoints were PT prevalence and incidence in subgroups of athletes based on sex, age, sport type, and sport level played, as well as the same epidemiological measures in the general population.\nResults: A total of 28 studies, with 28,171 participants, were selected and used for the qualitative and quantitative analysis. The general and athletes’ populations reported an overall PT prevalence of 0.1% and 18.3%, respectively. In athletes, the prevalence of PT was 11.2% in women and 17% in men (P ¼ .070). The prevalence of PT in athletes &lt;18 years was 10.1%, while it was 21.3% in athletes  18 years (P ¼ .004). The prevalence of PT was 6.1% in soccer players, 20.8% in basketball players, and 24.8% in volleyball players. Heterogeneous PT diagnostic approaches were observed. Higher prevalence values were found when PT diagnoses were made using patient-reported outcomes versus clinical evaluations (P ¼ .004).\nConclusion: This review demonstrated that PT is a common problem in the male and female sport-active populations. There are twice as many athletes aged  18 years than there are &lt;18 years. Volleyball and basketball players are most affected by PT.","container-title":"Orthopaedic Journal of Sports Medicine","DOI":"10.1177/23259671231173659","ISSN":"2325-9671, 2325-9671","issue":"6","journalAbbreviation":"Orthopaedic Journal of Sports Medicine","language":"en","page":"23259671231173659","source":"DOI.org (Crossref)","title":"Epidemiology of Patellar Tendinopathy in Athletes and the General Population: A Systematic Review and Meta-analysis","title-short":"Epidemiology of Patellar Tendinopathy in Athletes and the General Population","volume":"11","author":[{"family":"Nutarelli","given":"Sebastiano"},{"family":"Lodi","given":"Camilla Mondini Trissino Da"},{"family":"Cook","given":"Jill L."},{"family":"Deabate","given":"Luca"},{"family":"Filardo","given":"Giuseppe"}],"issued":{"date-parts":[["2023",6,1]]}}}],"schema":"https://github.com/citation-style-language/schema/raw/master/csl-citation.json"} </w:instrText>
      </w:r>
      <w:r w:rsidR="004B60D2">
        <w:rPr>
          <w:rFonts w:ascii="Arial" w:hAnsi="Arial" w:cs="Arial"/>
          <w:lang w:val="en-US"/>
        </w:rPr>
        <w:fldChar w:fldCharType="separate"/>
      </w:r>
      <w:r w:rsidR="004B60D2">
        <w:rPr>
          <w:rFonts w:ascii="Arial" w:hAnsi="Arial" w:cs="Arial"/>
          <w:noProof/>
          <w:lang w:val="en-US"/>
        </w:rPr>
        <w:t>(2,3)</w:t>
      </w:r>
      <w:r w:rsidR="004B60D2">
        <w:rPr>
          <w:rFonts w:ascii="Arial" w:hAnsi="Arial" w:cs="Arial"/>
          <w:lang w:val="en-US"/>
        </w:rPr>
        <w:fldChar w:fldCharType="end"/>
      </w:r>
      <w:r w:rsidR="004B60D2">
        <w:rPr>
          <w:rFonts w:ascii="Arial" w:hAnsi="Arial" w:cs="Arial"/>
          <w:lang w:val="en-US"/>
        </w:rPr>
        <w:t>.</w:t>
      </w:r>
      <w:r w:rsidR="009F3F22">
        <w:rPr>
          <w:rFonts w:ascii="Arial" w:hAnsi="Arial" w:cs="Arial"/>
          <w:lang w:val="en-US"/>
        </w:rPr>
        <w:t xml:space="preserve"> </w:t>
      </w:r>
      <w:r w:rsidR="001127BC">
        <w:rPr>
          <w:rFonts w:ascii="Arial" w:hAnsi="Arial" w:cs="Arial"/>
          <w:lang w:val="en-US"/>
        </w:rPr>
        <w:t>In overall, r</w:t>
      </w:r>
      <w:r>
        <w:rPr>
          <w:rFonts w:ascii="Arial" w:hAnsi="Arial" w:cs="Arial"/>
          <w:lang w:val="en-US"/>
        </w:rPr>
        <w:t>ehabilitation consists in multimodal program including education, exercise</w:t>
      </w:r>
      <w:r w:rsidR="00502FC5">
        <w:rPr>
          <w:rFonts w:ascii="Arial" w:hAnsi="Arial" w:cs="Arial"/>
          <w:lang w:val="en-US"/>
        </w:rPr>
        <w:t xml:space="preserve"> with </w:t>
      </w:r>
      <w:r w:rsidR="00905489">
        <w:rPr>
          <w:rFonts w:ascii="Arial" w:hAnsi="Arial" w:cs="Arial"/>
          <w:lang w:val="en-US"/>
        </w:rPr>
        <w:t>progressively</w:t>
      </w:r>
      <w:r w:rsidR="00502FC5">
        <w:rPr>
          <w:rFonts w:ascii="Arial" w:hAnsi="Arial" w:cs="Arial"/>
          <w:lang w:val="en-US"/>
        </w:rPr>
        <w:t xml:space="preserve"> structure</w:t>
      </w:r>
      <w:r w:rsidR="00451740">
        <w:rPr>
          <w:rFonts w:ascii="Arial" w:hAnsi="Arial" w:cs="Arial"/>
          <w:lang w:val="en-US"/>
        </w:rPr>
        <w:t>d</w:t>
      </w:r>
      <w:r w:rsidR="00502FC5">
        <w:rPr>
          <w:rFonts w:ascii="Arial" w:hAnsi="Arial" w:cs="Arial"/>
          <w:lang w:val="en-US"/>
        </w:rPr>
        <w:t xml:space="preserve"> loading</w:t>
      </w:r>
      <w:r>
        <w:rPr>
          <w:rFonts w:ascii="Arial" w:hAnsi="Arial" w:cs="Arial"/>
          <w:lang w:val="en-US"/>
        </w:rPr>
        <w:t xml:space="preserve"> and adjunctive interventions</w:t>
      </w:r>
      <w:r w:rsidR="00502FC5">
        <w:rPr>
          <w:rFonts w:ascii="Arial" w:hAnsi="Arial" w:cs="Arial"/>
          <w:lang w:val="en-US"/>
        </w:rPr>
        <w:t>,</w:t>
      </w:r>
      <w:r>
        <w:rPr>
          <w:rFonts w:ascii="Arial" w:hAnsi="Arial" w:cs="Arial"/>
          <w:lang w:val="en-US"/>
        </w:rPr>
        <w:t xml:space="preserve"> such as </w:t>
      </w:r>
      <w:r w:rsidR="00924CFA">
        <w:rPr>
          <w:rFonts w:ascii="Arial" w:hAnsi="Arial" w:cs="Arial"/>
          <w:lang w:val="en-US"/>
        </w:rPr>
        <w:t>taping</w:t>
      </w:r>
      <w:r>
        <w:rPr>
          <w:rFonts w:ascii="Arial" w:hAnsi="Arial" w:cs="Arial"/>
          <w:lang w:val="en-US"/>
        </w:rPr>
        <w:t xml:space="preserve"> or </w:t>
      </w:r>
      <w:r w:rsidR="00683345">
        <w:rPr>
          <w:rFonts w:ascii="Arial" w:hAnsi="Arial" w:cs="Arial"/>
          <w:lang w:val="en-US"/>
        </w:rPr>
        <w:t xml:space="preserve">lower </w:t>
      </w:r>
      <w:r w:rsidR="00451740">
        <w:rPr>
          <w:rFonts w:ascii="Arial" w:hAnsi="Arial" w:cs="Arial"/>
          <w:lang w:val="en-US"/>
        </w:rPr>
        <w:t>extremity</w:t>
      </w:r>
      <w:r w:rsidR="00683345">
        <w:rPr>
          <w:rFonts w:ascii="Arial" w:hAnsi="Arial" w:cs="Arial"/>
          <w:lang w:val="en-US"/>
        </w:rPr>
        <w:t xml:space="preserve"> </w:t>
      </w:r>
      <w:r>
        <w:rPr>
          <w:rFonts w:ascii="Arial" w:hAnsi="Arial" w:cs="Arial"/>
          <w:lang w:val="en-US"/>
        </w:rPr>
        <w:t>manual therapy</w:t>
      </w:r>
      <w:r w:rsidR="004B60D2">
        <w:rPr>
          <w:rFonts w:ascii="Arial" w:hAnsi="Arial" w:cs="Arial"/>
          <w:lang w:val="en-US"/>
        </w:rPr>
        <w:t xml:space="preserve"> </w:t>
      </w:r>
      <w:r w:rsidR="004B60D2" w:rsidRPr="00CA4FC7">
        <w:rPr>
          <w:rFonts w:ascii="Arial" w:hAnsi="Arial" w:cs="Arial"/>
          <w:lang w:val="en-US"/>
        </w:rPr>
        <w:fldChar w:fldCharType="begin"/>
      </w:r>
      <w:r w:rsidR="00081580" w:rsidRPr="00CA4FC7">
        <w:rPr>
          <w:rFonts w:ascii="Arial" w:hAnsi="Arial" w:cs="Arial"/>
          <w:lang w:val="en-US"/>
        </w:rPr>
        <w:instrText xml:space="preserve"> ADDIN ZOTERO_ITEM CSL_CITATION {"citationID":"WWu5WNds","properties":{"formattedCitation":"(4\\uc0\\u8211{}6)","plainCitation":"(4–6)","noteIndex":0},"citationItems":[{"id":20189,"uris":["http://zotero.org/users/5535897/items/9B48UC7M"],"itemData":{"id":20189,"type":"article-journal","abstract":"Patellofemoral pain (PFP) is a common musculoskeletal-related condition that is characterized by insidious onset of poorly defined pain, localized to the anterior retropatellar and/or peripatellar region of the knee. The onset of symptoms can be slow or acutely develop with a worsening of pain accompanying lower-limb loading activities (eg, squatting, prolonged sitting, ascending/descending stairs, jumping, or running). Symptoms can restrict participation in physical activity, sports, and work, as well as recur and persist for years. This clinical practice guideline will allow physical therapists and other rehabilitation specialists to stay up to date with evolving PFP knowledge and practices, and help them to make evidence-based treatment decisions. J Orthop Sports Phys Ther. 2019;49(9):CPG1–CPG95. doi:10.2519/jospt.2019.0302","container-title":"Journal of Orthopaedic &amp; Sports Physical Therapy","DOI":"10.2519/jospt.2019.0302","ISSN":"0190-6011, 1938-1344","issue":"9","journalAbbreviation":"Journal of Orthopaedic &amp; Sports Physical Therapy","language":"en","page":"CPG1-CPG95","source":"DOI.org (Crossref)","title":"Patellofemoral Pain: Clinical Practice Guidelines Linked to the International Classification of Functioning, Disability and Health From the Academy of Orthopaedic Physical Therapy of the American Physical Therapy Association","title-short":"Patellofemoral Pain","volume":"49","author":[{"family":"Willy","given":"Richard W."},{"family":"Hoglund","given":"Lisa T."},{"family":"Barton","given":"Christian J."},{"family":"Bolgla","given":"Lori A."},{"family":"Scalzitti","given":"David A."},{"family":"Logerstedt","given":"David S."},{"family":"Lynch","given":"Andrew D."},{"family":"Snyder-Mackler","given":"Lynn"},{"family":"McDonough","given":"Christine M."}],"issued":{"date-parts":[["2019",9]]}}},{"id":20193,"uris":["http://zotero.org/users/5535897/items/Z2JBZAPC"],"itemData":{"id":20193,"type":"article-journal","abstract":"Objectives We performed a systematic review and network meta-analysis (NMA) of randomised controlled trials (RCTs) to provide insights into the effectiveness of available treatment modalities in patellar tendinopathy(PT).\nMethods Several databases were searched in May 2021 for RCTs assessing the effectiveness of any intervention compared with any other intervention, placebo or no treatment for pain and/or function in PT. The risk of bias and strength of evidence were assessed with the Cochrane Collaboration and GRADE (Grading of Recommendations, Assessment, Development and Evaluations)/GRADE-NMA tools.\nResults A total of 37 RCTs were eligible that assessed 33 different interventions and their combinations, most represented by single studies. Based on pairwise metaanalyses of two RCTs, extracorporeal shockwave therapy (ESWT) does not appear to be superior to sham ESWT (eccentric exercise in both groups) for short-term pain (mean differences (MD) +0.1, 95% CI (−0.8 to 1), p=0.84) or function (MD −1.8, 95% CI (–8 to 4.4), p=0.57). Based on a pairwise meta-analysis of three RCTs, isometric exercise appears as effective as isotonic exercise for immediate postintervention pain relief (MD −1.03, 95% CI (−2.6 to 0.5), p=0.19). Our NMA showed that topical glyceryl trinitrate (GTN) and hyaluronic acid injection, both combined with eccentric exercise and moderate, slow resistance exercise had the highest probability of being the most effective interventions (low/very low strength of evidence).\nConclusions Promising interventions with inadequate evidence, such as topical GTN, hyaluronic acid injections and isometric and slow resistance exercise, should be further investigated through high-quality RCTs. Meanwhile, eccentric loading with or without adjuncts should remain the first-line treatment for all individuals with patellar tendinopathy.","container-title":"BMJ Open Sport &amp; Exercise Medicine","DOI":"10.1136/bmjsem-2021-001110","ISSN":"2055-7647","issue":"4","journalAbbreviation":"BMJ Open Sport Exerc Med","language":"en","page":"e001110","source":"DOI.org (Crossref)","title":"Management of patellar tendinopathy: a systematic review and network meta-analysis of randomised studies","title-short":"Management of patellar tendinopathy","volume":"7","author":[{"family":"Challoumas","given":"Dimitris"},{"family":"Pedret","given":"Carles"},{"family":"Biddle","given":"Mairiosa"},{"family":"Ng","given":"Nigel Yong Boon"},{"family":"Kirwan","given":"Paul"},{"family":"Cooper","given":"Blair"},{"family":"Nicholas","given":"Patrick"},{"family":"Wilson","given":"Scott"},{"family":"Clifford","given":"Chris"},{"family":"Millar","given":"Neal L"}],"issued":{"date-parts":[["2021",11]]}}},{"id":20321,"uris":["http://zotero.org/users/5535897/items/56HM8ESR"],"itemData":{"id":20321,"type":"article-journal","abstract":"Objective. The purpose of this study was to conduct a systematic review to evaluate clinical practice guidelines for the physical therapist management of patellofemoral pain.\nMethods. Five electronic databases (CINAHL, Embase, Medline, Psychinfo, Cochrane Library) were searched from January 2013 to October 2019. Additional search methods included searching websites that publish clinical practice guidelines containing recommendations for physical therapist management of patellofemoral pain. Characteristics of the guidelines were extracted, including recommendations for examination, interventions, and evaluation applicable to physical therapist practice. Quality assessment was conducted using the Appraisal of Guidelines for Research and Evaluation (AGREE) II instrument, applicability of recommendations to physical therapist practice was examined using the AGREE Recommendation Excellence instrument, and convergence of recommendations across guidelines was assessed.\nResults. Four clinical practice guidelines were included. One guideline evaluated as higher quality provided the most clinically applicable set of recommendations for examination, interventions, and evaluation processes to assess the effectiveness of interventions. Guideline-recommended interventions were consistent for exercise therapy, foot orthoses, patellar taping, patient education, and combined interventions and did not recommend the use of electrotherapeutic modalities. Two guidelines evaluated as higher quality did not recommend using manual therapy (in isolation), dry needling, and patellar bracing.\nConclusion. Recommendations from higher-quality clinical practice guidelines may conﬂict with routine physical therapist management of patellofemoral pain. This review provides guidance for clinicians to deliver high-value physical therapist management of patellofemoral pain.","container-title":"Physical Therapy","DOI":"10.1093/ptj/pzab021","ISSN":"0031-9023, 1538-6724","issue":"3","language":"en","license":"https://academic.oup.com/journals/pages/open_access/funder_policies/chorus/standard_publication_model","page":"pzab021","source":"DOI.org (Crossref)","title":"A Systematic Review of Clinical Practice Guidelines for Physical Therapist Management of Patellofemoral Pain","volume":"101","author":[{"family":"Wallis","given":"Jason A"},{"family":"Roddy","given":"Leanne"},{"family":"Bottrell","given":"Judy"},{"family":"Parslow","given":"Sue"},{"family":"Taylor","given":"Nicholas F"}],"issued":{"date-parts":[["2021",3,3]]}}}],"schema":"https://github.com/citation-style-language/schema/raw/master/csl-citation.json"} </w:instrText>
      </w:r>
      <w:r w:rsidR="004B60D2" w:rsidRPr="00CA4FC7">
        <w:rPr>
          <w:rFonts w:ascii="Arial" w:hAnsi="Arial" w:cs="Arial"/>
          <w:lang w:val="en-US"/>
        </w:rPr>
        <w:fldChar w:fldCharType="separate"/>
      </w:r>
      <w:r w:rsidR="00081580" w:rsidRPr="00CA4FC7">
        <w:rPr>
          <w:rFonts w:ascii="Arial" w:eastAsiaTheme="minorHAnsi" w:hAnsi="Arial" w:cs="Arial"/>
          <w:lang w:val="en-US" w:eastAsia="en-US"/>
        </w:rPr>
        <w:t>(4–6)</w:t>
      </w:r>
      <w:r w:rsidR="004B60D2" w:rsidRPr="00CA4FC7">
        <w:rPr>
          <w:rFonts w:ascii="Arial" w:hAnsi="Arial" w:cs="Arial"/>
          <w:lang w:val="en-US"/>
        </w:rPr>
        <w:fldChar w:fldCharType="end"/>
      </w:r>
      <w:r w:rsidR="004B60D2" w:rsidRPr="00CA4FC7">
        <w:rPr>
          <w:rFonts w:ascii="Arial" w:hAnsi="Arial" w:cs="Arial"/>
          <w:lang w:val="en-US"/>
        </w:rPr>
        <w:t>.</w:t>
      </w:r>
      <w:r>
        <w:rPr>
          <w:rFonts w:ascii="Arial" w:hAnsi="Arial" w:cs="Arial"/>
          <w:lang w:val="en-US"/>
        </w:rPr>
        <w:t xml:space="preserve"> </w:t>
      </w:r>
    </w:p>
    <w:p w14:paraId="55725178" w14:textId="77777777" w:rsidR="00CE3656" w:rsidRDefault="00924CFA" w:rsidP="0037195D">
      <w:pPr>
        <w:spacing w:line="480" w:lineRule="auto"/>
        <w:jc w:val="both"/>
        <w:rPr>
          <w:rFonts w:ascii="Arial" w:hAnsi="Arial" w:cs="Arial"/>
          <w:lang w:val="en-US"/>
        </w:rPr>
      </w:pPr>
      <w:r>
        <w:rPr>
          <w:rFonts w:ascii="Arial" w:hAnsi="Arial" w:cs="Arial"/>
          <w:lang w:val="en-US"/>
        </w:rPr>
        <w:t>L</w:t>
      </w:r>
      <w:r w:rsidRPr="00FC0898">
        <w:rPr>
          <w:rFonts w:ascii="Arial" w:hAnsi="Arial" w:cs="Arial"/>
          <w:lang w:val="en-US"/>
        </w:rPr>
        <w:t>umbopelvic</w:t>
      </w:r>
      <w:r>
        <w:rPr>
          <w:rFonts w:ascii="Arial" w:hAnsi="Arial" w:cs="Arial"/>
          <w:lang w:val="en-US"/>
        </w:rPr>
        <w:t xml:space="preserve"> </w:t>
      </w:r>
      <w:r w:rsidR="00AE3EE3">
        <w:rPr>
          <w:rFonts w:ascii="Arial" w:hAnsi="Arial" w:cs="Arial"/>
          <w:lang w:val="en-US"/>
        </w:rPr>
        <w:t>manipulation</w:t>
      </w:r>
      <w:r>
        <w:rPr>
          <w:rFonts w:ascii="Arial" w:hAnsi="Arial" w:cs="Arial"/>
          <w:lang w:val="en-US"/>
        </w:rPr>
        <w:t xml:space="preserve"> (LPM)</w:t>
      </w:r>
      <w:r w:rsidR="004C036C">
        <w:rPr>
          <w:rFonts w:ascii="Arial" w:hAnsi="Arial" w:cs="Arial"/>
          <w:lang w:val="en-US"/>
        </w:rPr>
        <w:t xml:space="preserve"> is commonly used to reduce pain and improve disabili</w:t>
      </w:r>
      <w:r w:rsidR="00502FC5">
        <w:rPr>
          <w:rFonts w:ascii="Arial" w:hAnsi="Arial" w:cs="Arial"/>
          <w:lang w:val="en-US"/>
        </w:rPr>
        <w:t>ty</w:t>
      </w:r>
      <w:r w:rsidR="004B60D2">
        <w:rPr>
          <w:rFonts w:ascii="Arial" w:hAnsi="Arial" w:cs="Arial"/>
          <w:lang w:val="en-US"/>
        </w:rPr>
        <w:t xml:space="preserve"> </w:t>
      </w:r>
      <w:r w:rsidR="0097754B">
        <w:rPr>
          <w:rFonts w:ascii="Arial" w:hAnsi="Arial" w:cs="Arial"/>
          <w:lang w:val="en-US"/>
        </w:rPr>
        <w:t xml:space="preserve">in patients with spinal pain </w:t>
      </w:r>
      <w:r w:rsidR="004B60D2">
        <w:rPr>
          <w:rFonts w:ascii="Arial" w:hAnsi="Arial" w:cs="Arial"/>
          <w:lang w:val="en-US"/>
        </w:rPr>
        <w:fldChar w:fldCharType="begin"/>
      </w:r>
      <w:r w:rsidR="0006221A">
        <w:rPr>
          <w:rFonts w:ascii="Arial" w:hAnsi="Arial" w:cs="Arial"/>
          <w:lang w:val="en-US"/>
        </w:rPr>
        <w:instrText xml:space="preserve"> ADDIN ZOTERO_ITEM CSL_CITATION {"citationID":"iAHP0xNF","properties":{"formattedCitation":"(7)","plainCitation":"(7)","noteIndex":0},"citationItems":[{"id":20409,"uris":["http://zotero.org/users/5535897/items/Y3SKM94I"],"itemData":{"id":20409,"type":"article-journal","abstract":"Clinical Practice Guidelines Linked to the International Classification of Functioning, Disability and Health From the Academy of Orthopaedic Physical Therapy of the American Physical Therapy Association","container-title":"The Journal of orthopaedic and sports physical therapy","DOI":"10.2519/jospt.2021.0304","ISSN":"0190-6011","issue":"11","journalAbbreviation":"J Orthop Sports Phys Ther","page":"CPG1-CPG60","PMID":"34719942","PMCID":"PMC10508241","source":"PubMed Central","title":"Interventions for the Management of Acute and Chronic Low Back Pain: Revision 2021","title-short":"Interventions for the Management of Acute and Chronic Low Back Pain","volume":"51","author":[{"family":"George","given":"Steven Z"},{"family":"Fritz","given":"Julie M."},{"family":"Silfies","given":"Sheri P."},{"family":"Schneider","given":"Michael J."},{"family":"Beneciuk","given":"Jason M."},{"family":"Lentz","given":"Trevor A."},{"family":"Gilliam","given":"John R."},{"family":"Hendren","given":"Stephanie"},{"family":"Norman","given":"Katherine S."}],"issued":{"date-parts":[["2021",11]]}}}],"schema":"https://github.com/citation-style-language/schema/raw/master/csl-citation.json"} </w:instrText>
      </w:r>
      <w:r w:rsidR="004B60D2">
        <w:rPr>
          <w:rFonts w:ascii="Arial" w:hAnsi="Arial" w:cs="Arial"/>
          <w:lang w:val="en-US"/>
        </w:rPr>
        <w:fldChar w:fldCharType="separate"/>
      </w:r>
      <w:r w:rsidR="004B60D2">
        <w:rPr>
          <w:rFonts w:ascii="Arial" w:hAnsi="Arial" w:cs="Arial"/>
          <w:noProof/>
          <w:lang w:val="en-US"/>
        </w:rPr>
        <w:t>(7)</w:t>
      </w:r>
      <w:r w:rsidR="004B60D2">
        <w:rPr>
          <w:rFonts w:ascii="Arial" w:hAnsi="Arial" w:cs="Arial"/>
          <w:lang w:val="en-US"/>
        </w:rPr>
        <w:fldChar w:fldCharType="end"/>
      </w:r>
      <w:r w:rsidR="007A0E40">
        <w:rPr>
          <w:rFonts w:ascii="Arial" w:hAnsi="Arial" w:cs="Arial"/>
          <w:lang w:val="en-US"/>
        </w:rPr>
        <w:t xml:space="preserve"> but is also used in AKP</w:t>
      </w:r>
      <w:r w:rsidR="004B60D2">
        <w:rPr>
          <w:rFonts w:ascii="Arial" w:hAnsi="Arial" w:cs="Arial"/>
          <w:lang w:val="en-US"/>
        </w:rPr>
        <w:t>.</w:t>
      </w:r>
      <w:r w:rsidR="00502FC5">
        <w:rPr>
          <w:rFonts w:ascii="Arial" w:hAnsi="Arial" w:cs="Arial"/>
          <w:lang w:val="en-US"/>
        </w:rPr>
        <w:t xml:space="preserve"> </w:t>
      </w:r>
      <w:r w:rsidR="005943C8" w:rsidRPr="0079620E">
        <w:rPr>
          <w:rFonts w:ascii="Arial" w:hAnsi="Arial" w:cs="Arial"/>
          <w:lang w:val="en-US"/>
        </w:rPr>
        <w:t>A proposed mechanism by which LPM may alleviate AKP</w:t>
      </w:r>
      <w:r w:rsidR="005943C8">
        <w:rPr>
          <w:rFonts w:ascii="Arial" w:hAnsi="Arial" w:cs="Arial"/>
          <w:lang w:val="en-US"/>
        </w:rPr>
        <w:t xml:space="preserve"> </w:t>
      </w:r>
      <w:r w:rsidR="005943C8" w:rsidRPr="0079620E">
        <w:rPr>
          <w:rFonts w:ascii="Arial" w:hAnsi="Arial" w:cs="Arial"/>
          <w:lang w:val="en-US"/>
        </w:rPr>
        <w:t>involves its effects on the neurological system, including peripheral, spinal segmental, and supraspinal pathways</w:t>
      </w:r>
      <w:r w:rsidR="004B60D2">
        <w:rPr>
          <w:rFonts w:ascii="Arial" w:hAnsi="Arial" w:cs="Arial"/>
          <w:lang w:val="en-US"/>
        </w:rPr>
        <w:t xml:space="preserve"> </w:t>
      </w:r>
      <w:r w:rsidR="004B60D2">
        <w:rPr>
          <w:rFonts w:ascii="Arial" w:hAnsi="Arial" w:cs="Arial"/>
          <w:lang w:val="en-US"/>
        </w:rPr>
        <w:fldChar w:fldCharType="begin"/>
      </w:r>
      <w:r w:rsidR="004B60D2">
        <w:rPr>
          <w:rFonts w:ascii="Arial" w:hAnsi="Arial" w:cs="Arial"/>
          <w:lang w:val="en-US"/>
        </w:rPr>
        <w:instrText xml:space="preserve"> ADDIN ZOTERO_ITEM CSL_CITATION {"citationID":"k0Yy7yXv","properties":{"formattedCitation":"(8)","plainCitation":"(8)","noteIndex":0},"citationItems":[{"id":11747,"uris":["http://zotero.org/users/5535897/items/LMVI9KC9"],"itemData":{"id":11747,"type":"article-journal","abstract":"Introduction\n              Treatment mechanisms are the underlying process or pathway through which a treatment influences the body. This includes molecular, cellular and physiological processes or pathways contributing to treatment effect. Manual therapy (MT) evokes complex mechanistic responses across body systems, interacting with the individual patient and context to promote a treatment response. Challenges arise as mechanistic studies are spread across multiple professions, settings and populations. The purpose of this review is to summarize treatment mechanisms that have been reported to occur with MT application.\n            \n            \n              Methods\n              \n                Four electronic databases were searched (Medline, CINAHL, Cochrane Library, and PEDro) for reviews investigating mechanistic responses which occur during/post application of MT. This review was registered\n                a priori\n                with PROSPERO (CRD42023444839). Methodological quality (AMSTAR-2) and risk of bias (ROBIS) were assessed for systematic and scoping reviews. Data were synthesized by mechanistic domain.\n              \n            \n            \n              Results\n              Sixty-two reviews were included. Systematic reviews (n = 35), narrative reviews (n = 24), and scoping reviews (n = 4) of asymptomatic (n = 37), symptomatic (n = 43), non-specified human subjects (n = 7) and animals (n = 7) were included. Reviews of moderate quality supported neurovascular, neurological, and neurotransmitter/neuropeptide changes. Reviews of low quality supported neuroimmunce, neuromuscular, and neuroendocrine changes. Reviews of critically low quality support biomechanical changes.\n            \n            \n              Conclusions\n              Findings support critically low to moderate quality evidence of complex multisystem mechanistic responses occurring with the application of MT. Results support peripheral, segmental spinal, and supraspinal mechanisms occurring with the application of MT, which can be measured directly or indirectly. The clinical value of these findings has not been well established. While MT has proven to be an effective intervention to treat conditions such as pain, the current body of literature leaves uncertainty as to ‘why’ MT interventions work, and future research should look to better define which mechanisms (or combinations of mechanisms) are mediators of clinical response.","container-title":"PLOS ONE","DOI":"10.1371/journal.pone.0319586","ISSN":"1932-6203","issue":"3","journalAbbreviation":"PLoS ONE","language":"en","page":"e0319586","source":"DOI.org (Crossref)","title":"The mechanisms of manual therapy: A living review of systematic, narrative, and scoping reviews","title-short":"The mechanisms of manual therapy","volume":"20","author":[{"family":"Keter","given":"Damian L."},{"family":"Bialosky","given":"Joel E."},{"family":"Brochetti","given":"Kevin"},{"family":"Courtney","given":"Carol A."},{"family":"Funabashi","given":"Martha"},{"family":"Karas","given":"Steve"},{"family":"Learman","given":"Kenneth"},{"family":"Cook","given":"Chad E."}],"editor":[{"family":"Sommer","given":"Claudia"}],"issued":{"date-parts":[["2025",3,18]]}}}],"schema":"https://github.com/citation-style-language/schema/raw/master/csl-citation.json"} </w:instrText>
      </w:r>
      <w:r w:rsidR="004B60D2">
        <w:rPr>
          <w:rFonts w:ascii="Arial" w:hAnsi="Arial" w:cs="Arial"/>
          <w:lang w:val="en-US"/>
        </w:rPr>
        <w:fldChar w:fldCharType="separate"/>
      </w:r>
      <w:r w:rsidR="004B60D2">
        <w:rPr>
          <w:rFonts w:ascii="Arial" w:hAnsi="Arial" w:cs="Arial"/>
          <w:noProof/>
          <w:lang w:val="en-US"/>
        </w:rPr>
        <w:t>(8)</w:t>
      </w:r>
      <w:r w:rsidR="004B60D2">
        <w:rPr>
          <w:rFonts w:ascii="Arial" w:hAnsi="Arial" w:cs="Arial"/>
          <w:lang w:val="en-US"/>
        </w:rPr>
        <w:fldChar w:fldCharType="end"/>
      </w:r>
      <w:r w:rsidR="004B60D2">
        <w:rPr>
          <w:rFonts w:ascii="Arial" w:hAnsi="Arial" w:cs="Arial"/>
          <w:lang w:val="en-US"/>
        </w:rPr>
        <w:t>.</w:t>
      </w:r>
      <w:r w:rsidR="005943C8">
        <w:rPr>
          <w:rFonts w:ascii="Arial" w:hAnsi="Arial" w:cs="Arial"/>
          <w:lang w:val="en-US"/>
        </w:rPr>
        <w:t xml:space="preserve"> </w:t>
      </w:r>
      <w:r w:rsidR="005943C8" w:rsidRPr="0079620E">
        <w:rPr>
          <w:rFonts w:ascii="Arial" w:hAnsi="Arial" w:cs="Arial"/>
          <w:lang w:val="en-US"/>
        </w:rPr>
        <w:t>Nociceptive spinal excitability associated with AKP may be reduced following LPM, contributing to pain attenuation</w:t>
      </w:r>
      <w:r w:rsidR="004B60D2">
        <w:rPr>
          <w:rFonts w:ascii="Arial" w:hAnsi="Arial" w:cs="Arial"/>
          <w:lang w:val="en-US"/>
        </w:rPr>
        <w:t xml:space="preserve"> </w:t>
      </w:r>
      <w:r w:rsidR="004B60D2">
        <w:rPr>
          <w:rFonts w:ascii="Arial" w:hAnsi="Arial" w:cs="Arial"/>
          <w:lang w:val="en-US"/>
        </w:rPr>
        <w:fldChar w:fldCharType="begin"/>
      </w:r>
      <w:r w:rsidR="004B60D2">
        <w:rPr>
          <w:rFonts w:ascii="Arial" w:hAnsi="Arial" w:cs="Arial"/>
          <w:lang w:val="en-US"/>
        </w:rPr>
        <w:instrText xml:space="preserve"> ADDIN ZOTERO_ITEM CSL_CITATION {"citationID":"27POFtTa","properties":{"formattedCitation":"(9)","plainCitation":"(9)","noteIndex":0},"citationItems":[{"id":20425,"uris":["http://zotero.org/users/5535897/items/CQR7FRGW"],"itemData":{"id":20425,"type":"article-journal","abstract":"Patients with chronic pain often present with hyperalgesia, possibly due to hyperexcitability of nociceptive pathways. The aim of the present study was to investigate alterations in ﬂexor withdrawal reﬂex (FWR) excitability in individuals with knee osteoarthritis (OA) and the potential effect of speciﬁc physical inputs or therapeutic interventions (ie, joint compression and mobilization) on these behaviors. Ten subjects with and 10 without knee OA (age 45–75) were recruited. The FWR was examined utilizing suprathreshold, noxious electrocutaneous stimuli applied at the medial foot. Surface electromyographic (EMG) was recorded from the tibialis anterior (TA) and biceps femoris (BF), and peak joint torques recorded at the hip, knee, and ankle. FWR threshold was ascertained and responses at 2 threshold recorded after the following conditions: a maximal, volitional, jointcompression task, a sham hands-on intervention, and a Grade III oscillatory joint-mobilization intervention. A decreased threshold-to-ﬂexor withdrawal response was found in the OA vs control group (P &lt; .01). EMG and joint-torque FWR responses were further augmented in the OA group following the maximal joint-compression task (P &lt; .05), yet remained unchanged or diminished in controls. Joint mobilization, but not sham intervention, reduced reﬂex responses signiﬁcantly, although primarily by decreasing BF activity and knee torques (P &lt; .05).","container-title":"The Journal of Pain","DOI":"10.1016/j.jpain.2009.07.005","ISSN":"15265900","issue":"2","journalAbbreviation":"The Journal of Pain","language":"en","page":"179-185","source":"DOI.org (Crossref)","title":"Heightened Flexor Withdrawal Response in Individuals With Knee Osteoarthritis Is Modulated by Joint Compression and Joint Mobilization","volume":"11","author":[{"family":"Courtney","given":"Carol A."},{"family":"Witte","given":"Paul O."},{"family":"Chmell","given":"Samuel J."},{"family":"Hornby","given":"T. George"}],"issued":{"date-parts":[["2010",2]]}}}],"schema":"https://github.com/citation-style-language/schema/raw/master/csl-citation.json"} </w:instrText>
      </w:r>
      <w:r w:rsidR="004B60D2">
        <w:rPr>
          <w:rFonts w:ascii="Arial" w:hAnsi="Arial" w:cs="Arial"/>
          <w:lang w:val="en-US"/>
        </w:rPr>
        <w:fldChar w:fldCharType="separate"/>
      </w:r>
      <w:r w:rsidR="004B60D2">
        <w:rPr>
          <w:rFonts w:ascii="Arial" w:hAnsi="Arial" w:cs="Arial"/>
          <w:noProof/>
          <w:lang w:val="en-US"/>
        </w:rPr>
        <w:t>(9)</w:t>
      </w:r>
      <w:r w:rsidR="004B60D2">
        <w:rPr>
          <w:rFonts w:ascii="Arial" w:hAnsi="Arial" w:cs="Arial"/>
          <w:lang w:val="en-US"/>
        </w:rPr>
        <w:fldChar w:fldCharType="end"/>
      </w:r>
      <w:r w:rsidR="005943C8">
        <w:rPr>
          <w:rFonts w:ascii="Arial" w:hAnsi="Arial" w:cs="Arial"/>
          <w:lang w:val="en-US"/>
        </w:rPr>
        <w:t xml:space="preserve">. </w:t>
      </w:r>
      <w:r w:rsidR="005943C8" w:rsidRPr="0079620E">
        <w:rPr>
          <w:rFonts w:ascii="Arial" w:hAnsi="Arial" w:cs="Arial"/>
          <w:lang w:val="en-US"/>
        </w:rPr>
        <w:t xml:space="preserve">Moreover, because AKP is known to induce quadriceps inhibition, LPM may facilitate motor output by enhancing quadriceps activation, which could further contribute to pain reduction </w:t>
      </w:r>
      <w:r w:rsidR="00DF6A77">
        <w:rPr>
          <w:rFonts w:ascii="Arial" w:hAnsi="Arial" w:cs="Arial"/>
          <w:lang w:val="en-US"/>
        </w:rPr>
        <w:fldChar w:fldCharType="begin"/>
      </w:r>
      <w:r w:rsidR="0006221A">
        <w:rPr>
          <w:rFonts w:ascii="Arial" w:hAnsi="Arial" w:cs="Arial"/>
          <w:lang w:val="en-US"/>
        </w:rPr>
        <w:instrText xml:space="preserve"> ADDIN ZOTERO_ITEM CSL_CITATION {"citationID":"Gns7w4a0","properties":{"formattedCitation":"(10,11)","plainCitation":"(10,11)","noteIndex":0},"citationItems":[{"id":10455,"uris":["http://zotero.org/users/5535897/items/RR8CUPSH"],"itemData":{"id":10455,"type":"article-journal","abstract":"Objective: The purpose of this study was to systematically review the effects of spinal manipulation on muscular strength in healthy individuals and conduct a meta-analysis to appraise the quality of evidence.\nMethods: Articles were searched and retrieved from MEDLINE, EMBASE, CINAHL, Cochrane Library, PubMed, Academic Search Premier, SPORTDiscus, and AMED. Searches were conducted in September 2017 without a limit on the starting period. The Physiotherapy Evidence Database scale was used to appraise the quality of the included studies. Data from eligible articles were pooled, and meta-analyses were conducted. The quality of evidence was appraised by the Grading of Recommendations, Assessment, Development and Evaluations approach. The registration number for the review on PROSPERO is CRD42017075215.\nResults: A total of 911 records were screened, and 3 randomized controlled trials were eligible to be included in this review. There was a significant pooled standardized mean difference in isometric strength (0.93, 95% confidence interval [CI], 0.17-1.68; P = .02) between the experimental and control groups, with a moderate level of heterogeneity.\nConclusion: This review suggests that spinal manipulative therapy augments the percentage of change in isometric strength gain among healthy participants when compared to no intervention or sham manipulation. However, the heterogeneity of pooled studies in this review suggests that the results should be interpreted with caution. (J Manipulative Physiol Ther 2019;42:148-158) Key Indexing Terms: Manipulation, Spinal; Muscle Strength; Spine","container-title":"Journal of Manipulative and Physiological Therapeutics","DOI":"10.1016/j.jmpt.2018.10.003","ISSN":"01614754","issue":"2","journalAbbreviation":"Journal of Manipulative and Physiological Therapeutics","language":"en","page":"148-158","source":"DOI.org (Crossref)","title":"The Effectiveness of Spinal Manipulation in Increasing Muscle Strength in Healthy Individuals: A Systematic Review and Meta-Analysis","title-short":"The Effectiveness of Spinal Manipulation in Increasing Muscle Strength in Healthy Individuals","volume":"42","author":[{"family":"Lo","given":"Chi Ngai"},{"family":"Ng","given":"Joseph"},{"family":"Au","given":"Chin Kin"},{"family":"Lim","given":"Edwin Choon Wyn"}],"issued":{"date-parts":[["2019",2]]}}},{"id":6557,"uris":["http://zotero.org/users/5535897/items/NU7CS7CC"],"itemData":{"id":6557,"type":"article-journal","abstract":"Lumbopelvic joint manipulation has been shown to increase quadriceps force output and activation, but the duration of effect is unknown. It is also unknown whether lower grade joint mobilisations may have a similar effect. Forty-two healthy volunteers (x+/-SD; age=28.3+/-7.3 yr; ht=172.8+/-9.8 cm; mass=76.6+/-21.7 kg) were randomly assigned to one of three groups (lumbopelvic joint manipulation, 1 min lumbar passive range of motion (PROM), or prone extension on elbows for 3 min). Quadriceps force and activation were measured using the burst-superimposition technique during a seated isometric knee extension task before and at 0, 20, 40, and 60 min following intervention. Collectively, all groups demonstrated a significant decrease (p&lt;0.001) in quadriceps force output without changes in activation (p&gt;0.05) at all time intervals following intervention. The group that received a lumbopelvic joint manipulation demonstrated a significant increase in quadriceps force (3%) and activation (5%) (p&lt;0.05) immediately following intervention, but this effect was not present after the 20 min interval. Since participants in this study were free of knee joint pathology, it is possible that they did not have the capacity to allow for large changes in quadriceps muscle activation to occur.","container-title":"Manual Therapy","DOI":"10.1016/j.math.2008.06.005","ISSN":"1532-2769","issue":"4","journalAbbreviation":"Man Ther","language":"eng","page":"415-420","PMID":"18805726","source":"PubMed","title":"Effects of lumbopelvic joint manipulation on quadriceps activation and strength in healthy individuals","volume":"14","author":[{"family":"Grindstaff","given":"Terry L."},{"family":"Hertel","given":"Jay"},{"family":"Beazell","given":"James R."},{"family":"Magrum","given":"Eric M."},{"family":"Ingersoll","given":"Christopher D."}],"issued":{"date-parts":[["2009",8]]}}}],"schema":"https://github.com/citation-style-language/schema/raw/master/csl-citation.json"} </w:instrText>
      </w:r>
      <w:r w:rsidR="00DF6A77">
        <w:rPr>
          <w:rFonts w:ascii="Arial" w:hAnsi="Arial" w:cs="Arial"/>
          <w:lang w:val="en-US"/>
        </w:rPr>
        <w:fldChar w:fldCharType="separate"/>
      </w:r>
      <w:r w:rsidR="00DF6A77">
        <w:rPr>
          <w:rFonts w:ascii="Arial" w:hAnsi="Arial" w:cs="Arial"/>
          <w:noProof/>
          <w:lang w:val="en-US"/>
        </w:rPr>
        <w:t>(10,11)</w:t>
      </w:r>
      <w:r w:rsidR="00DF6A77">
        <w:rPr>
          <w:rFonts w:ascii="Arial" w:hAnsi="Arial" w:cs="Arial"/>
          <w:lang w:val="en-US"/>
        </w:rPr>
        <w:fldChar w:fldCharType="end"/>
      </w:r>
      <w:r w:rsidR="00DF6A77">
        <w:rPr>
          <w:rFonts w:ascii="Arial" w:hAnsi="Arial" w:cs="Arial"/>
          <w:lang w:val="en-US"/>
        </w:rPr>
        <w:t>.</w:t>
      </w:r>
      <w:r w:rsidR="00107D60">
        <w:rPr>
          <w:rFonts w:ascii="Arial" w:hAnsi="Arial" w:cs="Arial"/>
          <w:lang w:val="en-US"/>
        </w:rPr>
        <w:t xml:space="preserve"> </w:t>
      </w:r>
      <w:r w:rsidR="00FC0898" w:rsidRPr="00FC0898">
        <w:rPr>
          <w:rFonts w:ascii="Arial" w:hAnsi="Arial" w:cs="Arial"/>
          <w:lang w:val="en-US"/>
        </w:rPr>
        <w:t>A recent systematic review reported</w:t>
      </w:r>
      <w:r w:rsidR="00FB0E6A">
        <w:rPr>
          <w:rFonts w:ascii="Arial" w:hAnsi="Arial" w:cs="Arial"/>
          <w:lang w:val="en-US"/>
        </w:rPr>
        <w:t xml:space="preserve"> </w:t>
      </w:r>
      <w:r w:rsidR="00FB0E6A" w:rsidRPr="00FC0898">
        <w:rPr>
          <w:rFonts w:ascii="Arial" w:hAnsi="Arial" w:cs="Arial"/>
          <w:lang w:val="en-US"/>
        </w:rPr>
        <w:t>a moderate-to-large effect size</w:t>
      </w:r>
      <w:r w:rsidR="00FB0E6A">
        <w:rPr>
          <w:rFonts w:ascii="Arial" w:hAnsi="Arial" w:cs="Arial"/>
          <w:lang w:val="en-US"/>
        </w:rPr>
        <w:t xml:space="preserve"> on pain when LPM was combined with other physical therapies in patients with PFP</w:t>
      </w:r>
      <w:r w:rsidR="00B41970">
        <w:rPr>
          <w:rFonts w:ascii="Arial" w:hAnsi="Arial" w:cs="Arial"/>
          <w:lang w:val="en-US"/>
        </w:rPr>
        <w:t xml:space="preserve"> </w:t>
      </w:r>
      <w:r w:rsidR="00DF6A77" w:rsidRPr="00CA4FC7">
        <w:rPr>
          <w:rFonts w:ascii="Arial" w:hAnsi="Arial" w:cs="Arial"/>
          <w:lang w:val="en-US"/>
        </w:rPr>
        <w:fldChar w:fldCharType="begin"/>
      </w:r>
      <w:r w:rsidR="00DF6A77" w:rsidRPr="00CA4FC7">
        <w:rPr>
          <w:rFonts w:ascii="Arial" w:hAnsi="Arial" w:cs="Arial"/>
          <w:lang w:val="en-US"/>
        </w:rPr>
        <w:instrText xml:space="preserve"> ADDIN ZOTERO_ITEM CSL_CITATION {"citationID":"8MWzSSNA","properties":{"formattedCitation":"(12)","plainCitation":"(12)","noteIndex":0},"citationItems":[{"id":11796,"uris":["http://zotero.org/users/5535897/items/DAQPVSBB"],"itemData":{"id":11796,"type":"article-journal","abstract":"Patellofemoral pain syndrome (PFPS) is one of the most common etiologies of knee pain and might be relieved with lumbopelvic manipulation (LPM). This meta-analysis aimed to investigate the effects of LPM on pain reduction in patients with PFPS. Electronic databases were searched from inception to December 2023 for randomized controlled trials (RCTs) investigating the effects of LPM on PFPS. The primary outcome was the change in visual analog or numeric rating scale scores assessing pain. Ten studies comprising 346 participants were included. Signiﬁcant pain reduction was noted in the LPM group (Hedges’ g = −0.706, 95% conﬁdence interval [CI] = −1.197 to −0.214, p = 0.005, I2 = 79.624%) compared with the control group. Moreover, pain relief was more pronounced when LPM was combined with other physical therapies (Hedges’ g = −0.701, 95% CI = −1.386 to −0.017, p = 0.045, I2 = 73.537%). No adverse events were reported during the LPM. The LPM appears to be a safe and effective adjuvant therapy for pain reduction in patients with PFPS. Clinicians should consider adding LPM to other physical therapies (e.g., quadriceps muscle strengthening) during the management of these patients.","container-title":"Life","DOI":"10.3390/life14070831","ISSN":"2075-1729","issue":"7","journalAbbreviation":"Life","language":"en","license":"https://creativecommons.org/licenses/by/4.0/","page":"831","source":"DOI.org (Crossref)","title":"The Effect of Lumbopelvic Manipulation for Pain Reduction in Patellofemoral Pain Syndrome: A Systematic Review and Meta-Analysis of Randomized Controlled Trials","title-short":"The Effect of Lumbopelvic Manipulation for Pain Reduction in Patellofemoral Pain Syndrome","volume":"14","author":[{"family":"Lin","given":"Long-Huei"},{"family":"Lin","given":"Ting-Yu"},{"family":"Chang","given":"Ke-Vin"},{"family":"Wu","given":"Wei-Ting"},{"family":"Özçakar","given":"Levent"}],"issued":{"date-parts":[["2024",6,28]]}}}],"schema":"https://github.com/citation-style-language/schema/raw/master/csl-citation.json"} </w:instrText>
      </w:r>
      <w:r w:rsidR="00DF6A77" w:rsidRPr="00CA4FC7">
        <w:rPr>
          <w:rFonts w:ascii="Arial" w:hAnsi="Arial" w:cs="Arial"/>
          <w:lang w:val="en-US"/>
        </w:rPr>
        <w:fldChar w:fldCharType="separate"/>
      </w:r>
      <w:r w:rsidR="00DF6A77" w:rsidRPr="00CA4FC7">
        <w:rPr>
          <w:rFonts w:ascii="Arial" w:hAnsi="Arial" w:cs="Arial"/>
          <w:noProof/>
          <w:lang w:val="en-US"/>
        </w:rPr>
        <w:t>(12)</w:t>
      </w:r>
      <w:r w:rsidR="00DF6A77" w:rsidRPr="00CA4FC7">
        <w:rPr>
          <w:rFonts w:ascii="Arial" w:hAnsi="Arial" w:cs="Arial"/>
          <w:lang w:val="en-US"/>
        </w:rPr>
        <w:fldChar w:fldCharType="end"/>
      </w:r>
      <w:r w:rsidR="00DF6A77" w:rsidRPr="00CA4FC7">
        <w:rPr>
          <w:rFonts w:ascii="Arial" w:hAnsi="Arial" w:cs="Arial"/>
          <w:lang w:val="en-US"/>
        </w:rPr>
        <w:t>.</w:t>
      </w:r>
      <w:r w:rsidR="00FC0898" w:rsidRPr="00CA4FC7">
        <w:rPr>
          <w:rFonts w:ascii="Arial" w:hAnsi="Arial" w:cs="Arial"/>
          <w:lang w:val="en-US"/>
        </w:rPr>
        <w:t xml:space="preserve"> </w:t>
      </w:r>
      <w:r w:rsidR="00CE3656" w:rsidRPr="00CA4FC7">
        <w:rPr>
          <w:rFonts w:ascii="Arial" w:hAnsi="Arial" w:cs="Arial"/>
          <w:lang w:val="en-US"/>
        </w:rPr>
        <w:t xml:space="preserve">However, the current evidence base is limited by several methodological gaps, including the absence of sham comparators with evaluated blinding, the lack of trials assessing the added value of lumbopelvic manipulation when combined with guideline-based exercise programs compared with sham interventions, and the limited investigation of treatment outcomes in relation to contextual factors. In addition, substantial heterogeneity in intervention protocols, control conditions, and methodological quality, together with a predominant focus on </w:t>
      </w:r>
      <w:r w:rsidR="00CE3656" w:rsidRPr="00CA4FC7">
        <w:rPr>
          <w:rFonts w:ascii="Arial" w:hAnsi="Arial" w:cs="Arial"/>
          <w:lang w:val="en-US"/>
        </w:rPr>
        <w:lastRenderedPageBreak/>
        <w:t>short-term pain rather than function or patient expectations, further restricts the external validity and clinical applicability of these findings</w:t>
      </w:r>
      <w:r w:rsidR="00CE3656" w:rsidRPr="00CE3656">
        <w:rPr>
          <w:rFonts w:ascii="Arial" w:hAnsi="Arial" w:cs="Arial"/>
          <w:lang w:val="en-US"/>
        </w:rPr>
        <w:t xml:space="preserve"> </w:t>
      </w:r>
      <w:r w:rsidR="00DF6A77">
        <w:rPr>
          <w:rFonts w:ascii="Arial" w:hAnsi="Arial" w:cs="Arial"/>
          <w:lang w:val="en-US"/>
        </w:rPr>
        <w:fldChar w:fldCharType="begin"/>
      </w:r>
      <w:r w:rsidR="0006221A">
        <w:rPr>
          <w:rFonts w:ascii="Arial" w:hAnsi="Arial" w:cs="Arial"/>
          <w:lang w:val="en-US"/>
        </w:rPr>
        <w:instrText xml:space="preserve"> ADDIN ZOTERO_ITEM CSL_CITATION {"citationID":"OGIPfhf2","properties":{"formattedCitation":"(13)","plainCitation":"(13)","noteIndex":0},"citationItems":[{"id":20039,"uris":["http://zotero.org/users/5535897/items/T8MREXPD"],"itemData":{"id":20039,"type":"article-journal","abstract":"Objective To evaluate the existing body of trials assessing manual therapy for low back pain (LBP) to determine where it falls on the efficacyeffectiveness continuum. Design Methodology systematic review. Literature Search PubMed, CINAHL (Cumulative Index to Nursing and Allied Health Literature), CENTRAL (Cochrane Central Register of Controlled Trials), and PEDro (Physiotherapy Evidence Database) were searched for trials published between January 1, 2000, and April 30, 2021. Study Selection Criteria We included randomized clinical trials investigating joint mobilization and manipulation for adults with nonspecific LBP that were available in English. Data Synthesis We used the Rating of Included Trials on the Efficacy-Effectiveness Spectrum (RITES) tool to score included trials across 4 domains: participant characteristics, trial setting, flexibility of intervention(s), and clinical relevance of experimental and comparison intervention(s). Proportions of trials with greater emphasis on efficacy or effectiveness were calculated for each domain. Results Of the 132 included trials, a greater proportion emphasized efficacy than effectiveness for domains participant characteristics (50% vs 38%), trial setting (71% vs 20%), and flexibility of intervention(s) (61% vs 25%). The domain clinical relevance of experimental and comparison intervention(s) had lower emphasis on efficacy (41% vs 50%). Conclusion Most trials investigating manual therapy for LBP lack pragmatism across the RITES domains (ie, they emphasize efficacy). To improve real-world implementation, more research emphasizing effectiveness is needed. This could be accomplished by recruiting from more diverse participant pools, involving multiple centers that reflect common clinical practice settings, involving clinicians with a variety of backgrounds/experience, and allowing flexibility in how interventions are delivered. J Orthop Sports Phys Ther 2022;52(8):532–545. Epub: 19 June 2022. doi:10.2519/jospt.2022.10962","container-title":"Journal of Orthopaedic &amp; Sports Physical Therapy","DOI":"10.2519/jospt.2022.10962","ISSN":"0190-6011, 1938-1344","issue":"8","language":"en","page":"532-545","publisher":"Journal of Orthopaedic &amp; Sports Physical Therapy (JOSPT)","source":"Crossref","title":"Over Half of Clinical Trials of Mobilization and Manipulation for Patients With Low Back Pain May Have Limited Real-World Applicability: A Systematic Review of 132 Clinical Trials","title-short":"Over Half of Clinical Trials of Mobilization and Manipulation for Patients With Low Back Pain May Have Limited Real-World Applicability","volume":"52","author":[{"family":"Maddox","given":"C. Daniel"},{"family":"Subialka","given":"Joshua A."},{"family":"Young","given":"Jodi L."},{"family":"Rhon","given":"Daniel I."}],"issued":{"date-parts":[["2022",8]]}}}],"schema":"https://github.com/citation-style-language/schema/raw/master/csl-citation.json"} </w:instrText>
      </w:r>
      <w:r w:rsidR="00DF6A77">
        <w:rPr>
          <w:rFonts w:ascii="Arial" w:hAnsi="Arial" w:cs="Arial"/>
          <w:lang w:val="en-US"/>
        </w:rPr>
        <w:fldChar w:fldCharType="separate"/>
      </w:r>
      <w:r w:rsidR="00DF6A77">
        <w:rPr>
          <w:rFonts w:ascii="Arial" w:hAnsi="Arial" w:cs="Arial"/>
          <w:noProof/>
          <w:lang w:val="en-US"/>
        </w:rPr>
        <w:t>(13)</w:t>
      </w:r>
      <w:r w:rsidR="00DF6A77">
        <w:rPr>
          <w:rFonts w:ascii="Arial" w:hAnsi="Arial" w:cs="Arial"/>
          <w:lang w:val="en-US"/>
        </w:rPr>
        <w:fldChar w:fldCharType="end"/>
      </w:r>
      <w:r w:rsidR="00DF6A77">
        <w:rPr>
          <w:rFonts w:ascii="Arial" w:hAnsi="Arial" w:cs="Arial"/>
          <w:lang w:val="en-US"/>
        </w:rPr>
        <w:t>.</w:t>
      </w:r>
      <w:r w:rsidR="007C653B">
        <w:rPr>
          <w:rFonts w:ascii="Arial" w:hAnsi="Arial" w:cs="Arial"/>
          <w:lang w:val="en-US"/>
        </w:rPr>
        <w:t xml:space="preserve"> </w:t>
      </w:r>
    </w:p>
    <w:p w14:paraId="60ED008D" w14:textId="77777777" w:rsidR="00CE3656" w:rsidRDefault="007C653B" w:rsidP="0037195D">
      <w:pPr>
        <w:spacing w:line="480" w:lineRule="auto"/>
        <w:jc w:val="both"/>
        <w:rPr>
          <w:rFonts w:ascii="Arial" w:hAnsi="Arial" w:cs="Arial"/>
          <w:lang w:val="en-US"/>
        </w:rPr>
      </w:pPr>
      <w:r w:rsidRPr="002E0F6D">
        <w:rPr>
          <w:rFonts w:ascii="Arial" w:hAnsi="Arial" w:cs="Arial"/>
          <w:lang w:val="en-US"/>
        </w:rPr>
        <w:t>These limitations suggest that further research is needed to clarify the role of LPM in routine care for people with AKP.</w:t>
      </w:r>
      <w:r w:rsidR="00107D60">
        <w:rPr>
          <w:rFonts w:ascii="Arial" w:hAnsi="Arial" w:cs="Arial"/>
          <w:lang w:val="en-US"/>
        </w:rPr>
        <w:t xml:space="preserve"> </w:t>
      </w:r>
      <w:r w:rsidR="00107D60" w:rsidRPr="00107D60">
        <w:rPr>
          <w:rFonts w:ascii="Arial" w:hAnsi="Arial" w:cs="Arial"/>
          <w:lang w:val="en-US"/>
        </w:rPr>
        <w:t>Evaluating the effects of LPM against a credible sham is therefore of particular interest. When combined with recommended usual care, this approach allows assessment of the added clinical value of LPM for patients with AKP.</w:t>
      </w:r>
      <w:r w:rsidR="00271BA3">
        <w:rPr>
          <w:rFonts w:ascii="Arial" w:hAnsi="Arial" w:cs="Arial"/>
          <w:lang w:val="en-US"/>
        </w:rPr>
        <w:t xml:space="preserve"> </w:t>
      </w:r>
      <w:r w:rsidR="009E1EF6" w:rsidRPr="00CA4FC7">
        <w:rPr>
          <w:rFonts w:ascii="Arial" w:hAnsi="Arial" w:cs="Arial"/>
          <w:lang w:val="en-US"/>
        </w:rPr>
        <w:t xml:space="preserve">The effects of manual therapy on pain and treatment outcomes are thought to result from both specific and non-specific mechanisms, including tactile input, therapist–patient interaction, and contextual factors </w:t>
      </w:r>
      <w:r w:rsidR="009E1EF6" w:rsidRPr="00CA4FC7">
        <w:rPr>
          <w:rFonts w:ascii="Arial" w:hAnsi="Arial" w:cs="Arial"/>
          <w:lang w:val="en-US"/>
        </w:rPr>
        <w:fldChar w:fldCharType="begin"/>
      </w:r>
      <w:r w:rsidR="009E1EF6" w:rsidRPr="00CA4FC7">
        <w:rPr>
          <w:rFonts w:ascii="Arial" w:hAnsi="Arial" w:cs="Arial"/>
          <w:lang w:val="en-US"/>
        </w:rPr>
        <w:instrText xml:space="preserve"> ADDIN ZOTERO_ITEM CSL_CITATION {"citationID":"OyaFEql2","properties":{"formattedCitation":"(14,15)","plainCitation":"(14,15)","noteIndex":0},"citationItems":[{"id":11120,"uris":["http://zotero.org/users/5535897/items/JXFKM72X"],"itemData":{"id":11120,"type":"article-journal","abstract":"OBJECTIVE: We aimed to quantify the proportion not attributable to the specific effects (PCE) of physical therapy interventions for musculoskeletal pain.\n            DESIGN: Intervention systematic review with meta-analysis.\n            LITERATURE SEARCH: We searched Ovid, MEDLINE, EMBASE, CINAHL, Scopus, PEDro, Cochrane Controlled Trials Registry, and SPORTDiscus databases from inception to April 2023.\n            STUDY SELECTION CRITERIA: Randomized placebo-controlled trials evaluating the effect of physical therapy interventions on musculoskeletal pain.\n            DATA SYNTHESIS: Risk of bias was evaluated using the Cochrane risk-of-bias tool for randomized trials (RoB 2). The proportion of physical therapy interventions effect that was not explained by the specific effect of the intervention was calculated, using the proportion not attributable to the specific effects (PCE) metric, and a quantitative summary of the data from the studies was conducted using the random-effects inverse-variance model (Hartung-Knapp-Sidik-Jonkman method).\n            RESULTS: Sixty-eight studies were included in the systematic review (participants: n = 5238), and 54 placebo-controlled trials informed our meta-analysis (participants: n = 3793). Physical therapy interventions included soft tissue techniques, mobilization, manipulation, taping, exercise therapy, and dry needling. Placebo interventions included manual, nonmanual interventions, or both. The proportion not attributable to the specific effects of mobilization accounted for 88% of the immediate overall treatment effect for pain intensity (PCE = 0.88, 95% confidence interval [CI]: 0.57, 1.20). In exercise therapy, this proportion accounted for 46% of the overall treatment effect for pain intensity (PCE = 0.46, 95% CI: 0.41, 0.52). The PCE in manipulation excelled in short-term pain relief (PCE = 0.81, 95% CI: 0.62, 1.01) and in mobilization in long-term effects (PCE = 0.86, 95% CI: 0.76, 0.96). In taping, the PCE accounted for 64% of disability improvement (PCE = 0.64, 95% CI: 0.48, 0.80).\n            CONCLUSION: The outcomes of physical therapy interventions for musculoskeletal pain were significantly influenced by factors not attributable to the specific effects of the interventions. Boosting these factors consciously to enhance therapeutic outcomes represents an ethical opportunity that could benefit patients. J Orthop Sports Phys Ther 2024;54(6):391-399. Epub 11 April 2024. doi:10.2519/jospt.2024.12126","container-title":"Journal of Orthopaedic &amp; Sports Physical Therapy","DOI":"10.2519/jospt.2024.12126","ISSN":"0190-6011, 1938-1344","issue":"6","journalAbbreviation":"Journal of Orthopaedic &amp; Sports Physical Therapy","language":"en","page":"391-399","source":"DOI.org (Crossref)","title":"Which Portion of Physiotherapy Treatments’ Effect Is Not Attributable to the Specific Effects in People With Musculoskeletal Pain? A Meta-Analysis of Randomized Placebo-Controlled Trials","title-short":"Which Portion of Physiotherapy Treatments’ Effect Is Not Attributable to the Specific Effects in People With Musculoskeletal Pain?","volume":"54","author":[{"family":"Ezzatvar","given":"Yasmin"},{"family":"Dueñas","given":"Lirios"},{"family":"Balasch-Bernat","given":"Mercè"},{"family":"Lluch-Girbés","given":"Enrique"},{"family":"Rossettini","given":"Giacomo"}],"issued":{"date-parts":[["2024",6]]}}},{"id":11578,"uris":["http://zotero.org/users/5535897/items/WV2DZFMK"],"itemData":{"id":11578,"type":"article-journal","abstract":"Prior studies suggest manual therapy (MT) as effective in the treatment of musculoskeletal pain; however, the mechanisms through which MT exerts its effects are not established. In this paper we present a comprehensive model to direct future studies in MT. This model provides visualization of potential individual mechanisms of MT that the current literature suggests as pertinent and provides a framework for the consideration of the potential interaction between these individual mechanisms. Specifically, this model suggests that a mechanical force from MT initiates a cascade of neurophysiological responses from the peripheral and central nervous system which are then responsible for the clinical outcomes. This model provides clear direction so that future studies may provide appropriate methodology to account for multiple potential pertinent mechanisms.","container-title":"Manual therapy","DOI":"10.1016/j.math.2008.09.001","ISSN":"1356-689X","issue":"5","journalAbbreviation":"Man Ther","page":"531-538","PMID":"19027342","PMCID":"PMC2775050","source":"PubMed Central","title":"The Mechanisms of Manual Therapy in the Treatment of Musculoskeletal Pain: A Comprehensive Model","title-short":"The Mechanisms of Manual Therapy in the Treatment of Musculoskeletal Pain","volume":"14","author":[{"family":"Bialosky","given":"Joel E"},{"family":"Bishop","given":"Mark D"},{"family":"Price","given":"Don D"},{"family":"Robinson","given":"Michael E"},{"family":"George","given":"Steven Z"}],"issued":{"date-parts":[["2009",10]]}}}],"schema":"https://github.com/citation-style-language/schema/raw/master/csl-citation.json"} </w:instrText>
      </w:r>
      <w:r w:rsidR="009E1EF6" w:rsidRPr="00CA4FC7">
        <w:rPr>
          <w:rFonts w:ascii="Arial" w:hAnsi="Arial" w:cs="Arial"/>
          <w:lang w:val="en-US"/>
        </w:rPr>
        <w:fldChar w:fldCharType="separate"/>
      </w:r>
      <w:r w:rsidR="009E1EF6" w:rsidRPr="00CA4FC7">
        <w:rPr>
          <w:rFonts w:ascii="Arial" w:hAnsi="Arial" w:cs="Arial"/>
          <w:noProof/>
          <w:lang w:val="en-US"/>
        </w:rPr>
        <w:t>(14,15)</w:t>
      </w:r>
      <w:r w:rsidR="009E1EF6" w:rsidRPr="00CA4FC7">
        <w:rPr>
          <w:rFonts w:ascii="Arial" w:hAnsi="Arial" w:cs="Arial"/>
          <w:lang w:val="en-US"/>
        </w:rPr>
        <w:fldChar w:fldCharType="end"/>
      </w:r>
      <w:r w:rsidR="009E1EF6" w:rsidRPr="00CA4FC7">
        <w:rPr>
          <w:rFonts w:ascii="Arial" w:hAnsi="Arial" w:cs="Arial"/>
          <w:lang w:val="en-US"/>
        </w:rPr>
        <w:t xml:space="preserve">. Among these, patients’ expectations have been shown to directly influence treatment response. Positive expectations toward an intervention are associated with greater pain reduction and improved outcomes, whereas low or negative expectations may attenuate or even reverse the analgesic effects of manual therapy </w:t>
      </w:r>
      <w:r w:rsidR="009E1EF6" w:rsidRPr="00CA4FC7">
        <w:rPr>
          <w:rFonts w:ascii="Arial" w:hAnsi="Arial" w:cs="Arial"/>
          <w:lang w:val="en-US"/>
        </w:rPr>
        <w:fldChar w:fldCharType="begin"/>
      </w:r>
      <w:r w:rsidR="009E1EF6" w:rsidRPr="00CA4FC7">
        <w:rPr>
          <w:rFonts w:ascii="Arial" w:hAnsi="Arial" w:cs="Arial"/>
          <w:lang w:val="en-US"/>
        </w:rPr>
        <w:instrText xml:space="preserve"> ADDIN ZOTERO_ITEM CSL_CITATION {"citationID":"7p0XgxQl","properties":{"formattedCitation":"(16,17)","plainCitation":"(16,17)","noteIndex":0},"citationItems":[{"id":6724,"uris":["http://zotero.org/users/5535897/items/IXSMJMSL"],"itemData":{"id":6724,"type":"article-journal","abstract":"BACKGROUND: The mechanisms thorough which spinal manipulative therapy (SMT) exerts clinical effects are not established. A prior study has suggested a dorsal horn modulated effect; however, the role of subject expectation was not considered. The purpose of the current study was to determine the effect of subject expectation on hypoalgesia associated with SMT.\nMETHODS: Sixty healthy subjects agreed to participate and underwent quantitative sensory testing (QST) to their leg and low back. Next, participants were randomly assigned to receive a positive, negative, or neutral expectation instructional set regarding the effects of a specific SMT technique on pain perception. Following the instructional set, all subjects received SMT and underwent repeat QST.\nRESULTS: No interaction (p = 0.38) between group assignment and pain response was present in the lower extremity following SMT; however, a main effect (p &lt; 0.01) for hypoalgesia was present. A significant interaction was present between change in pain perception and group assignment in the low back (p = 0.01) with participants receiving a negative expectation instructional set demonstrating significant hyperalgesia (p &lt; 0.01).\nCONCLUSION: The current study replicates prior findings of c- fiber mediated hypoalgesia in the lower extremity following SMT and this occurred regardless of expectation. A significant increase in pain perception occurred following SMT in the low back of participants receiving negative expectation suggesting a potential influence of expectation on SMT induced hypoalgesia in the body area to which the expectation is directed.","container-title":"BMC musculoskeletal disorders","DOI":"10.1186/1471-2474-9-19","ISSN":"1471-2474","journalAbbreviation":"BMC Musculoskelet Disord","language":"eng","page":"19","PMID":"18267029","PMCID":"PMC2270829","source":"PubMed","title":"The influence of expectation on spinal manipulation induced hypoalgesia: an experimental study in normal subjects","title-short":"The influence of expectation on spinal manipulation induced hypoalgesia","volume":"9","author":[{"family":"Bialosky","given":"Joel E."},{"family":"Bishop","given":"Mark D."},{"family":"Robinson","given":"Michael E."},{"family":"Barabas","given":"Josh A."},{"family":"George","given":"Steven Z."}],"issued":{"date-parts":[["2008",2,11]]}}},{"id":20468,"uris":["http://zotero.org/users/5535897/items/VUKPZMP4"],"itemData":{"id":20468,"type":"article-journal","abstract":"Background Low back pain (LBP) is a global public health challenge, which causes high healthcare costs and the highest burden on society in terms of years lived with disability. While patients’ expectations for improvement may have effects on LBP treatment outcomes, it remains unclear if psychological profiles modify this relationship. Therefore, the objectives of this study were to investigate if (a) patients’ expectations predicted short-term outcome, and (b) psychological profile, pain intensity and self-rated health modified the relationship between expectations and outcome. Methods Data were collected between April 2012 and January 2016 during the inclusion into a randomized controlled trial. Potentially eligible participants were identified through 40 chiropractic clinics located across Sweden. Patients’ expectations, psychological profile, pain intensity, activity limitation and self-rated health were collected from patients with recurrent persistent LBP during their first chiropractic visit (n = 593). Subjective improvement was measured at the fourth visit. Results Patients with a high expectation of improvement had 58% higher risk to report an improvement at the fourth visit (RR = 1.58, 95% CI: 1.28, 1.95). Controlling for potential confounders only slightly decreased the strength of this association (RR = 1.49, 95% CI: 1.20, 1.86). Baseline pain intensity, psychological profile and self-rated health did not modify the effect of expectation on outcome. Conclusions Baseline patients’ expectations play an important role when predicting LBP treatment outcomes. Clinicians should consider and address patients’ expectations at the first visit to best inform prognosis. Significance This study confirms the importance of patients’ expectations in a clinical setting. Patients’ expectations predict the short-term outcome of chiropractic care for LBP. Pain intensity, psychological profile and self-rated health did not modify this relationship.","container-title":"European Journal of Pain","DOI":"10.1002/ejp.1407","ISSN":"1532-2149","issue":"7","language":"en","note":"_eprint: https://onlinelibrary.wiley.com/doi/pdf/10.1002/ejp.1407","page":"1378-1389","source":"Wiley Online Library","title":"Expectations influence treatment outcomes in patients with low back pain. A secondary analysis of data from a randomized clinical trial","volume":"23","author":[{"family":"Eklund","given":"Andreas"},{"family":"De Carvalho","given":"Diana"},{"family":"Pagé","given":"Isabelle"},{"family":"Wong","given":"Arnold"},{"family":"Johansson","given":"Melker S."},{"family":"Pohlman","given":"Katherine A."},{"family":"Hartvigsen","given":"Jan"},{"family":"Swain","given":"Michael"}],"issued":{"date-parts":[["2019"]]}}}],"schema":"https://github.com/citation-style-language/schema/raw/master/csl-citation.json"} </w:instrText>
      </w:r>
      <w:r w:rsidR="009E1EF6" w:rsidRPr="00CA4FC7">
        <w:rPr>
          <w:rFonts w:ascii="Arial" w:hAnsi="Arial" w:cs="Arial"/>
          <w:lang w:val="en-US"/>
        </w:rPr>
        <w:fldChar w:fldCharType="separate"/>
      </w:r>
      <w:r w:rsidR="009E1EF6" w:rsidRPr="00CA4FC7">
        <w:rPr>
          <w:rFonts w:ascii="Arial" w:hAnsi="Arial" w:cs="Arial"/>
          <w:noProof/>
          <w:lang w:val="en-US"/>
        </w:rPr>
        <w:t>(16,17)</w:t>
      </w:r>
      <w:r w:rsidR="009E1EF6" w:rsidRPr="00CA4FC7">
        <w:rPr>
          <w:rFonts w:ascii="Arial" w:hAnsi="Arial" w:cs="Arial"/>
          <w:lang w:val="en-US"/>
        </w:rPr>
        <w:fldChar w:fldCharType="end"/>
      </w:r>
      <w:r w:rsidR="009E1EF6" w:rsidRPr="00CA4FC7">
        <w:rPr>
          <w:rFonts w:ascii="Arial" w:hAnsi="Arial" w:cs="Arial"/>
          <w:lang w:val="en-US"/>
        </w:rPr>
        <w:t>.</w:t>
      </w:r>
      <w:r w:rsidR="009E1EF6">
        <w:rPr>
          <w:lang w:val="en-US"/>
        </w:rPr>
        <w:t xml:space="preserve"> </w:t>
      </w:r>
      <w:r w:rsidR="00107D60" w:rsidRPr="00107D60">
        <w:rPr>
          <w:rFonts w:ascii="Arial" w:hAnsi="Arial" w:cs="Arial"/>
          <w:lang w:val="en-US"/>
        </w:rPr>
        <w:t xml:space="preserve">Accounting for patients’ expectations may further clarify </w:t>
      </w:r>
      <w:r w:rsidR="00CE3656">
        <w:rPr>
          <w:rFonts w:ascii="Arial" w:hAnsi="Arial" w:cs="Arial"/>
          <w:lang w:val="en-US"/>
        </w:rPr>
        <w:t>their</w:t>
      </w:r>
      <w:r w:rsidR="00107D60" w:rsidRPr="00107D60">
        <w:rPr>
          <w:rFonts w:ascii="Arial" w:hAnsi="Arial" w:cs="Arial"/>
          <w:lang w:val="en-US"/>
        </w:rPr>
        <w:t xml:space="preserve"> contribution to treatment response and support more individualized application and prognostic decision-making</w:t>
      </w:r>
      <w:r w:rsidR="00107D60">
        <w:rPr>
          <w:rFonts w:ascii="Arial" w:hAnsi="Arial" w:cs="Arial"/>
          <w:lang w:val="en-US"/>
        </w:rPr>
        <w:t xml:space="preserve"> </w:t>
      </w:r>
      <w:r w:rsidR="006D0E26">
        <w:rPr>
          <w:rFonts w:ascii="Arial" w:hAnsi="Arial" w:cs="Arial"/>
          <w:lang w:val="en-US"/>
        </w:rPr>
        <w:fldChar w:fldCharType="begin"/>
      </w:r>
      <w:r w:rsidR="009E1EF6">
        <w:rPr>
          <w:rFonts w:ascii="Arial" w:hAnsi="Arial" w:cs="Arial"/>
          <w:lang w:val="en-US"/>
        </w:rPr>
        <w:instrText xml:space="preserve"> ADDIN ZOTERO_ITEM CSL_CITATION {"citationID":"uaXF6ukR","properties":{"formattedCitation":"(17)","plainCitation":"(17)","noteIndex":0},"citationItems":[{"id":20468,"uris":["http://zotero.org/users/5535897/items/VUKPZMP4"],"itemData":{"id":20468,"type":"article-journal","abstract":"Background Low back pain (LBP) is a global public health challenge, which causes high healthcare costs and the highest burden on society in terms of years lived with disability. While patients’ expectations for improvement may have effects on LBP treatment outcomes, it remains unclear if psychological profiles modify this relationship. Therefore, the objectives of this study were to investigate if (a) patients’ expectations predicted short-term outcome, and (b) psychological profile, pain intensity and self-rated health modified the relationship between expectations and outcome. Methods Data were collected between April 2012 and January 2016 during the inclusion into a randomized controlled trial. Potentially eligible participants were identified through 40 chiropractic clinics located across Sweden. Patients’ expectations, psychological profile, pain intensity, activity limitation and self-rated health were collected from patients with recurrent persistent LBP during their first chiropractic visit (n = 593). Subjective improvement was measured at the fourth visit. Results Patients with a high expectation of improvement had 58% higher risk to report an improvement at the fourth visit (RR = 1.58, 95% CI: 1.28, 1.95). Controlling for potential confounders only slightly decreased the strength of this association (RR = 1.49, 95% CI: 1.20, 1.86). Baseline pain intensity, psychological profile and self-rated health did not modify the effect of expectation on outcome. Conclusions Baseline patients’ expectations play an important role when predicting LBP treatment outcomes. Clinicians should consider and address patients’ expectations at the first visit to best inform prognosis. Significance This study confirms the importance of patients’ expectations in a clinical setting. Patients’ expectations predict the short-term outcome of chiropractic care for LBP. Pain intensity, psychological profile and self-rated health did not modify this relationship.","container-title":"European Journal of Pain","DOI":"10.1002/ejp.1407","ISSN":"1532-2149","issue":"7","language":"en","note":"_eprint: https://onlinelibrary.wiley.com/doi/pdf/10.1002/ejp.1407","page":"1378-1389","source":"Wiley Online Library","title":"Expectations influence treatment outcomes in patients with low back pain. A secondary analysis of data from a randomized clinical trial","volume":"23","author":[{"family":"Eklund","given":"Andreas"},{"family":"De Carvalho","given":"Diana"},{"family":"Pagé","given":"Isabelle"},{"family":"Wong","given":"Arnold"},{"family":"Johansson","given":"Melker S."},{"family":"Pohlman","given":"Katherine A."},{"family":"Hartvigsen","given":"Jan"},{"family":"Swain","given":"Michael"}],"issued":{"date-parts":[["2019"]]}}}],"schema":"https://github.com/citation-style-language/schema/raw/master/csl-citation.json"} </w:instrText>
      </w:r>
      <w:r w:rsidR="006D0E26">
        <w:rPr>
          <w:rFonts w:ascii="Arial" w:hAnsi="Arial" w:cs="Arial"/>
          <w:lang w:val="en-US"/>
        </w:rPr>
        <w:fldChar w:fldCharType="separate"/>
      </w:r>
      <w:r w:rsidR="009E1EF6">
        <w:rPr>
          <w:rFonts w:ascii="Arial" w:hAnsi="Arial" w:cs="Arial"/>
          <w:noProof/>
          <w:lang w:val="en-US"/>
        </w:rPr>
        <w:t>(17)</w:t>
      </w:r>
      <w:r w:rsidR="006D0E26">
        <w:rPr>
          <w:rFonts w:ascii="Arial" w:hAnsi="Arial" w:cs="Arial"/>
          <w:lang w:val="en-US"/>
        </w:rPr>
        <w:fldChar w:fldCharType="end"/>
      </w:r>
      <w:r w:rsidR="00107D60">
        <w:rPr>
          <w:rFonts w:ascii="Arial" w:hAnsi="Arial" w:cs="Arial"/>
          <w:lang w:val="en-US"/>
        </w:rPr>
        <w:t>.</w:t>
      </w:r>
      <w:r w:rsidR="0059103B">
        <w:rPr>
          <w:rFonts w:ascii="Arial" w:hAnsi="Arial" w:cs="Arial"/>
          <w:lang w:val="en-US"/>
        </w:rPr>
        <w:t xml:space="preserve"> </w:t>
      </w:r>
      <w:r w:rsidR="00107D60" w:rsidRPr="00107D60">
        <w:rPr>
          <w:rFonts w:ascii="Arial" w:hAnsi="Arial" w:cs="Arial"/>
          <w:lang w:val="en-US"/>
        </w:rPr>
        <w:t>In addition, examining LPM effects over a longer time frame may help determine the optimal timing of its use and whether its benefits are sustained over time.</w:t>
      </w:r>
      <w:r w:rsidR="00107D60">
        <w:rPr>
          <w:rFonts w:ascii="Arial" w:hAnsi="Arial" w:cs="Arial"/>
          <w:lang w:val="en-US"/>
        </w:rPr>
        <w:t xml:space="preserve"> </w:t>
      </w:r>
    </w:p>
    <w:p w14:paraId="42675834" w14:textId="31BE912B" w:rsidR="00406ED9" w:rsidRPr="00CE3656" w:rsidRDefault="00CE3656" w:rsidP="0037195D">
      <w:pPr>
        <w:spacing w:line="480" w:lineRule="auto"/>
        <w:jc w:val="both"/>
        <w:rPr>
          <w:rFonts w:ascii="Arial" w:hAnsi="Arial" w:cs="Arial"/>
          <w:lang w:val="en-US"/>
        </w:rPr>
      </w:pPr>
      <w:r>
        <w:rPr>
          <w:rFonts w:ascii="Arial" w:hAnsi="Arial" w:cs="Arial"/>
          <w:lang w:val="en-US"/>
        </w:rPr>
        <w:t>Therefore, t</w:t>
      </w:r>
      <w:r w:rsidR="00406ED9">
        <w:rPr>
          <w:rFonts w:ascii="Arial" w:hAnsi="Arial" w:cs="Arial"/>
          <w:lang w:val="en-US"/>
        </w:rPr>
        <w:t>h</w:t>
      </w:r>
      <w:r w:rsidR="00172E89">
        <w:rPr>
          <w:rFonts w:ascii="Arial" w:hAnsi="Arial" w:cs="Arial"/>
          <w:lang w:val="en-US"/>
        </w:rPr>
        <w:t>e present pilot</w:t>
      </w:r>
      <w:r w:rsidR="00406ED9">
        <w:rPr>
          <w:rFonts w:ascii="Arial" w:hAnsi="Arial" w:cs="Arial"/>
          <w:lang w:val="en-US"/>
        </w:rPr>
        <w:t xml:space="preserve"> trial </w:t>
      </w:r>
      <w:r w:rsidR="00172E89">
        <w:rPr>
          <w:rFonts w:ascii="Arial" w:hAnsi="Arial" w:cs="Arial"/>
          <w:lang w:val="en-US"/>
        </w:rPr>
        <w:t xml:space="preserve">primarily </w:t>
      </w:r>
      <w:r w:rsidR="00406ED9">
        <w:rPr>
          <w:rFonts w:ascii="Arial" w:hAnsi="Arial" w:cs="Arial"/>
          <w:lang w:val="en-US"/>
        </w:rPr>
        <w:t xml:space="preserve">aims </w:t>
      </w:r>
      <w:r w:rsidR="00406ED9" w:rsidRPr="00B964B8">
        <w:rPr>
          <w:rFonts w:ascii="Arial" w:hAnsi="Arial" w:cs="Arial"/>
          <w:lang w:val="en-US"/>
        </w:rPr>
        <w:t xml:space="preserve">to evaluate the </w:t>
      </w:r>
      <w:r w:rsidR="00406ED9" w:rsidRPr="00B964B8">
        <w:rPr>
          <w:rStyle w:val="lev"/>
          <w:rFonts w:ascii="Arial" w:hAnsi="Arial" w:cs="Arial"/>
          <w:b w:val="0"/>
          <w:bCs w:val="0"/>
          <w:lang w:val="en-US"/>
        </w:rPr>
        <w:t>feasibility</w:t>
      </w:r>
      <w:r w:rsidR="00406ED9" w:rsidRPr="00B964B8">
        <w:rPr>
          <w:rFonts w:ascii="Arial" w:hAnsi="Arial" w:cs="Arial"/>
          <w:lang w:val="en-US"/>
        </w:rPr>
        <w:t xml:space="preserve"> of conducting a full-scale </w:t>
      </w:r>
      <w:r w:rsidR="00924CFA">
        <w:rPr>
          <w:rFonts w:ascii="Arial" w:hAnsi="Arial" w:cs="Arial"/>
          <w:lang w:val="en-US"/>
        </w:rPr>
        <w:t>randomized controlled study (</w:t>
      </w:r>
      <w:r w:rsidR="00406ED9" w:rsidRPr="00B964B8">
        <w:rPr>
          <w:rFonts w:ascii="Arial" w:hAnsi="Arial" w:cs="Arial"/>
          <w:lang w:val="en-US"/>
        </w:rPr>
        <w:t>RCT</w:t>
      </w:r>
      <w:r w:rsidR="00924CFA">
        <w:rPr>
          <w:rFonts w:ascii="Arial" w:hAnsi="Arial" w:cs="Arial"/>
          <w:lang w:val="en-US"/>
        </w:rPr>
        <w:t>)</w:t>
      </w:r>
      <w:r w:rsidR="00406ED9" w:rsidRPr="00B964B8">
        <w:rPr>
          <w:rFonts w:ascii="Arial" w:hAnsi="Arial" w:cs="Arial"/>
          <w:lang w:val="en-US"/>
        </w:rPr>
        <w:t xml:space="preserve"> </w:t>
      </w:r>
      <w:r w:rsidR="00172E89">
        <w:rPr>
          <w:rFonts w:ascii="Arial" w:hAnsi="Arial" w:cs="Arial"/>
          <w:lang w:val="en-US"/>
        </w:rPr>
        <w:t>investigat</w:t>
      </w:r>
      <w:r w:rsidR="00172E89" w:rsidRPr="00B964B8">
        <w:rPr>
          <w:rFonts w:ascii="Arial" w:hAnsi="Arial" w:cs="Arial"/>
          <w:lang w:val="en-US"/>
        </w:rPr>
        <w:t xml:space="preserve">ing </w:t>
      </w:r>
      <w:r w:rsidR="00406ED9" w:rsidRPr="00B964B8">
        <w:rPr>
          <w:rFonts w:ascii="Arial" w:hAnsi="Arial" w:cs="Arial"/>
          <w:lang w:val="en-US"/>
        </w:rPr>
        <w:t xml:space="preserve">the effect of </w:t>
      </w:r>
      <w:proofErr w:type="gramStart"/>
      <w:r w:rsidR="00406ED9" w:rsidRPr="00B964B8">
        <w:rPr>
          <w:rFonts w:ascii="Arial" w:hAnsi="Arial" w:cs="Arial"/>
          <w:lang w:val="en-US"/>
        </w:rPr>
        <w:t>a</w:t>
      </w:r>
      <w:proofErr w:type="gramEnd"/>
      <w:r w:rsidR="00406ED9" w:rsidRPr="00B964B8">
        <w:rPr>
          <w:rFonts w:ascii="Arial" w:hAnsi="Arial" w:cs="Arial"/>
          <w:lang w:val="en-US"/>
        </w:rPr>
        <w:t xml:space="preserve"> </w:t>
      </w:r>
      <w:r w:rsidR="00172E89">
        <w:rPr>
          <w:rStyle w:val="lev"/>
          <w:rFonts w:ascii="Arial" w:hAnsi="Arial" w:cs="Arial"/>
          <w:b w:val="0"/>
          <w:bCs w:val="0"/>
          <w:lang w:val="en-US"/>
        </w:rPr>
        <w:t>LPM</w:t>
      </w:r>
      <w:r w:rsidR="00406ED9" w:rsidRPr="00B964B8">
        <w:rPr>
          <w:rFonts w:ascii="Arial" w:hAnsi="Arial" w:cs="Arial"/>
          <w:lang w:val="en-US"/>
        </w:rPr>
        <w:t xml:space="preserve"> combined with</w:t>
      </w:r>
      <w:r w:rsidR="00406ED9" w:rsidRPr="00B964B8">
        <w:rPr>
          <w:rStyle w:val="lev"/>
          <w:rFonts w:ascii="Arial" w:hAnsi="Arial" w:cs="Arial"/>
          <w:b w:val="0"/>
          <w:bCs w:val="0"/>
          <w:lang w:val="en-US"/>
        </w:rPr>
        <w:t xml:space="preserve"> </w:t>
      </w:r>
      <w:r w:rsidR="006A3447">
        <w:rPr>
          <w:rStyle w:val="lev"/>
          <w:rFonts w:ascii="Arial" w:hAnsi="Arial" w:cs="Arial"/>
          <w:b w:val="0"/>
          <w:bCs w:val="0"/>
          <w:lang w:val="en-US"/>
        </w:rPr>
        <w:t xml:space="preserve">individualized </w:t>
      </w:r>
      <w:r w:rsidR="00406ED9" w:rsidRPr="00B964B8">
        <w:rPr>
          <w:rStyle w:val="lev"/>
          <w:rFonts w:ascii="Arial" w:hAnsi="Arial" w:cs="Arial"/>
          <w:b w:val="0"/>
          <w:bCs w:val="0"/>
          <w:lang w:val="en-US"/>
        </w:rPr>
        <w:t>exercises</w:t>
      </w:r>
      <w:r w:rsidR="00406ED9" w:rsidRPr="00B964B8">
        <w:rPr>
          <w:rFonts w:ascii="Arial" w:hAnsi="Arial" w:cs="Arial"/>
          <w:lang w:val="en-US"/>
        </w:rPr>
        <w:t xml:space="preserve"> in patients with </w:t>
      </w:r>
      <w:r w:rsidR="00172E89">
        <w:rPr>
          <w:rFonts w:ascii="Arial" w:hAnsi="Arial" w:cs="Arial"/>
          <w:lang w:val="en-US"/>
        </w:rPr>
        <w:t>AKP</w:t>
      </w:r>
      <w:r w:rsidR="00406ED9">
        <w:rPr>
          <w:rFonts w:ascii="Arial" w:hAnsi="Arial" w:cs="Arial"/>
          <w:lang w:val="en-US"/>
        </w:rPr>
        <w:t xml:space="preserve">. </w:t>
      </w:r>
      <w:r w:rsidR="00406ED9" w:rsidRPr="00B964B8">
        <w:rPr>
          <w:rFonts w:ascii="Arial" w:hAnsi="Arial" w:cs="Arial"/>
          <w:lang w:val="en-US"/>
        </w:rPr>
        <w:t xml:space="preserve">The </w:t>
      </w:r>
      <w:r w:rsidR="00406ED9" w:rsidRPr="00B964B8">
        <w:rPr>
          <w:rStyle w:val="lev"/>
          <w:rFonts w:ascii="Arial" w:hAnsi="Arial" w:cs="Arial"/>
          <w:b w:val="0"/>
          <w:bCs w:val="0"/>
          <w:lang w:val="en-US"/>
        </w:rPr>
        <w:t>primary objective</w:t>
      </w:r>
      <w:r w:rsidR="00AE3EE3">
        <w:rPr>
          <w:rStyle w:val="lev"/>
          <w:rFonts w:ascii="Arial" w:hAnsi="Arial" w:cs="Arial"/>
          <w:b w:val="0"/>
          <w:bCs w:val="0"/>
          <w:lang w:val="en-US"/>
        </w:rPr>
        <w:t>s</w:t>
      </w:r>
      <w:r w:rsidR="00406ED9" w:rsidRPr="00B964B8">
        <w:rPr>
          <w:rFonts w:ascii="Arial" w:hAnsi="Arial" w:cs="Arial"/>
          <w:lang w:val="en-US"/>
        </w:rPr>
        <w:t xml:space="preserve"> </w:t>
      </w:r>
      <w:r w:rsidR="00172E89">
        <w:rPr>
          <w:rFonts w:ascii="Arial" w:hAnsi="Arial" w:cs="Arial"/>
          <w:lang w:val="en-US"/>
        </w:rPr>
        <w:t>are</w:t>
      </w:r>
      <w:r w:rsidR="00406ED9" w:rsidRPr="00B964B8">
        <w:rPr>
          <w:rFonts w:ascii="Arial" w:hAnsi="Arial" w:cs="Arial"/>
          <w:lang w:val="en-US"/>
        </w:rPr>
        <w:t xml:space="preserve"> to assess the feasibility and acceptability of the </w:t>
      </w:r>
      <w:r w:rsidR="00172E89">
        <w:rPr>
          <w:rFonts w:ascii="Arial" w:hAnsi="Arial" w:cs="Arial"/>
          <w:lang w:val="en-US"/>
        </w:rPr>
        <w:t>study</w:t>
      </w:r>
      <w:r w:rsidR="00406ED9" w:rsidRPr="00B964B8">
        <w:rPr>
          <w:rFonts w:ascii="Arial" w:hAnsi="Arial" w:cs="Arial"/>
          <w:lang w:val="en-US"/>
        </w:rPr>
        <w:t xml:space="preserve"> procedures, including recruitment and consent rates, retention, adherence to interventions and home exercises, data completeness, safety, intervention fidelity, </w:t>
      </w:r>
      <w:r w:rsidR="007D233A" w:rsidRPr="00B964B8">
        <w:rPr>
          <w:rFonts w:ascii="Arial" w:hAnsi="Arial" w:cs="Arial"/>
          <w:lang w:val="en-US"/>
        </w:rPr>
        <w:t>satisfaction</w:t>
      </w:r>
      <w:r w:rsidR="00172E89">
        <w:rPr>
          <w:rFonts w:ascii="Arial" w:hAnsi="Arial" w:cs="Arial"/>
          <w:lang w:val="en-US"/>
        </w:rPr>
        <w:t>,</w:t>
      </w:r>
      <w:r w:rsidR="007D233A" w:rsidRPr="00B964B8">
        <w:rPr>
          <w:rFonts w:ascii="Arial" w:hAnsi="Arial" w:cs="Arial"/>
          <w:lang w:val="en-US"/>
        </w:rPr>
        <w:t xml:space="preserve"> </w:t>
      </w:r>
      <w:r w:rsidR="00406ED9" w:rsidRPr="00B964B8">
        <w:rPr>
          <w:rFonts w:ascii="Arial" w:hAnsi="Arial" w:cs="Arial"/>
          <w:lang w:val="en-US"/>
        </w:rPr>
        <w:t xml:space="preserve">and </w:t>
      </w:r>
      <w:r w:rsidR="00172E89">
        <w:rPr>
          <w:rFonts w:ascii="Arial" w:hAnsi="Arial" w:cs="Arial"/>
          <w:lang w:val="en-US"/>
        </w:rPr>
        <w:t xml:space="preserve">the </w:t>
      </w:r>
      <w:r w:rsidR="00406ED9" w:rsidRPr="00B964B8">
        <w:rPr>
          <w:rFonts w:ascii="Arial" w:hAnsi="Arial" w:cs="Arial"/>
          <w:lang w:val="en-US"/>
        </w:rPr>
        <w:t>credibility of participant blinding.</w:t>
      </w:r>
      <w:r w:rsidR="00406ED9">
        <w:rPr>
          <w:rFonts w:ascii="Arial" w:hAnsi="Arial" w:cs="Arial"/>
          <w:lang w:val="en-US"/>
        </w:rPr>
        <w:t xml:space="preserve"> </w:t>
      </w:r>
      <w:r w:rsidR="00172E89">
        <w:rPr>
          <w:rStyle w:val="lev"/>
          <w:rFonts w:ascii="Arial" w:hAnsi="Arial" w:cs="Arial"/>
          <w:b w:val="0"/>
          <w:bCs w:val="0"/>
          <w:lang w:val="en-US"/>
        </w:rPr>
        <w:t>S</w:t>
      </w:r>
      <w:r w:rsidR="00406ED9" w:rsidRPr="00B964B8">
        <w:rPr>
          <w:rStyle w:val="lev"/>
          <w:rFonts w:ascii="Arial" w:hAnsi="Arial" w:cs="Arial"/>
          <w:b w:val="0"/>
          <w:bCs w:val="0"/>
          <w:lang w:val="en-US"/>
        </w:rPr>
        <w:t>econdary objectives</w:t>
      </w:r>
      <w:r w:rsidR="00406ED9" w:rsidRPr="00B964B8">
        <w:rPr>
          <w:rFonts w:ascii="Arial" w:hAnsi="Arial" w:cs="Arial"/>
          <w:lang w:val="en-US"/>
        </w:rPr>
        <w:t xml:space="preserve"> </w:t>
      </w:r>
      <w:r w:rsidR="00172E89">
        <w:rPr>
          <w:rFonts w:ascii="Arial" w:hAnsi="Arial" w:cs="Arial"/>
          <w:lang w:val="en-US"/>
        </w:rPr>
        <w:t>are</w:t>
      </w:r>
      <w:r w:rsidR="00406ED9" w:rsidRPr="00B964B8">
        <w:rPr>
          <w:rFonts w:ascii="Arial" w:hAnsi="Arial" w:cs="Arial"/>
          <w:lang w:val="en-US"/>
        </w:rPr>
        <w:t xml:space="preserve"> to obtain </w:t>
      </w:r>
      <w:r w:rsidR="00406ED9" w:rsidRPr="00B964B8">
        <w:rPr>
          <w:rStyle w:val="lev"/>
          <w:rFonts w:ascii="Arial" w:hAnsi="Arial" w:cs="Arial"/>
          <w:b w:val="0"/>
          <w:bCs w:val="0"/>
          <w:lang w:val="en-US"/>
        </w:rPr>
        <w:t>preliminary estimates</w:t>
      </w:r>
      <w:r w:rsidR="00406ED9" w:rsidRPr="00B964B8">
        <w:rPr>
          <w:rFonts w:ascii="Arial" w:hAnsi="Arial" w:cs="Arial"/>
          <w:lang w:val="en-US"/>
        </w:rPr>
        <w:t xml:space="preserve"> of changes in pain</w:t>
      </w:r>
      <w:r w:rsidR="007D233A">
        <w:rPr>
          <w:rFonts w:ascii="Arial" w:hAnsi="Arial" w:cs="Arial"/>
          <w:lang w:val="en-US"/>
        </w:rPr>
        <w:t xml:space="preserve"> and</w:t>
      </w:r>
      <w:r w:rsidR="00406ED9">
        <w:rPr>
          <w:rFonts w:ascii="Arial" w:hAnsi="Arial" w:cs="Arial"/>
          <w:lang w:val="en-US"/>
        </w:rPr>
        <w:t xml:space="preserve"> </w:t>
      </w:r>
      <w:r w:rsidR="00406ED9" w:rsidRPr="00B964B8">
        <w:rPr>
          <w:rFonts w:ascii="Arial" w:hAnsi="Arial" w:cs="Arial"/>
          <w:lang w:val="en-US"/>
        </w:rPr>
        <w:t>function</w:t>
      </w:r>
      <w:r w:rsidR="00172E89">
        <w:rPr>
          <w:rFonts w:ascii="Arial" w:hAnsi="Arial" w:cs="Arial"/>
          <w:lang w:val="en-US"/>
        </w:rPr>
        <w:t>,</w:t>
      </w:r>
      <w:r w:rsidR="00406ED9" w:rsidRPr="00B964B8">
        <w:rPr>
          <w:rFonts w:ascii="Arial" w:hAnsi="Arial" w:cs="Arial"/>
          <w:lang w:val="en-US"/>
        </w:rPr>
        <w:t xml:space="preserve"> </w:t>
      </w:r>
      <w:r w:rsidR="00172E89">
        <w:rPr>
          <w:rFonts w:ascii="Arial" w:hAnsi="Arial" w:cs="Arial"/>
          <w:lang w:val="en-US"/>
        </w:rPr>
        <w:t xml:space="preserve">while considering </w:t>
      </w:r>
      <w:r w:rsidR="007D233A">
        <w:rPr>
          <w:rFonts w:ascii="Arial" w:hAnsi="Arial" w:cs="Arial"/>
          <w:lang w:val="en-US"/>
        </w:rPr>
        <w:t>participants' expectation</w:t>
      </w:r>
      <w:r w:rsidR="00172E89">
        <w:rPr>
          <w:rFonts w:ascii="Arial" w:hAnsi="Arial" w:cs="Arial"/>
          <w:lang w:val="en-US"/>
        </w:rPr>
        <w:t>s</w:t>
      </w:r>
      <w:r w:rsidR="007D233A">
        <w:rPr>
          <w:rFonts w:ascii="Arial" w:hAnsi="Arial" w:cs="Arial"/>
          <w:lang w:val="en-US"/>
        </w:rPr>
        <w:t xml:space="preserve"> </w:t>
      </w:r>
      <w:r w:rsidR="007D233A">
        <w:rPr>
          <w:rFonts w:ascii="Arial" w:hAnsi="Arial" w:cs="Arial"/>
          <w:lang w:val="en-US"/>
        </w:rPr>
        <w:lastRenderedPageBreak/>
        <w:t xml:space="preserve">of </w:t>
      </w:r>
      <w:r w:rsidR="00172E89">
        <w:rPr>
          <w:rFonts w:ascii="Arial" w:hAnsi="Arial" w:cs="Arial"/>
          <w:lang w:val="en-US"/>
        </w:rPr>
        <w:t>LPM,</w:t>
      </w:r>
      <w:r w:rsidR="007D233A">
        <w:rPr>
          <w:rFonts w:ascii="Arial" w:hAnsi="Arial" w:cs="Arial"/>
          <w:lang w:val="en-US"/>
        </w:rPr>
        <w:t xml:space="preserve"> </w:t>
      </w:r>
      <w:r w:rsidR="00406ED9" w:rsidRPr="00B964B8">
        <w:rPr>
          <w:rFonts w:ascii="Arial" w:hAnsi="Arial" w:cs="Arial"/>
          <w:lang w:val="en-US"/>
        </w:rPr>
        <w:t>in order to inform the design and sample</w:t>
      </w:r>
      <w:r w:rsidR="00172E89">
        <w:rPr>
          <w:rFonts w:ascii="Arial" w:hAnsi="Arial" w:cs="Arial"/>
          <w:lang w:val="en-US"/>
        </w:rPr>
        <w:t xml:space="preserve"> </w:t>
      </w:r>
      <w:r w:rsidR="00406ED9" w:rsidRPr="00B964B8">
        <w:rPr>
          <w:rFonts w:ascii="Arial" w:hAnsi="Arial" w:cs="Arial"/>
          <w:lang w:val="en-US"/>
        </w:rPr>
        <w:t xml:space="preserve">size calculation of a </w:t>
      </w:r>
      <w:r w:rsidR="00172E89">
        <w:rPr>
          <w:rFonts w:ascii="Arial" w:hAnsi="Arial" w:cs="Arial"/>
          <w:lang w:val="en-US"/>
        </w:rPr>
        <w:t>subsequent</w:t>
      </w:r>
      <w:r w:rsidR="00406ED9" w:rsidRPr="00B964B8">
        <w:rPr>
          <w:rFonts w:ascii="Arial" w:hAnsi="Arial" w:cs="Arial"/>
          <w:lang w:val="en-US"/>
        </w:rPr>
        <w:t xml:space="preserve"> definitive trial.</w:t>
      </w:r>
    </w:p>
    <w:p w14:paraId="6FF3627E" w14:textId="77777777" w:rsidR="00DF6180" w:rsidRDefault="00DF6180" w:rsidP="0037195D">
      <w:pPr>
        <w:spacing w:line="480" w:lineRule="auto"/>
        <w:jc w:val="both"/>
        <w:rPr>
          <w:rFonts w:ascii="Arial" w:hAnsi="Arial" w:cs="Arial"/>
          <w:lang w:val="en-US"/>
        </w:rPr>
      </w:pPr>
    </w:p>
    <w:p w14:paraId="05BAF372" w14:textId="3D9749B4" w:rsidR="00A341A9" w:rsidRPr="00150370" w:rsidRDefault="004358E9" w:rsidP="0037195D">
      <w:pPr>
        <w:spacing w:line="480" w:lineRule="auto"/>
        <w:jc w:val="both"/>
        <w:rPr>
          <w:rFonts w:ascii="Arial" w:hAnsi="Arial" w:cs="Arial"/>
          <w:sz w:val="32"/>
          <w:szCs w:val="32"/>
          <w:lang w:val="en-US"/>
        </w:rPr>
      </w:pPr>
      <w:r w:rsidRPr="00150370">
        <w:rPr>
          <w:rFonts w:ascii="Arial" w:hAnsi="Arial" w:cs="Arial"/>
          <w:b/>
          <w:bCs/>
          <w:sz w:val="32"/>
          <w:szCs w:val="32"/>
          <w:lang w:val="en-US"/>
        </w:rPr>
        <w:t>Methods</w:t>
      </w:r>
    </w:p>
    <w:p w14:paraId="701A0A31" w14:textId="3550DAA0" w:rsidR="004358E9" w:rsidRDefault="00E87B8C" w:rsidP="0037195D">
      <w:pPr>
        <w:spacing w:line="480" w:lineRule="auto"/>
        <w:jc w:val="both"/>
        <w:rPr>
          <w:rFonts w:ascii="Arial" w:hAnsi="Arial" w:cs="Arial"/>
          <w:b/>
          <w:bCs/>
          <w:lang w:val="en-US"/>
        </w:rPr>
      </w:pPr>
      <w:r w:rsidRPr="00E87B8C">
        <w:rPr>
          <w:rFonts w:ascii="Arial" w:hAnsi="Arial" w:cs="Arial"/>
          <w:b/>
          <w:bCs/>
          <w:lang w:val="en-US"/>
        </w:rPr>
        <w:t>Study design</w:t>
      </w:r>
    </w:p>
    <w:p w14:paraId="5272565E" w14:textId="7362A0ED" w:rsidR="003365C3" w:rsidRPr="00D53BA5" w:rsidRDefault="00B964B8" w:rsidP="00D53BA5">
      <w:pPr>
        <w:spacing w:line="480" w:lineRule="auto"/>
        <w:jc w:val="both"/>
        <w:rPr>
          <w:rFonts w:ascii="Arial" w:hAnsi="Arial" w:cs="Arial"/>
          <w:lang w:val="en-US"/>
        </w:rPr>
      </w:pPr>
      <w:r w:rsidRPr="00B74D70">
        <w:rPr>
          <w:rFonts w:ascii="Arial" w:hAnsi="Arial" w:cs="Arial"/>
          <w:lang w:val="en-US"/>
        </w:rPr>
        <w:t xml:space="preserve">This </w:t>
      </w:r>
      <w:r w:rsidR="008B5AE2" w:rsidRPr="00B74D70">
        <w:rPr>
          <w:rFonts w:ascii="Arial" w:hAnsi="Arial" w:cs="Arial"/>
          <w:lang w:val="en-US"/>
        </w:rPr>
        <w:t xml:space="preserve">parallel, </w:t>
      </w:r>
      <w:r w:rsidR="008B5AE2" w:rsidRPr="00E2245C">
        <w:rPr>
          <w:rFonts w:ascii="Arial" w:hAnsi="Arial" w:cs="Arial"/>
          <w:lang w:val="en-US"/>
        </w:rPr>
        <w:t xml:space="preserve">multicenter, </w:t>
      </w:r>
      <w:r w:rsidRPr="00B74D70">
        <w:rPr>
          <w:rFonts w:ascii="Arial" w:hAnsi="Arial" w:cs="Arial"/>
          <w:lang w:val="en-US"/>
        </w:rPr>
        <w:t>pilot</w:t>
      </w:r>
      <w:r w:rsidR="008B5AE2" w:rsidRPr="00B74D70">
        <w:rPr>
          <w:rFonts w:ascii="Arial" w:hAnsi="Arial" w:cs="Arial"/>
          <w:lang w:val="en-US"/>
        </w:rPr>
        <w:t xml:space="preserve"> </w:t>
      </w:r>
      <w:r w:rsidR="008B5AE2" w:rsidRPr="0079620E">
        <w:rPr>
          <w:rFonts w:ascii="Arial" w:hAnsi="Arial" w:cs="Arial"/>
          <w:lang w:val="en-US"/>
        </w:rPr>
        <w:t>randomized control trial</w:t>
      </w:r>
      <w:r w:rsidRPr="0079620E">
        <w:rPr>
          <w:rFonts w:ascii="Arial" w:hAnsi="Arial" w:cs="Arial"/>
          <w:lang w:val="en-US"/>
        </w:rPr>
        <w:t xml:space="preserve"> </w:t>
      </w:r>
      <w:r w:rsidR="00F979B1" w:rsidRPr="0079620E">
        <w:rPr>
          <w:rFonts w:ascii="Arial" w:hAnsi="Arial" w:cs="Arial"/>
          <w:lang w:val="en-US"/>
        </w:rPr>
        <w:t>is reported following SPIRIT statement</w:t>
      </w:r>
      <w:r w:rsidR="00DF6A77" w:rsidRPr="0079620E">
        <w:rPr>
          <w:rFonts w:ascii="Arial" w:hAnsi="Arial" w:cs="Arial"/>
          <w:lang w:val="en-US"/>
        </w:rPr>
        <w:t xml:space="preserve"> </w:t>
      </w:r>
      <w:r w:rsidR="00DF6A77" w:rsidRPr="0079620E">
        <w:rPr>
          <w:rFonts w:ascii="Arial" w:hAnsi="Arial" w:cs="Arial"/>
          <w:lang w:val="en-US"/>
        </w:rPr>
        <w:fldChar w:fldCharType="begin"/>
      </w:r>
      <w:r w:rsidR="009E1EF6">
        <w:rPr>
          <w:rFonts w:ascii="Arial" w:hAnsi="Arial" w:cs="Arial"/>
          <w:lang w:val="en-US"/>
        </w:rPr>
        <w:instrText xml:space="preserve"> ADDIN ZOTERO_ITEM CSL_CITATION {"citationID":"vUe1FvRF","properties":{"formattedCitation":"(18,19)","plainCitation":"(18,19)","noteIndex":0},"citationItems":[{"id":20398,"uris":["http://zotero.org/users/5535897/items/QL4R2E9Y"],"itemData":{"id":20398,"type":"article-journal","abstract":"The protocol of a clinical trial serves as the foundation for study planning, conduct, reporting, and appraisal. However, trial protocols and existing protocol guidelines vary greatly in content and quality. This article describes the systematic development and scope of SPIRIT (Standard Protocol Items: Recommendations for Interventional Trials) 2013, a guideline for the minimum content of a clinical trial protocol., The 33-item SPIRIT checklist applies to protocols for all clinical trials and focuses on content rather than format. The checklist recommends a full description of what is planned; it does not prescribe how to design or conduct a trial. By providing guidance for key content, the SPIRIT recommendations aim to facilitate the drafting of high-quality protocols. Adherence to SPIRIT would also enhance the transparency and completeness of trial protocols for the benefit of investigators, trial participants, patients, sponsors, funders, research ethics committees or institutional review boards, peer reviewers, journals, trial registries, policymakers, regulators, and other key stakeholders.","container-title":"Annals of internal medicine","DOI":"10.7326/0003-4819-158-3-201302050-00583","ISSN":"0003-4819","issue":"3","journalAbbreviation":"Ann Intern Med","page":"200-207","PMID":"23295957","PMCID":"PMC5114123","source":"PubMed Central","title":"SPIRIT 2013 Statement: Defining Standard Protocol Items for Clinical Trials","title-short":"SPIRIT 2013 Statement","volume":"158","author":[{"family":"Chan","given":"An-Wen"},{"family":"Tetzlaff","given":"Jennifer M."},{"family":"Altman","given":"Douglas G."},{"family":"Laupacis","given":"Andreas"},{"family":"Gøtzsche","given":"Peter C."},{"family":"Krleža-Jerić","given":"Karmela"},{"family":"Hróbjartsson","given":"Asbjørn"},{"family":"Mann","given":"Howard"},{"family":"Dickersin","given":"Kay"},{"family":"Berlin","given":"Jesse A."},{"family":"Doré","given":"Caroline J."},{"family":"Parulekar","given":"Wendy R."},{"family":"Summerskill","given":"William S.M."},{"family":"Groves","given":"Trish"},{"family":"Schulz","given":"Kenneth F."},{"family":"Sox","given":"Harold C."},{"family":"Rockhold","given":"Frank W."},{"family":"Rennie","given":"Drummond"},{"family":"Moher","given":"David"}],"issued":{"date-parts":[["2013",2,5]]}}},{"id":20397,"uris":["http://zotero.org/users/5535897/items/RDF6QN5B"],"itemData":{"id":20397,"type":"article-journal","container-title":"BMJ","DOI":"10.1136/bmj-2024-081660","ISSN":"1756-1833","journalAbbreviation":"BMJ","language":"en","page":"e081660","source":"DOI.org (Crossref)","title":"SPIRIT 2025 explanation and elaboration: updated guideline for protocols of randomised trials","title-short":"SPIRIT 2025 explanation and elaboration","volume":"389","author":[{"family":"Hróbjartsson","given":"Asbjørn"},{"family":"Boutron","given":"Isabelle"},{"family":"Hopewell","given":"Sally"},{"family":"Moher","given":"David"},{"family":"Schulz","given":"Kenneth F"},{"family":"Collins","given":"Gary S"},{"family":"Tunn","given":"Ruth"},{"family":"Aggarwal","given":"Rakesh"},{"family":"Berkwits","given":"Michael"},{"family":"Berlin","given":"Jesse A"},{"family":"Bhandari","given":"Nita"},{"family":"Butcher","given":"Nancy J"},{"family":"Campbell","given":"Marion K"},{"family":"Chidebe","given":"Runcie C W"},{"family":"Elbourne","given":"Diana R"},{"family":"Farmer","given":"Andrew J"},{"family":"Fergusson","given":"Dean A"},{"family":"Golub","given":"Robert M"},{"family":"Goodman","given":"Steven N"},{"family":"Hoffmann","given":"Tammy C"},{"family":"Ioannidis","given":"John P A"},{"family":"Kahan","given":"Brennan C"},{"family":"Knowles","given":"Rachel L"},{"family":"Lamb","given":"Sarah E"},{"family":"Lewis","given":"Steff"},{"family":"Loder","given":"Elizabeth"},{"family":"Offringa","given":"Martin"},{"family":"Ravaud","given":"Philippe"},{"family":"Richards","given":"Dawn P"},{"family":"Rockhold","given":"Frank W"},{"family":"Schriger","given":"David L"},{"family":"Siegfried","given":"Nandi L"},{"family":"Staniszewska","given":"Sophie"},{"family":"Taylor","given":"Rod S"},{"family":"Thabane","given":"Lehana"},{"family":"Torgerson","given":"David J"},{"family":"Vohra","given":"Sunita"},{"family":"White","given":"Ian R"},{"family":"Chan","given":"An-Wen"}],"issued":{"date-parts":[["2025",4,28]]}}}],"schema":"https://github.com/citation-style-language/schema/raw/master/csl-citation.json"} </w:instrText>
      </w:r>
      <w:r w:rsidR="00DF6A77" w:rsidRPr="0079620E">
        <w:rPr>
          <w:rFonts w:ascii="Arial" w:hAnsi="Arial" w:cs="Arial"/>
          <w:lang w:val="en-US"/>
        </w:rPr>
        <w:fldChar w:fldCharType="separate"/>
      </w:r>
      <w:r w:rsidR="009E1EF6">
        <w:rPr>
          <w:rFonts w:ascii="Arial" w:hAnsi="Arial" w:cs="Arial"/>
          <w:noProof/>
          <w:lang w:val="en-US"/>
        </w:rPr>
        <w:t>(18,19)</w:t>
      </w:r>
      <w:r w:rsidR="00DF6A77" w:rsidRPr="0079620E">
        <w:rPr>
          <w:rFonts w:ascii="Arial" w:hAnsi="Arial" w:cs="Arial"/>
          <w:lang w:val="en-US"/>
        </w:rPr>
        <w:fldChar w:fldCharType="end"/>
      </w:r>
      <w:r w:rsidR="00F979B1" w:rsidRPr="0079620E">
        <w:rPr>
          <w:rFonts w:ascii="Arial" w:hAnsi="Arial" w:cs="Arial"/>
          <w:lang w:val="en-US"/>
        </w:rPr>
        <w:t xml:space="preserve">. Results </w:t>
      </w:r>
      <w:r w:rsidRPr="0079620E">
        <w:rPr>
          <w:rFonts w:ascii="Arial" w:hAnsi="Arial" w:cs="Arial"/>
          <w:lang w:val="en-US"/>
        </w:rPr>
        <w:t>will</w:t>
      </w:r>
      <w:r w:rsidRPr="00B74D70">
        <w:rPr>
          <w:rFonts w:ascii="Arial" w:hAnsi="Arial" w:cs="Arial"/>
          <w:lang w:val="en-US"/>
        </w:rPr>
        <w:t xml:space="preserve"> be reported following the CONSORT extension for pilot trials </w:t>
      </w:r>
      <w:r w:rsidR="00DF6A77">
        <w:rPr>
          <w:rFonts w:ascii="Arial" w:hAnsi="Arial" w:cs="Arial"/>
          <w:lang w:val="en-US"/>
        </w:rPr>
        <w:fldChar w:fldCharType="begin"/>
      </w:r>
      <w:r w:rsidR="009E1EF6">
        <w:rPr>
          <w:rFonts w:ascii="Arial" w:hAnsi="Arial" w:cs="Arial"/>
          <w:lang w:val="en-US"/>
        </w:rPr>
        <w:instrText xml:space="preserve"> ADDIN ZOTERO_ITEM CSL_CITATION {"citationID":"ShSZHCT8","properties":{"formattedCitation":"(20)","plainCitation":"(20)","noteIndex":0},"citationItems":[{"id":11726,"uris":["http://zotero.org/users/5535897/items/KAQR9W4Q"],"itemData":{"id":11726,"type":"article-journal","container-title":"BMJ","DOI":"10.1136/bmj.i5239","ISSN":"1756-1833","journalAbbreviation":"BMJ","language":"en","page":"i5239","source":"DOI.org (Crossref)","title":"CONSORT 2010 statement: extension to randomised pilot and feasibility trials","title-short":"CONSORT 2010 statement","author":[{"family":"Eldridge","given":"Sandra M"},{"family":"Chan","given":"Claire L"},{"family":"Campbell","given":"Michael J"},{"family":"Bond","given":"Christine M"},{"family":"Hopewell","given":"Sally"},{"family":"Thabane","given":"Lehana"},{"family":"Lancaster","given":"Gillian A"}],"issued":{"date-parts":[["2016",10,24]]}}}],"schema":"https://github.com/citation-style-language/schema/raw/master/csl-citation.json"} </w:instrText>
      </w:r>
      <w:r w:rsidR="00DF6A77">
        <w:rPr>
          <w:rFonts w:ascii="Arial" w:hAnsi="Arial" w:cs="Arial"/>
          <w:lang w:val="en-US"/>
        </w:rPr>
        <w:fldChar w:fldCharType="separate"/>
      </w:r>
      <w:r w:rsidR="009E1EF6">
        <w:rPr>
          <w:rFonts w:ascii="Arial" w:hAnsi="Arial" w:cs="Arial"/>
          <w:noProof/>
          <w:lang w:val="en-US"/>
        </w:rPr>
        <w:t>(20)</w:t>
      </w:r>
      <w:r w:rsidR="00DF6A77">
        <w:rPr>
          <w:rFonts w:ascii="Arial" w:hAnsi="Arial" w:cs="Arial"/>
          <w:lang w:val="en-US"/>
        </w:rPr>
        <w:fldChar w:fldCharType="end"/>
      </w:r>
      <w:r w:rsidR="00905489">
        <w:rPr>
          <w:rFonts w:ascii="Arial" w:hAnsi="Arial" w:cs="Arial"/>
          <w:lang w:val="en-US"/>
        </w:rPr>
        <w:t>.</w:t>
      </w:r>
      <w:r w:rsidR="00DF6A77">
        <w:rPr>
          <w:rFonts w:ascii="Arial" w:hAnsi="Arial" w:cs="Arial"/>
          <w:lang w:val="en-US"/>
        </w:rPr>
        <w:t xml:space="preserve"> </w:t>
      </w:r>
      <w:r w:rsidR="00406ED9" w:rsidRPr="00B74D70">
        <w:rPr>
          <w:rFonts w:ascii="Arial" w:hAnsi="Arial" w:cs="Arial"/>
          <w:lang w:val="en-US"/>
        </w:rPr>
        <w:t>LPM</w:t>
      </w:r>
      <w:r w:rsidRPr="00B74D70">
        <w:rPr>
          <w:rFonts w:ascii="Arial" w:hAnsi="Arial" w:cs="Arial"/>
          <w:lang w:val="en-US"/>
        </w:rPr>
        <w:t xml:space="preserve"> will be reported using Consensus on Interventions Reporting Criteria</w:t>
      </w:r>
      <w:r w:rsidRPr="00E2245C">
        <w:rPr>
          <w:rFonts w:ascii="Arial" w:hAnsi="Arial" w:cs="Arial"/>
          <w:lang w:val="en-US"/>
        </w:rPr>
        <w:t xml:space="preserve"> List for Spinal Manipulative Therapy (</w:t>
      </w:r>
      <w:proofErr w:type="spellStart"/>
      <w:r w:rsidRPr="00E2245C">
        <w:rPr>
          <w:rFonts w:ascii="Arial" w:hAnsi="Arial" w:cs="Arial"/>
          <w:lang w:val="en-US"/>
        </w:rPr>
        <w:t>CIRCLe</w:t>
      </w:r>
      <w:proofErr w:type="spellEnd"/>
      <w:r w:rsidRPr="00E2245C">
        <w:rPr>
          <w:rFonts w:ascii="Arial" w:hAnsi="Arial" w:cs="Arial"/>
          <w:lang w:val="en-US"/>
        </w:rPr>
        <w:t xml:space="preserve"> SMT)</w:t>
      </w:r>
      <w:r w:rsidR="00DF6A77">
        <w:rPr>
          <w:rFonts w:ascii="Arial" w:hAnsi="Arial" w:cs="Arial"/>
          <w:lang w:val="en-US"/>
        </w:rPr>
        <w:t xml:space="preserve"> </w:t>
      </w:r>
      <w:r w:rsidR="00DF6A77">
        <w:rPr>
          <w:rFonts w:ascii="Arial" w:hAnsi="Arial" w:cs="Arial"/>
          <w:lang w:val="en-US"/>
        </w:rPr>
        <w:fldChar w:fldCharType="begin"/>
      </w:r>
      <w:r w:rsidR="009E1EF6">
        <w:rPr>
          <w:rFonts w:ascii="Arial" w:hAnsi="Arial" w:cs="Arial"/>
          <w:lang w:val="en-US"/>
        </w:rPr>
        <w:instrText xml:space="preserve"> ADDIN ZOTERO_ITEM CSL_CITATION {"citationID":"L8nzbUHD","properties":{"formattedCitation":"(21)","plainCitation":"(21)","noteIndex":0},"citationItems":[{"id":20238,"uris":["http://zotero.org/users/5535897/items/39WYKJYL"],"itemData":{"id":20238,"type":"article-journal","abstract":"Objective: The aim of the Consensus on Interventions Reporting Criteria List for Spinal Manipulative Therapy (CIRCLe SMT) study was to develop a criteria list for reporting spinal manipulative therapy (SMT).\nMethods: A Delphi procedure was conducted from September 2011 to April 2013 and consisted of international experts in the field of SMT. The authors formed a steering committee and invited participants, selected initial items, structured the comments of the participants after each Delphi round, and formulated the feedback. To ensure content validity, a large number of international experts from different SMT-related disciplines were invited to participate. A workshop was organized following the consensus phase, and it was used to discuss and refine the wording of the items.\nResults: In total, 123 experts from 18 countries participated. These experts included clinicians (70%), researchers (93%), and academics working in the area of SMT (27%), as well as journal editors (14%). (Note: The total is more than 100% because most participants reported 2 jobs.) Three Delphi rounds were necessary to reach a consensus. The criteria list comprised 24 items under 5 domains, including (1) rationale of the therapy, (2) description of the intervention, (3) SMT techniques, (4) additional intervention/techniques, and (5) quantitative data.\nConclusions: A valid criteria list was constructed with the aim of promoting consistency in reporting SMT intervention in scientific publications. (J Manipulative Physiol Ther 2017;40:61-70) Key Indexing Terms: Manipulation, Spinal; Publications; Randomized Controlled Trials","container-title":"Journal of Manipulative and Physiological Therapeutics","DOI":"10.1016/j.jmpt.2016.10.013","ISSN":"01614754","issue":"2","journalAbbreviation":"Journal of Manipulative and Physiological Therapeutics","language":"en","page":"61-70","source":"DOI.org (Crossref)","title":"Guideline for Reporting Interventions on Spinal Manipulative Therapy: Consensus on Interventions Reporting Criteria List for Spinal Manipulative Therapy (CIRCLe SMT)","title-short":"Guideline for Reporting Interventions on Spinal Manipulative Therapy","volume":"40","author":[{"family":"Groeneweg","given":"Ruud"},{"family":"Rubinstein","given":"Sidney M."},{"family":"Oostendorp","given":"Rob A.B."},{"family":"Ostelo","given":"Raymond W.J.G."},{"family":"Van Tulder","given":"Maurits W."}],"issued":{"date-parts":[["2017",2]]}}}],"schema":"https://github.com/citation-style-language/schema/raw/master/csl-citation.json"} </w:instrText>
      </w:r>
      <w:r w:rsidR="00DF6A77">
        <w:rPr>
          <w:rFonts w:ascii="Arial" w:hAnsi="Arial" w:cs="Arial"/>
          <w:lang w:val="en-US"/>
        </w:rPr>
        <w:fldChar w:fldCharType="separate"/>
      </w:r>
      <w:r w:rsidR="009E1EF6">
        <w:rPr>
          <w:rFonts w:ascii="Arial" w:hAnsi="Arial" w:cs="Arial"/>
          <w:noProof/>
          <w:lang w:val="en-US"/>
        </w:rPr>
        <w:t>(21)</w:t>
      </w:r>
      <w:r w:rsidR="00DF6A77">
        <w:rPr>
          <w:rFonts w:ascii="Arial" w:hAnsi="Arial" w:cs="Arial"/>
          <w:lang w:val="en-US"/>
        </w:rPr>
        <w:fldChar w:fldCharType="end"/>
      </w:r>
      <w:r w:rsidRPr="00B74D70">
        <w:rPr>
          <w:rFonts w:ascii="Arial" w:hAnsi="Arial" w:cs="Arial"/>
          <w:lang w:val="en-US"/>
        </w:rPr>
        <w:t xml:space="preserve">. </w:t>
      </w:r>
      <w:r w:rsidR="00D53BA5" w:rsidRPr="00D53BA5">
        <w:rPr>
          <w:rFonts w:ascii="Arial" w:hAnsi="Arial" w:cs="Arial"/>
          <w:lang w:val="en-US"/>
        </w:rPr>
        <w:t xml:space="preserve">After providing informed consent, participants will be randomized into one of two groups: </w:t>
      </w:r>
      <w:r w:rsidR="00D53BA5" w:rsidRPr="00410040">
        <w:rPr>
          <w:rFonts w:ascii="Arial" w:hAnsi="Arial" w:cs="Arial"/>
          <w:i/>
          <w:iCs/>
          <w:lang w:val="en-US"/>
        </w:rPr>
        <w:t>Usual Care</w:t>
      </w:r>
      <w:r w:rsidR="00D53BA5" w:rsidRPr="00D53BA5">
        <w:rPr>
          <w:rFonts w:ascii="Arial" w:hAnsi="Arial" w:cs="Arial"/>
          <w:lang w:val="en-US"/>
        </w:rPr>
        <w:t xml:space="preserve"> plus LPM or </w:t>
      </w:r>
      <w:r w:rsidR="00D53BA5" w:rsidRPr="00410040">
        <w:rPr>
          <w:rFonts w:ascii="Arial" w:hAnsi="Arial" w:cs="Arial"/>
          <w:i/>
          <w:iCs/>
          <w:lang w:val="en-US"/>
        </w:rPr>
        <w:t>Usual Care</w:t>
      </w:r>
      <w:r w:rsidR="00410040">
        <w:rPr>
          <w:rFonts w:ascii="Arial" w:hAnsi="Arial" w:cs="Arial"/>
          <w:lang w:val="en-US"/>
        </w:rPr>
        <w:t xml:space="preserve">. </w:t>
      </w:r>
      <w:r w:rsidR="00D53BA5" w:rsidRPr="00D53BA5">
        <w:rPr>
          <w:rFonts w:ascii="Arial" w:hAnsi="Arial" w:cs="Arial"/>
          <w:lang w:val="en-US"/>
        </w:rPr>
        <w:t xml:space="preserve">Both groups will undergo a 4-week treatment period followed by a follow-up assessment 6 weeks after the final intervention. The first session will include a comprehensive assessment of the lumbar spine and knee, delivery of the allocated lumbopelvic intervention (active or sham manipulation), and initiation of an individualized rehabilitation program. Home exercises will be prescribed and participants will be encouraged to perform them between sessions. </w:t>
      </w:r>
      <w:r w:rsidR="00D53BA5" w:rsidRPr="00CA4FC7">
        <w:rPr>
          <w:rFonts w:ascii="Arial" w:hAnsi="Arial" w:cs="Arial"/>
          <w:lang w:val="en-US"/>
        </w:rPr>
        <w:t>Details of the interventions and assessments are provided in the “Intervention” section.</w:t>
      </w:r>
      <w:r w:rsidR="00D53BA5">
        <w:rPr>
          <w:rFonts w:ascii="Arial" w:hAnsi="Arial" w:cs="Arial"/>
          <w:lang w:val="en-US"/>
        </w:rPr>
        <w:t xml:space="preserve"> </w:t>
      </w:r>
      <w:r w:rsidR="00D53BA5" w:rsidRPr="00D53BA5">
        <w:rPr>
          <w:rFonts w:ascii="Arial" w:hAnsi="Arial" w:cs="Arial"/>
          <w:lang w:val="en-US"/>
        </w:rPr>
        <w:t>The initial visit will last approximately 45–60 minutes. Participants will then attend three weekly follow-up sessions (≈30 minutes each), during which the intervention will be delivered and the rehabilitation program adjusted as needed. A final follow-up assessment will be conducted either remotely or in person 6 weeks after the last session.</w:t>
      </w:r>
      <w:r w:rsidR="00D53BA5">
        <w:rPr>
          <w:rFonts w:ascii="Arial" w:hAnsi="Arial" w:cs="Arial"/>
          <w:lang w:val="en-US"/>
        </w:rPr>
        <w:t xml:space="preserve"> </w:t>
      </w:r>
      <w:r w:rsidR="00697D40" w:rsidRPr="00CA4FC7">
        <w:rPr>
          <w:rFonts w:ascii="Arial" w:hAnsi="Arial" w:cs="Arial"/>
          <w:lang w:val="en-US"/>
        </w:rPr>
        <w:t>The flow diagram of the trial is presented in Fig. 1.</w:t>
      </w:r>
    </w:p>
    <w:p w14:paraId="4471259A" w14:textId="454DD94E" w:rsidR="004B7D6C" w:rsidRPr="00CA4FC7" w:rsidRDefault="00B13460" w:rsidP="00CA4FC7">
      <w:pPr>
        <w:pStyle w:val="Default"/>
        <w:spacing w:line="360" w:lineRule="auto"/>
        <w:jc w:val="both"/>
        <w:rPr>
          <w:lang w:val="en-US"/>
        </w:rPr>
      </w:pPr>
      <w:r w:rsidRPr="0079620E">
        <w:rPr>
          <w:rFonts w:ascii="Arial" w:hAnsi="Arial" w:cs="Arial"/>
          <w:lang w:val="en-US"/>
        </w:rPr>
        <w:t xml:space="preserve">This study </w:t>
      </w:r>
      <w:r w:rsidR="00816084" w:rsidRPr="0079620E">
        <w:rPr>
          <w:rFonts w:ascii="Arial" w:hAnsi="Arial" w:cs="Arial"/>
          <w:lang w:val="en-US"/>
        </w:rPr>
        <w:t>was</w:t>
      </w:r>
      <w:r w:rsidRPr="0079620E">
        <w:rPr>
          <w:rFonts w:ascii="Arial" w:hAnsi="Arial" w:cs="Arial"/>
          <w:lang w:val="en-US"/>
        </w:rPr>
        <w:t xml:space="preserve"> approved by the Hospital Ethic</w:t>
      </w:r>
      <w:r w:rsidR="00DB19B7" w:rsidRPr="0079620E">
        <w:rPr>
          <w:rFonts w:ascii="Arial" w:hAnsi="Arial" w:cs="Arial"/>
          <w:lang w:val="en-US"/>
        </w:rPr>
        <w:t>s</w:t>
      </w:r>
      <w:r w:rsidRPr="0079620E">
        <w:rPr>
          <w:rFonts w:ascii="Arial" w:hAnsi="Arial" w:cs="Arial"/>
          <w:lang w:val="en-US"/>
        </w:rPr>
        <w:t xml:space="preserve"> Committee </w:t>
      </w:r>
      <w:r w:rsidR="00DB19B7" w:rsidRPr="0079620E">
        <w:rPr>
          <w:rFonts w:ascii="Arial" w:hAnsi="Arial" w:cs="Arial"/>
          <w:lang w:val="en-US"/>
        </w:rPr>
        <w:t xml:space="preserve">of </w:t>
      </w:r>
      <w:r w:rsidRPr="0079620E">
        <w:rPr>
          <w:rFonts w:ascii="Arial" w:hAnsi="Arial" w:cs="Arial"/>
          <w:lang w:val="en-US"/>
        </w:rPr>
        <w:t xml:space="preserve">CHU </w:t>
      </w:r>
      <w:proofErr w:type="spellStart"/>
      <w:r w:rsidR="00695667" w:rsidRPr="0079620E">
        <w:rPr>
          <w:rFonts w:ascii="Arial" w:hAnsi="Arial" w:cs="Arial"/>
          <w:lang w:val="en-US"/>
        </w:rPr>
        <w:t>Brugmann</w:t>
      </w:r>
      <w:proofErr w:type="spellEnd"/>
      <w:r w:rsidRPr="0079620E">
        <w:rPr>
          <w:rFonts w:ascii="Arial" w:hAnsi="Arial" w:cs="Arial"/>
          <w:lang w:val="en-US"/>
        </w:rPr>
        <w:t xml:space="preserve"> under registration number CE 2025/98 and prospectively registered in OSF Registries</w:t>
      </w:r>
      <w:r w:rsidR="00D76709" w:rsidRPr="0079620E">
        <w:rPr>
          <w:rFonts w:ascii="Arial" w:hAnsi="Arial" w:cs="Arial"/>
          <w:lang w:val="en-US"/>
        </w:rPr>
        <w:t>, where the full protocol, statistical code,</w:t>
      </w:r>
      <w:r w:rsidR="00CC7244" w:rsidRPr="0079620E">
        <w:rPr>
          <w:rFonts w:ascii="Arial" w:hAnsi="Arial" w:cs="Arial"/>
          <w:lang w:val="en-US"/>
        </w:rPr>
        <w:t xml:space="preserve"> </w:t>
      </w:r>
      <w:r w:rsidR="00057A04">
        <w:rPr>
          <w:rFonts w:ascii="Arial" w:hAnsi="Arial" w:cs="Arial"/>
          <w:lang w:val="en-US"/>
        </w:rPr>
        <w:t xml:space="preserve">de-identified </w:t>
      </w:r>
      <w:r w:rsidR="00D76709" w:rsidRPr="0079620E">
        <w:rPr>
          <w:rFonts w:ascii="Arial" w:hAnsi="Arial" w:cs="Arial"/>
          <w:lang w:val="en-US"/>
        </w:rPr>
        <w:t xml:space="preserve">dataset </w:t>
      </w:r>
      <w:r w:rsidR="00CC7244" w:rsidRPr="0079620E">
        <w:rPr>
          <w:rFonts w:ascii="Arial" w:hAnsi="Arial" w:cs="Arial"/>
          <w:lang w:val="en-US"/>
        </w:rPr>
        <w:t xml:space="preserve">and all relevant study materials </w:t>
      </w:r>
      <w:r w:rsidR="00D76709" w:rsidRPr="0079620E">
        <w:rPr>
          <w:rFonts w:ascii="Arial" w:hAnsi="Arial" w:cs="Arial"/>
          <w:lang w:val="en-US"/>
        </w:rPr>
        <w:t>will be made available</w:t>
      </w:r>
      <w:r w:rsidRPr="0079620E">
        <w:rPr>
          <w:rFonts w:ascii="Arial" w:hAnsi="Arial" w:cs="Arial"/>
          <w:lang w:val="en-US"/>
        </w:rPr>
        <w:t xml:space="preserve"> </w:t>
      </w:r>
      <w:r w:rsidR="00CA4FC7" w:rsidRPr="00CA4FC7">
        <w:rPr>
          <w:rFonts w:ascii="Arial" w:hAnsi="Arial" w:cs="Arial"/>
          <w:lang w:val="en-US"/>
        </w:rPr>
        <w:t>(</w:t>
      </w:r>
      <w:r w:rsidR="00CA4FC7" w:rsidRPr="00CA4FC7">
        <w:rPr>
          <w:rFonts w:ascii="Arial" w:hAnsi="Arial" w:cs="Arial"/>
          <w:color w:val="2196D1"/>
          <w:lang w:val="en-US"/>
        </w:rPr>
        <w:t>https://doi.org/10.17605/OSF.IO/TD3V6</w:t>
      </w:r>
      <w:r w:rsidR="00CA4FC7" w:rsidRPr="00CA4FC7">
        <w:rPr>
          <w:rFonts w:ascii="Arial" w:hAnsi="Arial" w:cs="Arial"/>
          <w:lang w:val="en-US"/>
        </w:rPr>
        <w:t>)</w:t>
      </w:r>
      <w:r w:rsidR="00FB66AE" w:rsidRPr="00CA4FC7">
        <w:rPr>
          <w:rFonts w:ascii="Arial" w:hAnsi="Arial" w:cs="Arial"/>
          <w:lang w:val="en-US"/>
        </w:rPr>
        <w:t>.</w:t>
      </w:r>
    </w:p>
    <w:p w14:paraId="6E5B5914" w14:textId="06F960D5" w:rsidR="004B7D6C" w:rsidRPr="00CA4FC7" w:rsidRDefault="004B7D6C" w:rsidP="0037195D">
      <w:pPr>
        <w:spacing w:line="480" w:lineRule="auto"/>
        <w:jc w:val="both"/>
        <w:rPr>
          <w:rFonts w:ascii="Arial" w:hAnsi="Arial" w:cs="Arial"/>
          <w:b/>
          <w:bCs/>
          <w:lang w:val="en-US"/>
        </w:rPr>
      </w:pPr>
    </w:p>
    <w:p w14:paraId="0C6F6D8E" w14:textId="77777777" w:rsidR="00697D40" w:rsidRDefault="00697D40" w:rsidP="00697D40">
      <w:pPr>
        <w:spacing w:line="480" w:lineRule="auto"/>
        <w:jc w:val="both"/>
        <w:rPr>
          <w:rFonts w:ascii="Arial" w:hAnsi="Arial" w:cs="Arial"/>
          <w:lang w:val="en-US"/>
        </w:rPr>
      </w:pPr>
      <w:r w:rsidRPr="00AF0645">
        <w:rPr>
          <w:rFonts w:ascii="Arial" w:hAnsi="Arial" w:cs="Arial"/>
          <w:noProof/>
          <w:lang w:val="en-US"/>
        </w:rPr>
        <w:drawing>
          <wp:inline distT="0" distB="0" distL="0" distR="0" wp14:anchorId="5B4E7F1B" wp14:editId="6D6F087F">
            <wp:extent cx="3447505" cy="4896000"/>
            <wp:effectExtent l="12700" t="12700" r="6985" b="190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5081" t="5206" r="3836" b="3163"/>
                    <a:stretch/>
                  </pic:blipFill>
                  <pic:spPr bwMode="auto">
                    <a:xfrm>
                      <a:off x="0" y="0"/>
                      <a:ext cx="3447505" cy="48960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a:custGeom>
                              <a:avLst/>
                              <a:gdLst/>
                              <a:ahLst/>
                              <a:cxnLst/>
                              <a:rect l="0" t="0" r="0" b="0"/>
                              <a:pathLst/>
                            </a:custGeom>
                            <ask:type/>
                            <ask:seed>0</ask:seed>
                          </ask:lineSketchStyleProps>
                        </a:ext>
                      </a:extLst>
                    </a:ln>
                    <a:extLst>
                      <a:ext uri="{53640926-AAD7-44D8-BBD7-CCE9431645EC}">
                        <a14:shadowObscured xmlns:a14="http://schemas.microsoft.com/office/drawing/2010/main"/>
                      </a:ext>
                    </a:extLst>
                  </pic:spPr>
                </pic:pic>
              </a:graphicData>
            </a:graphic>
          </wp:inline>
        </w:drawing>
      </w:r>
    </w:p>
    <w:p w14:paraId="29CA91F7" w14:textId="77777777" w:rsidR="00697D40" w:rsidRDefault="00697D40" w:rsidP="00697D40">
      <w:pPr>
        <w:pStyle w:val="Lgende"/>
        <w:spacing w:line="480" w:lineRule="auto"/>
        <w:jc w:val="both"/>
        <w:rPr>
          <w:lang w:val="en-US"/>
        </w:rPr>
      </w:pPr>
      <w:r w:rsidRPr="00DF6180">
        <w:rPr>
          <w:lang w:val="en-US"/>
        </w:rPr>
        <w:t xml:space="preserve">Figure1: </w:t>
      </w:r>
      <w:r>
        <w:rPr>
          <w:lang w:val="en-US"/>
        </w:rPr>
        <w:t>SPIRI</w:t>
      </w:r>
      <w:r w:rsidRPr="00DF6180">
        <w:rPr>
          <w:lang w:val="en-US"/>
        </w:rPr>
        <w:t xml:space="preserve">T flow </w:t>
      </w:r>
      <w:r w:rsidRPr="009B7CF9">
        <w:rPr>
          <w:lang w:val="en-US"/>
        </w:rPr>
        <w:t>diagram</w:t>
      </w:r>
      <w:r>
        <w:rPr>
          <w:lang w:val="en-US"/>
        </w:rPr>
        <w:t>. *Abbreviations: VAS: Visual Analog Scale; LEFS: Low Extremity Functional Scale; LPM: Lumbopelvic Manipulation.</w:t>
      </w:r>
    </w:p>
    <w:p w14:paraId="28048347" w14:textId="77777777" w:rsidR="00697D40" w:rsidRDefault="00697D40" w:rsidP="0037195D">
      <w:pPr>
        <w:spacing w:line="480" w:lineRule="auto"/>
        <w:jc w:val="both"/>
        <w:rPr>
          <w:rFonts w:ascii="Arial" w:hAnsi="Arial" w:cs="Arial"/>
          <w:b/>
          <w:bCs/>
          <w:lang w:val="en-US"/>
        </w:rPr>
      </w:pPr>
    </w:p>
    <w:p w14:paraId="3029563C" w14:textId="60CE889A" w:rsidR="0095581B" w:rsidRPr="00DF6180" w:rsidRDefault="0095581B" w:rsidP="0037195D">
      <w:pPr>
        <w:spacing w:line="480" w:lineRule="auto"/>
        <w:jc w:val="both"/>
        <w:rPr>
          <w:rFonts w:ascii="Arial" w:hAnsi="Arial" w:cs="Arial"/>
          <w:b/>
          <w:bCs/>
          <w:lang w:val="en-US"/>
        </w:rPr>
      </w:pPr>
      <w:r w:rsidRPr="00DF6180">
        <w:rPr>
          <w:rFonts w:ascii="Arial" w:hAnsi="Arial" w:cs="Arial"/>
          <w:b/>
          <w:bCs/>
          <w:lang w:val="en-US"/>
        </w:rPr>
        <w:t>Participants</w:t>
      </w:r>
    </w:p>
    <w:p w14:paraId="7073DB8C" w14:textId="4645F248" w:rsidR="00B55C61" w:rsidRDefault="0047046F" w:rsidP="0037195D">
      <w:pPr>
        <w:spacing w:line="480" w:lineRule="auto"/>
        <w:jc w:val="both"/>
        <w:rPr>
          <w:rFonts w:ascii="Arial" w:hAnsi="Arial" w:cs="Arial"/>
          <w:lang w:val="en-US"/>
        </w:rPr>
      </w:pPr>
      <w:r>
        <w:rPr>
          <w:rFonts w:ascii="Arial" w:hAnsi="Arial" w:cs="Arial"/>
          <w:lang w:val="en-US"/>
        </w:rPr>
        <w:t>Voluntary p</w:t>
      </w:r>
      <w:r w:rsidR="00B57A8B" w:rsidRPr="00B57A8B">
        <w:rPr>
          <w:rFonts w:ascii="Arial" w:hAnsi="Arial" w:cs="Arial"/>
          <w:lang w:val="en-US"/>
        </w:rPr>
        <w:t xml:space="preserve">articipants will be recruited </w:t>
      </w:r>
      <w:r w:rsidR="003D0B06">
        <w:rPr>
          <w:rFonts w:ascii="Arial" w:hAnsi="Arial" w:cs="Arial"/>
          <w:lang w:val="en-US"/>
        </w:rPr>
        <w:t>from February</w:t>
      </w:r>
      <w:r w:rsidR="00DF6A77" w:rsidRPr="00B57A8B">
        <w:rPr>
          <w:rFonts w:ascii="Arial" w:hAnsi="Arial" w:cs="Arial"/>
          <w:lang w:val="en-US"/>
        </w:rPr>
        <w:t xml:space="preserve"> </w:t>
      </w:r>
      <w:r w:rsidR="00B57A8B" w:rsidRPr="00B57A8B">
        <w:rPr>
          <w:rFonts w:ascii="Arial" w:hAnsi="Arial" w:cs="Arial"/>
          <w:lang w:val="en-US"/>
        </w:rPr>
        <w:t>202</w:t>
      </w:r>
      <w:r w:rsidR="00DF6A77">
        <w:rPr>
          <w:rFonts w:ascii="Arial" w:hAnsi="Arial" w:cs="Arial"/>
          <w:lang w:val="en-US"/>
        </w:rPr>
        <w:t>6</w:t>
      </w:r>
      <w:r w:rsidR="003D0B06">
        <w:rPr>
          <w:rFonts w:ascii="Arial" w:hAnsi="Arial" w:cs="Arial"/>
          <w:lang w:val="en-US"/>
        </w:rPr>
        <w:t xml:space="preserve"> </w:t>
      </w:r>
      <w:r w:rsidR="00B57A8B" w:rsidRPr="00B57A8B">
        <w:rPr>
          <w:rFonts w:ascii="Arial" w:hAnsi="Arial" w:cs="Arial"/>
          <w:lang w:val="en-US"/>
        </w:rPr>
        <w:t xml:space="preserve">through outpatient consultations at Polyclinic </w:t>
      </w:r>
      <w:r w:rsidR="00695667" w:rsidRPr="00B57A8B">
        <w:rPr>
          <w:rFonts w:ascii="Arial" w:hAnsi="Arial" w:cs="Arial"/>
          <w:lang w:val="en-US"/>
        </w:rPr>
        <w:t xml:space="preserve">Madeleine </w:t>
      </w:r>
      <w:proofErr w:type="spellStart"/>
      <w:r w:rsidR="00695667" w:rsidRPr="00B57A8B">
        <w:rPr>
          <w:rFonts w:ascii="Arial" w:hAnsi="Arial" w:cs="Arial"/>
          <w:lang w:val="en-US"/>
        </w:rPr>
        <w:t>Lejour</w:t>
      </w:r>
      <w:proofErr w:type="spellEnd"/>
      <w:r w:rsidR="00695667">
        <w:rPr>
          <w:rFonts w:ascii="Arial" w:hAnsi="Arial" w:cs="Arial"/>
          <w:lang w:val="en-US"/>
        </w:rPr>
        <w:t xml:space="preserve"> (Brussels, Belgium)</w:t>
      </w:r>
      <w:r w:rsidR="00B57A8B" w:rsidRPr="00B57A8B">
        <w:rPr>
          <w:rFonts w:ascii="Arial" w:hAnsi="Arial" w:cs="Arial"/>
          <w:lang w:val="en-US"/>
        </w:rPr>
        <w:t xml:space="preserve"> and the </w:t>
      </w:r>
      <w:proofErr w:type="spellStart"/>
      <w:r w:rsidR="00936A15">
        <w:rPr>
          <w:rFonts w:ascii="Arial" w:hAnsi="Arial" w:cs="Arial"/>
          <w:lang w:val="en-US"/>
        </w:rPr>
        <w:t>Universit</w:t>
      </w:r>
      <w:r w:rsidR="00695667">
        <w:rPr>
          <w:rFonts w:ascii="Arial" w:hAnsi="Arial" w:cs="Arial"/>
          <w:lang w:val="en-US"/>
        </w:rPr>
        <w:t>é</w:t>
      </w:r>
      <w:proofErr w:type="spellEnd"/>
      <w:r w:rsidR="00936A15">
        <w:rPr>
          <w:rFonts w:ascii="Arial" w:hAnsi="Arial" w:cs="Arial"/>
          <w:lang w:val="en-US"/>
        </w:rPr>
        <w:t xml:space="preserve"> </w:t>
      </w:r>
      <w:r w:rsidR="00695667" w:rsidRPr="00B57A8B">
        <w:rPr>
          <w:rFonts w:ascii="Arial" w:hAnsi="Arial" w:cs="Arial"/>
          <w:lang w:val="en-US"/>
        </w:rPr>
        <w:t xml:space="preserve">Libre de </w:t>
      </w:r>
      <w:proofErr w:type="spellStart"/>
      <w:r w:rsidR="00695667" w:rsidRPr="00B57A8B">
        <w:rPr>
          <w:rFonts w:ascii="Arial" w:hAnsi="Arial" w:cs="Arial"/>
          <w:lang w:val="en-US"/>
        </w:rPr>
        <w:t>Bruxelles</w:t>
      </w:r>
      <w:proofErr w:type="spellEnd"/>
      <w:r w:rsidR="00B57A8B" w:rsidRPr="00B57A8B">
        <w:rPr>
          <w:rFonts w:ascii="Arial" w:hAnsi="Arial" w:cs="Arial"/>
          <w:lang w:val="en-US"/>
        </w:rPr>
        <w:t xml:space="preserve"> campus in </w:t>
      </w:r>
      <w:r w:rsidR="00695667">
        <w:rPr>
          <w:rFonts w:ascii="Arial" w:hAnsi="Arial" w:cs="Arial"/>
          <w:lang w:val="en-US"/>
        </w:rPr>
        <w:t>Belgium</w:t>
      </w:r>
      <w:r w:rsidR="00B57A8B" w:rsidRPr="00B57A8B">
        <w:rPr>
          <w:rFonts w:ascii="Arial" w:hAnsi="Arial" w:cs="Arial"/>
          <w:lang w:val="en-US"/>
        </w:rPr>
        <w:t>, using word-of-mouth, printed materials, and social media announcements</w:t>
      </w:r>
      <w:r w:rsidR="003D0B06">
        <w:rPr>
          <w:rFonts w:ascii="Arial" w:hAnsi="Arial" w:cs="Arial"/>
          <w:lang w:val="en-US"/>
        </w:rPr>
        <w:t xml:space="preserve">, until the required sample size is achieved. </w:t>
      </w:r>
      <w:r w:rsidR="00C755B5" w:rsidRPr="0079620E">
        <w:rPr>
          <w:rFonts w:ascii="Arial" w:hAnsi="Arial" w:cs="Arial"/>
          <w:lang w:val="en-US"/>
        </w:rPr>
        <w:t xml:space="preserve">Participants </w:t>
      </w:r>
      <w:r w:rsidR="00194406" w:rsidRPr="0079620E">
        <w:rPr>
          <w:rFonts w:ascii="Arial" w:hAnsi="Arial" w:cs="Arial"/>
          <w:lang w:val="en-US"/>
        </w:rPr>
        <w:t xml:space="preserve">between </w:t>
      </w:r>
      <w:r w:rsidR="00C755B5" w:rsidRPr="0079620E">
        <w:rPr>
          <w:rFonts w:ascii="Arial" w:hAnsi="Arial" w:cs="Arial"/>
          <w:lang w:val="en-US"/>
        </w:rPr>
        <w:t xml:space="preserve">18 </w:t>
      </w:r>
      <w:r w:rsidR="00194406" w:rsidRPr="0079620E">
        <w:rPr>
          <w:rFonts w:ascii="Arial" w:hAnsi="Arial" w:cs="Arial"/>
          <w:lang w:val="en-US"/>
        </w:rPr>
        <w:t>and 65</w:t>
      </w:r>
      <w:r w:rsidR="000345B4" w:rsidRPr="0079620E">
        <w:rPr>
          <w:rFonts w:ascii="Arial" w:hAnsi="Arial" w:cs="Arial"/>
          <w:lang w:val="en-US"/>
        </w:rPr>
        <w:t xml:space="preserve"> years of age</w:t>
      </w:r>
      <w:r w:rsidR="00C755B5" w:rsidRPr="0079620E">
        <w:rPr>
          <w:rFonts w:ascii="Arial" w:hAnsi="Arial" w:cs="Arial"/>
          <w:lang w:val="en-US"/>
        </w:rPr>
        <w:t>, diagnosed with anterior knee pain</w:t>
      </w:r>
      <w:r w:rsidR="00C24EF7">
        <w:rPr>
          <w:rFonts w:ascii="Arial" w:hAnsi="Arial" w:cs="Arial"/>
          <w:lang w:val="en-US"/>
        </w:rPr>
        <w:t xml:space="preserve"> for more than three months</w:t>
      </w:r>
      <w:r w:rsidR="00C755B5" w:rsidRPr="0079620E">
        <w:rPr>
          <w:rFonts w:ascii="Arial" w:hAnsi="Arial" w:cs="Arial"/>
          <w:lang w:val="en-US"/>
        </w:rPr>
        <w:t xml:space="preserve"> </w:t>
      </w:r>
      <w:r w:rsidR="000345B4" w:rsidRPr="0079620E">
        <w:rPr>
          <w:rFonts w:ascii="Arial" w:hAnsi="Arial" w:cs="Arial"/>
          <w:lang w:val="en-US"/>
        </w:rPr>
        <w:t>but restric</w:t>
      </w:r>
      <w:r w:rsidR="00194406" w:rsidRPr="0079620E">
        <w:rPr>
          <w:rFonts w:ascii="Arial" w:hAnsi="Arial" w:cs="Arial"/>
          <w:lang w:val="en-US"/>
        </w:rPr>
        <w:t xml:space="preserve">ted to </w:t>
      </w:r>
      <w:r w:rsidR="00965306" w:rsidRPr="0079620E">
        <w:rPr>
          <w:rFonts w:ascii="Arial" w:hAnsi="Arial" w:cs="Arial"/>
          <w:lang w:val="en-US"/>
        </w:rPr>
        <w:t>PFP</w:t>
      </w:r>
      <w:r w:rsidR="00C755B5" w:rsidRPr="0079620E">
        <w:rPr>
          <w:rFonts w:ascii="Arial" w:hAnsi="Arial" w:cs="Arial"/>
          <w:lang w:val="en-US"/>
        </w:rPr>
        <w:t xml:space="preserve">, </w:t>
      </w:r>
      <w:r w:rsidR="00965306" w:rsidRPr="0079620E">
        <w:rPr>
          <w:rFonts w:ascii="Arial" w:hAnsi="Arial" w:cs="Arial"/>
          <w:lang w:val="en-US"/>
        </w:rPr>
        <w:t>PT</w:t>
      </w:r>
      <w:r w:rsidR="00194406" w:rsidRPr="0079620E">
        <w:rPr>
          <w:rFonts w:ascii="Arial" w:hAnsi="Arial" w:cs="Arial"/>
          <w:lang w:val="en-US"/>
        </w:rPr>
        <w:t xml:space="preserve"> or quadriceps tendinopathy (QT)</w:t>
      </w:r>
      <w:r w:rsidR="00C755B5" w:rsidRPr="0079620E">
        <w:rPr>
          <w:rFonts w:ascii="Arial" w:hAnsi="Arial" w:cs="Arial"/>
          <w:lang w:val="en-US"/>
        </w:rPr>
        <w:t>)</w:t>
      </w:r>
      <w:r w:rsidR="000345B4" w:rsidRPr="0079620E">
        <w:rPr>
          <w:rFonts w:ascii="Arial" w:hAnsi="Arial" w:cs="Arial"/>
          <w:lang w:val="en-US"/>
        </w:rPr>
        <w:t>,</w:t>
      </w:r>
      <w:r w:rsidR="00C755B5" w:rsidRPr="0047046F">
        <w:rPr>
          <w:rFonts w:ascii="Arial" w:hAnsi="Arial" w:cs="Arial"/>
          <w:lang w:val="en-US"/>
        </w:rPr>
        <w:t xml:space="preserve"> and demonstrating </w:t>
      </w:r>
      <w:r w:rsidR="00C755B5" w:rsidRPr="0047046F">
        <w:rPr>
          <w:rFonts w:ascii="Arial" w:hAnsi="Arial" w:cs="Arial"/>
          <w:lang w:val="en-US"/>
        </w:rPr>
        <w:lastRenderedPageBreak/>
        <w:t xml:space="preserve">a good understanding of French will be eligible </w:t>
      </w:r>
      <w:r w:rsidR="007D5221" w:rsidRPr="0047046F">
        <w:rPr>
          <w:rFonts w:ascii="Arial" w:hAnsi="Arial" w:cs="Arial"/>
          <w:lang w:val="en-US"/>
        </w:rPr>
        <w:t>for inclusion</w:t>
      </w:r>
      <w:r w:rsidR="00C755B5" w:rsidRPr="0047046F">
        <w:rPr>
          <w:rFonts w:ascii="Arial" w:hAnsi="Arial" w:cs="Arial"/>
          <w:lang w:val="en-US"/>
        </w:rPr>
        <w:t xml:space="preserve"> in the study</w:t>
      </w:r>
      <w:r w:rsidR="00C755B5" w:rsidRPr="00107D60">
        <w:rPr>
          <w:rFonts w:ascii="Arial" w:hAnsi="Arial" w:cs="Arial"/>
          <w:lang w:val="en-US"/>
        </w:rPr>
        <w:t>.</w:t>
      </w:r>
      <w:r w:rsidR="00497B68" w:rsidRPr="00107D60">
        <w:rPr>
          <w:rFonts w:ascii="Arial" w:hAnsi="Arial" w:cs="Arial"/>
          <w:lang w:val="en-US"/>
        </w:rPr>
        <w:t xml:space="preserve"> </w:t>
      </w:r>
      <w:r w:rsidR="00D47080" w:rsidRPr="00107D60">
        <w:rPr>
          <w:rFonts w:ascii="Arial" w:hAnsi="Arial" w:cs="Arial"/>
          <w:lang w:val="en-US"/>
        </w:rPr>
        <w:t xml:space="preserve">PFP will be identified when participants report the following indicators: (a) retro- or peri-patellar pain during </w:t>
      </w:r>
      <w:r w:rsidR="000762DB" w:rsidRPr="00107D60">
        <w:rPr>
          <w:rFonts w:ascii="Arial" w:hAnsi="Arial" w:cs="Arial"/>
          <w:lang w:val="en-US"/>
        </w:rPr>
        <w:t>at least two</w:t>
      </w:r>
      <w:r w:rsidR="00D47080" w:rsidRPr="00107D60">
        <w:rPr>
          <w:rFonts w:ascii="Arial" w:hAnsi="Arial" w:cs="Arial"/>
          <w:lang w:val="en-US"/>
        </w:rPr>
        <w:t xml:space="preserve"> activities </w:t>
      </w:r>
      <w:r w:rsidR="00D47080" w:rsidRPr="00CA4FC7">
        <w:rPr>
          <w:rFonts w:ascii="Arial" w:hAnsi="Arial" w:cs="Arial"/>
          <w:lang w:val="en-US"/>
        </w:rPr>
        <w:t xml:space="preserve">involving </w:t>
      </w:r>
      <w:r w:rsidR="00176F92" w:rsidRPr="00CA4FC7">
        <w:rPr>
          <w:rFonts w:ascii="Arial" w:hAnsi="Arial" w:cs="Arial"/>
          <w:lang w:val="en-US"/>
        </w:rPr>
        <w:t xml:space="preserve">loaded or unloaded </w:t>
      </w:r>
      <w:r w:rsidR="00D47080" w:rsidRPr="00CA4FC7">
        <w:rPr>
          <w:rFonts w:ascii="Arial" w:hAnsi="Arial" w:cs="Arial"/>
          <w:lang w:val="en-US"/>
        </w:rPr>
        <w:t>knee flexion</w:t>
      </w:r>
      <w:r w:rsidR="00D47080" w:rsidRPr="00107D60">
        <w:rPr>
          <w:rFonts w:ascii="Arial" w:hAnsi="Arial" w:cs="Arial"/>
          <w:lang w:val="en-US"/>
        </w:rPr>
        <w:t>; and (</w:t>
      </w:r>
      <w:r w:rsidR="000762DB" w:rsidRPr="00107D60">
        <w:rPr>
          <w:rFonts w:ascii="Arial" w:hAnsi="Arial" w:cs="Arial"/>
          <w:lang w:val="en-US"/>
        </w:rPr>
        <w:t>b</w:t>
      </w:r>
      <w:r w:rsidR="00D47080" w:rsidRPr="00107D60">
        <w:rPr>
          <w:rFonts w:ascii="Arial" w:hAnsi="Arial" w:cs="Arial"/>
          <w:lang w:val="en-US"/>
        </w:rPr>
        <w:t xml:space="preserve">) </w:t>
      </w:r>
      <w:r w:rsidR="000762DB" w:rsidRPr="00107D60">
        <w:rPr>
          <w:rFonts w:ascii="Arial" w:hAnsi="Arial" w:cs="Arial"/>
          <w:lang w:val="en-US"/>
        </w:rPr>
        <w:t>after exclusion of other pathologies</w:t>
      </w:r>
      <w:r w:rsidR="00D47080" w:rsidRPr="00107D60">
        <w:rPr>
          <w:rFonts w:ascii="Arial" w:hAnsi="Arial" w:cs="Arial"/>
          <w:lang w:val="en-US"/>
        </w:rPr>
        <w:t xml:space="preserve"> </w:t>
      </w:r>
      <w:r w:rsidR="00D47080" w:rsidRPr="00107D60">
        <w:rPr>
          <w:rFonts w:ascii="Arial" w:hAnsi="Arial" w:cs="Arial"/>
          <w:lang w:val="en-US"/>
        </w:rPr>
        <w:fldChar w:fldCharType="begin"/>
      </w:r>
      <w:r w:rsidR="00DE2BB1">
        <w:rPr>
          <w:rFonts w:ascii="Arial" w:hAnsi="Arial" w:cs="Arial"/>
          <w:lang w:val="en-US"/>
        </w:rPr>
        <w:instrText xml:space="preserve"> ADDIN ZOTERO_ITEM CSL_CITATION {"citationID":"39YcF6vM","properties":{"formattedCitation":"(4)","plainCitation":"(4)","noteIndex":0},"citationItems":[{"id":20189,"uris":["http://zotero.org/users/5535897/items/9B48UC7M"],"itemData":{"id":20189,"type":"article-journal","abstract":"Patellofemoral pain (PFP) is a common musculoskeletal-related condition that is characterized by insidious onset of poorly defined pain, localized to the anterior retropatellar and/or peripatellar region of the knee. The onset of symptoms can be slow or acutely develop with a worsening of pain accompanying lower-limb loading activities (eg, squatting, prolonged sitting, ascending/descending stairs, jumping, or running). Symptoms can restrict participation in physical activity, sports, and work, as well as recur and persist for years. This clinical practice guideline will allow physical therapists and other rehabilitation specialists to stay up to date with evolving PFP knowledge and practices, and help them to make evidence-based treatment decisions. J Orthop Sports Phys Ther. 2019;49(9):CPG1–CPG95. doi:10.2519/jospt.2019.0302","container-title":"Journal of Orthopaedic &amp; Sports Physical Therapy","DOI":"10.2519/jospt.2019.0302","ISSN":"0190-6011, 1938-1344","issue":"9","journalAbbreviation":"Journal of Orthopaedic &amp; Sports Physical Therapy","language":"en","page":"CPG1-CPG95","source":"DOI.org (Crossref)","title":"Patellofemoral Pain: Clinical Practice Guidelines Linked to the International Classification of Functioning, Disability and Health From the Academy of Orthopaedic Physical Therapy of the American Physical Therapy Association","title-short":"Patellofemoral Pain","volume":"49","author":[{"family":"Willy","given":"Richard W."},{"family":"Hoglund","given":"Lisa T."},{"family":"Barton","given":"Christian J."},{"family":"Bolgla","given":"Lori A."},{"family":"Scalzitti","given":"David A."},{"family":"Logerstedt","given":"David S."},{"family":"Lynch","given":"Andrew D."},{"family":"Snyder-Mackler","given":"Lynn"},{"family":"McDonough","given":"Christine M."}],"issued":{"date-parts":[["2019",9]]}}}],"schema":"https://github.com/citation-style-language/schema/raw/master/csl-citation.json"} </w:instrText>
      </w:r>
      <w:r w:rsidR="00D47080" w:rsidRPr="00107D60">
        <w:rPr>
          <w:rFonts w:ascii="Arial" w:hAnsi="Arial" w:cs="Arial"/>
          <w:lang w:val="en-US"/>
        </w:rPr>
        <w:fldChar w:fldCharType="separate"/>
      </w:r>
      <w:r w:rsidR="00DE2BB1">
        <w:rPr>
          <w:rFonts w:ascii="Arial" w:hAnsi="Arial" w:cs="Arial"/>
          <w:noProof/>
          <w:lang w:val="en-US"/>
        </w:rPr>
        <w:t>(4)</w:t>
      </w:r>
      <w:r w:rsidR="00D47080" w:rsidRPr="00107D60">
        <w:rPr>
          <w:rFonts w:ascii="Arial" w:hAnsi="Arial" w:cs="Arial"/>
          <w:lang w:val="en-US"/>
        </w:rPr>
        <w:fldChar w:fldCharType="end"/>
      </w:r>
      <w:r w:rsidR="00D47080" w:rsidRPr="00107D60">
        <w:rPr>
          <w:rFonts w:ascii="Arial" w:hAnsi="Arial" w:cs="Arial"/>
          <w:lang w:val="en-US"/>
        </w:rPr>
        <w:t xml:space="preserve">. PT or QT will be identified when participants report one or more of the following indicators: (a) localized tendon pain; (b) pain elicited on tendon palpation; (c) pain relief with warm-up; (d) pain exacerbation with tendon loading; and/or (e) pain worsening the day following activity in a dose-dependent manner </w:t>
      </w:r>
      <w:r w:rsidR="00D47080" w:rsidRPr="00107D60">
        <w:rPr>
          <w:rFonts w:ascii="Arial" w:hAnsi="Arial" w:cs="Arial"/>
          <w:lang w:val="en-US"/>
        </w:rPr>
        <w:fldChar w:fldCharType="begin"/>
      </w:r>
      <w:r w:rsidR="009E1EF6">
        <w:rPr>
          <w:rFonts w:ascii="Arial" w:hAnsi="Arial" w:cs="Arial"/>
          <w:lang w:val="en-US"/>
        </w:rPr>
        <w:instrText xml:space="preserve"> ADDIN ZOTERO_ITEM CSL_CITATION {"citationID":"MoXRJsV6","properties":{"formattedCitation":"(22)","plainCitation":"(22)","noteIndex":0},"citationItems":[{"id":8663,"uris":["http://zotero.org/users/5535897/items/V8KQFR7D"],"itemData":{"id":8663,"type":"article-journal","abstract":"The hallmark features of patellar tendinopathy are (1) pain localized to the inferior pole of the patella and (2) load-related pain that increases with the demand on the knee extensors, notably in activities that store and release energy in the patellar tendon. While imaging may assist in differential diagnosis, the diagnosis of patellar tendinopathy remains clinical, as asymptomatic tendon pathology may exist in people who have pain from other anterior knee sources. A thorough examination is required to diagnose patellar tendinopathy and contributing factors. Management of patellar tendinopathy should focus on progressively developing load tolerance of the tendon, the musculoskeletal unit, and the kinetic chain, as well as addressing key biomechanical and other risk factors. Rehabilitation can be slow and sometimes frustrating. This review aims to assist clinicians with key concepts related to examination, diagnosis, and management of patellar tendinopathy. Difficult clinical presentations (eg, highly irritable tendon, systemic comorbidities) as well as common pitfalls, such as unrealistic rehabilitation time frames and overreliance on passive treatments, are also discussed.","container-title":"Journal of Orthopaedic &amp; Sports Physical Therapy","DOI":"10.2519/jospt.2015.5987","ISSN":"18886116","issue":"11","note":"ISBN: 1478-6362 (Electronic)\\n1478-6354 (Linking)","page":"887-898","PMID":"23802873","title":"Patellar tendinopathy: clinical diagnosis, load management, and advice for challenging case presentations","volume":"45","author":[{"family":"Malliaras","given":"Peter"},{"family":"Cook","given":"Jill"},{"family":"Purdam","given":"Craig"},{"family":"Rio","given":"Ebonie"}],"issued":{"date-parts":[["2015"]]}}}],"schema":"https://github.com/citation-style-language/schema/raw/master/csl-citation.json"} </w:instrText>
      </w:r>
      <w:r w:rsidR="00D47080" w:rsidRPr="00107D60">
        <w:rPr>
          <w:rFonts w:ascii="Arial" w:hAnsi="Arial" w:cs="Arial"/>
          <w:lang w:val="en-US"/>
        </w:rPr>
        <w:fldChar w:fldCharType="separate"/>
      </w:r>
      <w:r w:rsidR="009E1EF6">
        <w:rPr>
          <w:rFonts w:ascii="Arial" w:hAnsi="Arial" w:cs="Arial"/>
          <w:noProof/>
          <w:lang w:val="en-US"/>
        </w:rPr>
        <w:t>(22)</w:t>
      </w:r>
      <w:r w:rsidR="00D47080" w:rsidRPr="00107D60">
        <w:rPr>
          <w:rFonts w:ascii="Arial" w:hAnsi="Arial" w:cs="Arial"/>
          <w:lang w:val="en-US"/>
        </w:rPr>
        <w:fldChar w:fldCharType="end"/>
      </w:r>
      <w:r w:rsidR="00D47080" w:rsidRPr="00107D60">
        <w:rPr>
          <w:rFonts w:ascii="Arial" w:hAnsi="Arial" w:cs="Arial"/>
          <w:lang w:val="en-US"/>
        </w:rPr>
        <w:t>.</w:t>
      </w:r>
      <w:r w:rsidR="00D47080">
        <w:rPr>
          <w:rFonts w:ascii="Arial" w:hAnsi="Arial" w:cs="Arial"/>
          <w:lang w:val="en-US"/>
        </w:rPr>
        <w:t xml:space="preserve"> </w:t>
      </w:r>
      <w:r w:rsidR="007D5221" w:rsidRPr="0047046F">
        <w:rPr>
          <w:rFonts w:ascii="Arial" w:hAnsi="Arial" w:cs="Arial"/>
          <w:lang w:val="en-US"/>
        </w:rPr>
        <w:t>Exclusion criteria will be participant</w:t>
      </w:r>
      <w:r w:rsidR="00194406" w:rsidRPr="0047046F">
        <w:rPr>
          <w:rFonts w:ascii="Arial" w:hAnsi="Arial" w:cs="Arial"/>
          <w:lang w:val="en-US"/>
        </w:rPr>
        <w:t xml:space="preserve">s with </w:t>
      </w:r>
      <w:r w:rsidR="007D5221" w:rsidRPr="0047046F">
        <w:rPr>
          <w:rFonts w:ascii="Arial" w:hAnsi="Arial" w:cs="Arial"/>
          <w:lang w:val="en-US"/>
        </w:rPr>
        <w:t>a history of low back or lower limb surgery</w:t>
      </w:r>
      <w:r w:rsidR="00B610D3">
        <w:rPr>
          <w:rFonts w:ascii="Arial" w:hAnsi="Arial" w:cs="Arial"/>
          <w:lang w:val="en-US"/>
        </w:rPr>
        <w:t xml:space="preserve"> during the last 12 months</w:t>
      </w:r>
      <w:r w:rsidR="007D5221" w:rsidRPr="0047046F">
        <w:rPr>
          <w:rFonts w:ascii="Arial" w:hAnsi="Arial" w:cs="Arial"/>
          <w:lang w:val="en-US"/>
        </w:rPr>
        <w:t>; red flags suggesting a non-musculoskeletal condition; signs of lumbosacral nerve root compression; contraindications to spinal manipulation (e.g., osteoporosis); and pregnancy.</w:t>
      </w:r>
      <w:r w:rsidR="007C653B" w:rsidRPr="0047046F">
        <w:rPr>
          <w:rFonts w:ascii="Arial" w:hAnsi="Arial" w:cs="Arial"/>
          <w:lang w:val="en-US"/>
        </w:rPr>
        <w:t xml:space="preserve"> </w:t>
      </w:r>
      <w:r w:rsidR="00953D1C" w:rsidRPr="0047046F">
        <w:rPr>
          <w:rFonts w:ascii="Arial" w:hAnsi="Arial" w:cs="Arial"/>
          <w:lang w:val="en-US"/>
        </w:rPr>
        <w:t>Participants meeting the eligibility criteria will be informed about the study procedures and asked to provide written informed consent</w:t>
      </w:r>
      <w:r w:rsidR="007B1A3A">
        <w:rPr>
          <w:rFonts w:ascii="Arial" w:hAnsi="Arial" w:cs="Arial"/>
          <w:lang w:val="en-US"/>
        </w:rPr>
        <w:t>, then</w:t>
      </w:r>
      <w:r w:rsidR="00F217B0">
        <w:rPr>
          <w:rFonts w:ascii="Arial" w:hAnsi="Arial" w:cs="Arial"/>
          <w:lang w:val="en-US"/>
        </w:rPr>
        <w:t xml:space="preserve"> enroll</w:t>
      </w:r>
      <w:r w:rsidR="007B1A3A">
        <w:rPr>
          <w:rFonts w:ascii="Arial" w:hAnsi="Arial" w:cs="Arial"/>
          <w:lang w:val="en-US"/>
        </w:rPr>
        <w:t>ed</w:t>
      </w:r>
      <w:r w:rsidR="00F217B0">
        <w:rPr>
          <w:rFonts w:ascii="Arial" w:hAnsi="Arial" w:cs="Arial"/>
          <w:lang w:val="en-US"/>
        </w:rPr>
        <w:t xml:space="preserve"> by the principal investigator (WS)</w:t>
      </w:r>
      <w:r w:rsidR="00953D1C" w:rsidRPr="0047046F">
        <w:rPr>
          <w:rFonts w:ascii="Arial" w:hAnsi="Arial" w:cs="Arial"/>
          <w:lang w:val="en-US"/>
        </w:rPr>
        <w:t xml:space="preserve">. </w:t>
      </w:r>
      <w:r w:rsidR="00953D1C" w:rsidRPr="00D253C8">
        <w:rPr>
          <w:rFonts w:ascii="Arial" w:hAnsi="Arial" w:cs="Arial"/>
          <w:lang w:val="en-US"/>
        </w:rPr>
        <w:t>They</w:t>
      </w:r>
      <w:r w:rsidR="00FD3927" w:rsidRPr="00D253C8">
        <w:rPr>
          <w:rFonts w:ascii="Arial" w:hAnsi="Arial" w:cs="Arial"/>
          <w:lang w:val="en-US"/>
        </w:rPr>
        <w:t xml:space="preserve"> will be requested to refrain from participating in any rehabilitation program </w:t>
      </w:r>
      <w:r w:rsidR="0097754B" w:rsidRPr="00D253C8">
        <w:rPr>
          <w:rFonts w:ascii="Arial" w:hAnsi="Arial" w:cs="Arial"/>
          <w:lang w:val="en-US"/>
        </w:rPr>
        <w:t xml:space="preserve">and manipulative therapy </w:t>
      </w:r>
      <w:r w:rsidR="00D253C8" w:rsidRPr="00D253C8">
        <w:rPr>
          <w:rFonts w:ascii="Arial" w:hAnsi="Arial" w:cs="Arial"/>
          <w:lang w:val="en-US"/>
        </w:rPr>
        <w:t>during</w:t>
      </w:r>
      <w:r w:rsidR="003F0B22" w:rsidRPr="00D253C8">
        <w:rPr>
          <w:rFonts w:ascii="Arial" w:hAnsi="Arial" w:cs="Arial"/>
          <w:lang w:val="en-US"/>
        </w:rPr>
        <w:t xml:space="preserve"> the </w:t>
      </w:r>
      <w:r w:rsidR="00D253C8" w:rsidRPr="00D253C8">
        <w:rPr>
          <w:rFonts w:ascii="Arial" w:hAnsi="Arial" w:cs="Arial"/>
          <w:lang w:val="en-US"/>
        </w:rPr>
        <w:t>intervention</w:t>
      </w:r>
      <w:r w:rsidR="003F0B22" w:rsidRPr="00D253C8">
        <w:rPr>
          <w:rFonts w:ascii="Arial" w:hAnsi="Arial" w:cs="Arial"/>
          <w:lang w:val="en-US"/>
        </w:rPr>
        <w:t xml:space="preserve"> period. </w:t>
      </w:r>
      <w:r w:rsidR="00D253C8" w:rsidRPr="000762DB">
        <w:rPr>
          <w:rFonts w:ascii="Arial" w:hAnsi="Arial" w:cs="Arial"/>
          <w:lang w:val="en-US"/>
        </w:rPr>
        <w:t>Following completion of the intervention and prior to follow-up, participants may seek additional care, which will be documented at the follow-up assessment.</w:t>
      </w:r>
      <w:r w:rsidR="00D253C8">
        <w:rPr>
          <w:lang w:val="en-US"/>
        </w:rPr>
        <w:t xml:space="preserve"> </w:t>
      </w:r>
      <w:r w:rsidRPr="0079620E">
        <w:rPr>
          <w:rFonts w:ascii="Arial" w:hAnsi="Arial" w:cs="Arial"/>
          <w:lang w:val="en-US"/>
        </w:rPr>
        <w:t>No financial compensation will be provided to participants for their involvement in the study.</w:t>
      </w:r>
    </w:p>
    <w:p w14:paraId="3F490A4C" w14:textId="77777777" w:rsidR="0066206A" w:rsidRDefault="0066206A" w:rsidP="0037195D">
      <w:pPr>
        <w:spacing w:line="480" w:lineRule="auto"/>
        <w:jc w:val="both"/>
        <w:rPr>
          <w:rFonts w:ascii="Arial" w:hAnsi="Arial" w:cs="Arial"/>
          <w:b/>
          <w:bCs/>
          <w:lang w:val="en-US"/>
        </w:rPr>
      </w:pPr>
    </w:p>
    <w:p w14:paraId="682FD0DD" w14:textId="75075220" w:rsidR="00380DC6" w:rsidRDefault="00380DC6" w:rsidP="0037195D">
      <w:pPr>
        <w:spacing w:line="480" w:lineRule="auto"/>
        <w:jc w:val="both"/>
        <w:rPr>
          <w:rFonts w:ascii="Arial" w:hAnsi="Arial" w:cs="Arial"/>
          <w:b/>
          <w:bCs/>
          <w:lang w:val="en-US"/>
        </w:rPr>
      </w:pPr>
      <w:r>
        <w:rPr>
          <w:rFonts w:ascii="Arial" w:hAnsi="Arial" w:cs="Arial"/>
          <w:b/>
          <w:bCs/>
          <w:lang w:val="en-US"/>
        </w:rPr>
        <w:t>Intervention</w:t>
      </w:r>
    </w:p>
    <w:p w14:paraId="58B5F17A" w14:textId="039264BA" w:rsidR="00D67AE6" w:rsidRPr="00107D60" w:rsidRDefault="004C26FC" w:rsidP="0037195D">
      <w:pPr>
        <w:spacing w:line="480" w:lineRule="auto"/>
        <w:jc w:val="both"/>
        <w:rPr>
          <w:lang w:val="en-US"/>
        </w:rPr>
      </w:pPr>
      <w:r w:rsidRPr="00FB1B55">
        <w:rPr>
          <w:rFonts w:ascii="Arial" w:hAnsi="Arial" w:cs="Arial"/>
          <w:lang w:val="en-US"/>
        </w:rPr>
        <w:t xml:space="preserve">Following </w:t>
      </w:r>
      <w:r w:rsidR="00194406" w:rsidRPr="0079620E">
        <w:rPr>
          <w:rFonts w:ascii="Arial" w:hAnsi="Arial" w:cs="Arial"/>
          <w:lang w:val="en-US"/>
        </w:rPr>
        <w:t xml:space="preserve">individual </w:t>
      </w:r>
      <w:r w:rsidRPr="0079620E">
        <w:rPr>
          <w:rFonts w:ascii="Arial" w:hAnsi="Arial" w:cs="Arial"/>
          <w:lang w:val="en-US"/>
        </w:rPr>
        <w:t>randomization</w:t>
      </w:r>
      <w:r w:rsidRPr="00FB1B55">
        <w:rPr>
          <w:rFonts w:ascii="Arial" w:hAnsi="Arial" w:cs="Arial"/>
          <w:lang w:val="en-US"/>
        </w:rPr>
        <w:t>, each participant will undergo a comprehensive assessment that includes demographic data collection, medical history, and a physical examination.</w:t>
      </w:r>
      <w:r w:rsidR="00C45EDF" w:rsidRPr="00FB1B55">
        <w:rPr>
          <w:rFonts w:ascii="Arial" w:hAnsi="Arial" w:cs="Arial"/>
          <w:lang w:val="en-US"/>
        </w:rPr>
        <w:t xml:space="preserve"> </w:t>
      </w:r>
      <w:r w:rsidR="00040293" w:rsidRPr="001E39E8">
        <w:rPr>
          <w:rFonts w:ascii="Arial" w:hAnsi="Arial" w:cs="Arial"/>
          <w:lang w:val="en-US"/>
        </w:rPr>
        <w:t xml:space="preserve">The physical examination will include assessment of lumbar spine and knee range of motion, palpation of the lumbopelvic region and knee (e.g., muscles, tendon, sacroiliac joint, sciatic or femoral nerves) to identify reproduction of AKP </w:t>
      </w:r>
      <w:r w:rsidR="00040293" w:rsidRPr="001E39E8">
        <w:rPr>
          <w:rFonts w:ascii="Arial" w:hAnsi="Arial" w:cs="Arial"/>
          <w:lang w:val="en-US"/>
        </w:rPr>
        <w:lastRenderedPageBreak/>
        <w:t xml:space="preserve">symptoms, </w:t>
      </w:r>
      <w:r w:rsidR="00A80AE8">
        <w:rPr>
          <w:rFonts w:ascii="Arial" w:hAnsi="Arial" w:cs="Arial"/>
          <w:lang w:val="en-US"/>
        </w:rPr>
        <w:t xml:space="preserve">lumbar </w:t>
      </w:r>
      <w:proofErr w:type="spellStart"/>
      <w:r w:rsidR="00040293" w:rsidRPr="001E39E8">
        <w:rPr>
          <w:rFonts w:ascii="Arial" w:hAnsi="Arial" w:cs="Arial"/>
          <w:lang w:val="en-US"/>
        </w:rPr>
        <w:t>postero</w:t>
      </w:r>
      <w:proofErr w:type="spellEnd"/>
      <w:r w:rsidR="00040293" w:rsidRPr="001E39E8">
        <w:rPr>
          <w:rFonts w:ascii="Arial" w:hAnsi="Arial" w:cs="Arial"/>
          <w:lang w:val="en-US"/>
        </w:rPr>
        <w:t>-anterior mobilization testing to assess symptom provocation, and functional tasks to evaluate knee-related symptoms.</w:t>
      </w:r>
      <w:r w:rsidR="0066206A">
        <w:rPr>
          <w:lang w:val="en-US"/>
        </w:rPr>
        <w:t xml:space="preserve"> </w:t>
      </w:r>
      <w:r w:rsidR="00D26124" w:rsidRPr="00FB1B55">
        <w:rPr>
          <w:rFonts w:ascii="Arial" w:hAnsi="Arial" w:cs="Arial"/>
          <w:lang w:val="en-US"/>
        </w:rPr>
        <w:t>Participants will then receive either LPM or sham manipulation according to their group allocation.</w:t>
      </w:r>
      <w:r w:rsidR="00D26AD3" w:rsidRPr="00FB1B55">
        <w:rPr>
          <w:rFonts w:ascii="Arial" w:hAnsi="Arial" w:cs="Arial"/>
          <w:lang w:val="en-US"/>
        </w:rPr>
        <w:t xml:space="preserve"> </w:t>
      </w:r>
      <w:r w:rsidR="00FB1B55" w:rsidRPr="0079620E">
        <w:rPr>
          <w:rFonts w:ascii="Arial" w:hAnsi="Arial" w:cs="Arial"/>
          <w:lang w:val="en-US"/>
        </w:rPr>
        <w:t>Although a lumbar spine assessment will be conducted at baseline, the findings from this examination will not be used to determine the intervention delivered to participants. These data will be collected solely for exploratory secondary analyses aimed at better understanding potential lumbar contributions to clinical outcomes.</w:t>
      </w:r>
      <w:r w:rsidR="0066206A">
        <w:rPr>
          <w:rFonts w:ascii="Arial" w:hAnsi="Arial" w:cs="Arial"/>
          <w:lang w:val="en-US"/>
        </w:rPr>
        <w:t xml:space="preserve"> </w:t>
      </w:r>
      <w:r w:rsidR="00697D40" w:rsidRPr="00697D40">
        <w:rPr>
          <w:rFonts w:ascii="Arial" w:hAnsi="Arial" w:cs="Arial"/>
          <w:lang w:val="en-US"/>
        </w:rPr>
        <w:t xml:space="preserve">Participants in both groups will receive </w:t>
      </w:r>
      <w:r w:rsidR="00697D40" w:rsidRPr="00697D40">
        <w:rPr>
          <w:rFonts w:ascii="Arial" w:hAnsi="Arial" w:cs="Arial"/>
          <w:i/>
          <w:iCs/>
          <w:lang w:val="en-US"/>
        </w:rPr>
        <w:t>Usual care</w:t>
      </w:r>
      <w:r w:rsidR="00697D40" w:rsidRPr="00697D40">
        <w:rPr>
          <w:rFonts w:ascii="Arial" w:hAnsi="Arial" w:cs="Arial"/>
          <w:lang w:val="en-US"/>
        </w:rPr>
        <w:t>, defined as an individualized exercise program prescribed according to knee assessment findings and current clinical guidelines</w:t>
      </w:r>
      <w:r w:rsidR="00697D40" w:rsidRPr="00697D40">
        <w:rPr>
          <w:lang w:val="en-US"/>
        </w:rPr>
        <w:t xml:space="preserve"> </w:t>
      </w:r>
      <w:r w:rsidR="00DF6A77">
        <w:rPr>
          <w:rFonts w:ascii="Arial" w:hAnsi="Arial" w:cs="Arial"/>
          <w:lang w:val="en-US"/>
        </w:rPr>
        <w:fldChar w:fldCharType="begin"/>
      </w:r>
      <w:r w:rsidR="00DF6A77">
        <w:rPr>
          <w:rFonts w:ascii="Arial" w:hAnsi="Arial" w:cs="Arial"/>
          <w:lang w:val="en-US"/>
        </w:rPr>
        <w:instrText xml:space="preserve"> ADDIN ZOTERO_ITEM CSL_CITATION {"citationID":"3cK1P0kq","properties":{"formattedCitation":"(4\\uc0\\u8211{}6)","plainCitation":"(4–6)","noteIndex":0},"citationItems":[{"id":20189,"uris":["http://zotero.org/users/5535897/items/9B48UC7M"],"itemData":{"id":20189,"type":"article-journal","abstract":"Patellofemoral pain (PFP) is a common musculoskeletal-related condition that is characterized by insidious onset of poorly defined pain, localized to the anterior retropatellar and/or peripatellar region of the knee. The onset of symptoms can be slow or acutely develop with a worsening of pain accompanying lower-limb loading activities (eg, squatting, prolonged sitting, ascending/descending stairs, jumping, or running). Symptoms can restrict participation in physical activity, sports, and work, as well as recur and persist for years. This clinical practice guideline will allow physical therapists and other rehabilitation specialists to stay up to date with evolving PFP knowledge and practices, and help them to make evidence-based treatment decisions. J Orthop Sports Phys Ther. 2019;49(9):CPG1–CPG95. doi:10.2519/jospt.2019.0302","container-title":"Journal of Orthopaedic &amp; Sports Physical Therapy","DOI":"10.2519/jospt.2019.0302","ISSN":"0190-6011, 1938-1344","issue":"9","journalAbbreviation":"Journal of Orthopaedic &amp; Sports Physical Therapy","language":"en","page":"CPG1-CPG95","source":"DOI.org (Crossref)","title":"Patellofemoral Pain: Clinical Practice Guidelines Linked to the International Classification of Functioning, Disability and Health From the Academy of Orthopaedic Physical Therapy of the American Physical Therapy Association","title-short":"Patellofemoral Pain","volume":"49","author":[{"family":"Willy","given":"Richard W."},{"family":"Hoglund","given":"Lisa T."},{"family":"Barton","given":"Christian J."},{"family":"Bolgla","given":"Lori A."},{"family":"Scalzitti","given":"David A."},{"family":"Logerstedt","given":"David S."},{"family":"Lynch","given":"Andrew D."},{"family":"Snyder-Mackler","given":"Lynn"},{"family":"McDonough","given":"Christine M."}],"issued":{"date-parts":[["2019",9]]}}},{"id":20193,"uris":["http://zotero.org/users/5535897/items/Z2JBZAPC"],"itemData":{"id":20193,"type":"article-journal","abstract":"Objectives We performed a systematic review and network meta-analysis (NMA) of randomised controlled trials (RCTs) to provide insights into the effectiveness of available treatment modalities in patellar tendinopathy(PT).\nMethods Several databases were searched in May 2021 for RCTs assessing the effectiveness of any intervention compared with any other intervention, placebo or no treatment for pain and/or function in PT. The risk of bias and strength of evidence were assessed with the Cochrane Collaboration and GRADE (Grading of Recommendations, Assessment, Development and Evaluations)/GRADE-NMA tools.\nResults A total of 37 RCTs were eligible that assessed 33 different interventions and their combinations, most represented by single studies. Based on pairwise metaanalyses of two RCTs, extracorporeal shockwave therapy (ESWT) does not appear to be superior to sham ESWT (eccentric exercise in both groups) for short-term pain (mean differences (MD) +0.1, 95% CI (−0.8 to 1), p=0.84) or function (MD −1.8, 95% CI (–8 to 4.4), p=0.57). Based on a pairwise meta-analysis of three RCTs, isometric exercise appears as effective as isotonic exercise for immediate postintervention pain relief (MD −1.03, 95% CI (−2.6 to 0.5), p=0.19). Our NMA showed that topical glyceryl trinitrate (GTN) and hyaluronic acid injection, both combined with eccentric exercise and moderate, slow resistance exercise had the highest probability of being the most effective interventions (low/very low strength of evidence).\nConclusions Promising interventions with inadequate evidence, such as topical GTN, hyaluronic acid injections and isometric and slow resistance exercise, should be further investigated through high-quality RCTs. Meanwhile, eccentric loading with or without adjuncts should remain the first-line treatment for all individuals with patellar tendinopathy.","container-title":"BMJ Open Sport &amp; Exercise Medicine","DOI":"10.1136/bmjsem-2021-001110","ISSN":"2055-7647","issue":"4","journalAbbreviation":"BMJ Open Sport Exerc Med","language":"en","page":"e001110","source":"DOI.org (Crossref)","title":"Management of patellar tendinopathy: a systematic review and network meta-analysis of randomised studies","title-short":"Management of patellar tendinopathy","volume":"7","author":[{"family":"Challoumas","given":"Dimitris"},{"family":"Pedret","given":"Carles"},{"family":"Biddle","given":"Mairiosa"},{"family":"Ng","given":"Nigel Yong Boon"},{"family":"Kirwan","given":"Paul"},{"family":"Cooper","given":"Blair"},{"family":"Nicholas","given":"Patrick"},{"family":"Wilson","given":"Scott"},{"family":"Clifford","given":"Chris"},{"family":"Millar","given":"Neal L"}],"issued":{"date-parts":[["2021",11]]}}},{"id":20321,"uris":["http://zotero.org/users/5535897/items/56HM8ESR"],"itemData":{"id":20321,"type":"article-journal","abstract":"Objective. The purpose of this study was to conduct a systematic review to evaluate clinical practice guidelines for the physical therapist management of patellofemoral pain.\nMethods. Five electronic databases (CINAHL, Embase, Medline, Psychinfo, Cochrane Library) were searched from January 2013 to October 2019. Additional search methods included searching websites that publish clinical practice guidelines containing recommendations for physical therapist management of patellofemoral pain. Characteristics of the guidelines were extracted, including recommendations for examination, interventions, and evaluation applicable to physical therapist practice. Quality assessment was conducted using the Appraisal of Guidelines for Research and Evaluation (AGREE) II instrument, applicability of recommendations to physical therapist practice was examined using the AGREE Recommendation Excellence instrument, and convergence of recommendations across guidelines was assessed.\nResults. Four clinical practice guidelines were included. One guideline evaluated as higher quality provided the most clinically applicable set of recommendations for examination, interventions, and evaluation processes to assess the effectiveness of interventions. Guideline-recommended interventions were consistent for exercise therapy, foot orthoses, patellar taping, patient education, and combined interventions and did not recommend the use of electrotherapeutic modalities. Two guidelines evaluated as higher quality did not recommend using manual therapy (in isolation), dry needling, and patellar bracing.\nConclusion. Recommendations from higher-quality clinical practice guidelines may conﬂict with routine physical therapist management of patellofemoral pain. This review provides guidance for clinicians to deliver high-value physical therapist management of patellofemoral pain.","container-title":"Physical Therapy","DOI":"10.1093/ptj/pzab021","ISSN":"0031-9023, 1538-6724","issue":"3","language":"en","license":"https://academic.oup.com/journals/pages/open_access/funder_policies/chorus/standard_publication_model","page":"pzab021","source":"DOI.org (Crossref)","title":"A Systematic Review of Clinical Practice Guidelines for Physical Therapist Management of Patellofemoral Pain","volume":"101","author":[{"family":"Wallis","given":"Jason A"},{"family":"Roddy","given":"Leanne"},{"family":"Bottrell","given":"Judy"},{"family":"Parslow","given":"Sue"},{"family":"Taylor","given":"Nicholas F"}],"issued":{"date-parts":[["2021",3,3]]}}}],"schema":"https://github.com/citation-style-language/schema/raw/master/csl-citation.json"} </w:instrText>
      </w:r>
      <w:r w:rsidR="00DF6A77">
        <w:rPr>
          <w:rFonts w:ascii="Arial" w:hAnsi="Arial" w:cs="Arial"/>
          <w:lang w:val="en-US"/>
        </w:rPr>
        <w:fldChar w:fldCharType="separate"/>
      </w:r>
      <w:r w:rsidR="00DF6A77" w:rsidRPr="0079620E">
        <w:rPr>
          <w:rFonts w:ascii="Arial" w:eastAsiaTheme="minorHAnsi" w:hAnsi="Arial" w:cs="Arial"/>
          <w:lang w:val="en-US" w:eastAsia="en-US"/>
        </w:rPr>
        <w:t>(4–6)</w:t>
      </w:r>
      <w:r w:rsidR="00DF6A77">
        <w:rPr>
          <w:rFonts w:ascii="Arial" w:hAnsi="Arial" w:cs="Arial"/>
          <w:lang w:val="en-US"/>
        </w:rPr>
        <w:fldChar w:fldCharType="end"/>
      </w:r>
      <w:r w:rsidR="00DF6A77">
        <w:rPr>
          <w:rFonts w:ascii="Arial" w:hAnsi="Arial" w:cs="Arial"/>
          <w:lang w:val="en-US"/>
        </w:rPr>
        <w:t xml:space="preserve">. </w:t>
      </w:r>
      <w:r w:rsidRPr="004C26FC">
        <w:rPr>
          <w:rFonts w:ascii="Arial" w:hAnsi="Arial" w:cs="Arial"/>
          <w:lang w:val="en-US"/>
        </w:rPr>
        <w:t xml:space="preserve">For participants with </w:t>
      </w:r>
      <w:r w:rsidR="00134D39">
        <w:rPr>
          <w:rFonts w:ascii="Arial" w:hAnsi="Arial" w:cs="Arial"/>
          <w:lang w:val="en-US"/>
        </w:rPr>
        <w:t>PFP</w:t>
      </w:r>
      <w:r w:rsidRPr="004C26FC">
        <w:rPr>
          <w:rFonts w:ascii="Arial" w:hAnsi="Arial" w:cs="Arial"/>
          <w:lang w:val="en-US"/>
        </w:rPr>
        <w:t>, the program will emphasize strengthening exercises for the quadriceps and hip abductors, along with education and activity-related advice</w:t>
      </w:r>
      <w:r w:rsidR="00DF6A77">
        <w:rPr>
          <w:rFonts w:ascii="Arial" w:hAnsi="Arial" w:cs="Arial"/>
          <w:lang w:val="en-US"/>
        </w:rPr>
        <w:t xml:space="preserve"> </w:t>
      </w:r>
      <w:r w:rsidR="00DF6A77">
        <w:rPr>
          <w:rFonts w:ascii="Arial" w:hAnsi="Arial" w:cs="Arial"/>
          <w:lang w:val="en-US"/>
        </w:rPr>
        <w:fldChar w:fldCharType="begin"/>
      </w:r>
      <w:r w:rsidR="00DF6A77">
        <w:rPr>
          <w:rFonts w:ascii="Arial" w:hAnsi="Arial" w:cs="Arial"/>
          <w:lang w:val="en-US"/>
        </w:rPr>
        <w:instrText xml:space="preserve"> ADDIN ZOTERO_ITEM CSL_CITATION {"citationID":"FHT89GTy","properties":{"formattedCitation":"(4,6)","plainCitation":"(4,6)","noteIndex":0},"citationItems":[{"id":20189,"uris":["http://zotero.org/users/5535897/items/9B48UC7M"],"itemData":{"id":20189,"type":"article-journal","abstract":"Patellofemoral pain (PFP) is a common musculoskeletal-related condition that is characterized by insidious onset of poorly defined pain, localized to the anterior retropatellar and/or peripatellar region of the knee. The onset of symptoms can be slow or acutely develop with a worsening of pain accompanying lower-limb loading activities (eg, squatting, prolonged sitting, ascending/descending stairs, jumping, or running). Symptoms can restrict participation in physical activity, sports, and work, as well as recur and persist for years. This clinical practice guideline will allow physical therapists and other rehabilitation specialists to stay up to date with evolving PFP knowledge and practices, and help them to make evidence-based treatment decisions. J Orthop Sports Phys Ther. 2019;49(9):CPG1–CPG95. doi:10.2519/jospt.2019.0302","container-title":"Journal of Orthopaedic &amp; Sports Physical Therapy","DOI":"10.2519/jospt.2019.0302","ISSN":"0190-6011, 1938-1344","issue":"9","journalAbbreviation":"Journal of Orthopaedic &amp; Sports Physical Therapy","language":"en","page":"CPG1-CPG95","source":"DOI.org (Crossref)","title":"Patellofemoral Pain: Clinical Practice Guidelines Linked to the International Classification of Functioning, Disability and Health From the Academy of Orthopaedic Physical Therapy of the American Physical Therapy Association","title-short":"Patellofemoral Pain","volume":"49","author":[{"family":"Willy","given":"Richard W."},{"family":"Hoglund","given":"Lisa T."},{"family":"Barton","given":"Christian J."},{"family":"Bolgla","given":"Lori A."},{"family":"Scalzitti","given":"David A."},{"family":"Logerstedt","given":"David S."},{"family":"Lynch","given":"Andrew D."},{"family":"Snyder-Mackler","given":"Lynn"},{"family":"McDonough","given":"Christine M."}],"issued":{"date-parts":[["2019",9]]}}},{"id":20321,"uris":["http://zotero.org/users/5535897/items/56HM8ESR"],"itemData":{"id":20321,"type":"article-journal","abstract":"Objective. The purpose of this study was to conduct a systematic review to evaluate clinical practice guidelines for the physical therapist management of patellofemoral pain.\nMethods. Five electronic databases (CINAHL, Embase, Medline, Psychinfo, Cochrane Library) were searched from January 2013 to October 2019. Additional search methods included searching websites that publish clinical practice guidelines containing recommendations for physical therapist management of patellofemoral pain. Characteristics of the guidelines were extracted, including recommendations for examination, interventions, and evaluation applicable to physical therapist practice. Quality assessment was conducted using the Appraisal of Guidelines for Research and Evaluation (AGREE) II instrument, applicability of recommendations to physical therapist practice was examined using the AGREE Recommendation Excellence instrument, and convergence of recommendations across guidelines was assessed.\nResults. Four clinical practice guidelines were included. One guideline evaluated as higher quality provided the most clinically applicable set of recommendations for examination, interventions, and evaluation processes to assess the effectiveness of interventions. Guideline-recommended interventions were consistent for exercise therapy, foot orthoses, patellar taping, patient education, and combined interventions and did not recommend the use of electrotherapeutic modalities. Two guidelines evaluated as higher quality did not recommend using manual therapy (in isolation), dry needling, and patellar bracing.\nConclusion. Recommendations from higher-quality clinical practice guidelines may conﬂict with routine physical therapist management of patellofemoral pain. This review provides guidance for clinicians to deliver high-value physical therapist management of patellofemoral pain.","container-title":"Physical Therapy","DOI":"10.1093/ptj/pzab021","ISSN":"0031-9023, 1538-6724","issue":"3","language":"en","license":"https://academic.oup.com/journals/pages/open_access/funder_policies/chorus/standard_publication_model","page":"pzab021","source":"DOI.org (Crossref)","title":"A Systematic Review of Clinical Practice Guidelines for Physical Therapist Management of Patellofemoral Pain","volume":"101","author":[{"family":"Wallis","given":"Jason A"},{"family":"Roddy","given":"Leanne"},{"family":"Bottrell","given":"Judy"},{"family":"Parslow","given":"Sue"},{"family":"Taylor","given":"Nicholas F"}],"issued":{"date-parts":[["2021",3,3]]}}}],"schema":"https://github.com/citation-style-language/schema/raw/master/csl-citation.json"} </w:instrText>
      </w:r>
      <w:r w:rsidR="00DF6A77">
        <w:rPr>
          <w:rFonts w:ascii="Arial" w:hAnsi="Arial" w:cs="Arial"/>
          <w:lang w:val="en-US"/>
        </w:rPr>
        <w:fldChar w:fldCharType="separate"/>
      </w:r>
      <w:r w:rsidR="00DF6A77">
        <w:rPr>
          <w:rFonts w:ascii="Arial" w:hAnsi="Arial" w:cs="Arial"/>
          <w:noProof/>
          <w:lang w:val="en-US"/>
        </w:rPr>
        <w:t>(4,6)</w:t>
      </w:r>
      <w:r w:rsidR="00DF6A77">
        <w:rPr>
          <w:rFonts w:ascii="Arial" w:hAnsi="Arial" w:cs="Arial"/>
          <w:lang w:val="en-US"/>
        </w:rPr>
        <w:fldChar w:fldCharType="end"/>
      </w:r>
      <w:r w:rsidRPr="004C26FC">
        <w:rPr>
          <w:rFonts w:ascii="Arial" w:hAnsi="Arial" w:cs="Arial"/>
          <w:lang w:val="en-US"/>
        </w:rPr>
        <w:t xml:space="preserve">. For those with </w:t>
      </w:r>
      <w:r w:rsidR="00134D39">
        <w:rPr>
          <w:rFonts w:ascii="Arial" w:hAnsi="Arial" w:cs="Arial"/>
          <w:lang w:val="en-US"/>
        </w:rPr>
        <w:t>PT</w:t>
      </w:r>
      <w:r w:rsidR="005806E8">
        <w:rPr>
          <w:rFonts w:ascii="Arial" w:hAnsi="Arial" w:cs="Arial"/>
          <w:lang w:val="en-US"/>
        </w:rPr>
        <w:t xml:space="preserve"> or QT</w:t>
      </w:r>
      <w:r w:rsidRPr="004C26FC">
        <w:rPr>
          <w:rFonts w:ascii="Arial" w:hAnsi="Arial" w:cs="Arial"/>
          <w:lang w:val="en-US"/>
        </w:rPr>
        <w:t>, the intervention will focus on tendon-loading strategies, including isometric, heavy slow resistance, or eccentric exercises</w:t>
      </w:r>
      <w:r w:rsidR="0095563E">
        <w:rPr>
          <w:rFonts w:ascii="Arial" w:hAnsi="Arial" w:cs="Arial"/>
          <w:lang w:val="en-US"/>
        </w:rPr>
        <w:t>, along with education</w:t>
      </w:r>
      <w:r w:rsidR="00DF6A77">
        <w:rPr>
          <w:rFonts w:ascii="Arial" w:hAnsi="Arial" w:cs="Arial"/>
          <w:lang w:val="en-US"/>
        </w:rPr>
        <w:t xml:space="preserve"> </w:t>
      </w:r>
      <w:r w:rsidR="00DF6A77">
        <w:rPr>
          <w:rFonts w:ascii="Arial" w:hAnsi="Arial" w:cs="Arial"/>
          <w:lang w:val="en-US"/>
        </w:rPr>
        <w:fldChar w:fldCharType="begin"/>
      </w:r>
      <w:r w:rsidR="00DF6A77">
        <w:rPr>
          <w:rFonts w:ascii="Arial" w:hAnsi="Arial" w:cs="Arial"/>
          <w:lang w:val="en-US"/>
        </w:rPr>
        <w:instrText xml:space="preserve"> ADDIN ZOTERO_ITEM CSL_CITATION {"citationID":"gxvJMLPV","properties":{"formattedCitation":"(5)","plainCitation":"(5)","noteIndex":0},"citationItems":[{"id":20193,"uris":["http://zotero.org/users/5535897/items/Z2JBZAPC"],"itemData":{"id":20193,"type":"article-journal","abstract":"Objectives We performed a systematic review and network meta-analysis (NMA) of randomised controlled trials (RCTs) to provide insights into the effectiveness of available treatment modalities in patellar tendinopathy(PT).\nMethods Several databases were searched in May 2021 for RCTs assessing the effectiveness of any intervention compared with any other intervention, placebo or no treatment for pain and/or function in PT. The risk of bias and strength of evidence were assessed with the Cochrane Collaboration and GRADE (Grading of Recommendations, Assessment, Development and Evaluations)/GRADE-NMA tools.\nResults A total of 37 RCTs were eligible that assessed 33 different interventions and their combinations, most represented by single studies. Based on pairwise metaanalyses of two RCTs, extracorporeal shockwave therapy (ESWT) does not appear to be superior to sham ESWT (eccentric exercise in both groups) for short-term pain (mean differences (MD) +0.1, 95% CI (−0.8 to 1), p=0.84) or function (MD −1.8, 95% CI (–8 to 4.4), p=0.57). Based on a pairwise meta-analysis of three RCTs, isometric exercise appears as effective as isotonic exercise for immediate postintervention pain relief (MD −1.03, 95% CI (−2.6 to 0.5), p=0.19). Our NMA showed that topical glyceryl trinitrate (GTN) and hyaluronic acid injection, both combined with eccentric exercise and moderate, slow resistance exercise had the highest probability of being the most effective interventions (low/very low strength of evidence).\nConclusions Promising interventions with inadequate evidence, such as topical GTN, hyaluronic acid injections and isometric and slow resistance exercise, should be further investigated through high-quality RCTs. Meanwhile, eccentric loading with or without adjuncts should remain the first-line treatment for all individuals with patellar tendinopathy.","container-title":"BMJ Open Sport &amp; Exercise Medicine","DOI":"10.1136/bmjsem-2021-001110","ISSN":"2055-7647","issue":"4","journalAbbreviation":"BMJ Open Sport Exerc Med","language":"en","page":"e001110","source":"DOI.org (Crossref)","title":"Management of patellar tendinopathy: a systematic review and network meta-analysis of randomised studies","title-short":"Management of patellar tendinopathy","volume":"7","author":[{"family":"Challoumas","given":"Dimitris"},{"family":"Pedret","given":"Carles"},{"family":"Biddle","given":"Mairiosa"},{"family":"Ng","given":"Nigel Yong Boon"},{"family":"Kirwan","given":"Paul"},{"family":"Cooper","given":"Blair"},{"family":"Nicholas","given":"Patrick"},{"family":"Wilson","given":"Scott"},{"family":"Clifford","given":"Chris"},{"family":"Millar","given":"Neal L"}],"issued":{"date-parts":[["2021",11]]}}}],"schema":"https://github.com/citation-style-language/schema/raw/master/csl-citation.json"} </w:instrText>
      </w:r>
      <w:r w:rsidR="00DF6A77">
        <w:rPr>
          <w:rFonts w:ascii="Arial" w:hAnsi="Arial" w:cs="Arial"/>
          <w:lang w:val="en-US"/>
        </w:rPr>
        <w:fldChar w:fldCharType="separate"/>
      </w:r>
      <w:r w:rsidR="00DF6A77">
        <w:rPr>
          <w:rFonts w:ascii="Arial" w:hAnsi="Arial" w:cs="Arial"/>
          <w:noProof/>
          <w:lang w:val="en-US"/>
        </w:rPr>
        <w:t>(5)</w:t>
      </w:r>
      <w:r w:rsidR="00DF6A77">
        <w:rPr>
          <w:rFonts w:ascii="Arial" w:hAnsi="Arial" w:cs="Arial"/>
          <w:lang w:val="en-US"/>
        </w:rPr>
        <w:fldChar w:fldCharType="end"/>
      </w:r>
      <w:r w:rsidRPr="004C26FC">
        <w:rPr>
          <w:rFonts w:ascii="Arial" w:hAnsi="Arial" w:cs="Arial"/>
          <w:lang w:val="en-US"/>
        </w:rPr>
        <w:t xml:space="preserve">. Participants will be encouraged to perform their prescribed exercises at home </w:t>
      </w:r>
      <w:r w:rsidR="0095563E">
        <w:rPr>
          <w:rFonts w:ascii="Arial" w:hAnsi="Arial" w:cs="Arial"/>
          <w:lang w:val="en-US"/>
        </w:rPr>
        <w:t xml:space="preserve">on a daily basis </w:t>
      </w:r>
      <w:r w:rsidRPr="004C26FC">
        <w:rPr>
          <w:rFonts w:ascii="Arial" w:hAnsi="Arial" w:cs="Arial"/>
          <w:lang w:val="en-US"/>
        </w:rPr>
        <w:t>between sessions and to record exercis</w:t>
      </w:r>
      <w:r w:rsidR="00DF6180">
        <w:rPr>
          <w:rFonts w:ascii="Arial" w:hAnsi="Arial" w:cs="Arial"/>
          <w:lang w:val="en-US"/>
        </w:rPr>
        <w:t xml:space="preserve">e frequency, dosage, and any </w:t>
      </w:r>
      <w:r w:rsidR="002C48D3">
        <w:rPr>
          <w:rFonts w:ascii="Arial" w:hAnsi="Arial" w:cs="Arial"/>
          <w:lang w:val="en-US"/>
        </w:rPr>
        <w:t xml:space="preserve">adverse events related to the </w:t>
      </w:r>
      <w:r w:rsidR="00DF6180">
        <w:rPr>
          <w:rFonts w:ascii="Arial" w:hAnsi="Arial" w:cs="Arial"/>
          <w:lang w:val="en-US"/>
        </w:rPr>
        <w:t>exercise</w:t>
      </w:r>
      <w:r w:rsidR="002C48D3">
        <w:rPr>
          <w:rFonts w:ascii="Arial" w:hAnsi="Arial" w:cs="Arial"/>
          <w:lang w:val="en-US"/>
        </w:rPr>
        <w:t>s</w:t>
      </w:r>
      <w:r w:rsidR="00403682">
        <w:rPr>
          <w:rFonts w:ascii="Arial" w:hAnsi="Arial" w:cs="Arial"/>
          <w:lang w:val="en-US"/>
        </w:rPr>
        <w:t xml:space="preserve"> or LPM</w:t>
      </w:r>
      <w:r w:rsidR="00DF6180">
        <w:rPr>
          <w:rFonts w:ascii="Arial" w:hAnsi="Arial" w:cs="Arial"/>
          <w:lang w:val="en-US"/>
        </w:rPr>
        <w:t xml:space="preserve"> in a diary log</w:t>
      </w:r>
      <w:r w:rsidR="00DF6180" w:rsidRPr="00D67AE6">
        <w:rPr>
          <w:rFonts w:ascii="Arial" w:hAnsi="Arial" w:cs="Arial"/>
          <w:lang w:val="en-US"/>
        </w:rPr>
        <w:t>.</w:t>
      </w:r>
      <w:r w:rsidR="00D250BE" w:rsidRPr="00D67AE6">
        <w:rPr>
          <w:rFonts w:ascii="Arial" w:hAnsi="Arial" w:cs="Arial"/>
          <w:lang w:val="en-US"/>
        </w:rPr>
        <w:t xml:space="preserve"> </w:t>
      </w:r>
      <w:r w:rsidR="007D20DD" w:rsidRPr="007D20DD">
        <w:rPr>
          <w:rFonts w:ascii="Arial" w:hAnsi="Arial" w:cs="Arial"/>
          <w:lang w:val="en-US"/>
        </w:rPr>
        <w:t>To enhance participant retention, session appointments will be scheduled according to participants’ availability. In addition, a follow-up appointment reminder will be sent between the end of the 4-week intervention period and the 10-week follow-up, using the participant’s preferred method of contact.</w:t>
      </w:r>
      <w:r w:rsidR="007D20DD">
        <w:rPr>
          <w:lang w:val="en-US"/>
        </w:rPr>
        <w:t xml:space="preserve"> </w:t>
      </w:r>
      <w:r w:rsidR="00D67AE6" w:rsidRPr="00107D60">
        <w:rPr>
          <w:rFonts w:ascii="Arial" w:hAnsi="Arial" w:cs="Arial"/>
          <w:lang w:val="en-US"/>
        </w:rPr>
        <w:t>Between the end of the treatment period and the follow-up assessment, participants will be encouraged to continue performing their prescribed exercises and to report any adverse events, as well as any use of additional rehabilitation care or manipulative interventions</w:t>
      </w:r>
      <w:r w:rsidR="00113B02">
        <w:rPr>
          <w:rFonts w:ascii="Arial" w:hAnsi="Arial" w:cs="Arial"/>
          <w:lang w:val="en-US"/>
        </w:rPr>
        <w:t>.</w:t>
      </w:r>
    </w:p>
    <w:p w14:paraId="4B96F550" w14:textId="757EFDCD" w:rsidR="008237E4" w:rsidRDefault="008237E4" w:rsidP="0037195D">
      <w:pPr>
        <w:spacing w:line="480" w:lineRule="auto"/>
        <w:jc w:val="both"/>
        <w:rPr>
          <w:rFonts w:ascii="Arial" w:hAnsi="Arial" w:cs="Arial"/>
          <w:i/>
          <w:iCs/>
          <w:lang w:val="en-US"/>
        </w:rPr>
      </w:pPr>
      <w:r>
        <w:rPr>
          <w:rFonts w:ascii="Arial" w:hAnsi="Arial" w:cs="Arial"/>
          <w:i/>
          <w:iCs/>
          <w:lang w:val="en-US"/>
        </w:rPr>
        <w:t xml:space="preserve">Practitioners </w:t>
      </w:r>
    </w:p>
    <w:p w14:paraId="46933096" w14:textId="57026580" w:rsidR="008237E4" w:rsidRDefault="00CF74D2" w:rsidP="0037195D">
      <w:pPr>
        <w:spacing w:line="480" w:lineRule="auto"/>
        <w:jc w:val="both"/>
        <w:rPr>
          <w:rFonts w:ascii="Arial" w:hAnsi="Arial" w:cs="Arial"/>
          <w:lang w:val="en-US"/>
        </w:rPr>
      </w:pPr>
      <w:r w:rsidRPr="00107D60">
        <w:rPr>
          <w:rFonts w:ascii="Arial" w:hAnsi="Arial" w:cs="Arial"/>
          <w:lang w:val="en-US"/>
        </w:rPr>
        <w:lastRenderedPageBreak/>
        <w:t>The LPM intervention</w:t>
      </w:r>
      <w:r w:rsidR="00E73956">
        <w:rPr>
          <w:rFonts w:ascii="Arial" w:hAnsi="Arial" w:cs="Arial"/>
          <w:lang w:val="en-US"/>
        </w:rPr>
        <w:t>s</w:t>
      </w:r>
      <w:r w:rsidRPr="00107D60">
        <w:rPr>
          <w:rFonts w:ascii="Arial" w:hAnsi="Arial" w:cs="Arial"/>
          <w:lang w:val="en-US"/>
        </w:rPr>
        <w:t xml:space="preserve"> will be delivered by two physiotherapists: one with 1</w:t>
      </w:r>
      <w:r w:rsidR="001C7722">
        <w:rPr>
          <w:rFonts w:ascii="Arial" w:hAnsi="Arial" w:cs="Arial"/>
          <w:lang w:val="en-US"/>
        </w:rPr>
        <w:t>3</w:t>
      </w:r>
      <w:r w:rsidRPr="00107D60">
        <w:rPr>
          <w:rFonts w:ascii="Arial" w:hAnsi="Arial" w:cs="Arial"/>
          <w:lang w:val="en-US"/>
        </w:rPr>
        <w:t xml:space="preserve"> years of clinical experience, including </w:t>
      </w:r>
      <w:r w:rsidR="001C7722">
        <w:rPr>
          <w:rFonts w:ascii="Arial" w:hAnsi="Arial" w:cs="Arial"/>
          <w:lang w:val="en-US"/>
        </w:rPr>
        <w:t>11</w:t>
      </w:r>
      <w:r w:rsidRPr="00107D60">
        <w:rPr>
          <w:rFonts w:ascii="Arial" w:hAnsi="Arial" w:cs="Arial"/>
          <w:lang w:val="en-US"/>
        </w:rPr>
        <w:t xml:space="preserve"> years specializing in manual therapy, and another with 4 years of clinical experience</w:t>
      </w:r>
      <w:r w:rsidR="001C7722">
        <w:rPr>
          <w:rFonts w:ascii="Arial" w:hAnsi="Arial" w:cs="Arial"/>
          <w:lang w:val="en-US"/>
        </w:rPr>
        <w:t xml:space="preserve"> and specialization</w:t>
      </w:r>
      <w:r w:rsidRPr="00107D60">
        <w:rPr>
          <w:rFonts w:ascii="Arial" w:hAnsi="Arial" w:cs="Arial"/>
          <w:lang w:val="en-US"/>
        </w:rPr>
        <w:t xml:space="preserve"> in manual therapy. Both LPM providers will remain blinded to the participants’ exercise programs and identification numbers. Clinical assessments and exercise program delivery will be conducted by two final-year physiotherapy students</w:t>
      </w:r>
      <w:r w:rsidR="00B610D3">
        <w:rPr>
          <w:rFonts w:ascii="Arial" w:hAnsi="Arial" w:cs="Arial"/>
          <w:lang w:val="en-US"/>
        </w:rPr>
        <w:t xml:space="preserve"> </w:t>
      </w:r>
      <w:r w:rsidRPr="00107D60">
        <w:rPr>
          <w:rFonts w:ascii="Arial" w:hAnsi="Arial" w:cs="Arial"/>
          <w:lang w:val="en-US"/>
        </w:rPr>
        <w:t>under the supervision of the principal investigator, who has 20 years of clinical experience, including 13 years in manual therapy (</w:t>
      </w:r>
      <w:r w:rsidR="00695667">
        <w:rPr>
          <w:rFonts w:ascii="Arial" w:hAnsi="Arial" w:cs="Arial"/>
          <w:lang w:val="en-US"/>
        </w:rPr>
        <w:t>WS</w:t>
      </w:r>
      <w:r w:rsidRPr="00107D60">
        <w:rPr>
          <w:rFonts w:ascii="Arial" w:hAnsi="Arial" w:cs="Arial"/>
          <w:lang w:val="en-US"/>
        </w:rPr>
        <w:t xml:space="preserve">). </w:t>
      </w:r>
      <w:r w:rsidR="00B610D3">
        <w:rPr>
          <w:rFonts w:ascii="Arial" w:hAnsi="Arial" w:cs="Arial"/>
          <w:lang w:val="en-US"/>
        </w:rPr>
        <w:t>They</w:t>
      </w:r>
      <w:r w:rsidRPr="00107D60">
        <w:rPr>
          <w:rFonts w:ascii="Arial" w:hAnsi="Arial" w:cs="Arial"/>
          <w:lang w:val="en-US"/>
        </w:rPr>
        <w:t xml:space="preserve"> will remain blinded to group allocation</w:t>
      </w:r>
      <w:r w:rsidR="00B50774" w:rsidRPr="00B50774">
        <w:rPr>
          <w:rFonts w:ascii="Arial" w:hAnsi="Arial" w:cs="Arial"/>
          <w:lang w:val="en-US"/>
        </w:rPr>
        <w:t xml:space="preserve">, </w:t>
      </w:r>
      <w:r w:rsidR="00B50774" w:rsidRPr="00107D60">
        <w:rPr>
          <w:rFonts w:ascii="Arial" w:hAnsi="Arial" w:cs="Arial"/>
          <w:lang w:val="en-US"/>
        </w:rPr>
        <w:t>and participants will be instructed not to disclose details of the intervention received to preserve blinding.</w:t>
      </w:r>
    </w:p>
    <w:p w14:paraId="2BE1C698" w14:textId="77777777" w:rsidR="008237E4" w:rsidRPr="004358E9" w:rsidRDefault="008237E4" w:rsidP="0037195D">
      <w:pPr>
        <w:spacing w:line="480" w:lineRule="auto"/>
        <w:jc w:val="both"/>
        <w:rPr>
          <w:rFonts w:ascii="Arial" w:hAnsi="Arial" w:cs="Arial"/>
          <w:i/>
          <w:iCs/>
          <w:lang w:val="en-US"/>
        </w:rPr>
      </w:pPr>
      <w:r>
        <w:rPr>
          <w:rFonts w:ascii="Arial" w:hAnsi="Arial" w:cs="Arial"/>
          <w:i/>
          <w:iCs/>
          <w:lang w:val="en-US"/>
        </w:rPr>
        <w:t>LPM</w:t>
      </w:r>
      <w:r w:rsidRPr="004358E9">
        <w:rPr>
          <w:rFonts w:ascii="Arial" w:hAnsi="Arial" w:cs="Arial"/>
          <w:i/>
          <w:iCs/>
          <w:lang w:val="en-US"/>
        </w:rPr>
        <w:t xml:space="preserve"> Intervention</w:t>
      </w:r>
    </w:p>
    <w:p w14:paraId="477AC9A5" w14:textId="42057862" w:rsidR="0006221A" w:rsidRPr="0006221A" w:rsidRDefault="008237E4" w:rsidP="0037195D">
      <w:pPr>
        <w:spacing w:line="480" w:lineRule="auto"/>
        <w:jc w:val="both"/>
        <w:rPr>
          <w:lang w:val="en-US"/>
        </w:rPr>
      </w:pPr>
      <w:r w:rsidRPr="008C12D7">
        <w:rPr>
          <w:rFonts w:ascii="Arial" w:hAnsi="Arial" w:cs="Arial"/>
          <w:lang w:val="en-US"/>
        </w:rPr>
        <w:t xml:space="preserve">The </w:t>
      </w:r>
      <w:r>
        <w:rPr>
          <w:rFonts w:ascii="Arial" w:hAnsi="Arial" w:cs="Arial"/>
          <w:lang w:val="en-US"/>
        </w:rPr>
        <w:t>LPM</w:t>
      </w:r>
      <w:r w:rsidRPr="008C12D7">
        <w:rPr>
          <w:rFonts w:ascii="Arial" w:hAnsi="Arial" w:cs="Arial"/>
          <w:lang w:val="en-US"/>
        </w:rPr>
        <w:t xml:space="preserve"> technique was used in previous RCT</w:t>
      </w:r>
      <w:r>
        <w:rPr>
          <w:rFonts w:ascii="Arial" w:hAnsi="Arial" w:cs="Arial"/>
          <w:lang w:val="en-US"/>
        </w:rPr>
        <w:t>s</w:t>
      </w:r>
      <w:r w:rsidRPr="008C12D7">
        <w:rPr>
          <w:rFonts w:ascii="Arial" w:hAnsi="Arial" w:cs="Arial"/>
          <w:lang w:val="en-US"/>
        </w:rPr>
        <w:t xml:space="preserve"> investigating </w:t>
      </w:r>
      <w:r>
        <w:rPr>
          <w:rFonts w:ascii="Arial" w:hAnsi="Arial" w:cs="Arial"/>
          <w:lang w:val="en-US"/>
        </w:rPr>
        <w:t>its</w:t>
      </w:r>
      <w:r w:rsidRPr="008C12D7">
        <w:rPr>
          <w:rFonts w:ascii="Arial" w:hAnsi="Arial" w:cs="Arial"/>
          <w:lang w:val="en-US"/>
        </w:rPr>
        <w:t xml:space="preserve"> effect on </w:t>
      </w:r>
      <w:r>
        <w:rPr>
          <w:rFonts w:ascii="Arial" w:hAnsi="Arial" w:cs="Arial"/>
          <w:lang w:val="en-US"/>
        </w:rPr>
        <w:t>PFP</w:t>
      </w:r>
      <w:r w:rsidRPr="008C12D7">
        <w:rPr>
          <w:rFonts w:ascii="Arial" w:hAnsi="Arial" w:cs="Arial"/>
          <w:lang w:val="en-US"/>
        </w:rPr>
        <w:t xml:space="preserve"> </w:t>
      </w:r>
      <w:r>
        <w:rPr>
          <w:rFonts w:ascii="Arial" w:hAnsi="Arial" w:cs="Arial"/>
          <w:lang w:val="en-US"/>
        </w:rPr>
        <w:fldChar w:fldCharType="begin"/>
      </w:r>
      <w:r w:rsidR="009E1EF6">
        <w:rPr>
          <w:rFonts w:ascii="Arial" w:hAnsi="Arial" w:cs="Arial"/>
          <w:lang w:val="en-US"/>
        </w:rPr>
        <w:instrText xml:space="preserve"> ADDIN ZOTERO_ITEM CSL_CITATION {"citationID":"KkXlM10J","properties":{"formattedCitation":"(11,23\\uc0\\u8211{}27)","plainCitation":"(11,23–27)","noteIndex":0},"citationItems":[{"id":6557,"uris":["http://zotero.org/users/5535897/items/NU7CS7CC"],"itemData":{"id":6557,"type":"article-journal","abstract":"Lumbopelvic joint manipulation has been shown to increase quadriceps force output and activation, but the duration of effect is unknown. It is also unknown whether lower grade joint mobilisations may have a similar effect. Forty-two healthy volunteers (x+/-SD; age=28.3+/-7.3 yr; ht=172.8+/-9.8 cm; mass=76.6+/-21.7 kg) were randomly assigned to one of three groups (lumbopelvic joint manipulation, 1 min lumbar passive range of motion (PROM), or prone extension on elbows for 3 min). Quadriceps force and activation were measured using the burst-superimposition technique during a seated isometric knee extension task before and at 0, 20, 40, and 60 min following intervention. Collectively, all groups demonstrated a significant decrease (p&lt;0.001) in quadriceps force output without changes in activation (p&gt;0.05) at all time intervals following intervention. The group that received a lumbopelvic joint manipulation demonstrated a significant increase in quadriceps force (3%) and activation (5%) (p&lt;0.05) immediately following intervention, but this effect was not present after the 20 min interval. Since participants in this study were free of knee joint pathology, it is possible that they did not have the capacity to allow for large changes in quadriceps muscle activation to occur.","container-title":"Manual Therapy","DOI":"10.1016/j.math.2008.06.005","ISSN":"1532-2769","issue":"4","journalAbbreviation":"Man Ther","language":"eng","page":"415-420","PMID":"18805726","source":"PubMed","title":"Effects of lumbopelvic joint manipulation on quadriceps activation and strength in healthy individuals","volume":"14","author":[{"family":"Grindstaff","given":"Terry L."},{"family":"Hertel","given":"Jay"},{"family":"Beazell","given":"James R."},{"family":"Magrum","given":"Eric M."},{"family":"Ingersoll","given":"Christopher D."}],"issued":{"date-parts":[["2009",8]]}}},{"id":6522,"uris":["http://zotero.org/users/5535897/items/39HBHKWW"],"itemData":{"id":6522,"type":"article-journal","abstract":"CONTEXT: Quadriceps weakness and inhibition are impairments associated with patellofemoral pain syndrome (PFPS). Lumbopelvic joint manipulation has been shown to improve quadriceps force output and inhibition, but the duration of the effect is unknown.\nOBJECTIVE: To determine whether quadriceps strength and activation are increased and maintained for 1 hour after high-grade or low-grade joint mobilization or manipulation applied at the lumbopelvic region in people with PFPS.\nDESIGN: Randomized controlled clinical trial.\nSETTING: University laboratory.\nPATIENTS OR OTHER PARTICIPANTS: Forty-eight people with PFPS (age = 24.6 ± 8.9 years, height = 174.3 ± 11.2 cm, mass = 78.4 ± 16.8 kg) participated.\nINTERVENTION(S): Participants were randomized to 1 of 3 groups: lumbopelvic joint manipulation (grade V), side-lying lumbar midrange flexion and extension passive range of motion (grade II) for 1 minute, or prone extension on the elbows for 3 minutes.\nMAIN OUTCOME MEASURE(S): Quadriceps force and activation were measured using the burst superimposition technique during a seated isometric knee extension task. A 2-way repeated-measures analysis of variance was performed to compare changes in quadriceps force and activation among groups over time (before intervention and at 0, 20, 40, and 60 minutes after intervention).\nRESULTS: We found no differences in quadriceps force output (F(5.33,101.18) = 0.65, P = .67) or central activation ratio (F(4.84,92.03) = 0.38, P = .86) values among groups after intervention. When groups were pooled, we found differences across time for quadriceps force (F(2.66,101.18) = 5.03, P = .004) and activation (F(2.42,92.03) = 3.85, P = .02). Quadriceps force was not different at 0 minutes after intervention (t(40) = 1.68, P = .10), but it decreased at 20 (t(40) = 2.16, P = .04), 40 (t(40) = 2.87, P = .01) and 60 (t(40) = 3.04, P = .004) minutes after intervention. All groups demonstrated decreased quadriceps activation at 0 minutes after intervention (t(40) = 4.17, P &lt; .001), but subsequent measures were not different from preintervention levels (t(40) range, 1.53-1.83, P &gt; .09).\nCONCLUSIONS: Interventions directed at the lumbopelvic region did not have immediate effects on quadriceps force output or activation. Muscle fatigue might have contributed to decreased force output and activation over 1 hour of testing.","container-title":"Journal of Athletic Training","DOI":"10.4085/1062-6050-47.1.24","ISSN":"1938-162X","issue":"1","journalAbbreviation":"J Athl Train","language":"eng","page":"24-31","PMID":"22488227","PMCID":"PMC3418111","source":"PubMed","title":"Lumbopelvic joint manipulation and quadriceps activation of people with patellofemoral pain syndrome","volume":"47","author":[{"family":"Grindstaff","given":"Terry L."},{"family":"Hertel","given":"Jay"},{"family":"Beazell","given":"James R."},{"family":"Magrum","given":"Eric M."},{"family":"Kerrigan","given":"D. Casey"},{"family":"Fan","given":"Xitao"},{"family":"Ingersoll","given":"Christopher D."}],"issued":{"date-parts":[["2012"]]}}},{"id":6658,"uris":["http://zotero.org/users/5535897/items/PEBRQU8W"],"itemData":{"id":6658,"type":"article-journal","abstract":"OBJECTIVES: To determine the immediate effects of Kinesio taping directed to the hip and manipulation directed to the lumbopelvic region in individuals with unilateral patellofemoral pain syndrome (PFPS).\nBACKGROUND: PFPS affects up to 25% of the general population. Despite the high prevalence, this condition is not clearly understood, as evidenced by the numerous proposed causes and recommended treatments. Notwithstanding, recent evidence suggests that treatments directed at the hip or spine may lead to beneficial results.\nMETHODS: A convenience sample of 18 participants (12 men and 6 women, 19.5 ± 1.15 years old) with unilateral PFPS was recruited. Participants were randomized by sex to 1 of 3 groups: Kinesio taping, manipulation, and control taping. The main outcome measures included the Y-balance test, squatting range of motion (ROM), and the Lower Extremity Functional Scale.\nRESULTS: Compared with the lumbopelvic manipulation and control groups, those in the Kinesio taping group performed significantly better on the Y-balance test (F = 5.59, P = 0.02) and with squatting ROM (F = 3.93, P = 0.04). The Kinesio taping and lumbopelvic groups were also significantly better than the control (sham) group with double-leg squatting ROM performance 3 days later.\nCONCLUSION: Kinesio taping may facilitate gluteus medius activation and improve postural stability and a double-leg squat.\nCLINICAL RELEVANCE: The improvement in affected limb reach and double-leg squatting ROM highlights the potential for Kinesio taping to improve gluteus medius activation. Lumbopelvic manipulation may also immediately improve rehabilitation programs for PFPS.","container-title":"Sports Health","DOI":"10.1177/1941738112473561","ISSN":"1941-7381","issue":"3","journalAbbreviation":"Sports Health","language":"eng","page":"214-219","PMID":"24427391","PMCID":"PMC3658409","source":"PubMed","title":"Immediate effects of lumbopelvic manipulation and lateral gluteal kinesio taping on unilateral patellofemoral pain syndrome: a pilot study","title-short":"Immediate effects of lumbopelvic manipulation and lateral gluteal kinesio taping on unilateral patellofemoral pain syndrome","volume":"5","author":[{"family":"Miller","given":"Joseph"},{"family":"Westrick","given":"Richard"},{"family":"Diebal","given":"Angela"},{"family":"Marks","given":"Christopher"},{"family":"Gerber","given":"J. Parry"}],"issued":{"date-parts":[["2013",5]]}}},{"id":6642,"uris":["http://zotero.org/users/5535897/items/QW54FUMA"],"itemData":{"id":6642,"type":"article-journal","abstract":"OBJECTIVE: To evaluate the immediate effect of lubmopelvic manipulation on EMG activity of vastus medialis, vastus lateralis and gluteus medius as well as pain and functional performance of athletes with patellofemoral pain syndrome.\nDESIGN: Randomized placebo-controlled trial.\nMETHODS: Twenty eight athletes with patellofemoral pain syndrome were randomly assigned to two groups. One group received a lubmopelvic manipulation at the side of the involved knee while the other group received a sham manipulation. EMG activity of the vasti and gluteus medius were recorded before and after manipulation while performing a rocking on heel task. The functional abilities were evaluated using two tests: step-down and single-leg hop. Additionally, the pain intensity during the functional tests was assessed using a visual analog scale.\nRESULTS: The onset and amplitude of EMG activity from vastus medialis and gluteus medius were, respectively, earlier and higher in the manipulation group compared to the sham group. There were no significant differences, however, between two groups in EMG onset of vastus lateralis. While the scores of one-leg hop test were similar for both groups, significant improvement was observed in step-down test and pain intensity in the manipulation group compared to the sham group.\nCONCLUSIONS: Lubmopelvic manipulation might improve patellofemoral pain and functional level in athletes with patellofemoral pain syndrome. These effects could be due to the changes observed in EMG activity of gluteus medius and vasti muscles. Therefore, the lubmopelvic manipulation might be considered in the rehabilitation protocol of the athletes with patellofemoral pain syndrome.","container-title":"Manual Therapy","DOI":"10.1016/j.math.2016.02.002","ISSN":"1532-2769","journalAbbreviation":"Man Ther","language":"eng","page":"16-21","PMID":"26995778","source":"PubMed","title":"The immediate effect of lumbopelvic manipulation on EMG of vasti and gluteus medius in athletes with patellofemoral pain syndrome: A randomized controlled trial","title-short":"The immediate effect of lumbopelvic manipulation on EMG of vasti and gluteus medius in athletes with patellofemoral pain syndrome","volume":"22","author":[{"family":"Motealleh","given":"Alireza"},{"family":"Gheysari","given":"Elham"},{"family":"Shokri","given":"Esmaeil"},{"family":"Sobhani","given":"Sobhan"}],"issued":{"date-parts":[["2016",4]]}}},{"id":6563,"uris":["http://zotero.org/users/5535897/items/B58NK54W"],"itemData":{"id":6563,"type":"article-journal","abstract":"BACKGROUND: Patellofemoral pain (PFP) is a common musculoskeletal disorder. Quadriceps and core muscle neuromuscular control impairments are frequently associated with PFP. Lumbopelvic manipulation (LPM) has been shown to improve quadriceps and core muscle activation and decrease their inhibition, but changes in balance and knee joint position sense (JPS) after this intervention remain unknown.\nOBJECTIVE: To determine whether LPM decreases knee pain and JPS error and increases balance performance in patients with PFP.\nDESIGN: Randomized controlled trial.\nSETTING: Biomechanics laboratory at a rehabilitation science research center.\nMETHODS: Forty-four patients with PFP participated in this study that randomly divided into two equal groups. One group received LPM and the other received sham LPM (positioning with no thrust) in a single session. At baseline and immediately after the intervention, the outcomes of pain using a visual analog scale, balance using the modified star excursion balance test (mSEBT), and JPS at 20° and 60° of knee flexion using a Biodex dynamometer.\nRESULTS: There was a statistically significant improvement in pain, balance control (anterior direction) and JPS in the LPM group immediately after the intervention. In addition, we observed significant differences between groups in pain, balance control (anterior direction) and JPS at 60° of knee flexion immediately after the intervention.\nCONCLUSION: A single session of LPM immediately improved balance control, knee JPS, and pain in patients diagnosed with PFP.\nCLINICAL REHABILITATION IMPACT: Findings suggest that LPM may be used as a therapeutic tool for immediate improvement of symptoms of PFP. However, more research is needed to determine long term results.","container-title":"Journal of Bodywork and Movement Therapies","DOI":"10.1016/j.jbmt.2020.01.006","ISSN":"1532-9283","issue":"3","journalAbbreviation":"J Bodyw Mov Ther","language":"eng","page":"71-77","PMID":"32826011","source":"PubMed","title":"The immediate effect of lumbopelvic manipulation on knee pain, knee position sense, and balance in patients with patellofemoral pain: A randomized controlled trial","title-short":"The immediate effect of lumbopelvic manipulation on knee pain, knee position sense, and balance in patients with patellofemoral pain","volume":"24","author":[{"family":"Motealleh","given":"Alireza"},{"family":"Barzegar","given":"Ali"},{"family":"Abbasi","given":"Leila"}],"issued":{"date-parts":[["2020",7]]}}},{"id":3595,"uris":["http://zotero.org/users/5535897/items/SRAXWW2T"],"itemData":{"id":3595,"type":"article-journal","abstract":"Background: Patellofemoral Pain Syndrome is the most common cause of anterior knee pain, especially in active young people. This study aimed to evaluate the effect of lumbopelvic manipulation on electromyography parameters of gluteus medius and vastus medialis in patients with patellofemoral pain syndrome. Methods: In this double-blind placebo-controlled randomized clinical trial study, 26 patients with a diagnosis of patellofemoral pain syndrome were randomly divided into two groups. The first group received Lumbopelvic manipulation and the second group was a control group that received placebo manipulation. Electromyography activity of vastus medialis and gluteus medius muscles were evaluated as primary outcomes during the single-leg squat; pain intensity during rest and functional tasks (step up, step down, single leg squat) were assessed by numerical pain rating scale. Functional status was evaluated by step-down test and the score of the Kujala patellofemoral questionnaire, as secondary outcomes. All evaluations were performed before and after the intervention, except pain intensity at rest and the Kujala patellofemoral questionnaire that were assessed before the intervention and one week after. Result: In both groups, no significant difference was observed before and after the intervention in terms of average amplitude and the onset of gluteus medius and vastus medialis. However, in the lumbopelvic manipulation group, pain intensity during rest and functional tests significantly decreased compared to the control group. Functional status significantly improved in the lumbopelvic manipulation group, with no significant difference between group comparisons. Conclusion: Lumbopelvic manipulation caused a reduction in pain intensity and improvement of functional status in the rehabilitation of patients with patellofemoral Pain Syndrome. However, it seems that this method could not change the EMG activity of muscles in these patients. Implications for practice: • The results of present study can help physiotherapists to understand the possible underlying pathomechanics of patellofemoral pain syndrome and more effective treatment of these group of patients. © 2023 Elsevier Ltd","archive":"Scopus","container-title":"International Journal of Osteopathic Medicine","DOI":"10.1016/j.ijosm.2023.100667","ISSN":"17460689 (ISSN)","journalAbbreviation":"Int. J. Ostheopath. Med.","language":"English","publisher":"Elsevier Ltd","title":"The effect of lumbopelvic manipulation on electromyography parameters of gluteus medius and vastus medialis in patients with patellofemoral pain syndrome: A double-blind, placebo-controlled trial","URL":"https://www.scopus.com/inward/record.uri?eid=2-s2.0-85169902080&amp;doi=10.1016%2fj.ijosm.2023.100667&amp;partnerID=40&amp;md5=ff7c69c20ca86ad6cc2a43f924c9322f","volume":"50","author":[{"family":"Zafarian","given":"T."},{"family":"Taghipour","given":"M."},{"family":"Khafri","given":"S."},{"family":"Bahrami","given":"M."},{"family":"Javanshir","given":"K."}],"issued":{"date-parts":[["2023"]]}}}],"schema":"https://github.com/citation-style-language/schema/raw/master/csl-citation.json"} </w:instrText>
      </w:r>
      <w:r>
        <w:rPr>
          <w:rFonts w:ascii="Arial" w:hAnsi="Arial" w:cs="Arial"/>
          <w:lang w:val="en-US"/>
        </w:rPr>
        <w:fldChar w:fldCharType="separate"/>
      </w:r>
      <w:r w:rsidR="009E1EF6" w:rsidRPr="009E1EF6">
        <w:rPr>
          <w:rFonts w:ascii="Arial" w:eastAsiaTheme="minorHAnsi" w:hAnsi="Arial" w:cs="Arial"/>
          <w:lang w:val="en-US" w:eastAsia="en-US"/>
        </w:rPr>
        <w:t>(11,23–27)</w:t>
      </w:r>
      <w:r>
        <w:rPr>
          <w:rFonts w:ascii="Arial" w:hAnsi="Arial" w:cs="Arial"/>
          <w:lang w:val="en-US"/>
        </w:rPr>
        <w:fldChar w:fldCharType="end"/>
      </w:r>
      <w:r>
        <w:rPr>
          <w:rFonts w:ascii="Arial" w:hAnsi="Arial" w:cs="Arial"/>
          <w:lang w:val="en-US"/>
        </w:rPr>
        <w:t xml:space="preserve">. </w:t>
      </w:r>
      <w:r w:rsidR="008B49A2" w:rsidRPr="00CA4FC7">
        <w:rPr>
          <w:rFonts w:ascii="Arial" w:hAnsi="Arial" w:cs="Arial"/>
          <w:lang w:val="en-US"/>
        </w:rPr>
        <w:t xml:space="preserve">The </w:t>
      </w:r>
      <w:r w:rsidR="003C1194" w:rsidRPr="00CA4FC7">
        <w:rPr>
          <w:rFonts w:ascii="Arial" w:hAnsi="Arial" w:cs="Arial"/>
          <w:lang w:val="en-US"/>
        </w:rPr>
        <w:t xml:space="preserve">LPM </w:t>
      </w:r>
      <w:r w:rsidR="008B49A2" w:rsidRPr="00CA4FC7">
        <w:rPr>
          <w:rFonts w:ascii="Arial" w:hAnsi="Arial" w:cs="Arial"/>
          <w:lang w:val="en-US"/>
        </w:rPr>
        <w:t>technique will be applied on the ipsilateral</w:t>
      </w:r>
      <w:r w:rsidR="00F16330" w:rsidRPr="00CA4FC7">
        <w:rPr>
          <w:rFonts w:ascii="Arial" w:hAnsi="Arial" w:cs="Arial"/>
          <w:lang w:val="en-US"/>
        </w:rPr>
        <w:t xml:space="preserve"> sacroiliac joint</w:t>
      </w:r>
      <w:r w:rsidR="008B49A2" w:rsidRPr="00CA4FC7">
        <w:rPr>
          <w:rFonts w:ascii="Arial" w:hAnsi="Arial" w:cs="Arial"/>
          <w:lang w:val="en-US"/>
        </w:rPr>
        <w:t xml:space="preserve"> to the painful knee,</w:t>
      </w:r>
      <w:r w:rsidR="008B49A2" w:rsidRPr="008B49A2">
        <w:rPr>
          <w:rFonts w:ascii="Arial" w:hAnsi="Arial" w:cs="Arial"/>
          <w:lang w:val="en-US"/>
        </w:rPr>
        <w:t xml:space="preserve"> consistent with the approach used in 9 of 10 positive trials included in the systematic review by Lin et al.</w:t>
      </w:r>
      <w:r w:rsidR="002174B4">
        <w:rPr>
          <w:rFonts w:ascii="Arial" w:hAnsi="Arial" w:cs="Arial"/>
          <w:lang w:val="en-US"/>
        </w:rPr>
        <w:fldChar w:fldCharType="begin"/>
      </w:r>
      <w:r w:rsidR="002174B4">
        <w:rPr>
          <w:rFonts w:ascii="Arial" w:hAnsi="Arial" w:cs="Arial"/>
          <w:lang w:val="en-US"/>
        </w:rPr>
        <w:instrText xml:space="preserve"> ADDIN ZOTERO_ITEM CSL_CITATION {"citationID":"GT2PBJpK","properties":{"formattedCitation":"(12)","plainCitation":"(12)","noteIndex":0},"citationItems":[{"id":11796,"uris":["http://zotero.org/users/5535897/items/DAQPVSBB"],"itemData":{"id":11796,"type":"article-journal","abstract":"Patellofemoral pain syndrome (PFPS) is one of the most common etiologies of knee pain and might be relieved with lumbopelvic manipulation (LPM). This meta-analysis aimed to investigate the effects of LPM on pain reduction in patients with PFPS. Electronic databases were searched from inception to December 2023 for randomized controlled trials (RCTs) investigating the effects of LPM on PFPS. The primary outcome was the change in visual analog or numeric rating scale scores assessing pain. Ten studies comprising 346 participants were included. Signiﬁcant pain reduction was noted in the LPM group (Hedges’ g = −0.706, 95% conﬁdence interval [CI] = −1.197 to −0.214, p = 0.005, I2 = 79.624%) compared with the control group. Moreover, pain relief was more pronounced when LPM was combined with other physical therapies (Hedges’ g = −0.701, 95% CI = −1.386 to −0.017, p = 0.045, I2 = 73.537%). No adverse events were reported during the LPM. The LPM appears to be a safe and effective adjuvant therapy for pain reduction in patients with PFPS. Clinicians should consider adding LPM to other physical therapies (e.g., quadriceps muscle strengthening) during the management of these patients.","container-title":"Life","DOI":"10.3390/life14070831","ISSN":"2075-1729","issue":"7","journalAbbreviation":"Life","language":"en","license":"https://creativecommons.org/licenses/by/4.0/","page":"831","source":"DOI.org (Crossref)","title":"The Effect of Lumbopelvic Manipulation for Pain Reduction in Patellofemoral Pain Syndrome: A Systematic Review and Meta-Analysis of Randomized Controlled Trials","title-short":"The Effect of Lumbopelvic Manipulation for Pain Reduction in Patellofemoral Pain Syndrome","volume":"14","author":[{"family":"Lin","given":"Long-Huei"},{"family":"Lin","given":"Ting-Yu"},{"family":"Chang","given":"Ke-Vin"},{"family":"Wu","given":"Wei-Ting"},{"family":"Özçakar","given":"Levent"}],"issued":{"date-parts":[["2024",6,28]]}}}],"schema":"https://github.com/citation-style-language/schema/raw/master/csl-citation.json"} </w:instrText>
      </w:r>
      <w:r w:rsidR="002174B4">
        <w:rPr>
          <w:rFonts w:ascii="Arial" w:hAnsi="Arial" w:cs="Arial"/>
          <w:lang w:val="en-US"/>
        </w:rPr>
        <w:fldChar w:fldCharType="separate"/>
      </w:r>
      <w:r w:rsidR="002174B4">
        <w:rPr>
          <w:rFonts w:ascii="Arial" w:hAnsi="Arial" w:cs="Arial"/>
          <w:noProof/>
          <w:lang w:val="en-US"/>
        </w:rPr>
        <w:t>(12)</w:t>
      </w:r>
      <w:r w:rsidR="002174B4">
        <w:rPr>
          <w:rFonts w:ascii="Arial" w:hAnsi="Arial" w:cs="Arial"/>
          <w:lang w:val="en-US"/>
        </w:rPr>
        <w:fldChar w:fldCharType="end"/>
      </w:r>
      <w:r w:rsidR="002174B4">
        <w:rPr>
          <w:rFonts w:ascii="Arial" w:hAnsi="Arial" w:cs="Arial"/>
          <w:lang w:val="en-US"/>
        </w:rPr>
        <w:t>.</w:t>
      </w:r>
      <w:r w:rsidR="008B49A2" w:rsidRPr="008B49A2">
        <w:rPr>
          <w:rFonts w:ascii="Arial" w:hAnsi="Arial" w:cs="Arial"/>
          <w:lang w:val="en-US"/>
        </w:rPr>
        <w:t xml:space="preserve"> In cases of bilateral </w:t>
      </w:r>
      <w:r w:rsidR="001B582D">
        <w:rPr>
          <w:rFonts w:ascii="Arial" w:hAnsi="Arial" w:cs="Arial"/>
          <w:lang w:val="en-US"/>
        </w:rPr>
        <w:t>conditions</w:t>
      </w:r>
      <w:r w:rsidR="008B49A2" w:rsidRPr="008B49A2">
        <w:rPr>
          <w:rFonts w:ascii="Arial" w:hAnsi="Arial" w:cs="Arial"/>
          <w:lang w:val="en-US"/>
        </w:rPr>
        <w:t xml:space="preserve">, participants will be asked to identify the more painful side and LPM will be delivered accordingly. </w:t>
      </w:r>
      <w:r w:rsidR="008B49A2" w:rsidRPr="0079620E">
        <w:rPr>
          <w:rFonts w:ascii="Arial" w:hAnsi="Arial" w:cs="Arial"/>
          <w:lang w:val="en-US"/>
        </w:rPr>
        <w:t xml:space="preserve">As the objective of a potential subsequent full-scale RCT will be to assess the effectiveness of LPM, the technique will be applied using </w:t>
      </w:r>
      <w:r w:rsidR="008B49A2">
        <w:rPr>
          <w:rFonts w:ascii="Arial" w:hAnsi="Arial" w:cs="Arial"/>
          <w:lang w:val="en-US"/>
        </w:rPr>
        <w:t>a prescriptive</w:t>
      </w:r>
      <w:r w:rsidR="008B49A2" w:rsidRPr="0079620E">
        <w:rPr>
          <w:rFonts w:ascii="Arial" w:hAnsi="Arial" w:cs="Arial"/>
          <w:lang w:val="en-US"/>
        </w:rPr>
        <w:t xml:space="preserve"> approach, irrespective of the presence or absence of sacroiliac joint or lumbopelvic dysfunction</w:t>
      </w:r>
      <w:r w:rsidR="00DF6A77">
        <w:rPr>
          <w:rFonts w:ascii="Arial" w:hAnsi="Arial" w:cs="Arial"/>
          <w:lang w:val="en-US"/>
        </w:rPr>
        <w:t xml:space="preserve"> </w:t>
      </w:r>
      <w:r w:rsidR="00DF6A77">
        <w:rPr>
          <w:rFonts w:ascii="Arial" w:hAnsi="Arial" w:cs="Arial"/>
          <w:lang w:val="en-US"/>
        </w:rPr>
        <w:fldChar w:fldCharType="begin"/>
      </w:r>
      <w:r w:rsidR="009E1EF6">
        <w:rPr>
          <w:rFonts w:ascii="Arial" w:hAnsi="Arial" w:cs="Arial"/>
          <w:lang w:val="en-US"/>
        </w:rPr>
        <w:instrText xml:space="preserve"> ADDIN ZOTERO_ITEM CSL_CITATION {"citationID":"nTdw8ere","properties":{"formattedCitation":"(11,23,24)","plainCitation":"(11,23,24)","noteIndex":0},"citationItems":[{"id":6557,"uris":["http://zotero.org/users/5535897/items/NU7CS7CC"],"itemData":{"id":6557,"type":"article-journal","abstract":"Lumbopelvic joint manipulation has been shown to increase quadriceps force output and activation, but the duration of effect is unknown. It is also unknown whether lower grade joint mobilisations may have a similar effect. Forty-two healthy volunteers (x+/-SD; age=28.3+/-7.3 yr; ht=172.8+/-9.8 cm; mass=76.6+/-21.7 kg) were randomly assigned to one of three groups (lumbopelvic joint manipulation, 1 min lumbar passive range of motion (PROM), or prone extension on elbows for 3 min). Quadriceps force and activation were measured using the burst-superimposition technique during a seated isometric knee extension task before and at 0, 20, 40, and 60 min following intervention. Collectively, all groups demonstrated a significant decrease (p&lt;0.001) in quadriceps force output without changes in activation (p&gt;0.05) at all time intervals following intervention. The group that received a lumbopelvic joint manipulation demonstrated a significant increase in quadriceps force (3%) and activation (5%) (p&lt;0.05) immediately following intervention, but this effect was not present after the 20 min interval. Since participants in this study were free of knee joint pathology, it is possible that they did not have the capacity to allow for large changes in quadriceps muscle activation to occur.","container-title":"Manual Therapy","DOI":"10.1016/j.math.2008.06.005","ISSN":"1532-2769","issue":"4","journalAbbreviation":"Man Ther","language":"eng","page":"415-420","PMID":"18805726","source":"PubMed","title":"Effects of lumbopelvic joint manipulation on quadriceps activation and strength in healthy individuals","volume":"14","author":[{"family":"Grindstaff","given":"Terry L."},{"family":"Hertel","given":"Jay"},{"family":"Beazell","given":"James R."},{"family":"Magrum","given":"Eric M."},{"family":"Ingersoll","given":"Christopher D."}],"issued":{"date-parts":[["2009",8]]}}},{"id":6522,"uris":["http://zotero.org/users/5535897/items/39HBHKWW"],"itemData":{"id":6522,"type":"article-journal","abstract":"CONTEXT: Quadriceps weakness and inhibition are impairments associated with patellofemoral pain syndrome (PFPS). Lumbopelvic joint manipulation has been shown to improve quadriceps force output and inhibition, but the duration of the effect is unknown.\nOBJECTIVE: To determine whether quadriceps strength and activation are increased and maintained for 1 hour after high-grade or low-grade joint mobilization or manipulation applied at the lumbopelvic region in people with PFPS.\nDESIGN: Randomized controlled clinical trial.\nSETTING: University laboratory.\nPATIENTS OR OTHER PARTICIPANTS: Forty-eight people with PFPS (age = 24.6 ± 8.9 years, height = 174.3 ± 11.2 cm, mass = 78.4 ± 16.8 kg) participated.\nINTERVENTION(S): Participants were randomized to 1 of 3 groups: lumbopelvic joint manipulation (grade V), side-lying lumbar midrange flexion and extension passive range of motion (grade II) for 1 minute, or prone extension on the elbows for 3 minutes.\nMAIN OUTCOME MEASURE(S): Quadriceps force and activation were measured using the burst superimposition technique during a seated isometric knee extension task. A 2-way repeated-measures analysis of variance was performed to compare changes in quadriceps force and activation among groups over time (before intervention and at 0, 20, 40, and 60 minutes after intervention).\nRESULTS: We found no differences in quadriceps force output (F(5.33,101.18) = 0.65, P = .67) or central activation ratio (F(4.84,92.03) = 0.38, P = .86) values among groups after intervention. When groups were pooled, we found differences across time for quadriceps force (F(2.66,101.18) = 5.03, P = .004) and activation (F(2.42,92.03) = 3.85, P = .02). Quadriceps force was not different at 0 minutes after intervention (t(40) = 1.68, P = .10), but it decreased at 20 (t(40) = 2.16, P = .04), 40 (t(40) = 2.87, P = .01) and 60 (t(40) = 3.04, P = .004) minutes after intervention. All groups demonstrated decreased quadriceps activation at 0 minutes after intervention (t(40) = 4.17, P &lt; .001), but subsequent measures were not different from preintervention levels (t(40) range, 1.53-1.83, P &gt; .09).\nCONCLUSIONS: Interventions directed at the lumbopelvic region did not have immediate effects on quadriceps force output or activation. Muscle fatigue might have contributed to decreased force output and activation over 1 hour of testing.","container-title":"Journal of Athletic Training","DOI":"10.4085/1062-6050-47.1.24","ISSN":"1938-162X","issue":"1","journalAbbreviation":"J Athl Train","language":"eng","page":"24-31","PMID":"22488227","PMCID":"PMC3418111","source":"PubMed","title":"Lumbopelvic joint manipulation and quadriceps activation of people with patellofemoral pain syndrome","volume":"47","author":[{"family":"Grindstaff","given":"Terry L."},{"family":"Hertel","given":"Jay"},{"family":"Beazell","given":"James R."},{"family":"Magrum","given":"Eric M."},{"family":"Kerrigan","given":"D. Casey"},{"family":"Fan","given":"Xitao"},{"family":"Ingersoll","given":"Christopher D."}],"issued":{"date-parts":[["2012"]]}}},{"id":6658,"uris":["http://zotero.org/users/5535897/items/PEBRQU8W"],"itemData":{"id":6658,"type":"article-journal","abstract":"OBJECTIVES: To determine the immediate effects of Kinesio taping directed to the hip and manipulation directed to the lumbopelvic region in individuals with unilateral patellofemoral pain syndrome (PFPS).\nBACKGROUND: PFPS affects up to 25% of the general population. Despite the high prevalence, this condition is not clearly understood, as evidenced by the numerous proposed causes and recommended treatments. Notwithstanding, recent evidence suggests that treatments directed at the hip or spine may lead to beneficial results.\nMETHODS: A convenience sample of 18 participants (12 men and 6 women, 19.5 ± 1.15 years old) with unilateral PFPS was recruited. Participants were randomized by sex to 1 of 3 groups: Kinesio taping, manipulation, and control taping. The main outcome measures included the Y-balance test, squatting range of motion (ROM), and the Lower Extremity Functional Scale.\nRESULTS: Compared with the lumbopelvic manipulation and control groups, those in the Kinesio taping group performed significantly better on the Y-balance test (F = 5.59, P = 0.02) and with squatting ROM (F = 3.93, P = 0.04). The Kinesio taping and lumbopelvic groups were also significantly better than the control (sham) group with double-leg squatting ROM performance 3 days later.\nCONCLUSION: Kinesio taping may facilitate gluteus medius activation and improve postural stability and a double-leg squat.\nCLINICAL RELEVANCE: The improvement in affected limb reach and double-leg squatting ROM highlights the potential for Kinesio taping to improve gluteus medius activation. Lumbopelvic manipulation may also immediately improve rehabilitation programs for PFPS.","container-title":"Sports Health","DOI":"10.1177/1941738112473561","ISSN":"1941-7381","issue":"3","journalAbbreviation":"Sports Health","language":"eng","page":"214-219","PMID":"24427391","PMCID":"PMC3658409","source":"PubMed","title":"Immediate effects of lumbopelvic manipulation and lateral gluteal kinesio taping on unilateral patellofemoral pain syndrome: a pilot study","title-short":"Immediate effects of lumbopelvic manipulation and lateral gluteal kinesio taping on unilateral patellofemoral pain syndrome","volume":"5","author":[{"family":"Miller","given":"Joseph"},{"family":"Westrick","given":"Richard"},{"family":"Diebal","given":"Angela"},{"family":"Marks","given":"Christopher"},{"family":"Gerber","given":"J. Parry"}],"issued":{"date-parts":[["2013",5]]}}}],"schema":"https://github.com/citation-style-language/schema/raw/master/csl-citation.json"} </w:instrText>
      </w:r>
      <w:r w:rsidR="00DF6A77">
        <w:rPr>
          <w:rFonts w:ascii="Arial" w:hAnsi="Arial" w:cs="Arial"/>
          <w:lang w:val="en-US"/>
        </w:rPr>
        <w:fldChar w:fldCharType="separate"/>
      </w:r>
      <w:r w:rsidR="009E1EF6">
        <w:rPr>
          <w:rFonts w:ascii="Arial" w:hAnsi="Arial" w:cs="Arial"/>
          <w:noProof/>
          <w:lang w:val="en-US"/>
        </w:rPr>
        <w:t>(11,23,24)</w:t>
      </w:r>
      <w:r w:rsidR="00DF6A77">
        <w:rPr>
          <w:rFonts w:ascii="Arial" w:hAnsi="Arial" w:cs="Arial"/>
          <w:lang w:val="en-US"/>
        </w:rPr>
        <w:fldChar w:fldCharType="end"/>
      </w:r>
      <w:r w:rsidR="008B49A2" w:rsidRPr="0079620E">
        <w:rPr>
          <w:rFonts w:ascii="Arial" w:hAnsi="Arial" w:cs="Arial"/>
          <w:lang w:val="en-US"/>
        </w:rPr>
        <w:t>.</w:t>
      </w:r>
      <w:r w:rsidR="008B49A2">
        <w:rPr>
          <w:rFonts w:ascii="Arial" w:hAnsi="Arial" w:cs="Arial"/>
          <w:lang w:val="en-US"/>
        </w:rPr>
        <w:t xml:space="preserve"> </w:t>
      </w:r>
      <w:r w:rsidR="00380DC6" w:rsidRPr="004358E9">
        <w:rPr>
          <w:rFonts w:ascii="Arial" w:hAnsi="Arial" w:cs="Arial"/>
          <w:lang w:val="en-US"/>
        </w:rPr>
        <w:t>Pa</w:t>
      </w:r>
      <w:r w:rsidR="008D1516">
        <w:rPr>
          <w:rFonts w:ascii="Arial" w:hAnsi="Arial" w:cs="Arial"/>
          <w:lang w:val="en-US"/>
        </w:rPr>
        <w:t>rticipants</w:t>
      </w:r>
      <w:r w:rsidR="00380DC6" w:rsidRPr="004358E9">
        <w:rPr>
          <w:rFonts w:ascii="Arial" w:hAnsi="Arial" w:cs="Arial"/>
          <w:lang w:val="en-US"/>
        </w:rPr>
        <w:t xml:space="preserve"> </w:t>
      </w:r>
      <w:r w:rsidR="008D1516">
        <w:rPr>
          <w:rFonts w:ascii="Arial" w:hAnsi="Arial" w:cs="Arial"/>
          <w:lang w:val="en-US"/>
        </w:rPr>
        <w:t>will be positioned</w:t>
      </w:r>
      <w:r w:rsidR="00380DC6" w:rsidRPr="004358E9">
        <w:rPr>
          <w:rFonts w:ascii="Arial" w:hAnsi="Arial" w:cs="Arial"/>
          <w:lang w:val="en-US"/>
        </w:rPr>
        <w:t xml:space="preserve"> supine on a manipulation table</w:t>
      </w:r>
      <w:r w:rsidR="008D1516">
        <w:rPr>
          <w:rFonts w:ascii="Arial" w:hAnsi="Arial" w:cs="Arial"/>
          <w:lang w:val="en-US"/>
        </w:rPr>
        <w:t>, with</w:t>
      </w:r>
      <w:r w:rsidR="00380DC6" w:rsidRPr="004358E9">
        <w:rPr>
          <w:rFonts w:ascii="Arial" w:hAnsi="Arial" w:cs="Arial"/>
          <w:lang w:val="en-US"/>
        </w:rPr>
        <w:t xml:space="preserve"> the therapist st</w:t>
      </w:r>
      <w:r w:rsidR="008D1516">
        <w:rPr>
          <w:rFonts w:ascii="Arial" w:hAnsi="Arial" w:cs="Arial"/>
          <w:lang w:val="en-US"/>
        </w:rPr>
        <w:t>anding</w:t>
      </w:r>
      <w:r w:rsidR="00380DC6" w:rsidRPr="004358E9">
        <w:rPr>
          <w:rFonts w:ascii="Arial" w:hAnsi="Arial" w:cs="Arial"/>
          <w:lang w:val="en-US"/>
        </w:rPr>
        <w:t xml:space="preserve"> contralateral to the side </w:t>
      </w:r>
      <w:r w:rsidR="008D1516">
        <w:rPr>
          <w:rFonts w:ascii="Arial" w:hAnsi="Arial" w:cs="Arial"/>
          <w:lang w:val="en-US"/>
        </w:rPr>
        <w:t>targeting for</w:t>
      </w:r>
      <w:r w:rsidR="00380DC6" w:rsidRPr="004358E9">
        <w:rPr>
          <w:rFonts w:ascii="Arial" w:hAnsi="Arial" w:cs="Arial"/>
          <w:lang w:val="en-US"/>
        </w:rPr>
        <w:t xml:space="preserve"> manipulat</w:t>
      </w:r>
      <w:r w:rsidR="008D1516">
        <w:rPr>
          <w:rFonts w:ascii="Arial" w:hAnsi="Arial" w:cs="Arial"/>
          <w:lang w:val="en-US"/>
        </w:rPr>
        <w:t xml:space="preserve">ion </w:t>
      </w:r>
      <w:r w:rsidR="00380DC6" w:rsidRPr="004358E9">
        <w:rPr>
          <w:rFonts w:ascii="Arial" w:hAnsi="Arial" w:cs="Arial"/>
          <w:lang w:val="en-US"/>
        </w:rPr>
        <w:t>(</w:t>
      </w:r>
      <w:r w:rsidR="008D1516">
        <w:rPr>
          <w:rFonts w:ascii="Arial" w:hAnsi="Arial" w:cs="Arial"/>
          <w:lang w:val="en-US"/>
        </w:rPr>
        <w:t xml:space="preserve">e.g., </w:t>
      </w:r>
      <w:r w:rsidR="00380DC6" w:rsidRPr="004358E9">
        <w:rPr>
          <w:rFonts w:ascii="Arial" w:hAnsi="Arial" w:cs="Arial"/>
          <w:lang w:val="en-US"/>
        </w:rPr>
        <w:t>contralateral to the affected knee).</w:t>
      </w:r>
      <w:r w:rsidR="00BE4863">
        <w:rPr>
          <w:rFonts w:ascii="Arial" w:hAnsi="Arial" w:cs="Arial"/>
          <w:lang w:val="en-US"/>
        </w:rPr>
        <w:t xml:space="preserve"> </w:t>
      </w:r>
      <w:r w:rsidR="00380DC6" w:rsidRPr="00CA4FC7">
        <w:rPr>
          <w:rFonts w:ascii="Arial" w:hAnsi="Arial" w:cs="Arial"/>
          <w:lang w:val="en-US"/>
        </w:rPr>
        <w:t xml:space="preserve">The participant </w:t>
      </w:r>
      <w:r w:rsidR="00B6556C" w:rsidRPr="00CA4FC7">
        <w:rPr>
          <w:rFonts w:ascii="Arial" w:hAnsi="Arial" w:cs="Arial"/>
          <w:lang w:val="en-US"/>
        </w:rPr>
        <w:t xml:space="preserve">will cross his hands behind his neck, and </w:t>
      </w:r>
      <w:r w:rsidR="005C581C" w:rsidRPr="00CA4FC7">
        <w:rPr>
          <w:rFonts w:ascii="Arial" w:hAnsi="Arial" w:cs="Arial"/>
          <w:lang w:val="en-US"/>
        </w:rPr>
        <w:t xml:space="preserve">the therapist </w:t>
      </w:r>
      <w:r w:rsidR="00380DC6" w:rsidRPr="00CA4FC7">
        <w:rPr>
          <w:rFonts w:ascii="Arial" w:hAnsi="Arial" w:cs="Arial"/>
          <w:lang w:val="en-US"/>
        </w:rPr>
        <w:t xml:space="preserve">will passively </w:t>
      </w:r>
      <w:r w:rsidR="008D1516" w:rsidRPr="00CA4FC7">
        <w:rPr>
          <w:rFonts w:ascii="Arial" w:hAnsi="Arial" w:cs="Arial"/>
          <w:lang w:val="en-US"/>
        </w:rPr>
        <w:t>side-ben</w:t>
      </w:r>
      <w:r w:rsidR="005C581C" w:rsidRPr="00CA4FC7">
        <w:rPr>
          <w:rFonts w:ascii="Arial" w:hAnsi="Arial" w:cs="Arial"/>
          <w:lang w:val="en-US"/>
        </w:rPr>
        <w:t>d the trunk toward</w:t>
      </w:r>
      <w:r w:rsidR="00380DC6" w:rsidRPr="00CA4FC7">
        <w:rPr>
          <w:rFonts w:ascii="Arial" w:hAnsi="Arial" w:cs="Arial"/>
          <w:lang w:val="en-US"/>
        </w:rPr>
        <w:t xml:space="preserve"> and rotate</w:t>
      </w:r>
      <w:r w:rsidR="005C581C" w:rsidRPr="00CA4FC7">
        <w:rPr>
          <w:rFonts w:ascii="Arial" w:hAnsi="Arial" w:cs="Arial"/>
          <w:lang w:val="en-US"/>
        </w:rPr>
        <w:t xml:space="preserve"> it</w:t>
      </w:r>
      <w:r w:rsidR="00380DC6" w:rsidRPr="00CA4FC7">
        <w:rPr>
          <w:rFonts w:ascii="Arial" w:hAnsi="Arial" w:cs="Arial"/>
          <w:lang w:val="en-US"/>
        </w:rPr>
        <w:t xml:space="preserve"> away from the selected side</w:t>
      </w:r>
      <w:r w:rsidR="007F2020" w:rsidRPr="00CA4FC7">
        <w:rPr>
          <w:rFonts w:ascii="Arial" w:hAnsi="Arial" w:cs="Arial"/>
          <w:lang w:val="en-US"/>
        </w:rPr>
        <w:t xml:space="preserve"> </w:t>
      </w:r>
      <w:r w:rsidR="005C581C" w:rsidRPr="00CA4FC7">
        <w:rPr>
          <w:rFonts w:ascii="Arial" w:hAnsi="Arial" w:cs="Arial"/>
          <w:lang w:val="en-US"/>
        </w:rPr>
        <w:t>using the</w:t>
      </w:r>
      <w:r w:rsidR="00BA44DB" w:rsidRPr="00CA4FC7">
        <w:rPr>
          <w:rFonts w:ascii="Arial" w:hAnsi="Arial" w:cs="Arial"/>
          <w:lang w:val="en-US"/>
        </w:rPr>
        <w:t xml:space="preserve"> cranial hand </w:t>
      </w:r>
      <w:r w:rsidR="007F2020" w:rsidRPr="00CA4FC7">
        <w:rPr>
          <w:rFonts w:ascii="Arial" w:hAnsi="Arial" w:cs="Arial"/>
          <w:lang w:val="en-US"/>
        </w:rPr>
        <w:t>until the anterior superior iliac spine begins to lift</w:t>
      </w:r>
      <w:r w:rsidR="00380DC6" w:rsidRPr="00CA4FC7">
        <w:rPr>
          <w:rFonts w:ascii="Arial" w:hAnsi="Arial" w:cs="Arial"/>
          <w:lang w:val="en-US"/>
        </w:rPr>
        <w:t>.</w:t>
      </w:r>
      <w:r w:rsidR="00155A0D">
        <w:rPr>
          <w:rFonts w:ascii="Arial" w:hAnsi="Arial" w:cs="Arial"/>
          <w:lang w:val="en-US"/>
        </w:rPr>
        <w:t xml:space="preserve"> </w:t>
      </w:r>
      <w:r w:rsidR="00982E9D" w:rsidRPr="0066206A">
        <w:rPr>
          <w:rFonts w:ascii="Arial" w:hAnsi="Arial" w:cs="Arial"/>
          <w:lang w:val="en-US"/>
        </w:rPr>
        <w:t>A pre-manipulation hold will be conducted to assess participant comfort</w:t>
      </w:r>
      <w:r w:rsidR="00BE4863">
        <w:rPr>
          <w:rFonts w:ascii="Arial" w:hAnsi="Arial" w:cs="Arial"/>
          <w:lang w:val="en-US"/>
        </w:rPr>
        <w:t xml:space="preserve"> </w:t>
      </w:r>
      <w:r w:rsidR="00982E9D" w:rsidRPr="0066206A">
        <w:rPr>
          <w:rFonts w:ascii="Arial" w:hAnsi="Arial" w:cs="Arial"/>
          <w:lang w:val="en-US"/>
        </w:rPr>
        <w:t>and confirm consent to proceed with the intervention</w:t>
      </w:r>
      <w:r w:rsidR="0006221A">
        <w:rPr>
          <w:rFonts w:ascii="Arial" w:hAnsi="Arial" w:cs="Arial"/>
          <w:lang w:val="en-US"/>
        </w:rPr>
        <w:t xml:space="preserve"> </w:t>
      </w:r>
      <w:r w:rsidR="00EE45BC">
        <w:rPr>
          <w:rFonts w:ascii="Arial" w:hAnsi="Arial" w:cs="Arial"/>
          <w:lang w:val="en-US"/>
        </w:rPr>
        <w:fldChar w:fldCharType="begin"/>
      </w:r>
      <w:r w:rsidR="009E1EF6">
        <w:rPr>
          <w:rFonts w:ascii="Arial" w:hAnsi="Arial" w:cs="Arial"/>
          <w:lang w:val="en-US"/>
        </w:rPr>
        <w:instrText xml:space="preserve"> ADDIN ZOTERO_ITEM CSL_CITATION {"citationID":"mGsG5TKd","properties":{"formattedCitation":"(28)","plainCitation":"(28)","noteIndex":0},"citationItems":[{"id":10506,"uris":["http://zotero.org/users/5535897/items/5L9NXAZW"],"itemData":{"id":10506,"type":"article-journal","abstract":"Background  Musculoskeletal conditions are the leading contributor to global disability and health burden. Manual therapy (MT) interventions are commonly recommended in clinical guidelines and used in the management of musculoskeletal conditions. Traditional systems of manual therapy (TMT), including physiotherapy, osteopathy, chiropractic, and soft tissue therapy have been built on principles such as clinician-centred assessment, patho-anatomical reasoning, and technique specificity. These historical principles are not supported by current evidence. However, data from clinical trials support the clinical and cost effectiveness of manual therapy as an intervention for musculoskeletal conditions, when used as part of a package of care.\nPurpose  The purpose of this paper is to propose a modern evidence-guided framework for the teaching and practice of MT which avoids reference to and reliance on the outdated principles of TMT. This framework is based on three fundamental humanistic dimensions common in all aspects of healthcare: safety, comfort, and efficiency. These practical elements are contextualised by positive communication, a collaborative context, and person-centred care. The framework facilitates best-practice, reasoning, and communication and is exemplified here with two case studies.\nMethods  A literature review stimulated by a new method of teaching manual therapy, reflecting contemporary evidence, being trialled at a United Kingdom education institute. A group of experienced, internationally-based academics, clinicians, and researchers from across the spectrum of manual therapy was convened. Perspectives were elicited through reviews of contemporary literature and discussions in an iterative process. Public presentations were made to multidisciplinary groups and feedback was incorporated. Consensus was achieved through repeated discussion of relevant elements.\nConclusions  Manual therapy interventions should include both passive and active, person-empowering interventions such as exercise, education, and lifestyle adaptations. These should be delivered in a contextualised healing environment with a well-developed person-practitioner therapeutic alliance. Teaching manual therapy should follow this model.","container-title":"Chiropractic &amp; Manual Therapies","DOI":"10.1186/s12998-024-00537-0","ISSN":"2045-709X","issue":"1","journalAbbreviation":"Chiropr Man Therap","language":"en","page":"17","source":"DOI.org (Crossref)","title":"A modern way to teach and practice manual therapy","volume":"32","author":[{"family":"Kerry","given":"Roger"},{"family":"Young","given":"Kenneth J."},{"family":"Evans","given":"David W."},{"family":"Lee","given":"Edward"},{"family":"Georgopoulos","given":"Vasileios"},{"family":"Meakins","given":"Adam"},{"family":"McCarthy","given":"Chris"},{"family":"Cook","given":"Chad"},{"family":"Ridehalgh","given":"Colette"},{"family":"Vogel","given":"Steven"},{"family":"Banton","given":"Amanda"},{"family":"Bergström","given":"Cecilia"},{"family":"Mazzieri","given":"Anna Maria"},{"family":"Mourad","given":"Firas"},{"family":"Hutting","given":"Nathan"}],"issued":{"date-parts":[["2024",5,21]]}}}],"schema":"https://github.com/citation-style-language/schema/raw/master/csl-citation.json"} </w:instrText>
      </w:r>
      <w:r w:rsidR="00EE45BC">
        <w:rPr>
          <w:rFonts w:ascii="Arial" w:hAnsi="Arial" w:cs="Arial"/>
          <w:lang w:val="en-US"/>
        </w:rPr>
        <w:fldChar w:fldCharType="separate"/>
      </w:r>
      <w:r w:rsidR="009E1EF6">
        <w:rPr>
          <w:rFonts w:ascii="Arial" w:hAnsi="Arial" w:cs="Arial"/>
          <w:noProof/>
          <w:lang w:val="en-US"/>
        </w:rPr>
        <w:t>(28)</w:t>
      </w:r>
      <w:r w:rsidR="00EE45BC">
        <w:rPr>
          <w:rFonts w:ascii="Arial" w:hAnsi="Arial" w:cs="Arial"/>
          <w:lang w:val="en-US"/>
        </w:rPr>
        <w:fldChar w:fldCharType="end"/>
      </w:r>
      <w:r w:rsidR="00155A0D">
        <w:rPr>
          <w:rFonts w:ascii="Arial" w:hAnsi="Arial" w:cs="Arial"/>
          <w:lang w:val="en-US"/>
        </w:rPr>
        <w:t xml:space="preserve">. </w:t>
      </w:r>
      <w:r w:rsidR="00155A0D" w:rsidRPr="00CA4FC7">
        <w:rPr>
          <w:rFonts w:ascii="Arial" w:hAnsi="Arial" w:cs="Arial"/>
          <w:lang w:val="en-US"/>
        </w:rPr>
        <w:t xml:space="preserve">If </w:t>
      </w:r>
      <w:r w:rsidR="00982E9D" w:rsidRPr="00CA4FC7">
        <w:rPr>
          <w:rFonts w:ascii="Arial" w:hAnsi="Arial" w:cs="Arial"/>
          <w:lang w:val="en-US"/>
        </w:rPr>
        <w:t xml:space="preserve">consent is given, the procedure will continue </w:t>
      </w:r>
      <w:r w:rsidR="00982E9D" w:rsidRPr="00CA4FC7">
        <w:rPr>
          <w:rFonts w:ascii="Arial" w:hAnsi="Arial" w:cs="Arial"/>
          <w:lang w:val="en-US"/>
        </w:rPr>
        <w:lastRenderedPageBreak/>
        <w:t>and</w:t>
      </w:r>
      <w:r w:rsidR="00380DC6" w:rsidRPr="00CA4FC7">
        <w:rPr>
          <w:rFonts w:ascii="Arial" w:hAnsi="Arial" w:cs="Arial"/>
          <w:lang w:val="en-US"/>
        </w:rPr>
        <w:t xml:space="preserve"> </w:t>
      </w:r>
      <w:r w:rsidR="00155A0D" w:rsidRPr="00CA4FC7">
        <w:rPr>
          <w:rFonts w:ascii="Arial" w:hAnsi="Arial" w:cs="Arial"/>
          <w:lang w:val="en-US"/>
        </w:rPr>
        <w:t>a</w:t>
      </w:r>
      <w:r w:rsidR="008D1516" w:rsidRPr="00CA4FC7">
        <w:rPr>
          <w:rFonts w:ascii="Arial" w:hAnsi="Arial" w:cs="Arial"/>
          <w:lang w:val="en-US"/>
        </w:rPr>
        <w:t xml:space="preserve"> </w:t>
      </w:r>
      <w:r w:rsidR="00380DC6" w:rsidRPr="00CA4FC7">
        <w:rPr>
          <w:rFonts w:ascii="Arial" w:hAnsi="Arial" w:cs="Arial"/>
          <w:lang w:val="en-US"/>
        </w:rPr>
        <w:t>high velocity</w:t>
      </w:r>
      <w:r w:rsidR="008D1516" w:rsidRPr="00CA4FC7">
        <w:rPr>
          <w:rFonts w:ascii="Arial" w:hAnsi="Arial" w:cs="Arial"/>
          <w:lang w:val="en-US"/>
        </w:rPr>
        <w:t xml:space="preserve">, </w:t>
      </w:r>
      <w:r w:rsidR="00380DC6" w:rsidRPr="00CA4FC7">
        <w:rPr>
          <w:rFonts w:ascii="Arial" w:hAnsi="Arial" w:cs="Arial"/>
          <w:lang w:val="en-US"/>
        </w:rPr>
        <w:t>low amplitude thrust</w:t>
      </w:r>
      <w:r w:rsidR="008D1516" w:rsidRPr="00CA4FC7">
        <w:rPr>
          <w:rFonts w:ascii="Arial" w:hAnsi="Arial" w:cs="Arial"/>
          <w:lang w:val="en-US"/>
        </w:rPr>
        <w:t xml:space="preserve"> will then be delivered</w:t>
      </w:r>
      <w:r w:rsidR="005C581C" w:rsidRPr="00CA4FC7">
        <w:rPr>
          <w:rFonts w:ascii="Arial" w:hAnsi="Arial" w:cs="Arial"/>
          <w:lang w:val="en-US"/>
        </w:rPr>
        <w:t xml:space="preserve"> by the therapist caudal hand</w:t>
      </w:r>
      <w:r w:rsidR="00380DC6" w:rsidRPr="00CA4FC7">
        <w:rPr>
          <w:rFonts w:ascii="Arial" w:hAnsi="Arial" w:cs="Arial"/>
          <w:lang w:val="en-US"/>
        </w:rPr>
        <w:t xml:space="preserve"> in a posterior, inferior and lateral direction through the anterior superior iliac spine on the side of the involved knee</w:t>
      </w:r>
      <w:r w:rsidR="005C581C" w:rsidRPr="00CA4FC7">
        <w:rPr>
          <w:rFonts w:ascii="Arial" w:hAnsi="Arial" w:cs="Arial"/>
          <w:lang w:val="en-US"/>
        </w:rPr>
        <w:t xml:space="preserve"> </w:t>
      </w:r>
      <w:r w:rsidR="00DF6A77" w:rsidRPr="00CA4FC7">
        <w:rPr>
          <w:rFonts w:ascii="Arial" w:hAnsi="Arial" w:cs="Arial"/>
          <w:lang w:val="en-US"/>
        </w:rPr>
        <w:fldChar w:fldCharType="begin"/>
      </w:r>
      <w:r w:rsidR="009E1EF6" w:rsidRPr="00CA4FC7">
        <w:rPr>
          <w:rFonts w:ascii="Arial" w:hAnsi="Arial" w:cs="Arial"/>
          <w:lang w:val="en-US"/>
        </w:rPr>
        <w:instrText xml:space="preserve"> ADDIN ZOTERO_ITEM CSL_CITATION {"citationID":"jr4C5rAU","properties":{"formattedCitation":"(25)","plainCitation":"(25)","noteIndex":0},"citationItems":[{"id":6642,"uris":["http://zotero.org/users/5535897/items/QW54FUMA"],"itemData":{"id":6642,"type":"article-journal","abstract":"OBJECTIVE: To evaluate the immediate effect of lubmopelvic manipulation on EMG activity of vastus medialis, vastus lateralis and gluteus medius as well as pain and functional performance of athletes with patellofemoral pain syndrome.\nDESIGN: Randomized placebo-controlled trial.\nMETHODS: Twenty eight athletes with patellofemoral pain syndrome were randomly assigned to two groups. One group received a lubmopelvic manipulation at the side of the involved knee while the other group received a sham manipulation. EMG activity of the vasti and gluteus medius were recorded before and after manipulation while performing a rocking on heel task. The functional abilities were evaluated using two tests: step-down and single-leg hop. Additionally, the pain intensity during the functional tests was assessed using a visual analog scale.\nRESULTS: The onset and amplitude of EMG activity from vastus medialis and gluteus medius were, respectively, earlier and higher in the manipulation group compared to the sham group. There were no significant differences, however, between two groups in EMG onset of vastus lateralis. While the scores of one-leg hop test were similar for both groups, significant improvement was observed in step-down test and pain intensity in the manipulation group compared to the sham group.\nCONCLUSIONS: Lubmopelvic manipulation might improve patellofemoral pain and functional level in athletes with patellofemoral pain syndrome. These effects could be due to the changes observed in EMG activity of gluteus medius and vasti muscles. Therefore, the lubmopelvic manipulation might be considered in the rehabilitation protocol of the athletes with patellofemoral pain syndrome.","container-title":"Manual Therapy","DOI":"10.1016/j.math.2016.02.002","ISSN":"1532-2769","journalAbbreviation":"Man Ther","language":"eng","page":"16-21","PMID":"26995778","source":"PubMed","title":"The immediate effect of lumbopelvic manipulation on EMG of vasti and gluteus medius in athletes with patellofemoral pain syndrome: A randomized controlled trial","title-short":"The immediate effect of lumbopelvic manipulation on EMG of vasti and gluteus medius in athletes with patellofemoral pain syndrome","volume":"22","author":[{"family":"Motealleh","given":"Alireza"},{"family":"Gheysari","given":"Elham"},{"family":"Shokri","given":"Esmaeil"},{"family":"Sobhani","given":"Sobhan"}],"issued":{"date-parts":[["2016",4]]}}}],"schema":"https://github.com/citation-style-language/schema/raw/master/csl-citation.json"} </w:instrText>
      </w:r>
      <w:r w:rsidR="00DF6A77" w:rsidRPr="00CA4FC7">
        <w:rPr>
          <w:rFonts w:ascii="Arial" w:hAnsi="Arial" w:cs="Arial"/>
          <w:lang w:val="en-US"/>
        </w:rPr>
        <w:fldChar w:fldCharType="separate"/>
      </w:r>
      <w:r w:rsidR="009E1EF6" w:rsidRPr="00CA4FC7">
        <w:rPr>
          <w:rFonts w:ascii="Arial" w:hAnsi="Arial" w:cs="Arial"/>
          <w:noProof/>
          <w:lang w:val="en-US"/>
        </w:rPr>
        <w:t>(25)</w:t>
      </w:r>
      <w:r w:rsidR="00DF6A77" w:rsidRPr="00CA4FC7">
        <w:rPr>
          <w:rFonts w:ascii="Arial" w:hAnsi="Arial" w:cs="Arial"/>
          <w:lang w:val="en-US"/>
        </w:rPr>
        <w:fldChar w:fldCharType="end"/>
      </w:r>
      <w:r w:rsidR="002174B4" w:rsidRPr="00CA4FC7">
        <w:rPr>
          <w:rFonts w:ascii="Arial" w:hAnsi="Arial" w:cs="Arial"/>
          <w:lang w:val="en-US"/>
        </w:rPr>
        <w:t xml:space="preserve"> (Fig</w:t>
      </w:r>
      <w:r w:rsidR="003E663F" w:rsidRPr="00CA4FC7">
        <w:rPr>
          <w:rFonts w:ascii="Arial" w:hAnsi="Arial" w:cs="Arial"/>
          <w:lang w:val="en-US"/>
        </w:rPr>
        <w:t>. 2</w:t>
      </w:r>
      <w:r w:rsidR="002174B4" w:rsidRPr="00CA4FC7">
        <w:rPr>
          <w:rFonts w:ascii="Arial" w:hAnsi="Arial" w:cs="Arial"/>
          <w:lang w:val="en-US"/>
        </w:rPr>
        <w:t>)</w:t>
      </w:r>
      <w:r w:rsidR="00380DC6" w:rsidRPr="00CA4FC7">
        <w:rPr>
          <w:rFonts w:ascii="Arial" w:hAnsi="Arial" w:cs="Arial"/>
          <w:lang w:val="en-US"/>
        </w:rPr>
        <w:t>.</w:t>
      </w:r>
      <w:r w:rsidR="00380DC6" w:rsidRPr="008C65CE">
        <w:rPr>
          <w:rFonts w:ascii="Arial" w:hAnsi="Arial" w:cs="Arial"/>
          <w:lang w:val="en-US"/>
        </w:rPr>
        <w:t xml:space="preserve"> </w:t>
      </w:r>
      <w:r w:rsidR="0006221A">
        <w:rPr>
          <w:rFonts w:ascii="Arial" w:hAnsi="Arial" w:cs="Arial"/>
          <w:lang w:val="en-US"/>
        </w:rPr>
        <w:t xml:space="preserve">The LPM technique will be performed once per session. </w:t>
      </w:r>
      <w:r w:rsidR="0041137B" w:rsidRPr="00107D60">
        <w:rPr>
          <w:rFonts w:ascii="Arial" w:hAnsi="Arial" w:cs="Arial"/>
          <w:lang w:val="en-US"/>
        </w:rPr>
        <w:t>If the response is “No”</w:t>
      </w:r>
      <w:r w:rsidR="009E4297">
        <w:rPr>
          <w:rFonts w:ascii="Arial" w:hAnsi="Arial" w:cs="Arial"/>
          <w:lang w:val="en-US"/>
        </w:rPr>
        <w:t>,</w:t>
      </w:r>
      <w:r w:rsidR="0041137B" w:rsidRPr="00107D60">
        <w:rPr>
          <w:rFonts w:ascii="Arial" w:hAnsi="Arial" w:cs="Arial"/>
          <w:lang w:val="en-US"/>
        </w:rPr>
        <w:t xml:space="preserve"> the intervention will be discontinued, and the participant will continue the session with usual care.</w:t>
      </w:r>
      <w:r w:rsidR="0041137B">
        <w:rPr>
          <w:rFonts w:ascii="Arial" w:hAnsi="Arial" w:cs="Arial"/>
          <w:lang w:val="en-US"/>
        </w:rPr>
        <w:t xml:space="preserve"> </w:t>
      </w:r>
      <w:r w:rsidR="0006221A" w:rsidRPr="0006221A">
        <w:rPr>
          <w:rFonts w:ascii="Arial" w:hAnsi="Arial" w:cs="Arial"/>
          <w:lang w:val="en-US"/>
        </w:rPr>
        <w:t>Overall, if the participant expresses any sense of threat during the session—whether physical, emotional, cognitive, or environmental—the technique will not be performed, and the session will proceed with usual care</w:t>
      </w:r>
      <w:r w:rsidR="0006221A">
        <w:rPr>
          <w:rFonts w:ascii="Arial" w:hAnsi="Arial" w:cs="Arial"/>
          <w:lang w:val="en-US"/>
        </w:rPr>
        <w:t xml:space="preserve"> </w:t>
      </w:r>
      <w:r w:rsidR="0006221A">
        <w:rPr>
          <w:rFonts w:ascii="Arial" w:hAnsi="Arial" w:cs="Arial"/>
          <w:lang w:val="en-US"/>
        </w:rPr>
        <w:fldChar w:fldCharType="begin"/>
      </w:r>
      <w:r w:rsidR="009E1EF6">
        <w:rPr>
          <w:rFonts w:ascii="Arial" w:hAnsi="Arial" w:cs="Arial"/>
          <w:lang w:val="en-US"/>
        </w:rPr>
        <w:instrText xml:space="preserve"> ADDIN ZOTERO_ITEM CSL_CITATION {"citationID":"lm3Iun1x","properties":{"formattedCitation":"(28)","plainCitation":"(28)","noteIndex":0},"citationItems":[{"id":10506,"uris":["http://zotero.org/users/5535897/items/5L9NXAZW"],"itemData":{"id":10506,"type":"article-journal","abstract":"Background  Musculoskeletal conditions are the leading contributor to global disability and health burden. Manual therapy (MT) interventions are commonly recommended in clinical guidelines and used in the management of musculoskeletal conditions. Traditional systems of manual therapy (TMT), including physiotherapy, osteopathy, chiropractic, and soft tissue therapy have been built on principles such as clinician-centred assessment, patho-anatomical reasoning, and technique specificity. These historical principles are not supported by current evidence. However, data from clinical trials support the clinical and cost effectiveness of manual therapy as an intervention for musculoskeletal conditions, when used as part of a package of care.\nPurpose  The purpose of this paper is to propose a modern evidence-guided framework for the teaching and practice of MT which avoids reference to and reliance on the outdated principles of TMT. This framework is based on three fundamental humanistic dimensions common in all aspects of healthcare: safety, comfort, and efficiency. These practical elements are contextualised by positive communication, a collaborative context, and person-centred care. The framework facilitates best-practice, reasoning, and communication and is exemplified here with two case studies.\nMethods  A literature review stimulated by a new method of teaching manual therapy, reflecting contemporary evidence, being trialled at a United Kingdom education institute. A group of experienced, internationally-based academics, clinicians, and researchers from across the spectrum of manual therapy was convened. Perspectives were elicited through reviews of contemporary literature and discussions in an iterative process. Public presentations were made to multidisciplinary groups and feedback was incorporated. Consensus was achieved through repeated discussion of relevant elements.\nConclusions  Manual therapy interventions should include both passive and active, person-empowering interventions such as exercise, education, and lifestyle adaptations. These should be delivered in a contextualised healing environment with a well-developed person-practitioner therapeutic alliance. Teaching manual therapy should follow this model.","container-title":"Chiropractic &amp; Manual Therapies","DOI":"10.1186/s12998-024-00537-0","ISSN":"2045-709X","issue":"1","journalAbbreviation":"Chiropr Man Therap","language":"en","page":"17","source":"DOI.org (Crossref)","title":"A modern way to teach and practice manual therapy","volume":"32","author":[{"family":"Kerry","given":"Roger"},{"family":"Young","given":"Kenneth J."},{"family":"Evans","given":"David W."},{"family":"Lee","given":"Edward"},{"family":"Georgopoulos","given":"Vasileios"},{"family":"Meakins","given":"Adam"},{"family":"McCarthy","given":"Chris"},{"family":"Cook","given":"Chad"},{"family":"Ridehalgh","given":"Colette"},{"family":"Vogel","given":"Steven"},{"family":"Banton","given":"Amanda"},{"family":"Bergström","given":"Cecilia"},{"family":"Mazzieri","given":"Anna Maria"},{"family":"Mourad","given":"Firas"},{"family":"Hutting","given":"Nathan"}],"issued":{"date-parts":[["2024",5,21]]}}}],"schema":"https://github.com/citation-style-language/schema/raw/master/csl-citation.json"} </w:instrText>
      </w:r>
      <w:r w:rsidR="0006221A">
        <w:rPr>
          <w:rFonts w:ascii="Arial" w:hAnsi="Arial" w:cs="Arial"/>
          <w:lang w:val="en-US"/>
        </w:rPr>
        <w:fldChar w:fldCharType="separate"/>
      </w:r>
      <w:r w:rsidR="009E1EF6">
        <w:rPr>
          <w:rFonts w:ascii="Arial" w:hAnsi="Arial" w:cs="Arial"/>
          <w:noProof/>
          <w:lang w:val="en-US"/>
        </w:rPr>
        <w:t>(28)</w:t>
      </w:r>
      <w:r w:rsidR="0006221A">
        <w:rPr>
          <w:rFonts w:ascii="Arial" w:hAnsi="Arial" w:cs="Arial"/>
          <w:lang w:val="en-US"/>
        </w:rPr>
        <w:fldChar w:fldCharType="end"/>
      </w:r>
      <w:r w:rsidR="0006221A" w:rsidRPr="0006221A">
        <w:rPr>
          <w:rFonts w:ascii="Arial" w:hAnsi="Arial" w:cs="Arial"/>
          <w:lang w:val="en-US"/>
        </w:rPr>
        <w:t>.</w:t>
      </w:r>
    </w:p>
    <w:p w14:paraId="0FD91A59" w14:textId="77777777" w:rsidR="00BE5672" w:rsidRPr="00107D60" w:rsidRDefault="00BE5672" w:rsidP="0037195D">
      <w:pPr>
        <w:spacing w:line="480" w:lineRule="auto"/>
        <w:jc w:val="both"/>
        <w:rPr>
          <w:rFonts w:ascii="Arial" w:hAnsi="Arial" w:cs="Arial"/>
          <w:lang w:val="en-US"/>
        </w:rPr>
      </w:pPr>
    </w:p>
    <w:p w14:paraId="326E5E66" w14:textId="77777777" w:rsidR="003E663F" w:rsidRDefault="00380DC6" w:rsidP="0037195D">
      <w:pPr>
        <w:keepNext/>
        <w:spacing w:line="480" w:lineRule="auto"/>
        <w:jc w:val="both"/>
      </w:pPr>
      <w:r w:rsidRPr="0079620E">
        <w:rPr>
          <w:rFonts w:ascii="Arial" w:hAnsi="Arial" w:cs="Arial"/>
          <w:lang w:val="en-US"/>
        </w:rPr>
        <w:t xml:space="preserve"> </w:t>
      </w:r>
      <w:r w:rsidR="00BE5672">
        <w:rPr>
          <w:rFonts w:ascii="Arial" w:hAnsi="Arial" w:cs="Arial"/>
          <w:noProof/>
          <w:lang w:val="en-US"/>
        </w:rPr>
        <w:drawing>
          <wp:inline distT="0" distB="0" distL="0" distR="0" wp14:anchorId="27B46DD9" wp14:editId="4FE6EFCE">
            <wp:extent cx="2603695" cy="2052000"/>
            <wp:effectExtent l="0" t="0" r="0" b="571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3ee5574-ef09-4054-8d39-68cebe112cf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3695" cy="2052000"/>
                    </a:xfrm>
                    <a:prstGeom prst="rect">
                      <a:avLst/>
                    </a:prstGeom>
                  </pic:spPr>
                </pic:pic>
              </a:graphicData>
            </a:graphic>
          </wp:inline>
        </w:drawing>
      </w:r>
    </w:p>
    <w:p w14:paraId="7247D26F" w14:textId="1FE762A4" w:rsidR="003003D7" w:rsidRDefault="003E663F" w:rsidP="0037195D">
      <w:pPr>
        <w:pStyle w:val="Lgende"/>
        <w:spacing w:line="480" w:lineRule="auto"/>
        <w:jc w:val="both"/>
        <w:rPr>
          <w:rFonts w:ascii="Arial" w:hAnsi="Arial" w:cs="Arial"/>
          <w:lang w:val="en-US"/>
        </w:rPr>
      </w:pPr>
      <w:r w:rsidRPr="00107D60">
        <w:rPr>
          <w:lang w:val="en-US"/>
        </w:rPr>
        <w:t>Figure 2: Lumbopelvic manipulation.</w:t>
      </w:r>
    </w:p>
    <w:p w14:paraId="1ABC3E43" w14:textId="7EBAC271" w:rsidR="00380DC6" w:rsidRDefault="00134D39" w:rsidP="0037195D">
      <w:pPr>
        <w:spacing w:line="480" w:lineRule="auto"/>
        <w:jc w:val="both"/>
        <w:rPr>
          <w:rFonts w:ascii="Arial" w:hAnsi="Arial" w:cs="Arial"/>
          <w:i/>
          <w:iCs/>
          <w:lang w:val="en-US"/>
        </w:rPr>
      </w:pPr>
      <w:r>
        <w:rPr>
          <w:rFonts w:ascii="Arial" w:hAnsi="Arial" w:cs="Arial"/>
          <w:i/>
          <w:iCs/>
          <w:lang w:val="en-US"/>
        </w:rPr>
        <w:t xml:space="preserve">Sham </w:t>
      </w:r>
      <w:r w:rsidR="00C32A8D">
        <w:rPr>
          <w:rFonts w:ascii="Arial" w:hAnsi="Arial" w:cs="Arial"/>
          <w:i/>
          <w:iCs/>
          <w:lang w:val="en-US"/>
        </w:rPr>
        <w:t>LPM</w:t>
      </w:r>
      <w:r w:rsidR="00380DC6" w:rsidRPr="004358E9">
        <w:rPr>
          <w:rFonts w:ascii="Arial" w:hAnsi="Arial" w:cs="Arial"/>
          <w:i/>
          <w:iCs/>
          <w:lang w:val="en-US"/>
        </w:rPr>
        <w:t xml:space="preserve"> intervention</w:t>
      </w:r>
    </w:p>
    <w:p w14:paraId="5878BA35" w14:textId="69613685" w:rsidR="0041137B" w:rsidRDefault="00380DC6" w:rsidP="0037195D">
      <w:pPr>
        <w:spacing w:line="480" w:lineRule="auto"/>
        <w:jc w:val="both"/>
        <w:rPr>
          <w:rFonts w:ascii="Arial" w:hAnsi="Arial" w:cs="Arial"/>
          <w:lang w:val="en-US"/>
        </w:rPr>
      </w:pPr>
      <w:r w:rsidRPr="004358E9">
        <w:rPr>
          <w:rFonts w:ascii="Arial" w:hAnsi="Arial" w:cs="Arial"/>
          <w:lang w:val="en-US"/>
        </w:rPr>
        <w:t>Pa</w:t>
      </w:r>
      <w:r w:rsidR="00856851">
        <w:rPr>
          <w:rFonts w:ascii="Arial" w:hAnsi="Arial" w:cs="Arial"/>
          <w:lang w:val="en-US"/>
        </w:rPr>
        <w:t>rticipants</w:t>
      </w:r>
      <w:r w:rsidRPr="004358E9">
        <w:rPr>
          <w:rFonts w:ascii="Arial" w:hAnsi="Arial" w:cs="Arial"/>
          <w:lang w:val="en-US"/>
        </w:rPr>
        <w:t xml:space="preserve"> in the </w:t>
      </w:r>
      <w:r>
        <w:rPr>
          <w:rFonts w:ascii="Arial" w:hAnsi="Arial" w:cs="Arial"/>
          <w:lang w:val="en-US"/>
        </w:rPr>
        <w:t>"Usual care plus sham"</w:t>
      </w:r>
      <w:r w:rsidRPr="004358E9">
        <w:rPr>
          <w:rFonts w:ascii="Arial" w:hAnsi="Arial" w:cs="Arial"/>
          <w:lang w:val="en-US"/>
        </w:rPr>
        <w:t xml:space="preserve"> group </w:t>
      </w:r>
      <w:r>
        <w:rPr>
          <w:rFonts w:ascii="Arial" w:hAnsi="Arial" w:cs="Arial"/>
          <w:lang w:val="en-US"/>
        </w:rPr>
        <w:t xml:space="preserve">will </w:t>
      </w:r>
      <w:r w:rsidRPr="004358E9">
        <w:rPr>
          <w:rFonts w:ascii="Arial" w:hAnsi="Arial" w:cs="Arial"/>
          <w:lang w:val="en-US"/>
        </w:rPr>
        <w:t xml:space="preserve">receive </w:t>
      </w:r>
      <w:r>
        <w:rPr>
          <w:rFonts w:ascii="Arial" w:hAnsi="Arial" w:cs="Arial"/>
          <w:lang w:val="en-US"/>
        </w:rPr>
        <w:t xml:space="preserve">sham </w:t>
      </w:r>
      <w:r w:rsidR="00856851">
        <w:rPr>
          <w:rFonts w:ascii="Arial" w:hAnsi="Arial" w:cs="Arial"/>
          <w:lang w:val="en-US"/>
        </w:rPr>
        <w:t>LPM</w:t>
      </w:r>
      <w:r w:rsidR="000B739F">
        <w:rPr>
          <w:rFonts w:ascii="Arial" w:hAnsi="Arial" w:cs="Arial"/>
          <w:lang w:val="en-US"/>
        </w:rPr>
        <w:t xml:space="preserve"> from the LPM providers</w:t>
      </w:r>
      <w:r w:rsidRPr="004358E9">
        <w:rPr>
          <w:rFonts w:ascii="Arial" w:hAnsi="Arial" w:cs="Arial"/>
          <w:lang w:val="en-US"/>
        </w:rPr>
        <w:t xml:space="preserve">, </w:t>
      </w:r>
      <w:r w:rsidR="00856851">
        <w:rPr>
          <w:rFonts w:ascii="Arial" w:hAnsi="Arial" w:cs="Arial"/>
          <w:lang w:val="en-US"/>
        </w:rPr>
        <w:t>dur</w:t>
      </w:r>
      <w:r w:rsidRPr="004358E9">
        <w:rPr>
          <w:rFonts w:ascii="Arial" w:hAnsi="Arial" w:cs="Arial"/>
          <w:lang w:val="en-US"/>
        </w:rPr>
        <w:t>in</w:t>
      </w:r>
      <w:r w:rsidR="00856851">
        <w:rPr>
          <w:rFonts w:ascii="Arial" w:hAnsi="Arial" w:cs="Arial"/>
          <w:lang w:val="en-US"/>
        </w:rPr>
        <w:t>g</w:t>
      </w:r>
      <w:r w:rsidRPr="004358E9">
        <w:rPr>
          <w:rFonts w:ascii="Arial" w:hAnsi="Arial" w:cs="Arial"/>
          <w:lang w:val="en-US"/>
        </w:rPr>
        <w:t xml:space="preserve"> which the</w:t>
      </w:r>
      <w:r w:rsidR="00856851">
        <w:rPr>
          <w:rFonts w:ascii="Arial" w:hAnsi="Arial" w:cs="Arial"/>
          <w:lang w:val="en-US"/>
        </w:rPr>
        <w:t>y</w:t>
      </w:r>
      <w:r w:rsidRPr="004358E9">
        <w:rPr>
          <w:rFonts w:ascii="Arial" w:hAnsi="Arial" w:cs="Arial"/>
          <w:lang w:val="en-US"/>
        </w:rPr>
        <w:t xml:space="preserve"> w</w:t>
      </w:r>
      <w:r>
        <w:rPr>
          <w:rFonts w:ascii="Arial" w:hAnsi="Arial" w:cs="Arial"/>
          <w:lang w:val="en-US"/>
        </w:rPr>
        <w:t>ill be</w:t>
      </w:r>
      <w:r w:rsidRPr="004358E9">
        <w:rPr>
          <w:rFonts w:ascii="Arial" w:hAnsi="Arial" w:cs="Arial"/>
          <w:lang w:val="en-US"/>
        </w:rPr>
        <w:t xml:space="preserve"> </w:t>
      </w:r>
      <w:r w:rsidR="00856851">
        <w:rPr>
          <w:rFonts w:ascii="Arial" w:hAnsi="Arial" w:cs="Arial"/>
          <w:lang w:val="en-US"/>
        </w:rPr>
        <w:t>position</w:t>
      </w:r>
      <w:r w:rsidRPr="004358E9">
        <w:rPr>
          <w:rFonts w:ascii="Arial" w:hAnsi="Arial" w:cs="Arial"/>
          <w:lang w:val="en-US"/>
        </w:rPr>
        <w:t>ed i</w:t>
      </w:r>
      <w:r w:rsidR="00856851">
        <w:rPr>
          <w:rFonts w:ascii="Arial" w:hAnsi="Arial" w:cs="Arial"/>
          <w:lang w:val="en-US"/>
        </w:rPr>
        <w:t>de</w:t>
      </w:r>
      <w:r w:rsidRPr="004358E9">
        <w:rPr>
          <w:rFonts w:ascii="Arial" w:hAnsi="Arial" w:cs="Arial"/>
          <w:lang w:val="en-US"/>
        </w:rPr>
        <w:t>n</w:t>
      </w:r>
      <w:r w:rsidR="00856851">
        <w:rPr>
          <w:rFonts w:ascii="Arial" w:hAnsi="Arial" w:cs="Arial"/>
          <w:lang w:val="en-US"/>
        </w:rPr>
        <w:t>tically to</w:t>
      </w:r>
      <w:r w:rsidRPr="004358E9">
        <w:rPr>
          <w:rFonts w:ascii="Arial" w:hAnsi="Arial" w:cs="Arial"/>
          <w:lang w:val="en-US"/>
        </w:rPr>
        <w:t xml:space="preserve"> the </w:t>
      </w:r>
      <w:r w:rsidR="00856851">
        <w:rPr>
          <w:rFonts w:ascii="Arial" w:hAnsi="Arial" w:cs="Arial"/>
          <w:lang w:val="en-US"/>
        </w:rPr>
        <w:t xml:space="preserve">active intervention but maintained in this </w:t>
      </w:r>
      <w:r w:rsidRPr="004358E9">
        <w:rPr>
          <w:rFonts w:ascii="Arial" w:hAnsi="Arial" w:cs="Arial"/>
          <w:lang w:val="en-US"/>
        </w:rPr>
        <w:t>position for 5 s</w:t>
      </w:r>
      <w:r w:rsidR="00856851">
        <w:rPr>
          <w:rFonts w:ascii="Arial" w:hAnsi="Arial" w:cs="Arial"/>
          <w:lang w:val="en-US"/>
        </w:rPr>
        <w:t>econds</w:t>
      </w:r>
      <w:r w:rsidR="008B2EC7" w:rsidRPr="00CA4FC7">
        <w:rPr>
          <w:rFonts w:ascii="Arial" w:hAnsi="Arial" w:cs="Arial"/>
          <w:lang w:val="en-US"/>
        </w:rPr>
        <w:t xml:space="preserve">, with a light contact from </w:t>
      </w:r>
      <w:r w:rsidRPr="00CA4FC7">
        <w:rPr>
          <w:rFonts w:ascii="Arial" w:hAnsi="Arial" w:cs="Arial"/>
          <w:lang w:val="en-US"/>
        </w:rPr>
        <w:t xml:space="preserve"> </w:t>
      </w:r>
      <w:r w:rsidR="008B2EC7" w:rsidRPr="00CA4FC7">
        <w:rPr>
          <w:rFonts w:ascii="Arial" w:hAnsi="Arial" w:cs="Arial"/>
          <w:lang w:val="en-US"/>
        </w:rPr>
        <w:t xml:space="preserve">the therapist's caudal hand and </w:t>
      </w:r>
      <w:r w:rsidRPr="00CA4FC7">
        <w:rPr>
          <w:rFonts w:ascii="Arial" w:hAnsi="Arial" w:cs="Arial"/>
          <w:lang w:val="en-US"/>
        </w:rPr>
        <w:t>without the</w:t>
      </w:r>
      <w:r w:rsidR="00856851" w:rsidRPr="00CA4FC7">
        <w:rPr>
          <w:rFonts w:ascii="Arial" w:hAnsi="Arial" w:cs="Arial"/>
          <w:lang w:val="en-US"/>
        </w:rPr>
        <w:t xml:space="preserve"> application of a</w:t>
      </w:r>
      <w:r w:rsidRPr="00CA4FC7">
        <w:rPr>
          <w:rFonts w:ascii="Arial" w:hAnsi="Arial" w:cs="Arial"/>
          <w:lang w:val="en-US"/>
        </w:rPr>
        <w:t xml:space="preserve"> manipulative thrust</w:t>
      </w:r>
      <w:r w:rsidR="00DF6A77">
        <w:rPr>
          <w:rFonts w:ascii="Arial" w:hAnsi="Arial" w:cs="Arial"/>
          <w:lang w:val="en-US"/>
        </w:rPr>
        <w:t xml:space="preserve"> </w:t>
      </w:r>
      <w:r w:rsidR="00DF6A77">
        <w:rPr>
          <w:rFonts w:ascii="Arial" w:hAnsi="Arial" w:cs="Arial"/>
          <w:lang w:val="en-US"/>
        </w:rPr>
        <w:fldChar w:fldCharType="begin"/>
      </w:r>
      <w:r w:rsidR="009E1EF6">
        <w:rPr>
          <w:rFonts w:ascii="Arial" w:hAnsi="Arial" w:cs="Arial"/>
          <w:lang w:val="en-US"/>
        </w:rPr>
        <w:instrText xml:space="preserve"> ADDIN ZOTERO_ITEM CSL_CITATION {"citationID":"vAf6m0or","properties":{"formattedCitation":"(25\\uc0\\u8211{}27)","plainCitation":"(25–27)","noteIndex":0},"citationItems":[{"id":6642,"uris":["http://zotero.org/users/5535897/items/QW54FUMA"],"itemData":{"id":6642,"type":"article-journal","abstract":"OBJECTIVE: To evaluate the immediate effect of lubmopelvic manipulation on EMG activity of vastus medialis, vastus lateralis and gluteus medius as well as pain and functional performance of athletes with patellofemoral pain syndrome.\nDESIGN: Randomized placebo-controlled trial.\nMETHODS: Twenty eight athletes with patellofemoral pain syndrome were randomly assigned to two groups. One group received a lubmopelvic manipulation at the side of the involved knee while the other group received a sham manipulation. EMG activity of the vasti and gluteus medius were recorded before and after manipulation while performing a rocking on heel task. The functional abilities were evaluated using two tests: step-down and single-leg hop. Additionally, the pain intensity during the functional tests was assessed using a visual analog scale.\nRESULTS: The onset and amplitude of EMG activity from vastus medialis and gluteus medius were, respectively, earlier and higher in the manipulation group compared to the sham group. There were no significant differences, however, between two groups in EMG onset of vastus lateralis. While the scores of one-leg hop test were similar for both groups, significant improvement was observed in step-down test and pain intensity in the manipulation group compared to the sham group.\nCONCLUSIONS: Lubmopelvic manipulation might improve patellofemoral pain and functional level in athletes with patellofemoral pain syndrome. These effects could be due to the changes observed in EMG activity of gluteus medius and vasti muscles. Therefore, the lubmopelvic manipulation might be considered in the rehabilitation protocol of the athletes with patellofemoral pain syndrome.","container-title":"Manual Therapy","DOI":"10.1016/j.math.2016.02.002","ISSN":"1532-2769","journalAbbreviation":"Man Ther","language":"eng","page":"16-21","PMID":"26995778","source":"PubMed","title":"The immediate effect of lumbopelvic manipulation on EMG of vasti and gluteus medius in athletes with patellofemoral pain syndrome: A randomized controlled trial","title-short":"The immediate effect of lumbopelvic manipulation on EMG of vasti and gluteus medius in athletes with patellofemoral pain syndrome","volume":"22","author":[{"family":"Motealleh","given":"Alireza"},{"family":"Gheysari","given":"Elham"},{"family":"Shokri","given":"Esmaeil"},{"family":"Sobhani","given":"Sobhan"}],"issued":{"date-parts":[["2016",4]]}}},{"id":6563,"uris":["http://zotero.org/users/5535897/items/B58NK54W"],"itemData":{"id":6563,"type":"article-journal","abstract":"BACKGROUND: Patellofemoral pain (PFP) is a common musculoskeletal disorder. Quadriceps and core muscle neuromuscular control impairments are frequently associated with PFP. Lumbopelvic manipulation (LPM) has been shown to improve quadriceps and core muscle activation and decrease their inhibition, but changes in balance and knee joint position sense (JPS) after this intervention remain unknown.\nOBJECTIVE: To determine whether LPM decreases knee pain and JPS error and increases balance performance in patients with PFP.\nDESIGN: Randomized controlled trial.\nSETTING: Biomechanics laboratory at a rehabilitation science research center.\nMETHODS: Forty-four patients with PFP participated in this study that randomly divided into two equal groups. One group received LPM and the other received sham LPM (positioning with no thrust) in a single session. At baseline and immediately after the intervention, the outcomes of pain using a visual analog scale, balance using the modified star excursion balance test (mSEBT), and JPS at 20° and 60° of knee flexion using a Biodex dynamometer.\nRESULTS: There was a statistically significant improvement in pain, balance control (anterior direction) and JPS in the LPM group immediately after the intervention. In addition, we observed significant differences between groups in pain, balance control (anterior direction) and JPS at 60° of knee flexion immediately after the intervention.\nCONCLUSION: A single session of LPM immediately improved balance control, knee JPS, and pain in patients diagnosed with PFP.\nCLINICAL REHABILITATION IMPACT: Findings suggest that LPM may be used as a therapeutic tool for immediate improvement of symptoms of PFP. However, more research is needed to determine long term results.","container-title":"Journal of Bodywork and Movement Therapies","DOI":"10.1016/j.jbmt.2020.01.006","ISSN":"1532-9283","issue":"3","journalAbbreviation":"J Bodyw Mov Ther","language":"eng","page":"71-77","PMID":"32826011","source":"PubMed","title":"The immediate effect of lumbopelvic manipulation on knee pain, knee position sense, and balance in patients with patellofemoral pain: A randomized controlled trial","title-short":"The immediate effect of lumbopelvic manipulation on knee pain, knee position sense, and balance in patients with patellofemoral pain","volume":"24","author":[{"family":"Motealleh","given":"Alireza"},{"family":"Barzegar","given":"Ali"},{"family":"Abbasi","given":"Leila"}],"issued":{"date-parts":[["2020",7]]}}},{"id":3595,"uris":["http://zotero.org/users/5535897/items/SRAXWW2T"],"itemData":{"id":3595,"type":"article-journal","abstract":"Background: Patellofemoral Pain Syndrome is the most common cause of anterior knee pain, especially in active young people. This study aimed to evaluate the effect of lumbopelvic manipulation on electromyography parameters of gluteus medius and vastus medialis in patients with patellofemoral pain syndrome. Methods: In this double-blind placebo-controlled randomized clinical trial study, 26 patients with a diagnosis of patellofemoral pain syndrome were randomly divided into two groups. The first group received Lumbopelvic manipulation and the second group was a control group that received placebo manipulation. Electromyography activity of vastus medialis and gluteus medius muscles were evaluated as primary outcomes during the single-leg squat; pain intensity during rest and functional tasks (step up, step down, single leg squat) were assessed by numerical pain rating scale. Functional status was evaluated by step-down test and the score of the Kujala patellofemoral questionnaire, as secondary outcomes. All evaluations were performed before and after the intervention, except pain intensity at rest and the Kujala patellofemoral questionnaire that were assessed before the intervention and one week after. Result: In both groups, no significant difference was observed before and after the intervention in terms of average amplitude and the onset of gluteus medius and vastus medialis. However, in the lumbopelvic manipulation group, pain intensity during rest and functional tests significantly decreased compared to the control group. Functional status significantly improved in the lumbopelvic manipulation group, with no significant difference between group comparisons. Conclusion: Lumbopelvic manipulation caused a reduction in pain intensity and improvement of functional status in the rehabilitation of patients with patellofemoral Pain Syndrome. However, it seems that this method could not change the EMG activity of muscles in these patients. Implications for practice: • The results of present study can help physiotherapists to understand the possible underlying pathomechanics of patellofemoral pain syndrome and more effective treatment of these group of patients. © 2023 Elsevier Ltd","archive":"Scopus","container-title":"International Journal of Osteopathic Medicine","DOI":"10.1016/j.ijosm.2023.100667","ISSN":"17460689 (ISSN)","journalAbbreviation":"Int. J. Ostheopath. Med.","language":"English","publisher":"Elsevier Ltd","title":"The effect of lumbopelvic manipulation on electromyography parameters of gluteus medius and vastus medialis in patients with patellofemoral pain syndrome: A double-blind, placebo-controlled trial","URL":"https://www.scopus.com/inward/record.uri?eid=2-s2.0-85169902080&amp;doi=10.1016%2fj.ijosm.2023.100667&amp;partnerID=40&amp;md5=ff7c69c20ca86ad6cc2a43f924c9322f","volume":"50","author":[{"family":"Zafarian","given":"T."},{"family":"Taghipour","given":"M."},{"family":"Khafri","given":"S."},{"family":"Bahrami","given":"M."},{"family":"Javanshir","given":"K."}],"issued":{"date-parts":[["2023"]]}}}],"schema":"https://github.com/citation-style-language/schema/raw/master/csl-citation.json"} </w:instrText>
      </w:r>
      <w:r w:rsidR="00DF6A77">
        <w:rPr>
          <w:rFonts w:ascii="Arial" w:hAnsi="Arial" w:cs="Arial"/>
          <w:lang w:val="en-US"/>
        </w:rPr>
        <w:fldChar w:fldCharType="separate"/>
      </w:r>
      <w:r w:rsidR="009E1EF6" w:rsidRPr="009E1EF6">
        <w:rPr>
          <w:rFonts w:ascii="Arial" w:eastAsiaTheme="minorHAnsi" w:hAnsi="Arial" w:cs="Arial"/>
          <w:lang w:val="en-US" w:eastAsia="en-US"/>
        </w:rPr>
        <w:t>(25–27)</w:t>
      </w:r>
      <w:r w:rsidR="00DF6A77">
        <w:rPr>
          <w:rFonts w:ascii="Arial" w:hAnsi="Arial" w:cs="Arial"/>
          <w:lang w:val="en-US"/>
        </w:rPr>
        <w:fldChar w:fldCharType="end"/>
      </w:r>
      <w:r w:rsidR="00EE45BC">
        <w:rPr>
          <w:rFonts w:ascii="Arial" w:hAnsi="Arial" w:cs="Arial"/>
          <w:lang w:val="en-US"/>
        </w:rPr>
        <w:t>, in order to m</w:t>
      </w:r>
      <w:r w:rsidR="00982E9D">
        <w:rPr>
          <w:rFonts w:ascii="Arial" w:hAnsi="Arial" w:cs="Arial"/>
          <w:lang w:val="en-US"/>
        </w:rPr>
        <w:t>atch</w:t>
      </w:r>
      <w:r w:rsidR="00EE45BC">
        <w:rPr>
          <w:rFonts w:ascii="Arial" w:hAnsi="Arial" w:cs="Arial"/>
          <w:lang w:val="en-US"/>
        </w:rPr>
        <w:t xml:space="preserve"> </w:t>
      </w:r>
      <w:r w:rsidR="00982E9D">
        <w:rPr>
          <w:rFonts w:ascii="Arial" w:hAnsi="Arial" w:cs="Arial"/>
          <w:lang w:val="en-US"/>
        </w:rPr>
        <w:t>the overall duration of the LPM technique.</w:t>
      </w:r>
      <w:r w:rsidR="0041137B">
        <w:rPr>
          <w:rFonts w:ascii="Arial" w:hAnsi="Arial" w:cs="Arial"/>
          <w:lang w:val="en-US"/>
        </w:rPr>
        <w:t xml:space="preserve"> </w:t>
      </w:r>
      <w:r w:rsidR="0041137B" w:rsidRPr="00107D60">
        <w:rPr>
          <w:rFonts w:ascii="Arial" w:hAnsi="Arial" w:cs="Arial"/>
          <w:lang w:val="en-US"/>
        </w:rPr>
        <w:t>Participant comfort and ongoing consent will be assessed during the intervention, following the same procedure based on the participant’s response</w:t>
      </w:r>
      <w:r w:rsidR="00EC6E4A">
        <w:rPr>
          <w:rFonts w:ascii="Arial" w:hAnsi="Arial" w:cs="Arial"/>
          <w:lang w:val="en-US"/>
        </w:rPr>
        <w:t xml:space="preserve"> and sense of threat</w:t>
      </w:r>
      <w:r w:rsidR="0041137B" w:rsidRPr="00107D60">
        <w:rPr>
          <w:rFonts w:ascii="Arial" w:hAnsi="Arial" w:cs="Arial"/>
          <w:lang w:val="en-US"/>
        </w:rPr>
        <w:t>.</w:t>
      </w:r>
    </w:p>
    <w:p w14:paraId="56103850" w14:textId="745919C0" w:rsidR="00380DC6" w:rsidRDefault="00380DC6" w:rsidP="0037195D">
      <w:pPr>
        <w:spacing w:line="480" w:lineRule="auto"/>
        <w:jc w:val="both"/>
        <w:rPr>
          <w:rFonts w:ascii="Arial" w:hAnsi="Arial" w:cs="Arial"/>
          <w:i/>
          <w:iCs/>
          <w:lang w:val="en-US"/>
        </w:rPr>
      </w:pPr>
      <w:r>
        <w:rPr>
          <w:rFonts w:ascii="Arial" w:hAnsi="Arial" w:cs="Arial"/>
          <w:i/>
          <w:iCs/>
          <w:lang w:val="en-US"/>
        </w:rPr>
        <w:t>Blinding</w:t>
      </w:r>
    </w:p>
    <w:p w14:paraId="19A65CC7" w14:textId="632C5E10" w:rsidR="000B43B2" w:rsidRDefault="00380DC6" w:rsidP="0037195D">
      <w:pPr>
        <w:spacing w:line="480" w:lineRule="auto"/>
        <w:jc w:val="both"/>
        <w:rPr>
          <w:rFonts w:ascii="Arial" w:hAnsi="Arial" w:cs="Arial"/>
          <w:b/>
          <w:bCs/>
          <w:lang w:val="en-US"/>
        </w:rPr>
      </w:pPr>
      <w:r w:rsidRPr="004358E9">
        <w:rPr>
          <w:rFonts w:ascii="Arial" w:hAnsi="Arial" w:cs="Arial"/>
          <w:lang w:val="en-US"/>
        </w:rPr>
        <w:lastRenderedPageBreak/>
        <w:t xml:space="preserve">A manual contact placebo (or sham </w:t>
      </w:r>
      <w:r>
        <w:rPr>
          <w:rFonts w:ascii="Arial" w:hAnsi="Arial" w:cs="Arial"/>
          <w:lang w:val="en-US"/>
        </w:rPr>
        <w:t>technique</w:t>
      </w:r>
      <w:r w:rsidRPr="004358E9">
        <w:rPr>
          <w:rFonts w:ascii="Arial" w:hAnsi="Arial" w:cs="Arial"/>
          <w:lang w:val="en-US"/>
        </w:rPr>
        <w:t xml:space="preserve">) is a procedure that </w:t>
      </w:r>
      <w:r>
        <w:rPr>
          <w:rFonts w:ascii="Arial" w:hAnsi="Arial" w:cs="Arial"/>
          <w:lang w:val="en-US"/>
        </w:rPr>
        <w:t>credibly</w:t>
      </w:r>
      <w:r w:rsidRPr="004358E9">
        <w:rPr>
          <w:rFonts w:ascii="Arial" w:hAnsi="Arial" w:cs="Arial"/>
          <w:lang w:val="en-US"/>
        </w:rPr>
        <w:t xml:space="preserve"> </w:t>
      </w:r>
      <w:r>
        <w:rPr>
          <w:rFonts w:ascii="Arial" w:hAnsi="Arial" w:cs="Arial"/>
          <w:lang w:val="en-US"/>
        </w:rPr>
        <w:t xml:space="preserve">simulates </w:t>
      </w:r>
      <w:r w:rsidRPr="004358E9">
        <w:rPr>
          <w:rFonts w:ascii="Arial" w:hAnsi="Arial" w:cs="Arial"/>
          <w:lang w:val="en-US"/>
        </w:rPr>
        <w:t xml:space="preserve">a manual therapy </w:t>
      </w:r>
      <w:r>
        <w:rPr>
          <w:rFonts w:ascii="Arial" w:hAnsi="Arial" w:cs="Arial"/>
          <w:lang w:val="en-US"/>
        </w:rPr>
        <w:t xml:space="preserve">technique to the participant </w:t>
      </w:r>
      <w:r w:rsidR="00DF6A77">
        <w:rPr>
          <w:rFonts w:ascii="Arial" w:hAnsi="Arial" w:cs="Arial"/>
          <w:lang w:val="en-US"/>
        </w:rPr>
        <w:fldChar w:fldCharType="begin"/>
      </w:r>
      <w:r w:rsidR="009E1EF6">
        <w:rPr>
          <w:rFonts w:ascii="Arial" w:hAnsi="Arial" w:cs="Arial"/>
          <w:lang w:val="en-US"/>
        </w:rPr>
        <w:instrText xml:space="preserve"> ADDIN ZOTERO_ITEM CSL_CITATION {"citationID":"mBMrQ2yf","properties":{"formattedCitation":"(29)","plainCitation":"(29)","noteIndex":0},"citationItems":[{"id":7452,"uris":["http://zotero.org/users/5535897/items/6VPUIA9U"],"itemData":{"id":7452,"type":"article-journal","abstract":"Summary: Despite the augmented use and dependence on manual therapy (MT), there are still calls from both within and outside the MT professions to provide robust evidence that spinal manipulative therapy (SMT) induces therapeutic effects beyond placebo. To facilitate this, placebo or ‘sham’ treatments, the development of which is notoriously difficult, must be used in rigorously controlled trials. The aim of this study was to investigate the suitability of different shams as controls in SMT trials. A repeated measures, single-blind, randomised trial was conducted on 10 asymptomatic subjects. Pain pressure thresholds (PPTs) were measured at 2 sites, local and systemic, before and after the application of either high-velocity low-amplitude thrust (HVLAT), sham functional technique (SFT), sham ultrasound (SUS) or no intervention control (NIC) to the cervico-thoracic (CT) junctional area. Treatment credibility was then assessed using a 4-point Likert Scale in response to 4 statements. Results demonstrated no significant change in PPT following any of the interventions, irrespective of site tested. The effect sizes for all interventions were considered small (d = &lt;0.2). There were significant differences in Likert Scale responses for each statement (P &lt; 0.001), with SUS eliciting significantly different responses as compared to SFT and NIC but not, predominantly, with HVLAT. SUS is implicated as being the most effective sham, having high fidelity to subjects'' perceptions of a ‘real’ treatment, whilst being therapeutically inert i.e. results in no significant change in clinical status. Copyright &amp;y&amp; Elsevier","archive":"sph","container-title":"Journal of Bodywork &amp; Movement Therapies","ISSN":"13608592","issue":"1","journalAbbreviation":"Journal of Bodywork &amp; Movement Therapies","page":"59-68","source":"EBSCOhost","title":"The suitability of sham treatments for use as placebo controls in trials of spinal manipulative therapy: A pilot study","volume":"17","author":[{"family":"Lougee","given":"Hannah"},{"family":"Johnston","given":"Ross G."},{"family":"Thomson","given":"Oliver P."}],"issued":{"date-parts":[["2013",1]]}}}],"schema":"https://github.com/citation-style-language/schema/raw/master/csl-citation.json"} </w:instrText>
      </w:r>
      <w:r w:rsidR="00DF6A77">
        <w:rPr>
          <w:rFonts w:ascii="Arial" w:hAnsi="Arial" w:cs="Arial"/>
          <w:lang w:val="en-US"/>
        </w:rPr>
        <w:fldChar w:fldCharType="separate"/>
      </w:r>
      <w:r w:rsidR="009E1EF6">
        <w:rPr>
          <w:rFonts w:ascii="Arial" w:hAnsi="Arial" w:cs="Arial"/>
          <w:noProof/>
          <w:lang w:val="en-US"/>
        </w:rPr>
        <w:t>(29)</w:t>
      </w:r>
      <w:r w:rsidR="00DF6A77">
        <w:rPr>
          <w:rFonts w:ascii="Arial" w:hAnsi="Arial" w:cs="Arial"/>
          <w:lang w:val="en-US"/>
        </w:rPr>
        <w:fldChar w:fldCharType="end"/>
      </w:r>
      <w:r>
        <w:rPr>
          <w:rFonts w:ascii="Arial" w:hAnsi="Arial" w:cs="Arial"/>
          <w:lang w:val="en-US"/>
        </w:rPr>
        <w:t>.</w:t>
      </w:r>
      <w:r w:rsidR="001C7722">
        <w:rPr>
          <w:rFonts w:ascii="Arial" w:hAnsi="Arial" w:cs="Arial"/>
          <w:lang w:val="en-US"/>
        </w:rPr>
        <w:t xml:space="preserve"> A</w:t>
      </w:r>
      <w:r w:rsidR="0043087E" w:rsidRPr="00107D60">
        <w:rPr>
          <w:rFonts w:ascii="Arial" w:hAnsi="Arial" w:cs="Arial"/>
          <w:lang w:val="en-US"/>
        </w:rPr>
        <w:t xml:space="preserve"> blinding assessment questionnaire will be administered immediately after the LPM and prior to the exercise program</w:t>
      </w:r>
      <w:r w:rsidR="0043087E">
        <w:rPr>
          <w:rFonts w:ascii="Arial" w:hAnsi="Arial" w:cs="Arial"/>
          <w:lang w:val="en-US"/>
        </w:rPr>
        <w:t>, and distributed by the principal investigator (</w:t>
      </w:r>
      <w:r w:rsidR="00695667">
        <w:rPr>
          <w:rFonts w:ascii="Arial" w:hAnsi="Arial" w:cs="Arial"/>
          <w:lang w:val="en-US"/>
        </w:rPr>
        <w:t>WS</w:t>
      </w:r>
      <w:r w:rsidR="0043087E">
        <w:rPr>
          <w:rFonts w:ascii="Arial" w:hAnsi="Arial" w:cs="Arial"/>
          <w:lang w:val="en-US"/>
        </w:rPr>
        <w:t>)</w:t>
      </w:r>
      <w:r w:rsidR="0043087E" w:rsidRPr="00107D60">
        <w:rPr>
          <w:rFonts w:ascii="Arial" w:hAnsi="Arial" w:cs="Arial"/>
          <w:lang w:val="en-US"/>
        </w:rPr>
        <w:t xml:space="preserve">. To minimize the risk of unblinding, the questionnaire will be self-administered using standardized instructions, and </w:t>
      </w:r>
      <w:r w:rsidR="0043087E">
        <w:rPr>
          <w:rFonts w:ascii="Arial" w:hAnsi="Arial" w:cs="Arial"/>
          <w:lang w:val="en-US"/>
        </w:rPr>
        <w:t xml:space="preserve">the investigator will not be present </w:t>
      </w:r>
      <w:r w:rsidR="0043087E" w:rsidRPr="00107D60">
        <w:rPr>
          <w:rFonts w:ascii="Arial" w:hAnsi="Arial" w:cs="Arial"/>
          <w:lang w:val="en-US"/>
        </w:rPr>
        <w:t>during completion.</w:t>
      </w:r>
      <w:r w:rsidR="001C7722">
        <w:rPr>
          <w:rFonts w:ascii="Arial" w:hAnsi="Arial" w:cs="Arial"/>
          <w:lang w:val="en-US"/>
        </w:rPr>
        <w:t xml:space="preserve"> Participants</w:t>
      </w:r>
      <w:r w:rsidRPr="00BE58BE">
        <w:rPr>
          <w:rFonts w:ascii="Arial" w:hAnsi="Arial" w:cs="Arial"/>
          <w:lang w:val="en-US"/>
        </w:rPr>
        <w:t xml:space="preserve"> will indicate whether they believe they received the active </w:t>
      </w:r>
      <w:r w:rsidR="00A07DAD">
        <w:rPr>
          <w:rFonts w:ascii="Arial" w:hAnsi="Arial" w:cs="Arial"/>
          <w:lang w:val="en-US"/>
        </w:rPr>
        <w:t>manipulation</w:t>
      </w:r>
      <w:r w:rsidR="00A07DAD" w:rsidRPr="00BE58BE">
        <w:rPr>
          <w:rFonts w:ascii="Arial" w:hAnsi="Arial" w:cs="Arial"/>
          <w:lang w:val="en-US"/>
        </w:rPr>
        <w:t xml:space="preserve"> </w:t>
      </w:r>
      <w:r w:rsidRPr="00BE58BE">
        <w:rPr>
          <w:rFonts w:ascii="Arial" w:hAnsi="Arial" w:cs="Arial"/>
          <w:lang w:val="en-US"/>
        </w:rPr>
        <w:t xml:space="preserve">(“yes/no”) and rate their certainty on a 0–10 numeric rating scale (0 = completely uncertain, 10 = absolutely certain) </w:t>
      </w:r>
      <w:r w:rsidR="00DF6A77">
        <w:rPr>
          <w:rFonts w:ascii="Arial" w:hAnsi="Arial" w:cs="Arial"/>
          <w:lang w:val="en-US"/>
        </w:rPr>
        <w:fldChar w:fldCharType="begin"/>
      </w:r>
      <w:r w:rsidR="009E1EF6">
        <w:rPr>
          <w:rFonts w:ascii="Arial" w:hAnsi="Arial" w:cs="Arial"/>
          <w:lang w:val="en-US"/>
        </w:rPr>
        <w:instrText xml:space="preserve"> ADDIN ZOTERO_ITEM CSL_CITATION {"citationID":"vawhLWa1","properties":{"formattedCitation":"(30)","plainCitation":"(30)","noteIndex":0},"citationItems":[{"id":11839,"uris":["http://zotero.org/users/5535897/items/3X95BH5D"],"itemData":{"id":11839,"type":"article-journal","abstract":"Abstract\n            At present, no consensus exists among clinical and academic experts regarding an appropriate placebo for randomized controlled trials (RCTs) of spinal manipulative therapy (SMT). Therefore, we investigated whether it was possible to conduct a chiropractic manual-therapy RCT with placebo. Seventy migraineurs were randomized to a single-blinded placebo-controlled clinical trial that consisted of 12 treatment sessions over 3 months. The participants were randomized to chiropractic SMT or placebo (sham manipulation). After each session, the participants were surveyed on whether they thought they had undergone active treatment (“yes” or “no”) and how strongly they believed that active treatment was received (numeric rating scale 0–10). The outcome measures included the rate of successful blinding and the certitude of the participants’ beliefs in both treatment groups. At each treatment session, more than 80% of the participants believed that they had undergone active treatment, regardless of group allocation. The odds ratio for believing that active treatment was received was &gt;10 for all treatment sessions in both groups (all p &lt; 0.001). The blinding was maintained throughout the RCT. Our results strongly demonstrate that it is possible to conduct a single-blinded manual-therapy RCT with placebo and to maintain the blinding throughout 12 treatment sessions given over 3 months.","container-title":"Scientific Reports","DOI":"10.1038/srep11774","ISSN":"2045-2322","issue":"1","journalAbbreviation":"Sci Rep","language":"en","page":"11774","source":"DOI.org (Crossref)","title":"Validation of Placebo in a Manual Therapy Randomized Controlled Trial","volume":"5","author":[{"family":"Chaibi","given":"Aleksander"},{"family":"Šaltytė Benth","given":"Jūratė"},{"family":"Bjørn Russell","given":"Michael"}],"issued":{"date-parts":[["2015",7,6]]}}}],"schema":"https://github.com/citation-style-language/schema/raw/master/csl-citation.json"} </w:instrText>
      </w:r>
      <w:r w:rsidR="00DF6A77">
        <w:rPr>
          <w:rFonts w:ascii="Arial" w:hAnsi="Arial" w:cs="Arial"/>
          <w:lang w:val="en-US"/>
        </w:rPr>
        <w:fldChar w:fldCharType="separate"/>
      </w:r>
      <w:r w:rsidR="009E1EF6">
        <w:rPr>
          <w:rFonts w:ascii="Arial" w:hAnsi="Arial" w:cs="Arial"/>
          <w:noProof/>
          <w:lang w:val="en-US"/>
        </w:rPr>
        <w:t>(30)</w:t>
      </w:r>
      <w:r w:rsidR="00DF6A77">
        <w:rPr>
          <w:rFonts w:ascii="Arial" w:hAnsi="Arial" w:cs="Arial"/>
          <w:lang w:val="en-US"/>
        </w:rPr>
        <w:fldChar w:fldCharType="end"/>
      </w:r>
      <w:r w:rsidR="00905489">
        <w:rPr>
          <w:rFonts w:ascii="Arial" w:hAnsi="Arial" w:cs="Arial"/>
          <w:lang w:val="en-US"/>
        </w:rPr>
        <w:t>.</w:t>
      </w:r>
    </w:p>
    <w:p w14:paraId="6F06EB4E" w14:textId="77777777" w:rsidR="0043087E" w:rsidRDefault="0043087E" w:rsidP="0037195D">
      <w:pPr>
        <w:spacing w:line="480" w:lineRule="auto"/>
        <w:jc w:val="both"/>
        <w:rPr>
          <w:rFonts w:ascii="Arial" w:hAnsi="Arial" w:cs="Arial"/>
          <w:b/>
          <w:bCs/>
          <w:lang w:val="en-US"/>
        </w:rPr>
      </w:pPr>
    </w:p>
    <w:p w14:paraId="2D1D2880" w14:textId="5664AB27" w:rsidR="004127E6" w:rsidRDefault="004127E6" w:rsidP="0037195D">
      <w:pPr>
        <w:spacing w:line="480" w:lineRule="auto"/>
        <w:jc w:val="both"/>
        <w:rPr>
          <w:rFonts w:ascii="Arial" w:hAnsi="Arial" w:cs="Arial"/>
          <w:b/>
          <w:bCs/>
          <w:lang w:val="en-US"/>
        </w:rPr>
      </w:pPr>
      <w:r>
        <w:rPr>
          <w:rFonts w:ascii="Arial" w:hAnsi="Arial" w:cs="Arial"/>
          <w:b/>
          <w:bCs/>
          <w:lang w:val="en-US"/>
        </w:rPr>
        <w:t>Outcome measures</w:t>
      </w:r>
      <w:r w:rsidR="007D233A">
        <w:rPr>
          <w:rFonts w:ascii="Arial" w:hAnsi="Arial" w:cs="Arial"/>
          <w:b/>
          <w:bCs/>
          <w:lang w:val="en-US"/>
        </w:rPr>
        <w:t xml:space="preserve"> </w:t>
      </w:r>
    </w:p>
    <w:p w14:paraId="09D4585E" w14:textId="77777777" w:rsidR="00AD7848" w:rsidRPr="00AD7848" w:rsidRDefault="00AD7848" w:rsidP="0037195D">
      <w:pPr>
        <w:spacing w:line="480" w:lineRule="auto"/>
        <w:jc w:val="both"/>
        <w:rPr>
          <w:rFonts w:ascii="Arial" w:hAnsi="Arial" w:cs="Arial"/>
          <w:lang w:val="en-US"/>
        </w:rPr>
      </w:pPr>
      <w:r w:rsidRPr="00AD7848">
        <w:rPr>
          <w:rFonts w:ascii="Arial" w:hAnsi="Arial" w:cs="Arial"/>
          <w:lang w:val="en-US"/>
        </w:rPr>
        <w:t>All study personnel involved in assessment, intervention delivery, and data collection will receive standardized training to ensure protocol adherence and methodological consistency. Detailed descriptions of the interventions delivered will be recorded on standardized session report forms completed by the clinicians administering either LPM or sham LPM.</w:t>
      </w:r>
    </w:p>
    <w:p w14:paraId="650C1E3D" w14:textId="77777777" w:rsidR="006C4493" w:rsidRPr="0079620E" w:rsidRDefault="006C4493" w:rsidP="0037195D">
      <w:pPr>
        <w:spacing w:line="480" w:lineRule="auto"/>
        <w:jc w:val="both"/>
        <w:rPr>
          <w:rFonts w:ascii="Arial" w:hAnsi="Arial" w:cs="Arial"/>
          <w:lang w:val="en-US"/>
        </w:rPr>
      </w:pPr>
    </w:p>
    <w:p w14:paraId="243AC15A" w14:textId="5A672CA8" w:rsidR="007D233A" w:rsidRDefault="007D233A" w:rsidP="0037195D">
      <w:pPr>
        <w:spacing w:line="480" w:lineRule="auto"/>
        <w:jc w:val="both"/>
        <w:rPr>
          <w:rFonts w:ascii="Arial" w:hAnsi="Arial" w:cs="Arial"/>
          <w:b/>
          <w:bCs/>
          <w:i/>
          <w:iCs/>
          <w:lang w:val="en-US"/>
        </w:rPr>
      </w:pPr>
      <w:r w:rsidRPr="007D233A">
        <w:rPr>
          <w:rFonts w:ascii="Arial" w:hAnsi="Arial" w:cs="Arial"/>
          <w:b/>
          <w:bCs/>
          <w:i/>
          <w:iCs/>
          <w:lang w:val="en-US"/>
        </w:rPr>
        <w:t>Primary outcome</w:t>
      </w:r>
    </w:p>
    <w:p w14:paraId="42E64694" w14:textId="36C09867" w:rsidR="00365514" w:rsidRPr="0079620E" w:rsidRDefault="00365514" w:rsidP="0037195D">
      <w:pPr>
        <w:spacing w:line="480" w:lineRule="auto"/>
        <w:jc w:val="both"/>
        <w:rPr>
          <w:rFonts w:ascii="Arial" w:eastAsiaTheme="minorHAnsi" w:hAnsi="Arial" w:cs="Arial"/>
          <w:lang w:val="en-US" w:eastAsia="en-US"/>
        </w:rPr>
      </w:pPr>
      <w:r w:rsidRPr="00365514">
        <w:rPr>
          <w:rFonts w:ascii="Arial" w:hAnsi="Arial" w:cs="Arial"/>
          <w:lang w:val="en-US"/>
        </w:rPr>
        <w:t xml:space="preserve">Primary outcomes will assess the feasibility, acceptability, and safety of the interventions. Acceptability will be evaluated through recruitment, consent, and retention rates, adherence to home exercises via participant diary </w:t>
      </w:r>
      <w:r w:rsidR="00DF6A77">
        <w:rPr>
          <w:rFonts w:ascii="Arial" w:hAnsi="Arial" w:cs="Arial"/>
          <w:lang w:val="en-US"/>
        </w:rPr>
        <w:fldChar w:fldCharType="begin"/>
      </w:r>
      <w:r w:rsidR="009E1EF6">
        <w:rPr>
          <w:rFonts w:ascii="Arial" w:hAnsi="Arial" w:cs="Arial"/>
          <w:lang w:val="en-US"/>
        </w:rPr>
        <w:instrText xml:space="preserve"> ADDIN ZOTERO_ITEM CSL_CITATION {"citationID":"kob0BxLV","properties":{"formattedCitation":"(31)","plainCitation":"(31)","noteIndex":0},"citationItems":[{"id":20279,"uris":["http://zotero.org/users/5535897/items/DMBES7PY"],"itemData":{"id":20279,"type":"article-journal","abstract":"Objectives: The purpose of this paper was to define treatment fidelity, review its use in health care research and suggest how it may be utilized in manual therapy research to improve the reliability and validity of the literature. Results: We offer an outline and a table of how manual therapy research may benefit from the concept of treatment fidelity. Discussion: While treatment fidelity is a newer concept, and has not been integrated into Physical Therapy or Manual Therapy research, when utilized, it can have positive effects on the reliability and validity of the techniques we evaluate.","container-title":"Journal of Manual &amp; Manipulative Therapy","DOI":"10.1080/10669817.2015.1135555","ISSN":"1066-9817, 2042-6186","issue":"4","journalAbbreviation":"Journal of Manual &amp; Manipulative Therapy","language":"en","page":"233-237","source":"DOI.org (Crossref)","title":"Consideration of treatment fidelity to improve manual therapy research","volume":"24","author":[{"family":"Karas","given":"Steve"},{"family":"Plankis","given":"Laura"}],"issued":{"date-parts":[["2016",8,7]]}}}],"schema":"https://github.com/citation-style-language/schema/raw/master/csl-citation.json"} </w:instrText>
      </w:r>
      <w:r w:rsidR="00DF6A77">
        <w:rPr>
          <w:rFonts w:ascii="Arial" w:hAnsi="Arial" w:cs="Arial"/>
          <w:lang w:val="en-US"/>
        </w:rPr>
        <w:fldChar w:fldCharType="separate"/>
      </w:r>
      <w:r w:rsidR="009E1EF6">
        <w:rPr>
          <w:rFonts w:ascii="Arial" w:hAnsi="Arial" w:cs="Arial"/>
          <w:noProof/>
          <w:lang w:val="en-US"/>
        </w:rPr>
        <w:t>(31)</w:t>
      </w:r>
      <w:r w:rsidR="00DF6A77">
        <w:rPr>
          <w:rFonts w:ascii="Arial" w:hAnsi="Arial" w:cs="Arial"/>
          <w:lang w:val="en-US"/>
        </w:rPr>
        <w:fldChar w:fldCharType="end"/>
      </w:r>
      <w:r w:rsidRPr="00365514">
        <w:rPr>
          <w:rFonts w:ascii="Arial" w:hAnsi="Arial" w:cs="Arial"/>
          <w:lang w:val="en-US"/>
        </w:rPr>
        <w:t xml:space="preserve">, </w:t>
      </w:r>
      <w:r w:rsidR="00411297">
        <w:rPr>
          <w:rFonts w:ascii="Arial" w:hAnsi="Arial" w:cs="Arial"/>
          <w:lang w:val="en-US"/>
        </w:rPr>
        <w:t xml:space="preserve">use of additional care between the end of the treatment period and follow-up, </w:t>
      </w:r>
      <w:r w:rsidRPr="00365514">
        <w:rPr>
          <w:rFonts w:ascii="Arial" w:hAnsi="Arial" w:cs="Arial"/>
          <w:lang w:val="en-US"/>
        </w:rPr>
        <w:t xml:space="preserve">and data completeness. </w:t>
      </w:r>
      <w:r w:rsidRPr="00C92421">
        <w:rPr>
          <w:rFonts w:ascii="Arial" w:hAnsi="Arial" w:cs="Arial"/>
          <w:lang w:val="en-US"/>
        </w:rPr>
        <w:t>Intervention fidelity will be assessed using provider</w:t>
      </w:r>
      <w:r w:rsidR="00C92421" w:rsidRPr="00C92421">
        <w:rPr>
          <w:rFonts w:ascii="Arial" w:hAnsi="Arial" w:cs="Arial"/>
          <w:lang w:val="en-US"/>
        </w:rPr>
        <w:t>-comple</w:t>
      </w:r>
      <w:r w:rsidR="00C92421" w:rsidRPr="004C2970">
        <w:rPr>
          <w:rFonts w:ascii="Arial" w:hAnsi="Arial" w:cs="Arial"/>
          <w:lang w:val="en-US"/>
        </w:rPr>
        <w:t>te</w:t>
      </w:r>
      <w:r w:rsidR="00C92421" w:rsidRPr="001A6C9E">
        <w:rPr>
          <w:rFonts w:ascii="Arial" w:hAnsi="Arial" w:cs="Arial"/>
          <w:lang w:val="en-US"/>
        </w:rPr>
        <w:t>d</w:t>
      </w:r>
      <w:r w:rsidRPr="001A6C9E">
        <w:rPr>
          <w:rFonts w:ascii="Arial" w:hAnsi="Arial" w:cs="Arial"/>
          <w:lang w:val="en-US"/>
        </w:rPr>
        <w:t xml:space="preserve"> questionnaires </w:t>
      </w:r>
      <w:r w:rsidR="00C92421" w:rsidRPr="001A6C9E">
        <w:rPr>
          <w:rFonts w:ascii="Arial" w:hAnsi="Arial" w:cs="Arial"/>
          <w:lang w:val="en-US"/>
        </w:rPr>
        <w:t xml:space="preserve">administered </w:t>
      </w:r>
      <w:r w:rsidRPr="001A6C9E">
        <w:rPr>
          <w:rFonts w:ascii="Arial" w:hAnsi="Arial" w:cs="Arial"/>
          <w:lang w:val="en-US"/>
        </w:rPr>
        <w:t>after each</w:t>
      </w:r>
      <w:r w:rsidR="002C48D3" w:rsidRPr="001A6C9E">
        <w:rPr>
          <w:rFonts w:ascii="Arial" w:hAnsi="Arial" w:cs="Arial"/>
          <w:lang w:val="en-US"/>
        </w:rPr>
        <w:t xml:space="preserve"> </w:t>
      </w:r>
      <w:r w:rsidRPr="001A6C9E">
        <w:rPr>
          <w:rFonts w:ascii="Arial" w:hAnsi="Arial" w:cs="Arial"/>
          <w:lang w:val="en-US"/>
        </w:rPr>
        <w:t>session</w:t>
      </w:r>
      <w:r w:rsidR="00D250BE">
        <w:rPr>
          <w:rFonts w:ascii="Arial" w:hAnsi="Arial" w:cs="Arial"/>
          <w:lang w:val="en-US"/>
        </w:rPr>
        <w:t xml:space="preserve"> during treatment period</w:t>
      </w:r>
      <w:r w:rsidR="002C48D3" w:rsidRPr="001A6C9E">
        <w:rPr>
          <w:rFonts w:ascii="Arial" w:hAnsi="Arial" w:cs="Arial"/>
          <w:lang w:val="en-US"/>
        </w:rPr>
        <w:t xml:space="preserve">. </w:t>
      </w:r>
      <w:r w:rsidR="00C92421" w:rsidRPr="0066206A">
        <w:rPr>
          <w:rFonts w:ascii="Arial" w:hAnsi="Arial" w:cs="Arial"/>
          <w:lang w:val="en-US"/>
        </w:rPr>
        <w:t xml:space="preserve">The questionnaires will address adherence to the LPM protocol, including patient </w:t>
      </w:r>
      <w:r w:rsidR="00C92421" w:rsidRPr="0066206A">
        <w:rPr>
          <w:rFonts w:ascii="Arial" w:hAnsi="Arial" w:cs="Arial"/>
          <w:lang w:val="en-US"/>
        </w:rPr>
        <w:lastRenderedPageBreak/>
        <w:t>positioning and execution of the technique, as well as the delivery of exercises and patient education. All items will be recorded using dichotomous (“Yes”/“No”) responses</w:t>
      </w:r>
      <w:r w:rsidR="00C92421">
        <w:rPr>
          <w:rFonts w:ascii="Arial" w:hAnsi="Arial" w:cs="Arial"/>
          <w:lang w:val="en-US"/>
        </w:rPr>
        <w:t xml:space="preserve"> </w:t>
      </w:r>
      <w:r w:rsidR="00636956">
        <w:rPr>
          <w:rFonts w:ascii="Arial" w:hAnsi="Arial" w:cs="Arial"/>
          <w:lang w:val="en-US"/>
        </w:rPr>
        <w:fldChar w:fldCharType="begin"/>
      </w:r>
      <w:r w:rsidR="009E1EF6">
        <w:rPr>
          <w:rFonts w:ascii="Arial" w:hAnsi="Arial" w:cs="Arial"/>
          <w:lang w:val="en-US"/>
        </w:rPr>
        <w:instrText xml:space="preserve"> ADDIN ZOTERO_ITEM CSL_CITATION {"citationID":"lyI4B3gY","properties":{"formattedCitation":"(31)","plainCitation":"(31)","noteIndex":0},"citationItems":[{"id":20279,"uris":["http://zotero.org/users/5535897/items/DMBES7PY"],"itemData":{"id":20279,"type":"article-journal","abstract":"Objectives: The purpose of this paper was to define treatment fidelity, review its use in health care research and suggest how it may be utilized in manual therapy research to improve the reliability and validity of the literature. Results: We offer an outline and a table of how manual therapy research may benefit from the concept of treatment fidelity. Discussion: While treatment fidelity is a newer concept, and has not been integrated into Physical Therapy or Manual Therapy research, when utilized, it can have positive effects on the reliability and validity of the techniques we evaluate.","container-title":"Journal of Manual &amp; Manipulative Therapy","DOI":"10.1080/10669817.2015.1135555","ISSN":"1066-9817, 2042-6186","issue":"4","journalAbbreviation":"Journal of Manual &amp; Manipulative Therapy","language":"en","page":"233-237","source":"DOI.org (Crossref)","title":"Consideration of treatment fidelity to improve manual therapy research","volume":"24","author":[{"family":"Karas","given":"Steve"},{"family":"Plankis","given":"Laura"}],"issued":{"date-parts":[["2016",8,7]]}}}],"schema":"https://github.com/citation-style-language/schema/raw/master/csl-citation.json"} </w:instrText>
      </w:r>
      <w:r w:rsidR="00636956">
        <w:rPr>
          <w:rFonts w:ascii="Arial" w:hAnsi="Arial" w:cs="Arial"/>
          <w:lang w:val="en-US"/>
        </w:rPr>
        <w:fldChar w:fldCharType="separate"/>
      </w:r>
      <w:r w:rsidR="009E1EF6">
        <w:rPr>
          <w:rFonts w:ascii="Arial" w:hAnsi="Arial" w:cs="Arial"/>
          <w:noProof/>
          <w:lang w:val="en-US"/>
        </w:rPr>
        <w:t>(31)</w:t>
      </w:r>
      <w:r w:rsidR="00636956">
        <w:rPr>
          <w:rFonts w:ascii="Arial" w:hAnsi="Arial" w:cs="Arial"/>
          <w:lang w:val="en-US"/>
        </w:rPr>
        <w:fldChar w:fldCharType="end"/>
      </w:r>
      <w:r w:rsidRPr="00365514">
        <w:rPr>
          <w:rFonts w:ascii="Arial" w:hAnsi="Arial" w:cs="Arial"/>
          <w:lang w:val="en-US"/>
        </w:rPr>
        <w:t xml:space="preserve">. </w:t>
      </w:r>
      <w:r w:rsidR="00D250BE">
        <w:rPr>
          <w:rFonts w:ascii="Arial" w:hAnsi="Arial" w:cs="Arial"/>
          <w:lang w:val="en-US"/>
        </w:rPr>
        <w:t>Participant</w:t>
      </w:r>
      <w:r w:rsidR="001C7722">
        <w:rPr>
          <w:rFonts w:ascii="Arial" w:hAnsi="Arial" w:cs="Arial"/>
          <w:lang w:val="en-US"/>
        </w:rPr>
        <w:t xml:space="preserve"> satisfaction will be </w:t>
      </w:r>
      <w:r w:rsidR="00D250BE">
        <w:rPr>
          <w:rFonts w:ascii="Arial" w:hAnsi="Arial" w:cs="Arial"/>
          <w:lang w:val="en-US"/>
        </w:rPr>
        <w:t>evaluated at follow-up across three domains: overall satisfaction,</w:t>
      </w:r>
      <w:r w:rsidR="001C7722">
        <w:rPr>
          <w:rFonts w:ascii="Arial" w:hAnsi="Arial" w:cs="Arial"/>
          <w:lang w:val="en-US"/>
        </w:rPr>
        <w:t xml:space="preserve"> satisfaction </w:t>
      </w:r>
      <w:r w:rsidR="00D250BE">
        <w:rPr>
          <w:rFonts w:ascii="Arial" w:hAnsi="Arial" w:cs="Arial"/>
          <w:lang w:val="en-US"/>
        </w:rPr>
        <w:t>with the</w:t>
      </w:r>
      <w:r w:rsidR="001C7722">
        <w:rPr>
          <w:rFonts w:ascii="Arial" w:hAnsi="Arial" w:cs="Arial"/>
          <w:lang w:val="en-US"/>
        </w:rPr>
        <w:t xml:space="preserve"> exercise program and </w:t>
      </w:r>
      <w:r w:rsidR="00D250BE">
        <w:rPr>
          <w:rFonts w:ascii="Arial" w:hAnsi="Arial" w:cs="Arial"/>
          <w:lang w:val="en-US"/>
        </w:rPr>
        <w:t xml:space="preserve">perceived </w:t>
      </w:r>
      <w:r w:rsidR="001C7722">
        <w:rPr>
          <w:rFonts w:ascii="Arial" w:hAnsi="Arial" w:cs="Arial"/>
          <w:lang w:val="en-US"/>
        </w:rPr>
        <w:t xml:space="preserve">added value of LPM. </w:t>
      </w:r>
      <w:r w:rsidRPr="00365514">
        <w:rPr>
          <w:rFonts w:ascii="Arial" w:hAnsi="Arial" w:cs="Arial"/>
          <w:lang w:val="en-US"/>
        </w:rPr>
        <w:t>Participant satisfaction will be measured on a 0–10 numeric rating scale,</w:t>
      </w:r>
      <w:r>
        <w:rPr>
          <w:rFonts w:ascii="Arial" w:hAnsi="Arial" w:cs="Arial"/>
          <w:lang w:val="en-US"/>
        </w:rPr>
        <w:t xml:space="preserve"> </w:t>
      </w:r>
      <w:r w:rsidR="000F66BC">
        <w:rPr>
          <w:rFonts w:ascii="Arial" w:hAnsi="Arial" w:cs="Arial"/>
          <w:lang w:val="en-US"/>
        </w:rPr>
        <w:t>where 0 indicates "not satisfied at all" and 10 indicates "extremely satisfied", reflecting the participant's overall satisfaction with the intervention process and perceived benefit. T</w:t>
      </w:r>
      <w:r w:rsidRPr="00365514">
        <w:rPr>
          <w:rFonts w:ascii="Arial" w:hAnsi="Arial" w:cs="Arial"/>
          <w:lang w:val="en-US"/>
        </w:rPr>
        <w:t>he credibility of blinding regarding the LPM technique will also be evaluated</w:t>
      </w:r>
      <w:r w:rsidR="000508A9">
        <w:rPr>
          <w:rFonts w:ascii="Arial" w:hAnsi="Arial" w:cs="Arial"/>
          <w:lang w:val="en-US"/>
        </w:rPr>
        <w:t xml:space="preserve"> with the de-blinding questionnaire</w:t>
      </w:r>
      <w:r w:rsidRPr="00365514">
        <w:rPr>
          <w:rFonts w:ascii="Arial" w:hAnsi="Arial" w:cs="Arial"/>
          <w:lang w:val="en-US"/>
        </w:rPr>
        <w:t>.</w:t>
      </w:r>
      <w:r w:rsidR="000F66BC" w:rsidRPr="000F66BC">
        <w:rPr>
          <w:rFonts w:ascii="Arial" w:hAnsi="Arial" w:cs="Arial"/>
          <w:lang w:val="en-US"/>
        </w:rPr>
        <w:t xml:space="preserve"> </w:t>
      </w:r>
      <w:r w:rsidR="008E49A7">
        <w:rPr>
          <w:rFonts w:ascii="Arial" w:hAnsi="Arial" w:cs="Arial"/>
          <w:lang w:val="en-US"/>
        </w:rPr>
        <w:t>Blinding credibility will be assessed using Bang's blinding index (BBI) for each group</w:t>
      </w:r>
      <w:r w:rsidR="00607ED5">
        <w:rPr>
          <w:rFonts w:ascii="Arial" w:hAnsi="Arial" w:cs="Arial"/>
          <w:lang w:val="en-US"/>
        </w:rPr>
        <w:t xml:space="preserve"> </w:t>
      </w:r>
      <w:r w:rsidR="00636956">
        <w:rPr>
          <w:rFonts w:ascii="Arial" w:hAnsi="Arial" w:cs="Arial"/>
          <w:lang w:val="en-US"/>
        </w:rPr>
        <w:fldChar w:fldCharType="begin"/>
      </w:r>
      <w:r w:rsidR="009E1EF6">
        <w:rPr>
          <w:rFonts w:ascii="Arial" w:hAnsi="Arial" w:cs="Arial"/>
          <w:lang w:val="en-US"/>
        </w:rPr>
        <w:instrText xml:space="preserve"> ADDIN ZOTERO_ITEM CSL_CITATION {"citationID":"j5r610PQ","properties":{"formattedCitation":"(32,33)","plainCitation":"(32,33)","noteIndex":0},"citationItems":[{"id":11831,"uris":["http://zotero.org/users/5535897/items/VVVR5UBE"],"itemData":{"id":11831,"type":"article-journal","abstract":"Success of blinding is a fundamental issue in many clinical trials. The validity of a trial may be questioned if this important assumption is violated. Although thousands of ostensibly double-blind trials are conducted annually and investigators acknowledge the importance of blinding, attempts to measure the effectiveness of blinding are rarely discussed. Several published papers proposed ways to evaluate the success of blinding, but none of the methods are commonly used or regarded as standard. This paper investigates a new approach to assess the success of blinding in clinical trials. The blinding index proposed is scaled to an interval of À1 to 1, 1 being complete lack of blinding, 0 being consistent with perfect blinding and À1 indicating opposite guessing which may be related to unblinding. It has the ability to detect a relatively low degree of blinding, response bias and different behaviors in two arms. The proposed method is applied to a clinical trial of cholesterol-lowering medication in a group of elderly people.","container-title":"Controlled Clinical Trials","DOI":"10.1016/j.cct.2003.10.016","ISSN":"01972456","issue":"2","journalAbbreviation":"Controlled Clinical Trials","language":"en","license":"https://www.elsevier.com/tdm/userlicense/1.0/","page":"143-156","source":"DOI.org (Crossref)","title":"Assessment of blinding in clinical trials","volume":"25","author":[{"family":"Bang","given":"Heejung"},{"family":"Ni","given":"Liyun"},{"family":"Davis","given":"Clarence E"}],"issued":{"date-parts":[["2004",4]]}}},{"id":11837,"uris":["http://zotero.org/users/5535897/items/NUD8B7P2"],"itemData":{"id":11837,"type":"article-journal","abstract":"There is strong consensus in the clinical trial community that blinding is an important issue in randomized controlled trials. At present grossly incomplete reporting of procedures and the use of any assessment for blinding still prevails. The term ‘double-blind’ has almost become a convention without any checks or balances. Also there is a lack of consensus on quantitative procedures for evaluating the success of blinding in the literature. This article reviews statistical methods of blinding assessment along with software options, and discusses some of the most pressing issues surrounding the acquisition, interpretation, and reporting of blinding data. Finally, it proposes a sample blinding assessment protocol to address some of these issues.","container-title":"Clinical Research and Regulatory Affairs","DOI":"10.3109/10601331003777444","ISSN":"1060-1333, 1532-2521","issue":"2","journalAbbreviation":"Clinical Research and Regulatory Affairs","language":"en","page":"42-51","source":"DOI.org (Crossref)","title":"Blinding assessment in clinical trials: A review of statistical methods and a proposal of blinding assessment protocol","title-short":"Blinding assessment in clinical trials","volume":"27","author":[{"family":"Bang","given":"Heejung"},{"family":"Flaherty","given":"Stephen P."},{"family":"Kolahi","given":"Jafar"},{"family":"Park","given":"Jongbae"}],"issued":{"date-parts":[["2010",6]]}}}],"schema":"https://github.com/citation-style-language/schema/raw/master/csl-citation.json"} </w:instrText>
      </w:r>
      <w:r w:rsidR="00636956">
        <w:rPr>
          <w:rFonts w:ascii="Arial" w:hAnsi="Arial" w:cs="Arial"/>
          <w:lang w:val="en-US"/>
        </w:rPr>
        <w:fldChar w:fldCharType="separate"/>
      </w:r>
      <w:r w:rsidR="009E1EF6">
        <w:rPr>
          <w:rFonts w:ascii="Arial" w:hAnsi="Arial" w:cs="Arial"/>
          <w:noProof/>
          <w:lang w:val="en-US"/>
        </w:rPr>
        <w:t>(32,33)</w:t>
      </w:r>
      <w:r w:rsidR="00636956">
        <w:rPr>
          <w:rFonts w:ascii="Arial" w:hAnsi="Arial" w:cs="Arial"/>
          <w:lang w:val="en-US"/>
        </w:rPr>
        <w:fldChar w:fldCharType="end"/>
      </w:r>
      <w:r w:rsidR="008E49A7">
        <w:rPr>
          <w:rFonts w:ascii="Arial" w:hAnsi="Arial" w:cs="Arial"/>
          <w:lang w:val="en-US"/>
        </w:rPr>
        <w:t xml:space="preserve">. The BBI quantifies deviations from random guessing regarding treatment allocation, calculated as: </w:t>
      </w:r>
      <w:r w:rsidR="00CA4FC7" w:rsidRPr="00CA4FC7">
        <w:rPr>
          <w:rFonts w:ascii="Arial" w:hAnsi="Arial" w:cs="Arial"/>
          <w:lang w:val="en-US"/>
        </w:rPr>
        <w:t>BBI</w:t>
      </w:r>
      <w:r w:rsidR="00CA4FC7">
        <w:rPr>
          <w:rFonts w:ascii="Arial" w:hAnsi="Arial" w:cs="Arial"/>
          <w:lang w:val="en-US"/>
        </w:rPr>
        <w:t xml:space="preserve"> = </w:t>
      </w:r>
      <w:r w:rsidR="00CA4FC7" w:rsidRPr="00CA4FC7">
        <w:rPr>
          <w:rFonts w:ascii="Arial" w:hAnsi="Arial" w:cs="Arial"/>
          <w:lang w:val="en-US"/>
        </w:rPr>
        <w:t>2P - 1, where P is the proportion of correct guesses within each arm.</w:t>
      </w:r>
      <w:r w:rsidR="00CA4FC7" w:rsidRPr="00CA4FC7">
        <w:rPr>
          <w:sz w:val="16"/>
          <w:szCs w:val="16"/>
          <w:lang w:val="en-US"/>
        </w:rPr>
        <w:t xml:space="preserve"> </w:t>
      </w:r>
      <w:r w:rsidR="008E49A7">
        <w:rPr>
          <w:rFonts w:ascii="Arial" w:hAnsi="Arial" w:cs="Arial"/>
          <w:lang w:val="en-US"/>
        </w:rPr>
        <w:t>Values range from -1 (complete opposite guessing) to +1 (complete unblinding)</w:t>
      </w:r>
      <w:r w:rsidR="00FB666A">
        <w:rPr>
          <w:rFonts w:ascii="Arial" w:hAnsi="Arial" w:cs="Arial"/>
          <w:lang w:val="en-US"/>
        </w:rPr>
        <w:t>, with 0 indicating successful blinding.</w:t>
      </w:r>
      <w:r w:rsidR="001C7722">
        <w:rPr>
          <w:rFonts w:ascii="Arial" w:hAnsi="Arial" w:cs="Arial"/>
          <w:lang w:val="en-US"/>
        </w:rPr>
        <w:t xml:space="preserve"> </w:t>
      </w:r>
      <w:r w:rsidR="000F66BC" w:rsidRPr="008F319C">
        <w:rPr>
          <w:rFonts w:ascii="Arial" w:hAnsi="Arial" w:cs="Arial"/>
          <w:lang w:val="en-US"/>
        </w:rPr>
        <w:t>Safety will be monitored by reporting adverse events (AEs).</w:t>
      </w:r>
      <w:r w:rsidR="00DC7CE6" w:rsidRPr="008F319C">
        <w:rPr>
          <w:rFonts w:ascii="Arial" w:hAnsi="Arial" w:cs="Arial"/>
          <w:lang w:val="en-US"/>
        </w:rPr>
        <w:t xml:space="preserve"> </w:t>
      </w:r>
      <w:r w:rsidR="002C48D3" w:rsidRPr="00AF493B">
        <w:rPr>
          <w:rFonts w:ascii="Arial" w:hAnsi="Arial" w:cs="Arial"/>
          <w:lang w:val="en-US"/>
        </w:rPr>
        <w:t xml:space="preserve">Participants will report any discomfort or incidents to the assessors or in their adherence log, and will </w:t>
      </w:r>
      <w:r w:rsidR="002C48D3" w:rsidRPr="00DC7CE6">
        <w:rPr>
          <w:rFonts w:ascii="Arial" w:hAnsi="Arial" w:cs="Arial"/>
          <w:lang w:val="en-US"/>
        </w:rPr>
        <w:t>be documented at each session in a separate file.</w:t>
      </w:r>
      <w:r w:rsidR="002C48D3">
        <w:rPr>
          <w:rFonts w:ascii="Arial" w:hAnsi="Arial" w:cs="Arial"/>
          <w:lang w:val="en-US"/>
        </w:rPr>
        <w:t xml:space="preserve"> </w:t>
      </w:r>
      <w:r w:rsidR="002C48D3" w:rsidRPr="00770CCE">
        <w:rPr>
          <w:rFonts w:ascii="Arial" w:hAnsi="Arial" w:cs="Arial"/>
          <w:lang w:val="en-US"/>
        </w:rPr>
        <w:t>AEs will be monitored throughout the 4-weeks intervention and 6-week follow-up.</w:t>
      </w:r>
      <w:r w:rsidR="002C48D3">
        <w:rPr>
          <w:rFonts w:ascii="Arial" w:hAnsi="Arial" w:cs="Arial"/>
          <w:lang w:val="en-US"/>
        </w:rPr>
        <w:t xml:space="preserve"> </w:t>
      </w:r>
      <w:r w:rsidR="00DC7CE6" w:rsidRPr="00A862A6">
        <w:rPr>
          <w:rFonts w:ascii="Arial" w:hAnsi="Arial" w:cs="Arial"/>
          <w:lang w:val="en-US"/>
        </w:rPr>
        <w:t>As no consensus exists in the definition of AEs, we will use the one provided by Cochrane as an "</w:t>
      </w:r>
      <w:r w:rsidR="0055102F" w:rsidRPr="00A862A6">
        <w:rPr>
          <w:rFonts w:ascii="Arial" w:hAnsi="Arial" w:cs="Arial"/>
          <w:lang w:val="en-US"/>
        </w:rPr>
        <w:t>unfavorable</w:t>
      </w:r>
      <w:r w:rsidR="00DC7CE6" w:rsidRPr="00A862A6">
        <w:rPr>
          <w:rFonts w:ascii="Arial" w:hAnsi="Arial" w:cs="Arial"/>
          <w:lang w:val="en-US"/>
        </w:rPr>
        <w:t xml:space="preserve"> or harmful outcome that occurs during, or after, the use of a drug or other intervention, but is not necessarily caused by it" </w:t>
      </w:r>
      <w:r w:rsidR="00636956" w:rsidRPr="00A862A6">
        <w:rPr>
          <w:rFonts w:ascii="Arial" w:hAnsi="Arial" w:cs="Arial"/>
          <w:lang w:val="en-US"/>
        </w:rPr>
        <w:fldChar w:fldCharType="begin"/>
      </w:r>
      <w:r w:rsidR="009E1EF6">
        <w:rPr>
          <w:rFonts w:ascii="Arial" w:hAnsi="Arial" w:cs="Arial"/>
          <w:lang w:val="en-US"/>
        </w:rPr>
        <w:instrText xml:space="preserve"> ADDIN ZOTERO_ITEM CSL_CITATION {"citationID":"cdjdwgKT","properties":{"formattedCitation":"(34)","plainCitation":"(34)","noteIndex":0},"citationItems":[{"id":20413,"uris":["http://zotero.org/users/5535897/items/WZIUFYAJ"],"itemData":{"id":20413,"type":"webpage","container-title":"Cochrane","title":"Chapter 19: Adverse effects. In: Higgins J, Thmoas J, Chandler J, Cumpston M, Li T, Page M, et al., editors. Cochrane Handbook for Systematic Reviews of Interventions.","URL":"https://www.cochrane.org/authors/handbooks-and-manuals/handbook/current/chapter-19","author":[{"family":"Peryer","given":"Guy"},{"family":"Golder","given":"Su"},{"family":"Junqueira","given":"Daniela"},{"family":"Vohra, Sunita","given":""},{"family":"Loke","given":"Yoon Kong"}],"issued":{"date-parts":[["2022"]]}}}],"schema":"https://github.com/citation-style-language/schema/raw/master/csl-citation.json"} </w:instrText>
      </w:r>
      <w:r w:rsidR="00636956" w:rsidRPr="00A862A6">
        <w:rPr>
          <w:rFonts w:ascii="Arial" w:hAnsi="Arial" w:cs="Arial"/>
          <w:lang w:val="en-US"/>
        </w:rPr>
        <w:fldChar w:fldCharType="separate"/>
      </w:r>
      <w:r w:rsidR="009E1EF6">
        <w:rPr>
          <w:rFonts w:ascii="Arial" w:hAnsi="Arial" w:cs="Arial"/>
          <w:noProof/>
          <w:lang w:val="en-US"/>
        </w:rPr>
        <w:t>(34)</w:t>
      </w:r>
      <w:r w:rsidR="00636956" w:rsidRPr="00A862A6">
        <w:rPr>
          <w:rFonts w:ascii="Arial" w:hAnsi="Arial" w:cs="Arial"/>
          <w:lang w:val="en-US"/>
        </w:rPr>
        <w:fldChar w:fldCharType="end"/>
      </w:r>
      <w:r w:rsidR="008F319C" w:rsidRPr="00A862A6">
        <w:rPr>
          <w:rFonts w:ascii="Arial" w:hAnsi="Arial" w:cs="Arial"/>
          <w:lang w:val="en-US"/>
        </w:rPr>
        <w:t xml:space="preserve">. </w:t>
      </w:r>
      <w:r w:rsidR="000D3F05" w:rsidRPr="00A862A6">
        <w:rPr>
          <w:rFonts w:ascii="Arial" w:hAnsi="Arial" w:cs="Arial"/>
          <w:lang w:val="en-US"/>
        </w:rPr>
        <w:t xml:space="preserve">AEs will be classified according to the terminology proposed by </w:t>
      </w:r>
      <w:r w:rsidR="00CD7096" w:rsidRPr="00A862A6">
        <w:rPr>
          <w:rFonts w:ascii="Arial" w:hAnsi="Arial" w:cs="Arial"/>
          <w:lang w:val="en-US"/>
        </w:rPr>
        <w:t xml:space="preserve">Funabashi </w:t>
      </w:r>
      <w:r w:rsidR="000D3F05" w:rsidRPr="00A862A6">
        <w:rPr>
          <w:rFonts w:ascii="Arial" w:hAnsi="Arial" w:cs="Arial"/>
          <w:lang w:val="en-US"/>
        </w:rPr>
        <w:t>et al.</w:t>
      </w:r>
      <w:r w:rsidR="00905489" w:rsidRPr="00A862A6">
        <w:rPr>
          <w:rFonts w:ascii="Arial" w:hAnsi="Arial" w:cs="Arial"/>
          <w:lang w:val="en-US"/>
        </w:rPr>
        <w:t xml:space="preserve"> </w:t>
      </w:r>
      <w:r w:rsidR="00636956" w:rsidRPr="00A862A6">
        <w:rPr>
          <w:rFonts w:ascii="Arial" w:hAnsi="Arial" w:cs="Arial"/>
          <w:lang w:val="en-US"/>
        </w:rPr>
        <w:fldChar w:fldCharType="begin"/>
      </w:r>
      <w:r w:rsidR="009E1EF6">
        <w:rPr>
          <w:rFonts w:ascii="Arial" w:hAnsi="Arial" w:cs="Arial"/>
          <w:lang w:val="en-US"/>
        </w:rPr>
        <w:instrText xml:space="preserve"> ADDIN ZOTERO_ITEM CSL_CITATION {"citationID":"8Reo1CFO","properties":{"formattedCitation":"(35)","plainCitation":"(35)","noteIndex":0},"citationItems":[{"id":20408,"uris":["http://zotero.org/users/5535897/items/KJ7SHBUX"],"itemData":{"id":20408,"type":"article-journal","abstract":"Spinal and peripheral joint manipulation (MAN) and mobilization (MOB) are widely used for managing musculoskeletal conditions. Although adverse events (AE) have been reported following these interventions, there is no universally accepted definition and classification system. This study aimed to establish an inter-professional and international standardized definition and severity classification for AE following MAN and MOB. This sequential mixed-methods study included an electronic Delphi process (e-Delphi) followed by focus groups. Inter-professional and international expert stakeholders participated in 3 e-Delphi rounds: Round 1 included open-ended questions on participants’ working AE definition and severity classification; Round 2, level of agreement with statements generated from Round 1 and a previous scoping review; and Round 3, level of agreement with statements achieving consensus in Round 2. Focus groups explored e-Delphi findings. Consensus was reached for severity categories (i.e., mild, moderate, severe and catastrophic) and on 2 domains to differentiate these categories (i.e., symptom intensity and impact on patient). Consensus was not reached for a standardized AE definition following MAN and MOB. Focus group discussions centered on “unfavourable”, “unexpected” and “undesired” terms and differences between “serious” and “catastrophic” severity classification categories. Findings contribute to advancing patient safety and AE knowledge across professions and informing further safety research and practice.","container-title":"PLOS One","DOI":"10.1371/journal.pone.0334151","ISSN":"1932-6203","issue":"11","journalAbbreviation":"PLoS One","language":"en","page":"e0334151","source":"DOI.org (Crossref)","title":"Defining and classifying adverse events following joint manipulation and mobilization: An international e-Delphi study and focus groups","title-short":"Defining and classifying adverse events following joint manipulation and mobilization","volume":"20","author":[{"family":"Funabashi","given":"Martha"},{"family":"Gorrell","given":"Lindsay M"},{"family":"Pohlman","given":"Katherine A"},{"family":"Bergna","given":"Andrea"},{"family":"Heneghan","given":"Nicola R"},{"literal":"on behalf of the AdEMMo Group"}],"editor":[{"family":"De Oliveira","given":"Monica Duarte Correia"}],"issued":{"date-parts":[["2025",11,17]]}}}],"schema":"https://github.com/citation-style-language/schema/raw/master/csl-citation.json"} </w:instrText>
      </w:r>
      <w:r w:rsidR="00636956" w:rsidRPr="00A862A6">
        <w:rPr>
          <w:rFonts w:ascii="Arial" w:hAnsi="Arial" w:cs="Arial"/>
          <w:lang w:val="en-US"/>
        </w:rPr>
        <w:fldChar w:fldCharType="separate"/>
      </w:r>
      <w:r w:rsidR="009E1EF6">
        <w:rPr>
          <w:rFonts w:ascii="Arial" w:hAnsi="Arial" w:cs="Arial"/>
          <w:noProof/>
          <w:lang w:val="en-US"/>
        </w:rPr>
        <w:t>(35)</w:t>
      </w:r>
      <w:r w:rsidR="00636956" w:rsidRPr="00A862A6">
        <w:rPr>
          <w:rFonts w:ascii="Arial" w:hAnsi="Arial" w:cs="Arial"/>
          <w:lang w:val="en-US"/>
        </w:rPr>
        <w:fldChar w:fldCharType="end"/>
      </w:r>
      <w:r w:rsidR="00AF493B" w:rsidRPr="00A862A6">
        <w:rPr>
          <w:rFonts w:ascii="Arial" w:hAnsi="Arial" w:cs="Arial"/>
          <w:lang w:val="en-US"/>
        </w:rPr>
        <w:t>, which distinguishes four categories:</w:t>
      </w:r>
      <w:r w:rsidR="00CD7096" w:rsidRPr="00A862A6">
        <w:rPr>
          <w:rFonts w:ascii="Arial" w:hAnsi="Arial" w:cs="Arial"/>
          <w:lang w:val="en-US"/>
        </w:rPr>
        <w:t xml:space="preserve"> catastrophic, severe, moderate and mild.</w:t>
      </w:r>
      <w:r w:rsidR="00CD7096" w:rsidRPr="00DC7CE6">
        <w:rPr>
          <w:rFonts w:ascii="Arial" w:hAnsi="Arial" w:cs="Arial"/>
          <w:lang w:val="en-US"/>
        </w:rPr>
        <w:t xml:space="preserve"> </w:t>
      </w:r>
      <w:r w:rsidR="00AF493B" w:rsidRPr="0079620E">
        <w:rPr>
          <w:rFonts w:ascii="Arial" w:hAnsi="Arial" w:cs="Arial"/>
          <w:lang w:val="en-US"/>
        </w:rPr>
        <w:t xml:space="preserve">Catastrophic AEs are characterized by very high intensity (8–10 on an 11-point numeric rating scale), are life-threatening, and may result in death; they completely disrupt a patient’s activities, participation, and quality of life. Severe AEs present with high intensity (6–8 on the 11-point scale), are not life-threatening, but </w:t>
      </w:r>
      <w:r w:rsidR="00AF493B" w:rsidRPr="0079620E">
        <w:rPr>
          <w:rFonts w:ascii="Arial" w:hAnsi="Arial" w:cs="Arial"/>
          <w:lang w:val="en-US"/>
        </w:rPr>
        <w:lastRenderedPageBreak/>
        <w:t>substantially interfere with activities, participation, and quality of life. Moderate AEs exhibit moderate intensity (3–6 on the 11-point scale) and cause some degree of interference with daily activities, participation, and overall quality of life. Mild AEs are defined by low intensity (1–3 on the 11-point scale) and do not affect basic activities, though they may produce a tolerable impact on participation and quality of life.</w:t>
      </w:r>
      <w:r w:rsidR="00E15B10">
        <w:rPr>
          <w:rFonts w:ascii="Arial" w:hAnsi="Arial" w:cs="Arial"/>
          <w:lang w:val="en-US"/>
        </w:rPr>
        <w:t xml:space="preserve"> </w:t>
      </w:r>
      <w:r w:rsidR="00AF493B">
        <w:rPr>
          <w:rFonts w:ascii="Arial" w:hAnsi="Arial" w:cs="Arial"/>
          <w:lang w:val="en-US"/>
        </w:rPr>
        <w:t>Catastrophic or</w:t>
      </w:r>
      <w:r w:rsidR="000F66BC" w:rsidRPr="006D2D0A">
        <w:rPr>
          <w:rFonts w:ascii="Arial" w:hAnsi="Arial" w:cs="Arial"/>
          <w:lang w:val="en-US"/>
        </w:rPr>
        <w:t xml:space="preserve"> severe events will be reported to the principal investigator and, when required, to the ethics committee per Belgian regulations. </w:t>
      </w:r>
      <w:r w:rsidR="006D2D0A" w:rsidRPr="0079620E">
        <w:rPr>
          <w:rFonts w:ascii="Arial" w:hAnsi="Arial" w:cs="Arial"/>
          <w:lang w:val="en-US"/>
        </w:rPr>
        <w:t>Significant adverse events will be managed with appropriate care, and unblinding will be performed if necessary. Decisions regarding participant discontinuation will be made by the principal investigator.</w:t>
      </w:r>
      <w:r w:rsidR="000F66BC" w:rsidRPr="006D2D0A">
        <w:rPr>
          <w:rFonts w:ascii="Arial" w:hAnsi="Arial" w:cs="Arial"/>
          <w:lang w:val="en-US"/>
        </w:rPr>
        <w:t xml:space="preserve"> All AEs will be reviewed and summarized by group and severity in the final report.</w:t>
      </w:r>
    </w:p>
    <w:p w14:paraId="01CDFEFF" w14:textId="77777777" w:rsidR="000B43B2" w:rsidRDefault="000B43B2" w:rsidP="0037195D">
      <w:pPr>
        <w:spacing w:line="480" w:lineRule="auto"/>
        <w:rPr>
          <w:rFonts w:ascii="Arial" w:hAnsi="Arial" w:cs="Arial"/>
          <w:lang w:val="en-US"/>
        </w:rPr>
      </w:pPr>
    </w:p>
    <w:p w14:paraId="18A6EEA6" w14:textId="6EAECC64" w:rsidR="00C15E97" w:rsidRPr="00DF6180" w:rsidRDefault="00C15E97" w:rsidP="0037195D">
      <w:pPr>
        <w:spacing w:line="480" w:lineRule="auto"/>
        <w:rPr>
          <w:rFonts w:ascii="Arial" w:hAnsi="Arial" w:cs="Arial"/>
          <w:b/>
          <w:bCs/>
          <w:i/>
          <w:iCs/>
          <w:lang w:val="en-US"/>
        </w:rPr>
      </w:pPr>
      <w:r w:rsidRPr="00DF6180">
        <w:rPr>
          <w:rFonts w:ascii="Arial" w:hAnsi="Arial" w:cs="Arial"/>
          <w:b/>
          <w:bCs/>
          <w:i/>
          <w:iCs/>
          <w:lang w:val="en-US"/>
        </w:rPr>
        <w:t>Secondary outcome</w:t>
      </w:r>
    </w:p>
    <w:p w14:paraId="38C5B23B" w14:textId="4B089B4D" w:rsidR="004127E6" w:rsidRPr="009C22BE" w:rsidRDefault="004127E6" w:rsidP="0037195D">
      <w:pPr>
        <w:spacing w:line="480" w:lineRule="auto"/>
        <w:jc w:val="both"/>
        <w:rPr>
          <w:rFonts w:ascii="Arial" w:hAnsi="Arial" w:cs="Arial"/>
          <w:i/>
          <w:iCs/>
          <w:lang w:val="en-US"/>
        </w:rPr>
      </w:pPr>
      <w:r w:rsidRPr="009C22BE">
        <w:rPr>
          <w:rFonts w:ascii="Arial" w:hAnsi="Arial" w:cs="Arial"/>
          <w:i/>
          <w:iCs/>
          <w:lang w:val="en-US"/>
        </w:rPr>
        <w:t>Expectations</w:t>
      </w:r>
    </w:p>
    <w:p w14:paraId="00B19AB1" w14:textId="5455446A" w:rsidR="00936A15" w:rsidRDefault="004127E6" w:rsidP="0037195D">
      <w:pPr>
        <w:spacing w:line="480" w:lineRule="auto"/>
        <w:jc w:val="both"/>
        <w:rPr>
          <w:rFonts w:ascii="Arial" w:hAnsi="Arial" w:cs="Arial"/>
          <w:i/>
          <w:iCs/>
          <w:lang w:val="en-US"/>
        </w:rPr>
      </w:pPr>
      <w:r>
        <w:rPr>
          <w:rFonts w:ascii="Arial" w:hAnsi="Arial" w:cs="Arial"/>
          <w:lang w:val="en-US"/>
        </w:rPr>
        <w:t>Participant</w:t>
      </w:r>
      <w:r w:rsidRPr="00941C68">
        <w:rPr>
          <w:rFonts w:ascii="Arial" w:hAnsi="Arial" w:cs="Arial"/>
          <w:lang w:val="en-US"/>
        </w:rPr>
        <w:t xml:space="preserve">'s expectations </w:t>
      </w:r>
      <w:r>
        <w:rPr>
          <w:rFonts w:ascii="Arial" w:hAnsi="Arial" w:cs="Arial"/>
          <w:lang w:val="en-US"/>
        </w:rPr>
        <w:t>of</w:t>
      </w:r>
      <w:r w:rsidRPr="00941C68">
        <w:rPr>
          <w:rFonts w:ascii="Arial" w:hAnsi="Arial" w:cs="Arial"/>
          <w:lang w:val="en-US"/>
        </w:rPr>
        <w:t xml:space="preserve"> </w:t>
      </w:r>
      <w:r>
        <w:rPr>
          <w:rFonts w:ascii="Arial" w:hAnsi="Arial" w:cs="Arial"/>
          <w:lang w:val="en-US"/>
        </w:rPr>
        <w:t>LPM</w:t>
      </w:r>
      <w:r w:rsidRPr="00941C68">
        <w:rPr>
          <w:rFonts w:ascii="Arial" w:hAnsi="Arial" w:cs="Arial"/>
          <w:lang w:val="en-US"/>
        </w:rPr>
        <w:t xml:space="preserve"> </w:t>
      </w:r>
      <w:r>
        <w:rPr>
          <w:rFonts w:ascii="Arial" w:hAnsi="Arial" w:cs="Arial"/>
          <w:lang w:val="en-US"/>
        </w:rPr>
        <w:t>effect on</w:t>
      </w:r>
      <w:r w:rsidRPr="00941C68">
        <w:rPr>
          <w:rFonts w:ascii="Arial" w:hAnsi="Arial" w:cs="Arial"/>
          <w:lang w:val="en-US"/>
        </w:rPr>
        <w:t xml:space="preserve"> </w:t>
      </w:r>
      <w:r>
        <w:rPr>
          <w:rFonts w:ascii="Arial" w:hAnsi="Arial" w:cs="Arial"/>
          <w:lang w:val="en-US"/>
        </w:rPr>
        <w:t>knee</w:t>
      </w:r>
      <w:r w:rsidRPr="00941C68">
        <w:rPr>
          <w:rFonts w:ascii="Arial" w:hAnsi="Arial" w:cs="Arial"/>
          <w:lang w:val="en-US"/>
        </w:rPr>
        <w:t xml:space="preserve"> pain w</w:t>
      </w:r>
      <w:r>
        <w:rPr>
          <w:rFonts w:ascii="Arial" w:hAnsi="Arial" w:cs="Arial"/>
          <w:lang w:val="en-US"/>
        </w:rPr>
        <w:t>ill be</w:t>
      </w:r>
      <w:r w:rsidRPr="00941C68">
        <w:rPr>
          <w:rFonts w:ascii="Arial" w:hAnsi="Arial" w:cs="Arial"/>
          <w:lang w:val="en-US"/>
        </w:rPr>
        <w:t xml:space="preserve"> recorded at baseline using a 5-point Likert scale (Don't know/Strongly disagree/Disagree/Agree/Strongly agree)</w:t>
      </w:r>
      <w:r>
        <w:rPr>
          <w:rFonts w:ascii="Arial" w:hAnsi="Arial" w:cs="Arial"/>
          <w:lang w:val="en-US"/>
        </w:rPr>
        <w:t xml:space="preserve"> </w:t>
      </w:r>
      <w:r w:rsidRPr="00941C68">
        <w:rPr>
          <w:rFonts w:ascii="Arial" w:hAnsi="Arial" w:cs="Arial"/>
          <w:lang w:val="en-US"/>
        </w:rPr>
        <w:t xml:space="preserve">in response to the </w:t>
      </w:r>
      <w:r>
        <w:rPr>
          <w:rFonts w:ascii="Arial" w:hAnsi="Arial" w:cs="Arial"/>
          <w:lang w:val="en-US"/>
        </w:rPr>
        <w:t>statement</w:t>
      </w:r>
      <w:r w:rsidRPr="00941C68">
        <w:rPr>
          <w:rFonts w:ascii="Arial" w:hAnsi="Arial" w:cs="Arial"/>
          <w:lang w:val="en-US"/>
        </w:rPr>
        <w:t xml:space="preserve"> “I believe that the pushing on my </w:t>
      </w:r>
      <w:r>
        <w:rPr>
          <w:rFonts w:ascii="Arial" w:hAnsi="Arial" w:cs="Arial"/>
          <w:lang w:val="en-US"/>
        </w:rPr>
        <w:t>pelvis</w:t>
      </w:r>
      <w:r w:rsidRPr="00941C68">
        <w:rPr>
          <w:rFonts w:ascii="Arial" w:hAnsi="Arial" w:cs="Arial"/>
          <w:lang w:val="en-US"/>
        </w:rPr>
        <w:t xml:space="preserve"> will help decrease my </w:t>
      </w:r>
      <w:r>
        <w:rPr>
          <w:rFonts w:ascii="Arial" w:hAnsi="Arial" w:cs="Arial"/>
          <w:lang w:val="en-US"/>
        </w:rPr>
        <w:t>knee</w:t>
      </w:r>
      <w:r w:rsidRPr="00941C68">
        <w:rPr>
          <w:rFonts w:ascii="Arial" w:hAnsi="Arial" w:cs="Arial"/>
          <w:lang w:val="en-US"/>
        </w:rPr>
        <w:t xml:space="preserve"> pain” </w:t>
      </w:r>
      <w:r w:rsidR="00636956">
        <w:rPr>
          <w:rFonts w:ascii="Arial" w:hAnsi="Arial" w:cs="Arial"/>
          <w:lang w:val="en-US"/>
        </w:rPr>
        <w:fldChar w:fldCharType="begin"/>
      </w:r>
      <w:r w:rsidR="009E1EF6">
        <w:rPr>
          <w:rFonts w:ascii="Arial" w:hAnsi="Arial" w:cs="Arial"/>
          <w:lang w:val="en-US"/>
        </w:rPr>
        <w:instrText xml:space="preserve"> ADDIN ZOTERO_ITEM CSL_CITATION {"citationID":"n2SAvPuD","properties":{"formattedCitation":"(36)","plainCitation":"(36)","noteIndex":0},"citationItems":[{"id":20274,"uris":["http://zotero.org/users/5535897/items/F3W95YWH"],"itemData":{"id":20274,"type":"article-journal","abstract":"Objectives: To examine: 1) patients' baseline expectations for treatment outcome of thoracic high velocity low amplitude thrust manipulations (HVLATM) to the thoracic spine for shoulder pain; 2) if the message conveyed by the clinician changed the patients' expectation; 3) any differences in outcome based on expectation independent of messaging.; and 4) any differences in outcome for those patients whose expectations signiﬁcantly changed as a result of the messaging.\nBackground: Thoracic HVLATM may be an effective intervention for patients suffering from musculoskeletal shoulder pain. The role of expectation in the treatment effectiveness of this intervention has not been established.\nMethods: Subjects' expectations regarding the effectiveness of HVLATM on shoulder pain were recorded at baseline. This was reassessed immediately following the provision of positive or neutral instructional set. The subjects then received a thoracic or scapular HVLATM. The Shoulder Pain and Disability Index (SPADI) and the numeric pain rating scale (NPRS) were used as outcomes measures.\nResults: There was a 10 subject change (23%) in positive expectation that was statistically signiﬁcant (p ¼ 0.019) following a positive message. There was no statistically signiﬁcant difference in pain and function when these subjects were compared to all other subjects.\nConclusion: Although patients' expectations of positive outcome signiﬁcantly changed when providing a positive instructional set, these changes did not translate into clinically signiﬁcant short term changes in shoulder pain and function.","container-title":"Manual Therapy","DOI":"10.1016/j.math.2014.11.011","ISSN":"1356689X","issue":"3","journalAbbreviation":"Manual Therapy","language":"en","page":"469-474","source":"DOI.org (Crossref)","title":"Thoracic spinal manipulation for musculoskeletal shoulder pain: Can an instructional set change patient expectation and outcome?","title-short":"Thoracic spinal manipulation for musculoskeletal shoulder pain","volume":"20","author":[{"family":"Riley","given":"Sean P."},{"family":"Bialosky","given":"Joel"},{"family":"Cote","given":"Mark P."},{"family":"Swanson","given":"Brian T."},{"family":"Tafuto","given":"Vincent"},{"family":"Sizer","given":"Phillip S."},{"family":"Brismée","given":"Jean-Michel"}],"issued":{"date-parts":[["2015",6]]}}}],"schema":"https://github.com/citation-style-language/schema/raw/master/csl-citation.json"} </w:instrText>
      </w:r>
      <w:r w:rsidR="00636956">
        <w:rPr>
          <w:rFonts w:ascii="Arial" w:hAnsi="Arial" w:cs="Arial"/>
          <w:lang w:val="en-US"/>
        </w:rPr>
        <w:fldChar w:fldCharType="separate"/>
      </w:r>
      <w:r w:rsidR="009E1EF6">
        <w:rPr>
          <w:rFonts w:ascii="Arial" w:hAnsi="Arial" w:cs="Arial"/>
          <w:noProof/>
          <w:lang w:val="en-US"/>
        </w:rPr>
        <w:t>(36)</w:t>
      </w:r>
      <w:r w:rsidR="00636956">
        <w:rPr>
          <w:rFonts w:ascii="Arial" w:hAnsi="Arial" w:cs="Arial"/>
          <w:lang w:val="en-US"/>
        </w:rPr>
        <w:fldChar w:fldCharType="end"/>
      </w:r>
      <w:r>
        <w:rPr>
          <w:rFonts w:ascii="Arial" w:hAnsi="Arial" w:cs="Arial"/>
          <w:lang w:val="en-US"/>
        </w:rPr>
        <w:t>.</w:t>
      </w:r>
    </w:p>
    <w:p w14:paraId="7471A567" w14:textId="04D1D3A9" w:rsidR="004127E6" w:rsidRDefault="004127E6" w:rsidP="0037195D">
      <w:pPr>
        <w:spacing w:line="480" w:lineRule="auto"/>
        <w:jc w:val="both"/>
        <w:rPr>
          <w:rFonts w:ascii="Arial" w:hAnsi="Arial" w:cs="Arial"/>
          <w:i/>
          <w:iCs/>
          <w:lang w:val="en-US"/>
        </w:rPr>
      </w:pPr>
      <w:r w:rsidRPr="009C22BE">
        <w:rPr>
          <w:rFonts w:ascii="Arial" w:hAnsi="Arial" w:cs="Arial"/>
          <w:i/>
          <w:iCs/>
          <w:lang w:val="en-US"/>
        </w:rPr>
        <w:t>Pain</w:t>
      </w:r>
    </w:p>
    <w:p w14:paraId="199650BD" w14:textId="5ED9FC52" w:rsidR="003003D7" w:rsidRPr="00953F3B" w:rsidRDefault="00397633" w:rsidP="0037195D">
      <w:pPr>
        <w:spacing w:line="480" w:lineRule="auto"/>
        <w:jc w:val="both"/>
        <w:rPr>
          <w:rFonts w:ascii="Arial" w:hAnsi="Arial" w:cs="Arial"/>
          <w:lang w:val="en-US"/>
        </w:rPr>
      </w:pPr>
      <w:r w:rsidRPr="00A862A6">
        <w:rPr>
          <w:rFonts w:ascii="Arial" w:hAnsi="Arial" w:cs="Arial"/>
          <w:lang w:val="en-US"/>
        </w:rPr>
        <w:t>Pain intensity will be assessed using a 0–10</w:t>
      </w:r>
      <w:r w:rsidR="00057A04" w:rsidRPr="00A862A6">
        <w:rPr>
          <w:rFonts w:ascii="Arial" w:hAnsi="Arial" w:cs="Arial"/>
          <w:lang w:val="en-US"/>
        </w:rPr>
        <w:t>0</w:t>
      </w:r>
      <w:r w:rsidRPr="00A862A6">
        <w:rPr>
          <w:rFonts w:ascii="Arial" w:hAnsi="Arial" w:cs="Arial"/>
          <w:lang w:val="en-US"/>
        </w:rPr>
        <w:t xml:space="preserve"> mm VAS at baseline, immediately before and after lumbopelvic manipulation, immediately before and after exercises of each treatment session, and at follow-up.</w:t>
      </w:r>
      <w:r w:rsidR="00982CF6">
        <w:rPr>
          <w:rFonts w:ascii="Arial" w:hAnsi="Arial" w:cs="Arial"/>
          <w:lang w:val="en-US"/>
        </w:rPr>
        <w:t xml:space="preserve"> </w:t>
      </w:r>
      <w:r w:rsidR="006E10AD" w:rsidRPr="00CA4FC7">
        <w:rPr>
          <w:rFonts w:ascii="Arial" w:hAnsi="Arial" w:cs="Arial"/>
          <w:lang w:val="en-US"/>
        </w:rPr>
        <w:t xml:space="preserve">In patients with knee osteoarthrosis, the VAS </w:t>
      </w:r>
      <w:r w:rsidR="00301CAC" w:rsidRPr="00CA4FC7">
        <w:rPr>
          <w:rFonts w:ascii="Arial" w:hAnsi="Arial" w:cs="Arial"/>
          <w:lang w:val="en-US"/>
        </w:rPr>
        <w:t>appears</w:t>
      </w:r>
      <w:r w:rsidR="006E10AD" w:rsidRPr="00CA4FC7">
        <w:rPr>
          <w:rFonts w:ascii="Arial" w:hAnsi="Arial" w:cs="Arial"/>
          <w:lang w:val="en-US"/>
        </w:rPr>
        <w:t xml:space="preserve"> to be more reliable and </w:t>
      </w:r>
      <w:r w:rsidR="00301CAC" w:rsidRPr="00CA4FC7">
        <w:rPr>
          <w:rFonts w:ascii="Arial" w:hAnsi="Arial" w:cs="Arial"/>
          <w:lang w:val="en-US"/>
        </w:rPr>
        <w:t>to present a</w:t>
      </w:r>
      <w:r w:rsidR="006E10AD" w:rsidRPr="00CA4FC7">
        <w:rPr>
          <w:rFonts w:ascii="Arial" w:hAnsi="Arial" w:cs="Arial"/>
          <w:lang w:val="en-US"/>
        </w:rPr>
        <w:t xml:space="preserve"> smalle</w:t>
      </w:r>
      <w:r w:rsidR="00301CAC" w:rsidRPr="00CA4FC7">
        <w:rPr>
          <w:rFonts w:ascii="Arial" w:hAnsi="Arial" w:cs="Arial"/>
          <w:lang w:val="en-US"/>
        </w:rPr>
        <w:t>r</w:t>
      </w:r>
      <w:r w:rsidR="006E10AD" w:rsidRPr="00CA4FC7">
        <w:rPr>
          <w:rFonts w:ascii="Arial" w:hAnsi="Arial" w:cs="Arial"/>
          <w:lang w:val="en-US"/>
        </w:rPr>
        <w:t xml:space="preserve"> measurement </w:t>
      </w:r>
      <w:r w:rsidR="00301CAC" w:rsidRPr="00CA4FC7">
        <w:rPr>
          <w:rFonts w:ascii="Arial" w:hAnsi="Arial" w:cs="Arial"/>
          <w:lang w:val="en-US"/>
        </w:rPr>
        <w:t xml:space="preserve">error </w:t>
      </w:r>
      <w:r w:rsidR="006E10AD" w:rsidRPr="00CA4FC7">
        <w:rPr>
          <w:rFonts w:ascii="Arial" w:hAnsi="Arial" w:cs="Arial"/>
          <w:lang w:val="en-US"/>
        </w:rPr>
        <w:t>than the NPRS.</w:t>
      </w:r>
      <w:r w:rsidR="006E10AD">
        <w:rPr>
          <w:rFonts w:ascii="Arial" w:hAnsi="Arial" w:cs="Arial"/>
          <w:lang w:val="en-US"/>
        </w:rPr>
        <w:t xml:space="preserve"> </w:t>
      </w:r>
      <w:r w:rsidR="00480F97">
        <w:rPr>
          <w:rFonts w:ascii="Arial" w:hAnsi="Arial" w:cs="Arial"/>
          <w:lang w:val="en-US"/>
        </w:rPr>
        <w:t>The VAS has shown an excellent test-retest reliability (ICC = 0.97)</w:t>
      </w:r>
      <w:r w:rsidR="00FD1553">
        <w:rPr>
          <w:rFonts w:ascii="Arial" w:hAnsi="Arial" w:cs="Arial"/>
          <w:lang w:val="en-US"/>
        </w:rPr>
        <w:t xml:space="preserve"> for measurement of acute and chronic pain </w:t>
      </w:r>
      <w:r w:rsidR="00636956">
        <w:rPr>
          <w:rFonts w:ascii="Arial" w:hAnsi="Arial" w:cs="Arial"/>
          <w:lang w:val="en-US"/>
        </w:rPr>
        <w:fldChar w:fldCharType="begin"/>
      </w:r>
      <w:r w:rsidR="009E1EF6">
        <w:rPr>
          <w:rFonts w:ascii="Arial" w:hAnsi="Arial" w:cs="Arial"/>
          <w:lang w:val="en-US"/>
        </w:rPr>
        <w:instrText xml:space="preserve"> ADDIN ZOTERO_ITEM CSL_CITATION {"citationID":"FsywgEte","properties":{"formattedCitation":"(37,38)","plainCitation":"(37,38)","noteIndex":0},"citationItems":[{"id":20324,"uris":["http://zotero.org/users/5535897/items/PKT7RYCH"],"itemData":{"id":20324,"type":"article-journal","abstract":"Objective: Reliable and valid measures of pain are needed to advance research initiatives on appropriate and effective use of analgesia in the emergency department (ED). The reliability of visual analog scale (VAS) scores has not been demonstrated in the acute setting where pain fluctuation might be greater than for chronic pain. The objective of the study was to assess the reliability of the VAS for measurement of acute pain. Methods: This was a prospective convenience sample of adults with acute pain presenting to two EDs. Intraclass correlation coefficients (ICCs) with 95% confidence intervals (95% CIs) and a Bland-Altman analysis were used to assess reliability of paired VAS measurements obtained 1 minute apart every 30 minutes over two hours. Results: The summary ICC for all paired VAS scores was 0.97 [95% CI = 0.96 to 0.98]. The Bland-Altman analysis showed that 50% of the paired measurements were within 2 mm of one another, 90% were within 9 mm, and 95% were within 16 mm. The paired measurements were more reproducible at the extremes of pain intensity than at moderate levels of pain. Conclusions: Reliability of the VAS for acute pain measurement as assessed by the ICC appears to be high. Ninety percent of the pain ratings were reproducible within 9 mm. These data suggest that the VAS is sufficiently reliable to be used to assess acute pain.","container-title":"Academic Emergency Medicine","DOI":"10.1111/j.1553-2712.2001.tb01132.x","ISSN":"1553-2712","issue":"12","language":"en","note":"_eprint: https://onlinelibrary.wiley.com/doi/pdf/10.1111/j.1553-2712.2001.tb01132.x","page":"1153-1157","source":"Wiley Online Library","title":"Reliability of the Visual Analog Scale for Measurement of Acute Pain","volume":"8","author":[{"family":"Bijur","given":"Polly E."},{"family":"Silver","given":"Wendy"},{"family":"Gallagher","given":"E. John"}],"issued":{"date-parts":[["2001"]]}}},{"id":20323,"uris":["http://zotero.org/users/5535897/items/QDQX8IB4"],"itemData":{"id":20323,"type":"article-journal","abstract":"Objective: Several scales are commonly used for assessing pain intensity. Among them, the numerical rating scale (NRS), visual analog scale (VAS), and verbal rating scale (VRS) are often used in clinical practice. However, no study has performed psychometric analyses of their reliability and validity in the measurement of osteoarthritic (OA) pain. Therefore, the present study examined the test–retest reliability, validity, and minimum detectable change (MDC) of the VAS, NRS, and VRS for the measurement of OA knee pain. In addition, the correlations of VAS, NRS, and VRS with demographic variables were evaluated.\nMethods: The study included 121 subjects (65 women, 56 men; aged 40–80 years) with OA of the knee. Test–retest reliability of the VAS, NRS, and VRS was assessed during two consecutive visits in a 24 h interval. The validity was tested using Pearson’s correlation coefficients between the baseline scores of VAS, NRS, and VRS and the demographic variables (age, body mass index [BMI], sex, and OA grade). The standard error of measurement (SEM) and the MDC were calculated to assess statistically meaningful changes.\nResults: The intraclass correlation coefficients of the VAS, NRS, and VRS were 0.97, 0.95, and 0.93, respectively. VAS, NRS, and VRS were significantly related to demographic variables (age, BMI, sex, and OA grade). The SEM of VAS, NRS, and VRS was 0.03, 0.48, and 0.21, respectively. The MDC of VAS, NRS, and VRS was 0.08, 1.33, and 0.58, respectively.\nConclusion: All the three scales had excellent test–retest reliability. However, the VAS was the most reliable, with the smallest errors in the measurement of OA knee pain.","container-title":"Journal of Pain Research","DOI":"10.2147/JPR.S158847","ISSN":"1178-7090","journalAbbreviation":"JPR","language":"en","license":"http://creativecommons.org/licenses/by-nc/3.0/","page":"851-856","source":"DOI.org (Crossref)","title":"Test&amp;ndash;retest reliability, validity, and minimum detectable change of visual analog, numerical rating, and verbal rating scales for measurement of osteoarthritic knee pain","volume":"Volume 11","author":[{"family":"Alghadir","given":"Ahmad"},{"family":"Anwer","given":"Shahnawaz"},{"family":"Iqbal","given":"Amir"},{"family":"Iqbal","given":"Zaheen"}],"issued":{"date-parts":[["2018",4]]}}}],"schema":"https://github.com/citation-style-language/schema/raw/master/csl-citation.json"} </w:instrText>
      </w:r>
      <w:r w:rsidR="00636956">
        <w:rPr>
          <w:rFonts w:ascii="Arial" w:hAnsi="Arial" w:cs="Arial"/>
          <w:lang w:val="en-US"/>
        </w:rPr>
        <w:fldChar w:fldCharType="separate"/>
      </w:r>
      <w:r w:rsidR="009E1EF6">
        <w:rPr>
          <w:rFonts w:ascii="Arial" w:hAnsi="Arial" w:cs="Arial"/>
          <w:noProof/>
          <w:lang w:val="en-US"/>
        </w:rPr>
        <w:t>(37,38)</w:t>
      </w:r>
      <w:r w:rsidR="00636956">
        <w:rPr>
          <w:rFonts w:ascii="Arial" w:hAnsi="Arial" w:cs="Arial"/>
          <w:lang w:val="en-US"/>
        </w:rPr>
        <w:fldChar w:fldCharType="end"/>
      </w:r>
      <w:r w:rsidR="00905489">
        <w:rPr>
          <w:rFonts w:ascii="Arial" w:hAnsi="Arial" w:cs="Arial"/>
          <w:lang w:val="en-US"/>
        </w:rPr>
        <w:t>.</w:t>
      </w:r>
      <w:r w:rsidR="0008171B">
        <w:rPr>
          <w:rFonts w:ascii="Arial" w:hAnsi="Arial" w:cs="Arial"/>
          <w:lang w:val="en-US"/>
        </w:rPr>
        <w:t xml:space="preserve"> The standard error measurement </w:t>
      </w:r>
      <w:r w:rsidR="0008171B">
        <w:rPr>
          <w:rFonts w:ascii="Arial" w:hAnsi="Arial" w:cs="Arial"/>
          <w:lang w:val="en-US"/>
        </w:rPr>
        <w:lastRenderedPageBreak/>
        <w:t xml:space="preserve">(SEM) of VAS has been assessed at 0.03 while the minimum detectable change (MDC) at 0.08 </w:t>
      </w:r>
      <w:r w:rsidR="0008171B">
        <w:rPr>
          <w:rFonts w:ascii="Arial" w:hAnsi="Arial" w:cs="Arial"/>
          <w:lang w:val="en-US"/>
        </w:rPr>
        <w:fldChar w:fldCharType="begin"/>
      </w:r>
      <w:r w:rsidR="009E1EF6">
        <w:rPr>
          <w:rFonts w:ascii="Arial" w:hAnsi="Arial" w:cs="Arial"/>
          <w:lang w:val="en-US"/>
        </w:rPr>
        <w:instrText xml:space="preserve"> ADDIN ZOTERO_ITEM CSL_CITATION {"citationID":"LRkj0Y6Q","properties":{"formattedCitation":"(38)","plainCitation":"(38)","noteIndex":0},"citationItems":[{"id":20323,"uris":["http://zotero.org/users/5535897/items/QDQX8IB4"],"itemData":{"id":20323,"type":"article-journal","abstract":"Objective: Several scales are commonly used for assessing pain intensity. Among them, the numerical rating scale (NRS), visual analog scale (VAS), and verbal rating scale (VRS) are often used in clinical practice. However, no study has performed psychometric analyses of their reliability and validity in the measurement of osteoarthritic (OA) pain. Therefore, the present study examined the test–retest reliability, validity, and minimum detectable change (MDC) of the VAS, NRS, and VRS for the measurement of OA knee pain. In addition, the correlations of VAS, NRS, and VRS with demographic variables were evaluated.\nMethods: The study included 121 subjects (65 women, 56 men; aged 40–80 years) with OA of the knee. Test–retest reliability of the VAS, NRS, and VRS was assessed during two consecutive visits in a 24 h interval. The validity was tested using Pearson’s correlation coefficients between the baseline scores of VAS, NRS, and VRS and the demographic variables (age, body mass index [BMI], sex, and OA grade). The standard error of measurement (SEM) and the MDC were calculated to assess statistically meaningful changes.\nResults: The intraclass correlation coefficients of the VAS, NRS, and VRS were 0.97, 0.95, and 0.93, respectively. VAS, NRS, and VRS were significantly related to demographic variables (age, BMI, sex, and OA grade). The SEM of VAS, NRS, and VRS was 0.03, 0.48, and 0.21, respectively. The MDC of VAS, NRS, and VRS was 0.08, 1.33, and 0.58, respectively.\nConclusion: All the three scales had excellent test–retest reliability. However, the VAS was the most reliable, with the smallest errors in the measurement of OA knee pain.","container-title":"Journal of Pain Research","DOI":"10.2147/JPR.S158847","ISSN":"1178-7090","journalAbbreviation":"JPR","language":"en","license":"http://creativecommons.org/licenses/by-nc/3.0/","page":"851-856","source":"DOI.org (Crossref)","title":"Test&amp;ndash;retest reliability, validity, and minimum detectable change of visual analog, numerical rating, and verbal rating scales for measurement of osteoarthritic knee pain","volume":"Volume 11","author":[{"family":"Alghadir","given":"Ahmad"},{"family":"Anwer","given":"Shahnawaz"},{"family":"Iqbal","given":"Amir"},{"family":"Iqbal","given":"Zaheen"}],"issued":{"date-parts":[["2018",4]]}}}],"schema":"https://github.com/citation-style-language/schema/raw/master/csl-citation.json"} </w:instrText>
      </w:r>
      <w:r w:rsidR="0008171B">
        <w:rPr>
          <w:rFonts w:ascii="Arial" w:hAnsi="Arial" w:cs="Arial"/>
          <w:lang w:val="en-US"/>
        </w:rPr>
        <w:fldChar w:fldCharType="separate"/>
      </w:r>
      <w:r w:rsidR="009E1EF6">
        <w:rPr>
          <w:rFonts w:ascii="Arial" w:hAnsi="Arial" w:cs="Arial"/>
          <w:noProof/>
          <w:lang w:val="en-US"/>
        </w:rPr>
        <w:t>(38)</w:t>
      </w:r>
      <w:r w:rsidR="0008171B">
        <w:rPr>
          <w:rFonts w:ascii="Arial" w:hAnsi="Arial" w:cs="Arial"/>
          <w:lang w:val="en-US"/>
        </w:rPr>
        <w:fldChar w:fldCharType="end"/>
      </w:r>
      <w:r w:rsidR="0008171B">
        <w:rPr>
          <w:rFonts w:ascii="Arial" w:hAnsi="Arial" w:cs="Arial"/>
          <w:lang w:val="en-US"/>
        </w:rPr>
        <w:t>.</w:t>
      </w:r>
    </w:p>
    <w:p w14:paraId="74B32D62" w14:textId="7E72F212" w:rsidR="004127E6" w:rsidRDefault="004127E6" w:rsidP="0037195D">
      <w:pPr>
        <w:spacing w:line="480" w:lineRule="auto"/>
        <w:jc w:val="both"/>
        <w:rPr>
          <w:rFonts w:ascii="Arial" w:hAnsi="Arial" w:cs="Arial"/>
          <w:i/>
          <w:iCs/>
          <w:lang w:val="en-US"/>
        </w:rPr>
      </w:pPr>
      <w:r w:rsidRPr="009C22BE">
        <w:rPr>
          <w:rFonts w:ascii="Arial" w:hAnsi="Arial" w:cs="Arial"/>
          <w:i/>
          <w:iCs/>
          <w:lang w:val="en-US"/>
        </w:rPr>
        <w:t>Function</w:t>
      </w:r>
    </w:p>
    <w:p w14:paraId="18E11180" w14:textId="2D739C19" w:rsidR="004127E6" w:rsidRPr="00315714" w:rsidRDefault="00615EEC" w:rsidP="0037195D">
      <w:pPr>
        <w:spacing w:line="480" w:lineRule="auto"/>
        <w:jc w:val="both"/>
        <w:rPr>
          <w:rFonts w:ascii="Arial" w:hAnsi="Arial" w:cs="Arial"/>
          <w:lang w:val="en-US"/>
        </w:rPr>
      </w:pPr>
      <w:r w:rsidRPr="00A862A6">
        <w:rPr>
          <w:rFonts w:ascii="Arial" w:hAnsi="Arial" w:cs="Arial"/>
          <w:lang w:val="en-US"/>
        </w:rPr>
        <w:t>Functional status will be evaluated at baseline</w:t>
      </w:r>
      <w:r w:rsidR="001A6C9E" w:rsidRPr="00A862A6">
        <w:rPr>
          <w:rFonts w:ascii="Arial" w:hAnsi="Arial" w:cs="Arial"/>
          <w:lang w:val="en-US"/>
        </w:rPr>
        <w:t>, at the end of the 4</w:t>
      </w:r>
      <w:r w:rsidR="00977D9E" w:rsidRPr="00A862A6">
        <w:rPr>
          <w:rFonts w:ascii="Arial" w:hAnsi="Arial" w:cs="Arial"/>
          <w:lang w:val="en-US"/>
        </w:rPr>
        <w:t>-</w:t>
      </w:r>
      <w:r w:rsidR="001A6C9E" w:rsidRPr="00A862A6">
        <w:rPr>
          <w:rFonts w:ascii="Arial" w:hAnsi="Arial" w:cs="Arial"/>
          <w:lang w:val="en-US"/>
        </w:rPr>
        <w:t>week</w:t>
      </w:r>
      <w:r w:rsidR="00977D9E" w:rsidRPr="00A862A6">
        <w:rPr>
          <w:rFonts w:ascii="Arial" w:hAnsi="Arial" w:cs="Arial"/>
          <w:lang w:val="en-US"/>
        </w:rPr>
        <w:t xml:space="preserve"> treatment period</w:t>
      </w:r>
      <w:r w:rsidR="001A6C9E" w:rsidRPr="00A862A6">
        <w:rPr>
          <w:rFonts w:ascii="Arial" w:hAnsi="Arial" w:cs="Arial"/>
          <w:lang w:val="en-US"/>
        </w:rPr>
        <w:t>,</w:t>
      </w:r>
      <w:r w:rsidRPr="00A862A6">
        <w:rPr>
          <w:rFonts w:ascii="Arial" w:hAnsi="Arial" w:cs="Arial"/>
          <w:lang w:val="en-US"/>
        </w:rPr>
        <w:t xml:space="preserve"> and </w:t>
      </w:r>
      <w:r w:rsidR="001A6C9E" w:rsidRPr="00A862A6">
        <w:rPr>
          <w:rFonts w:ascii="Arial" w:hAnsi="Arial" w:cs="Arial"/>
          <w:lang w:val="en-US"/>
        </w:rPr>
        <w:t xml:space="preserve">at </w:t>
      </w:r>
      <w:r w:rsidR="00977D9E" w:rsidRPr="00A862A6">
        <w:rPr>
          <w:rFonts w:ascii="Arial" w:hAnsi="Arial" w:cs="Arial"/>
          <w:lang w:val="en-US"/>
        </w:rPr>
        <w:t xml:space="preserve">the 6-week </w:t>
      </w:r>
      <w:r w:rsidRPr="00A862A6">
        <w:rPr>
          <w:rFonts w:ascii="Arial" w:hAnsi="Arial" w:cs="Arial"/>
          <w:lang w:val="en-US"/>
        </w:rPr>
        <w:t>follow-up</w:t>
      </w:r>
      <w:r w:rsidR="001A6C9E" w:rsidRPr="00A862A6">
        <w:rPr>
          <w:rFonts w:ascii="Arial" w:hAnsi="Arial" w:cs="Arial"/>
          <w:lang w:val="en-US"/>
        </w:rPr>
        <w:t xml:space="preserve"> </w:t>
      </w:r>
      <w:r w:rsidRPr="00A862A6">
        <w:rPr>
          <w:rFonts w:ascii="Arial" w:hAnsi="Arial" w:cs="Arial"/>
          <w:lang w:val="en-US"/>
        </w:rPr>
        <w:t>using the French version of the Lower extremity Functional Scale (LEFS)</w:t>
      </w:r>
      <w:r w:rsidR="00636956">
        <w:rPr>
          <w:rFonts w:ascii="Arial" w:hAnsi="Arial" w:cs="Arial"/>
          <w:lang w:val="en-US"/>
        </w:rPr>
        <w:t xml:space="preserve"> </w:t>
      </w:r>
      <w:r w:rsidR="00636956">
        <w:rPr>
          <w:rFonts w:ascii="Arial" w:hAnsi="Arial" w:cs="Arial"/>
          <w:lang w:val="en-US"/>
        </w:rPr>
        <w:fldChar w:fldCharType="begin"/>
      </w:r>
      <w:r w:rsidR="009E1EF6">
        <w:rPr>
          <w:rFonts w:ascii="Arial" w:hAnsi="Arial" w:cs="Arial"/>
          <w:lang w:val="en-US"/>
        </w:rPr>
        <w:instrText xml:space="preserve"> ADDIN ZOTERO_ITEM CSL_CITATION {"citationID":"Cvzeg95m","properties":{"formattedCitation":"(39,40)","plainCitation":"(39,40)","noteIndex":0},"citationItems":[{"id":20276,"uris":["http://zotero.org/users/5535897/items/Y6FR6HCY"],"itemData":{"id":20276,"type":"article-journal","abstract":"Background and Purpose. The purpose of this study was to assess the reliability, construct validity, and sensitivity to change of the Lower Extremity Functional Scale (LEFS). Subjects and Methods. The LEFS was administered to 107 patients with lower-extremity musculoskeletal dysfunction referred to 12 outpatient physical therapy clinics. Methods. The LEFS was administered during the initial assessment, 24 to 48 hours following the initial assessment, and then at weekly intervals for 4 weeks. The SF-36 (acute version) was administered during the initial assessment and at weekly intervals. A type 2,1 intraclass correlation coefficient was used to estimate test-retest reliability. Pearson correlations and one-way analyses of variance were used to examine construct validity. Spearman rank-order correlation coefficients were used to examine the relationship between an independent prognostic rating of change for each patient and change in the LEFS and SF-36 scores. Results. Test-retest reliability of the LEFS scores was excellent (R=.94 [95% lower limit confidence interval (CI)=.89]). Correlations between the LEFS and the SF-36 physical function subscale and physical component score were r =.80 (95% lower limit CI=.73) and r =.64 (95% lower limit CI=.54), respectively. There was a higher correlation between the prognostic rating of change and the LEFS than between the prognostic rating of change and the SF-36 physical function score. The potential error associated with a score on the LEFS at a given point in time is ±5.3 scale points (90% CI), the minimal detectable change is 9 scale points (90% CI), and the minimal clinically important difference is 9 scale points (90% CI). Conclusion and Discussion. The LEFS is reliable, and construct validity was supported by comparison with the SF-36. The sensitivity to change of the LEFS was superior to that of the SF-36 in this population. The LEFS is efficient to administer and score and is applicable for research purposes and clinical decision making for individual patients.","container-title":"Physical Therapy","DOI":"10.1093/ptj/79.4.371","ISSN":"1538-6724","issue":"4","journalAbbreviation":"Phys Ther","page":"371-383","source":"Silverchair","title":"The Lower Extremity Functional Scale (LEFS): Scale Development, Measurement Properties, and Clinical Application","title-short":"The Lower Extremity Functional Scale (LEFS)","volume":"79","author":[{"family":"Binkley","given":"Jill M"},{"family":"Stratford","given":"Paul W"},{"family":"Lott","given":"Sue Ann"},{"family":"Riddle","given":"Daniel L"}],"issued":{"date-parts":[["1999",4,1]]}}},{"id":20256,"uris":["http://zotero.org/users/5535897/items/24Q4SJ6F"],"itemData":{"id":20256,"type":"article-journal","abstract":"Introduction : Le Rehabilitation Network of Ottawa-Carleton (RENOC) recommande à ses établissements de santé d'utiliser le Lower Extremity Functional Scale (LEFS). Puisque le RENOC dessert une clientèle anglophone et francophone, il s'imposait de traduire le LEFS pour l'évaluation de la clientèle francophone., But : Produire une traduction canadienne-française du LEFS sous l'appellation proposée « Échelle fonctionnelle des membres inférieurs (ÉFMI) » et examiner la validité de son contenu., Méthodologie : Nous avons utilisé une approche modifiée de la méthodologie de validation transculturelle de questionnaires de Vallerand (1989). Une traduction renversée parallèle du LEFS a d'abord été complétée. Ensuite, un comité d'experts a examiné les deux versions préliminaires et a créé la première version expérimentale de l'ÉFMI. Cette version fut évaluée par un deuxième comité d'experts, dont les commentaires menèrent à une deuxième version expérimentale. Finalement, 35 professionnels de la réadaptation évaluèrent la version expérimentale de l'ÉFMI sur une échelle d'ambiguïté et proposèrent les modifications finales., Résultats : Pour les différents énoncés de la version finale de l'ÉFMI, les moyennes sur l'échelle d'ambiguïté démontrent un niveau d'ambiguïté relativement faible puisqu'elles varient entre 1 et 2.54., Conclusion : Les quatre étapes rigoureuses du processus ont permis de produire une version valide du LEFS en français.","container-title":"Physiotherapy Canada","DOI":"10.3138/ptc.2010-11F","ISSN":"0300-0508","issue":"2","journalAbbreviation":"Physiother Can","page":"242-248","PMID":"22379265","PMCID":"PMC3076903","source":"PubMed Central","title":"Une version canadienne française du Lower Extremity Functional Scale (LEFS) : L'Échelle fonctionnelle des membres inférieurs (ÉFMI), partie I","title-short":"Une version canadienne française du Lower Extremity Functional Scale (LEFS)","volume":"63","author":[{"family":"René","given":"Frédéric"},{"family":"Casimiro","given":"Lynn"},{"family":"Tremblay","given":"Manon"},{"family":"Brosseau","given":"Lucie"},{"family":"Lefebvre","given":"Annabelle"},{"family":"Beaudouin","given":"Martine"},{"family":"Belliveau","given":"Véronik"},{"family":"Bergeron","given":"Louis-Philippe"}],"issued":{"date-parts":[["2011"]]}}}],"schema":"https://github.com/citation-style-language/schema/raw/master/csl-citation.json"} </w:instrText>
      </w:r>
      <w:r w:rsidR="00636956">
        <w:rPr>
          <w:rFonts w:ascii="Arial" w:hAnsi="Arial" w:cs="Arial"/>
          <w:lang w:val="en-US"/>
        </w:rPr>
        <w:fldChar w:fldCharType="separate"/>
      </w:r>
      <w:r w:rsidR="009E1EF6">
        <w:rPr>
          <w:rFonts w:ascii="Arial" w:hAnsi="Arial" w:cs="Arial"/>
          <w:noProof/>
          <w:lang w:val="en-US"/>
        </w:rPr>
        <w:t>(39,40)</w:t>
      </w:r>
      <w:r w:rsidR="00636956">
        <w:rPr>
          <w:rFonts w:ascii="Arial" w:hAnsi="Arial" w:cs="Arial"/>
          <w:lang w:val="en-US"/>
        </w:rPr>
        <w:fldChar w:fldCharType="end"/>
      </w:r>
      <w:r w:rsidR="00905489">
        <w:rPr>
          <w:rFonts w:ascii="Arial" w:hAnsi="Arial" w:cs="Arial"/>
          <w:lang w:val="en-US"/>
        </w:rPr>
        <w:t>.</w:t>
      </w:r>
      <w:r w:rsidR="00982CF6">
        <w:rPr>
          <w:rFonts w:ascii="Arial" w:hAnsi="Arial" w:cs="Arial"/>
          <w:lang w:val="en-US"/>
        </w:rPr>
        <w:t xml:space="preserve"> </w:t>
      </w:r>
      <w:r w:rsidR="004127E6" w:rsidRPr="007672EA">
        <w:rPr>
          <w:rFonts w:ascii="Arial" w:hAnsi="Arial" w:cs="Arial"/>
          <w:lang w:val="en-US"/>
        </w:rPr>
        <w:t>The LEFS</w:t>
      </w:r>
      <w:r w:rsidR="004127E6">
        <w:rPr>
          <w:rFonts w:ascii="Arial" w:hAnsi="Arial" w:cs="Arial"/>
          <w:lang w:val="en-US"/>
        </w:rPr>
        <w:t xml:space="preserve"> is a self-questionnaire</w:t>
      </w:r>
      <w:r w:rsidR="00912345">
        <w:rPr>
          <w:rFonts w:ascii="Arial" w:hAnsi="Arial" w:cs="Arial"/>
          <w:lang w:val="en-US"/>
        </w:rPr>
        <w:t xml:space="preserve"> </w:t>
      </w:r>
      <w:r w:rsidR="004127E6" w:rsidRPr="007672EA">
        <w:rPr>
          <w:rFonts w:ascii="Arial" w:hAnsi="Arial" w:cs="Arial"/>
          <w:lang w:val="en-US"/>
        </w:rPr>
        <w:t>assess</w:t>
      </w:r>
      <w:r w:rsidR="004127E6">
        <w:rPr>
          <w:rFonts w:ascii="Arial" w:hAnsi="Arial" w:cs="Arial"/>
          <w:lang w:val="en-US"/>
        </w:rPr>
        <w:t xml:space="preserve">ing </w:t>
      </w:r>
      <w:r w:rsidR="004127E6" w:rsidRPr="007672EA">
        <w:rPr>
          <w:rFonts w:ascii="Arial" w:hAnsi="Arial" w:cs="Arial"/>
          <w:lang w:val="en-US"/>
        </w:rPr>
        <w:t>baseline function, progress, and outcomes in lower-extremity conditions.</w:t>
      </w:r>
      <w:r w:rsidR="00912345">
        <w:rPr>
          <w:rFonts w:ascii="Arial" w:hAnsi="Arial" w:cs="Arial"/>
          <w:lang w:val="en-US"/>
        </w:rPr>
        <w:t xml:space="preserve"> The scale co</w:t>
      </w:r>
      <w:r>
        <w:rPr>
          <w:rFonts w:ascii="Arial" w:hAnsi="Arial" w:cs="Arial"/>
          <w:lang w:val="en-US"/>
        </w:rPr>
        <w:t>mprises</w:t>
      </w:r>
      <w:r w:rsidR="00912345">
        <w:rPr>
          <w:rFonts w:ascii="Arial" w:hAnsi="Arial" w:cs="Arial"/>
          <w:lang w:val="en-US"/>
        </w:rPr>
        <w:t xml:space="preserve"> 20</w:t>
      </w:r>
      <w:r>
        <w:rPr>
          <w:rFonts w:ascii="Arial" w:hAnsi="Arial" w:cs="Arial"/>
          <w:lang w:val="en-US"/>
        </w:rPr>
        <w:t xml:space="preserve"> items,</w:t>
      </w:r>
      <w:r w:rsidR="00912345">
        <w:rPr>
          <w:rFonts w:ascii="Arial" w:hAnsi="Arial" w:cs="Arial"/>
          <w:lang w:val="en-US"/>
        </w:rPr>
        <w:t xml:space="preserve"> each </w:t>
      </w:r>
      <w:r>
        <w:rPr>
          <w:rFonts w:ascii="Arial" w:hAnsi="Arial" w:cs="Arial"/>
          <w:lang w:val="en-US"/>
        </w:rPr>
        <w:t>rat</w:t>
      </w:r>
      <w:r w:rsidR="00912345">
        <w:rPr>
          <w:rFonts w:ascii="Arial" w:hAnsi="Arial" w:cs="Arial"/>
          <w:lang w:val="en-US"/>
        </w:rPr>
        <w:t>ed from 0 (Extreme difficulty) to 4 (No difficulty)</w:t>
      </w:r>
      <w:r>
        <w:rPr>
          <w:rFonts w:ascii="Arial" w:hAnsi="Arial" w:cs="Arial"/>
          <w:lang w:val="en-US"/>
        </w:rPr>
        <w:t>, for a total possible</w:t>
      </w:r>
      <w:r w:rsidR="00912345">
        <w:rPr>
          <w:rFonts w:ascii="Arial" w:hAnsi="Arial" w:cs="Arial"/>
          <w:lang w:val="en-US"/>
        </w:rPr>
        <w:t xml:space="preserve"> score of 80. </w:t>
      </w:r>
      <w:r>
        <w:rPr>
          <w:rFonts w:ascii="Arial" w:hAnsi="Arial" w:cs="Arial"/>
          <w:lang w:val="en-US"/>
        </w:rPr>
        <w:t>A score change of 9 points is considered t</w:t>
      </w:r>
      <w:r w:rsidR="00912345">
        <w:rPr>
          <w:rFonts w:ascii="Arial" w:hAnsi="Arial" w:cs="Arial"/>
          <w:lang w:val="en-US"/>
        </w:rPr>
        <w:t>he minimum clinically important difference.</w:t>
      </w:r>
      <w:r w:rsidR="004127E6">
        <w:rPr>
          <w:rFonts w:ascii="Arial" w:hAnsi="Arial" w:cs="Arial"/>
          <w:lang w:val="en-US"/>
        </w:rPr>
        <w:t xml:space="preserve"> The </w:t>
      </w:r>
      <w:r>
        <w:rPr>
          <w:rFonts w:ascii="Arial" w:hAnsi="Arial" w:cs="Arial"/>
          <w:lang w:val="en-US"/>
        </w:rPr>
        <w:t>LEFS</w:t>
      </w:r>
      <w:r w:rsidR="004127E6">
        <w:rPr>
          <w:rFonts w:ascii="Arial" w:hAnsi="Arial" w:cs="Arial"/>
          <w:lang w:val="en-US"/>
        </w:rPr>
        <w:t xml:space="preserve"> </w:t>
      </w:r>
      <w:r w:rsidR="00912345">
        <w:rPr>
          <w:rFonts w:ascii="Arial" w:hAnsi="Arial" w:cs="Arial"/>
          <w:lang w:val="en-US"/>
        </w:rPr>
        <w:t xml:space="preserve">has demonstrated </w:t>
      </w:r>
      <w:r>
        <w:rPr>
          <w:rFonts w:ascii="Arial" w:hAnsi="Arial" w:cs="Arial"/>
          <w:lang w:val="en-US"/>
        </w:rPr>
        <w:t>strong psychometric properties</w:t>
      </w:r>
      <w:r w:rsidR="009E0A42">
        <w:rPr>
          <w:rFonts w:ascii="Arial" w:hAnsi="Arial" w:cs="Arial"/>
          <w:lang w:val="en-US"/>
        </w:rPr>
        <w:t xml:space="preserve"> for AKP</w:t>
      </w:r>
      <w:r>
        <w:rPr>
          <w:rFonts w:ascii="Arial" w:hAnsi="Arial" w:cs="Arial"/>
          <w:lang w:val="en-US"/>
        </w:rPr>
        <w:t>, including</w:t>
      </w:r>
      <w:r w:rsidR="004127E6">
        <w:rPr>
          <w:rFonts w:ascii="Arial" w:hAnsi="Arial" w:cs="Arial"/>
          <w:lang w:val="en-US"/>
        </w:rPr>
        <w:t xml:space="preserve"> valid</w:t>
      </w:r>
      <w:r w:rsidR="00912345">
        <w:rPr>
          <w:rFonts w:ascii="Arial" w:hAnsi="Arial" w:cs="Arial"/>
          <w:lang w:val="en-US"/>
        </w:rPr>
        <w:t>ity</w:t>
      </w:r>
      <w:r w:rsidR="004127E6">
        <w:rPr>
          <w:rFonts w:ascii="Arial" w:hAnsi="Arial" w:cs="Arial"/>
          <w:lang w:val="en-US"/>
        </w:rPr>
        <w:t xml:space="preserve"> and</w:t>
      </w:r>
      <w:r w:rsidR="004127E6" w:rsidRPr="00B36191">
        <w:rPr>
          <w:rFonts w:ascii="Arial" w:hAnsi="Arial" w:cs="Arial"/>
          <w:lang w:val="en-US"/>
        </w:rPr>
        <w:t xml:space="preserve"> </w:t>
      </w:r>
      <w:r w:rsidR="004127E6">
        <w:rPr>
          <w:rFonts w:ascii="Arial" w:hAnsi="Arial" w:cs="Arial"/>
          <w:lang w:val="en-US"/>
        </w:rPr>
        <w:t>relia</w:t>
      </w:r>
      <w:r w:rsidR="00912345">
        <w:rPr>
          <w:rFonts w:ascii="Arial" w:hAnsi="Arial" w:cs="Arial"/>
          <w:lang w:val="en-US"/>
        </w:rPr>
        <w:t>bility</w:t>
      </w:r>
      <w:r w:rsidR="009E0A42">
        <w:rPr>
          <w:rFonts w:ascii="Arial" w:hAnsi="Arial" w:cs="Arial"/>
          <w:lang w:val="en-US"/>
        </w:rPr>
        <w:t xml:space="preserve"> </w:t>
      </w:r>
      <w:r w:rsidR="009E0A42">
        <w:rPr>
          <w:rFonts w:ascii="Arial" w:hAnsi="Arial" w:cs="Arial"/>
          <w:lang w:val="en-US"/>
        </w:rPr>
        <w:fldChar w:fldCharType="begin"/>
      </w:r>
      <w:r w:rsidR="009E1EF6">
        <w:rPr>
          <w:rFonts w:ascii="Arial" w:hAnsi="Arial" w:cs="Arial"/>
          <w:lang w:val="en-US"/>
        </w:rPr>
        <w:instrText xml:space="preserve"> ADDIN ZOTERO_ITEM CSL_CITATION {"citationID":"MieucHz2","properties":{"formattedCitation":"(41,42)","plainCitation":"(41,42)","noteIndex":0},"citationItems":[{"id":20455,"uris":["http://zotero.org/users/5535897/items/SVUEYYLG"],"itemData":{"id":20455,"type":"article-journal","container-title":"Disability and Rehabilitation","DOI":"10.1080/09638288.2024.2390051","ISSN":"0963-8288, 1464-5165","issue":"8","journalAbbreviation":"Disability and Rehabilitation","language":"en","page":"1932-1938","source":"DOI.org (Crossref)","title":"Clinically most relevant psychometric properties of the Lower Extremity Functional Scale: a systematic review","title-short":"Clinically most relevant psychometric properties of the Lower Extremity Functional Scale","volume":"47","author":[{"family":"Zhang","given":"Yongni"},{"family":"Zang","given":"Yaning"},{"family":"Martin","given":"RobRoy L."}],"issued":{"date-parts":[["2025",4,10]]}}},{"id":20393,"uris":["http://zotero.org/users/5535897/items/9I63XUC6"],"itemData":{"id":20393,"type":"article-journal","abstract":"Introduction : Le Lower Extremity Functional Scale a été traduit en français en 2006. La version canadienne-française se nomme l'Échelle fonctionnelle des membres inférieurs (ÉFMI). La validité de construit et la fiabilité test-retest de l'ÉFMI n'ont pas encore été examinées., But : Examiner la fiabilité test-retest, la consistance interne et la validité de construit de l'ÉFMI., Méthodologie : Trente-quatre participants ayant subi une chirurgie ou une blessure à un membre inférieur ont rempli un questionnaire démographique et complété l'ÉFMI lors d'une évaluation initiale alors qu'ils étaient hospitalisés. Ils ont à nouveau complété l'ÉFMI dans un intervalle de 72 heures après la première évaluation. Le coefficient de corrélation intra-classe (CCI) et le coefficient kappa ont été utilisés afin d'examiner la fiabilité de type test-retest de l'ÉFMI. Le coefficient alpha Cronbach a été calculé pour évaluer la consistance interne. L'analyse factorielle a été utilisée pour examiner la validité de construit afin de déterminer le nombre de dimensions et leur signification respective., Résultats : Le CCI s'élève à une valeur de 0,92 [0,88–0,96] (IC: 95%). Le résultat du test α-Cronbach est de 0,95 (0,91–0,99) IC à 95%. L'analyse factorielle révèle que tous les éléments de l'ÉFMI se logent sur une dimension principale., Conclusion : Les résultats montrent que la version canadienne-française de l'ÉFMI est un outil unidimensionnel qui offre une fiabilité test-retest et une consistance interne excellentes.","container-title":"Physiotherapy Canada","DOI":"10.3138/ptc.2010-12F","ISSN":"0300-0508","issue":"2","journalAbbreviation":"Physiother Can","page":"249-255","PMID":"22379266","PMCID":"PMC3076912","source":"PubMed Central","title":"Fiabilité test retest et validité de construit de la version française de L'Échelle fonctionnelle des membres inférieurs (ÉFMI), partie II","volume":"63","author":[{"family":"René","given":"Frédéric"},{"family":"Casimiro","given":"Lynn"},{"family":"Tremblay","given":"Manon"},{"family":"Brosseau","given":"Lucie"},{"family":"Chea","given":"Phanny"},{"family":"Létourneau","given":"Liliane"},{"family":"Silva","given":"Megan"},{"family":"Stockwell","given":"Victoria"},{"family":"Bergeron","given":"Louis-Philippe"}],"issued":{"date-parts":[["2011"]]}}}],"schema":"https://github.com/citation-style-language/schema/raw/master/csl-citation.json"} </w:instrText>
      </w:r>
      <w:r w:rsidR="009E0A42">
        <w:rPr>
          <w:rFonts w:ascii="Arial" w:hAnsi="Arial" w:cs="Arial"/>
          <w:lang w:val="en-US"/>
        </w:rPr>
        <w:fldChar w:fldCharType="separate"/>
      </w:r>
      <w:r w:rsidR="009E1EF6">
        <w:rPr>
          <w:rFonts w:ascii="Arial" w:hAnsi="Arial" w:cs="Arial"/>
          <w:noProof/>
          <w:lang w:val="en-US"/>
        </w:rPr>
        <w:t>(41,42)</w:t>
      </w:r>
      <w:r w:rsidR="009E0A42">
        <w:rPr>
          <w:rFonts w:ascii="Arial" w:hAnsi="Arial" w:cs="Arial"/>
          <w:lang w:val="en-US"/>
        </w:rPr>
        <w:fldChar w:fldCharType="end"/>
      </w:r>
      <w:r w:rsidR="004127E6">
        <w:rPr>
          <w:rFonts w:ascii="Arial" w:hAnsi="Arial" w:cs="Arial"/>
          <w:lang w:val="en-US"/>
        </w:rPr>
        <w:t xml:space="preserve">. </w:t>
      </w:r>
      <w:r w:rsidR="00577D62">
        <w:rPr>
          <w:rFonts w:ascii="Arial" w:hAnsi="Arial" w:cs="Arial"/>
          <w:lang w:val="en-US"/>
        </w:rPr>
        <w:t xml:space="preserve">Pooled estimates for SEM and MDC have been reported at 2.4 and 6, respectively </w:t>
      </w:r>
      <w:r w:rsidR="00577D62">
        <w:rPr>
          <w:rFonts w:ascii="Arial" w:hAnsi="Arial" w:cs="Arial"/>
          <w:lang w:val="en-US"/>
        </w:rPr>
        <w:fldChar w:fldCharType="begin"/>
      </w:r>
      <w:r w:rsidR="009E1EF6">
        <w:rPr>
          <w:rFonts w:ascii="Arial" w:hAnsi="Arial" w:cs="Arial"/>
          <w:lang w:val="en-US"/>
        </w:rPr>
        <w:instrText xml:space="preserve"> ADDIN ZOTERO_ITEM CSL_CITATION {"citationID":"VpDSnVVp","properties":{"formattedCitation":"(43)","plainCitation":"(43)","noteIndex":0},"citationItems":[{"id":20453,"uris":["http://zotero.org/users/5535897/items/237BENYD"],"itemData":{"id":20453,"type":"article-journal","abstract":"Study Design\n              Systematic review of measurement properties.\n            \n            \n              Background\n              Many primary studies have examined the measurement properties, such as reliability, validity, and sensitivity to change, of the Lower Extremity Functional Scale (LEFS) in different clinical populations. A systematic review summarizing these properties for the LEFS may provide an important resource.\n            \n            \n              Objective\n              To locate and synthesize evidence on the measurement properties of the LEFS and to discuss the clinical implications of the evidence.\n            \n            \n              Methods\n              A literature search was conducted in 4 databases (PubMed, MEDLINE, Embase, and CINAHL), using predefined search terms. Two reviewers performed a critical appraisal of the included studies using a standardized assessment form.\n            \n            \n              Results\n              \n                A total of 27 studies were included in the review, of which 18 achieved a very good to excellent methodological quality level. The LEFS scores demonstrated excellent test-retest reliability (intraclass correlation coefficients ranging between 0.85 and 0.99) and demonstrated the expected relationships with measures assessing similar constructs (Pearson correlation coefficient values of greater than 0.7). The responsiveness of the LEFS scores was excellent, as suggested by consistently high effect sizes (greater than 0.8) in patients with different lower extremity conditions. Minimal detectable change at the 90% confidence level (MDC\n                90\n                ) for the LEFS scores varied between 8.1 and 15.3 across different reassessment intervals in a wide range of patient populations. The pooled estimate of the MDC\n                90\n                was 6 points and the minimal clinically important difference was 9 points in patients with lower extremity musculoskeletal conditions, which are indicative of true change and clinically meaningful change, respectively.\n              \n            \n            \n              Conclusion\n              The results of this review support the reliability, validity, and responsiveness of the LEFS scores for assessing functional impairment in a wide array of patient groups with lower extremity musculoskeletal conditions. J Orthop Sports Phys Ther 2016;46(3):200–216. Epub 26 Jan 2016. doi:10.2519/jospt.2016.6165","container-title":"Journal of Orthopaedic &amp; Sports Physical Therapy","DOI":"10.2519/jospt.2016.6165","ISSN":"0190-6011, 1938-1344","issue":"3","journalAbbreviation":"Journal of Orthopaedic &amp; Sports Physical Therapy","language":"en","page":"200-216","source":"DOI.org (Crossref)","title":"Measurement Properties of the Lower Extremity Functional Scale: A Systematic Review","title-short":"Measurement Properties of the Lower Extremity Functional Scale","volume":"46","author":[{"family":"Mehta","given":"Saurabh P."},{"family":"Fulton","given":"Allison"},{"family":"Quach","given":"Cedric"},{"family":"Thistle","given":"Megan"},{"family":"Toledo","given":"Cesar"},{"family":"Evans","given":"Neil A."}],"issued":{"date-parts":[["2016",3]]}}}],"schema":"https://github.com/citation-style-language/schema/raw/master/csl-citation.json"} </w:instrText>
      </w:r>
      <w:r w:rsidR="00577D62">
        <w:rPr>
          <w:rFonts w:ascii="Arial" w:hAnsi="Arial" w:cs="Arial"/>
          <w:lang w:val="en-US"/>
        </w:rPr>
        <w:fldChar w:fldCharType="separate"/>
      </w:r>
      <w:r w:rsidR="009E1EF6">
        <w:rPr>
          <w:rFonts w:ascii="Arial" w:hAnsi="Arial" w:cs="Arial"/>
          <w:noProof/>
          <w:lang w:val="en-US"/>
        </w:rPr>
        <w:t>(43)</w:t>
      </w:r>
      <w:r w:rsidR="00577D62">
        <w:rPr>
          <w:rFonts w:ascii="Arial" w:hAnsi="Arial" w:cs="Arial"/>
          <w:lang w:val="en-US"/>
        </w:rPr>
        <w:fldChar w:fldCharType="end"/>
      </w:r>
      <w:r w:rsidR="00577D62">
        <w:rPr>
          <w:rFonts w:ascii="Arial" w:hAnsi="Arial" w:cs="Arial"/>
          <w:lang w:val="en-US"/>
        </w:rPr>
        <w:t>.</w:t>
      </w:r>
    </w:p>
    <w:p w14:paraId="6A01A1B4" w14:textId="77777777" w:rsidR="004A675F" w:rsidRDefault="004A675F" w:rsidP="0037195D">
      <w:pPr>
        <w:spacing w:line="480" w:lineRule="auto"/>
        <w:jc w:val="both"/>
        <w:rPr>
          <w:rFonts w:ascii="Arial" w:hAnsi="Arial" w:cs="Arial"/>
          <w:b/>
          <w:bCs/>
          <w:lang w:val="en-US"/>
        </w:rPr>
      </w:pPr>
    </w:p>
    <w:p w14:paraId="7BE1E0B3" w14:textId="299F941B" w:rsidR="006C4ECA" w:rsidRDefault="006C4ECA" w:rsidP="0037195D">
      <w:pPr>
        <w:spacing w:line="480" w:lineRule="auto"/>
        <w:jc w:val="both"/>
        <w:rPr>
          <w:rFonts w:ascii="Arial" w:hAnsi="Arial" w:cs="Arial"/>
          <w:b/>
          <w:bCs/>
          <w:lang w:val="en-US"/>
        </w:rPr>
      </w:pPr>
      <w:r w:rsidRPr="006C4ECA">
        <w:rPr>
          <w:rFonts w:ascii="Arial" w:hAnsi="Arial" w:cs="Arial"/>
          <w:b/>
          <w:bCs/>
          <w:lang w:val="en-US"/>
        </w:rPr>
        <w:t>Sample size</w:t>
      </w:r>
    </w:p>
    <w:p w14:paraId="6E7A6E42" w14:textId="2E5BC949" w:rsidR="00107D60" w:rsidRPr="0037195D" w:rsidRDefault="00085015" w:rsidP="0037195D">
      <w:pPr>
        <w:spacing w:line="480" w:lineRule="auto"/>
        <w:jc w:val="both"/>
        <w:rPr>
          <w:rFonts w:ascii="Arial" w:hAnsi="Arial" w:cs="Arial"/>
          <w:lang w:val="en-US"/>
        </w:rPr>
      </w:pPr>
      <w:r w:rsidRPr="00085015">
        <w:rPr>
          <w:rFonts w:ascii="Arial" w:hAnsi="Arial" w:cs="Arial"/>
          <w:lang w:val="en-US"/>
        </w:rPr>
        <w:t xml:space="preserve">Sample size estimation is based on Lin et al. </w:t>
      </w:r>
      <w:r w:rsidR="00585CBE">
        <w:rPr>
          <w:rFonts w:ascii="Arial" w:hAnsi="Arial" w:cs="Arial"/>
          <w:lang w:val="en-US"/>
        </w:rPr>
        <w:fldChar w:fldCharType="begin"/>
      </w:r>
      <w:r w:rsidR="00585CBE">
        <w:rPr>
          <w:rFonts w:ascii="Arial" w:hAnsi="Arial" w:cs="Arial"/>
          <w:lang w:val="en-US"/>
        </w:rPr>
        <w:instrText xml:space="preserve"> ADDIN ZOTERO_ITEM CSL_CITATION {"citationID":"SyhwHkH4","properties":{"formattedCitation":"(12)","plainCitation":"(12)","noteIndex":0},"citationItems":[{"id":11796,"uris":["http://zotero.org/users/5535897/items/DAQPVSBB"],"itemData":{"id":11796,"type":"article-journal","abstract":"Patellofemoral pain syndrome (PFPS) is one of the most common etiologies of knee pain and might be relieved with lumbopelvic manipulation (LPM). This meta-analysis aimed to investigate the effects of LPM on pain reduction in patients with PFPS. Electronic databases were searched from inception to December 2023 for randomized controlled trials (RCTs) investigating the effects of LPM on PFPS. The primary outcome was the change in visual analog or numeric rating scale scores assessing pain. Ten studies comprising 346 participants were included. Signiﬁcant pain reduction was noted in the LPM group (Hedges’ g = −0.706, 95% conﬁdence interval [CI] = −1.197 to −0.214, p = 0.005, I2 = 79.624%) compared with the control group. Moreover, pain relief was more pronounced when LPM was combined with other physical therapies (Hedges’ g = −0.701, 95% CI = −1.386 to −0.017, p = 0.045, I2 = 73.537%). No adverse events were reported during the LPM. The LPM appears to be a safe and effective adjuvant therapy for pain reduction in patients with PFPS. Clinicians should consider adding LPM to other physical therapies (e.g., quadriceps muscle strengthening) during the management of these patients.","container-title":"Life","DOI":"10.3390/life14070831","ISSN":"2075-1729","issue":"7","journalAbbreviation":"Life","language":"en","license":"https://creativecommons.org/licenses/by/4.0/","page":"831","source":"DOI.org (Crossref)","title":"The Effect of Lumbopelvic Manipulation for Pain Reduction in Patellofemoral Pain Syndrome: A Systematic Review and Meta-Analysis of Randomized Controlled Trials","title-short":"The Effect of Lumbopelvic Manipulation for Pain Reduction in Patellofemoral Pain Syndrome","volume":"14","author":[{"family":"Lin","given":"Long-Huei"},{"family":"Lin","given":"Ting-Yu"},{"family":"Chang","given":"Ke-Vin"},{"family":"Wu","given":"Wei-Ting"},{"family":"Özçakar","given":"Levent"}],"issued":{"date-parts":[["2024",6,28]]}}}],"schema":"https://github.com/citation-style-language/schema/raw/master/csl-citation.json"} </w:instrText>
      </w:r>
      <w:r w:rsidR="00585CBE">
        <w:rPr>
          <w:rFonts w:ascii="Arial" w:hAnsi="Arial" w:cs="Arial"/>
          <w:lang w:val="en-US"/>
        </w:rPr>
        <w:fldChar w:fldCharType="separate"/>
      </w:r>
      <w:r w:rsidR="00585CBE">
        <w:rPr>
          <w:rFonts w:ascii="Arial" w:hAnsi="Arial" w:cs="Arial"/>
          <w:noProof/>
          <w:lang w:val="en-US"/>
        </w:rPr>
        <w:t>(12)</w:t>
      </w:r>
      <w:r w:rsidR="00585CBE">
        <w:rPr>
          <w:rFonts w:ascii="Arial" w:hAnsi="Arial" w:cs="Arial"/>
          <w:lang w:val="en-US"/>
        </w:rPr>
        <w:fldChar w:fldCharType="end"/>
      </w:r>
      <w:r w:rsidRPr="00085015">
        <w:rPr>
          <w:rFonts w:ascii="Arial" w:hAnsi="Arial" w:cs="Arial"/>
          <w:lang w:val="en-US"/>
        </w:rPr>
        <w:t>, who reported a pain reduction of 0.706</w:t>
      </w:r>
      <w:r w:rsidR="00C25D61">
        <w:rPr>
          <w:rFonts w:ascii="Arial" w:hAnsi="Arial" w:cs="Arial"/>
          <w:lang w:val="en-US"/>
        </w:rPr>
        <w:t xml:space="preserve"> o</w:t>
      </w:r>
      <w:r w:rsidR="00403682">
        <w:rPr>
          <w:rFonts w:ascii="Arial" w:hAnsi="Arial" w:cs="Arial"/>
          <w:lang w:val="en-US"/>
        </w:rPr>
        <w:t>n an 11-points scale</w:t>
      </w:r>
      <w:r w:rsidRPr="00085015">
        <w:rPr>
          <w:rFonts w:ascii="Arial" w:hAnsi="Arial" w:cs="Arial"/>
          <w:lang w:val="en-US"/>
        </w:rPr>
        <w:t xml:space="preserve"> in patients with </w:t>
      </w:r>
      <w:r w:rsidR="0061255C">
        <w:rPr>
          <w:rFonts w:ascii="Arial" w:hAnsi="Arial" w:cs="Arial"/>
          <w:lang w:val="en-US"/>
        </w:rPr>
        <w:t>PFP</w:t>
      </w:r>
      <w:r w:rsidRPr="00085015">
        <w:rPr>
          <w:rFonts w:ascii="Arial" w:hAnsi="Arial" w:cs="Arial"/>
          <w:lang w:val="en-US"/>
        </w:rPr>
        <w:t xml:space="preserve"> following </w:t>
      </w:r>
      <w:r w:rsidR="001D6C84">
        <w:rPr>
          <w:rFonts w:ascii="Arial" w:hAnsi="Arial" w:cs="Arial"/>
          <w:lang w:val="en-US"/>
        </w:rPr>
        <w:t>LPM</w:t>
      </w:r>
      <w:r w:rsidRPr="00085015">
        <w:rPr>
          <w:rFonts w:ascii="Arial" w:hAnsi="Arial" w:cs="Arial"/>
          <w:lang w:val="en-US"/>
        </w:rPr>
        <w:t>. Given the broader AKP population in this study, a medium to large effect size</w:t>
      </w:r>
      <w:r w:rsidR="00C25D61">
        <w:rPr>
          <w:rFonts w:ascii="Arial" w:hAnsi="Arial" w:cs="Arial"/>
          <w:lang w:val="en-US"/>
        </w:rPr>
        <w:t xml:space="preserve"> between the two groups</w:t>
      </w:r>
      <w:r w:rsidRPr="00085015">
        <w:rPr>
          <w:rFonts w:ascii="Arial" w:hAnsi="Arial" w:cs="Arial"/>
          <w:lang w:val="en-US"/>
        </w:rPr>
        <w:t xml:space="preserve"> is expected. According to Whitehead et al.</w:t>
      </w:r>
      <w:r w:rsidR="00585CBE">
        <w:rPr>
          <w:rFonts w:ascii="Arial" w:hAnsi="Arial" w:cs="Arial"/>
          <w:lang w:val="en-US"/>
        </w:rPr>
        <w:t xml:space="preserve"> </w:t>
      </w:r>
      <w:r w:rsidR="00585CBE">
        <w:rPr>
          <w:rFonts w:ascii="Arial" w:hAnsi="Arial" w:cs="Arial"/>
          <w:lang w:val="en-US"/>
        </w:rPr>
        <w:fldChar w:fldCharType="begin"/>
      </w:r>
      <w:r w:rsidR="009E1EF6">
        <w:rPr>
          <w:rFonts w:ascii="Arial" w:hAnsi="Arial" w:cs="Arial"/>
          <w:lang w:val="en-US"/>
        </w:rPr>
        <w:instrText xml:space="preserve"> ADDIN ZOTERO_ITEM CSL_CITATION {"citationID":"IBZOciRd","properties":{"formattedCitation":"(44)","plainCitation":"(44)","noteIndex":0},"citationItems":[{"id":11740,"uris":["http://zotero.org/users/5535897/items/77RVWFAS"],"itemData":{"id":11740,"type":"article-journal","abstract":"Sample size justification is an important consideration when planning a clinical trial, not only for the main trial but also for any preliminary pilot trial. When the outcome is a continuous variable, the sample size calculation requires an accurate estimate of the standard deviation of the outcome measure. A pilot trial can be used to get an estimate of the standard deviation, which could then be used to anticipate what may be observed in the main trial. However, an important consideration is that pilot trials often estimate the standard deviation parameter imprecisely. This paper looks at how we can choose an external pilot trial sample size in order to minimise the sample size of the overall clinical trial programme, that is, the pilot and the main trial together. We produce a method of calculating the optimal solution to the required pilot trial sample size when the standardised effect size for the main trial is known. However, as it may not be possible to know the standardised effect size to be used prior to the pilot trial, approximate rules are also presented. For a main trial designed with 90% power and two-sided 5% significance, we recommend pilot trial sample sizes per treatment arm of 75, 25, 15 and 10 for standardised effect sizes that are extra small ( 0.1), small (0.2), medium (0.5) or large (0.8), respectively.","container-title":"Statistical Methods in Medical Research","DOI":"10.1177/0962280215588241","ISSN":"0962-2802, 1477-0334","issue":"3","journalAbbreviation":"Stat Methods Med Res","language":"en","page":"1057-1073","source":"DOI.org (Crossref)","title":"Estimating the sample size for a pilot randomised trial to minimise the overall trial sample size for the external pilot and main trial for a continuous outcome variable","volume":"25","author":[{"family":"Whitehead","given":"Amy L"},{"family":"Julious","given":"Steven A"},{"family":"Cooper","given":"Cindy L"},{"family":"Campbell","given":"Michael J"}],"issued":{"date-parts":[["2016",6]]}}}],"schema":"https://github.com/citation-style-language/schema/raw/master/csl-citation.json"} </w:instrText>
      </w:r>
      <w:r w:rsidR="00585CBE">
        <w:rPr>
          <w:rFonts w:ascii="Arial" w:hAnsi="Arial" w:cs="Arial"/>
          <w:lang w:val="en-US"/>
        </w:rPr>
        <w:fldChar w:fldCharType="separate"/>
      </w:r>
      <w:r w:rsidR="009E1EF6">
        <w:rPr>
          <w:rFonts w:ascii="Arial" w:hAnsi="Arial" w:cs="Arial"/>
          <w:noProof/>
          <w:lang w:val="en-US"/>
        </w:rPr>
        <w:t>(44)</w:t>
      </w:r>
      <w:r w:rsidR="00585CBE">
        <w:rPr>
          <w:rFonts w:ascii="Arial" w:hAnsi="Arial" w:cs="Arial"/>
          <w:lang w:val="en-US"/>
        </w:rPr>
        <w:fldChar w:fldCharType="end"/>
      </w:r>
      <w:r w:rsidR="00905489">
        <w:rPr>
          <w:rFonts w:ascii="Arial" w:hAnsi="Arial" w:cs="Arial"/>
          <w:lang w:val="en-US"/>
        </w:rPr>
        <w:t>,</w:t>
      </w:r>
      <w:r w:rsidR="00585CBE">
        <w:rPr>
          <w:rFonts w:ascii="Arial" w:hAnsi="Arial" w:cs="Arial"/>
          <w:lang w:val="en-US"/>
        </w:rPr>
        <w:t xml:space="preserve"> </w:t>
      </w:r>
      <w:r>
        <w:rPr>
          <w:rFonts w:ascii="Arial" w:hAnsi="Arial" w:cs="Arial"/>
          <w:lang w:val="en-US"/>
        </w:rPr>
        <w:t>assuming</w:t>
      </w:r>
      <w:r w:rsidRPr="00085015">
        <w:rPr>
          <w:rFonts w:ascii="Arial" w:hAnsi="Arial" w:cs="Arial"/>
          <w:lang w:val="en-US"/>
        </w:rPr>
        <w:t xml:space="preserve"> 90% power and a two-sided 5% significance level</w:t>
      </w:r>
      <w:r>
        <w:rPr>
          <w:rFonts w:ascii="Arial" w:hAnsi="Arial" w:cs="Arial"/>
          <w:lang w:val="en-US"/>
        </w:rPr>
        <w:t xml:space="preserve"> for a </w:t>
      </w:r>
      <w:r w:rsidR="00FA25D4">
        <w:rPr>
          <w:rFonts w:ascii="Arial" w:hAnsi="Arial" w:cs="Arial"/>
          <w:lang w:val="en-US"/>
        </w:rPr>
        <w:t xml:space="preserve">larger and </w:t>
      </w:r>
      <w:r>
        <w:rPr>
          <w:rFonts w:ascii="Arial" w:hAnsi="Arial" w:cs="Arial"/>
          <w:lang w:val="en-US"/>
        </w:rPr>
        <w:t>definitive RCT</w:t>
      </w:r>
      <w:r w:rsidRPr="00085015">
        <w:rPr>
          <w:rFonts w:ascii="Arial" w:hAnsi="Arial" w:cs="Arial"/>
          <w:lang w:val="en-US"/>
        </w:rPr>
        <w:t xml:space="preserve">, a </w:t>
      </w:r>
      <w:r>
        <w:rPr>
          <w:rFonts w:ascii="Arial" w:hAnsi="Arial" w:cs="Arial"/>
          <w:lang w:val="en-US"/>
        </w:rPr>
        <w:t xml:space="preserve">corresponding </w:t>
      </w:r>
      <w:r w:rsidRPr="00085015">
        <w:rPr>
          <w:rFonts w:ascii="Arial" w:hAnsi="Arial" w:cs="Arial"/>
          <w:lang w:val="en-US"/>
        </w:rPr>
        <w:t xml:space="preserve">pilot trial </w:t>
      </w:r>
      <w:r>
        <w:rPr>
          <w:rFonts w:ascii="Arial" w:hAnsi="Arial" w:cs="Arial"/>
          <w:lang w:val="en-US"/>
        </w:rPr>
        <w:t xml:space="preserve">should include approximately </w:t>
      </w:r>
      <w:r w:rsidRPr="00085015">
        <w:rPr>
          <w:rFonts w:ascii="Arial" w:hAnsi="Arial" w:cs="Arial"/>
          <w:lang w:val="en-US"/>
        </w:rPr>
        <w:t xml:space="preserve">10–15 participants per arm for </w:t>
      </w:r>
      <w:r>
        <w:rPr>
          <w:rFonts w:ascii="Arial" w:hAnsi="Arial" w:cs="Arial"/>
          <w:lang w:val="en-US"/>
        </w:rPr>
        <w:t>large</w:t>
      </w:r>
      <w:r w:rsidRPr="00085015">
        <w:rPr>
          <w:rFonts w:ascii="Arial" w:hAnsi="Arial" w:cs="Arial"/>
          <w:lang w:val="en-US"/>
        </w:rPr>
        <w:t xml:space="preserve"> </w:t>
      </w:r>
      <w:r>
        <w:rPr>
          <w:rFonts w:ascii="Arial" w:hAnsi="Arial" w:cs="Arial"/>
          <w:lang w:val="en-US"/>
        </w:rPr>
        <w:t>(</w:t>
      </w:r>
      <w:r w:rsidRPr="00085015">
        <w:rPr>
          <w:rFonts w:ascii="Arial" w:hAnsi="Arial" w:cs="Arial"/>
          <w:lang w:val="en-US"/>
        </w:rPr>
        <w:t>0.8</w:t>
      </w:r>
      <w:r>
        <w:rPr>
          <w:rFonts w:ascii="Arial" w:hAnsi="Arial" w:cs="Arial"/>
          <w:lang w:val="en-US"/>
        </w:rPr>
        <w:t>)</w:t>
      </w:r>
      <w:r w:rsidRPr="00085015">
        <w:rPr>
          <w:rFonts w:ascii="Arial" w:hAnsi="Arial" w:cs="Arial"/>
          <w:lang w:val="en-US"/>
        </w:rPr>
        <w:t xml:space="preserve"> and </w:t>
      </w:r>
      <w:r>
        <w:rPr>
          <w:rFonts w:ascii="Arial" w:hAnsi="Arial" w:cs="Arial"/>
          <w:lang w:val="en-US"/>
        </w:rPr>
        <w:t>medium (</w:t>
      </w:r>
      <w:r w:rsidRPr="00085015">
        <w:rPr>
          <w:rFonts w:ascii="Arial" w:hAnsi="Arial" w:cs="Arial"/>
          <w:lang w:val="en-US"/>
        </w:rPr>
        <w:t>0.5</w:t>
      </w:r>
      <w:r>
        <w:rPr>
          <w:rFonts w:ascii="Arial" w:hAnsi="Arial" w:cs="Arial"/>
          <w:lang w:val="en-US"/>
        </w:rPr>
        <w:t>) effect sizes</w:t>
      </w:r>
      <w:r w:rsidRPr="00085015">
        <w:rPr>
          <w:rFonts w:ascii="Arial" w:hAnsi="Arial" w:cs="Arial"/>
          <w:lang w:val="en-US"/>
        </w:rPr>
        <w:t>, respectively.</w:t>
      </w:r>
      <w:r w:rsidR="00FA25D4">
        <w:rPr>
          <w:rFonts w:ascii="Arial" w:hAnsi="Arial" w:cs="Arial"/>
          <w:lang w:val="en-US"/>
        </w:rPr>
        <w:t xml:space="preserve"> </w:t>
      </w:r>
      <w:r w:rsidR="00F37734">
        <w:rPr>
          <w:rFonts w:ascii="Arial" w:hAnsi="Arial" w:cs="Arial"/>
          <w:lang w:val="en-US"/>
        </w:rPr>
        <w:t>With an expected</w:t>
      </w:r>
      <w:r w:rsidR="00A42B7E">
        <w:rPr>
          <w:rFonts w:ascii="Arial" w:hAnsi="Arial" w:cs="Arial"/>
          <w:lang w:val="en-US"/>
        </w:rPr>
        <w:t xml:space="preserve"> </w:t>
      </w:r>
      <w:r w:rsidR="00F37734">
        <w:rPr>
          <w:rFonts w:ascii="Arial" w:hAnsi="Arial" w:cs="Arial"/>
          <w:lang w:val="en-US"/>
        </w:rPr>
        <w:t xml:space="preserve">20% </w:t>
      </w:r>
      <w:r w:rsidR="00A42B7E">
        <w:rPr>
          <w:rFonts w:ascii="Arial" w:hAnsi="Arial" w:cs="Arial"/>
          <w:lang w:val="en-US"/>
        </w:rPr>
        <w:t>dropout rate</w:t>
      </w:r>
      <w:r w:rsidR="00F37734">
        <w:rPr>
          <w:rFonts w:ascii="Arial" w:hAnsi="Arial" w:cs="Arial"/>
          <w:lang w:val="en-US"/>
        </w:rPr>
        <w:t xml:space="preserve">, </w:t>
      </w:r>
      <w:r w:rsidR="00A42B7E">
        <w:rPr>
          <w:rFonts w:ascii="Arial" w:hAnsi="Arial" w:cs="Arial"/>
          <w:lang w:val="en-US"/>
        </w:rPr>
        <w:t>20 participants</w:t>
      </w:r>
      <w:r w:rsidR="00F37734">
        <w:rPr>
          <w:rFonts w:ascii="Arial" w:hAnsi="Arial" w:cs="Arial"/>
          <w:lang w:val="en-US"/>
        </w:rPr>
        <w:t xml:space="preserve"> will be included.</w:t>
      </w:r>
    </w:p>
    <w:p w14:paraId="04DD0F06" w14:textId="628048EC" w:rsidR="0095581B" w:rsidRDefault="0095581B" w:rsidP="0037195D">
      <w:pPr>
        <w:spacing w:line="480" w:lineRule="auto"/>
        <w:jc w:val="both"/>
        <w:rPr>
          <w:rFonts w:ascii="Arial" w:hAnsi="Arial" w:cs="Arial"/>
          <w:b/>
          <w:bCs/>
          <w:lang w:val="en-US"/>
        </w:rPr>
      </w:pPr>
      <w:r>
        <w:rPr>
          <w:rFonts w:ascii="Arial" w:hAnsi="Arial" w:cs="Arial"/>
          <w:b/>
          <w:bCs/>
          <w:lang w:val="en-US"/>
        </w:rPr>
        <w:t>Allocation</w:t>
      </w:r>
    </w:p>
    <w:p w14:paraId="47CD245E" w14:textId="2F6B917E" w:rsidR="00D5043A" w:rsidRDefault="00770CCE" w:rsidP="0037195D">
      <w:pPr>
        <w:spacing w:line="480" w:lineRule="auto"/>
        <w:jc w:val="both"/>
        <w:rPr>
          <w:rFonts w:ascii="Arial" w:hAnsi="Arial" w:cs="Arial"/>
          <w:b/>
          <w:bCs/>
          <w:lang w:val="en-US"/>
        </w:rPr>
      </w:pPr>
      <w:r>
        <w:rPr>
          <w:rFonts w:ascii="Arial" w:hAnsi="Arial" w:cs="Arial"/>
          <w:lang w:val="en-US"/>
        </w:rPr>
        <w:t>Simple</w:t>
      </w:r>
      <w:r w:rsidRPr="00C82225">
        <w:rPr>
          <w:rFonts w:ascii="Arial" w:hAnsi="Arial" w:cs="Arial"/>
          <w:lang w:val="en-US"/>
        </w:rPr>
        <w:t xml:space="preserve"> </w:t>
      </w:r>
      <w:r w:rsidR="00C82225" w:rsidRPr="00C82225">
        <w:rPr>
          <w:rFonts w:ascii="Arial" w:hAnsi="Arial" w:cs="Arial"/>
          <w:lang w:val="en-US"/>
        </w:rPr>
        <w:t xml:space="preserve">randomization will be conducted at each site </w:t>
      </w:r>
      <w:r w:rsidR="001B5F84">
        <w:rPr>
          <w:rFonts w:ascii="Arial" w:hAnsi="Arial" w:cs="Arial"/>
          <w:lang w:val="en-US"/>
        </w:rPr>
        <w:t xml:space="preserve">by </w:t>
      </w:r>
      <w:r w:rsidR="00695667">
        <w:rPr>
          <w:rFonts w:ascii="Arial" w:hAnsi="Arial" w:cs="Arial"/>
          <w:lang w:val="en-US"/>
        </w:rPr>
        <w:t>JVC</w:t>
      </w:r>
      <w:r w:rsidR="001B5F84">
        <w:rPr>
          <w:rFonts w:ascii="Arial" w:hAnsi="Arial" w:cs="Arial"/>
          <w:lang w:val="en-US"/>
        </w:rPr>
        <w:t xml:space="preserve"> </w:t>
      </w:r>
      <w:r w:rsidR="00C82225" w:rsidRPr="00C82225">
        <w:rPr>
          <w:rFonts w:ascii="Arial" w:hAnsi="Arial" w:cs="Arial"/>
          <w:lang w:val="en-US"/>
        </w:rPr>
        <w:t xml:space="preserve">using a computer-generated 1:1 sequence (Research Randomizer, </w:t>
      </w:r>
      <w:r w:rsidR="008B2B3C">
        <w:fldChar w:fldCharType="begin"/>
      </w:r>
      <w:r w:rsidR="008B2B3C" w:rsidRPr="00CA5737">
        <w:rPr>
          <w:lang w:val="en-US"/>
          <w:rPrChange w:id="1" w:author="SERRES Wilfried" w:date="2026-05-11T16:06:00Z">
            <w:rPr/>
          </w:rPrChange>
        </w:rPr>
        <w:instrText xml:space="preserve"> HYPERLINK "http://www.randomizer.org" \t "_new" </w:instrText>
      </w:r>
      <w:r w:rsidR="008B2B3C">
        <w:fldChar w:fldCharType="separate"/>
      </w:r>
      <w:r w:rsidR="00C82225" w:rsidRPr="00C82225">
        <w:rPr>
          <w:rFonts w:ascii="Arial" w:hAnsi="Arial" w:cs="Arial"/>
          <w:color w:val="0000FF"/>
          <w:u w:val="single"/>
          <w:lang w:val="en-US"/>
        </w:rPr>
        <w:t>www.randomizer.org</w:t>
      </w:r>
      <w:r w:rsidR="008B2B3C">
        <w:rPr>
          <w:rFonts w:ascii="Arial" w:hAnsi="Arial" w:cs="Arial"/>
          <w:color w:val="0000FF"/>
          <w:u w:val="single"/>
          <w:lang w:val="en-US"/>
        </w:rPr>
        <w:fldChar w:fldCharType="end"/>
      </w:r>
      <w:r w:rsidR="00C82225" w:rsidRPr="00C82225">
        <w:rPr>
          <w:rFonts w:ascii="Arial" w:hAnsi="Arial" w:cs="Arial"/>
          <w:lang w:val="en-US"/>
        </w:rPr>
        <w:t xml:space="preserve">). Site-specific </w:t>
      </w:r>
      <w:r w:rsidR="00C82225" w:rsidRPr="00C82225">
        <w:rPr>
          <w:rFonts w:ascii="Arial" w:hAnsi="Arial" w:cs="Arial"/>
          <w:lang w:val="en-US"/>
        </w:rPr>
        <w:lastRenderedPageBreak/>
        <w:t>lists will be password-protected and accessible only to coordinator</w:t>
      </w:r>
      <w:r w:rsidR="00E67A54">
        <w:rPr>
          <w:rFonts w:ascii="Arial" w:hAnsi="Arial" w:cs="Arial"/>
          <w:lang w:val="en-US"/>
        </w:rPr>
        <w:t xml:space="preserve"> (</w:t>
      </w:r>
      <w:r w:rsidR="00695667">
        <w:rPr>
          <w:rFonts w:ascii="Arial" w:hAnsi="Arial" w:cs="Arial"/>
          <w:lang w:val="en-US"/>
        </w:rPr>
        <w:t>JVC</w:t>
      </w:r>
      <w:r w:rsidR="00E67A54">
        <w:rPr>
          <w:rFonts w:ascii="Arial" w:hAnsi="Arial" w:cs="Arial"/>
          <w:lang w:val="en-US"/>
        </w:rPr>
        <w:t>)</w:t>
      </w:r>
      <w:r w:rsidR="00C82225" w:rsidRPr="00C82225">
        <w:rPr>
          <w:rFonts w:ascii="Arial" w:hAnsi="Arial" w:cs="Arial"/>
          <w:lang w:val="en-US"/>
        </w:rPr>
        <w:t>. After eligibility confirmation and baseline assessment, participants will be assigned the next sequence number</w:t>
      </w:r>
      <w:r w:rsidR="00C82225">
        <w:rPr>
          <w:rFonts w:ascii="Arial" w:hAnsi="Arial" w:cs="Arial"/>
          <w:lang w:val="en-US"/>
        </w:rPr>
        <w:t>.</w:t>
      </w:r>
      <w:r w:rsidR="00C82225" w:rsidRPr="00C82225">
        <w:rPr>
          <w:rFonts w:ascii="Arial" w:hAnsi="Arial" w:cs="Arial"/>
          <w:lang w:val="en-US"/>
        </w:rPr>
        <w:t xml:space="preserve"> </w:t>
      </w:r>
      <w:r w:rsidR="00C82225">
        <w:rPr>
          <w:rFonts w:ascii="Arial" w:hAnsi="Arial" w:cs="Arial"/>
          <w:lang w:val="en-US"/>
        </w:rPr>
        <w:t>G</w:t>
      </w:r>
      <w:r w:rsidR="00C82225" w:rsidRPr="00C82225">
        <w:rPr>
          <w:rFonts w:ascii="Arial" w:hAnsi="Arial" w:cs="Arial"/>
          <w:lang w:val="en-US"/>
        </w:rPr>
        <w:t>roup allocation will be revealed only to the treating therapist</w:t>
      </w:r>
      <w:r w:rsidR="00C579AF">
        <w:rPr>
          <w:rFonts w:ascii="Arial" w:hAnsi="Arial" w:cs="Arial"/>
          <w:lang w:val="en-US"/>
        </w:rPr>
        <w:t xml:space="preserve"> through a</w:t>
      </w:r>
      <w:r w:rsidR="00373C0E">
        <w:rPr>
          <w:rFonts w:ascii="Arial" w:hAnsi="Arial" w:cs="Arial"/>
          <w:lang w:val="en-US"/>
        </w:rPr>
        <w:t>n opaque</w:t>
      </w:r>
      <w:r w:rsidR="00C579AF">
        <w:rPr>
          <w:rFonts w:ascii="Arial" w:hAnsi="Arial" w:cs="Arial"/>
          <w:lang w:val="en-US"/>
        </w:rPr>
        <w:t xml:space="preserve"> sealed envelope to ensure allocation concealment</w:t>
      </w:r>
      <w:r w:rsidR="00C82225" w:rsidRPr="00C82225">
        <w:rPr>
          <w:rFonts w:ascii="Arial" w:hAnsi="Arial" w:cs="Arial"/>
          <w:lang w:val="en-US"/>
        </w:rPr>
        <w:t>. Participants and assessors will remain blinded, and all randomization events will be electronically logged.</w:t>
      </w:r>
      <w:r w:rsidR="003003D7">
        <w:rPr>
          <w:rFonts w:ascii="Arial" w:hAnsi="Arial" w:cs="Arial"/>
          <w:lang w:val="en-US"/>
        </w:rPr>
        <w:t xml:space="preserve"> Figure </w:t>
      </w:r>
      <w:r w:rsidR="008237E4">
        <w:rPr>
          <w:rFonts w:ascii="Arial" w:hAnsi="Arial" w:cs="Arial"/>
          <w:lang w:val="en-US"/>
        </w:rPr>
        <w:t>3</w:t>
      </w:r>
      <w:r w:rsidR="003003D7">
        <w:rPr>
          <w:rFonts w:ascii="Arial" w:hAnsi="Arial" w:cs="Arial"/>
          <w:lang w:val="en-US"/>
        </w:rPr>
        <w:t xml:space="preserve"> presents the timeline of treatments and outcome assessments.</w:t>
      </w:r>
    </w:p>
    <w:p w14:paraId="5B8C097A" w14:textId="77777777" w:rsidR="00D5043A" w:rsidRDefault="00D5043A" w:rsidP="0037195D">
      <w:pPr>
        <w:spacing w:line="480" w:lineRule="auto"/>
        <w:jc w:val="both"/>
        <w:rPr>
          <w:rFonts w:ascii="Arial" w:hAnsi="Arial" w:cs="Arial"/>
          <w:b/>
          <w:bCs/>
          <w:lang w:val="en-US"/>
        </w:rPr>
      </w:pPr>
    </w:p>
    <w:tbl>
      <w:tblPr>
        <w:tblStyle w:val="Grilledutableau"/>
        <w:tblW w:w="0" w:type="auto"/>
        <w:jc w:val="center"/>
        <w:tblLook w:val="04A0" w:firstRow="1" w:lastRow="0" w:firstColumn="1" w:lastColumn="0" w:noHBand="0" w:noVBand="1"/>
      </w:tblPr>
      <w:tblGrid>
        <w:gridCol w:w="2105"/>
        <w:gridCol w:w="1205"/>
        <w:gridCol w:w="1318"/>
        <w:gridCol w:w="645"/>
        <w:gridCol w:w="656"/>
        <w:gridCol w:w="644"/>
        <w:gridCol w:w="666"/>
        <w:gridCol w:w="1641"/>
      </w:tblGrid>
      <w:tr w:rsidR="00DA2142" w:rsidRPr="00793937" w14:paraId="26460DCC" w14:textId="77777777" w:rsidTr="003003D7">
        <w:trPr>
          <w:trHeight w:val="438"/>
          <w:jc w:val="center"/>
        </w:trPr>
        <w:tc>
          <w:tcPr>
            <w:tcW w:w="2105" w:type="dxa"/>
          </w:tcPr>
          <w:p w14:paraId="28306B78" w14:textId="77777777" w:rsidR="00DA2142" w:rsidRPr="00793937" w:rsidRDefault="00DA2142" w:rsidP="0037195D">
            <w:pPr>
              <w:spacing w:line="480" w:lineRule="auto"/>
              <w:jc w:val="both"/>
              <w:rPr>
                <w:rFonts w:ascii="Arial" w:hAnsi="Arial" w:cs="Arial"/>
                <w:b/>
                <w:bCs/>
                <w:sz w:val="20"/>
                <w:szCs w:val="20"/>
                <w:lang w:val="en-US"/>
              </w:rPr>
            </w:pPr>
          </w:p>
        </w:tc>
        <w:tc>
          <w:tcPr>
            <w:tcW w:w="6668" w:type="dxa"/>
            <w:gridSpan w:val="7"/>
          </w:tcPr>
          <w:p w14:paraId="64979543" w14:textId="70146395" w:rsidR="00DA2142" w:rsidRPr="00793937" w:rsidRDefault="00DA2142" w:rsidP="0037195D">
            <w:pPr>
              <w:spacing w:line="480" w:lineRule="auto"/>
              <w:jc w:val="center"/>
              <w:rPr>
                <w:rFonts w:ascii="Arial" w:hAnsi="Arial" w:cs="Arial"/>
                <w:b/>
                <w:bCs/>
                <w:sz w:val="20"/>
                <w:szCs w:val="20"/>
                <w:lang w:val="en-US"/>
              </w:rPr>
            </w:pPr>
            <w:r w:rsidRPr="00793937">
              <w:rPr>
                <w:rFonts w:ascii="Arial" w:hAnsi="Arial" w:cs="Arial"/>
                <w:b/>
                <w:bCs/>
                <w:sz w:val="20"/>
                <w:szCs w:val="20"/>
                <w:lang w:val="en-US"/>
              </w:rPr>
              <w:t>Study period</w:t>
            </w:r>
          </w:p>
        </w:tc>
      </w:tr>
      <w:tr w:rsidR="00DA2142" w:rsidRPr="00793937" w14:paraId="31C94CD1" w14:textId="77777777" w:rsidTr="003003D7">
        <w:trPr>
          <w:trHeight w:val="438"/>
          <w:jc w:val="center"/>
        </w:trPr>
        <w:tc>
          <w:tcPr>
            <w:tcW w:w="2105" w:type="dxa"/>
          </w:tcPr>
          <w:p w14:paraId="688C1882" w14:textId="77777777" w:rsidR="00DA2142" w:rsidRPr="00793937" w:rsidRDefault="00DA2142" w:rsidP="0037195D">
            <w:pPr>
              <w:spacing w:line="480" w:lineRule="auto"/>
              <w:jc w:val="both"/>
              <w:rPr>
                <w:rFonts w:ascii="Arial" w:hAnsi="Arial" w:cs="Arial"/>
                <w:b/>
                <w:bCs/>
                <w:sz w:val="20"/>
                <w:szCs w:val="20"/>
                <w:lang w:val="en-US"/>
              </w:rPr>
            </w:pPr>
          </w:p>
        </w:tc>
        <w:tc>
          <w:tcPr>
            <w:tcW w:w="1098" w:type="dxa"/>
          </w:tcPr>
          <w:p w14:paraId="654BC4A5" w14:textId="25AA8776" w:rsidR="00DA2142" w:rsidRPr="00793937" w:rsidRDefault="00DA2142" w:rsidP="0037195D">
            <w:pPr>
              <w:spacing w:line="480" w:lineRule="auto"/>
              <w:jc w:val="center"/>
              <w:rPr>
                <w:rFonts w:ascii="Arial" w:hAnsi="Arial" w:cs="Arial"/>
                <w:b/>
                <w:bCs/>
                <w:sz w:val="20"/>
                <w:szCs w:val="20"/>
                <w:lang w:val="en-US"/>
              </w:rPr>
            </w:pPr>
            <w:r w:rsidRPr="00793937">
              <w:rPr>
                <w:rFonts w:ascii="Arial" w:hAnsi="Arial" w:cs="Arial"/>
                <w:b/>
                <w:bCs/>
                <w:sz w:val="20"/>
                <w:szCs w:val="20"/>
                <w:lang w:val="en-US"/>
              </w:rPr>
              <w:t>Enrolment</w:t>
            </w:r>
          </w:p>
        </w:tc>
        <w:tc>
          <w:tcPr>
            <w:tcW w:w="1318" w:type="dxa"/>
          </w:tcPr>
          <w:p w14:paraId="26C3DC50" w14:textId="4CD030E1" w:rsidR="00DA2142" w:rsidRPr="00793937" w:rsidRDefault="00DA2142" w:rsidP="0037195D">
            <w:pPr>
              <w:spacing w:line="480" w:lineRule="auto"/>
              <w:jc w:val="center"/>
              <w:rPr>
                <w:rFonts w:ascii="Arial" w:hAnsi="Arial" w:cs="Arial"/>
                <w:b/>
                <w:bCs/>
                <w:sz w:val="20"/>
                <w:szCs w:val="20"/>
                <w:lang w:val="en-US"/>
              </w:rPr>
            </w:pPr>
            <w:r w:rsidRPr="00793937">
              <w:rPr>
                <w:rFonts w:ascii="Arial" w:hAnsi="Arial" w:cs="Arial"/>
                <w:b/>
                <w:bCs/>
                <w:sz w:val="20"/>
                <w:szCs w:val="20"/>
                <w:lang w:val="en-US"/>
              </w:rPr>
              <w:t>Allocation</w:t>
            </w:r>
          </w:p>
        </w:tc>
        <w:tc>
          <w:tcPr>
            <w:tcW w:w="2611" w:type="dxa"/>
            <w:gridSpan w:val="4"/>
          </w:tcPr>
          <w:p w14:paraId="42E7B1E5" w14:textId="7A3059F4" w:rsidR="00DA2142" w:rsidRPr="00793937" w:rsidRDefault="00DA2142" w:rsidP="0037195D">
            <w:pPr>
              <w:spacing w:line="480" w:lineRule="auto"/>
              <w:jc w:val="center"/>
              <w:rPr>
                <w:rFonts w:ascii="Arial" w:hAnsi="Arial" w:cs="Arial"/>
                <w:b/>
                <w:bCs/>
                <w:sz w:val="20"/>
                <w:szCs w:val="20"/>
                <w:lang w:val="en-US"/>
              </w:rPr>
            </w:pPr>
            <w:r w:rsidRPr="00793937">
              <w:rPr>
                <w:rFonts w:ascii="Arial" w:hAnsi="Arial" w:cs="Arial"/>
                <w:b/>
                <w:bCs/>
                <w:sz w:val="20"/>
                <w:szCs w:val="20"/>
                <w:lang w:val="en-US"/>
              </w:rPr>
              <w:t>Post allocation</w:t>
            </w:r>
          </w:p>
        </w:tc>
        <w:tc>
          <w:tcPr>
            <w:tcW w:w="1640" w:type="dxa"/>
          </w:tcPr>
          <w:p w14:paraId="6195256A" w14:textId="018E3951" w:rsidR="00DA2142" w:rsidRPr="00793937" w:rsidRDefault="00DA2142" w:rsidP="0037195D">
            <w:pPr>
              <w:spacing w:line="480" w:lineRule="auto"/>
              <w:jc w:val="center"/>
              <w:rPr>
                <w:rFonts w:ascii="Arial" w:hAnsi="Arial" w:cs="Arial"/>
                <w:b/>
                <w:bCs/>
                <w:sz w:val="20"/>
                <w:szCs w:val="20"/>
                <w:lang w:val="en-US"/>
              </w:rPr>
            </w:pPr>
            <w:r w:rsidRPr="00793937">
              <w:rPr>
                <w:rFonts w:ascii="Arial" w:hAnsi="Arial" w:cs="Arial"/>
                <w:b/>
                <w:bCs/>
                <w:sz w:val="20"/>
                <w:szCs w:val="20"/>
                <w:lang w:val="en-US"/>
              </w:rPr>
              <w:t>Close-out</w:t>
            </w:r>
          </w:p>
        </w:tc>
      </w:tr>
      <w:tr w:rsidR="00081A8A" w:rsidRPr="00793937" w14:paraId="70173B7F" w14:textId="77777777" w:rsidTr="003003D7">
        <w:trPr>
          <w:trHeight w:val="893"/>
          <w:jc w:val="center"/>
        </w:trPr>
        <w:tc>
          <w:tcPr>
            <w:tcW w:w="2105" w:type="dxa"/>
            <w:shd w:val="clear" w:color="auto" w:fill="BFBFBF" w:themeFill="background1" w:themeFillShade="BF"/>
          </w:tcPr>
          <w:p w14:paraId="1294CAB1" w14:textId="5002AF03" w:rsidR="00DA2142" w:rsidRPr="00793937" w:rsidRDefault="00DA2142" w:rsidP="0037195D">
            <w:pPr>
              <w:spacing w:line="480" w:lineRule="auto"/>
              <w:jc w:val="center"/>
              <w:rPr>
                <w:rFonts w:ascii="Arial" w:hAnsi="Arial" w:cs="Arial"/>
                <w:b/>
                <w:bCs/>
                <w:sz w:val="20"/>
                <w:szCs w:val="20"/>
                <w:lang w:val="en-US"/>
              </w:rPr>
            </w:pPr>
            <w:r w:rsidRPr="00793937">
              <w:rPr>
                <w:rFonts w:ascii="Arial" w:hAnsi="Arial" w:cs="Arial"/>
                <w:b/>
                <w:bCs/>
                <w:sz w:val="20"/>
                <w:szCs w:val="20"/>
                <w:lang w:val="en-US"/>
              </w:rPr>
              <w:t>Timepoint</w:t>
            </w:r>
          </w:p>
        </w:tc>
        <w:tc>
          <w:tcPr>
            <w:tcW w:w="1098" w:type="dxa"/>
            <w:shd w:val="clear" w:color="auto" w:fill="BFBFBF" w:themeFill="background1" w:themeFillShade="BF"/>
          </w:tcPr>
          <w:p w14:paraId="6462BDCE" w14:textId="4C034F99" w:rsidR="00DA2142" w:rsidRPr="00793937" w:rsidRDefault="003B0360" w:rsidP="0037195D">
            <w:pPr>
              <w:spacing w:line="480" w:lineRule="auto"/>
              <w:jc w:val="center"/>
              <w:rPr>
                <w:rFonts w:ascii="Arial" w:hAnsi="Arial" w:cs="Arial"/>
                <w:b/>
                <w:bCs/>
                <w:sz w:val="20"/>
                <w:szCs w:val="20"/>
                <w:lang w:val="en-US"/>
              </w:rPr>
            </w:pPr>
            <w:r w:rsidRPr="00793937">
              <w:rPr>
                <w:rFonts w:ascii="Arial" w:hAnsi="Arial" w:cs="Arial"/>
                <w:b/>
                <w:bCs/>
                <w:sz w:val="20"/>
                <w:szCs w:val="20"/>
                <w:lang w:val="en-US"/>
              </w:rPr>
              <w:t>-2w</w:t>
            </w:r>
          </w:p>
        </w:tc>
        <w:tc>
          <w:tcPr>
            <w:tcW w:w="1318" w:type="dxa"/>
            <w:shd w:val="clear" w:color="auto" w:fill="BFBFBF" w:themeFill="background1" w:themeFillShade="BF"/>
          </w:tcPr>
          <w:p w14:paraId="3B1885B7" w14:textId="41D513B8" w:rsidR="00DA2142" w:rsidRPr="00793937" w:rsidRDefault="00322B2B" w:rsidP="0037195D">
            <w:pPr>
              <w:spacing w:line="480" w:lineRule="auto"/>
              <w:jc w:val="center"/>
              <w:rPr>
                <w:rFonts w:ascii="Arial" w:hAnsi="Arial" w:cs="Arial"/>
                <w:sz w:val="20"/>
                <w:szCs w:val="20"/>
                <w:lang w:val="en-US"/>
              </w:rPr>
            </w:pPr>
            <w:r w:rsidRPr="00793937">
              <w:rPr>
                <w:rFonts w:ascii="Arial" w:hAnsi="Arial" w:cs="Arial"/>
                <w:sz w:val="20"/>
                <w:szCs w:val="20"/>
                <w:lang w:val="en-US"/>
              </w:rPr>
              <w:t>0</w:t>
            </w:r>
          </w:p>
        </w:tc>
        <w:tc>
          <w:tcPr>
            <w:tcW w:w="645" w:type="dxa"/>
            <w:shd w:val="clear" w:color="auto" w:fill="BFBFBF" w:themeFill="background1" w:themeFillShade="BF"/>
          </w:tcPr>
          <w:p w14:paraId="0DA8A160" w14:textId="5357445D" w:rsidR="00DA2142" w:rsidRPr="00793937" w:rsidRDefault="00081A8A" w:rsidP="0037195D">
            <w:pPr>
              <w:spacing w:line="480" w:lineRule="auto"/>
              <w:jc w:val="both"/>
              <w:rPr>
                <w:rFonts w:ascii="Arial" w:hAnsi="Arial" w:cs="Arial"/>
                <w:b/>
                <w:bCs/>
                <w:sz w:val="20"/>
                <w:szCs w:val="20"/>
                <w:lang w:val="en-US"/>
              </w:rPr>
            </w:pPr>
            <w:r>
              <w:rPr>
                <w:rFonts w:ascii="Arial" w:hAnsi="Arial" w:cs="Arial"/>
                <w:b/>
                <w:bCs/>
                <w:sz w:val="20"/>
                <w:szCs w:val="20"/>
                <w:lang w:val="en-US"/>
              </w:rPr>
              <w:t xml:space="preserve">T1 = </w:t>
            </w:r>
            <w:r w:rsidR="003B0360" w:rsidRPr="00793937">
              <w:rPr>
                <w:rFonts w:ascii="Arial" w:hAnsi="Arial" w:cs="Arial"/>
                <w:b/>
                <w:bCs/>
                <w:sz w:val="20"/>
                <w:szCs w:val="20"/>
                <w:lang w:val="en-US"/>
              </w:rPr>
              <w:t>+1w</w:t>
            </w:r>
          </w:p>
        </w:tc>
        <w:tc>
          <w:tcPr>
            <w:tcW w:w="656" w:type="dxa"/>
            <w:shd w:val="clear" w:color="auto" w:fill="BFBFBF" w:themeFill="background1" w:themeFillShade="BF"/>
          </w:tcPr>
          <w:p w14:paraId="19439AFF" w14:textId="0D5524A8" w:rsidR="00DA2142" w:rsidRPr="00793937" w:rsidRDefault="00081A8A" w:rsidP="0037195D">
            <w:pPr>
              <w:spacing w:line="480" w:lineRule="auto"/>
              <w:jc w:val="center"/>
              <w:rPr>
                <w:rFonts w:ascii="Arial" w:hAnsi="Arial" w:cs="Arial"/>
                <w:b/>
                <w:bCs/>
                <w:sz w:val="20"/>
                <w:szCs w:val="20"/>
                <w:lang w:val="en-US"/>
              </w:rPr>
            </w:pPr>
            <w:r>
              <w:rPr>
                <w:rFonts w:ascii="Arial" w:hAnsi="Arial" w:cs="Arial"/>
                <w:b/>
                <w:bCs/>
                <w:sz w:val="20"/>
                <w:szCs w:val="20"/>
                <w:lang w:val="en-US"/>
              </w:rPr>
              <w:t xml:space="preserve">T2 = </w:t>
            </w:r>
            <w:r w:rsidR="003B0360" w:rsidRPr="00793937">
              <w:rPr>
                <w:rFonts w:ascii="Arial" w:hAnsi="Arial" w:cs="Arial"/>
                <w:b/>
                <w:bCs/>
                <w:sz w:val="20"/>
                <w:szCs w:val="20"/>
                <w:lang w:val="en-US"/>
              </w:rPr>
              <w:t>+2w</w:t>
            </w:r>
          </w:p>
        </w:tc>
        <w:tc>
          <w:tcPr>
            <w:tcW w:w="644" w:type="dxa"/>
            <w:shd w:val="clear" w:color="auto" w:fill="BFBFBF" w:themeFill="background1" w:themeFillShade="BF"/>
          </w:tcPr>
          <w:p w14:paraId="519DE82D" w14:textId="75A539B0" w:rsidR="00DA2142" w:rsidRPr="00793937" w:rsidRDefault="00081A8A" w:rsidP="0037195D">
            <w:pPr>
              <w:spacing w:line="480" w:lineRule="auto"/>
              <w:jc w:val="center"/>
              <w:rPr>
                <w:rFonts w:ascii="Arial" w:hAnsi="Arial" w:cs="Arial"/>
                <w:b/>
                <w:bCs/>
                <w:sz w:val="20"/>
                <w:szCs w:val="20"/>
                <w:lang w:val="en-US"/>
              </w:rPr>
            </w:pPr>
            <w:r>
              <w:rPr>
                <w:rFonts w:ascii="Arial" w:hAnsi="Arial" w:cs="Arial"/>
                <w:b/>
                <w:bCs/>
                <w:sz w:val="20"/>
                <w:szCs w:val="20"/>
                <w:lang w:val="en-US"/>
              </w:rPr>
              <w:t xml:space="preserve">T3 = </w:t>
            </w:r>
            <w:r w:rsidR="003B0360" w:rsidRPr="00793937">
              <w:rPr>
                <w:rFonts w:ascii="Arial" w:hAnsi="Arial" w:cs="Arial"/>
                <w:b/>
                <w:bCs/>
                <w:sz w:val="20"/>
                <w:szCs w:val="20"/>
                <w:lang w:val="en-US"/>
              </w:rPr>
              <w:t>+3w</w:t>
            </w:r>
          </w:p>
        </w:tc>
        <w:tc>
          <w:tcPr>
            <w:tcW w:w="666" w:type="dxa"/>
            <w:shd w:val="clear" w:color="auto" w:fill="BFBFBF" w:themeFill="background1" w:themeFillShade="BF"/>
          </w:tcPr>
          <w:p w14:paraId="36CE9D51" w14:textId="01686389" w:rsidR="00DA2142" w:rsidRPr="00793937" w:rsidRDefault="00081A8A" w:rsidP="0037195D">
            <w:pPr>
              <w:spacing w:line="480" w:lineRule="auto"/>
              <w:jc w:val="both"/>
              <w:rPr>
                <w:rFonts w:ascii="Arial" w:hAnsi="Arial" w:cs="Arial"/>
                <w:b/>
                <w:bCs/>
                <w:sz w:val="20"/>
                <w:szCs w:val="20"/>
                <w:lang w:val="en-US"/>
              </w:rPr>
            </w:pPr>
            <w:r>
              <w:rPr>
                <w:rFonts w:ascii="Arial" w:hAnsi="Arial" w:cs="Arial"/>
                <w:b/>
                <w:bCs/>
                <w:sz w:val="20"/>
                <w:szCs w:val="20"/>
                <w:lang w:val="en-US"/>
              </w:rPr>
              <w:t xml:space="preserve">T4 = </w:t>
            </w:r>
            <w:r w:rsidR="003B0360" w:rsidRPr="00793937">
              <w:rPr>
                <w:rFonts w:ascii="Arial" w:hAnsi="Arial" w:cs="Arial"/>
                <w:b/>
                <w:bCs/>
                <w:sz w:val="20"/>
                <w:szCs w:val="20"/>
                <w:lang w:val="en-US"/>
              </w:rPr>
              <w:t>+4w</w:t>
            </w:r>
          </w:p>
        </w:tc>
        <w:tc>
          <w:tcPr>
            <w:tcW w:w="1640" w:type="dxa"/>
            <w:shd w:val="clear" w:color="auto" w:fill="BFBFBF" w:themeFill="background1" w:themeFillShade="BF"/>
          </w:tcPr>
          <w:p w14:paraId="713096D4" w14:textId="35A0A0A2" w:rsidR="00DA2142" w:rsidRPr="00793937" w:rsidRDefault="00081A8A" w:rsidP="0037195D">
            <w:pPr>
              <w:spacing w:line="480" w:lineRule="auto"/>
              <w:jc w:val="center"/>
              <w:rPr>
                <w:rFonts w:ascii="Arial" w:hAnsi="Arial" w:cs="Arial"/>
                <w:b/>
                <w:bCs/>
                <w:sz w:val="20"/>
                <w:szCs w:val="20"/>
                <w:lang w:val="en-US"/>
              </w:rPr>
            </w:pPr>
            <w:r>
              <w:rPr>
                <w:rFonts w:ascii="Arial" w:hAnsi="Arial" w:cs="Arial"/>
                <w:b/>
                <w:bCs/>
                <w:sz w:val="20"/>
                <w:szCs w:val="20"/>
                <w:lang w:val="en-US"/>
              </w:rPr>
              <w:t xml:space="preserve">T5 = </w:t>
            </w:r>
            <w:r w:rsidR="003B0360" w:rsidRPr="00793937">
              <w:rPr>
                <w:rFonts w:ascii="Arial" w:hAnsi="Arial" w:cs="Arial"/>
                <w:b/>
                <w:bCs/>
                <w:sz w:val="20"/>
                <w:szCs w:val="20"/>
                <w:lang w:val="en-US"/>
              </w:rPr>
              <w:t>+10w</w:t>
            </w:r>
          </w:p>
        </w:tc>
      </w:tr>
      <w:tr w:rsidR="00081A8A" w:rsidRPr="00793937" w14:paraId="669BE6AD" w14:textId="77777777" w:rsidTr="003003D7">
        <w:trPr>
          <w:trHeight w:val="583"/>
          <w:jc w:val="center"/>
        </w:trPr>
        <w:tc>
          <w:tcPr>
            <w:tcW w:w="2105" w:type="dxa"/>
          </w:tcPr>
          <w:p w14:paraId="46527A56" w14:textId="21E03374" w:rsidR="00793937" w:rsidRPr="00793937" w:rsidRDefault="00793937" w:rsidP="0037195D">
            <w:pPr>
              <w:spacing w:line="480" w:lineRule="auto"/>
              <w:jc w:val="both"/>
              <w:rPr>
                <w:rFonts w:ascii="Arial" w:hAnsi="Arial" w:cs="Arial"/>
                <w:b/>
                <w:bCs/>
                <w:sz w:val="20"/>
                <w:szCs w:val="20"/>
                <w:lang w:val="en-US"/>
              </w:rPr>
            </w:pPr>
            <w:r w:rsidRPr="00793937">
              <w:rPr>
                <w:rFonts w:ascii="Arial" w:hAnsi="Arial" w:cs="Arial"/>
                <w:b/>
                <w:bCs/>
                <w:sz w:val="20"/>
                <w:szCs w:val="20"/>
                <w:lang w:val="en-US"/>
              </w:rPr>
              <w:t>Enrolment:</w:t>
            </w:r>
          </w:p>
        </w:tc>
        <w:tc>
          <w:tcPr>
            <w:tcW w:w="1098" w:type="dxa"/>
          </w:tcPr>
          <w:p w14:paraId="2A57EB88" w14:textId="77777777" w:rsidR="00793937" w:rsidRPr="00793937" w:rsidRDefault="00793937" w:rsidP="0037195D">
            <w:pPr>
              <w:spacing w:line="480" w:lineRule="auto"/>
              <w:jc w:val="both"/>
              <w:rPr>
                <w:rFonts w:ascii="Arial" w:hAnsi="Arial" w:cs="Arial"/>
                <w:b/>
                <w:bCs/>
                <w:sz w:val="20"/>
                <w:szCs w:val="20"/>
                <w:lang w:val="en-US"/>
              </w:rPr>
            </w:pPr>
          </w:p>
        </w:tc>
        <w:tc>
          <w:tcPr>
            <w:tcW w:w="1318" w:type="dxa"/>
          </w:tcPr>
          <w:p w14:paraId="09F38EC9" w14:textId="77777777" w:rsidR="00793937" w:rsidRPr="00793937" w:rsidRDefault="00793937" w:rsidP="0037195D">
            <w:pPr>
              <w:spacing w:line="480" w:lineRule="auto"/>
              <w:jc w:val="both"/>
              <w:rPr>
                <w:rFonts w:ascii="Arial" w:hAnsi="Arial" w:cs="Arial"/>
                <w:b/>
                <w:bCs/>
                <w:sz w:val="20"/>
                <w:szCs w:val="20"/>
                <w:lang w:val="en-US"/>
              </w:rPr>
            </w:pPr>
          </w:p>
        </w:tc>
        <w:tc>
          <w:tcPr>
            <w:tcW w:w="645" w:type="dxa"/>
          </w:tcPr>
          <w:p w14:paraId="5FB96858" w14:textId="77777777" w:rsidR="00793937" w:rsidRPr="00793937" w:rsidRDefault="00793937" w:rsidP="0037195D">
            <w:pPr>
              <w:spacing w:line="480" w:lineRule="auto"/>
              <w:jc w:val="both"/>
              <w:rPr>
                <w:rFonts w:ascii="Arial" w:hAnsi="Arial" w:cs="Arial"/>
                <w:b/>
                <w:bCs/>
                <w:sz w:val="20"/>
                <w:szCs w:val="20"/>
                <w:lang w:val="en-US"/>
              </w:rPr>
            </w:pPr>
          </w:p>
        </w:tc>
        <w:tc>
          <w:tcPr>
            <w:tcW w:w="656" w:type="dxa"/>
          </w:tcPr>
          <w:p w14:paraId="66E4E211" w14:textId="77777777" w:rsidR="00793937" w:rsidRPr="00793937" w:rsidRDefault="00793937" w:rsidP="0037195D">
            <w:pPr>
              <w:spacing w:line="480" w:lineRule="auto"/>
              <w:jc w:val="both"/>
              <w:rPr>
                <w:rFonts w:ascii="Arial" w:hAnsi="Arial" w:cs="Arial"/>
                <w:b/>
                <w:bCs/>
                <w:sz w:val="20"/>
                <w:szCs w:val="20"/>
                <w:lang w:val="en-US"/>
              </w:rPr>
            </w:pPr>
          </w:p>
        </w:tc>
        <w:tc>
          <w:tcPr>
            <w:tcW w:w="644" w:type="dxa"/>
          </w:tcPr>
          <w:p w14:paraId="75C187CE" w14:textId="77777777" w:rsidR="00793937" w:rsidRPr="00793937" w:rsidRDefault="00793937" w:rsidP="0037195D">
            <w:pPr>
              <w:spacing w:line="480" w:lineRule="auto"/>
              <w:jc w:val="both"/>
              <w:rPr>
                <w:rFonts w:ascii="Arial" w:hAnsi="Arial" w:cs="Arial"/>
                <w:b/>
                <w:bCs/>
                <w:sz w:val="20"/>
                <w:szCs w:val="20"/>
                <w:lang w:val="en-US"/>
              </w:rPr>
            </w:pPr>
          </w:p>
        </w:tc>
        <w:tc>
          <w:tcPr>
            <w:tcW w:w="666" w:type="dxa"/>
          </w:tcPr>
          <w:p w14:paraId="1C83DDAD" w14:textId="77777777" w:rsidR="00793937" w:rsidRPr="00793937" w:rsidRDefault="00793937" w:rsidP="0037195D">
            <w:pPr>
              <w:spacing w:line="480" w:lineRule="auto"/>
              <w:jc w:val="both"/>
              <w:rPr>
                <w:rFonts w:ascii="Arial" w:hAnsi="Arial" w:cs="Arial"/>
                <w:b/>
                <w:bCs/>
                <w:sz w:val="20"/>
                <w:szCs w:val="20"/>
                <w:lang w:val="en-US"/>
              </w:rPr>
            </w:pPr>
          </w:p>
        </w:tc>
        <w:tc>
          <w:tcPr>
            <w:tcW w:w="1640" w:type="dxa"/>
          </w:tcPr>
          <w:p w14:paraId="652C112D" w14:textId="55795252" w:rsidR="00793937" w:rsidRPr="00793937" w:rsidRDefault="00793937" w:rsidP="0037195D">
            <w:pPr>
              <w:spacing w:line="480" w:lineRule="auto"/>
              <w:jc w:val="both"/>
              <w:rPr>
                <w:rFonts w:ascii="Arial" w:hAnsi="Arial" w:cs="Arial"/>
                <w:b/>
                <w:bCs/>
                <w:sz w:val="20"/>
                <w:szCs w:val="20"/>
                <w:lang w:val="en-US"/>
              </w:rPr>
            </w:pPr>
          </w:p>
        </w:tc>
      </w:tr>
      <w:tr w:rsidR="00081A8A" w:rsidRPr="00793937" w14:paraId="0A2040E8" w14:textId="77777777" w:rsidTr="003003D7">
        <w:trPr>
          <w:trHeight w:val="500"/>
          <w:jc w:val="center"/>
        </w:trPr>
        <w:tc>
          <w:tcPr>
            <w:tcW w:w="2105" w:type="dxa"/>
          </w:tcPr>
          <w:p w14:paraId="3E48D131" w14:textId="003DBFC3" w:rsidR="00793937" w:rsidRPr="00793937" w:rsidRDefault="00793937" w:rsidP="0037195D">
            <w:pPr>
              <w:spacing w:line="480" w:lineRule="auto"/>
              <w:jc w:val="both"/>
              <w:rPr>
                <w:rFonts w:ascii="Arial" w:hAnsi="Arial" w:cs="Arial"/>
                <w:b/>
                <w:bCs/>
                <w:sz w:val="20"/>
                <w:szCs w:val="20"/>
                <w:lang w:val="en-US"/>
              </w:rPr>
            </w:pPr>
            <w:r w:rsidRPr="00793937">
              <w:rPr>
                <w:rFonts w:ascii="Arial" w:hAnsi="Arial" w:cs="Arial"/>
                <w:b/>
                <w:bCs/>
                <w:sz w:val="20"/>
                <w:szCs w:val="20"/>
                <w:lang w:val="en-US"/>
              </w:rPr>
              <w:t>Eligibility screen</w:t>
            </w:r>
          </w:p>
        </w:tc>
        <w:tc>
          <w:tcPr>
            <w:tcW w:w="1098" w:type="dxa"/>
          </w:tcPr>
          <w:p w14:paraId="0E790BF6" w14:textId="63AF856E" w:rsidR="00793937" w:rsidRPr="00282AC4" w:rsidRDefault="00282AC4"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1318" w:type="dxa"/>
          </w:tcPr>
          <w:p w14:paraId="54CC9CA8" w14:textId="77777777" w:rsidR="00793937" w:rsidRPr="00793937" w:rsidRDefault="00793937" w:rsidP="0037195D">
            <w:pPr>
              <w:spacing w:line="480" w:lineRule="auto"/>
              <w:jc w:val="both"/>
              <w:rPr>
                <w:rFonts w:ascii="Arial" w:hAnsi="Arial" w:cs="Arial"/>
                <w:b/>
                <w:bCs/>
                <w:sz w:val="20"/>
                <w:szCs w:val="20"/>
                <w:lang w:val="en-US"/>
              </w:rPr>
            </w:pPr>
          </w:p>
        </w:tc>
        <w:tc>
          <w:tcPr>
            <w:tcW w:w="645" w:type="dxa"/>
          </w:tcPr>
          <w:p w14:paraId="48A2AD07" w14:textId="77777777" w:rsidR="00793937" w:rsidRPr="00793937" w:rsidRDefault="00793937" w:rsidP="0037195D">
            <w:pPr>
              <w:spacing w:line="480" w:lineRule="auto"/>
              <w:jc w:val="both"/>
              <w:rPr>
                <w:rFonts w:ascii="Arial" w:hAnsi="Arial" w:cs="Arial"/>
                <w:b/>
                <w:bCs/>
                <w:sz w:val="20"/>
                <w:szCs w:val="20"/>
                <w:lang w:val="en-US"/>
              </w:rPr>
            </w:pPr>
          </w:p>
        </w:tc>
        <w:tc>
          <w:tcPr>
            <w:tcW w:w="656" w:type="dxa"/>
          </w:tcPr>
          <w:p w14:paraId="23D4B0C6" w14:textId="77777777" w:rsidR="00793937" w:rsidRPr="00793937" w:rsidRDefault="00793937" w:rsidP="0037195D">
            <w:pPr>
              <w:spacing w:line="480" w:lineRule="auto"/>
              <w:jc w:val="both"/>
              <w:rPr>
                <w:rFonts w:ascii="Arial" w:hAnsi="Arial" w:cs="Arial"/>
                <w:b/>
                <w:bCs/>
                <w:sz w:val="20"/>
                <w:szCs w:val="20"/>
                <w:lang w:val="en-US"/>
              </w:rPr>
            </w:pPr>
          </w:p>
        </w:tc>
        <w:tc>
          <w:tcPr>
            <w:tcW w:w="644" w:type="dxa"/>
          </w:tcPr>
          <w:p w14:paraId="318E5D7E" w14:textId="77777777" w:rsidR="00793937" w:rsidRPr="00793937" w:rsidRDefault="00793937" w:rsidP="0037195D">
            <w:pPr>
              <w:spacing w:line="480" w:lineRule="auto"/>
              <w:jc w:val="both"/>
              <w:rPr>
                <w:rFonts w:ascii="Arial" w:hAnsi="Arial" w:cs="Arial"/>
                <w:b/>
                <w:bCs/>
                <w:sz w:val="20"/>
                <w:szCs w:val="20"/>
                <w:lang w:val="en-US"/>
              </w:rPr>
            </w:pPr>
          </w:p>
        </w:tc>
        <w:tc>
          <w:tcPr>
            <w:tcW w:w="666" w:type="dxa"/>
          </w:tcPr>
          <w:p w14:paraId="3DA58224" w14:textId="77777777" w:rsidR="00793937" w:rsidRPr="00793937" w:rsidRDefault="00793937" w:rsidP="0037195D">
            <w:pPr>
              <w:spacing w:line="480" w:lineRule="auto"/>
              <w:jc w:val="both"/>
              <w:rPr>
                <w:rFonts w:ascii="Arial" w:hAnsi="Arial" w:cs="Arial"/>
                <w:b/>
                <w:bCs/>
                <w:sz w:val="20"/>
                <w:szCs w:val="20"/>
                <w:lang w:val="en-US"/>
              </w:rPr>
            </w:pPr>
          </w:p>
        </w:tc>
        <w:tc>
          <w:tcPr>
            <w:tcW w:w="1640" w:type="dxa"/>
          </w:tcPr>
          <w:p w14:paraId="0A8E24A3" w14:textId="1A0D6219" w:rsidR="00793937" w:rsidRPr="00793937" w:rsidRDefault="00793937" w:rsidP="0037195D">
            <w:pPr>
              <w:spacing w:line="480" w:lineRule="auto"/>
              <w:jc w:val="both"/>
              <w:rPr>
                <w:rFonts w:ascii="Arial" w:hAnsi="Arial" w:cs="Arial"/>
                <w:b/>
                <w:bCs/>
                <w:sz w:val="20"/>
                <w:szCs w:val="20"/>
                <w:lang w:val="en-US"/>
              </w:rPr>
            </w:pPr>
          </w:p>
        </w:tc>
      </w:tr>
      <w:tr w:rsidR="00081A8A" w:rsidRPr="00793937" w14:paraId="05729C1D" w14:textId="77777777" w:rsidTr="003003D7">
        <w:trPr>
          <w:trHeight w:val="299"/>
          <w:jc w:val="center"/>
        </w:trPr>
        <w:tc>
          <w:tcPr>
            <w:tcW w:w="2105" w:type="dxa"/>
          </w:tcPr>
          <w:p w14:paraId="1266C6E5" w14:textId="20761050" w:rsidR="00793937" w:rsidRPr="00793937" w:rsidRDefault="00793937" w:rsidP="0037195D">
            <w:pPr>
              <w:spacing w:line="480" w:lineRule="auto"/>
              <w:jc w:val="both"/>
              <w:rPr>
                <w:rFonts w:ascii="Arial" w:hAnsi="Arial" w:cs="Arial"/>
                <w:b/>
                <w:bCs/>
                <w:sz w:val="20"/>
                <w:szCs w:val="20"/>
                <w:lang w:val="en-US"/>
              </w:rPr>
            </w:pPr>
            <w:r w:rsidRPr="00793937">
              <w:rPr>
                <w:rFonts w:ascii="Arial" w:hAnsi="Arial" w:cs="Arial"/>
                <w:b/>
                <w:bCs/>
                <w:sz w:val="20"/>
                <w:szCs w:val="20"/>
                <w:lang w:val="en-US"/>
              </w:rPr>
              <w:t>Information consent</w:t>
            </w:r>
          </w:p>
        </w:tc>
        <w:tc>
          <w:tcPr>
            <w:tcW w:w="1098" w:type="dxa"/>
          </w:tcPr>
          <w:p w14:paraId="54A303D5" w14:textId="77777777" w:rsidR="00793937" w:rsidRPr="00793937" w:rsidRDefault="00793937" w:rsidP="0037195D">
            <w:pPr>
              <w:spacing w:line="480" w:lineRule="auto"/>
              <w:jc w:val="both"/>
              <w:rPr>
                <w:rFonts w:ascii="Arial" w:hAnsi="Arial" w:cs="Arial"/>
                <w:b/>
                <w:bCs/>
                <w:sz w:val="20"/>
                <w:szCs w:val="20"/>
                <w:lang w:val="en-US"/>
              </w:rPr>
            </w:pPr>
          </w:p>
        </w:tc>
        <w:tc>
          <w:tcPr>
            <w:tcW w:w="1318" w:type="dxa"/>
          </w:tcPr>
          <w:p w14:paraId="0CD6F1A7" w14:textId="5F9EC43F" w:rsidR="00793937" w:rsidRPr="00282AC4" w:rsidRDefault="00282AC4" w:rsidP="0037195D">
            <w:pPr>
              <w:spacing w:line="480" w:lineRule="auto"/>
              <w:jc w:val="center"/>
              <w:rPr>
                <w:rFonts w:ascii="Arial" w:hAnsi="Arial" w:cs="Arial"/>
                <w:sz w:val="20"/>
                <w:szCs w:val="20"/>
                <w:lang w:val="en-US"/>
              </w:rPr>
            </w:pPr>
            <w:r w:rsidRPr="00282AC4">
              <w:rPr>
                <w:rFonts w:ascii="Arial" w:hAnsi="Arial" w:cs="Arial"/>
                <w:sz w:val="20"/>
                <w:szCs w:val="20"/>
                <w:lang w:val="en-US"/>
              </w:rPr>
              <w:t>X</w:t>
            </w:r>
          </w:p>
        </w:tc>
        <w:tc>
          <w:tcPr>
            <w:tcW w:w="645" w:type="dxa"/>
          </w:tcPr>
          <w:p w14:paraId="2D013D08" w14:textId="77777777" w:rsidR="00793937" w:rsidRPr="00793937" w:rsidRDefault="00793937" w:rsidP="0037195D">
            <w:pPr>
              <w:spacing w:line="480" w:lineRule="auto"/>
              <w:jc w:val="both"/>
              <w:rPr>
                <w:rFonts w:ascii="Arial" w:hAnsi="Arial" w:cs="Arial"/>
                <w:b/>
                <w:bCs/>
                <w:sz w:val="20"/>
                <w:szCs w:val="20"/>
                <w:lang w:val="en-US"/>
              </w:rPr>
            </w:pPr>
          </w:p>
        </w:tc>
        <w:tc>
          <w:tcPr>
            <w:tcW w:w="656" w:type="dxa"/>
          </w:tcPr>
          <w:p w14:paraId="238F1993" w14:textId="77777777" w:rsidR="00793937" w:rsidRPr="00793937" w:rsidRDefault="00793937" w:rsidP="0037195D">
            <w:pPr>
              <w:spacing w:line="480" w:lineRule="auto"/>
              <w:jc w:val="both"/>
              <w:rPr>
                <w:rFonts w:ascii="Arial" w:hAnsi="Arial" w:cs="Arial"/>
                <w:b/>
                <w:bCs/>
                <w:sz w:val="20"/>
                <w:szCs w:val="20"/>
                <w:lang w:val="en-US"/>
              </w:rPr>
            </w:pPr>
          </w:p>
        </w:tc>
        <w:tc>
          <w:tcPr>
            <w:tcW w:w="644" w:type="dxa"/>
          </w:tcPr>
          <w:p w14:paraId="43D4E2AF" w14:textId="77777777" w:rsidR="00793937" w:rsidRPr="00793937" w:rsidRDefault="00793937" w:rsidP="0037195D">
            <w:pPr>
              <w:spacing w:line="480" w:lineRule="auto"/>
              <w:jc w:val="both"/>
              <w:rPr>
                <w:rFonts w:ascii="Arial" w:hAnsi="Arial" w:cs="Arial"/>
                <w:b/>
                <w:bCs/>
                <w:sz w:val="20"/>
                <w:szCs w:val="20"/>
                <w:lang w:val="en-US"/>
              </w:rPr>
            </w:pPr>
          </w:p>
        </w:tc>
        <w:tc>
          <w:tcPr>
            <w:tcW w:w="666" w:type="dxa"/>
          </w:tcPr>
          <w:p w14:paraId="59093BF3" w14:textId="77777777" w:rsidR="00793937" w:rsidRPr="00793937" w:rsidRDefault="00793937" w:rsidP="0037195D">
            <w:pPr>
              <w:spacing w:line="480" w:lineRule="auto"/>
              <w:jc w:val="both"/>
              <w:rPr>
                <w:rFonts w:ascii="Arial" w:hAnsi="Arial" w:cs="Arial"/>
                <w:b/>
                <w:bCs/>
                <w:sz w:val="20"/>
                <w:szCs w:val="20"/>
                <w:lang w:val="en-US"/>
              </w:rPr>
            </w:pPr>
          </w:p>
        </w:tc>
        <w:tc>
          <w:tcPr>
            <w:tcW w:w="1640" w:type="dxa"/>
          </w:tcPr>
          <w:p w14:paraId="0BE90507" w14:textId="42EB36D3" w:rsidR="00793937" w:rsidRPr="00793937" w:rsidRDefault="00793937" w:rsidP="0037195D">
            <w:pPr>
              <w:spacing w:line="480" w:lineRule="auto"/>
              <w:jc w:val="both"/>
              <w:rPr>
                <w:rFonts w:ascii="Arial" w:hAnsi="Arial" w:cs="Arial"/>
                <w:b/>
                <w:bCs/>
                <w:sz w:val="20"/>
                <w:szCs w:val="20"/>
                <w:lang w:val="en-US"/>
              </w:rPr>
            </w:pPr>
          </w:p>
        </w:tc>
      </w:tr>
      <w:tr w:rsidR="00081A8A" w:rsidRPr="00793937" w14:paraId="1DF356B6" w14:textId="77777777" w:rsidTr="003003D7">
        <w:trPr>
          <w:trHeight w:val="299"/>
          <w:jc w:val="center"/>
        </w:trPr>
        <w:tc>
          <w:tcPr>
            <w:tcW w:w="2105" w:type="dxa"/>
          </w:tcPr>
          <w:p w14:paraId="18DBAB5A" w14:textId="67C95BE0" w:rsidR="00793937" w:rsidRPr="00793937" w:rsidRDefault="00793937" w:rsidP="0037195D">
            <w:pPr>
              <w:spacing w:line="480" w:lineRule="auto"/>
              <w:jc w:val="both"/>
              <w:rPr>
                <w:rFonts w:ascii="Arial" w:hAnsi="Arial" w:cs="Arial"/>
                <w:b/>
                <w:bCs/>
                <w:sz w:val="20"/>
                <w:szCs w:val="20"/>
                <w:lang w:val="en-US"/>
              </w:rPr>
            </w:pPr>
            <w:r w:rsidRPr="00793937">
              <w:rPr>
                <w:rFonts w:ascii="Arial" w:hAnsi="Arial" w:cs="Arial"/>
                <w:b/>
                <w:bCs/>
                <w:sz w:val="20"/>
                <w:szCs w:val="20"/>
                <w:lang w:val="en-US"/>
              </w:rPr>
              <w:t>Allocation</w:t>
            </w:r>
          </w:p>
        </w:tc>
        <w:tc>
          <w:tcPr>
            <w:tcW w:w="1098" w:type="dxa"/>
          </w:tcPr>
          <w:p w14:paraId="4161E8DE" w14:textId="77777777" w:rsidR="00793937" w:rsidRPr="00793937" w:rsidRDefault="00793937" w:rsidP="0037195D">
            <w:pPr>
              <w:spacing w:line="480" w:lineRule="auto"/>
              <w:jc w:val="both"/>
              <w:rPr>
                <w:rFonts w:ascii="Arial" w:hAnsi="Arial" w:cs="Arial"/>
                <w:b/>
                <w:bCs/>
                <w:sz w:val="20"/>
                <w:szCs w:val="20"/>
                <w:lang w:val="en-US"/>
              </w:rPr>
            </w:pPr>
          </w:p>
        </w:tc>
        <w:tc>
          <w:tcPr>
            <w:tcW w:w="1318" w:type="dxa"/>
          </w:tcPr>
          <w:p w14:paraId="642F65A9" w14:textId="68DB8551" w:rsidR="00793937" w:rsidRPr="00282AC4" w:rsidRDefault="00282AC4" w:rsidP="0037195D">
            <w:pPr>
              <w:spacing w:line="480" w:lineRule="auto"/>
              <w:jc w:val="center"/>
              <w:rPr>
                <w:rFonts w:ascii="Arial" w:hAnsi="Arial" w:cs="Arial"/>
                <w:sz w:val="20"/>
                <w:szCs w:val="20"/>
                <w:lang w:val="en-US"/>
              </w:rPr>
            </w:pPr>
            <w:r w:rsidRPr="00282AC4">
              <w:rPr>
                <w:rFonts w:ascii="Arial" w:hAnsi="Arial" w:cs="Arial"/>
                <w:sz w:val="20"/>
                <w:szCs w:val="20"/>
                <w:lang w:val="en-US"/>
              </w:rPr>
              <w:t>X</w:t>
            </w:r>
          </w:p>
        </w:tc>
        <w:tc>
          <w:tcPr>
            <w:tcW w:w="645" w:type="dxa"/>
          </w:tcPr>
          <w:p w14:paraId="095BFC82" w14:textId="77777777" w:rsidR="00793937" w:rsidRPr="00793937" w:rsidRDefault="00793937" w:rsidP="0037195D">
            <w:pPr>
              <w:spacing w:line="480" w:lineRule="auto"/>
              <w:jc w:val="both"/>
              <w:rPr>
                <w:rFonts w:ascii="Arial" w:hAnsi="Arial" w:cs="Arial"/>
                <w:b/>
                <w:bCs/>
                <w:sz w:val="20"/>
                <w:szCs w:val="20"/>
                <w:lang w:val="en-US"/>
              </w:rPr>
            </w:pPr>
          </w:p>
        </w:tc>
        <w:tc>
          <w:tcPr>
            <w:tcW w:w="656" w:type="dxa"/>
          </w:tcPr>
          <w:p w14:paraId="28F2C139" w14:textId="77777777" w:rsidR="00793937" w:rsidRPr="00793937" w:rsidRDefault="00793937" w:rsidP="0037195D">
            <w:pPr>
              <w:spacing w:line="480" w:lineRule="auto"/>
              <w:jc w:val="both"/>
              <w:rPr>
                <w:rFonts w:ascii="Arial" w:hAnsi="Arial" w:cs="Arial"/>
                <w:b/>
                <w:bCs/>
                <w:sz w:val="20"/>
                <w:szCs w:val="20"/>
                <w:lang w:val="en-US"/>
              </w:rPr>
            </w:pPr>
          </w:p>
        </w:tc>
        <w:tc>
          <w:tcPr>
            <w:tcW w:w="644" w:type="dxa"/>
          </w:tcPr>
          <w:p w14:paraId="03EB71D1" w14:textId="77777777" w:rsidR="00793937" w:rsidRPr="00793937" w:rsidRDefault="00793937" w:rsidP="0037195D">
            <w:pPr>
              <w:spacing w:line="480" w:lineRule="auto"/>
              <w:jc w:val="both"/>
              <w:rPr>
                <w:rFonts w:ascii="Arial" w:hAnsi="Arial" w:cs="Arial"/>
                <w:b/>
                <w:bCs/>
                <w:sz w:val="20"/>
                <w:szCs w:val="20"/>
                <w:lang w:val="en-US"/>
              </w:rPr>
            </w:pPr>
          </w:p>
        </w:tc>
        <w:tc>
          <w:tcPr>
            <w:tcW w:w="666" w:type="dxa"/>
          </w:tcPr>
          <w:p w14:paraId="7A7A04B0" w14:textId="77777777" w:rsidR="00793937" w:rsidRPr="00793937" w:rsidRDefault="00793937" w:rsidP="0037195D">
            <w:pPr>
              <w:spacing w:line="480" w:lineRule="auto"/>
              <w:jc w:val="both"/>
              <w:rPr>
                <w:rFonts w:ascii="Arial" w:hAnsi="Arial" w:cs="Arial"/>
                <w:b/>
                <w:bCs/>
                <w:sz w:val="20"/>
                <w:szCs w:val="20"/>
                <w:lang w:val="en-US"/>
              </w:rPr>
            </w:pPr>
          </w:p>
        </w:tc>
        <w:tc>
          <w:tcPr>
            <w:tcW w:w="1640" w:type="dxa"/>
          </w:tcPr>
          <w:p w14:paraId="3E49529E" w14:textId="0D95A830" w:rsidR="00793937" w:rsidRPr="00793937" w:rsidRDefault="00793937" w:rsidP="0037195D">
            <w:pPr>
              <w:spacing w:line="480" w:lineRule="auto"/>
              <w:jc w:val="both"/>
              <w:rPr>
                <w:rFonts w:ascii="Arial" w:hAnsi="Arial" w:cs="Arial"/>
                <w:b/>
                <w:bCs/>
                <w:sz w:val="20"/>
                <w:szCs w:val="20"/>
                <w:lang w:val="en-US"/>
              </w:rPr>
            </w:pPr>
          </w:p>
        </w:tc>
      </w:tr>
      <w:tr w:rsidR="00081A8A" w:rsidRPr="00793937" w14:paraId="1215A02D" w14:textId="77777777" w:rsidTr="003003D7">
        <w:trPr>
          <w:trHeight w:val="401"/>
          <w:jc w:val="center"/>
        </w:trPr>
        <w:tc>
          <w:tcPr>
            <w:tcW w:w="2105" w:type="dxa"/>
          </w:tcPr>
          <w:p w14:paraId="05ED7A4E" w14:textId="648CDAA5" w:rsidR="005F031F" w:rsidRPr="005F031F" w:rsidRDefault="005F031F" w:rsidP="0037195D">
            <w:pPr>
              <w:spacing w:line="480" w:lineRule="auto"/>
              <w:jc w:val="both"/>
              <w:rPr>
                <w:rFonts w:ascii="Arial" w:hAnsi="Arial" w:cs="Arial"/>
                <w:b/>
                <w:bCs/>
                <w:sz w:val="20"/>
                <w:szCs w:val="20"/>
                <w:lang w:val="en-US"/>
              </w:rPr>
            </w:pPr>
            <w:r>
              <w:rPr>
                <w:rFonts w:ascii="Arial" w:hAnsi="Arial" w:cs="Arial"/>
                <w:b/>
                <w:bCs/>
                <w:sz w:val="20"/>
                <w:szCs w:val="20"/>
                <w:lang w:val="en-US"/>
              </w:rPr>
              <w:t>Interventions</w:t>
            </w:r>
          </w:p>
        </w:tc>
        <w:tc>
          <w:tcPr>
            <w:tcW w:w="1098" w:type="dxa"/>
          </w:tcPr>
          <w:p w14:paraId="29B854E7" w14:textId="77777777" w:rsidR="005F031F" w:rsidRPr="00793937" w:rsidRDefault="005F031F" w:rsidP="0037195D">
            <w:pPr>
              <w:spacing w:line="480" w:lineRule="auto"/>
              <w:jc w:val="both"/>
              <w:rPr>
                <w:rFonts w:ascii="Arial" w:hAnsi="Arial" w:cs="Arial"/>
                <w:b/>
                <w:bCs/>
                <w:sz w:val="20"/>
                <w:szCs w:val="20"/>
                <w:lang w:val="en-US"/>
              </w:rPr>
            </w:pPr>
          </w:p>
        </w:tc>
        <w:tc>
          <w:tcPr>
            <w:tcW w:w="1318" w:type="dxa"/>
          </w:tcPr>
          <w:p w14:paraId="1F9DFDC8" w14:textId="77777777" w:rsidR="005F031F" w:rsidRPr="00793937" w:rsidRDefault="005F031F" w:rsidP="0037195D">
            <w:pPr>
              <w:spacing w:line="480" w:lineRule="auto"/>
              <w:jc w:val="both"/>
              <w:rPr>
                <w:rFonts w:ascii="Arial" w:hAnsi="Arial" w:cs="Arial"/>
                <w:b/>
                <w:bCs/>
                <w:sz w:val="20"/>
                <w:szCs w:val="20"/>
                <w:lang w:val="en-US"/>
              </w:rPr>
            </w:pPr>
          </w:p>
        </w:tc>
        <w:tc>
          <w:tcPr>
            <w:tcW w:w="645" w:type="dxa"/>
          </w:tcPr>
          <w:p w14:paraId="0B1DAFA9" w14:textId="77777777" w:rsidR="005F031F" w:rsidRPr="00793937" w:rsidRDefault="005F031F" w:rsidP="0037195D">
            <w:pPr>
              <w:spacing w:line="480" w:lineRule="auto"/>
              <w:jc w:val="both"/>
              <w:rPr>
                <w:rFonts w:ascii="Arial" w:hAnsi="Arial" w:cs="Arial"/>
                <w:b/>
                <w:bCs/>
                <w:sz w:val="20"/>
                <w:szCs w:val="20"/>
                <w:lang w:val="en-US"/>
              </w:rPr>
            </w:pPr>
          </w:p>
        </w:tc>
        <w:tc>
          <w:tcPr>
            <w:tcW w:w="656" w:type="dxa"/>
          </w:tcPr>
          <w:p w14:paraId="0CE89D3F" w14:textId="77777777" w:rsidR="005F031F" w:rsidRPr="00793937" w:rsidRDefault="005F031F" w:rsidP="0037195D">
            <w:pPr>
              <w:spacing w:line="480" w:lineRule="auto"/>
              <w:jc w:val="both"/>
              <w:rPr>
                <w:rFonts w:ascii="Arial" w:hAnsi="Arial" w:cs="Arial"/>
                <w:b/>
                <w:bCs/>
                <w:sz w:val="20"/>
                <w:szCs w:val="20"/>
                <w:lang w:val="en-US"/>
              </w:rPr>
            </w:pPr>
          </w:p>
        </w:tc>
        <w:tc>
          <w:tcPr>
            <w:tcW w:w="644" w:type="dxa"/>
          </w:tcPr>
          <w:p w14:paraId="52E52BDD" w14:textId="77777777" w:rsidR="005F031F" w:rsidRPr="00793937" w:rsidRDefault="005F031F" w:rsidP="0037195D">
            <w:pPr>
              <w:spacing w:line="480" w:lineRule="auto"/>
              <w:jc w:val="both"/>
              <w:rPr>
                <w:rFonts w:ascii="Arial" w:hAnsi="Arial" w:cs="Arial"/>
                <w:b/>
                <w:bCs/>
                <w:sz w:val="20"/>
                <w:szCs w:val="20"/>
                <w:lang w:val="en-US"/>
              </w:rPr>
            </w:pPr>
          </w:p>
        </w:tc>
        <w:tc>
          <w:tcPr>
            <w:tcW w:w="666" w:type="dxa"/>
          </w:tcPr>
          <w:p w14:paraId="3CD09D0B" w14:textId="77777777" w:rsidR="005F031F" w:rsidRPr="00793937" w:rsidRDefault="005F031F" w:rsidP="0037195D">
            <w:pPr>
              <w:spacing w:line="480" w:lineRule="auto"/>
              <w:jc w:val="both"/>
              <w:rPr>
                <w:rFonts w:ascii="Arial" w:hAnsi="Arial" w:cs="Arial"/>
                <w:b/>
                <w:bCs/>
                <w:sz w:val="20"/>
                <w:szCs w:val="20"/>
                <w:lang w:val="en-US"/>
              </w:rPr>
            </w:pPr>
          </w:p>
        </w:tc>
        <w:tc>
          <w:tcPr>
            <w:tcW w:w="1640" w:type="dxa"/>
          </w:tcPr>
          <w:p w14:paraId="0279B4B1" w14:textId="1AB19546" w:rsidR="005F031F" w:rsidRPr="00793937" w:rsidRDefault="005F031F" w:rsidP="0037195D">
            <w:pPr>
              <w:spacing w:line="480" w:lineRule="auto"/>
              <w:jc w:val="both"/>
              <w:rPr>
                <w:rFonts w:ascii="Arial" w:hAnsi="Arial" w:cs="Arial"/>
                <w:b/>
                <w:bCs/>
                <w:sz w:val="20"/>
                <w:szCs w:val="20"/>
                <w:lang w:val="en-US"/>
              </w:rPr>
            </w:pPr>
          </w:p>
        </w:tc>
      </w:tr>
      <w:tr w:rsidR="00081A8A" w:rsidRPr="00CA5737" w14:paraId="57C55954" w14:textId="77777777" w:rsidTr="003003D7">
        <w:trPr>
          <w:trHeight w:val="399"/>
          <w:jc w:val="center"/>
        </w:trPr>
        <w:tc>
          <w:tcPr>
            <w:tcW w:w="2105" w:type="dxa"/>
          </w:tcPr>
          <w:p w14:paraId="27A14D7F" w14:textId="7BAB5FCB" w:rsidR="005F031F" w:rsidRPr="005F031F" w:rsidRDefault="005F031F" w:rsidP="0037195D">
            <w:pPr>
              <w:spacing w:line="480" w:lineRule="auto"/>
              <w:jc w:val="center"/>
              <w:rPr>
                <w:rFonts w:ascii="Arial" w:hAnsi="Arial" w:cs="Arial"/>
                <w:i/>
                <w:iCs/>
                <w:sz w:val="20"/>
                <w:szCs w:val="20"/>
                <w:lang w:val="en-US"/>
              </w:rPr>
            </w:pPr>
            <w:r w:rsidRPr="005F031F">
              <w:rPr>
                <w:rFonts w:ascii="Arial" w:hAnsi="Arial" w:cs="Arial"/>
                <w:i/>
                <w:iCs/>
                <w:sz w:val="20"/>
                <w:szCs w:val="20"/>
                <w:lang w:val="en-US"/>
              </w:rPr>
              <w:t>Group</w:t>
            </w:r>
            <w:r>
              <w:rPr>
                <w:rFonts w:ascii="Arial" w:hAnsi="Arial" w:cs="Arial"/>
                <w:i/>
                <w:iCs/>
                <w:sz w:val="20"/>
                <w:szCs w:val="20"/>
                <w:lang w:val="en-US"/>
              </w:rPr>
              <w:t xml:space="preserve"> 1 Usual care plus </w:t>
            </w:r>
            <w:r w:rsidR="00F658C3">
              <w:rPr>
                <w:rFonts w:ascii="Arial" w:hAnsi="Arial" w:cs="Arial"/>
                <w:i/>
                <w:iCs/>
                <w:sz w:val="20"/>
                <w:szCs w:val="20"/>
                <w:lang w:val="en-US"/>
              </w:rPr>
              <w:t>LPM</w:t>
            </w:r>
            <w:r w:rsidR="008237E4">
              <w:rPr>
                <w:rFonts w:ascii="Arial" w:hAnsi="Arial" w:cs="Arial"/>
                <w:i/>
                <w:iCs/>
                <w:sz w:val="20"/>
                <w:szCs w:val="20"/>
                <w:lang w:val="en-US"/>
              </w:rPr>
              <w:t>*</w:t>
            </w:r>
          </w:p>
        </w:tc>
        <w:tc>
          <w:tcPr>
            <w:tcW w:w="1098" w:type="dxa"/>
          </w:tcPr>
          <w:p w14:paraId="6A2AC5CC" w14:textId="77777777" w:rsidR="005F031F" w:rsidRPr="00793937" w:rsidRDefault="005F031F" w:rsidP="0037195D">
            <w:pPr>
              <w:spacing w:line="480" w:lineRule="auto"/>
              <w:jc w:val="both"/>
              <w:rPr>
                <w:rFonts w:ascii="Arial" w:hAnsi="Arial" w:cs="Arial"/>
                <w:b/>
                <w:bCs/>
                <w:sz w:val="20"/>
                <w:szCs w:val="20"/>
                <w:lang w:val="en-US"/>
              </w:rPr>
            </w:pPr>
          </w:p>
        </w:tc>
        <w:tc>
          <w:tcPr>
            <w:tcW w:w="1318" w:type="dxa"/>
          </w:tcPr>
          <w:p w14:paraId="05F310BC" w14:textId="77777777" w:rsidR="005F031F" w:rsidRPr="00793937" w:rsidRDefault="005F031F" w:rsidP="0037195D">
            <w:pPr>
              <w:spacing w:line="480" w:lineRule="auto"/>
              <w:jc w:val="both"/>
              <w:rPr>
                <w:rFonts w:ascii="Arial" w:hAnsi="Arial" w:cs="Arial"/>
                <w:b/>
                <w:bCs/>
                <w:sz w:val="20"/>
                <w:szCs w:val="20"/>
                <w:lang w:val="en-US"/>
              </w:rPr>
            </w:pPr>
          </w:p>
        </w:tc>
        <w:tc>
          <w:tcPr>
            <w:tcW w:w="645" w:type="dxa"/>
          </w:tcPr>
          <w:p w14:paraId="58D5A5CE" w14:textId="06E692A8" w:rsidR="005F031F" w:rsidRPr="00793937" w:rsidRDefault="005F031F" w:rsidP="0037195D">
            <w:pPr>
              <w:spacing w:line="480" w:lineRule="auto"/>
              <w:jc w:val="both"/>
              <w:rPr>
                <w:rFonts w:ascii="Arial" w:hAnsi="Arial" w:cs="Arial"/>
                <w:b/>
                <w:bCs/>
                <w:sz w:val="20"/>
                <w:szCs w:val="20"/>
                <w:lang w:val="en-US"/>
              </w:rPr>
            </w:pPr>
          </w:p>
        </w:tc>
        <w:tc>
          <w:tcPr>
            <w:tcW w:w="656" w:type="dxa"/>
          </w:tcPr>
          <w:p w14:paraId="1746C1CE" w14:textId="77777777" w:rsidR="005F031F" w:rsidRPr="00793937" w:rsidRDefault="005F031F" w:rsidP="0037195D">
            <w:pPr>
              <w:spacing w:line="480" w:lineRule="auto"/>
              <w:jc w:val="both"/>
              <w:rPr>
                <w:rFonts w:ascii="Arial" w:hAnsi="Arial" w:cs="Arial"/>
                <w:b/>
                <w:bCs/>
                <w:sz w:val="20"/>
                <w:szCs w:val="20"/>
                <w:lang w:val="en-US"/>
              </w:rPr>
            </w:pPr>
          </w:p>
        </w:tc>
        <w:tc>
          <w:tcPr>
            <w:tcW w:w="644" w:type="dxa"/>
          </w:tcPr>
          <w:p w14:paraId="1085B9E1" w14:textId="5694D8AC" w:rsidR="005F031F" w:rsidRPr="00793937" w:rsidRDefault="00B41970" w:rsidP="0037195D">
            <w:pPr>
              <w:spacing w:line="480" w:lineRule="auto"/>
              <w:jc w:val="both"/>
              <w:rPr>
                <w:rFonts w:ascii="Arial" w:hAnsi="Arial" w:cs="Arial"/>
                <w:b/>
                <w:bCs/>
                <w:sz w:val="20"/>
                <w:szCs w:val="20"/>
                <w:lang w:val="en-US"/>
              </w:rPr>
            </w:pPr>
            <w:r>
              <w:rPr>
                <w:rFonts w:ascii="Arial" w:hAnsi="Arial" w:cs="Arial"/>
                <w:b/>
                <w:bCs/>
                <w:noProof/>
                <w:sz w:val="20"/>
                <w:szCs w:val="20"/>
                <w:lang w:val="en-US"/>
              </w:rPr>
              <mc:AlternateContent>
                <mc:Choice Requires="wps">
                  <w:drawing>
                    <wp:anchor distT="0" distB="0" distL="114300" distR="114300" simplePos="0" relativeHeight="251659264" behindDoc="0" locked="0" layoutInCell="1" allowOverlap="1" wp14:anchorId="4257B64C" wp14:editId="5FA19637">
                      <wp:simplePos x="0" y="0"/>
                      <wp:positionH relativeFrom="column">
                        <wp:posOffset>-739775</wp:posOffset>
                      </wp:positionH>
                      <wp:positionV relativeFrom="paragraph">
                        <wp:posOffset>280670</wp:posOffset>
                      </wp:positionV>
                      <wp:extent cx="1367155" cy="0"/>
                      <wp:effectExtent l="38100" t="38100" r="42545" b="38100"/>
                      <wp:wrapNone/>
                      <wp:docPr id="1" name="Connecteur droit 1"/>
                      <wp:cNvGraphicFramePr/>
                      <a:graphic xmlns:a="http://schemas.openxmlformats.org/drawingml/2006/main">
                        <a:graphicData uri="http://schemas.microsoft.com/office/word/2010/wordprocessingShape">
                          <wps:wsp>
                            <wps:cNvCnPr/>
                            <wps:spPr>
                              <a:xfrm>
                                <a:off x="0" y="0"/>
                                <a:ext cx="1367155" cy="0"/>
                              </a:xfrm>
                              <a:prstGeom prst="line">
                                <a:avLst/>
                              </a:prstGeom>
                              <a:ln w="25400" cap="sq">
                                <a:headEnd type="oval"/>
                                <a:tailEnd type="ova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E90A7BC" id="Connecteur droit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25pt,22.1pt" to="49.4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" strokecolor="black [3200]" strokeweight="2pt">
                      <v:stroke startarrow="oval" endarrow="oval" joinstyle="miter" endcap="square"/>
                    </v:line>
                  </w:pict>
                </mc:Fallback>
              </mc:AlternateContent>
            </w:r>
          </w:p>
        </w:tc>
        <w:tc>
          <w:tcPr>
            <w:tcW w:w="666" w:type="dxa"/>
          </w:tcPr>
          <w:p w14:paraId="7538AF7F" w14:textId="77777777" w:rsidR="005F031F" w:rsidRPr="00793937" w:rsidRDefault="005F031F" w:rsidP="0037195D">
            <w:pPr>
              <w:spacing w:line="480" w:lineRule="auto"/>
              <w:jc w:val="both"/>
              <w:rPr>
                <w:rFonts w:ascii="Arial" w:hAnsi="Arial" w:cs="Arial"/>
                <w:b/>
                <w:bCs/>
                <w:sz w:val="20"/>
                <w:szCs w:val="20"/>
                <w:lang w:val="en-US"/>
              </w:rPr>
            </w:pPr>
          </w:p>
        </w:tc>
        <w:tc>
          <w:tcPr>
            <w:tcW w:w="1640" w:type="dxa"/>
          </w:tcPr>
          <w:p w14:paraId="7226DBA6" w14:textId="769C6DBC" w:rsidR="005F031F" w:rsidRPr="00793937" w:rsidRDefault="005F031F" w:rsidP="0037195D">
            <w:pPr>
              <w:spacing w:line="480" w:lineRule="auto"/>
              <w:jc w:val="both"/>
              <w:rPr>
                <w:rFonts w:ascii="Arial" w:hAnsi="Arial" w:cs="Arial"/>
                <w:b/>
                <w:bCs/>
                <w:sz w:val="20"/>
                <w:szCs w:val="20"/>
                <w:lang w:val="en-US"/>
              </w:rPr>
            </w:pPr>
          </w:p>
        </w:tc>
      </w:tr>
      <w:tr w:rsidR="00081A8A" w:rsidRPr="00CA5737" w14:paraId="6A55A702" w14:textId="77777777" w:rsidTr="003003D7">
        <w:trPr>
          <w:trHeight w:val="399"/>
          <w:jc w:val="center"/>
        </w:trPr>
        <w:tc>
          <w:tcPr>
            <w:tcW w:w="2105" w:type="dxa"/>
          </w:tcPr>
          <w:p w14:paraId="4900C641" w14:textId="11C28CC7" w:rsidR="005F031F" w:rsidRDefault="005F031F" w:rsidP="0037195D">
            <w:pPr>
              <w:spacing w:line="480" w:lineRule="auto"/>
              <w:jc w:val="center"/>
              <w:rPr>
                <w:rFonts w:ascii="Arial" w:hAnsi="Arial" w:cs="Arial"/>
                <w:b/>
                <w:bCs/>
                <w:sz w:val="20"/>
                <w:szCs w:val="20"/>
                <w:lang w:val="en-US"/>
              </w:rPr>
            </w:pPr>
            <w:r>
              <w:rPr>
                <w:rFonts w:ascii="Arial" w:hAnsi="Arial" w:cs="Arial"/>
                <w:i/>
                <w:iCs/>
                <w:sz w:val="20"/>
                <w:szCs w:val="20"/>
                <w:lang w:val="en-US"/>
              </w:rPr>
              <w:t xml:space="preserve">Group 2 Usual </w:t>
            </w:r>
            <w:r w:rsidR="00F658C3">
              <w:rPr>
                <w:rFonts w:ascii="Arial" w:hAnsi="Arial" w:cs="Arial"/>
                <w:i/>
                <w:iCs/>
                <w:sz w:val="20"/>
                <w:szCs w:val="20"/>
                <w:lang w:val="en-US"/>
              </w:rPr>
              <w:t>care plus sham</w:t>
            </w:r>
          </w:p>
        </w:tc>
        <w:tc>
          <w:tcPr>
            <w:tcW w:w="1098" w:type="dxa"/>
          </w:tcPr>
          <w:p w14:paraId="57C85C2D" w14:textId="77777777" w:rsidR="005F031F" w:rsidRPr="00793937" w:rsidRDefault="005F031F" w:rsidP="0037195D">
            <w:pPr>
              <w:spacing w:line="480" w:lineRule="auto"/>
              <w:jc w:val="both"/>
              <w:rPr>
                <w:rFonts w:ascii="Arial" w:hAnsi="Arial" w:cs="Arial"/>
                <w:b/>
                <w:bCs/>
                <w:sz w:val="20"/>
                <w:szCs w:val="20"/>
                <w:lang w:val="en-US"/>
              </w:rPr>
            </w:pPr>
          </w:p>
        </w:tc>
        <w:tc>
          <w:tcPr>
            <w:tcW w:w="1318" w:type="dxa"/>
          </w:tcPr>
          <w:p w14:paraId="3C850F04" w14:textId="77777777" w:rsidR="005F031F" w:rsidRPr="00793937" w:rsidRDefault="005F031F" w:rsidP="0037195D">
            <w:pPr>
              <w:spacing w:line="480" w:lineRule="auto"/>
              <w:jc w:val="both"/>
              <w:rPr>
                <w:rFonts w:ascii="Arial" w:hAnsi="Arial" w:cs="Arial"/>
                <w:b/>
                <w:bCs/>
                <w:sz w:val="20"/>
                <w:szCs w:val="20"/>
                <w:lang w:val="en-US"/>
              </w:rPr>
            </w:pPr>
          </w:p>
        </w:tc>
        <w:tc>
          <w:tcPr>
            <w:tcW w:w="645" w:type="dxa"/>
          </w:tcPr>
          <w:p w14:paraId="579DD462" w14:textId="37E2C50A" w:rsidR="005F031F" w:rsidRPr="00793937" w:rsidRDefault="005F031F" w:rsidP="0037195D">
            <w:pPr>
              <w:spacing w:line="480" w:lineRule="auto"/>
              <w:jc w:val="both"/>
              <w:rPr>
                <w:rFonts w:ascii="Arial" w:hAnsi="Arial" w:cs="Arial"/>
                <w:b/>
                <w:bCs/>
                <w:sz w:val="20"/>
                <w:szCs w:val="20"/>
                <w:lang w:val="en-US"/>
              </w:rPr>
            </w:pPr>
          </w:p>
        </w:tc>
        <w:tc>
          <w:tcPr>
            <w:tcW w:w="656" w:type="dxa"/>
          </w:tcPr>
          <w:p w14:paraId="5CE99BD3" w14:textId="11ADD02D" w:rsidR="005F031F" w:rsidRPr="00793937" w:rsidRDefault="005F031F" w:rsidP="0037195D">
            <w:pPr>
              <w:spacing w:line="480" w:lineRule="auto"/>
              <w:jc w:val="both"/>
              <w:rPr>
                <w:rFonts w:ascii="Arial" w:hAnsi="Arial" w:cs="Arial"/>
                <w:b/>
                <w:bCs/>
                <w:sz w:val="20"/>
                <w:szCs w:val="20"/>
                <w:lang w:val="en-US"/>
              </w:rPr>
            </w:pPr>
            <w:r>
              <w:rPr>
                <w:rFonts w:ascii="Arial" w:hAnsi="Arial" w:cs="Arial"/>
                <w:b/>
                <w:bCs/>
                <w:noProof/>
                <w:sz w:val="20"/>
                <w:szCs w:val="20"/>
                <w:lang w:val="en-US"/>
              </w:rPr>
              <mc:AlternateContent>
                <mc:Choice Requires="wps">
                  <w:drawing>
                    <wp:anchor distT="0" distB="0" distL="114300" distR="114300" simplePos="0" relativeHeight="251661312" behindDoc="0" locked="0" layoutInCell="1" allowOverlap="1" wp14:anchorId="3D3088F3" wp14:editId="425EC939">
                      <wp:simplePos x="0" y="0"/>
                      <wp:positionH relativeFrom="column">
                        <wp:posOffset>-319405</wp:posOffset>
                      </wp:positionH>
                      <wp:positionV relativeFrom="paragraph">
                        <wp:posOffset>311888</wp:posOffset>
                      </wp:positionV>
                      <wp:extent cx="1367328" cy="0"/>
                      <wp:effectExtent l="38100" t="38100" r="42545" b="38100"/>
                      <wp:wrapNone/>
                      <wp:docPr id="5" name="Connecteur droit 5"/>
                      <wp:cNvGraphicFramePr/>
                      <a:graphic xmlns:a="http://schemas.openxmlformats.org/drawingml/2006/main">
                        <a:graphicData uri="http://schemas.microsoft.com/office/word/2010/wordprocessingShape">
                          <wps:wsp>
                            <wps:cNvCnPr/>
                            <wps:spPr>
                              <a:xfrm>
                                <a:off x="0" y="0"/>
                                <a:ext cx="1367328" cy="0"/>
                              </a:xfrm>
                              <a:prstGeom prst="line">
                                <a:avLst/>
                              </a:prstGeom>
                              <a:ln w="25400">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83994A2" id="Connecteur droit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5.15pt,24.55pt" to="82.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" strokecolor="black [3213]" strokeweight="2pt">
                      <v:stroke startarrow="oval" endarrow="oval" joinstyle="miter"/>
                    </v:line>
                  </w:pict>
                </mc:Fallback>
              </mc:AlternateContent>
            </w:r>
          </w:p>
        </w:tc>
        <w:tc>
          <w:tcPr>
            <w:tcW w:w="644" w:type="dxa"/>
          </w:tcPr>
          <w:p w14:paraId="090BE0E5" w14:textId="77777777" w:rsidR="005F031F" w:rsidRPr="00793937" w:rsidRDefault="005F031F" w:rsidP="0037195D">
            <w:pPr>
              <w:spacing w:line="480" w:lineRule="auto"/>
              <w:jc w:val="both"/>
              <w:rPr>
                <w:rFonts w:ascii="Arial" w:hAnsi="Arial" w:cs="Arial"/>
                <w:b/>
                <w:bCs/>
                <w:sz w:val="20"/>
                <w:szCs w:val="20"/>
                <w:lang w:val="en-US"/>
              </w:rPr>
            </w:pPr>
          </w:p>
        </w:tc>
        <w:tc>
          <w:tcPr>
            <w:tcW w:w="666" w:type="dxa"/>
          </w:tcPr>
          <w:p w14:paraId="27BF729B" w14:textId="77777777" w:rsidR="005F031F" w:rsidRPr="00793937" w:rsidRDefault="005F031F" w:rsidP="0037195D">
            <w:pPr>
              <w:spacing w:line="480" w:lineRule="auto"/>
              <w:jc w:val="both"/>
              <w:rPr>
                <w:rFonts w:ascii="Arial" w:hAnsi="Arial" w:cs="Arial"/>
                <w:b/>
                <w:bCs/>
                <w:sz w:val="20"/>
                <w:szCs w:val="20"/>
                <w:lang w:val="en-US"/>
              </w:rPr>
            </w:pPr>
          </w:p>
        </w:tc>
        <w:tc>
          <w:tcPr>
            <w:tcW w:w="1640" w:type="dxa"/>
          </w:tcPr>
          <w:p w14:paraId="3DC2842E" w14:textId="2AF017A8" w:rsidR="005F031F" w:rsidRPr="00793937" w:rsidRDefault="005F031F" w:rsidP="0037195D">
            <w:pPr>
              <w:spacing w:line="480" w:lineRule="auto"/>
              <w:jc w:val="both"/>
              <w:rPr>
                <w:rFonts w:ascii="Arial" w:hAnsi="Arial" w:cs="Arial"/>
                <w:b/>
                <w:bCs/>
                <w:sz w:val="20"/>
                <w:szCs w:val="20"/>
                <w:lang w:val="en-US"/>
              </w:rPr>
            </w:pPr>
          </w:p>
        </w:tc>
      </w:tr>
      <w:tr w:rsidR="00081A8A" w:rsidRPr="00793937" w14:paraId="5FDE4745" w14:textId="77777777" w:rsidTr="003003D7">
        <w:trPr>
          <w:trHeight w:val="53"/>
          <w:jc w:val="center"/>
        </w:trPr>
        <w:tc>
          <w:tcPr>
            <w:tcW w:w="2105" w:type="dxa"/>
          </w:tcPr>
          <w:p w14:paraId="62AEA8D4" w14:textId="1BD94138" w:rsidR="00606527" w:rsidRPr="00793937" w:rsidRDefault="00606527" w:rsidP="0037195D">
            <w:pPr>
              <w:spacing w:line="480" w:lineRule="auto"/>
              <w:jc w:val="both"/>
              <w:rPr>
                <w:rFonts w:ascii="Arial" w:hAnsi="Arial" w:cs="Arial"/>
                <w:b/>
                <w:bCs/>
                <w:sz w:val="20"/>
                <w:szCs w:val="20"/>
                <w:lang w:val="en-US"/>
              </w:rPr>
            </w:pPr>
            <w:r>
              <w:rPr>
                <w:rFonts w:ascii="Arial" w:hAnsi="Arial" w:cs="Arial"/>
                <w:b/>
                <w:bCs/>
                <w:sz w:val="20"/>
                <w:szCs w:val="20"/>
                <w:lang w:val="en-US"/>
              </w:rPr>
              <w:t>Assessments</w:t>
            </w:r>
          </w:p>
        </w:tc>
        <w:tc>
          <w:tcPr>
            <w:tcW w:w="1098" w:type="dxa"/>
          </w:tcPr>
          <w:p w14:paraId="0AC2E8FF" w14:textId="77777777" w:rsidR="00606527" w:rsidRPr="00793937" w:rsidRDefault="00606527" w:rsidP="0037195D">
            <w:pPr>
              <w:spacing w:line="480" w:lineRule="auto"/>
              <w:jc w:val="both"/>
              <w:rPr>
                <w:rFonts w:ascii="Arial" w:hAnsi="Arial" w:cs="Arial"/>
                <w:b/>
                <w:bCs/>
                <w:sz w:val="20"/>
                <w:szCs w:val="20"/>
                <w:lang w:val="en-US"/>
              </w:rPr>
            </w:pPr>
          </w:p>
        </w:tc>
        <w:tc>
          <w:tcPr>
            <w:tcW w:w="1318" w:type="dxa"/>
          </w:tcPr>
          <w:p w14:paraId="7271248C" w14:textId="77777777" w:rsidR="00606527" w:rsidRPr="00793937" w:rsidRDefault="00606527" w:rsidP="0037195D">
            <w:pPr>
              <w:spacing w:line="480" w:lineRule="auto"/>
              <w:jc w:val="both"/>
              <w:rPr>
                <w:rFonts w:ascii="Arial" w:hAnsi="Arial" w:cs="Arial"/>
                <w:b/>
                <w:bCs/>
                <w:sz w:val="20"/>
                <w:szCs w:val="20"/>
                <w:lang w:val="en-US"/>
              </w:rPr>
            </w:pPr>
          </w:p>
        </w:tc>
        <w:tc>
          <w:tcPr>
            <w:tcW w:w="645" w:type="dxa"/>
          </w:tcPr>
          <w:p w14:paraId="79940B9D" w14:textId="77777777" w:rsidR="00606527" w:rsidRPr="00793937" w:rsidRDefault="00606527" w:rsidP="0037195D">
            <w:pPr>
              <w:spacing w:line="480" w:lineRule="auto"/>
              <w:jc w:val="both"/>
              <w:rPr>
                <w:rFonts w:ascii="Arial" w:hAnsi="Arial" w:cs="Arial"/>
                <w:b/>
                <w:bCs/>
                <w:sz w:val="20"/>
                <w:szCs w:val="20"/>
                <w:lang w:val="en-US"/>
              </w:rPr>
            </w:pPr>
          </w:p>
        </w:tc>
        <w:tc>
          <w:tcPr>
            <w:tcW w:w="656" w:type="dxa"/>
          </w:tcPr>
          <w:p w14:paraId="3F8E7082" w14:textId="77777777" w:rsidR="00606527" w:rsidRPr="00793937" w:rsidRDefault="00606527" w:rsidP="0037195D">
            <w:pPr>
              <w:spacing w:line="480" w:lineRule="auto"/>
              <w:jc w:val="both"/>
              <w:rPr>
                <w:rFonts w:ascii="Arial" w:hAnsi="Arial" w:cs="Arial"/>
                <w:b/>
                <w:bCs/>
                <w:sz w:val="20"/>
                <w:szCs w:val="20"/>
                <w:lang w:val="en-US"/>
              </w:rPr>
            </w:pPr>
          </w:p>
        </w:tc>
        <w:tc>
          <w:tcPr>
            <w:tcW w:w="644" w:type="dxa"/>
          </w:tcPr>
          <w:p w14:paraId="567F0969" w14:textId="77777777" w:rsidR="00606527" w:rsidRPr="00793937" w:rsidRDefault="00606527" w:rsidP="0037195D">
            <w:pPr>
              <w:spacing w:line="480" w:lineRule="auto"/>
              <w:jc w:val="both"/>
              <w:rPr>
                <w:rFonts w:ascii="Arial" w:hAnsi="Arial" w:cs="Arial"/>
                <w:b/>
                <w:bCs/>
                <w:sz w:val="20"/>
                <w:szCs w:val="20"/>
                <w:lang w:val="en-US"/>
              </w:rPr>
            </w:pPr>
          </w:p>
        </w:tc>
        <w:tc>
          <w:tcPr>
            <w:tcW w:w="666" w:type="dxa"/>
          </w:tcPr>
          <w:p w14:paraId="6298E758" w14:textId="77777777" w:rsidR="00606527" w:rsidRPr="00793937" w:rsidRDefault="00606527" w:rsidP="0037195D">
            <w:pPr>
              <w:spacing w:line="480" w:lineRule="auto"/>
              <w:jc w:val="both"/>
              <w:rPr>
                <w:rFonts w:ascii="Arial" w:hAnsi="Arial" w:cs="Arial"/>
                <w:b/>
                <w:bCs/>
                <w:sz w:val="20"/>
                <w:szCs w:val="20"/>
                <w:lang w:val="en-US"/>
              </w:rPr>
            </w:pPr>
          </w:p>
        </w:tc>
        <w:tc>
          <w:tcPr>
            <w:tcW w:w="1640" w:type="dxa"/>
          </w:tcPr>
          <w:p w14:paraId="618FAC9F" w14:textId="26CC681D" w:rsidR="00606527" w:rsidRPr="00793937" w:rsidRDefault="00606527" w:rsidP="0037195D">
            <w:pPr>
              <w:spacing w:line="480" w:lineRule="auto"/>
              <w:jc w:val="both"/>
              <w:rPr>
                <w:rFonts w:ascii="Arial" w:hAnsi="Arial" w:cs="Arial"/>
                <w:b/>
                <w:bCs/>
                <w:sz w:val="20"/>
                <w:szCs w:val="20"/>
                <w:lang w:val="en-US"/>
              </w:rPr>
            </w:pPr>
          </w:p>
        </w:tc>
      </w:tr>
      <w:tr w:rsidR="00081A8A" w:rsidRPr="00793937" w14:paraId="7E458129" w14:textId="77777777" w:rsidTr="003003D7">
        <w:trPr>
          <w:trHeight w:val="49"/>
          <w:jc w:val="center"/>
        </w:trPr>
        <w:tc>
          <w:tcPr>
            <w:tcW w:w="2105" w:type="dxa"/>
          </w:tcPr>
          <w:p w14:paraId="4E8A5C24" w14:textId="06A25951" w:rsidR="00606527" w:rsidRPr="00606527" w:rsidRDefault="00606527" w:rsidP="0037195D">
            <w:pPr>
              <w:spacing w:line="480" w:lineRule="auto"/>
              <w:jc w:val="both"/>
              <w:rPr>
                <w:rFonts w:ascii="Arial" w:hAnsi="Arial" w:cs="Arial"/>
                <w:sz w:val="20"/>
                <w:szCs w:val="20"/>
                <w:lang w:val="en-US"/>
              </w:rPr>
            </w:pPr>
            <w:r>
              <w:rPr>
                <w:rFonts w:ascii="Arial" w:hAnsi="Arial" w:cs="Arial"/>
                <w:sz w:val="20"/>
                <w:szCs w:val="20"/>
                <w:lang w:val="en-US"/>
              </w:rPr>
              <w:t>Pain</w:t>
            </w:r>
            <w:r w:rsidR="00977D9E">
              <w:rPr>
                <w:rFonts w:ascii="Arial" w:hAnsi="Arial" w:cs="Arial"/>
                <w:sz w:val="20"/>
                <w:szCs w:val="20"/>
                <w:lang w:val="en-US"/>
              </w:rPr>
              <w:t xml:space="preserve">: </w:t>
            </w:r>
            <w:r w:rsidR="003126EE">
              <w:rPr>
                <w:rFonts w:ascii="Arial" w:hAnsi="Arial" w:cs="Arial"/>
                <w:sz w:val="20"/>
                <w:szCs w:val="20"/>
                <w:lang w:val="en-US"/>
              </w:rPr>
              <w:t>VA</w:t>
            </w:r>
            <w:r w:rsidR="00977D9E">
              <w:rPr>
                <w:rFonts w:ascii="Arial" w:hAnsi="Arial" w:cs="Arial"/>
                <w:sz w:val="20"/>
                <w:szCs w:val="20"/>
                <w:lang w:val="en-US"/>
              </w:rPr>
              <w:t>S</w:t>
            </w:r>
            <w:r w:rsidR="008237E4">
              <w:rPr>
                <w:rFonts w:ascii="Arial" w:hAnsi="Arial" w:cs="Arial"/>
                <w:sz w:val="20"/>
                <w:szCs w:val="20"/>
                <w:lang w:val="en-US"/>
              </w:rPr>
              <w:t>*</w:t>
            </w:r>
          </w:p>
        </w:tc>
        <w:tc>
          <w:tcPr>
            <w:tcW w:w="1098" w:type="dxa"/>
          </w:tcPr>
          <w:p w14:paraId="2CFDB5C9" w14:textId="77777777" w:rsidR="00606527" w:rsidRPr="00793937" w:rsidRDefault="00606527" w:rsidP="0037195D">
            <w:pPr>
              <w:spacing w:line="480" w:lineRule="auto"/>
              <w:jc w:val="both"/>
              <w:rPr>
                <w:rFonts w:ascii="Arial" w:hAnsi="Arial" w:cs="Arial"/>
                <w:b/>
                <w:bCs/>
                <w:sz w:val="20"/>
                <w:szCs w:val="20"/>
                <w:lang w:val="en-US"/>
              </w:rPr>
            </w:pPr>
          </w:p>
        </w:tc>
        <w:tc>
          <w:tcPr>
            <w:tcW w:w="1318" w:type="dxa"/>
          </w:tcPr>
          <w:p w14:paraId="1C33A3C2" w14:textId="77777777" w:rsidR="00606527" w:rsidRPr="00793937" w:rsidRDefault="00606527" w:rsidP="0037195D">
            <w:pPr>
              <w:spacing w:line="480" w:lineRule="auto"/>
              <w:jc w:val="both"/>
              <w:rPr>
                <w:rFonts w:ascii="Arial" w:hAnsi="Arial" w:cs="Arial"/>
                <w:b/>
                <w:bCs/>
                <w:sz w:val="20"/>
                <w:szCs w:val="20"/>
                <w:lang w:val="en-US"/>
              </w:rPr>
            </w:pPr>
          </w:p>
        </w:tc>
        <w:tc>
          <w:tcPr>
            <w:tcW w:w="645" w:type="dxa"/>
          </w:tcPr>
          <w:p w14:paraId="041E04C0" w14:textId="02616CEA" w:rsidR="00606527" w:rsidRPr="00A204C4" w:rsidRDefault="00A204C4" w:rsidP="0037195D">
            <w:pPr>
              <w:spacing w:line="480" w:lineRule="auto"/>
              <w:jc w:val="center"/>
              <w:rPr>
                <w:rFonts w:ascii="Arial" w:hAnsi="Arial" w:cs="Arial"/>
                <w:sz w:val="20"/>
                <w:szCs w:val="20"/>
                <w:lang w:val="en-US"/>
              </w:rPr>
            </w:pPr>
            <w:r w:rsidRPr="00A204C4">
              <w:rPr>
                <w:rFonts w:ascii="Arial" w:hAnsi="Arial" w:cs="Arial"/>
                <w:sz w:val="20"/>
                <w:szCs w:val="20"/>
                <w:lang w:val="en-US"/>
              </w:rPr>
              <w:t>X</w:t>
            </w:r>
          </w:p>
        </w:tc>
        <w:tc>
          <w:tcPr>
            <w:tcW w:w="656" w:type="dxa"/>
          </w:tcPr>
          <w:p w14:paraId="0EA8E0DE" w14:textId="6E9BF012" w:rsidR="00606527" w:rsidRPr="00A204C4" w:rsidRDefault="00A204C4"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644" w:type="dxa"/>
          </w:tcPr>
          <w:p w14:paraId="7FC75114" w14:textId="6F55E30A" w:rsidR="00606527" w:rsidRPr="00A204C4" w:rsidRDefault="00A204C4"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666" w:type="dxa"/>
          </w:tcPr>
          <w:p w14:paraId="1C7E6175" w14:textId="4CF3FB2E" w:rsidR="00606527" w:rsidRPr="00A204C4" w:rsidRDefault="00A204C4"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1640" w:type="dxa"/>
          </w:tcPr>
          <w:p w14:paraId="376D7C47" w14:textId="17BAD36F" w:rsidR="00606527" w:rsidRPr="00A204C4" w:rsidRDefault="00A204C4" w:rsidP="0037195D">
            <w:pPr>
              <w:spacing w:line="480" w:lineRule="auto"/>
              <w:jc w:val="center"/>
              <w:rPr>
                <w:rFonts w:ascii="Arial" w:hAnsi="Arial" w:cs="Arial"/>
                <w:sz w:val="20"/>
                <w:szCs w:val="20"/>
                <w:lang w:val="en-US"/>
              </w:rPr>
            </w:pPr>
            <w:r>
              <w:rPr>
                <w:rFonts w:ascii="Arial" w:hAnsi="Arial" w:cs="Arial"/>
                <w:sz w:val="20"/>
                <w:szCs w:val="20"/>
                <w:lang w:val="en-US"/>
              </w:rPr>
              <w:t>X</w:t>
            </w:r>
          </w:p>
        </w:tc>
      </w:tr>
      <w:tr w:rsidR="00081A8A" w:rsidRPr="00793937" w14:paraId="4C4B23FB" w14:textId="77777777" w:rsidTr="003003D7">
        <w:trPr>
          <w:trHeight w:val="49"/>
          <w:jc w:val="center"/>
        </w:trPr>
        <w:tc>
          <w:tcPr>
            <w:tcW w:w="2105" w:type="dxa"/>
          </w:tcPr>
          <w:p w14:paraId="4B790C23" w14:textId="310171CF" w:rsidR="00606527" w:rsidRPr="00606527" w:rsidRDefault="00606527" w:rsidP="0037195D">
            <w:pPr>
              <w:spacing w:line="480" w:lineRule="auto"/>
              <w:jc w:val="both"/>
              <w:rPr>
                <w:rFonts w:ascii="Arial" w:hAnsi="Arial" w:cs="Arial"/>
                <w:sz w:val="20"/>
                <w:szCs w:val="20"/>
                <w:lang w:val="en-US"/>
              </w:rPr>
            </w:pPr>
            <w:r w:rsidRPr="00606527">
              <w:rPr>
                <w:rFonts w:ascii="Arial" w:hAnsi="Arial" w:cs="Arial"/>
                <w:sz w:val="20"/>
                <w:szCs w:val="20"/>
                <w:lang w:val="en-US"/>
              </w:rPr>
              <w:t>Function</w:t>
            </w:r>
            <w:r>
              <w:rPr>
                <w:rFonts w:ascii="Arial" w:hAnsi="Arial" w:cs="Arial"/>
                <w:sz w:val="20"/>
                <w:szCs w:val="20"/>
                <w:lang w:val="en-US"/>
              </w:rPr>
              <w:t>: French version of LEFS</w:t>
            </w:r>
            <w:r w:rsidR="008237E4">
              <w:rPr>
                <w:rFonts w:ascii="Arial" w:hAnsi="Arial" w:cs="Arial"/>
                <w:sz w:val="20"/>
                <w:szCs w:val="20"/>
                <w:lang w:val="en-US"/>
              </w:rPr>
              <w:t>*</w:t>
            </w:r>
          </w:p>
        </w:tc>
        <w:tc>
          <w:tcPr>
            <w:tcW w:w="1098" w:type="dxa"/>
          </w:tcPr>
          <w:p w14:paraId="7DD3797F" w14:textId="77777777" w:rsidR="00606527" w:rsidRPr="00793937" w:rsidRDefault="00606527" w:rsidP="0037195D">
            <w:pPr>
              <w:spacing w:line="480" w:lineRule="auto"/>
              <w:jc w:val="both"/>
              <w:rPr>
                <w:rFonts w:ascii="Arial" w:hAnsi="Arial" w:cs="Arial"/>
                <w:b/>
                <w:bCs/>
                <w:sz w:val="20"/>
                <w:szCs w:val="20"/>
                <w:lang w:val="en-US"/>
              </w:rPr>
            </w:pPr>
          </w:p>
        </w:tc>
        <w:tc>
          <w:tcPr>
            <w:tcW w:w="1318" w:type="dxa"/>
          </w:tcPr>
          <w:p w14:paraId="34E8F4B9" w14:textId="3535DEBF" w:rsidR="00606527" w:rsidRPr="00A204C4" w:rsidRDefault="00606527" w:rsidP="0037195D">
            <w:pPr>
              <w:spacing w:line="480" w:lineRule="auto"/>
              <w:jc w:val="both"/>
              <w:rPr>
                <w:rFonts w:ascii="Arial" w:hAnsi="Arial" w:cs="Arial"/>
                <w:sz w:val="20"/>
                <w:szCs w:val="20"/>
                <w:lang w:val="en-US"/>
              </w:rPr>
            </w:pPr>
          </w:p>
        </w:tc>
        <w:tc>
          <w:tcPr>
            <w:tcW w:w="645" w:type="dxa"/>
          </w:tcPr>
          <w:p w14:paraId="68013326" w14:textId="35021B19" w:rsidR="00606527" w:rsidRPr="00400A1E" w:rsidRDefault="00400A1E"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656" w:type="dxa"/>
          </w:tcPr>
          <w:p w14:paraId="11141FC2" w14:textId="77777777" w:rsidR="00606527" w:rsidRPr="00793937" w:rsidRDefault="00606527" w:rsidP="0037195D">
            <w:pPr>
              <w:spacing w:line="480" w:lineRule="auto"/>
              <w:jc w:val="both"/>
              <w:rPr>
                <w:rFonts w:ascii="Arial" w:hAnsi="Arial" w:cs="Arial"/>
                <w:b/>
                <w:bCs/>
                <w:sz w:val="20"/>
                <w:szCs w:val="20"/>
                <w:lang w:val="en-US"/>
              </w:rPr>
            </w:pPr>
          </w:p>
        </w:tc>
        <w:tc>
          <w:tcPr>
            <w:tcW w:w="644" w:type="dxa"/>
          </w:tcPr>
          <w:p w14:paraId="4C131EFB" w14:textId="77777777" w:rsidR="00606527" w:rsidRPr="00793937" w:rsidRDefault="00606527" w:rsidP="0037195D">
            <w:pPr>
              <w:spacing w:line="480" w:lineRule="auto"/>
              <w:jc w:val="both"/>
              <w:rPr>
                <w:rFonts w:ascii="Arial" w:hAnsi="Arial" w:cs="Arial"/>
                <w:b/>
                <w:bCs/>
                <w:sz w:val="20"/>
                <w:szCs w:val="20"/>
                <w:lang w:val="en-US"/>
              </w:rPr>
            </w:pPr>
          </w:p>
        </w:tc>
        <w:tc>
          <w:tcPr>
            <w:tcW w:w="666" w:type="dxa"/>
          </w:tcPr>
          <w:p w14:paraId="1498644B" w14:textId="4CAE8AC9" w:rsidR="00606527" w:rsidRPr="0066206A" w:rsidRDefault="001A6C9E" w:rsidP="0037195D">
            <w:pPr>
              <w:spacing w:line="480" w:lineRule="auto"/>
              <w:jc w:val="center"/>
              <w:rPr>
                <w:rFonts w:ascii="Arial" w:hAnsi="Arial" w:cs="Arial"/>
                <w:sz w:val="20"/>
                <w:szCs w:val="20"/>
                <w:lang w:val="en-US"/>
              </w:rPr>
            </w:pPr>
            <w:r w:rsidRPr="0066206A">
              <w:rPr>
                <w:rFonts w:ascii="Arial" w:hAnsi="Arial" w:cs="Arial"/>
                <w:sz w:val="20"/>
                <w:szCs w:val="20"/>
                <w:lang w:val="en-US"/>
              </w:rPr>
              <w:t>X</w:t>
            </w:r>
          </w:p>
        </w:tc>
        <w:tc>
          <w:tcPr>
            <w:tcW w:w="1640" w:type="dxa"/>
          </w:tcPr>
          <w:p w14:paraId="354C544F" w14:textId="6C632034" w:rsidR="00606527" w:rsidRPr="00A204C4" w:rsidRDefault="00A204C4" w:rsidP="0037195D">
            <w:pPr>
              <w:spacing w:line="480" w:lineRule="auto"/>
              <w:jc w:val="center"/>
              <w:rPr>
                <w:rFonts w:ascii="Arial" w:hAnsi="Arial" w:cs="Arial"/>
                <w:sz w:val="20"/>
                <w:szCs w:val="20"/>
                <w:lang w:val="en-US"/>
              </w:rPr>
            </w:pPr>
            <w:r>
              <w:rPr>
                <w:rFonts w:ascii="Arial" w:hAnsi="Arial" w:cs="Arial"/>
                <w:sz w:val="20"/>
                <w:szCs w:val="20"/>
                <w:lang w:val="en-US"/>
              </w:rPr>
              <w:t>X</w:t>
            </w:r>
          </w:p>
        </w:tc>
      </w:tr>
      <w:tr w:rsidR="00081A8A" w:rsidRPr="00793937" w14:paraId="22466CB5" w14:textId="77777777" w:rsidTr="003003D7">
        <w:trPr>
          <w:trHeight w:val="49"/>
          <w:jc w:val="center"/>
        </w:trPr>
        <w:tc>
          <w:tcPr>
            <w:tcW w:w="2105" w:type="dxa"/>
          </w:tcPr>
          <w:p w14:paraId="79B02062" w14:textId="43A205A1" w:rsidR="00606527" w:rsidRPr="00606527" w:rsidRDefault="00606527" w:rsidP="0037195D">
            <w:pPr>
              <w:spacing w:line="480" w:lineRule="auto"/>
              <w:jc w:val="both"/>
              <w:rPr>
                <w:rFonts w:ascii="Arial" w:hAnsi="Arial" w:cs="Arial"/>
                <w:sz w:val="20"/>
                <w:szCs w:val="20"/>
                <w:lang w:val="en-US"/>
              </w:rPr>
            </w:pPr>
            <w:r w:rsidRPr="00606527">
              <w:rPr>
                <w:rFonts w:ascii="Arial" w:hAnsi="Arial" w:cs="Arial"/>
                <w:sz w:val="20"/>
                <w:szCs w:val="20"/>
                <w:lang w:val="en-US"/>
              </w:rPr>
              <w:t>Expectation</w:t>
            </w:r>
          </w:p>
        </w:tc>
        <w:tc>
          <w:tcPr>
            <w:tcW w:w="1098" w:type="dxa"/>
          </w:tcPr>
          <w:p w14:paraId="74D74563" w14:textId="77777777" w:rsidR="00606527" w:rsidRPr="00793937" w:rsidRDefault="00606527" w:rsidP="0037195D">
            <w:pPr>
              <w:spacing w:line="480" w:lineRule="auto"/>
              <w:jc w:val="both"/>
              <w:rPr>
                <w:rFonts w:ascii="Arial" w:hAnsi="Arial" w:cs="Arial"/>
                <w:b/>
                <w:bCs/>
                <w:sz w:val="20"/>
                <w:szCs w:val="20"/>
                <w:lang w:val="en-US"/>
              </w:rPr>
            </w:pPr>
          </w:p>
        </w:tc>
        <w:tc>
          <w:tcPr>
            <w:tcW w:w="1318" w:type="dxa"/>
          </w:tcPr>
          <w:p w14:paraId="018DD57D" w14:textId="6EAF25E4" w:rsidR="00606527" w:rsidRPr="00A204C4" w:rsidRDefault="00606527" w:rsidP="0037195D">
            <w:pPr>
              <w:spacing w:line="480" w:lineRule="auto"/>
              <w:jc w:val="both"/>
              <w:rPr>
                <w:rFonts w:ascii="Arial" w:hAnsi="Arial" w:cs="Arial"/>
                <w:sz w:val="20"/>
                <w:szCs w:val="20"/>
                <w:lang w:val="en-US"/>
              </w:rPr>
            </w:pPr>
          </w:p>
        </w:tc>
        <w:tc>
          <w:tcPr>
            <w:tcW w:w="645" w:type="dxa"/>
          </w:tcPr>
          <w:p w14:paraId="3943CCE4" w14:textId="2CD652DE" w:rsidR="00606527" w:rsidRPr="00400A1E" w:rsidRDefault="00400A1E"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656" w:type="dxa"/>
          </w:tcPr>
          <w:p w14:paraId="79180E4F" w14:textId="77777777" w:rsidR="00606527" w:rsidRPr="00793937" w:rsidRDefault="00606527" w:rsidP="0037195D">
            <w:pPr>
              <w:spacing w:line="480" w:lineRule="auto"/>
              <w:jc w:val="both"/>
              <w:rPr>
                <w:rFonts w:ascii="Arial" w:hAnsi="Arial" w:cs="Arial"/>
                <w:b/>
                <w:bCs/>
                <w:sz w:val="20"/>
                <w:szCs w:val="20"/>
                <w:lang w:val="en-US"/>
              </w:rPr>
            </w:pPr>
          </w:p>
        </w:tc>
        <w:tc>
          <w:tcPr>
            <w:tcW w:w="644" w:type="dxa"/>
          </w:tcPr>
          <w:p w14:paraId="2AE9DCF2" w14:textId="77777777" w:rsidR="00606527" w:rsidRPr="00793937" w:rsidRDefault="00606527" w:rsidP="0037195D">
            <w:pPr>
              <w:spacing w:line="480" w:lineRule="auto"/>
              <w:jc w:val="both"/>
              <w:rPr>
                <w:rFonts w:ascii="Arial" w:hAnsi="Arial" w:cs="Arial"/>
                <w:b/>
                <w:bCs/>
                <w:sz w:val="20"/>
                <w:szCs w:val="20"/>
                <w:lang w:val="en-US"/>
              </w:rPr>
            </w:pPr>
          </w:p>
        </w:tc>
        <w:tc>
          <w:tcPr>
            <w:tcW w:w="666" w:type="dxa"/>
          </w:tcPr>
          <w:p w14:paraId="68CDE749" w14:textId="77777777" w:rsidR="00606527" w:rsidRPr="00793937" w:rsidRDefault="00606527" w:rsidP="0037195D">
            <w:pPr>
              <w:spacing w:line="480" w:lineRule="auto"/>
              <w:jc w:val="both"/>
              <w:rPr>
                <w:rFonts w:ascii="Arial" w:hAnsi="Arial" w:cs="Arial"/>
                <w:b/>
                <w:bCs/>
                <w:sz w:val="20"/>
                <w:szCs w:val="20"/>
                <w:lang w:val="en-US"/>
              </w:rPr>
            </w:pPr>
          </w:p>
        </w:tc>
        <w:tc>
          <w:tcPr>
            <w:tcW w:w="1640" w:type="dxa"/>
          </w:tcPr>
          <w:p w14:paraId="3E2EBE47" w14:textId="77777777" w:rsidR="00606527" w:rsidRPr="00793937" w:rsidRDefault="00606527" w:rsidP="0037195D">
            <w:pPr>
              <w:spacing w:line="480" w:lineRule="auto"/>
              <w:jc w:val="both"/>
              <w:rPr>
                <w:rFonts w:ascii="Arial" w:hAnsi="Arial" w:cs="Arial"/>
                <w:b/>
                <w:bCs/>
                <w:sz w:val="20"/>
                <w:szCs w:val="20"/>
                <w:lang w:val="en-US"/>
              </w:rPr>
            </w:pPr>
          </w:p>
        </w:tc>
      </w:tr>
      <w:tr w:rsidR="00081A8A" w:rsidRPr="00793937" w14:paraId="0E9F7183" w14:textId="77777777" w:rsidTr="003003D7">
        <w:trPr>
          <w:trHeight w:val="49"/>
          <w:jc w:val="center"/>
        </w:trPr>
        <w:tc>
          <w:tcPr>
            <w:tcW w:w="2105" w:type="dxa"/>
          </w:tcPr>
          <w:p w14:paraId="02C5171A" w14:textId="770A59ED" w:rsidR="00606527" w:rsidRPr="00606527" w:rsidRDefault="00606527" w:rsidP="0037195D">
            <w:pPr>
              <w:spacing w:line="480" w:lineRule="auto"/>
              <w:jc w:val="both"/>
              <w:rPr>
                <w:rFonts w:ascii="Arial" w:hAnsi="Arial" w:cs="Arial"/>
                <w:sz w:val="20"/>
                <w:szCs w:val="20"/>
                <w:lang w:val="en-US"/>
              </w:rPr>
            </w:pPr>
            <w:r w:rsidRPr="00606527">
              <w:rPr>
                <w:rFonts w:ascii="Arial" w:hAnsi="Arial" w:cs="Arial"/>
                <w:sz w:val="20"/>
                <w:szCs w:val="20"/>
                <w:lang w:val="en-US"/>
              </w:rPr>
              <w:t>Adherence</w:t>
            </w:r>
          </w:p>
        </w:tc>
        <w:tc>
          <w:tcPr>
            <w:tcW w:w="1098" w:type="dxa"/>
          </w:tcPr>
          <w:p w14:paraId="5E13EE86" w14:textId="77777777" w:rsidR="00606527" w:rsidRPr="00793937" w:rsidRDefault="00606527" w:rsidP="0037195D">
            <w:pPr>
              <w:spacing w:line="480" w:lineRule="auto"/>
              <w:jc w:val="both"/>
              <w:rPr>
                <w:rFonts w:ascii="Arial" w:hAnsi="Arial" w:cs="Arial"/>
                <w:b/>
                <w:bCs/>
                <w:sz w:val="20"/>
                <w:szCs w:val="20"/>
                <w:lang w:val="en-US"/>
              </w:rPr>
            </w:pPr>
          </w:p>
        </w:tc>
        <w:tc>
          <w:tcPr>
            <w:tcW w:w="1318" w:type="dxa"/>
          </w:tcPr>
          <w:p w14:paraId="3DB27FB8" w14:textId="36737669" w:rsidR="00606527" w:rsidRPr="00F658C3" w:rsidRDefault="00606527" w:rsidP="0037195D">
            <w:pPr>
              <w:spacing w:line="480" w:lineRule="auto"/>
              <w:jc w:val="center"/>
              <w:rPr>
                <w:rFonts w:ascii="Arial" w:hAnsi="Arial" w:cs="Arial"/>
                <w:sz w:val="20"/>
                <w:szCs w:val="20"/>
                <w:lang w:val="en-US"/>
              </w:rPr>
            </w:pPr>
          </w:p>
        </w:tc>
        <w:tc>
          <w:tcPr>
            <w:tcW w:w="645" w:type="dxa"/>
          </w:tcPr>
          <w:p w14:paraId="03DA9C0D" w14:textId="77777777" w:rsidR="00606527" w:rsidRPr="00F658C3" w:rsidRDefault="00606527" w:rsidP="0037195D">
            <w:pPr>
              <w:spacing w:line="480" w:lineRule="auto"/>
              <w:jc w:val="center"/>
              <w:rPr>
                <w:rFonts w:ascii="Arial" w:hAnsi="Arial" w:cs="Arial"/>
                <w:sz w:val="20"/>
                <w:szCs w:val="20"/>
                <w:lang w:val="en-US"/>
              </w:rPr>
            </w:pPr>
          </w:p>
        </w:tc>
        <w:tc>
          <w:tcPr>
            <w:tcW w:w="656" w:type="dxa"/>
          </w:tcPr>
          <w:p w14:paraId="74A148E8" w14:textId="4C4C81ED" w:rsidR="00606527" w:rsidRPr="00F658C3" w:rsidRDefault="00F658C3" w:rsidP="0037195D">
            <w:pPr>
              <w:spacing w:line="480" w:lineRule="auto"/>
              <w:jc w:val="center"/>
              <w:rPr>
                <w:rFonts w:ascii="Arial" w:hAnsi="Arial" w:cs="Arial"/>
                <w:sz w:val="20"/>
                <w:szCs w:val="20"/>
                <w:lang w:val="en-US"/>
              </w:rPr>
            </w:pPr>
            <w:r w:rsidRPr="00F658C3">
              <w:rPr>
                <w:rFonts w:ascii="Arial" w:hAnsi="Arial" w:cs="Arial"/>
                <w:sz w:val="20"/>
                <w:szCs w:val="20"/>
                <w:lang w:val="en-US"/>
              </w:rPr>
              <w:t>X</w:t>
            </w:r>
          </w:p>
        </w:tc>
        <w:tc>
          <w:tcPr>
            <w:tcW w:w="644" w:type="dxa"/>
          </w:tcPr>
          <w:p w14:paraId="6A76D03C" w14:textId="4ADC2680" w:rsidR="00606527" w:rsidRPr="00F658C3" w:rsidRDefault="00F658C3"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666" w:type="dxa"/>
          </w:tcPr>
          <w:p w14:paraId="6B1F739F" w14:textId="7ABDC926" w:rsidR="00606527" w:rsidRPr="00F658C3" w:rsidRDefault="00F658C3"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1640" w:type="dxa"/>
          </w:tcPr>
          <w:p w14:paraId="30A39532" w14:textId="5DDAB00A" w:rsidR="00606527" w:rsidRPr="00F658C3" w:rsidRDefault="00F658C3" w:rsidP="0037195D">
            <w:pPr>
              <w:spacing w:line="480" w:lineRule="auto"/>
              <w:jc w:val="center"/>
              <w:rPr>
                <w:rFonts w:ascii="Arial" w:hAnsi="Arial" w:cs="Arial"/>
                <w:sz w:val="20"/>
                <w:szCs w:val="20"/>
                <w:lang w:val="en-US"/>
              </w:rPr>
            </w:pPr>
            <w:r>
              <w:rPr>
                <w:rFonts w:ascii="Arial" w:hAnsi="Arial" w:cs="Arial"/>
                <w:sz w:val="20"/>
                <w:szCs w:val="20"/>
                <w:lang w:val="en-US"/>
              </w:rPr>
              <w:t>X</w:t>
            </w:r>
          </w:p>
        </w:tc>
      </w:tr>
      <w:tr w:rsidR="00081A8A" w:rsidRPr="00793937" w14:paraId="2CC422A0" w14:textId="77777777" w:rsidTr="003003D7">
        <w:trPr>
          <w:trHeight w:val="49"/>
          <w:jc w:val="center"/>
        </w:trPr>
        <w:tc>
          <w:tcPr>
            <w:tcW w:w="2105" w:type="dxa"/>
          </w:tcPr>
          <w:p w14:paraId="15D279F8" w14:textId="0E3F1D04" w:rsidR="00606527" w:rsidRPr="00606527" w:rsidRDefault="00606527" w:rsidP="0037195D">
            <w:pPr>
              <w:spacing w:line="480" w:lineRule="auto"/>
              <w:jc w:val="both"/>
              <w:rPr>
                <w:rFonts w:ascii="Arial" w:hAnsi="Arial" w:cs="Arial"/>
                <w:sz w:val="20"/>
                <w:szCs w:val="20"/>
                <w:lang w:val="en-US"/>
              </w:rPr>
            </w:pPr>
            <w:r w:rsidRPr="00606527">
              <w:rPr>
                <w:rFonts w:ascii="Arial" w:hAnsi="Arial" w:cs="Arial"/>
                <w:sz w:val="20"/>
                <w:szCs w:val="20"/>
                <w:lang w:val="en-US"/>
              </w:rPr>
              <w:t>Adverse events</w:t>
            </w:r>
          </w:p>
        </w:tc>
        <w:tc>
          <w:tcPr>
            <w:tcW w:w="1098" w:type="dxa"/>
          </w:tcPr>
          <w:p w14:paraId="469DEE98" w14:textId="77777777" w:rsidR="00606527" w:rsidRPr="00793937" w:rsidRDefault="00606527" w:rsidP="0037195D">
            <w:pPr>
              <w:spacing w:line="480" w:lineRule="auto"/>
              <w:jc w:val="both"/>
              <w:rPr>
                <w:rFonts w:ascii="Arial" w:hAnsi="Arial" w:cs="Arial"/>
                <w:b/>
                <w:bCs/>
                <w:sz w:val="20"/>
                <w:szCs w:val="20"/>
                <w:lang w:val="en-US"/>
              </w:rPr>
            </w:pPr>
          </w:p>
        </w:tc>
        <w:tc>
          <w:tcPr>
            <w:tcW w:w="1318" w:type="dxa"/>
          </w:tcPr>
          <w:p w14:paraId="33D70C58" w14:textId="77777777" w:rsidR="00606527" w:rsidRPr="00793937" w:rsidRDefault="00606527" w:rsidP="0037195D">
            <w:pPr>
              <w:spacing w:line="480" w:lineRule="auto"/>
              <w:jc w:val="both"/>
              <w:rPr>
                <w:rFonts w:ascii="Arial" w:hAnsi="Arial" w:cs="Arial"/>
                <w:b/>
                <w:bCs/>
                <w:sz w:val="20"/>
                <w:szCs w:val="20"/>
                <w:lang w:val="en-US"/>
              </w:rPr>
            </w:pPr>
          </w:p>
        </w:tc>
        <w:tc>
          <w:tcPr>
            <w:tcW w:w="645" w:type="dxa"/>
          </w:tcPr>
          <w:p w14:paraId="5C015E9D" w14:textId="65C68DDE" w:rsidR="00606527" w:rsidRPr="0066206A" w:rsidRDefault="00977D9E" w:rsidP="0037195D">
            <w:pPr>
              <w:spacing w:line="480" w:lineRule="auto"/>
              <w:jc w:val="center"/>
              <w:rPr>
                <w:rFonts w:ascii="Arial" w:hAnsi="Arial" w:cs="Arial"/>
                <w:sz w:val="20"/>
                <w:szCs w:val="20"/>
                <w:lang w:val="en-US"/>
              </w:rPr>
            </w:pPr>
            <w:r w:rsidRPr="0066206A">
              <w:rPr>
                <w:rFonts w:ascii="Arial" w:hAnsi="Arial" w:cs="Arial"/>
                <w:sz w:val="20"/>
                <w:szCs w:val="20"/>
                <w:lang w:val="en-US"/>
              </w:rPr>
              <w:t>X</w:t>
            </w:r>
          </w:p>
        </w:tc>
        <w:tc>
          <w:tcPr>
            <w:tcW w:w="656" w:type="dxa"/>
          </w:tcPr>
          <w:p w14:paraId="3B979449" w14:textId="20C44487" w:rsidR="00606527" w:rsidRPr="00A204C4" w:rsidRDefault="00A204C4"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644" w:type="dxa"/>
          </w:tcPr>
          <w:p w14:paraId="412099E6" w14:textId="152F78D0" w:rsidR="00606527" w:rsidRPr="00A204C4" w:rsidRDefault="00A204C4"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666" w:type="dxa"/>
          </w:tcPr>
          <w:p w14:paraId="1ABCDD2E" w14:textId="593A8A98" w:rsidR="00606527" w:rsidRPr="00A204C4" w:rsidRDefault="00A204C4" w:rsidP="0037195D">
            <w:pPr>
              <w:spacing w:line="480" w:lineRule="auto"/>
              <w:jc w:val="center"/>
              <w:rPr>
                <w:rFonts w:ascii="Arial" w:hAnsi="Arial" w:cs="Arial"/>
                <w:sz w:val="20"/>
                <w:szCs w:val="20"/>
                <w:lang w:val="en-US"/>
              </w:rPr>
            </w:pPr>
            <w:r>
              <w:rPr>
                <w:rFonts w:ascii="Arial" w:hAnsi="Arial" w:cs="Arial"/>
                <w:sz w:val="20"/>
                <w:szCs w:val="20"/>
                <w:lang w:val="en-US"/>
              </w:rPr>
              <w:t>X</w:t>
            </w:r>
          </w:p>
        </w:tc>
        <w:tc>
          <w:tcPr>
            <w:tcW w:w="1640" w:type="dxa"/>
          </w:tcPr>
          <w:p w14:paraId="5A7DF245" w14:textId="6A2D715E" w:rsidR="00606527" w:rsidRPr="00A204C4" w:rsidRDefault="00A204C4" w:rsidP="0037195D">
            <w:pPr>
              <w:keepNext/>
              <w:spacing w:line="480" w:lineRule="auto"/>
              <w:jc w:val="center"/>
              <w:rPr>
                <w:rFonts w:ascii="Arial" w:hAnsi="Arial" w:cs="Arial"/>
                <w:sz w:val="20"/>
                <w:szCs w:val="20"/>
                <w:lang w:val="en-US"/>
              </w:rPr>
            </w:pPr>
            <w:r>
              <w:rPr>
                <w:rFonts w:ascii="Arial" w:hAnsi="Arial" w:cs="Arial"/>
                <w:sz w:val="20"/>
                <w:szCs w:val="20"/>
                <w:lang w:val="en-US"/>
              </w:rPr>
              <w:t>X</w:t>
            </w:r>
          </w:p>
        </w:tc>
      </w:tr>
      <w:tr w:rsidR="0079620E" w:rsidRPr="00793937" w14:paraId="1A920BC0" w14:textId="77777777" w:rsidTr="003003D7">
        <w:trPr>
          <w:trHeight w:val="49"/>
          <w:jc w:val="center"/>
        </w:trPr>
        <w:tc>
          <w:tcPr>
            <w:tcW w:w="2105" w:type="dxa"/>
          </w:tcPr>
          <w:p w14:paraId="24F7D3B8" w14:textId="4CC13734" w:rsidR="0079620E" w:rsidRPr="00606527" w:rsidRDefault="0079620E" w:rsidP="0037195D">
            <w:pPr>
              <w:spacing w:line="480" w:lineRule="auto"/>
              <w:jc w:val="both"/>
              <w:rPr>
                <w:rFonts w:ascii="Arial" w:hAnsi="Arial" w:cs="Arial"/>
                <w:sz w:val="20"/>
                <w:szCs w:val="20"/>
                <w:lang w:val="en-US"/>
              </w:rPr>
            </w:pPr>
            <w:r>
              <w:rPr>
                <w:rFonts w:ascii="Arial" w:hAnsi="Arial" w:cs="Arial"/>
                <w:sz w:val="20"/>
                <w:szCs w:val="20"/>
                <w:lang w:val="en-US"/>
              </w:rPr>
              <w:lastRenderedPageBreak/>
              <w:t>Satisfaction</w:t>
            </w:r>
          </w:p>
        </w:tc>
        <w:tc>
          <w:tcPr>
            <w:tcW w:w="1098" w:type="dxa"/>
          </w:tcPr>
          <w:p w14:paraId="52820DB0" w14:textId="77777777" w:rsidR="0079620E" w:rsidRPr="00793937" w:rsidRDefault="0079620E" w:rsidP="0037195D">
            <w:pPr>
              <w:spacing w:line="480" w:lineRule="auto"/>
              <w:jc w:val="both"/>
              <w:rPr>
                <w:rFonts w:ascii="Arial" w:hAnsi="Arial" w:cs="Arial"/>
                <w:b/>
                <w:bCs/>
                <w:sz w:val="20"/>
                <w:szCs w:val="20"/>
                <w:lang w:val="en-US"/>
              </w:rPr>
            </w:pPr>
          </w:p>
        </w:tc>
        <w:tc>
          <w:tcPr>
            <w:tcW w:w="1318" w:type="dxa"/>
          </w:tcPr>
          <w:p w14:paraId="6253FC97" w14:textId="77777777" w:rsidR="0079620E" w:rsidRPr="00793937" w:rsidRDefault="0079620E" w:rsidP="0037195D">
            <w:pPr>
              <w:spacing w:line="480" w:lineRule="auto"/>
              <w:jc w:val="both"/>
              <w:rPr>
                <w:rFonts w:ascii="Arial" w:hAnsi="Arial" w:cs="Arial"/>
                <w:b/>
                <w:bCs/>
                <w:sz w:val="20"/>
                <w:szCs w:val="20"/>
                <w:lang w:val="en-US"/>
              </w:rPr>
            </w:pPr>
          </w:p>
        </w:tc>
        <w:tc>
          <w:tcPr>
            <w:tcW w:w="645" w:type="dxa"/>
          </w:tcPr>
          <w:p w14:paraId="4B0E1D06" w14:textId="77777777" w:rsidR="0079620E" w:rsidRPr="00793937" w:rsidRDefault="0079620E" w:rsidP="0037195D">
            <w:pPr>
              <w:spacing w:line="480" w:lineRule="auto"/>
              <w:jc w:val="both"/>
              <w:rPr>
                <w:rFonts w:ascii="Arial" w:hAnsi="Arial" w:cs="Arial"/>
                <w:b/>
                <w:bCs/>
                <w:sz w:val="20"/>
                <w:szCs w:val="20"/>
                <w:lang w:val="en-US"/>
              </w:rPr>
            </w:pPr>
          </w:p>
        </w:tc>
        <w:tc>
          <w:tcPr>
            <w:tcW w:w="656" w:type="dxa"/>
          </w:tcPr>
          <w:p w14:paraId="777C45CB" w14:textId="77777777" w:rsidR="0079620E" w:rsidRDefault="0079620E" w:rsidP="0037195D">
            <w:pPr>
              <w:spacing w:line="480" w:lineRule="auto"/>
              <w:jc w:val="center"/>
              <w:rPr>
                <w:rFonts w:ascii="Arial" w:hAnsi="Arial" w:cs="Arial"/>
                <w:sz w:val="20"/>
                <w:szCs w:val="20"/>
                <w:lang w:val="en-US"/>
              </w:rPr>
            </w:pPr>
          </w:p>
        </w:tc>
        <w:tc>
          <w:tcPr>
            <w:tcW w:w="644" w:type="dxa"/>
          </w:tcPr>
          <w:p w14:paraId="758E7C0C" w14:textId="77777777" w:rsidR="0079620E" w:rsidRDefault="0079620E" w:rsidP="0037195D">
            <w:pPr>
              <w:spacing w:line="480" w:lineRule="auto"/>
              <w:jc w:val="center"/>
              <w:rPr>
                <w:rFonts w:ascii="Arial" w:hAnsi="Arial" w:cs="Arial"/>
                <w:sz w:val="20"/>
                <w:szCs w:val="20"/>
                <w:lang w:val="en-US"/>
              </w:rPr>
            </w:pPr>
          </w:p>
        </w:tc>
        <w:tc>
          <w:tcPr>
            <w:tcW w:w="666" w:type="dxa"/>
          </w:tcPr>
          <w:p w14:paraId="7639C993" w14:textId="77777777" w:rsidR="0079620E" w:rsidRDefault="0079620E" w:rsidP="0037195D">
            <w:pPr>
              <w:spacing w:line="480" w:lineRule="auto"/>
              <w:jc w:val="center"/>
              <w:rPr>
                <w:rFonts w:ascii="Arial" w:hAnsi="Arial" w:cs="Arial"/>
                <w:sz w:val="20"/>
                <w:szCs w:val="20"/>
                <w:lang w:val="en-US"/>
              </w:rPr>
            </w:pPr>
          </w:p>
        </w:tc>
        <w:tc>
          <w:tcPr>
            <w:tcW w:w="1640" w:type="dxa"/>
          </w:tcPr>
          <w:p w14:paraId="21F6F7ED" w14:textId="7577AD48" w:rsidR="0079620E" w:rsidRDefault="0079620E" w:rsidP="0037195D">
            <w:pPr>
              <w:keepNext/>
              <w:spacing w:line="480" w:lineRule="auto"/>
              <w:jc w:val="center"/>
              <w:rPr>
                <w:rFonts w:ascii="Arial" w:hAnsi="Arial" w:cs="Arial"/>
                <w:sz w:val="20"/>
                <w:szCs w:val="20"/>
                <w:lang w:val="en-US"/>
              </w:rPr>
            </w:pPr>
            <w:r>
              <w:rPr>
                <w:rFonts w:ascii="Arial" w:hAnsi="Arial" w:cs="Arial"/>
                <w:sz w:val="20"/>
                <w:szCs w:val="20"/>
                <w:lang w:val="en-US"/>
              </w:rPr>
              <w:t>X</w:t>
            </w:r>
          </w:p>
        </w:tc>
      </w:tr>
    </w:tbl>
    <w:p w14:paraId="6FFB096A" w14:textId="5FC4C4CC" w:rsidR="00977D9E" w:rsidRDefault="003003D7" w:rsidP="0037195D">
      <w:pPr>
        <w:pStyle w:val="Lgende"/>
        <w:spacing w:line="480" w:lineRule="auto"/>
        <w:jc w:val="both"/>
        <w:rPr>
          <w:lang w:val="en-US"/>
        </w:rPr>
      </w:pPr>
      <w:r w:rsidRPr="007D2E66">
        <w:rPr>
          <w:lang w:val="en-US"/>
        </w:rPr>
        <w:t xml:space="preserve">Figure </w:t>
      </w:r>
      <w:r w:rsidR="008237E4">
        <w:rPr>
          <w:lang w:val="en-US"/>
        </w:rPr>
        <w:t>3</w:t>
      </w:r>
      <w:r w:rsidRPr="007D2E66">
        <w:rPr>
          <w:lang w:val="en-US"/>
        </w:rPr>
        <w:t xml:space="preserve">: </w:t>
      </w:r>
      <w:r w:rsidRPr="000A4DBE">
        <w:rPr>
          <w:lang w:val="en-US"/>
        </w:rPr>
        <w:t xml:space="preserve">Schedule of enrolment, </w:t>
      </w:r>
      <w:r w:rsidR="000A4DBE" w:rsidRPr="000A4DBE">
        <w:rPr>
          <w:lang w:val="en-US"/>
        </w:rPr>
        <w:t>interventions, and assessments throughout the trial.</w:t>
      </w:r>
      <w:r w:rsidR="00977D9E">
        <w:rPr>
          <w:lang w:val="en-US"/>
        </w:rPr>
        <w:t xml:space="preserve"> </w:t>
      </w:r>
      <w:r w:rsidR="008237E4">
        <w:rPr>
          <w:lang w:val="en-US"/>
        </w:rPr>
        <w:t>*</w:t>
      </w:r>
      <w:r w:rsidR="00977D9E">
        <w:rPr>
          <w:lang w:val="en-US"/>
        </w:rPr>
        <w:t>Abbreviations: LPM: Lumbo</w:t>
      </w:r>
      <w:r w:rsidR="00497B68">
        <w:rPr>
          <w:lang w:val="en-US"/>
        </w:rPr>
        <w:t>-</w:t>
      </w:r>
      <w:r w:rsidR="00977D9E">
        <w:rPr>
          <w:lang w:val="en-US"/>
        </w:rPr>
        <w:t xml:space="preserve">pelvic manipulation; </w:t>
      </w:r>
      <w:r w:rsidR="008237E4">
        <w:rPr>
          <w:lang w:val="en-US"/>
        </w:rPr>
        <w:t>VA</w:t>
      </w:r>
      <w:r w:rsidR="00977D9E">
        <w:rPr>
          <w:lang w:val="en-US"/>
        </w:rPr>
        <w:t xml:space="preserve">S: </w:t>
      </w:r>
      <w:r w:rsidR="003126EE">
        <w:rPr>
          <w:lang w:val="en-US"/>
        </w:rPr>
        <w:t>Visual Analog</w:t>
      </w:r>
      <w:r w:rsidR="00977D9E">
        <w:rPr>
          <w:lang w:val="en-US"/>
        </w:rPr>
        <w:t xml:space="preserve"> Scale; LEFS: Low Extremity Functional Scale.)</w:t>
      </w:r>
    </w:p>
    <w:p w14:paraId="475ACF71" w14:textId="6E21A90D" w:rsidR="0065043E" w:rsidRDefault="0065043E" w:rsidP="0037195D">
      <w:pPr>
        <w:spacing w:line="480" w:lineRule="auto"/>
        <w:jc w:val="both"/>
        <w:rPr>
          <w:rFonts w:ascii="Arial" w:hAnsi="Arial" w:cs="Arial"/>
          <w:b/>
          <w:bCs/>
          <w:lang w:val="en-US"/>
        </w:rPr>
      </w:pPr>
      <w:r>
        <w:rPr>
          <w:rFonts w:ascii="Arial" w:hAnsi="Arial" w:cs="Arial"/>
          <w:b/>
          <w:bCs/>
          <w:lang w:val="en-US"/>
        </w:rPr>
        <w:t>Feasibility</w:t>
      </w:r>
    </w:p>
    <w:p w14:paraId="528142AA" w14:textId="7EA51FF5" w:rsidR="00411297" w:rsidRPr="00107D60" w:rsidRDefault="00FF050B" w:rsidP="0037195D">
      <w:pPr>
        <w:spacing w:line="480" w:lineRule="auto"/>
        <w:jc w:val="both"/>
        <w:rPr>
          <w:lang w:val="en-US"/>
        </w:rPr>
      </w:pPr>
      <w:r w:rsidRPr="00FF050B">
        <w:rPr>
          <w:rFonts w:ascii="Arial" w:hAnsi="Arial" w:cs="Arial"/>
          <w:lang w:val="en-US"/>
        </w:rPr>
        <w:t xml:space="preserve">Feasibility will be considered achieved when </w:t>
      </w:r>
      <w:r>
        <w:rPr>
          <w:rFonts w:ascii="Arial" w:hAnsi="Arial" w:cs="Arial"/>
          <w:lang w:val="en-US"/>
        </w:rPr>
        <w:t xml:space="preserve">all predefined feasibility indicators reach their respective </w:t>
      </w:r>
      <w:r w:rsidRPr="00FF050B">
        <w:rPr>
          <w:rFonts w:ascii="Arial" w:hAnsi="Arial" w:cs="Arial"/>
          <w:lang w:val="en-US"/>
        </w:rPr>
        <w:t xml:space="preserve">thresholds. Recruitment will be deemed feasible with a minimum of four participants enrolled per month and a recruitment rate of at least 70%. Retention will be considered acceptable with rates of ≥85% at T4 and ≥80% at T5. Adherence will be acceptable when participants complete at least 60% of the scheduled home exercise sessions. Intervention fidelity will be deemed acceptable if at least 85% of items on the fidelity checklist are rated as “Yes.” Blinding will be considered credible when the </w:t>
      </w:r>
      <w:r>
        <w:rPr>
          <w:rFonts w:ascii="Arial" w:hAnsi="Arial" w:cs="Arial"/>
          <w:lang w:val="en-US"/>
        </w:rPr>
        <w:t>B</w:t>
      </w:r>
      <w:r w:rsidRPr="00FF050B">
        <w:rPr>
          <w:rFonts w:ascii="Arial" w:hAnsi="Arial" w:cs="Arial"/>
          <w:lang w:val="en-US"/>
        </w:rPr>
        <w:t xml:space="preserve">BI lies within the –0.20 to +0.20 interval. The intervention will be regarded as safe if no serious adverse events occur and moderate </w:t>
      </w:r>
      <w:r w:rsidR="00C15E09" w:rsidRPr="00FF050B">
        <w:rPr>
          <w:rFonts w:ascii="Arial" w:hAnsi="Arial" w:cs="Arial"/>
          <w:lang w:val="en-US"/>
        </w:rPr>
        <w:t>to</w:t>
      </w:r>
      <w:r w:rsidR="00C15E09">
        <w:rPr>
          <w:rFonts w:ascii="Arial" w:hAnsi="Arial" w:cs="Arial"/>
          <w:lang w:val="en-US"/>
        </w:rPr>
        <w:t xml:space="preserve"> mild</w:t>
      </w:r>
      <w:r w:rsidR="00C15E09" w:rsidRPr="00FF050B">
        <w:rPr>
          <w:rFonts w:ascii="Arial" w:hAnsi="Arial" w:cs="Arial"/>
          <w:lang w:val="en-US"/>
        </w:rPr>
        <w:t xml:space="preserve"> </w:t>
      </w:r>
      <w:r w:rsidRPr="00FF050B">
        <w:rPr>
          <w:rFonts w:ascii="Arial" w:hAnsi="Arial" w:cs="Arial"/>
          <w:lang w:val="en-US"/>
        </w:rPr>
        <w:t>events remain below 10% throughout the study. Data completeness will be acceptable when at least 90% of all expected data are reported.</w:t>
      </w:r>
      <w:r w:rsidR="00D67AE6">
        <w:rPr>
          <w:rFonts w:ascii="Arial" w:hAnsi="Arial" w:cs="Arial"/>
          <w:lang w:val="en-US"/>
        </w:rPr>
        <w:t xml:space="preserve"> </w:t>
      </w:r>
      <w:r w:rsidR="00411297" w:rsidRPr="00A862A6">
        <w:rPr>
          <w:rFonts w:ascii="Arial" w:hAnsi="Arial" w:cs="Arial"/>
          <w:lang w:val="en-US"/>
        </w:rPr>
        <w:t>The follow-up duration will be adjusted if more than 50% of participants use additional care between the end of the treatment period and the follow-up assessment.</w:t>
      </w:r>
    </w:p>
    <w:p w14:paraId="3264D0CD" w14:textId="77777777" w:rsidR="00936A15" w:rsidRDefault="00936A15" w:rsidP="0037195D">
      <w:pPr>
        <w:spacing w:line="480" w:lineRule="auto"/>
        <w:jc w:val="both"/>
        <w:rPr>
          <w:rFonts w:ascii="Arial" w:hAnsi="Arial" w:cs="Arial"/>
          <w:b/>
          <w:bCs/>
          <w:lang w:val="en-US"/>
        </w:rPr>
      </w:pPr>
    </w:p>
    <w:p w14:paraId="0FAA7339" w14:textId="6C1D12BD" w:rsidR="00E5094E" w:rsidRDefault="00BD1031" w:rsidP="0037195D">
      <w:pPr>
        <w:spacing w:line="480" w:lineRule="auto"/>
        <w:jc w:val="both"/>
        <w:rPr>
          <w:rFonts w:ascii="Arial" w:hAnsi="Arial" w:cs="Arial"/>
          <w:b/>
          <w:bCs/>
          <w:lang w:val="en-US"/>
        </w:rPr>
      </w:pPr>
      <w:r>
        <w:rPr>
          <w:rFonts w:ascii="Arial" w:hAnsi="Arial" w:cs="Arial"/>
          <w:b/>
          <w:bCs/>
          <w:lang w:val="en-US"/>
        </w:rPr>
        <w:t>Trial monitoring and d</w:t>
      </w:r>
      <w:r w:rsidR="00E5094E" w:rsidRPr="0079620E">
        <w:rPr>
          <w:rFonts w:ascii="Arial" w:hAnsi="Arial" w:cs="Arial"/>
          <w:b/>
          <w:bCs/>
          <w:lang w:val="en-US"/>
        </w:rPr>
        <w:t>ata</w:t>
      </w:r>
      <w:r>
        <w:rPr>
          <w:rFonts w:ascii="Arial" w:hAnsi="Arial" w:cs="Arial"/>
          <w:b/>
          <w:bCs/>
          <w:lang w:val="en-US"/>
        </w:rPr>
        <w:t xml:space="preserve"> </w:t>
      </w:r>
      <w:r w:rsidR="00E5094E" w:rsidRPr="0079620E">
        <w:rPr>
          <w:rFonts w:ascii="Arial" w:hAnsi="Arial" w:cs="Arial"/>
          <w:b/>
          <w:bCs/>
          <w:lang w:val="en-US"/>
        </w:rPr>
        <w:t>management</w:t>
      </w:r>
    </w:p>
    <w:p w14:paraId="26791ABA" w14:textId="03D09C8B" w:rsidR="00E5094E" w:rsidRPr="001B02E8" w:rsidRDefault="00BD1031" w:rsidP="0037195D">
      <w:pPr>
        <w:spacing w:line="480" w:lineRule="auto"/>
        <w:jc w:val="both"/>
        <w:rPr>
          <w:rFonts w:ascii="Arial" w:hAnsi="Arial" w:cs="Arial"/>
          <w:lang w:val="en-US"/>
        </w:rPr>
      </w:pPr>
      <w:r w:rsidRPr="00BD1031">
        <w:rPr>
          <w:rFonts w:ascii="Arial" w:hAnsi="Arial" w:cs="Arial"/>
          <w:lang w:val="en-US"/>
        </w:rPr>
        <w:t xml:space="preserve">Trial conduct and data management will be monitored weekly by the principal investigator to ensure adherence to the study protocol, intervention fidelity, and the completeness and accuracy of data collection and entry. </w:t>
      </w:r>
      <w:r w:rsidR="00E5094E" w:rsidRPr="0079620E">
        <w:rPr>
          <w:rFonts w:ascii="Arial" w:hAnsi="Arial" w:cs="Arial"/>
          <w:lang w:val="en-US"/>
        </w:rPr>
        <w:t>All personal information and study data will be stored securely on a password-protected computer and will not be accessible to third parties. Access will be restricted to authorized members of the study team.</w:t>
      </w:r>
      <w:r w:rsidR="001B02E8">
        <w:rPr>
          <w:rFonts w:ascii="Arial" w:hAnsi="Arial" w:cs="Arial"/>
          <w:lang w:val="en-US"/>
        </w:rPr>
        <w:t xml:space="preserve"> </w:t>
      </w:r>
      <w:r w:rsidR="001B02E8" w:rsidRPr="001B02E8">
        <w:rPr>
          <w:rFonts w:ascii="Arial" w:hAnsi="Arial" w:cs="Arial"/>
          <w:lang w:val="en-US"/>
        </w:rPr>
        <w:t>Upon publication of the study results, de-identified data, the data dictionary</w:t>
      </w:r>
      <w:r w:rsidR="00A83D69">
        <w:rPr>
          <w:rFonts w:ascii="Arial" w:hAnsi="Arial" w:cs="Arial"/>
          <w:lang w:val="en-US"/>
        </w:rPr>
        <w:t>,</w:t>
      </w:r>
      <w:r w:rsidR="001B02E8" w:rsidRPr="001B02E8">
        <w:rPr>
          <w:rFonts w:ascii="Arial" w:hAnsi="Arial" w:cs="Arial"/>
          <w:lang w:val="en-US"/>
        </w:rPr>
        <w:t xml:space="preserve"> and statistical code will be made available on the Open Science Framework (OSF)</w:t>
      </w:r>
      <w:r w:rsidR="00A83D69">
        <w:rPr>
          <w:rFonts w:ascii="Arial" w:hAnsi="Arial" w:cs="Arial"/>
          <w:lang w:val="en-US"/>
        </w:rPr>
        <w:t xml:space="preserve">, </w:t>
      </w:r>
      <w:r w:rsidR="00A83D69" w:rsidRPr="00A83D69">
        <w:rPr>
          <w:rFonts w:ascii="Arial" w:hAnsi="Arial" w:cs="Arial"/>
          <w:lang w:val="en-US"/>
        </w:rPr>
        <w:t xml:space="preserve">subject </w:t>
      </w:r>
      <w:r w:rsidR="00A83D69" w:rsidRPr="00A83D69">
        <w:rPr>
          <w:rFonts w:ascii="Arial" w:hAnsi="Arial" w:cs="Arial"/>
          <w:lang w:val="en-US"/>
        </w:rPr>
        <w:lastRenderedPageBreak/>
        <w:t>to participants’ informed consent obtained at inclusion.</w:t>
      </w:r>
      <w:r w:rsidR="00A83D69">
        <w:rPr>
          <w:rFonts w:ascii="Arial" w:hAnsi="Arial" w:cs="Arial"/>
          <w:lang w:val="en-US"/>
        </w:rPr>
        <w:t xml:space="preserve"> </w:t>
      </w:r>
      <w:r w:rsidR="00C51B19">
        <w:rPr>
          <w:rFonts w:ascii="Arial" w:hAnsi="Arial" w:cs="Arial"/>
          <w:lang w:val="en-US"/>
        </w:rPr>
        <w:t>In parallel</w:t>
      </w:r>
      <w:r w:rsidR="00E5094E" w:rsidRPr="0079620E">
        <w:rPr>
          <w:rFonts w:ascii="Arial" w:hAnsi="Arial" w:cs="Arial"/>
          <w:lang w:val="en-US"/>
        </w:rPr>
        <w:t xml:space="preserve">, </w:t>
      </w:r>
      <w:r w:rsidR="00C51B19">
        <w:rPr>
          <w:rFonts w:ascii="Arial" w:hAnsi="Arial" w:cs="Arial"/>
          <w:lang w:val="en-US"/>
        </w:rPr>
        <w:t xml:space="preserve">study </w:t>
      </w:r>
      <w:r w:rsidR="00E5094E" w:rsidRPr="0079620E">
        <w:rPr>
          <w:rFonts w:ascii="Arial" w:hAnsi="Arial" w:cs="Arial"/>
          <w:lang w:val="en-US"/>
        </w:rPr>
        <w:t xml:space="preserve">data will be securely archived for </w:t>
      </w:r>
      <w:r w:rsidR="00C51B19">
        <w:rPr>
          <w:rFonts w:ascii="Arial" w:hAnsi="Arial" w:cs="Arial"/>
          <w:lang w:val="en-US"/>
        </w:rPr>
        <w:t>ten</w:t>
      </w:r>
      <w:r w:rsidR="00E5094E" w:rsidRPr="0079620E">
        <w:rPr>
          <w:rFonts w:ascii="Arial" w:hAnsi="Arial" w:cs="Arial"/>
          <w:lang w:val="en-US"/>
        </w:rPr>
        <w:t xml:space="preserve"> years at </w:t>
      </w:r>
      <w:proofErr w:type="spellStart"/>
      <w:r w:rsidR="00695667">
        <w:rPr>
          <w:rFonts w:ascii="Arial" w:hAnsi="Arial" w:cs="Arial"/>
          <w:lang w:val="en-US"/>
        </w:rPr>
        <w:t>Université</w:t>
      </w:r>
      <w:proofErr w:type="spellEnd"/>
      <w:r w:rsidR="00695667">
        <w:rPr>
          <w:rFonts w:ascii="Arial" w:hAnsi="Arial" w:cs="Arial"/>
          <w:lang w:val="en-US"/>
        </w:rPr>
        <w:t xml:space="preserve"> Libre de </w:t>
      </w:r>
      <w:proofErr w:type="spellStart"/>
      <w:r w:rsidR="00695667">
        <w:rPr>
          <w:rFonts w:ascii="Arial" w:hAnsi="Arial" w:cs="Arial"/>
          <w:lang w:val="en-US"/>
        </w:rPr>
        <w:t>Bruxelles</w:t>
      </w:r>
      <w:proofErr w:type="spellEnd"/>
      <w:r w:rsidR="00695667" w:rsidRPr="0079620E">
        <w:rPr>
          <w:rFonts w:ascii="Arial" w:hAnsi="Arial" w:cs="Arial"/>
          <w:lang w:val="en-US"/>
        </w:rPr>
        <w:t xml:space="preserve"> (</w:t>
      </w:r>
      <w:r w:rsidR="00695667">
        <w:rPr>
          <w:rFonts w:ascii="Arial" w:hAnsi="Arial" w:cs="Arial"/>
          <w:lang w:val="en-US"/>
        </w:rPr>
        <w:t>Brussels, Belgium</w:t>
      </w:r>
      <w:r w:rsidR="00695667" w:rsidRPr="0079620E">
        <w:rPr>
          <w:rFonts w:ascii="Arial" w:hAnsi="Arial" w:cs="Arial"/>
          <w:lang w:val="en-US"/>
        </w:rPr>
        <w:t>)</w:t>
      </w:r>
      <w:r w:rsidR="00E5094E" w:rsidRPr="0079620E">
        <w:rPr>
          <w:rFonts w:ascii="Arial" w:hAnsi="Arial" w:cs="Arial"/>
          <w:lang w:val="en-US"/>
        </w:rPr>
        <w:t xml:space="preserve"> and subsequently destroyed in accordance with institutional policies.</w:t>
      </w:r>
    </w:p>
    <w:p w14:paraId="54FF52FD" w14:textId="77777777" w:rsidR="00E5094E" w:rsidRPr="0065043E" w:rsidRDefault="00E5094E" w:rsidP="0037195D">
      <w:pPr>
        <w:spacing w:line="480" w:lineRule="auto"/>
        <w:jc w:val="both"/>
        <w:rPr>
          <w:rFonts w:ascii="Arial" w:hAnsi="Arial" w:cs="Arial"/>
          <w:lang w:val="en-US"/>
        </w:rPr>
      </w:pPr>
    </w:p>
    <w:p w14:paraId="65A80E6F" w14:textId="3EAC17E0" w:rsidR="00695BFC" w:rsidRDefault="004127E6" w:rsidP="0037195D">
      <w:pPr>
        <w:spacing w:line="480" w:lineRule="auto"/>
        <w:jc w:val="both"/>
        <w:rPr>
          <w:rFonts w:ascii="Arial" w:hAnsi="Arial" w:cs="Arial"/>
          <w:b/>
          <w:bCs/>
          <w:lang w:val="en-US"/>
        </w:rPr>
      </w:pPr>
      <w:r>
        <w:rPr>
          <w:rFonts w:ascii="Arial" w:hAnsi="Arial" w:cs="Arial"/>
          <w:b/>
          <w:bCs/>
          <w:lang w:val="en-US"/>
        </w:rPr>
        <w:t>Data collection and s</w:t>
      </w:r>
      <w:r w:rsidR="00695BFC">
        <w:rPr>
          <w:rFonts w:ascii="Arial" w:hAnsi="Arial" w:cs="Arial"/>
          <w:b/>
          <w:bCs/>
          <w:lang w:val="en-US"/>
        </w:rPr>
        <w:t>tatistical analysis</w:t>
      </w:r>
    </w:p>
    <w:p w14:paraId="475BAD22" w14:textId="46505D17" w:rsidR="007D2E66" w:rsidRDefault="000B233B" w:rsidP="0037195D">
      <w:pPr>
        <w:spacing w:line="480" w:lineRule="auto"/>
        <w:jc w:val="both"/>
        <w:rPr>
          <w:rFonts w:ascii="Arial" w:hAnsi="Arial" w:cs="Arial"/>
          <w:lang w:val="en-US"/>
        </w:rPr>
      </w:pPr>
      <w:r w:rsidRPr="000B233B">
        <w:rPr>
          <w:rFonts w:ascii="Arial" w:hAnsi="Arial" w:cs="Arial"/>
          <w:lang w:val="en-US"/>
        </w:rPr>
        <w:t>Participant data for each session will be collected electronically using customized assessment and follow-up forms</w:t>
      </w:r>
      <w:r w:rsidR="007B1A3A">
        <w:rPr>
          <w:rFonts w:ascii="Arial" w:hAnsi="Arial" w:cs="Arial"/>
          <w:lang w:val="en-US"/>
        </w:rPr>
        <w:t xml:space="preserve"> </w:t>
      </w:r>
      <w:r w:rsidR="00CA4FC7" w:rsidRPr="00CA4FC7">
        <w:rPr>
          <w:rFonts w:ascii="Arial" w:hAnsi="Arial" w:cs="Arial"/>
          <w:lang w:val="en-US"/>
        </w:rPr>
        <w:t>(</w:t>
      </w:r>
      <w:r w:rsidR="008B2B3C">
        <w:fldChar w:fldCharType="begin"/>
      </w:r>
      <w:r w:rsidR="008B2B3C" w:rsidRPr="00CA5737">
        <w:rPr>
          <w:lang w:val="en-US"/>
          <w:rPrChange w:id="2" w:author="SERRES Wilfried" w:date="2026-05-11T16:06:00Z">
            <w:rPr/>
          </w:rPrChange>
        </w:rPr>
        <w:instrText xml:space="preserve"> HYPERLINK "https://doi.org/10.17605/OSF.IO/TD3V6" </w:instrText>
      </w:r>
      <w:r w:rsidR="008B2B3C">
        <w:fldChar w:fldCharType="separate"/>
      </w:r>
      <w:r w:rsidR="00CA4FC7" w:rsidRPr="001076AC">
        <w:rPr>
          <w:rStyle w:val="Lienhypertexte"/>
          <w:rFonts w:ascii="Arial" w:hAnsi="Arial" w:cs="Arial"/>
          <w:lang w:val="en-US"/>
        </w:rPr>
        <w:t>https://doi.org/10.17605/OSF.IO/TD3V6</w:t>
      </w:r>
      <w:r w:rsidR="008B2B3C">
        <w:rPr>
          <w:rStyle w:val="Lienhypertexte"/>
          <w:rFonts w:ascii="Arial" w:hAnsi="Arial" w:cs="Arial"/>
          <w:lang w:val="en-US"/>
        </w:rPr>
        <w:fldChar w:fldCharType="end"/>
      </w:r>
      <w:r w:rsidR="00CA4FC7" w:rsidRPr="00CA4FC7">
        <w:rPr>
          <w:rFonts w:ascii="Arial" w:hAnsi="Arial" w:cs="Arial"/>
          <w:lang w:val="en-US"/>
        </w:rPr>
        <w:t>).</w:t>
      </w:r>
      <w:r w:rsidR="00CA4FC7">
        <w:rPr>
          <w:rFonts w:ascii="Arial" w:hAnsi="Arial" w:cs="Arial"/>
          <w:lang w:val="en-US"/>
        </w:rPr>
        <w:t xml:space="preserve"> </w:t>
      </w:r>
      <w:r w:rsidRPr="000B233B">
        <w:rPr>
          <w:rFonts w:ascii="Arial" w:hAnsi="Arial" w:cs="Arial"/>
          <w:lang w:val="en-US"/>
        </w:rPr>
        <w:t xml:space="preserve">The data will be coded </w:t>
      </w:r>
      <w:r>
        <w:rPr>
          <w:rFonts w:ascii="Arial" w:hAnsi="Arial" w:cs="Arial"/>
          <w:lang w:val="en-US"/>
        </w:rPr>
        <w:t>and</w:t>
      </w:r>
      <w:r w:rsidR="004127E6">
        <w:rPr>
          <w:rFonts w:ascii="Arial" w:hAnsi="Arial" w:cs="Arial"/>
          <w:lang w:val="en-US"/>
        </w:rPr>
        <w:t xml:space="preserve"> </w:t>
      </w:r>
      <w:r w:rsidR="004127E6" w:rsidRPr="004127E6">
        <w:rPr>
          <w:rFonts w:ascii="Arial" w:hAnsi="Arial" w:cs="Arial"/>
          <w:lang w:val="en-US"/>
        </w:rPr>
        <w:t xml:space="preserve">entered into an Excel </w:t>
      </w:r>
      <w:r w:rsidR="00BD1031">
        <w:rPr>
          <w:rFonts w:ascii="Arial" w:hAnsi="Arial" w:cs="Arial"/>
          <w:lang w:val="en-US"/>
        </w:rPr>
        <w:t>spread</w:t>
      </w:r>
      <w:r w:rsidR="004127E6" w:rsidRPr="004127E6">
        <w:rPr>
          <w:rFonts w:ascii="Arial" w:hAnsi="Arial" w:cs="Arial"/>
          <w:lang w:val="en-US"/>
        </w:rPr>
        <w:t>sheet (Microsoft, Redmond, WA, USA) and subsequently transferred to RStudio (Posit Software, Boston, MA, USA) for analysis.</w:t>
      </w:r>
      <w:r w:rsidR="002934B1">
        <w:rPr>
          <w:rFonts w:ascii="Arial" w:hAnsi="Arial" w:cs="Arial"/>
          <w:lang w:val="en-US"/>
        </w:rPr>
        <w:t xml:space="preserve"> </w:t>
      </w:r>
      <w:r w:rsidR="00AF269E">
        <w:rPr>
          <w:rFonts w:ascii="Arial" w:hAnsi="Arial" w:cs="Arial"/>
          <w:lang w:val="en-US"/>
        </w:rPr>
        <w:t>The main statistician (</w:t>
      </w:r>
      <w:r w:rsidR="00695667">
        <w:rPr>
          <w:rFonts w:ascii="Arial" w:hAnsi="Arial" w:cs="Arial"/>
          <w:lang w:val="en-US"/>
        </w:rPr>
        <w:t>WS</w:t>
      </w:r>
      <w:r w:rsidR="00AF269E">
        <w:rPr>
          <w:rFonts w:ascii="Arial" w:hAnsi="Arial" w:cs="Arial"/>
          <w:lang w:val="en-US"/>
        </w:rPr>
        <w:t xml:space="preserve">) will conduct the analyses while remaining blinded to participants' group allocation. </w:t>
      </w:r>
      <w:r w:rsidR="00EE1EBB">
        <w:rPr>
          <w:rFonts w:ascii="Arial" w:hAnsi="Arial" w:cs="Arial"/>
          <w:lang w:val="en-US"/>
        </w:rPr>
        <w:t>Participants characteristics will be reported using descriptive statistics</w:t>
      </w:r>
      <w:r w:rsidR="00C56A01" w:rsidRPr="00C56A01">
        <w:rPr>
          <w:rFonts w:ascii="Arial" w:hAnsi="Arial" w:cs="Arial"/>
          <w:lang w:val="en-US"/>
        </w:rPr>
        <w:t>. Feasibility outcomes (</w:t>
      </w:r>
      <w:r w:rsidR="00EE1EBB">
        <w:rPr>
          <w:rFonts w:ascii="Arial" w:hAnsi="Arial" w:cs="Arial"/>
          <w:lang w:val="en-US"/>
        </w:rPr>
        <w:t xml:space="preserve">e.g., </w:t>
      </w:r>
      <w:r w:rsidR="00C56A01" w:rsidRPr="00C56A01">
        <w:rPr>
          <w:rFonts w:ascii="Arial" w:hAnsi="Arial" w:cs="Arial"/>
          <w:lang w:val="en-US"/>
        </w:rPr>
        <w:t xml:space="preserve">recruitment, retention, adherence, data completeness, safety, fidelity, blinding credibility) will be summarized as </w:t>
      </w:r>
      <w:r w:rsidR="00C56A01" w:rsidRPr="00EE1EBB">
        <w:rPr>
          <w:rStyle w:val="lev"/>
          <w:rFonts w:ascii="Arial" w:hAnsi="Arial" w:cs="Arial"/>
          <w:b w:val="0"/>
          <w:bCs w:val="0"/>
          <w:lang w:val="en-US"/>
        </w:rPr>
        <w:t>percentages with 95% confidence interval</w:t>
      </w:r>
      <w:r w:rsidR="00C56A01" w:rsidRPr="00C56A01">
        <w:rPr>
          <w:rFonts w:ascii="Arial" w:hAnsi="Arial" w:cs="Arial"/>
          <w:lang w:val="en-US"/>
        </w:rPr>
        <w:t>.</w:t>
      </w:r>
      <w:r w:rsidR="002934B1">
        <w:rPr>
          <w:rFonts w:ascii="Arial" w:hAnsi="Arial" w:cs="Arial"/>
          <w:lang w:val="en-US"/>
        </w:rPr>
        <w:t xml:space="preserve"> </w:t>
      </w:r>
    </w:p>
    <w:p w14:paraId="756E6515" w14:textId="6D594666" w:rsidR="007F2B15" w:rsidRPr="002934B1" w:rsidRDefault="00C56A01" w:rsidP="0037195D">
      <w:pPr>
        <w:spacing w:line="480" w:lineRule="auto"/>
        <w:jc w:val="both"/>
        <w:rPr>
          <w:rFonts w:ascii="Arial" w:hAnsi="Arial" w:cs="Arial"/>
          <w:lang w:val="en-US"/>
        </w:rPr>
      </w:pPr>
      <w:r w:rsidRPr="00C56A01">
        <w:rPr>
          <w:rFonts w:ascii="Arial" w:hAnsi="Arial" w:cs="Arial"/>
          <w:lang w:val="en-US"/>
        </w:rPr>
        <w:t xml:space="preserve">Exploratory analyses of pain and function will use </w:t>
      </w:r>
      <w:r w:rsidRPr="00EE1EBB">
        <w:rPr>
          <w:rStyle w:val="lev"/>
          <w:rFonts w:ascii="Arial" w:hAnsi="Arial" w:cs="Arial"/>
          <w:b w:val="0"/>
          <w:bCs w:val="0"/>
          <w:lang w:val="en-US"/>
        </w:rPr>
        <w:t>linear mixed-effects models</w:t>
      </w:r>
      <w:r w:rsidRPr="00C56A01">
        <w:rPr>
          <w:rFonts w:ascii="Arial" w:hAnsi="Arial" w:cs="Arial"/>
          <w:lang w:val="en-US"/>
        </w:rPr>
        <w:t xml:space="preserve"> with fixed factors for </w:t>
      </w:r>
      <w:r w:rsidRPr="00EE1EBB">
        <w:rPr>
          <w:rStyle w:val="lev"/>
          <w:rFonts w:ascii="Arial" w:hAnsi="Arial" w:cs="Arial"/>
          <w:b w:val="0"/>
          <w:bCs w:val="0"/>
          <w:lang w:val="en-US"/>
        </w:rPr>
        <w:t>Group</w:t>
      </w:r>
      <w:r w:rsidRPr="00C56A01">
        <w:rPr>
          <w:rFonts w:ascii="Arial" w:hAnsi="Arial" w:cs="Arial"/>
          <w:lang w:val="en-US"/>
        </w:rPr>
        <w:t xml:space="preserve">, </w:t>
      </w:r>
      <w:r w:rsidRPr="00EE1EBB">
        <w:rPr>
          <w:rStyle w:val="lev"/>
          <w:rFonts w:ascii="Arial" w:hAnsi="Arial" w:cs="Arial"/>
          <w:b w:val="0"/>
          <w:bCs w:val="0"/>
          <w:lang w:val="en-US"/>
        </w:rPr>
        <w:t>Time (T1-T4)</w:t>
      </w:r>
      <w:r w:rsidRPr="00EE1EBB">
        <w:rPr>
          <w:rFonts w:ascii="Arial" w:hAnsi="Arial" w:cs="Arial"/>
          <w:lang w:val="en-US"/>
        </w:rPr>
        <w:t>, and</w:t>
      </w:r>
      <w:r w:rsidRPr="00EE1EBB">
        <w:rPr>
          <w:rFonts w:ascii="Arial" w:hAnsi="Arial" w:cs="Arial"/>
          <w:b/>
          <w:bCs/>
          <w:lang w:val="en-US"/>
        </w:rPr>
        <w:t xml:space="preserve"> </w:t>
      </w:r>
      <w:proofErr w:type="spellStart"/>
      <w:r w:rsidRPr="00EE1EBB">
        <w:rPr>
          <w:rStyle w:val="lev"/>
          <w:rFonts w:ascii="Arial" w:hAnsi="Arial" w:cs="Arial"/>
          <w:b w:val="0"/>
          <w:bCs w:val="0"/>
          <w:lang w:val="en-US"/>
        </w:rPr>
        <w:t>Group×Time</w:t>
      </w:r>
      <w:proofErr w:type="spellEnd"/>
      <w:r w:rsidRPr="00EE1EBB">
        <w:rPr>
          <w:rStyle w:val="lev"/>
          <w:rFonts w:ascii="Arial" w:hAnsi="Arial" w:cs="Arial"/>
          <w:b w:val="0"/>
          <w:bCs w:val="0"/>
          <w:lang w:val="en-US"/>
        </w:rPr>
        <w:t xml:space="preserve"> interaction</w:t>
      </w:r>
      <w:r w:rsidRPr="00EE1EBB">
        <w:rPr>
          <w:rFonts w:ascii="Arial" w:hAnsi="Arial" w:cs="Arial"/>
          <w:b/>
          <w:bCs/>
          <w:lang w:val="en-US"/>
        </w:rPr>
        <w:t xml:space="preserve">, </w:t>
      </w:r>
      <w:r w:rsidRPr="00EE1EBB">
        <w:rPr>
          <w:rFonts w:ascii="Arial" w:hAnsi="Arial" w:cs="Arial"/>
          <w:lang w:val="en-US"/>
        </w:rPr>
        <w:t>including</w:t>
      </w:r>
      <w:r w:rsidRPr="00EE1EBB">
        <w:rPr>
          <w:rFonts w:ascii="Arial" w:hAnsi="Arial" w:cs="Arial"/>
          <w:b/>
          <w:bCs/>
          <w:lang w:val="en-US"/>
        </w:rPr>
        <w:t xml:space="preserve"> </w:t>
      </w:r>
      <w:r w:rsidRPr="00EE1EBB">
        <w:rPr>
          <w:rStyle w:val="lev"/>
          <w:rFonts w:ascii="Arial" w:hAnsi="Arial" w:cs="Arial"/>
          <w:b w:val="0"/>
          <w:bCs w:val="0"/>
          <w:lang w:val="en-US"/>
        </w:rPr>
        <w:t>Site as a stratification factor</w:t>
      </w:r>
      <w:r w:rsidRPr="00EE1EBB">
        <w:rPr>
          <w:rFonts w:ascii="Arial" w:hAnsi="Arial" w:cs="Arial"/>
          <w:b/>
          <w:bCs/>
          <w:lang w:val="en-US"/>
        </w:rPr>
        <w:t>,</w:t>
      </w:r>
      <w:r w:rsidRPr="00EE1EBB">
        <w:rPr>
          <w:rFonts w:ascii="Arial" w:hAnsi="Arial" w:cs="Arial"/>
          <w:lang w:val="en-US"/>
        </w:rPr>
        <w:t xml:space="preserve"> and</w:t>
      </w:r>
      <w:r w:rsidRPr="00EE1EBB">
        <w:rPr>
          <w:rFonts w:ascii="Arial" w:hAnsi="Arial" w:cs="Arial"/>
          <w:b/>
          <w:bCs/>
          <w:lang w:val="en-US"/>
        </w:rPr>
        <w:t xml:space="preserve"> </w:t>
      </w:r>
      <w:r w:rsidRPr="00EE1EBB">
        <w:rPr>
          <w:rStyle w:val="lev"/>
          <w:rFonts w:ascii="Arial" w:hAnsi="Arial" w:cs="Arial"/>
          <w:b w:val="0"/>
          <w:bCs w:val="0"/>
          <w:lang w:val="en-US"/>
        </w:rPr>
        <w:t>Expectation</w:t>
      </w:r>
      <w:r w:rsidRPr="00C56A01">
        <w:rPr>
          <w:rFonts w:ascii="Arial" w:hAnsi="Arial" w:cs="Arial"/>
          <w:lang w:val="en-US"/>
        </w:rPr>
        <w:t xml:space="preserve"> as a covariate.</w:t>
      </w:r>
      <w:r w:rsidR="0052428F">
        <w:rPr>
          <w:rFonts w:ascii="Arial" w:hAnsi="Arial" w:cs="Arial"/>
          <w:lang w:val="en-US"/>
        </w:rPr>
        <w:t xml:space="preserve"> </w:t>
      </w:r>
      <w:r w:rsidR="0052428F" w:rsidRPr="0079620E">
        <w:rPr>
          <w:rFonts w:ascii="Arial" w:hAnsi="Arial" w:cs="Arial"/>
          <w:lang w:val="en-US"/>
        </w:rPr>
        <w:t xml:space="preserve">Site is included as a fixed factor to account for the stratified </w:t>
      </w:r>
      <w:r w:rsidR="00C25D61" w:rsidRPr="0079620E">
        <w:rPr>
          <w:rFonts w:ascii="Arial" w:hAnsi="Arial" w:cs="Arial"/>
          <w:lang w:val="en-US"/>
        </w:rPr>
        <w:t>randomization</w:t>
      </w:r>
      <w:r w:rsidR="0052428F" w:rsidRPr="0079620E">
        <w:rPr>
          <w:rFonts w:ascii="Arial" w:hAnsi="Arial" w:cs="Arial"/>
          <w:lang w:val="en-US"/>
        </w:rPr>
        <w:t xml:space="preserve"> and to control for potential </w:t>
      </w:r>
      <w:r w:rsidR="00C25D61" w:rsidRPr="0079620E">
        <w:rPr>
          <w:rFonts w:ascii="Arial" w:hAnsi="Arial" w:cs="Arial"/>
          <w:lang w:val="en-US"/>
        </w:rPr>
        <w:t>center</w:t>
      </w:r>
      <w:r w:rsidR="0052428F" w:rsidRPr="0079620E">
        <w:rPr>
          <w:rFonts w:ascii="Arial" w:hAnsi="Arial" w:cs="Arial"/>
          <w:lang w:val="en-US"/>
        </w:rPr>
        <w:t xml:space="preserve"> effects. Baseline Expectation is included as a prognostic covariate, given its </w:t>
      </w:r>
      <w:r w:rsidR="0052428F">
        <w:rPr>
          <w:rFonts w:ascii="Arial" w:hAnsi="Arial" w:cs="Arial"/>
          <w:lang w:val="en-US"/>
        </w:rPr>
        <w:t>potential</w:t>
      </w:r>
      <w:r w:rsidR="0052428F" w:rsidRPr="0079620E">
        <w:rPr>
          <w:rFonts w:ascii="Arial" w:hAnsi="Arial" w:cs="Arial"/>
          <w:lang w:val="en-US"/>
        </w:rPr>
        <w:t xml:space="preserve"> influence on outcomes and on responses to manual therapy and sham interventions</w:t>
      </w:r>
      <w:r w:rsidR="00585CBE">
        <w:rPr>
          <w:rFonts w:ascii="Arial" w:hAnsi="Arial" w:cs="Arial"/>
          <w:lang w:val="en-US"/>
        </w:rPr>
        <w:t xml:space="preserve"> </w:t>
      </w:r>
      <w:r w:rsidR="00585CBE">
        <w:rPr>
          <w:rFonts w:ascii="Arial" w:hAnsi="Arial" w:cs="Arial"/>
          <w:lang w:val="en-US"/>
        </w:rPr>
        <w:fldChar w:fldCharType="begin"/>
      </w:r>
      <w:r w:rsidR="009E1EF6">
        <w:rPr>
          <w:rFonts w:ascii="Arial" w:hAnsi="Arial" w:cs="Arial"/>
          <w:lang w:val="en-US"/>
        </w:rPr>
        <w:instrText xml:space="preserve"> ADDIN ZOTERO_ITEM CSL_CITATION {"citationID":"QojlJ5zJ","properties":{"formattedCitation":"(45)","plainCitation":"(45)","noteIndex":0},"citationItems":[{"id":20341,"uris":["http://zotero.org/users/5535897/items/MP4QLVAX"],"itemData":{"id":20341,"type":"article-journal","abstract":"Objective. The purpose of this study was to determine the association between baseline patient recovery expectations and outcomes following physical therapy care.\nMethods. PubMed, CINAHL Complete, PEDro, SPORTDiscus, Cochrane Central Register of Controlled Trials, Cochrane Database of Systematic Reviews, and PsycINFO were searched from inception to February 2021. Concepts represented in the search included physical therapy, patient expectations, patient outcomes, and their relevant synonyms. Two reviewers independently screened studies of article abstracts and full texts. Eligibility criteria included English language studies that evaluated adults seeking physical therapist intervention for any health condition where both patient outcome (recovery) expectations and functional or other outcome measures were reported. Methodologic standards were assessed using the Critical Appraisal Skills Program criteria. Data were extracted using a custom template for this review with planned descriptive reporting of results. Vote counting was used to measure reported outcomes.\nResults. Twenty-one studies were included in this review, representing 4879 individuals. Studies were most commonly prospective cohort studies or secondary analyses of controlled trials. Varied expectation, outcome, and statistical measures that generally link patient recovery expectations with self-reported outcomes in musculoskeletal practice were used.\nConclusion. Patient recovery expectations are commonly associated with patient outcomes in musculoskeletal physical therapy. Impact. Evidence supports measuring baseline patient expectations as part of a holistic examination process.","container-title":"Physical Therapy","DOI":"10.1093/ptj/pzac008","ISSN":"0031-9023, 1538-6724","issue":"4","language":"en","license":"https://academic.oup.com/journals/pages/open_access/funder_policies/chorus/standard_publication_model","page":"pzac008","source":"DOI.org (Crossref)","title":"The Role of Patient Recovery Expectations in the Outcomes of Physical Therapist Intervention: A Systematic Review","title-short":"The Role of Patient Recovery Expectations in the Outcomes of Physical Therapist Intervention","volume":"102","author":[{"family":"Wassinger","given":"Craig A"},{"family":"Edwards","given":"D Chase"},{"family":"Bourassa","given":"Michael"},{"family":"Reagan","given":"Don"},{"family":"Weyant","given":"Emily C"},{"family":"Walden","given":"Rachel R"}],"issued":{"date-parts":[["2022",4,1]]}}}],"schema":"https://github.com/citation-style-language/schema/raw/master/csl-citation.json"} </w:instrText>
      </w:r>
      <w:r w:rsidR="00585CBE">
        <w:rPr>
          <w:rFonts w:ascii="Arial" w:hAnsi="Arial" w:cs="Arial"/>
          <w:lang w:val="en-US"/>
        </w:rPr>
        <w:fldChar w:fldCharType="separate"/>
      </w:r>
      <w:r w:rsidR="009E1EF6">
        <w:rPr>
          <w:rFonts w:ascii="Arial" w:hAnsi="Arial" w:cs="Arial"/>
          <w:noProof/>
          <w:lang w:val="en-US"/>
        </w:rPr>
        <w:t>(45)</w:t>
      </w:r>
      <w:r w:rsidR="00585CBE">
        <w:rPr>
          <w:rFonts w:ascii="Arial" w:hAnsi="Arial" w:cs="Arial"/>
          <w:lang w:val="en-US"/>
        </w:rPr>
        <w:fldChar w:fldCharType="end"/>
      </w:r>
      <w:r w:rsidR="0052428F" w:rsidRPr="0079620E">
        <w:rPr>
          <w:rFonts w:ascii="Arial" w:hAnsi="Arial" w:cs="Arial"/>
          <w:lang w:val="en-US"/>
        </w:rPr>
        <w:t>.</w:t>
      </w:r>
      <w:r w:rsidR="0052428F">
        <w:rPr>
          <w:rFonts w:ascii="Arial" w:hAnsi="Arial" w:cs="Arial"/>
          <w:lang w:val="en-US"/>
        </w:rPr>
        <w:t xml:space="preserve"> </w:t>
      </w:r>
      <w:r w:rsidR="0052428F" w:rsidRPr="0079620E">
        <w:rPr>
          <w:rFonts w:ascii="Arial" w:hAnsi="Arial" w:cs="Arial"/>
          <w:lang w:val="en-US"/>
        </w:rPr>
        <w:t xml:space="preserve"> Adjusting for these variables is expected to enhance internal validity and improve the precision of the estimated treatment effects.</w:t>
      </w:r>
      <w:r w:rsidR="0052428F">
        <w:rPr>
          <w:rFonts w:ascii="Arial" w:hAnsi="Arial" w:cs="Arial"/>
          <w:lang w:val="en-US"/>
        </w:rPr>
        <w:t xml:space="preserve"> </w:t>
      </w:r>
      <w:r w:rsidRPr="00C56A01">
        <w:rPr>
          <w:rFonts w:ascii="Arial" w:hAnsi="Arial" w:cs="Arial"/>
          <w:lang w:val="en-US"/>
        </w:rPr>
        <w:t xml:space="preserve">Adjusted mean differences and standardized effect sizes </w:t>
      </w:r>
      <w:r w:rsidR="00EE1EBB">
        <w:rPr>
          <w:rFonts w:ascii="Arial" w:hAnsi="Arial" w:cs="Arial"/>
          <w:lang w:val="en-US"/>
        </w:rPr>
        <w:t>and their 95% confidence</w:t>
      </w:r>
      <w:r w:rsidR="00134D39">
        <w:rPr>
          <w:rFonts w:ascii="Arial" w:hAnsi="Arial" w:cs="Arial"/>
          <w:lang w:val="en-US"/>
        </w:rPr>
        <w:t xml:space="preserve"> interval</w:t>
      </w:r>
      <w:r w:rsidR="00EE1EBB">
        <w:rPr>
          <w:rFonts w:ascii="Arial" w:hAnsi="Arial" w:cs="Arial"/>
          <w:lang w:val="en-US"/>
        </w:rPr>
        <w:t xml:space="preserve"> with Hedges' correction </w:t>
      </w:r>
      <w:r w:rsidRPr="00C56A01">
        <w:rPr>
          <w:rFonts w:ascii="Arial" w:hAnsi="Arial" w:cs="Arial"/>
          <w:lang w:val="en-US"/>
        </w:rPr>
        <w:t>will be reported</w:t>
      </w:r>
      <w:r w:rsidR="00EE1EBB">
        <w:rPr>
          <w:rFonts w:ascii="Arial" w:hAnsi="Arial" w:cs="Arial"/>
          <w:lang w:val="en-US"/>
        </w:rPr>
        <w:t xml:space="preserve"> to estimate the sample size required for a future full-scale RCT.</w:t>
      </w:r>
      <w:r w:rsidR="002934B1">
        <w:rPr>
          <w:rFonts w:ascii="Arial" w:hAnsi="Arial" w:cs="Arial"/>
          <w:lang w:val="en-US"/>
        </w:rPr>
        <w:t xml:space="preserve"> </w:t>
      </w:r>
      <w:r w:rsidRPr="00C56A01">
        <w:rPr>
          <w:rFonts w:ascii="Arial" w:hAnsi="Arial" w:cs="Arial"/>
          <w:lang w:val="en-US"/>
        </w:rPr>
        <w:t xml:space="preserve">No </w:t>
      </w:r>
      <w:r w:rsidRPr="00C56A01">
        <w:rPr>
          <w:rFonts w:ascii="Arial" w:hAnsi="Arial" w:cs="Arial"/>
          <w:lang w:val="en-US"/>
        </w:rPr>
        <w:lastRenderedPageBreak/>
        <w:t>formal</w:t>
      </w:r>
      <w:r w:rsidR="00912E54">
        <w:rPr>
          <w:rFonts w:ascii="Arial" w:hAnsi="Arial" w:cs="Arial"/>
          <w:lang w:val="en-US"/>
        </w:rPr>
        <w:t xml:space="preserve"> </w:t>
      </w:r>
      <w:r w:rsidRPr="00C56A01">
        <w:rPr>
          <w:rFonts w:ascii="Arial" w:hAnsi="Arial" w:cs="Arial"/>
          <w:lang w:val="en-US"/>
        </w:rPr>
        <w:t>hypothesis testing or multiplicity adjustment will be performed.</w:t>
      </w:r>
      <w:r w:rsidRPr="00C56A01">
        <w:rPr>
          <w:rFonts w:ascii="Arial" w:hAnsi="Arial" w:cs="Arial"/>
          <w:lang w:val="en-US"/>
        </w:rPr>
        <w:br/>
        <w:t>Missing data will be handled under the mixed-model missing-at-random assumption.</w:t>
      </w:r>
      <w:r>
        <w:rPr>
          <w:rFonts w:ascii="Arial" w:hAnsi="Arial" w:cs="Arial"/>
          <w:lang w:val="en-US"/>
        </w:rPr>
        <w:t xml:space="preserve"> </w:t>
      </w:r>
    </w:p>
    <w:p w14:paraId="0F25078F" w14:textId="7ED7259D" w:rsidR="00100367" w:rsidRDefault="00100367" w:rsidP="0037195D">
      <w:pPr>
        <w:spacing w:line="480" w:lineRule="auto"/>
        <w:jc w:val="both"/>
        <w:rPr>
          <w:rFonts w:ascii="Arial" w:hAnsi="Arial" w:cs="Arial"/>
          <w:b/>
          <w:bCs/>
          <w:lang w:val="en-US"/>
        </w:rPr>
      </w:pPr>
      <w:r>
        <w:rPr>
          <w:rFonts w:ascii="Arial" w:hAnsi="Arial" w:cs="Arial"/>
          <w:b/>
          <w:bCs/>
          <w:lang w:val="en-US"/>
        </w:rPr>
        <w:t>Data monitoring committee</w:t>
      </w:r>
      <w:r w:rsidR="00A53A7C">
        <w:rPr>
          <w:rFonts w:ascii="Arial" w:hAnsi="Arial" w:cs="Arial"/>
          <w:b/>
          <w:bCs/>
          <w:lang w:val="en-US"/>
        </w:rPr>
        <w:t xml:space="preserve"> and steering committee</w:t>
      </w:r>
    </w:p>
    <w:p w14:paraId="6530E569" w14:textId="0E5C2F97" w:rsidR="006374EE" w:rsidRPr="006374EE" w:rsidRDefault="006374EE" w:rsidP="0037195D">
      <w:pPr>
        <w:spacing w:line="480" w:lineRule="auto"/>
        <w:jc w:val="both"/>
        <w:rPr>
          <w:rFonts w:ascii="Arial" w:hAnsi="Arial" w:cs="Arial"/>
          <w:lang w:val="en-US"/>
        </w:rPr>
      </w:pPr>
      <w:r w:rsidRPr="006374EE">
        <w:rPr>
          <w:rFonts w:ascii="Arial" w:hAnsi="Arial" w:cs="Arial"/>
          <w:lang w:val="en-US"/>
        </w:rPr>
        <w:t>Given the pilot nature of the study, its limited scope, small sample size, short duration, and the minimal risks associated with the study procedures, no formal steering committee or independent data monitoring committee w</w:t>
      </w:r>
      <w:r>
        <w:rPr>
          <w:rFonts w:ascii="Arial" w:hAnsi="Arial" w:cs="Arial"/>
          <w:lang w:val="en-US"/>
        </w:rPr>
        <w:t>ill be</w:t>
      </w:r>
      <w:r w:rsidRPr="006374EE">
        <w:rPr>
          <w:rFonts w:ascii="Arial" w:hAnsi="Arial" w:cs="Arial"/>
          <w:lang w:val="en-US"/>
        </w:rPr>
        <w:t xml:space="preserve"> established, despite the multicente</w:t>
      </w:r>
      <w:r w:rsidR="00936A15">
        <w:rPr>
          <w:rFonts w:ascii="Arial" w:hAnsi="Arial" w:cs="Arial"/>
          <w:lang w:val="en-US"/>
        </w:rPr>
        <w:t>r</w:t>
      </w:r>
      <w:r w:rsidRPr="006374EE">
        <w:rPr>
          <w:rFonts w:ascii="Arial" w:hAnsi="Arial" w:cs="Arial"/>
          <w:lang w:val="en-US"/>
        </w:rPr>
        <w:t xml:space="preserve"> design. No interim analyses or stopping rules </w:t>
      </w:r>
      <w:r>
        <w:rPr>
          <w:rFonts w:ascii="Arial" w:hAnsi="Arial" w:cs="Arial"/>
          <w:lang w:val="en-US"/>
        </w:rPr>
        <w:t>will be</w:t>
      </w:r>
      <w:r w:rsidRPr="006374EE">
        <w:rPr>
          <w:rFonts w:ascii="Arial" w:hAnsi="Arial" w:cs="Arial"/>
          <w:lang w:val="en-US"/>
        </w:rPr>
        <w:t xml:space="preserve"> planned. Overall study coordination, participant safety, and data integrity </w:t>
      </w:r>
      <w:r>
        <w:rPr>
          <w:rFonts w:ascii="Arial" w:hAnsi="Arial" w:cs="Arial"/>
          <w:lang w:val="en-US"/>
        </w:rPr>
        <w:t>will be</w:t>
      </w:r>
      <w:r w:rsidRPr="006374EE">
        <w:rPr>
          <w:rFonts w:ascii="Arial" w:hAnsi="Arial" w:cs="Arial"/>
          <w:lang w:val="en-US"/>
        </w:rPr>
        <w:t xml:space="preserve"> ensured by the </w:t>
      </w:r>
      <w:r>
        <w:rPr>
          <w:rFonts w:ascii="Arial" w:hAnsi="Arial" w:cs="Arial"/>
          <w:lang w:val="en-US"/>
        </w:rPr>
        <w:t xml:space="preserve">principal </w:t>
      </w:r>
      <w:r w:rsidRPr="006374EE">
        <w:rPr>
          <w:rFonts w:ascii="Arial" w:hAnsi="Arial" w:cs="Arial"/>
          <w:lang w:val="en-US"/>
        </w:rPr>
        <w:t>investigator, in accordance with institutional and ethical requirements.</w:t>
      </w:r>
    </w:p>
    <w:p w14:paraId="3B4A94C1" w14:textId="77777777" w:rsidR="00100367" w:rsidRDefault="00100367" w:rsidP="0037195D">
      <w:pPr>
        <w:spacing w:line="480" w:lineRule="auto"/>
        <w:jc w:val="both"/>
        <w:rPr>
          <w:rFonts w:ascii="Arial" w:hAnsi="Arial" w:cs="Arial"/>
          <w:b/>
          <w:bCs/>
          <w:lang w:val="en-US"/>
        </w:rPr>
      </w:pPr>
    </w:p>
    <w:p w14:paraId="7D107C6D" w14:textId="04DC0B05" w:rsidR="00695BFC" w:rsidRPr="00150370" w:rsidRDefault="00695BFC" w:rsidP="0037195D">
      <w:pPr>
        <w:spacing w:line="480" w:lineRule="auto"/>
        <w:jc w:val="both"/>
        <w:rPr>
          <w:rFonts w:ascii="Arial" w:hAnsi="Arial" w:cs="Arial"/>
          <w:b/>
          <w:bCs/>
          <w:sz w:val="32"/>
          <w:szCs w:val="32"/>
          <w:lang w:val="en-US"/>
        </w:rPr>
      </w:pPr>
      <w:r w:rsidRPr="00150370">
        <w:rPr>
          <w:rFonts w:ascii="Arial" w:hAnsi="Arial" w:cs="Arial"/>
          <w:b/>
          <w:bCs/>
          <w:sz w:val="32"/>
          <w:szCs w:val="32"/>
          <w:lang w:val="en-US"/>
        </w:rPr>
        <w:t>Discussion</w:t>
      </w:r>
    </w:p>
    <w:p w14:paraId="22BF0C88" w14:textId="253F0237" w:rsidR="006F6913" w:rsidRPr="006F6913" w:rsidRDefault="00F02264" w:rsidP="0037195D">
      <w:pPr>
        <w:spacing w:line="480" w:lineRule="auto"/>
        <w:jc w:val="both"/>
        <w:rPr>
          <w:rFonts w:ascii="Arial" w:hAnsi="Arial" w:cs="Arial"/>
          <w:lang w:val="en-US"/>
        </w:rPr>
      </w:pPr>
      <w:r w:rsidRPr="00F02264">
        <w:rPr>
          <w:rFonts w:ascii="Arial" w:hAnsi="Arial" w:cs="Arial"/>
          <w:lang w:val="en-US"/>
        </w:rPr>
        <w:t xml:space="preserve">This pilot trial aims to assess the feasibility of conducting a larger-scale RCT evaluating the added value of </w:t>
      </w:r>
      <w:r w:rsidR="004C2BAC">
        <w:rPr>
          <w:rFonts w:ascii="Arial" w:hAnsi="Arial" w:cs="Arial"/>
          <w:lang w:val="en-US"/>
        </w:rPr>
        <w:t xml:space="preserve">one standardized </w:t>
      </w:r>
      <w:r w:rsidRPr="00F02264">
        <w:rPr>
          <w:rFonts w:ascii="Arial" w:hAnsi="Arial" w:cs="Arial"/>
          <w:lang w:val="en-US"/>
        </w:rPr>
        <w:t xml:space="preserve">LPM when combined with a pragmatic, </w:t>
      </w:r>
      <w:r w:rsidRPr="00CA4FC7">
        <w:rPr>
          <w:rFonts w:ascii="Arial" w:hAnsi="Arial" w:cs="Arial"/>
          <w:lang w:val="en-US"/>
        </w:rPr>
        <w:t xml:space="preserve">exercise program </w:t>
      </w:r>
      <w:r w:rsidR="00D82840" w:rsidRPr="00CA4FC7">
        <w:rPr>
          <w:rFonts w:ascii="Arial" w:hAnsi="Arial" w:cs="Arial"/>
          <w:lang w:val="en-US"/>
        </w:rPr>
        <w:t xml:space="preserve">based on </w:t>
      </w:r>
      <w:r w:rsidR="00081580" w:rsidRPr="00CA4FC7">
        <w:rPr>
          <w:rFonts w:ascii="Arial" w:hAnsi="Arial" w:cs="Arial"/>
          <w:lang w:val="en-US"/>
        </w:rPr>
        <w:t xml:space="preserve">current </w:t>
      </w:r>
      <w:r w:rsidR="000A7EAA" w:rsidRPr="00CA4FC7">
        <w:rPr>
          <w:rFonts w:ascii="Arial" w:hAnsi="Arial" w:cs="Arial"/>
          <w:lang w:val="en-US"/>
        </w:rPr>
        <w:t xml:space="preserve">APTA </w:t>
      </w:r>
      <w:r w:rsidR="00D82840" w:rsidRPr="00CA4FC7">
        <w:rPr>
          <w:rFonts w:ascii="Arial" w:hAnsi="Arial" w:cs="Arial"/>
          <w:lang w:val="en-US"/>
        </w:rPr>
        <w:t xml:space="preserve">guidelines </w:t>
      </w:r>
      <w:r w:rsidR="00703C7D" w:rsidRPr="00CA4FC7">
        <w:rPr>
          <w:rFonts w:ascii="Arial" w:hAnsi="Arial" w:cs="Arial"/>
          <w:lang w:val="en-US"/>
        </w:rPr>
        <w:t xml:space="preserve">and reference </w:t>
      </w:r>
      <w:r w:rsidR="00081580" w:rsidRPr="00CA4FC7">
        <w:rPr>
          <w:rFonts w:ascii="Arial" w:hAnsi="Arial" w:cs="Arial"/>
          <w:lang w:val="en-US"/>
        </w:rPr>
        <w:t>literature</w:t>
      </w:r>
      <w:r w:rsidR="00703C7D" w:rsidRPr="00CA4FC7">
        <w:rPr>
          <w:rFonts w:ascii="Arial" w:hAnsi="Arial" w:cs="Arial"/>
          <w:lang w:val="en-US"/>
        </w:rPr>
        <w:t xml:space="preserve"> </w:t>
      </w:r>
      <w:r w:rsidRPr="00CA4FC7">
        <w:rPr>
          <w:rFonts w:ascii="Arial" w:hAnsi="Arial" w:cs="Arial"/>
          <w:lang w:val="en-US"/>
        </w:rPr>
        <w:t>for AKP</w:t>
      </w:r>
      <w:r w:rsidR="00081580">
        <w:rPr>
          <w:rFonts w:ascii="Arial" w:hAnsi="Arial" w:cs="Arial"/>
          <w:lang w:val="en-US"/>
        </w:rPr>
        <w:t xml:space="preserve"> </w:t>
      </w:r>
      <w:r w:rsidR="00081580">
        <w:rPr>
          <w:rFonts w:ascii="Arial" w:hAnsi="Arial" w:cs="Arial"/>
          <w:lang w:val="en-US"/>
        </w:rPr>
        <w:fldChar w:fldCharType="begin"/>
      </w:r>
      <w:r w:rsidR="00081580">
        <w:rPr>
          <w:rFonts w:ascii="Arial" w:hAnsi="Arial" w:cs="Arial"/>
          <w:lang w:val="en-US"/>
        </w:rPr>
        <w:instrText xml:space="preserve"> ADDIN ZOTERO_ITEM CSL_CITATION {"citationID":"iPvhF1LS","properties":{"formattedCitation":"(4\\uc0\\u8211{}6)","plainCitation":"(4–6)","noteIndex":0},"citationItems":[{"id":20189,"uris":["http://zotero.org/users/5535897/items/9B48UC7M"],"itemData":{"id":20189,"type":"article-journal","abstract":"Patellofemoral pain (PFP) is a common musculoskeletal-related condition that is characterized by insidious onset of poorly defined pain, localized to the anterior retropatellar and/or peripatellar region of the knee. The onset of symptoms can be slow or acutely develop with a worsening of pain accompanying lower-limb loading activities (eg, squatting, prolonged sitting, ascending/descending stairs, jumping, or running). Symptoms can restrict participation in physical activity, sports, and work, as well as recur and persist for years. This clinical practice guideline will allow physical therapists and other rehabilitation specialists to stay up to date with evolving PFP knowledge and practices, and help them to make evidence-based treatment decisions. J Orthop Sports Phys Ther. 2019;49(9):CPG1–CPG95. doi:10.2519/jospt.2019.0302","container-title":"Journal of Orthopaedic &amp; Sports Physical Therapy","DOI":"10.2519/jospt.2019.0302","ISSN":"0190-6011, 1938-1344","issue":"9","journalAbbreviation":"Journal of Orthopaedic &amp; Sports Physical Therapy","language":"en","page":"CPG1-CPG95","source":"DOI.org (Crossref)","title":"Patellofemoral Pain: Clinical Practice Guidelines Linked to the International Classification of Functioning, Disability and Health From the Academy of Orthopaedic Physical Therapy of the American Physical Therapy Association","title-short":"Patellofemoral Pain","volume":"49","author":[{"family":"Willy","given":"Richard W."},{"family":"Hoglund","given":"Lisa T."},{"family":"Barton","given":"Christian J."},{"family":"Bolgla","given":"Lori A."},{"family":"Scalzitti","given":"David A."},{"family":"Logerstedt","given":"David S."},{"family":"Lynch","given":"Andrew D."},{"family":"Snyder-Mackler","given":"Lynn"},{"family":"McDonough","given":"Christine M."}],"issued":{"date-parts":[["2019",9]]}}},{"id":20193,"uris":["http://zotero.org/users/5535897/items/Z2JBZAPC"],"itemData":{"id":20193,"type":"article-journal","abstract":"Objectives We performed a systematic review and network meta-analysis (NMA) of randomised controlled trials (RCTs) to provide insights into the effectiveness of available treatment modalities in patellar tendinopathy(PT).\nMethods Several databases were searched in May 2021 for RCTs assessing the effectiveness of any intervention compared with any other intervention, placebo or no treatment for pain and/or function in PT. The risk of bias and strength of evidence were assessed with the Cochrane Collaboration and GRADE (Grading of Recommendations, Assessment, Development and Evaluations)/GRADE-NMA tools.\nResults A total of 37 RCTs were eligible that assessed 33 different interventions and their combinations, most represented by single studies. Based on pairwise metaanalyses of two RCTs, extracorporeal shockwave therapy (ESWT) does not appear to be superior to sham ESWT (eccentric exercise in both groups) for short-term pain (mean differences (MD) +0.1, 95% CI (−0.8 to 1), p=0.84) or function (MD −1.8, 95% CI (–8 to 4.4), p=0.57). Based on a pairwise meta-analysis of three RCTs, isometric exercise appears as effective as isotonic exercise for immediate postintervention pain relief (MD −1.03, 95% CI (−2.6 to 0.5), p=0.19). Our NMA showed that topical glyceryl trinitrate (GTN) and hyaluronic acid injection, both combined with eccentric exercise and moderate, slow resistance exercise had the highest probability of being the most effective interventions (low/very low strength of evidence).\nConclusions Promising interventions with inadequate evidence, such as topical GTN, hyaluronic acid injections and isometric and slow resistance exercise, should be further investigated through high-quality RCTs. Meanwhile, eccentric loading with or without adjuncts should remain the first-line treatment for all individuals with patellar tendinopathy.","container-title":"BMJ Open Sport &amp; Exercise Medicine","DOI":"10.1136/bmjsem-2021-001110","ISSN":"2055-7647","issue":"4","journalAbbreviation":"BMJ Open Sport Exerc Med","language":"en","page":"e001110","source":"DOI.org (Crossref)","title":"Management of patellar tendinopathy: a systematic review and network meta-analysis of randomised studies","title-short":"Management of patellar tendinopathy","volume":"7","author":[{"family":"Challoumas","given":"Dimitris"},{"family":"Pedret","given":"Carles"},{"family":"Biddle","given":"Mairiosa"},{"family":"Ng","given":"Nigel Yong Boon"},{"family":"Kirwan","given":"Paul"},{"family":"Cooper","given":"Blair"},{"family":"Nicholas","given":"Patrick"},{"family":"Wilson","given":"Scott"},{"family":"Clifford","given":"Chris"},{"family":"Millar","given":"Neal L"}],"issued":{"date-parts":[["2021",11]]}}},{"id":20321,"uris":["http://zotero.org/users/5535897/items/56HM8ESR"],"itemData":{"id":20321,"type":"article-journal","abstract":"Objective. The purpose of this study was to conduct a systematic review to evaluate clinical practice guidelines for the physical therapist management of patellofemoral pain.\nMethods. Five electronic databases (CINAHL, Embase, Medline, Psychinfo, Cochrane Library) were searched from January 2013 to October 2019. Additional search methods included searching websites that publish clinical practice guidelines containing recommendations for physical therapist management of patellofemoral pain. Characteristics of the guidelines were extracted, including recommendations for examination, interventions, and evaluation applicable to physical therapist practice. Quality assessment was conducted using the Appraisal of Guidelines for Research and Evaluation (AGREE) II instrument, applicability of recommendations to physical therapist practice was examined using the AGREE Recommendation Excellence instrument, and convergence of recommendations across guidelines was assessed.\nResults. Four clinical practice guidelines were included. One guideline evaluated as higher quality provided the most clinically applicable set of recommendations for examination, interventions, and evaluation processes to assess the effectiveness of interventions. Guideline-recommended interventions were consistent for exercise therapy, foot orthoses, patellar taping, patient education, and combined interventions and did not recommend the use of electrotherapeutic modalities. Two guidelines evaluated as higher quality did not recommend using manual therapy (in isolation), dry needling, and patellar bracing.\nConclusion. Recommendations from higher-quality clinical practice guidelines may conﬂict with routine physical therapist management of patellofemoral pain. This review provides guidance for clinicians to deliver high-value physical therapist management of patellofemoral pain.","container-title":"Physical Therapy","DOI":"10.1093/ptj/pzab021","ISSN":"0031-9023, 1538-6724","issue":"3","language":"en","license":"https://academic.oup.com/journals/pages/open_access/funder_policies/chorus/standard_publication_model","page":"pzab021","source":"DOI.org (Crossref)","title":"A Systematic Review of Clinical Practice Guidelines for Physical Therapist Management of Patellofemoral Pain","volume":"101","author":[{"family":"Wallis","given":"Jason A"},{"family":"Roddy","given":"Leanne"},{"family":"Bottrell","given":"Judy"},{"family":"Parslow","given":"Sue"},{"family":"Taylor","given":"Nicholas F"}],"issued":{"date-parts":[["2021",3,3]]}}}],"schema":"https://github.com/citation-style-language/schema/raw/master/csl-citation.json"} </w:instrText>
      </w:r>
      <w:r w:rsidR="00081580">
        <w:rPr>
          <w:rFonts w:ascii="Arial" w:hAnsi="Arial" w:cs="Arial"/>
          <w:lang w:val="en-US"/>
        </w:rPr>
        <w:fldChar w:fldCharType="separate"/>
      </w:r>
      <w:r w:rsidR="00081580" w:rsidRPr="00695667">
        <w:rPr>
          <w:rFonts w:ascii="Arial" w:eastAsiaTheme="minorHAnsi" w:hAnsi="Arial" w:cs="Arial"/>
          <w:lang w:val="en-US" w:eastAsia="en-US"/>
        </w:rPr>
        <w:t>(4–6)</w:t>
      </w:r>
      <w:r w:rsidR="00081580">
        <w:rPr>
          <w:rFonts w:ascii="Arial" w:hAnsi="Arial" w:cs="Arial"/>
          <w:lang w:val="en-US"/>
        </w:rPr>
        <w:fldChar w:fldCharType="end"/>
      </w:r>
      <w:r w:rsidRPr="00F02264">
        <w:rPr>
          <w:rFonts w:ascii="Arial" w:hAnsi="Arial" w:cs="Arial"/>
          <w:lang w:val="en-US"/>
        </w:rPr>
        <w:t>. The study population was chosen to better represent real-world clinical practice, as previous RCTs have mainly included patients with PFP using heterogeneous inclusion criteria, while the diagnosis of PFP remains challenging</w:t>
      </w:r>
      <w:r>
        <w:rPr>
          <w:rFonts w:ascii="Arial" w:hAnsi="Arial" w:cs="Arial"/>
          <w:lang w:val="en-US"/>
        </w:rPr>
        <w:t xml:space="preserve"> and relies on a cluster of signs and symptoms established after excluding other possible conditions </w:t>
      </w:r>
      <w:r w:rsidR="00585CBE">
        <w:rPr>
          <w:rFonts w:ascii="Arial" w:hAnsi="Arial" w:cs="Arial"/>
          <w:lang w:val="en-US"/>
        </w:rPr>
        <w:fldChar w:fldCharType="begin"/>
      </w:r>
      <w:r w:rsidR="00585CBE">
        <w:rPr>
          <w:rFonts w:ascii="Arial" w:hAnsi="Arial" w:cs="Arial"/>
          <w:lang w:val="en-US"/>
        </w:rPr>
        <w:instrText xml:space="preserve"> ADDIN ZOTERO_ITEM CSL_CITATION {"citationID":"2OPKdj8H","properties":{"formattedCitation":"(4)","plainCitation":"(4)","noteIndex":0},"citationItems":[{"id":20189,"uris":["http://zotero.org/users/5535897/items/9B48UC7M"],"itemData":{"id":20189,"type":"article-journal","abstract":"Patellofemoral pain (PFP) is a common musculoskeletal-related condition that is characterized by insidious onset of poorly defined pain, localized to the anterior retropatellar and/or peripatellar region of the knee. The onset of symptoms can be slow or acutely develop with a worsening of pain accompanying lower-limb loading activities (eg, squatting, prolonged sitting, ascending/descending stairs, jumping, or running). Symptoms can restrict participation in physical activity, sports, and work, as well as recur and persist for years. This clinical practice guideline will allow physical therapists and other rehabilitation specialists to stay up to date with evolving PFP knowledge and practices, and help them to make evidence-based treatment decisions. J Orthop Sports Phys Ther. 2019;49(9):CPG1–CPG95. doi:10.2519/jospt.2019.0302","container-title":"Journal of Orthopaedic &amp; Sports Physical Therapy","DOI":"10.2519/jospt.2019.0302","ISSN":"0190-6011, 1938-1344","issue":"9","journalAbbreviation":"Journal of Orthopaedic &amp; Sports Physical Therapy","language":"en","page":"CPG1-CPG95","source":"DOI.org (Crossref)","title":"Patellofemoral Pain: Clinical Practice Guidelines Linked to the International Classification of Functioning, Disability and Health From the Academy of Orthopaedic Physical Therapy of the American Physical Therapy Association","title-short":"Patellofemoral Pain","volume":"49","author":[{"family":"Willy","given":"Richard W."},{"family":"Hoglund","given":"Lisa T."},{"family":"Barton","given":"Christian J."},{"family":"Bolgla","given":"Lori A."},{"family":"Scalzitti","given":"David A."},{"family":"Logerstedt","given":"David S."},{"family":"Lynch","given":"Andrew D."},{"family":"Snyder-Mackler","given":"Lynn"},{"family":"McDonough","given":"Christine M."}],"issued":{"date-parts":[["2019",9]]}}}],"schema":"https://github.com/citation-style-language/schema/raw/master/csl-citation.json"} </w:instrText>
      </w:r>
      <w:r w:rsidR="00585CBE">
        <w:rPr>
          <w:rFonts w:ascii="Arial" w:hAnsi="Arial" w:cs="Arial"/>
          <w:lang w:val="en-US"/>
        </w:rPr>
        <w:fldChar w:fldCharType="separate"/>
      </w:r>
      <w:r w:rsidR="00585CBE">
        <w:rPr>
          <w:rFonts w:ascii="Arial" w:hAnsi="Arial" w:cs="Arial"/>
          <w:noProof/>
          <w:lang w:val="en-US"/>
        </w:rPr>
        <w:t>(4)</w:t>
      </w:r>
      <w:r w:rsidR="00585CBE">
        <w:rPr>
          <w:rFonts w:ascii="Arial" w:hAnsi="Arial" w:cs="Arial"/>
          <w:lang w:val="en-US"/>
        </w:rPr>
        <w:fldChar w:fldCharType="end"/>
      </w:r>
      <w:r>
        <w:rPr>
          <w:rFonts w:ascii="Arial" w:hAnsi="Arial" w:cs="Arial"/>
          <w:lang w:val="en-US"/>
        </w:rPr>
        <w:t>.</w:t>
      </w:r>
      <w:r w:rsidR="00057A04" w:rsidRPr="00057A04">
        <w:rPr>
          <w:rFonts w:ascii="Arial" w:hAnsi="Arial" w:cs="Arial"/>
          <w:lang w:val="en-US"/>
        </w:rPr>
        <w:t xml:space="preserve"> </w:t>
      </w:r>
      <w:r w:rsidR="00016D76">
        <w:rPr>
          <w:rFonts w:ascii="Arial" w:hAnsi="Arial" w:cs="Arial"/>
          <w:lang w:val="en-US"/>
        </w:rPr>
        <w:t>B</w:t>
      </w:r>
      <w:r w:rsidR="00D01F5C">
        <w:rPr>
          <w:rFonts w:ascii="Arial" w:hAnsi="Arial" w:cs="Arial"/>
          <w:lang w:val="en-US"/>
        </w:rPr>
        <w:t>linding and placebo effect</w:t>
      </w:r>
      <w:r w:rsidR="00016D76">
        <w:rPr>
          <w:rFonts w:ascii="Arial" w:hAnsi="Arial" w:cs="Arial"/>
          <w:lang w:val="en-US"/>
        </w:rPr>
        <w:t xml:space="preserve"> are recognized</w:t>
      </w:r>
      <w:r w:rsidR="00D01F5C">
        <w:rPr>
          <w:rFonts w:ascii="Arial" w:hAnsi="Arial" w:cs="Arial"/>
          <w:lang w:val="en-US"/>
        </w:rPr>
        <w:t xml:space="preserve"> source</w:t>
      </w:r>
      <w:r w:rsidR="00016D76">
        <w:rPr>
          <w:rFonts w:ascii="Arial" w:hAnsi="Arial" w:cs="Arial"/>
          <w:lang w:val="en-US"/>
        </w:rPr>
        <w:t>s</w:t>
      </w:r>
      <w:r w:rsidR="00D01F5C">
        <w:rPr>
          <w:rFonts w:ascii="Arial" w:hAnsi="Arial" w:cs="Arial"/>
          <w:lang w:val="en-US"/>
        </w:rPr>
        <w:t xml:space="preserve"> of bias and potential limitations in RCTs </w:t>
      </w:r>
      <w:r w:rsidR="00016D76">
        <w:rPr>
          <w:rFonts w:ascii="Arial" w:hAnsi="Arial" w:cs="Arial"/>
          <w:lang w:val="en-US"/>
        </w:rPr>
        <w:t>involving</w:t>
      </w:r>
      <w:r w:rsidR="00D01F5C">
        <w:rPr>
          <w:rFonts w:ascii="Arial" w:hAnsi="Arial" w:cs="Arial"/>
          <w:lang w:val="en-US"/>
        </w:rPr>
        <w:t xml:space="preserve"> manual therapy</w:t>
      </w:r>
      <w:r w:rsidR="00016D76">
        <w:rPr>
          <w:rFonts w:ascii="Arial" w:hAnsi="Arial" w:cs="Arial"/>
          <w:lang w:val="en-US"/>
        </w:rPr>
        <w:t xml:space="preserve"> interventions</w:t>
      </w:r>
      <w:r w:rsidR="00D01F5C">
        <w:rPr>
          <w:rFonts w:ascii="Arial" w:hAnsi="Arial" w:cs="Arial"/>
          <w:lang w:val="en-US"/>
        </w:rPr>
        <w:t xml:space="preserve"> </w:t>
      </w:r>
      <w:r w:rsidR="00585CBE">
        <w:rPr>
          <w:rFonts w:ascii="Arial" w:hAnsi="Arial" w:cs="Arial"/>
          <w:lang w:val="en-US"/>
        </w:rPr>
        <w:fldChar w:fldCharType="begin"/>
      </w:r>
      <w:r w:rsidR="009E1EF6">
        <w:rPr>
          <w:rFonts w:ascii="Arial" w:hAnsi="Arial" w:cs="Arial"/>
          <w:lang w:val="en-US"/>
        </w:rPr>
        <w:instrText xml:space="preserve"> ADDIN ZOTERO_ITEM CSL_CITATION {"citationID":"Sv4sZBtt","properties":{"formattedCitation":"(46)","plainCitation":"(46)","noteIndex":0},"citationItems":[{"id":20286,"uris":["http://zotero.org/users/5535897/items/GKC2G2TC"],"itemData":{"id":20286,"type":"article-journal","abstract":"Background Research waste is defined as research outcomes with no or minimal societal benefits. It is a widespread problem in the healthcare field. Four primary sources of research waste have been defined: (1) irrelevant or low priority research questions, (2) poor design or methodology, (3) lack of publication, and (4) biased or inadequate reporting. This commentary, which was developed by a multidisciplinary group of researchers with spinal manipulative therapy (SMT) research expertise, discusses waste in SMT research and provides suggestions to improve future research. Main text This commentary examines common sources of waste in SMT research, focusing on design and methodological issues, by drawing on prior research and examples from clinical and mechanistic SMT studies. Clinical research is dominated by small studies and studies with a high risk of bias. This problem is compounded by systematic reviews that pool heterogenous data from varying populations, settings, and application of SMT. Research focusing on the mechanisms of SMT often fails to address the clinical relevance of mechanisms, relies on very short follow-up periods, and has inadequate control for contextual factors. Conclusions This call to action is directed to researchers in the field of SMT. It is critical that the SMT research community act to improve the way research is designed, conducted, and disseminated. We present specific key action points and resources, which should enhance the quality and usefulness of future SMT research.","container-title":"Chiropractic &amp; Manual Therapies","DOI":"10.1186/s12998-024-00539-y","ISSN":"2045-709X","issue":"1","journalAbbreviation":"Chiropr Man Therap","language":"en","page":"16, s12998-024-00539-y","source":"DOI.org (Crossref)","title":"Waste not, want not: call to action for spinal manipulative therapy researchers","title-short":"Waste not, want not","volume":"32","author":[{"family":"Aspinall","given":"Sasha L"},{"family":"Nim","given":"Casper"},{"family":"Hartvigsen","given":"Jan"},{"family":"Cook","given":"Chad E"},{"family":"Skillgate","given":"Eva"},{"family":"Vogel","given":"Steven"},{"family":"Hohenschurz-Schmidt","given":"David"},{"family":"Underwood","given":"Martin"},{"family":"Rubinstein","given":"Sidney M"}],"issued":{"date-parts":[["2024",5,14]]}}}],"schema":"https://github.com/citation-style-language/schema/raw/master/csl-citation.json"} </w:instrText>
      </w:r>
      <w:r w:rsidR="00585CBE">
        <w:rPr>
          <w:rFonts w:ascii="Arial" w:hAnsi="Arial" w:cs="Arial"/>
          <w:lang w:val="en-US"/>
        </w:rPr>
        <w:fldChar w:fldCharType="separate"/>
      </w:r>
      <w:r w:rsidR="009E1EF6">
        <w:rPr>
          <w:rFonts w:ascii="Arial" w:hAnsi="Arial" w:cs="Arial"/>
          <w:noProof/>
          <w:lang w:val="en-US"/>
        </w:rPr>
        <w:t>(46)</w:t>
      </w:r>
      <w:r w:rsidR="00585CBE">
        <w:rPr>
          <w:rFonts w:ascii="Arial" w:hAnsi="Arial" w:cs="Arial"/>
          <w:lang w:val="en-US"/>
        </w:rPr>
        <w:fldChar w:fldCharType="end"/>
      </w:r>
      <w:r w:rsidR="0051086E">
        <w:rPr>
          <w:rFonts w:ascii="Arial" w:hAnsi="Arial" w:cs="Arial"/>
          <w:lang w:val="en-US"/>
        </w:rPr>
        <w:t xml:space="preserve">. </w:t>
      </w:r>
      <w:r w:rsidRPr="00F02264">
        <w:rPr>
          <w:rFonts w:ascii="Arial" w:hAnsi="Arial" w:cs="Arial"/>
          <w:lang w:val="en-US"/>
        </w:rPr>
        <w:t>To isolate the effect of LPM, a sham intervention will be administered to the comparator group, using a participant-blinded design previously validated in RCTs for its simplicity, low cost, efficiency, and absence of adverse events</w:t>
      </w:r>
      <w:r w:rsidR="00847989">
        <w:rPr>
          <w:rFonts w:ascii="Arial" w:hAnsi="Arial" w:cs="Arial"/>
          <w:lang w:val="en-US"/>
        </w:rPr>
        <w:t xml:space="preserve"> </w:t>
      </w:r>
      <w:r w:rsidR="00585CBE">
        <w:rPr>
          <w:rFonts w:ascii="Arial" w:hAnsi="Arial" w:cs="Arial"/>
          <w:lang w:val="en-US"/>
        </w:rPr>
        <w:fldChar w:fldCharType="begin"/>
      </w:r>
      <w:r w:rsidR="009E1EF6">
        <w:rPr>
          <w:rFonts w:ascii="Arial" w:hAnsi="Arial" w:cs="Arial"/>
          <w:lang w:val="en-US"/>
        </w:rPr>
        <w:instrText xml:space="preserve"> ADDIN ZOTERO_ITEM CSL_CITATION {"citationID":"0VksI6wS","properties":{"formattedCitation":"(30)","plainCitation":"(30)","noteIndex":0},"citationItems":[{"id":11839,"uris":["http://zotero.org/users/5535897/items/3X95BH5D"],"itemData":{"id":11839,"type":"article-journal","abstract":"Abstract\n            At present, no consensus exists among clinical and academic experts regarding an appropriate placebo for randomized controlled trials (RCTs) of spinal manipulative therapy (SMT). Therefore, we investigated whether it was possible to conduct a chiropractic manual-therapy RCT with placebo. Seventy migraineurs were randomized to a single-blinded placebo-controlled clinical trial that consisted of 12 treatment sessions over 3 months. The participants were randomized to chiropractic SMT or placebo (sham manipulation). After each session, the participants were surveyed on whether they thought they had undergone active treatment (“yes” or “no”) and how strongly they believed that active treatment was received (numeric rating scale 0–10). The outcome measures included the rate of successful blinding and the certitude of the participants’ beliefs in both treatment groups. At each treatment session, more than 80% of the participants believed that they had undergone active treatment, regardless of group allocation. The odds ratio for believing that active treatment was received was &gt;10 for all treatment sessions in both groups (all p &lt; 0.001). The blinding was maintained throughout the RCT. Our results strongly demonstrate that it is possible to conduct a single-blinded manual-therapy RCT with placebo and to maintain the blinding throughout 12 treatment sessions given over 3 months.","container-title":"Scientific Reports","DOI":"10.1038/srep11774","ISSN":"2045-2322","issue":"1","journalAbbreviation":"Sci Rep","language":"en","page":"11774","source":"DOI.org (Crossref)","title":"Validation of Placebo in a Manual Therapy Randomized Controlled Trial","volume":"5","author":[{"family":"Chaibi","given":"Aleksander"},{"family":"Šaltytė Benth","given":"Jūratė"},{"family":"Bjørn Russell","given":"Michael"}],"issued":{"date-parts":[["2015",7,6]]}}}],"schema":"https://github.com/citation-style-language/schema/raw/master/csl-citation.json"} </w:instrText>
      </w:r>
      <w:r w:rsidR="00585CBE">
        <w:rPr>
          <w:rFonts w:ascii="Arial" w:hAnsi="Arial" w:cs="Arial"/>
          <w:lang w:val="en-US"/>
        </w:rPr>
        <w:fldChar w:fldCharType="separate"/>
      </w:r>
      <w:r w:rsidR="009E1EF6">
        <w:rPr>
          <w:rFonts w:ascii="Arial" w:hAnsi="Arial" w:cs="Arial"/>
          <w:noProof/>
          <w:lang w:val="en-US"/>
        </w:rPr>
        <w:t>(30)</w:t>
      </w:r>
      <w:r w:rsidR="00585CBE">
        <w:rPr>
          <w:rFonts w:ascii="Arial" w:hAnsi="Arial" w:cs="Arial"/>
          <w:lang w:val="en-US"/>
        </w:rPr>
        <w:fldChar w:fldCharType="end"/>
      </w:r>
      <w:r w:rsidR="00847989">
        <w:rPr>
          <w:rFonts w:ascii="Arial" w:hAnsi="Arial" w:cs="Arial"/>
          <w:lang w:val="en-US"/>
        </w:rPr>
        <w:t>.</w:t>
      </w:r>
      <w:r w:rsidR="00016D76">
        <w:rPr>
          <w:rFonts w:ascii="Arial" w:hAnsi="Arial" w:cs="Arial"/>
          <w:lang w:val="en-US"/>
        </w:rPr>
        <w:t xml:space="preserve"> In addition,</w:t>
      </w:r>
      <w:r w:rsidR="00D01F5C">
        <w:rPr>
          <w:rFonts w:ascii="Arial" w:hAnsi="Arial" w:cs="Arial"/>
          <w:lang w:val="en-US"/>
        </w:rPr>
        <w:t xml:space="preserve"> the potential </w:t>
      </w:r>
      <w:r w:rsidR="00016D76">
        <w:rPr>
          <w:rFonts w:ascii="Arial" w:hAnsi="Arial" w:cs="Arial"/>
          <w:lang w:val="en-US"/>
        </w:rPr>
        <w:t>influence</w:t>
      </w:r>
      <w:r w:rsidR="00D01F5C">
        <w:rPr>
          <w:rFonts w:ascii="Arial" w:hAnsi="Arial" w:cs="Arial"/>
          <w:lang w:val="en-US"/>
        </w:rPr>
        <w:t xml:space="preserve"> of</w:t>
      </w:r>
      <w:r w:rsidR="00016D76">
        <w:rPr>
          <w:rFonts w:ascii="Arial" w:hAnsi="Arial" w:cs="Arial"/>
          <w:lang w:val="en-US"/>
        </w:rPr>
        <w:t xml:space="preserve"> participant's</w:t>
      </w:r>
      <w:r w:rsidR="00D01F5C">
        <w:rPr>
          <w:rFonts w:ascii="Arial" w:hAnsi="Arial" w:cs="Arial"/>
          <w:lang w:val="en-US"/>
        </w:rPr>
        <w:t xml:space="preserve"> expectations </w:t>
      </w:r>
      <w:r w:rsidR="00016D76">
        <w:rPr>
          <w:rFonts w:ascii="Arial" w:hAnsi="Arial" w:cs="Arial"/>
          <w:lang w:val="en-US"/>
        </w:rPr>
        <w:t>regarding</w:t>
      </w:r>
      <w:r w:rsidR="00D01F5C">
        <w:rPr>
          <w:rFonts w:ascii="Arial" w:hAnsi="Arial" w:cs="Arial"/>
          <w:lang w:val="en-US"/>
        </w:rPr>
        <w:t xml:space="preserve"> LPM on </w:t>
      </w:r>
      <w:r w:rsidR="00016D76">
        <w:rPr>
          <w:rFonts w:ascii="Arial" w:hAnsi="Arial" w:cs="Arial"/>
          <w:lang w:val="en-US"/>
        </w:rPr>
        <w:t xml:space="preserve">clinical </w:t>
      </w:r>
      <w:r w:rsidR="00D01F5C">
        <w:rPr>
          <w:rFonts w:ascii="Arial" w:hAnsi="Arial" w:cs="Arial"/>
          <w:lang w:val="en-US"/>
        </w:rPr>
        <w:t>outcome</w:t>
      </w:r>
      <w:r w:rsidR="00016D76">
        <w:rPr>
          <w:rFonts w:ascii="Arial" w:hAnsi="Arial" w:cs="Arial"/>
          <w:lang w:val="en-US"/>
        </w:rPr>
        <w:t>s will be considered,</w:t>
      </w:r>
      <w:r w:rsidR="00D01F5C">
        <w:rPr>
          <w:rFonts w:ascii="Arial" w:hAnsi="Arial" w:cs="Arial"/>
          <w:lang w:val="en-US"/>
        </w:rPr>
        <w:t xml:space="preserve"> as </w:t>
      </w:r>
      <w:r w:rsidR="00016D76">
        <w:rPr>
          <w:rFonts w:ascii="Arial" w:hAnsi="Arial" w:cs="Arial"/>
          <w:lang w:val="en-US"/>
        </w:rPr>
        <w:t xml:space="preserve">expectations have </w:t>
      </w:r>
      <w:r w:rsidR="00134D39">
        <w:rPr>
          <w:rFonts w:ascii="Arial" w:hAnsi="Arial" w:cs="Arial"/>
          <w:lang w:val="en-US"/>
        </w:rPr>
        <w:t xml:space="preserve">been </w:t>
      </w:r>
      <w:r w:rsidR="00016D76">
        <w:rPr>
          <w:rFonts w:ascii="Arial" w:hAnsi="Arial" w:cs="Arial"/>
          <w:lang w:val="en-US"/>
        </w:rPr>
        <w:t>shown</w:t>
      </w:r>
      <w:r w:rsidR="00D01F5C">
        <w:rPr>
          <w:rFonts w:ascii="Arial" w:hAnsi="Arial" w:cs="Arial"/>
          <w:lang w:val="en-US"/>
        </w:rPr>
        <w:t xml:space="preserve"> </w:t>
      </w:r>
      <w:r w:rsidR="00016D76">
        <w:rPr>
          <w:rFonts w:ascii="Arial" w:hAnsi="Arial" w:cs="Arial"/>
          <w:lang w:val="en-US"/>
        </w:rPr>
        <w:t>to contribute to</w:t>
      </w:r>
      <w:r w:rsidR="00D01F5C">
        <w:rPr>
          <w:rFonts w:ascii="Arial" w:hAnsi="Arial" w:cs="Arial"/>
          <w:lang w:val="en-US"/>
        </w:rPr>
        <w:t xml:space="preserve"> positive </w:t>
      </w:r>
      <w:r w:rsidR="00016D76">
        <w:rPr>
          <w:rFonts w:ascii="Arial" w:hAnsi="Arial" w:cs="Arial"/>
          <w:lang w:val="en-US"/>
        </w:rPr>
        <w:t>treatment responses</w:t>
      </w:r>
      <w:r w:rsidR="00D01F5C">
        <w:rPr>
          <w:rFonts w:ascii="Arial" w:hAnsi="Arial" w:cs="Arial"/>
          <w:lang w:val="en-US"/>
        </w:rPr>
        <w:t xml:space="preserve"> and recovery </w:t>
      </w:r>
      <w:r w:rsidR="00585CBE">
        <w:rPr>
          <w:rFonts w:ascii="Arial" w:hAnsi="Arial" w:cs="Arial"/>
          <w:lang w:val="en-US"/>
        </w:rPr>
        <w:fldChar w:fldCharType="begin"/>
      </w:r>
      <w:r w:rsidR="009E1EF6">
        <w:rPr>
          <w:rFonts w:ascii="Arial" w:hAnsi="Arial" w:cs="Arial"/>
          <w:lang w:val="en-US"/>
        </w:rPr>
        <w:instrText xml:space="preserve"> ADDIN ZOTERO_ITEM CSL_CITATION {"citationID":"v6x9KguX","properties":{"formattedCitation":"(45,47)","plainCitation":"(45,47)","noteIndex":0},"citationItems":[{"id":20341,"uris":["http://zotero.org/users/5535897/items/MP4QLVAX"],"itemData":{"id":20341,"type":"article-journal","abstract":"Objective. The purpose of this study was to determine the association between baseline patient recovery expectations and outcomes following physical therapy care.\nMethods. PubMed, CINAHL Complete, PEDro, SPORTDiscus, Cochrane Central Register of Controlled Trials, Cochrane Database of Systematic Reviews, and PsycINFO were searched from inception to February 2021. Concepts represented in the search included physical therapy, patient expectations, patient outcomes, and their relevant synonyms. Two reviewers independently screened studies of article abstracts and full texts. Eligibility criteria included English language studies that evaluated adults seeking physical therapist intervention for any health condition where both patient outcome (recovery) expectations and functional or other outcome measures were reported. Methodologic standards were assessed using the Critical Appraisal Skills Program criteria. Data were extracted using a custom template for this review with planned descriptive reporting of results. Vote counting was used to measure reported outcomes.\nResults. Twenty-one studies were included in this review, representing 4879 individuals. Studies were most commonly prospective cohort studies or secondary analyses of controlled trials. Varied expectation, outcome, and statistical measures that generally link patient recovery expectations with self-reported outcomes in musculoskeletal practice were used.\nConclusion. Patient recovery expectations are commonly associated with patient outcomes in musculoskeletal physical therapy. Impact. Evidence supports measuring baseline patient expectations as part of a holistic examination process.","container-title":"Physical Therapy","DOI":"10.1093/ptj/pzac008","ISSN":"0031-9023, 1538-6724","issue":"4","language":"en","license":"https://academic.oup.com/journals/pages/open_access/funder_policies/chorus/standard_publication_model","page":"pzac008","source":"DOI.org (Crossref)","title":"The Role of Patient Recovery Expectations in the Outcomes of Physical Therapist Intervention: A Systematic Review","title-short":"The Role of Patient Recovery Expectations in the Outcomes of Physical Therapist Intervention","volume":"102","author":[{"family":"Wassinger","given":"Craig A"},{"family":"Edwards","given":"D Chase"},{"family":"Bourassa","given":"Michael"},{"family":"Reagan","given":"Don"},{"family":"Weyant","given":"Emily C"},{"family":"Walden","given":"Rachel R"}],"issued":{"date-parts":[["2022",4,1]]}}},{"id":11842,"uris":["http://zotero.org/users/5535897/items/EAFFXXV5"],"itemData":{"id":11842,"type":"article-journal","abstract":"Background: It is unknown how well patient treatment expectations are related to outcomes within musculoskeletal physical therapy. The purpose of this scoping review was to examine the association between patient treatment expectations and outcomes following physical therapy care for musculoskeletal injury and to identify gaps in the literature on this topic. Data Sources: PubMed, CINAHL Complete, PEDro, SPORTDiscus, Cochrane Central Register of Controlled Trials, Cochrane Database of Systematic Reviews, and PsycINFO were searched from January 2005. Concepts represented in the search included physical therapy, patient expectations, and patient outcomes, as well as their relevant synonyms. Data Extraction and Summary: A custom spreadsheet was used to chart demographic details, study design, and key findings from eligible studies. The critical appraisal skills programme (CASP) for cohort studies was used to determine reporting comprehensiveness and fit for inclusion into the review.\nResults: Twelve (12) studies were included in this review representing 1855 patients across a variety of patients with musculoskeletal disorders. Studies were most commonly secondary analyses of controlled trials (n = 10) or controlled trials (n = 2) and yielded high CASP scores. A wide range of methods were used to determine patient expectations. The impact of patient treatment expectations was mixed, with some studies indicating a positive relationship between expectation fulfilment and improved outcomes, while others indicate no such relationship.\nConclusion: The relationship between treatment expectations and outcomes within musculoskeletal physical therapy practice is not clear. Future studies with planned comparisons are needed to define appropriate methods to seek patient expectations and measure outcome differences between groups based on expectation fulfilment.","container-title":"Musculoskeletal Care","DOI":"10.1002/msc.1854","ISSN":"1478-2189, 1557-0681","issue":"1","journalAbbreviation":"Musculoskeletal Care","language":"en","page":"e1854","source":"DOI.org (Crossref)","title":"The role of patient treatment specific expectations on the outcomes of musculoskeletal physical therapy treatment: A scoping review","title-short":"The role of patient treatment specific expectations on the outcomes of musculoskeletal physical therapy treatment","volume":"22","author":[{"family":"Wassinger","given":"Craig A."},{"family":"Bourassa","given":"Michael"},{"family":"Rheault","given":"Ian"},{"family":"Carroll","given":"Anthony"},{"family":"Waldecker","given":"Christa"},{"family":"Weyant</w:instrText>
      </w:r>
      <w:r w:rsidR="009E1EF6">
        <w:rPr>
          <w:rFonts w:ascii="Cambria Math" w:hAnsi="Cambria Math" w:cs="Cambria Math"/>
          <w:lang w:val="en-US"/>
        </w:rPr>
        <w:instrText>‐</w:instrText>
      </w:r>
      <w:r w:rsidR="009E1EF6">
        <w:rPr>
          <w:rFonts w:ascii="Arial" w:hAnsi="Arial" w:cs="Arial"/>
          <w:lang w:val="en-US"/>
        </w:rPr>
        <w:instrText xml:space="preserve">Blevins","given":"Emily"},{"family":"Sole","given":"Gisela"},{"family":"Wright","given":"Alexis A."}],"issued":{"date-parts":[["2024",3]]}}}],"schema":"https://github.com/citation-style-language/schema/raw/master/csl-citation.json"} </w:instrText>
      </w:r>
      <w:r w:rsidR="00585CBE">
        <w:rPr>
          <w:rFonts w:ascii="Arial" w:hAnsi="Arial" w:cs="Arial"/>
          <w:lang w:val="en-US"/>
        </w:rPr>
        <w:fldChar w:fldCharType="separate"/>
      </w:r>
      <w:r w:rsidR="009E1EF6">
        <w:rPr>
          <w:rFonts w:ascii="Arial" w:hAnsi="Arial" w:cs="Arial"/>
          <w:noProof/>
          <w:lang w:val="en-US"/>
        </w:rPr>
        <w:t>(45,47)</w:t>
      </w:r>
      <w:r w:rsidR="00585CBE">
        <w:rPr>
          <w:rFonts w:ascii="Arial" w:hAnsi="Arial" w:cs="Arial"/>
          <w:lang w:val="en-US"/>
        </w:rPr>
        <w:fldChar w:fldCharType="end"/>
      </w:r>
      <w:r w:rsidR="00D01F5C">
        <w:rPr>
          <w:rFonts w:ascii="Arial" w:hAnsi="Arial" w:cs="Arial"/>
          <w:lang w:val="en-US"/>
        </w:rPr>
        <w:t>.</w:t>
      </w:r>
      <w:r w:rsidR="00107D60">
        <w:rPr>
          <w:rFonts w:ascii="Arial" w:hAnsi="Arial" w:cs="Arial"/>
          <w:lang w:val="en-US"/>
        </w:rPr>
        <w:t xml:space="preserve"> </w:t>
      </w:r>
      <w:r w:rsidR="006F6913" w:rsidRPr="006F6913">
        <w:rPr>
          <w:rFonts w:ascii="Arial" w:hAnsi="Arial" w:cs="Arial"/>
          <w:lang w:val="en-US"/>
        </w:rPr>
        <w:t xml:space="preserve">In addition, </w:t>
      </w:r>
      <w:r w:rsidR="006F6913" w:rsidRPr="006F6913">
        <w:rPr>
          <w:rFonts w:ascii="Arial" w:hAnsi="Arial" w:cs="Arial"/>
          <w:lang w:val="en-US"/>
        </w:rPr>
        <w:lastRenderedPageBreak/>
        <w:t>the study’s duration</w:t>
      </w:r>
      <w:r w:rsidR="0061255C">
        <w:rPr>
          <w:rFonts w:ascii="Arial" w:hAnsi="Arial" w:cs="Arial"/>
          <w:lang w:val="en-US"/>
        </w:rPr>
        <w:t xml:space="preserve">, </w:t>
      </w:r>
      <w:r w:rsidR="006F6913" w:rsidRPr="006F6913">
        <w:rPr>
          <w:rFonts w:ascii="Arial" w:hAnsi="Arial" w:cs="Arial"/>
          <w:lang w:val="en-US"/>
        </w:rPr>
        <w:t>including a 4-week period of LPM application and a 10-week follow-up</w:t>
      </w:r>
      <w:r w:rsidR="0061255C">
        <w:rPr>
          <w:rFonts w:ascii="Arial" w:hAnsi="Arial" w:cs="Arial"/>
          <w:lang w:val="en-US"/>
        </w:rPr>
        <w:t xml:space="preserve">, </w:t>
      </w:r>
      <w:r w:rsidR="006F6913" w:rsidRPr="006F6913">
        <w:rPr>
          <w:rFonts w:ascii="Arial" w:hAnsi="Arial" w:cs="Arial"/>
          <w:lang w:val="en-US"/>
        </w:rPr>
        <w:t>will allow assessment of both short- and mid-term effects of the technique</w:t>
      </w:r>
      <w:r w:rsidR="00C44DE2">
        <w:rPr>
          <w:rFonts w:ascii="Arial" w:hAnsi="Arial" w:cs="Arial"/>
          <w:lang w:val="en-US"/>
        </w:rPr>
        <w:t>s</w:t>
      </w:r>
      <w:r w:rsidR="006F6913" w:rsidRPr="006F6913">
        <w:rPr>
          <w:rFonts w:ascii="Arial" w:hAnsi="Arial" w:cs="Arial"/>
          <w:lang w:val="en-US"/>
        </w:rPr>
        <w:t xml:space="preserve">, as well as whether these effects are sustained, diminish over time, or indicate a potential need for booster sessions. Chronic musculoskeletal conditions such as AKP often present with fluctuating symptoms that may not fully resolve in the short term and show a high risk of chronicity, with nearly 50% of patients with PFP continuing to experience pain 5 to 8 years after symptom onset </w:t>
      </w:r>
      <w:r w:rsidR="00585CBE">
        <w:rPr>
          <w:rFonts w:ascii="Arial" w:hAnsi="Arial" w:cs="Arial"/>
          <w:lang w:val="en-US"/>
        </w:rPr>
        <w:fldChar w:fldCharType="begin"/>
      </w:r>
      <w:r w:rsidR="00585CBE">
        <w:rPr>
          <w:rFonts w:ascii="Arial" w:hAnsi="Arial" w:cs="Arial"/>
          <w:lang w:val="en-US"/>
        </w:rPr>
        <w:instrText xml:space="preserve"> ADDIN ZOTERO_ITEM CSL_CITATION {"citationID":"XC4MSexH","properties":{"formattedCitation":"(4,6)","plainCitation":"(4,6)","noteIndex":0},"citationItems":[{"id":20189,"uris":["http://zotero.org/users/5535897/items/9B48UC7M"],"itemData":{"id":20189,"type":"article-journal","abstract":"Patellofemoral pain (PFP) is a common musculoskeletal-related condition that is characterized by insidious onset of poorly defined pain, localized to the anterior retropatellar and/or peripatellar region of the knee. The onset of symptoms can be slow or acutely develop with a worsening of pain accompanying lower-limb loading activities (eg, squatting, prolonged sitting, ascending/descending stairs, jumping, or running). Symptoms can restrict participation in physical activity, sports, and work, as well as recur and persist for years. This clinical practice guideline will allow physical therapists and other rehabilitation specialists to stay up to date with evolving PFP knowledge and practices, and help them to make evidence-based treatment decisions. J Orthop Sports Phys Ther. 2019;49(9):CPG1–CPG95. doi:10.2519/jospt.2019.0302","container-title":"Journal of Orthopaedic &amp; Sports Physical Therapy","DOI":"10.2519/jospt.2019.0302","ISSN":"0190-6011, 1938-1344","issue":"9","journalAbbreviation":"Journal of Orthopaedic &amp; Sports Physical Therapy","language":"en","page":"CPG1-CPG95","source":"DOI.org (Crossref)","title":"Patellofemoral Pain: Clinical Practice Guidelines Linked to the International Classification of Functioning, Disability and Health From the Academy of Orthopaedic Physical Therapy of the American Physical Therapy Association","title-short":"Patellofemoral Pain","volume":"49","author":[{"family":"Willy","given":"Richard W."},{"family":"Hoglund","given":"Lisa T."},{"family":"Barton","given":"Christian J."},{"family":"Bolgla","given":"Lori A."},{"family":"Scalzitti","given":"David A."},{"family":"Logerstedt","given":"David S."},{"family":"Lynch","given":"Andrew D."},{"family":"Snyder-Mackler","given":"Lynn"},{"family":"McDonough","given":"Christine M."}],"issued":{"date-parts":[["2019",9]]}}},{"id":20321,"uris":["http://zotero.org/users/5535897/items/56HM8ESR"],"itemData":{"id":20321,"type":"article-journal","abstract":"Objective. The purpose of this study was to conduct a systematic review to evaluate clinical practice guidelines for the physical therapist management of patellofemoral pain.\nMethods. Five electronic databases (CINAHL, Embase, Medline, Psychinfo, Cochrane Library) were searched from January 2013 to October 2019. Additional search methods included searching websites that publish clinical practice guidelines containing recommendations for physical therapist management of patellofemoral pain. Characteristics of the guidelines were extracted, including recommendations for examination, interventions, and evaluation applicable to physical therapist practice. Quality assessment was conducted using the Appraisal of Guidelines for Research and Evaluation (AGREE) II instrument, applicability of recommendations to physical therapist practice was examined using the AGREE Recommendation Excellence instrument, and convergence of recommendations across guidelines was assessed.\nResults. Four clinical practice guidelines were included. One guideline evaluated as higher quality provided the most clinically applicable set of recommendations for examination, interventions, and evaluation processes to assess the effectiveness of interventions. Guideline-recommended interventions were consistent for exercise therapy, foot orthoses, patellar taping, patient education, and combined interventions and did not recommend the use of electrotherapeutic modalities. Two guidelines evaluated as higher quality did not recommend using manual therapy (in isolation), dry needling, and patellar bracing.\nConclusion. Recommendations from higher-quality clinical practice guidelines may conﬂict with routine physical therapist management of patellofemoral pain. This review provides guidance for clinicians to deliver high-value physical therapist management of patellofemoral pain.","container-title":"Physical Therapy","DOI":"10.1093/ptj/pzab021","ISSN":"0031-9023, 1538-6724","issue":"3","language":"en","license":"https://academic.oup.com/journals/pages/open_access/funder_policies/chorus/standard_publication_model","page":"pzab021","source":"DOI.org (Crossref)","title":"A Systematic Review of Clinical Practice Guidelines for Physical Therapist Management of Patellofemoral Pain","volume":"101","author":[{"family":"Wallis","given":"Jason A"},{"family":"Roddy","given":"Leanne"},{"family":"Bottrell","given":"Judy"},{"family":"Parslow","given":"Sue"},{"family":"Taylor","given":"Nicholas F"}],"issued":{"date-parts":[["2021",3,3]]}}}],"schema":"https://github.com/citation-style-language/schema/raw/master/csl-citation.json"} </w:instrText>
      </w:r>
      <w:r w:rsidR="00585CBE">
        <w:rPr>
          <w:rFonts w:ascii="Arial" w:hAnsi="Arial" w:cs="Arial"/>
          <w:lang w:val="en-US"/>
        </w:rPr>
        <w:fldChar w:fldCharType="separate"/>
      </w:r>
      <w:r w:rsidR="00585CBE">
        <w:rPr>
          <w:rFonts w:ascii="Arial" w:hAnsi="Arial" w:cs="Arial"/>
          <w:noProof/>
          <w:lang w:val="en-US"/>
        </w:rPr>
        <w:t>(4,6)</w:t>
      </w:r>
      <w:r w:rsidR="00585CBE">
        <w:rPr>
          <w:rFonts w:ascii="Arial" w:hAnsi="Arial" w:cs="Arial"/>
          <w:lang w:val="en-US"/>
        </w:rPr>
        <w:fldChar w:fldCharType="end"/>
      </w:r>
      <w:r w:rsidR="006F6913" w:rsidRPr="006F6913">
        <w:rPr>
          <w:rFonts w:ascii="Arial" w:hAnsi="Arial" w:cs="Arial"/>
          <w:lang w:val="en-US"/>
        </w:rPr>
        <w:t>. The extended follow-up will also permit evaluation of functional recovery, including return to activity or sport, and long-term safety</w:t>
      </w:r>
      <w:r w:rsidR="006F6913">
        <w:rPr>
          <w:rFonts w:ascii="Arial" w:hAnsi="Arial" w:cs="Arial"/>
          <w:lang w:val="en-US"/>
        </w:rPr>
        <w:t xml:space="preserve"> of the intervention</w:t>
      </w:r>
      <w:r w:rsidR="006F6913" w:rsidRPr="006F6913">
        <w:rPr>
          <w:rFonts w:ascii="Arial" w:hAnsi="Arial" w:cs="Arial"/>
          <w:lang w:val="en-US"/>
        </w:rPr>
        <w:t>, thereby providing a more comprehensive understanding of the clinical utility of LPM.</w:t>
      </w:r>
    </w:p>
    <w:p w14:paraId="411236D4" w14:textId="1B96870B" w:rsidR="005943C8" w:rsidRPr="0037195D" w:rsidRDefault="0063229F" w:rsidP="0037195D">
      <w:pPr>
        <w:spacing w:line="480" w:lineRule="auto"/>
        <w:jc w:val="both"/>
        <w:rPr>
          <w:rFonts w:ascii="Arial" w:hAnsi="Arial" w:cs="Arial"/>
          <w:lang w:val="en-US"/>
        </w:rPr>
      </w:pPr>
      <w:r w:rsidRPr="0063229F">
        <w:rPr>
          <w:rFonts w:ascii="Arial" w:hAnsi="Arial" w:cs="Arial"/>
          <w:lang w:val="en-US"/>
        </w:rPr>
        <w:t xml:space="preserve">We hypothesize that the LPM intervention will result in superior clinical outcomes compared with exercise therapy alone, as previously demonstrated in </w:t>
      </w:r>
      <w:r w:rsidR="00134D39">
        <w:rPr>
          <w:rFonts w:ascii="Arial" w:hAnsi="Arial" w:cs="Arial"/>
          <w:lang w:val="en-US"/>
        </w:rPr>
        <w:t>RCTs</w:t>
      </w:r>
      <w:r w:rsidRPr="0063229F">
        <w:rPr>
          <w:rFonts w:ascii="Arial" w:hAnsi="Arial" w:cs="Arial"/>
          <w:lang w:val="en-US"/>
        </w:rPr>
        <w:t xml:space="preserve"> </w:t>
      </w:r>
      <w:r w:rsidR="00585CBE">
        <w:rPr>
          <w:rFonts w:ascii="Arial" w:hAnsi="Arial" w:cs="Arial"/>
          <w:lang w:val="en-US"/>
        </w:rPr>
        <w:fldChar w:fldCharType="begin"/>
      </w:r>
      <w:r w:rsidR="009E1EF6">
        <w:rPr>
          <w:rFonts w:ascii="Arial" w:hAnsi="Arial" w:cs="Arial"/>
          <w:lang w:val="en-US"/>
        </w:rPr>
        <w:instrText xml:space="preserve"> ADDIN ZOTERO_ITEM CSL_CITATION {"citationID":"XrbGPuMb","properties":{"formattedCitation":"(48)","plainCitation":"(48)","noteIndex":0},"citationItems":[{"id":6489,"uris":["http://zotero.org/users/5535897/items/QGKI63W4"],"itemData":{"id":6489,"type":"article-journal","abstract":"BACKGROUND: Increasing evidence has shown benefits of spinal manipulations in patients with patellofemoral pain syndrome (PFPS). There is scarcity regarding medium term effects of spinal manual therapy on outcome measures in PFPS patients. Therefore, the aim of the present study was to compare the effectiveness of local exercise therapy and spinal manual therapy for knee pain, function and maximum voluntary peak force (MVPF) velocity of the quadriceps in PFPS patients.\nMETHODS: Forty-three patients with PFPS were randomly assigned to a local exercise or spinal manual therapy group. The local exercise group received six sessions (one session per week) of supervised training of the knee-and hip muscles with mobilization of the patellofemoral joint. The spinal manual therapy group received six interventions (one intervention per week) of high velocity low thrust manipulations at the thoracolumbar region, sacroiliac joint, and/or hip. All patients were also asked to do home exercises. Maximum, minimum and current pain were measured using the visual analogue scale. Function was assessed with the anterior knee pain scale (AKPS) and MPFV was recorded using a Biodex System 3 dynamometer. Patients were assessed before intervention, after 6 weeks of intervention and after 6 weeks of follow-up. Between-group differences at assessments were analysed by way of analysis of covariance with Bonferroni correction.\nRESULTS: Pain and functionality improved more following spinal manipulative therapy than local exercise therapy. After 6 weeks of intervention the between-group difference (local versus spinal) for maximal pain was 23.4 mm [95% CI: 9.3, 37.6; effect size (ES): 1.04] and - 12.4 [95% CI: - 20.2, - 4.7; ES: 1.00] for the AKPS. At 6 weeks of follow-up the between-group difference for maximal pain was 18.7 mm [95% CI: 1.4, 36.0; ES: 0.68] and - 11.5 [95% CI: - 19.9, - 3.3; ES: - 0.87] for the AKPS.\nCONCLUSIONS: This study suggests that spinal manual therapy is more effective than local exercise therapy in improving pain and function in patients with PFPS in the medium term. We suggest for future research to investigate whether combining local exercise therapy and spinal manual therapy is more effective than either single intervention on its own. This clinical trial study was approved by the Medical Ethics Committee METC Z under registration number NL57207.096. and registered retrospectively in ClinicalTrials.gov PRS with registration ID number NCT04748692 on the 10th of February 2021.","container-title":"BMC musculoskeletal disorders","DOI":"10.1186/s12891-021-04310-9","ISSN":"1471-2474","issue":"1","journalAbbreviation":"BMC Musculoskelet Disord","language":"eng","page":"446","PMID":"33992100","PMCID":"PMC8126114","source":"PubMed","title":"Effectiveness of local exercise therapy versus spinal manual therapy in patients with patellofemoral pain syndrome: medium term follow-up results of a randomized controlled trial","title-short":"Effectiveness of local exercise therapy versus spinal manual therapy in patients with patellofemoral pain syndrome","volume":"22","author":[{"family":"Scafoglieri","given":"Aldo"},{"family":"Van den Broeck","given":"Jona"},{"family":"Willems","given":"Stijn"},{"family":"Tamminga","given":"Rob"},{"family":"Hoeven","given":"Henk","non-dropping-particle":"van der"},{"family":"Engelsma","given":"Yde"},{"family":"Haverkamp","given":"Stijn"}],"issued":{"date-parts":[["2021",5,15]]}}}],"schema":"https://github.com/citation-style-language/schema/raw/master/csl-citation.json"} </w:instrText>
      </w:r>
      <w:r w:rsidR="00585CBE">
        <w:rPr>
          <w:rFonts w:ascii="Arial" w:hAnsi="Arial" w:cs="Arial"/>
          <w:lang w:val="en-US"/>
        </w:rPr>
        <w:fldChar w:fldCharType="separate"/>
      </w:r>
      <w:r w:rsidR="009E1EF6">
        <w:rPr>
          <w:rFonts w:ascii="Arial" w:hAnsi="Arial" w:cs="Arial"/>
          <w:noProof/>
          <w:lang w:val="en-US"/>
        </w:rPr>
        <w:t>(48)</w:t>
      </w:r>
      <w:r w:rsidR="00585CBE">
        <w:rPr>
          <w:rFonts w:ascii="Arial" w:hAnsi="Arial" w:cs="Arial"/>
          <w:lang w:val="en-US"/>
        </w:rPr>
        <w:fldChar w:fldCharType="end"/>
      </w:r>
      <w:r w:rsidRPr="0063229F">
        <w:rPr>
          <w:rFonts w:ascii="Arial" w:hAnsi="Arial" w:cs="Arial"/>
          <w:lang w:val="en-US"/>
        </w:rPr>
        <w:t>. However, as a pilot study, the present trial primarily aims to estimate the variance in pain-related outcomes to inform the sample size calculation for a larger-scale RCT. A subsequent definitive trial would enable subgroup analyses to explore the differential effects of LPM across diverse populations, considering factors such as age, sex, activity level, and symptom chronicity. These analyses could help identify predictors of treatment success and non-response, supporting the development of personalized intervention strategies and ultimately enhancing both the clinical efficacy and cost-effectiveness of LPM in the management of AKP.</w:t>
      </w:r>
    </w:p>
    <w:p w14:paraId="2ABD4255" w14:textId="77777777" w:rsidR="00AF7FC7" w:rsidRDefault="00AF7FC7" w:rsidP="0037195D">
      <w:pPr>
        <w:spacing w:line="480" w:lineRule="auto"/>
        <w:jc w:val="both"/>
        <w:rPr>
          <w:rFonts w:ascii="Arial" w:hAnsi="Arial" w:cs="Arial"/>
          <w:b/>
          <w:bCs/>
          <w:lang w:val="en-US"/>
        </w:rPr>
      </w:pPr>
    </w:p>
    <w:p w14:paraId="5831008A" w14:textId="50AD7DBB" w:rsidR="00816084" w:rsidRDefault="00816084" w:rsidP="0037195D">
      <w:pPr>
        <w:spacing w:line="480" w:lineRule="auto"/>
        <w:jc w:val="both"/>
        <w:rPr>
          <w:rFonts w:ascii="Arial" w:hAnsi="Arial" w:cs="Arial"/>
          <w:b/>
          <w:bCs/>
          <w:lang w:val="en-US"/>
        </w:rPr>
      </w:pPr>
      <w:r w:rsidRPr="0079620E">
        <w:rPr>
          <w:rFonts w:ascii="Arial" w:hAnsi="Arial" w:cs="Arial"/>
          <w:b/>
          <w:bCs/>
          <w:lang w:val="en-US"/>
        </w:rPr>
        <w:t>Ethics and dissemination</w:t>
      </w:r>
    </w:p>
    <w:p w14:paraId="2810144D" w14:textId="1AAC36EB" w:rsidR="00816084" w:rsidRPr="00D00FB3" w:rsidRDefault="00AB6C8D" w:rsidP="0037195D">
      <w:pPr>
        <w:spacing w:line="480" w:lineRule="auto"/>
        <w:jc w:val="both"/>
        <w:rPr>
          <w:rFonts w:ascii="Arial" w:hAnsi="Arial" w:cs="Arial"/>
          <w:lang w:val="en-US"/>
        </w:rPr>
      </w:pPr>
      <w:r w:rsidRPr="0079620E">
        <w:rPr>
          <w:rFonts w:ascii="Arial" w:hAnsi="Arial" w:cs="Arial"/>
          <w:lang w:val="en-US"/>
        </w:rPr>
        <w:t>Informed consent will be obtained from all participants before enrollment, following a detailed explanation of the study and their rights as participants.</w:t>
      </w:r>
      <w:r>
        <w:rPr>
          <w:rFonts w:ascii="Arial" w:hAnsi="Arial" w:cs="Arial"/>
          <w:lang w:val="en-US"/>
        </w:rPr>
        <w:t xml:space="preserve"> </w:t>
      </w:r>
      <w:r w:rsidR="00816084" w:rsidRPr="0079620E">
        <w:rPr>
          <w:rFonts w:ascii="Arial" w:hAnsi="Arial" w:cs="Arial"/>
          <w:lang w:val="en-US"/>
        </w:rPr>
        <w:t xml:space="preserve">Participants will be informed of the withdrawal process and assured anonymity throughout the study and </w:t>
      </w:r>
      <w:r w:rsidR="00816084" w:rsidRPr="0079620E">
        <w:rPr>
          <w:rFonts w:ascii="Arial" w:hAnsi="Arial" w:cs="Arial"/>
          <w:lang w:val="en-US"/>
        </w:rPr>
        <w:lastRenderedPageBreak/>
        <w:t>during dissemination. Results from this study will be disseminated through scientific, professional and educational reports, publications and presentations.</w:t>
      </w:r>
      <w:r w:rsidR="00100367">
        <w:rPr>
          <w:rFonts w:ascii="Arial" w:hAnsi="Arial" w:cs="Arial"/>
          <w:lang w:val="en-US"/>
        </w:rPr>
        <w:t xml:space="preserve"> </w:t>
      </w:r>
      <w:r w:rsidR="005B0ED9" w:rsidRPr="005B0ED9">
        <w:rPr>
          <w:rFonts w:ascii="Arial" w:hAnsi="Arial" w:cs="Arial"/>
          <w:lang w:val="en-US"/>
        </w:rPr>
        <w:t>A summary of the overall study results will be made available to participants upon request.</w:t>
      </w:r>
      <w:r w:rsidR="005B0ED9">
        <w:rPr>
          <w:rFonts w:ascii="Arial" w:hAnsi="Arial" w:cs="Arial"/>
          <w:lang w:val="en-US"/>
        </w:rPr>
        <w:t xml:space="preserve"> </w:t>
      </w:r>
      <w:r w:rsidR="005B0ED9" w:rsidRPr="005B0ED9">
        <w:rPr>
          <w:rFonts w:ascii="Arial" w:hAnsi="Arial" w:cs="Arial"/>
          <w:lang w:val="en-US"/>
        </w:rPr>
        <w:t xml:space="preserve">Dissemination </w:t>
      </w:r>
      <w:r w:rsidR="005B0ED9">
        <w:rPr>
          <w:rFonts w:ascii="Arial" w:hAnsi="Arial" w:cs="Arial"/>
          <w:lang w:val="en-US"/>
        </w:rPr>
        <w:t>will be</w:t>
      </w:r>
      <w:r w:rsidR="005B0ED9" w:rsidRPr="005B0ED9">
        <w:rPr>
          <w:rFonts w:ascii="Arial" w:hAnsi="Arial" w:cs="Arial"/>
          <w:lang w:val="en-US"/>
        </w:rPr>
        <w:t xml:space="preserve"> expected within 12 months after completion of data analysis.</w:t>
      </w:r>
      <w:r w:rsidR="005B0ED9">
        <w:rPr>
          <w:rFonts w:ascii="Arial" w:hAnsi="Arial" w:cs="Arial"/>
          <w:lang w:val="en-US"/>
        </w:rPr>
        <w:t xml:space="preserve"> </w:t>
      </w:r>
      <w:r w:rsidR="00100367" w:rsidRPr="00100367">
        <w:rPr>
          <w:rFonts w:ascii="Arial" w:hAnsi="Arial" w:cs="Arial"/>
          <w:lang w:val="en-US"/>
        </w:rPr>
        <w:t xml:space="preserve">No ancillary or post-trial care </w:t>
      </w:r>
      <w:r w:rsidR="00100367">
        <w:rPr>
          <w:rFonts w:ascii="Arial" w:hAnsi="Arial" w:cs="Arial"/>
          <w:lang w:val="en-US"/>
        </w:rPr>
        <w:t>will be</w:t>
      </w:r>
      <w:r w:rsidR="00100367" w:rsidRPr="00100367">
        <w:rPr>
          <w:rFonts w:ascii="Arial" w:hAnsi="Arial" w:cs="Arial"/>
          <w:lang w:val="en-US"/>
        </w:rPr>
        <w:t xml:space="preserve"> planned, as this pilot study involves no intervention associated with additional risk and is designed solely to assess feasibility and study procedures. Participants will continue to receive standard care throughout and after the study</w:t>
      </w:r>
      <w:r w:rsidR="00100367">
        <w:rPr>
          <w:rFonts w:ascii="Arial" w:hAnsi="Arial" w:cs="Arial"/>
          <w:lang w:val="en-US"/>
        </w:rPr>
        <w:t xml:space="preserve"> if necessary</w:t>
      </w:r>
      <w:r w:rsidR="00100367" w:rsidRPr="00100367">
        <w:rPr>
          <w:rFonts w:ascii="Arial" w:hAnsi="Arial" w:cs="Arial"/>
          <w:lang w:val="en-US"/>
        </w:rPr>
        <w:t>.</w:t>
      </w:r>
    </w:p>
    <w:p w14:paraId="01F466AE" w14:textId="77777777" w:rsidR="00607D9B" w:rsidRDefault="00607D9B" w:rsidP="0037195D">
      <w:pPr>
        <w:spacing w:line="480" w:lineRule="auto"/>
        <w:jc w:val="both"/>
        <w:rPr>
          <w:rFonts w:ascii="Arial" w:hAnsi="Arial" w:cs="Arial"/>
          <w:b/>
          <w:bCs/>
          <w:lang w:val="en-US"/>
        </w:rPr>
      </w:pPr>
    </w:p>
    <w:p w14:paraId="2CE319C1" w14:textId="31C587B8" w:rsidR="00607D9B" w:rsidRDefault="00607D9B" w:rsidP="0037195D">
      <w:pPr>
        <w:spacing w:line="480" w:lineRule="auto"/>
        <w:jc w:val="both"/>
        <w:rPr>
          <w:rFonts w:ascii="Arial" w:hAnsi="Arial" w:cs="Arial"/>
          <w:b/>
          <w:bCs/>
          <w:lang w:val="en-US"/>
        </w:rPr>
      </w:pPr>
      <w:r w:rsidRPr="0079620E">
        <w:rPr>
          <w:rFonts w:ascii="Arial" w:hAnsi="Arial" w:cs="Arial"/>
          <w:b/>
          <w:bCs/>
          <w:lang w:val="en-US"/>
        </w:rPr>
        <w:t>Participants involvement in the study</w:t>
      </w:r>
    </w:p>
    <w:p w14:paraId="1F5FBA23" w14:textId="77777777" w:rsidR="00607D9B" w:rsidRPr="0079620E" w:rsidRDefault="00607D9B" w:rsidP="0037195D">
      <w:pPr>
        <w:spacing w:line="480" w:lineRule="auto"/>
        <w:jc w:val="both"/>
        <w:rPr>
          <w:rFonts w:ascii="Arial" w:hAnsi="Arial" w:cs="Arial"/>
          <w:lang w:val="en-US"/>
        </w:rPr>
      </w:pPr>
      <w:r w:rsidRPr="0079620E">
        <w:rPr>
          <w:rFonts w:ascii="Arial" w:hAnsi="Arial" w:cs="Arial"/>
          <w:lang w:val="en-US"/>
        </w:rPr>
        <w:t>Participants were not involved in the design, conduct, or reporting of this pilot study. However, participants’ experience with the intervention will be evaluated through measures of satisfaction and perceived benefit, which will inform refinements to the design of a future full-scale trial.</w:t>
      </w:r>
    </w:p>
    <w:p w14:paraId="1888A306" w14:textId="77777777" w:rsidR="00100367" w:rsidRPr="00100367" w:rsidRDefault="00100367" w:rsidP="0037195D">
      <w:pPr>
        <w:spacing w:line="480" w:lineRule="auto"/>
        <w:jc w:val="both"/>
        <w:rPr>
          <w:rFonts w:ascii="Arial" w:hAnsi="Arial" w:cs="Arial"/>
          <w:lang w:val="en-US"/>
        </w:rPr>
      </w:pPr>
    </w:p>
    <w:p w14:paraId="7D2752D5" w14:textId="32DE2467" w:rsidR="006F32A4" w:rsidRPr="0079620E" w:rsidRDefault="006F32A4" w:rsidP="0037195D">
      <w:pPr>
        <w:spacing w:line="480" w:lineRule="auto"/>
        <w:jc w:val="both"/>
        <w:rPr>
          <w:rFonts w:ascii="Arial" w:hAnsi="Arial" w:cs="Arial"/>
          <w:b/>
          <w:bCs/>
          <w:lang w:val="en-US"/>
        </w:rPr>
      </w:pPr>
      <w:r w:rsidRPr="0079620E">
        <w:rPr>
          <w:rFonts w:ascii="Arial" w:hAnsi="Arial" w:cs="Arial"/>
          <w:b/>
          <w:bCs/>
          <w:lang w:val="en-US"/>
        </w:rPr>
        <w:t>Contributors</w:t>
      </w:r>
    </w:p>
    <w:p w14:paraId="0F2756F7" w14:textId="791D501C" w:rsidR="006F32A4" w:rsidRDefault="00695667" w:rsidP="0037195D">
      <w:pPr>
        <w:spacing w:line="480" w:lineRule="auto"/>
        <w:jc w:val="both"/>
        <w:rPr>
          <w:rFonts w:ascii="Arial" w:hAnsi="Arial" w:cs="Arial"/>
          <w:lang w:val="en-US"/>
        </w:rPr>
      </w:pPr>
      <w:r>
        <w:rPr>
          <w:rFonts w:ascii="Arial" w:hAnsi="Arial" w:cs="Arial"/>
          <w:lang w:val="en-US"/>
        </w:rPr>
        <w:t>WS</w:t>
      </w:r>
      <w:r w:rsidR="000A2C41" w:rsidRPr="000A2C41">
        <w:rPr>
          <w:rFonts w:ascii="Arial" w:hAnsi="Arial" w:cs="Arial"/>
          <w:lang w:val="en-US"/>
        </w:rPr>
        <w:t xml:space="preserve"> and </w:t>
      </w:r>
      <w:r>
        <w:rPr>
          <w:rFonts w:ascii="Arial" w:hAnsi="Arial" w:cs="Arial"/>
          <w:lang w:val="en-US"/>
        </w:rPr>
        <w:t>JVC</w:t>
      </w:r>
      <w:r w:rsidR="000A2C41" w:rsidRPr="000A2C41">
        <w:rPr>
          <w:rFonts w:ascii="Arial" w:hAnsi="Arial" w:cs="Arial"/>
          <w:lang w:val="en-US"/>
        </w:rPr>
        <w:t xml:space="preserve"> conceived of the study and developed the protocol, with input from </w:t>
      </w:r>
      <w:r>
        <w:rPr>
          <w:rFonts w:ascii="Arial" w:hAnsi="Arial" w:cs="Arial"/>
          <w:lang w:val="en-US"/>
        </w:rPr>
        <w:t>PL</w:t>
      </w:r>
      <w:r w:rsidR="00A1662F">
        <w:rPr>
          <w:rFonts w:ascii="Arial" w:hAnsi="Arial" w:cs="Arial"/>
          <w:lang w:val="en-US"/>
        </w:rPr>
        <w:t xml:space="preserve"> and </w:t>
      </w:r>
      <w:r>
        <w:rPr>
          <w:rFonts w:ascii="Arial" w:hAnsi="Arial" w:cs="Arial"/>
          <w:lang w:val="en-US"/>
        </w:rPr>
        <w:t>CD</w:t>
      </w:r>
      <w:r w:rsidR="000A2C41" w:rsidRPr="000A2C41">
        <w:rPr>
          <w:rFonts w:ascii="Arial" w:hAnsi="Arial" w:cs="Arial"/>
          <w:lang w:val="en-US"/>
        </w:rPr>
        <w:t xml:space="preserve">. </w:t>
      </w:r>
      <w:r>
        <w:rPr>
          <w:rFonts w:ascii="Arial" w:hAnsi="Arial" w:cs="Arial"/>
          <w:lang w:val="en-US"/>
        </w:rPr>
        <w:t>WS</w:t>
      </w:r>
      <w:r w:rsidR="000A2C41" w:rsidRPr="000A2C41">
        <w:rPr>
          <w:rFonts w:ascii="Arial" w:hAnsi="Arial" w:cs="Arial"/>
          <w:lang w:val="en-US"/>
        </w:rPr>
        <w:t xml:space="preserve"> developed the statistical analyses plan. </w:t>
      </w:r>
      <w:r>
        <w:rPr>
          <w:rFonts w:ascii="Arial" w:hAnsi="Arial" w:cs="Arial"/>
          <w:lang w:val="en-US"/>
        </w:rPr>
        <w:t>WS</w:t>
      </w:r>
      <w:r w:rsidR="000A2C41" w:rsidRPr="000A2C41">
        <w:rPr>
          <w:rFonts w:ascii="Arial" w:hAnsi="Arial" w:cs="Arial"/>
          <w:lang w:val="en-US"/>
        </w:rPr>
        <w:t xml:space="preserve"> wrote the first draft of the manuscript and subsequent revisions, with critical feedback from </w:t>
      </w:r>
      <w:r>
        <w:rPr>
          <w:rFonts w:ascii="Arial" w:hAnsi="Arial" w:cs="Arial"/>
          <w:lang w:val="en-US"/>
        </w:rPr>
        <w:t>JVC</w:t>
      </w:r>
      <w:r w:rsidR="000A2C41" w:rsidRPr="000A2C41">
        <w:rPr>
          <w:rFonts w:ascii="Arial" w:hAnsi="Arial" w:cs="Arial"/>
          <w:lang w:val="en-US"/>
        </w:rPr>
        <w:t>,</w:t>
      </w:r>
      <w:r w:rsidR="00CB4338">
        <w:rPr>
          <w:rFonts w:ascii="Arial" w:hAnsi="Arial" w:cs="Arial"/>
          <w:lang w:val="en-US"/>
        </w:rPr>
        <w:t xml:space="preserve"> </w:t>
      </w:r>
      <w:r>
        <w:rPr>
          <w:rFonts w:ascii="Arial" w:hAnsi="Arial" w:cs="Arial"/>
          <w:lang w:val="en-US"/>
        </w:rPr>
        <w:t>PL</w:t>
      </w:r>
      <w:r w:rsidR="00FE66EE">
        <w:rPr>
          <w:rFonts w:ascii="Arial" w:hAnsi="Arial" w:cs="Arial"/>
          <w:lang w:val="en-US"/>
        </w:rPr>
        <w:t xml:space="preserve">, </w:t>
      </w:r>
      <w:r>
        <w:rPr>
          <w:rFonts w:ascii="Arial" w:hAnsi="Arial" w:cs="Arial"/>
          <w:lang w:val="en-US"/>
        </w:rPr>
        <w:t>CD</w:t>
      </w:r>
      <w:r w:rsidR="00FE66EE">
        <w:rPr>
          <w:rFonts w:ascii="Arial" w:hAnsi="Arial" w:cs="Arial"/>
          <w:lang w:val="en-US"/>
        </w:rPr>
        <w:t xml:space="preserve"> and </w:t>
      </w:r>
      <w:r>
        <w:rPr>
          <w:rFonts w:ascii="Arial" w:hAnsi="Arial" w:cs="Arial"/>
          <w:lang w:val="en-US"/>
        </w:rPr>
        <w:t>MB</w:t>
      </w:r>
      <w:r w:rsidR="000A2C41" w:rsidRPr="000A2C41">
        <w:rPr>
          <w:rFonts w:ascii="Arial" w:hAnsi="Arial" w:cs="Arial"/>
          <w:lang w:val="en-US"/>
        </w:rPr>
        <w:t xml:space="preserve">. </w:t>
      </w:r>
      <w:r>
        <w:rPr>
          <w:rFonts w:ascii="Arial" w:hAnsi="Arial" w:cs="Arial"/>
          <w:lang w:val="en-US"/>
        </w:rPr>
        <w:t>WS</w:t>
      </w:r>
      <w:r w:rsidR="001B4820">
        <w:rPr>
          <w:rFonts w:ascii="Arial" w:hAnsi="Arial" w:cs="Arial"/>
          <w:lang w:val="en-US"/>
        </w:rPr>
        <w:t xml:space="preserve">, </w:t>
      </w:r>
      <w:r>
        <w:rPr>
          <w:rFonts w:ascii="Arial" w:hAnsi="Arial" w:cs="Arial"/>
          <w:lang w:val="en-US"/>
        </w:rPr>
        <w:t>JVC</w:t>
      </w:r>
      <w:r w:rsidR="001B4820">
        <w:rPr>
          <w:rFonts w:ascii="Arial" w:hAnsi="Arial" w:cs="Arial"/>
          <w:lang w:val="en-US"/>
        </w:rPr>
        <w:t xml:space="preserve">, </w:t>
      </w:r>
      <w:r>
        <w:rPr>
          <w:rFonts w:ascii="Arial" w:hAnsi="Arial" w:cs="Arial"/>
          <w:lang w:val="en-US"/>
        </w:rPr>
        <w:t>PL</w:t>
      </w:r>
      <w:r w:rsidR="00FE66EE">
        <w:rPr>
          <w:rFonts w:ascii="Arial" w:hAnsi="Arial" w:cs="Arial"/>
          <w:lang w:val="en-US"/>
        </w:rPr>
        <w:t>,</w:t>
      </w:r>
      <w:r>
        <w:rPr>
          <w:rFonts w:ascii="Arial" w:hAnsi="Arial" w:cs="Arial"/>
          <w:lang w:val="en-US"/>
        </w:rPr>
        <w:t xml:space="preserve"> CD</w:t>
      </w:r>
      <w:r w:rsidR="00FE66EE">
        <w:rPr>
          <w:rFonts w:ascii="Arial" w:hAnsi="Arial" w:cs="Arial"/>
          <w:lang w:val="en-US"/>
        </w:rPr>
        <w:t xml:space="preserve"> </w:t>
      </w:r>
      <w:r w:rsidR="000A2C41" w:rsidRPr="000A2C41">
        <w:rPr>
          <w:rFonts w:ascii="Arial" w:hAnsi="Arial" w:cs="Arial"/>
          <w:lang w:val="en-US"/>
        </w:rPr>
        <w:t xml:space="preserve">and </w:t>
      </w:r>
      <w:r>
        <w:rPr>
          <w:rFonts w:ascii="Arial" w:hAnsi="Arial" w:cs="Arial"/>
          <w:lang w:val="en-US"/>
        </w:rPr>
        <w:t>MB</w:t>
      </w:r>
      <w:r w:rsidR="000A2C41" w:rsidRPr="000A2C41">
        <w:rPr>
          <w:rFonts w:ascii="Arial" w:hAnsi="Arial" w:cs="Arial"/>
          <w:lang w:val="en-US"/>
        </w:rPr>
        <w:t xml:space="preserve"> contributed to the refinement and </w:t>
      </w:r>
      <w:r w:rsidR="00490056" w:rsidRPr="000A2C41">
        <w:rPr>
          <w:rFonts w:ascii="Arial" w:hAnsi="Arial" w:cs="Arial"/>
          <w:lang w:val="en-US"/>
        </w:rPr>
        <w:t>finalization</w:t>
      </w:r>
      <w:r w:rsidR="000A2C41" w:rsidRPr="000A2C41">
        <w:rPr>
          <w:rFonts w:ascii="Arial" w:hAnsi="Arial" w:cs="Arial"/>
          <w:lang w:val="en-US"/>
        </w:rPr>
        <w:t xml:space="preserve"> of the study protocol and trial implementation. All authors contributed to the preparation of this manuscript and have reviewed and approved the final version.</w:t>
      </w:r>
    </w:p>
    <w:p w14:paraId="430A9B14" w14:textId="77777777" w:rsidR="001B4820" w:rsidRDefault="001B4820" w:rsidP="0037195D">
      <w:pPr>
        <w:spacing w:line="480" w:lineRule="auto"/>
        <w:jc w:val="both"/>
        <w:rPr>
          <w:rFonts w:ascii="Arial" w:hAnsi="Arial" w:cs="Arial"/>
          <w:lang w:val="en-US"/>
        </w:rPr>
      </w:pPr>
    </w:p>
    <w:p w14:paraId="1EE118BB" w14:textId="1273C0B9" w:rsidR="006F32A4" w:rsidRDefault="006F32A4" w:rsidP="0037195D">
      <w:pPr>
        <w:spacing w:line="480" w:lineRule="auto"/>
        <w:jc w:val="both"/>
        <w:rPr>
          <w:rFonts w:ascii="Arial" w:hAnsi="Arial" w:cs="Arial"/>
          <w:b/>
          <w:bCs/>
          <w:lang w:val="en-US"/>
        </w:rPr>
      </w:pPr>
      <w:r w:rsidRPr="0079620E">
        <w:rPr>
          <w:rFonts w:ascii="Arial" w:hAnsi="Arial" w:cs="Arial"/>
          <w:b/>
          <w:bCs/>
          <w:lang w:val="en-US"/>
        </w:rPr>
        <w:t>Funding</w:t>
      </w:r>
    </w:p>
    <w:p w14:paraId="7DB53419" w14:textId="6CD00353" w:rsidR="001B4820" w:rsidRDefault="00490056" w:rsidP="0037195D">
      <w:pPr>
        <w:spacing w:line="480" w:lineRule="auto"/>
        <w:jc w:val="both"/>
        <w:rPr>
          <w:rFonts w:ascii="Arial" w:hAnsi="Arial" w:cs="Arial"/>
          <w:lang w:val="en-US"/>
        </w:rPr>
      </w:pPr>
      <w:r w:rsidRPr="00490056">
        <w:rPr>
          <w:rFonts w:ascii="Arial" w:hAnsi="Arial" w:cs="Arial"/>
          <w:lang w:val="en-US"/>
        </w:rPr>
        <w:lastRenderedPageBreak/>
        <w:t>The author(s) declare that no financial support was received for the research and/or publication of this article.</w:t>
      </w:r>
    </w:p>
    <w:p w14:paraId="031C7C6B" w14:textId="04FB417E" w:rsidR="00553979" w:rsidRDefault="00553979" w:rsidP="0037195D">
      <w:pPr>
        <w:spacing w:line="480" w:lineRule="auto"/>
        <w:jc w:val="both"/>
        <w:rPr>
          <w:rFonts w:ascii="Arial" w:hAnsi="Arial" w:cs="Arial"/>
          <w:lang w:val="en-US"/>
        </w:rPr>
      </w:pPr>
    </w:p>
    <w:p w14:paraId="360C2D9B" w14:textId="3C3F42A5" w:rsidR="00553979" w:rsidRDefault="00553979" w:rsidP="0037195D">
      <w:pPr>
        <w:spacing w:line="480" w:lineRule="auto"/>
        <w:jc w:val="both"/>
        <w:rPr>
          <w:rFonts w:ascii="Arial" w:hAnsi="Arial" w:cs="Arial"/>
          <w:b/>
          <w:bCs/>
          <w:lang w:val="en-US"/>
        </w:rPr>
      </w:pPr>
      <w:r>
        <w:rPr>
          <w:rFonts w:ascii="Arial" w:hAnsi="Arial" w:cs="Arial"/>
          <w:b/>
          <w:bCs/>
          <w:lang w:val="en-US"/>
        </w:rPr>
        <w:t>Competing interests</w:t>
      </w:r>
    </w:p>
    <w:p w14:paraId="0F0C9E57" w14:textId="77777777" w:rsidR="00553979" w:rsidRPr="0079620E" w:rsidRDefault="00553979" w:rsidP="0037195D">
      <w:pPr>
        <w:spacing w:line="480" w:lineRule="auto"/>
        <w:jc w:val="both"/>
        <w:rPr>
          <w:rFonts w:ascii="Arial" w:hAnsi="Arial" w:cs="Arial"/>
          <w:lang w:val="en-US"/>
        </w:rPr>
      </w:pPr>
      <w:r w:rsidRPr="0079620E">
        <w:rPr>
          <w:rFonts w:ascii="Arial" w:hAnsi="Arial" w:cs="Arial"/>
          <w:lang w:val="en-US"/>
        </w:rPr>
        <w:t>Neither the authors nor their affiliated institutions have any competing or conflicting interests in relation to this study.</w:t>
      </w:r>
    </w:p>
    <w:p w14:paraId="61EC77D3" w14:textId="280D2DE7" w:rsidR="00553979" w:rsidRDefault="00553979" w:rsidP="0037195D">
      <w:pPr>
        <w:spacing w:line="480" w:lineRule="auto"/>
        <w:jc w:val="both"/>
        <w:rPr>
          <w:rFonts w:ascii="Arial" w:hAnsi="Arial" w:cs="Arial"/>
          <w:lang w:val="en-US"/>
        </w:rPr>
      </w:pPr>
    </w:p>
    <w:p w14:paraId="02D48A03" w14:textId="1ABE6DC5" w:rsidR="0058321B" w:rsidRPr="0079620E" w:rsidRDefault="0058321B" w:rsidP="0037195D">
      <w:pPr>
        <w:spacing w:line="480" w:lineRule="auto"/>
        <w:rPr>
          <w:rFonts w:ascii="Arial" w:hAnsi="Arial" w:cs="Arial"/>
          <w:lang w:val="en-US"/>
        </w:rPr>
      </w:pPr>
      <w:r w:rsidRPr="0079620E">
        <w:rPr>
          <w:rFonts w:ascii="Arial" w:hAnsi="Arial" w:cs="Arial"/>
          <w:lang w:val="en-US"/>
        </w:rPr>
        <w:br w:type="page"/>
      </w:r>
    </w:p>
    <w:p w14:paraId="4FBEF4BB" w14:textId="67902FDC" w:rsidR="0058321B" w:rsidRDefault="0058321B" w:rsidP="0037195D">
      <w:pPr>
        <w:spacing w:line="480" w:lineRule="auto"/>
        <w:jc w:val="both"/>
        <w:rPr>
          <w:rFonts w:ascii="Arial" w:hAnsi="Arial" w:cs="Arial"/>
          <w:b/>
          <w:bCs/>
          <w:lang w:val="en-US"/>
        </w:rPr>
      </w:pPr>
      <w:r>
        <w:rPr>
          <w:rFonts w:ascii="Arial" w:hAnsi="Arial" w:cs="Arial"/>
          <w:b/>
          <w:bCs/>
          <w:lang w:val="en-US"/>
        </w:rPr>
        <w:lastRenderedPageBreak/>
        <w:t>References</w:t>
      </w:r>
    </w:p>
    <w:p w14:paraId="5E94BA37" w14:textId="77777777" w:rsidR="00081580" w:rsidRPr="00081580" w:rsidRDefault="0058321B" w:rsidP="0037195D">
      <w:pPr>
        <w:pStyle w:val="Bibliographie"/>
        <w:spacing w:line="480" w:lineRule="auto"/>
        <w:rPr>
          <w:rFonts w:eastAsiaTheme="minorHAnsi"/>
          <w:lang w:val="en-US" w:eastAsia="en-US"/>
        </w:rPr>
      </w:pPr>
      <w:r>
        <w:rPr>
          <w:rFonts w:ascii="Arial" w:hAnsi="Arial" w:cs="Arial"/>
          <w:lang w:val="en-US"/>
        </w:rPr>
        <w:fldChar w:fldCharType="begin"/>
      </w:r>
      <w:r w:rsidR="009E1EF6">
        <w:rPr>
          <w:rFonts w:ascii="Arial" w:hAnsi="Arial" w:cs="Arial"/>
          <w:lang w:val="en-US"/>
        </w:rPr>
        <w:instrText xml:space="preserve"> ADDIN ZOTERO_BIBL {"uncited":[],"omitted":[],"custom":[]} CSL_BIBLIOGRAPHY </w:instrText>
      </w:r>
      <w:r>
        <w:rPr>
          <w:rFonts w:ascii="Arial" w:hAnsi="Arial" w:cs="Arial"/>
          <w:lang w:val="en-US"/>
        </w:rPr>
        <w:fldChar w:fldCharType="separate"/>
      </w:r>
      <w:r w:rsidR="00081580" w:rsidRPr="00081580">
        <w:rPr>
          <w:rFonts w:eastAsiaTheme="minorHAnsi"/>
          <w:lang w:val="en-US" w:eastAsia="en-US"/>
        </w:rPr>
        <w:t>1.</w:t>
      </w:r>
      <w:r w:rsidR="00081580" w:rsidRPr="00081580">
        <w:rPr>
          <w:rFonts w:eastAsiaTheme="minorHAnsi"/>
          <w:lang w:val="en-US" w:eastAsia="en-US"/>
        </w:rPr>
        <w:tab/>
        <w:t>Kuwabara A, Fredericson M. Narrative: Review of Anterior Knee Pain Differential Diagnosis (Other than Patellofemoral Pain). Curr Rev Musculoskelet Med. 2021 Jun;14(3):232–8. doi:10.1007/s12178-021-09704-9</w:t>
      </w:r>
    </w:p>
    <w:p w14:paraId="0AB8AFE4"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w:t>
      </w:r>
      <w:r w:rsidRPr="00081580">
        <w:rPr>
          <w:rFonts w:eastAsiaTheme="minorHAnsi"/>
          <w:lang w:val="en-US" w:eastAsia="en-US"/>
        </w:rPr>
        <w:tab/>
        <w:t>Duong V, Oo WM, Ding C, Culvenor AG, Hunter DJ. Evaluation and Treatment of Knee Pain: A Review. JAMA. 2023 Oct 24;330(16):1568. doi:10.1001/jama.2023.19675</w:t>
      </w:r>
    </w:p>
    <w:p w14:paraId="6A40847C"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3.</w:t>
      </w:r>
      <w:r w:rsidRPr="00081580">
        <w:rPr>
          <w:rFonts w:eastAsiaTheme="minorHAnsi"/>
          <w:lang w:val="en-US" w:eastAsia="en-US"/>
        </w:rPr>
        <w:tab/>
        <w:t>Nutarelli S, Lodi CMTD, Cook JL, Deabate L, Filardo G. Epidemiology of Patellar Tendinopathy in Athletes and the General Population: A Systematic Review and Meta-analysis. Orthop J Sports Med. 2023 Jun 1;11(6):23259671231173659. doi:10.1177/23259671231173659</w:t>
      </w:r>
    </w:p>
    <w:p w14:paraId="48276DE6"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4.</w:t>
      </w:r>
      <w:r w:rsidRPr="00081580">
        <w:rPr>
          <w:rFonts w:eastAsiaTheme="minorHAnsi"/>
          <w:lang w:val="en-US" w:eastAsia="en-US"/>
        </w:rPr>
        <w:tab/>
        <w:t>Willy RW, Hoglund LT, Barton CJ, Bolgla LA, Scalzitti DA, Logerstedt DS, et al. Patellofemoral Pain: Clinical Practice Guidelines Linked to the International Classification of Functioning, Disability and Health From the Academy of Orthopaedic Physical Therapy of the American Physical Therapy Association. J Orthop Sports Phys Ther. 2019 Sep;49(9):CPG1–95. doi:10.2519/jospt.2019.0302</w:t>
      </w:r>
    </w:p>
    <w:p w14:paraId="2BAFFD21"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5.</w:t>
      </w:r>
      <w:r w:rsidRPr="00081580">
        <w:rPr>
          <w:rFonts w:eastAsiaTheme="minorHAnsi"/>
          <w:lang w:val="en-US" w:eastAsia="en-US"/>
        </w:rPr>
        <w:tab/>
        <w:t>Challoumas D, Pedret C, Biddle M, Ng NYB, Kirwan P, Cooper B, et al. Management of patellar tendinopathy: a systematic review and network meta-analysis of randomised studies. BMJ Open Sport Exerc Med. 2021 Nov;7(4):e001110. doi:10.1136/bmjsem-2021-001110</w:t>
      </w:r>
    </w:p>
    <w:p w14:paraId="198E9609"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6.</w:t>
      </w:r>
      <w:r w:rsidRPr="00081580">
        <w:rPr>
          <w:rFonts w:eastAsiaTheme="minorHAnsi"/>
          <w:lang w:val="en-US" w:eastAsia="en-US"/>
        </w:rPr>
        <w:tab/>
        <w:t>Wallis JA, Roddy L, Bottrell J, Parslow S, Taylor NF. A Systematic Review of Clinical Practice Guidelines for Physical Therapist Management of Patellofemoral Pain. Phys Ther. 2021 Mar 3;101(3):pzab021. doi:10.1093/ptj/pzab021</w:t>
      </w:r>
    </w:p>
    <w:p w14:paraId="0E1E8FD8"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lastRenderedPageBreak/>
        <w:t>7.</w:t>
      </w:r>
      <w:r w:rsidRPr="00081580">
        <w:rPr>
          <w:rFonts w:eastAsiaTheme="minorHAnsi"/>
          <w:lang w:val="en-US" w:eastAsia="en-US"/>
        </w:rPr>
        <w:tab/>
        <w:t>George SZ, Fritz JM, Silfies SP, Schneider MJ, Beneciuk JM, Lentz TA, et al. Interventions for the Management of Acute and Chronic Low Back Pain: Revision 2021. J Orthop Sports Phys Ther. 2021 Nov;51(11):CPG1–60. doi:10.2519/jospt.2021.0304 PubMed PMID: 34719942; PubMed Central PMCID: PMC10508241.</w:t>
      </w:r>
    </w:p>
    <w:p w14:paraId="45810A44"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8.</w:t>
      </w:r>
      <w:r w:rsidRPr="00081580">
        <w:rPr>
          <w:rFonts w:eastAsiaTheme="minorHAnsi"/>
          <w:lang w:val="en-US" w:eastAsia="en-US"/>
        </w:rPr>
        <w:tab/>
        <w:t>Keter DL, Bialosky JE, Brochetti K, Courtney CA, Funabashi M, Karas S, et al. The mechanisms of manual therapy: A living review of systematic, narrative, and scoping reviews. Sommer C, editor. PLOS ONE. 2025 Mar 18;20(3):e0319586. doi:10.1371/journal.pone.0319586</w:t>
      </w:r>
    </w:p>
    <w:p w14:paraId="0273A068"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9.</w:t>
      </w:r>
      <w:r w:rsidRPr="00081580">
        <w:rPr>
          <w:rFonts w:eastAsiaTheme="minorHAnsi"/>
          <w:lang w:val="en-US" w:eastAsia="en-US"/>
        </w:rPr>
        <w:tab/>
        <w:t>Courtney CA, Witte PO, Chmell SJ, Hornby TG. Heightened Flexor Withdrawal Response in Individuals With Knee Osteoarthritis Is Modulated by Joint Compression and Joint Mobilization. J Pain. 2010 Feb;11(2):179–85. doi:10.1016/j.jpain.2009.07.005</w:t>
      </w:r>
    </w:p>
    <w:p w14:paraId="28DD771F"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10.</w:t>
      </w:r>
      <w:r w:rsidRPr="00081580">
        <w:rPr>
          <w:rFonts w:eastAsiaTheme="minorHAnsi"/>
          <w:lang w:val="en-US" w:eastAsia="en-US"/>
        </w:rPr>
        <w:tab/>
        <w:t>Lo CN, Ng J, Au CK, Lim ECW. The Effectiveness of Spinal Manipulation in Increasing Muscle Strength in Healthy Individuals: A Systematic Review and Meta-Analysis. J Manipulative Physiol Ther. 2019 Feb;42(2):148–58. doi:10.1016/j.jmpt.2018.10.003</w:t>
      </w:r>
    </w:p>
    <w:p w14:paraId="532FA2BA"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11.</w:t>
      </w:r>
      <w:r w:rsidRPr="00081580">
        <w:rPr>
          <w:rFonts w:eastAsiaTheme="minorHAnsi"/>
          <w:lang w:val="en-US" w:eastAsia="en-US"/>
        </w:rPr>
        <w:tab/>
        <w:t>Grindstaff TL, Hertel J, Beazell JR, Magrum EM, Ingersoll CD. Effects of lumbopelvic joint manipulation on quadriceps activation and strength in healthy individuals. Man Ther. 2009 Aug;14(4):415–20. doi:10.1016/j.math.2008.06.005 PubMed PMID: 18805726.</w:t>
      </w:r>
    </w:p>
    <w:p w14:paraId="65828878"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12.</w:t>
      </w:r>
      <w:r w:rsidRPr="00081580">
        <w:rPr>
          <w:rFonts w:eastAsiaTheme="minorHAnsi"/>
          <w:lang w:val="en-US" w:eastAsia="en-US"/>
        </w:rPr>
        <w:tab/>
        <w:t>Lin LH, Lin TY, Chang KV, Wu WT, Özçakar L. The Effect of Lumbopelvic Manipulation for Pain Reduction in Patellofemoral Pain Syndrome: A Systematic Review and Meta-Analysis of Randomized Controlled Trials. Life. 2024 Jun 28;14(7):831. doi:10.3390/life14070831</w:t>
      </w:r>
    </w:p>
    <w:p w14:paraId="5BBA47B2"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lastRenderedPageBreak/>
        <w:t>13.</w:t>
      </w:r>
      <w:r w:rsidRPr="00081580">
        <w:rPr>
          <w:rFonts w:eastAsiaTheme="minorHAnsi"/>
          <w:lang w:val="en-US" w:eastAsia="en-US"/>
        </w:rPr>
        <w:tab/>
        <w:t>Maddox CD, Subialka JA, Young JL, Rhon DI. Over Half of Clinical Trials of Mobilization and Manipulation for Patients With Low Back Pain May Have Limited Real-World Applicability: A Systematic Review of 132 Clinical Trials. J Orthop Sports Phys Ther. 2022 Aug;52(8):532–45. doi:10.2519/jospt.2022.10962</w:t>
      </w:r>
    </w:p>
    <w:p w14:paraId="145D6B48"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14.</w:t>
      </w:r>
      <w:r w:rsidRPr="00081580">
        <w:rPr>
          <w:rFonts w:eastAsiaTheme="minorHAnsi"/>
          <w:lang w:val="en-US" w:eastAsia="en-US"/>
        </w:rPr>
        <w:tab/>
        <w:t>Ezzatvar Y, Dueñas L, Balasch-Bernat M, Lluch-Girbés E, Rossettini G. Which Portion of Physiotherapy Treatments’ Effect Is Not Attributable to the Specific Effects in People With Musculoskeletal Pain? A Meta-Analysis of Randomized Placebo-Controlled Trials. J Orthop Sports Phys Ther. 2024 Jun;54(6):391–9. doi:10.2519/jospt.2024.12126</w:t>
      </w:r>
    </w:p>
    <w:p w14:paraId="5EE9670C"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15.</w:t>
      </w:r>
      <w:r w:rsidRPr="00081580">
        <w:rPr>
          <w:rFonts w:eastAsiaTheme="minorHAnsi"/>
          <w:lang w:val="en-US" w:eastAsia="en-US"/>
        </w:rPr>
        <w:tab/>
        <w:t>Bialosky JE, Bishop MD, Price DD, Robinson ME, George SZ. The Mechanisms of Manual Therapy in the Treatment of Musculoskeletal Pain: A Comprehensive Model. Man Ther. 2009 Oct;14(5):531–8. doi:10.1016/j.math.2008.09.001 PubMed PMID: 19027342; PubMed Central PMCID: PMC2775050.</w:t>
      </w:r>
    </w:p>
    <w:p w14:paraId="3B23128C"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16.</w:t>
      </w:r>
      <w:r w:rsidRPr="00081580">
        <w:rPr>
          <w:rFonts w:eastAsiaTheme="minorHAnsi"/>
          <w:lang w:val="en-US" w:eastAsia="en-US"/>
        </w:rPr>
        <w:tab/>
        <w:t>Bialosky JE, Bishop MD, Robinson ME, Barabas JA, George SZ. The influence of expectation on spinal manipulation induced hypoalgesia: an experimental study in normal subjects. BMC Musculoskelet Disord. 2008 Feb 11;9:19. doi:10.1186/1471-2474-9-19 PubMed PMID: 18267029; PubMed Central PMCID: PMC2270829.</w:t>
      </w:r>
    </w:p>
    <w:p w14:paraId="4B8B60DF"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17.</w:t>
      </w:r>
      <w:r w:rsidRPr="00081580">
        <w:rPr>
          <w:rFonts w:eastAsiaTheme="minorHAnsi"/>
          <w:lang w:val="en-US" w:eastAsia="en-US"/>
        </w:rPr>
        <w:tab/>
        <w:t>Eklund A, De Carvalho D, Pagé I, Wong A, Johansson MS, Pohlman KA, et al. Expectations influence treatment outcomes in patients with low back pain. A secondary analysis of data from a randomized clinical trial. Eur J Pain. 2019;23(7):1378–89. doi:10.1002/ejp.1407</w:t>
      </w:r>
    </w:p>
    <w:p w14:paraId="3D1026F3"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18.</w:t>
      </w:r>
      <w:r w:rsidRPr="00081580">
        <w:rPr>
          <w:rFonts w:eastAsiaTheme="minorHAnsi"/>
          <w:lang w:val="en-US" w:eastAsia="en-US"/>
        </w:rPr>
        <w:tab/>
        <w:t xml:space="preserve">Chan AW, Tetzlaff JM, Altman DG, Laupacis A, Gøtzsche PC, Krleža-Jerić K, et al. SPIRIT 2013 Statement: Defining Standard Protocol Items for Clinical Trials. Ann Intern </w:t>
      </w:r>
      <w:r w:rsidRPr="00081580">
        <w:rPr>
          <w:rFonts w:eastAsiaTheme="minorHAnsi"/>
          <w:lang w:val="en-US" w:eastAsia="en-US"/>
        </w:rPr>
        <w:lastRenderedPageBreak/>
        <w:t>Med. 2013 Feb 5;158(3):200–7. doi:10.7326/0003-4819-158-3-201302050-00583 PubMed PMID: 23295957; PubMed Central PMCID: PMC5114123.</w:t>
      </w:r>
    </w:p>
    <w:p w14:paraId="2FB30D3F"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19.</w:t>
      </w:r>
      <w:r w:rsidRPr="00081580">
        <w:rPr>
          <w:rFonts w:eastAsiaTheme="minorHAnsi"/>
          <w:lang w:val="en-US" w:eastAsia="en-US"/>
        </w:rPr>
        <w:tab/>
        <w:t>Hróbjartsson A, Boutron I, Hopewell S, Moher D, Schulz KF, Collins GS, et al. SPIRIT 2025 explanation and elaboration: updated guideline for protocols of randomised trials. BMJ. 2025 Apr 28;389:e081660. doi:10.1136/bmj-2024-081660</w:t>
      </w:r>
    </w:p>
    <w:p w14:paraId="031002FB"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20.</w:t>
      </w:r>
      <w:r w:rsidRPr="00081580">
        <w:rPr>
          <w:rFonts w:eastAsiaTheme="minorHAnsi"/>
          <w:lang w:val="en-US" w:eastAsia="en-US"/>
        </w:rPr>
        <w:tab/>
        <w:t>Eldridge SM, Chan CL, Campbell MJ, Bond CM, Hopewell S, Thabane L, et al. CONSORT 2010 statement: extension to randomised pilot and feasibility trials. BMJ. 2016 Oct 24;i5239. doi:10.1136/bmj.i5239</w:t>
      </w:r>
    </w:p>
    <w:p w14:paraId="184F098A"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21.</w:t>
      </w:r>
      <w:r w:rsidRPr="00081580">
        <w:rPr>
          <w:rFonts w:eastAsiaTheme="minorHAnsi"/>
          <w:lang w:val="en-US" w:eastAsia="en-US"/>
        </w:rPr>
        <w:tab/>
        <w:t>Groeneweg R, Rubinstein SM, Oostendorp RAB, Ostelo RWJG, Van Tulder MW. Guideline for Reporting Interventions on Spinal Manipulative Therapy: Consensus on Interventions Reporting Criteria List for Spinal Manipulative Therapy (CIRCLe SMT). J Manipulative Physiol Ther. 2017 Feb;40(2):61–70. doi:10.1016/j.jmpt.2016.10.013</w:t>
      </w:r>
    </w:p>
    <w:p w14:paraId="2B2DA903"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22.</w:t>
      </w:r>
      <w:r w:rsidRPr="00081580">
        <w:rPr>
          <w:rFonts w:eastAsiaTheme="minorHAnsi"/>
          <w:lang w:val="en-US" w:eastAsia="en-US"/>
        </w:rPr>
        <w:tab/>
        <w:t>Malliaras P, Cook J, Purdam C, Rio E. Patellar tendinopathy: clinical diagnosis, load management, and advice for challenging case presentations. J Orthop Sports Phys Ther. 2015;45(11):887–98. doi:10.2519/jospt.2015.5987 PubMed PMID: 23802873.</w:t>
      </w:r>
    </w:p>
    <w:p w14:paraId="11B99336"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23.</w:t>
      </w:r>
      <w:r w:rsidRPr="00081580">
        <w:rPr>
          <w:rFonts w:eastAsiaTheme="minorHAnsi"/>
          <w:lang w:val="en-US" w:eastAsia="en-US"/>
        </w:rPr>
        <w:tab/>
        <w:t>Grindstaff TL, Hertel J, Beazell JR, Magrum EM, Kerrigan DC, Fan X, et al. Lumbopelvic joint manipulation and quadriceps activation of people with patellofemoral pain syndrome. J Athl Train. 2012;47(1):24–31. doi:10.4085/1062-6050-47.1.24 PubMed PMID: 22488227; PubMed Central PMCID: PMC3418111.</w:t>
      </w:r>
    </w:p>
    <w:p w14:paraId="17513E29"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24.</w:t>
      </w:r>
      <w:r w:rsidRPr="00081580">
        <w:rPr>
          <w:rFonts w:eastAsiaTheme="minorHAnsi"/>
          <w:lang w:val="en-US" w:eastAsia="en-US"/>
        </w:rPr>
        <w:tab/>
        <w:t xml:space="preserve">Miller J, Westrick R, Diebal A, Marks C, Gerber JP. Immediate effects of lumbopelvic manipulation and lateral gluteal kinesio taping on unilateral patellofemoral pain syndrome: a pilot study. Sports Health. 2013 May;5(3):214–9. </w:t>
      </w:r>
      <w:r w:rsidRPr="00081580">
        <w:rPr>
          <w:rFonts w:eastAsiaTheme="minorHAnsi"/>
          <w:lang w:val="en-US" w:eastAsia="en-US"/>
        </w:rPr>
        <w:lastRenderedPageBreak/>
        <w:t>doi:10.1177/1941738112473561 PubMed PMID: 24427391; PubMed Central PMCID: PMC3658409.</w:t>
      </w:r>
    </w:p>
    <w:p w14:paraId="22CA5F92"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25.</w:t>
      </w:r>
      <w:r w:rsidRPr="00081580">
        <w:rPr>
          <w:rFonts w:eastAsiaTheme="minorHAnsi"/>
          <w:lang w:val="en-US" w:eastAsia="en-US"/>
        </w:rPr>
        <w:tab/>
        <w:t>Motealleh A, Gheysari E, Shokri E, Sobhani S. The immediate effect of lumbopelvic manipulation on EMG of vasti and gluteus medius in athletes with patellofemoral pain syndrome: A randomized controlled trial. Man Ther. 2016 Apr;22:16–21. doi:10.1016/j.math.2016.02.002 PubMed PMID: 26995778.</w:t>
      </w:r>
    </w:p>
    <w:p w14:paraId="48C1321D"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26.</w:t>
      </w:r>
      <w:r w:rsidRPr="00081580">
        <w:rPr>
          <w:rFonts w:eastAsiaTheme="minorHAnsi"/>
          <w:lang w:val="en-US" w:eastAsia="en-US"/>
        </w:rPr>
        <w:tab/>
        <w:t>Motealleh A, Barzegar A, Abbasi L. The immediate effect of lumbopelvic manipulation on knee pain, knee position sense, and balance in patients with patellofemoral pain: A randomized controlled trial. J Bodyw Mov Ther. 2020 Jul;24(3):71–7. doi:10.1016/j.jbmt.2020.01.006 PubMed PMID: 32826011.</w:t>
      </w:r>
    </w:p>
    <w:p w14:paraId="36AC66B7"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27.</w:t>
      </w:r>
      <w:r w:rsidRPr="00081580">
        <w:rPr>
          <w:rFonts w:eastAsiaTheme="minorHAnsi"/>
          <w:lang w:val="en-US" w:eastAsia="en-US"/>
        </w:rPr>
        <w:tab/>
        <w:t>Zafarian T, Taghipour M, Khafri S, Bahrami M, Javanshir K. The effect of lumbopelvic manipulation on electromyography parameters of gluteus medius and vastus medialis in patients with patellofemoral pain syndrome: A double-blind, placebo-controlled trial. Int J Osteopath Med. 2023;50. Located at: Scopus. doi:10.1016/j.ijosm.2023.100667</w:t>
      </w:r>
    </w:p>
    <w:p w14:paraId="0EED4EB4"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28.</w:t>
      </w:r>
      <w:r w:rsidRPr="00081580">
        <w:rPr>
          <w:rFonts w:eastAsiaTheme="minorHAnsi"/>
          <w:lang w:val="en-US" w:eastAsia="en-US"/>
        </w:rPr>
        <w:tab/>
        <w:t>Kerry R, Young KJ, Evans DW, Lee E, Georgopoulos V, Meakins A, et al. A modern way to teach and practice manual therapy. Chiropr Man Ther. 2024 May 21;32(1):17. doi:10.1186/s12998-024-00537-0</w:t>
      </w:r>
    </w:p>
    <w:p w14:paraId="40F10929"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29.</w:t>
      </w:r>
      <w:r w:rsidRPr="00081580">
        <w:rPr>
          <w:rFonts w:eastAsiaTheme="minorHAnsi"/>
          <w:lang w:val="en-US" w:eastAsia="en-US"/>
        </w:rPr>
        <w:tab/>
        <w:t>Lougee H, Johnston RG, Thomson OP. The suitability of sham treatments for use as placebo controls in trials of spinal manipulative therapy: A pilot study. J Bodyw Mov Ther. 2013 Jan;17(1):59–68. Located at: sph</w:t>
      </w:r>
    </w:p>
    <w:p w14:paraId="79F94574"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30.</w:t>
      </w:r>
      <w:r w:rsidRPr="00081580">
        <w:rPr>
          <w:rFonts w:eastAsiaTheme="minorHAnsi"/>
          <w:lang w:val="en-US" w:eastAsia="en-US"/>
        </w:rPr>
        <w:tab/>
        <w:t>Chaibi A, Šaltytė Benth J, Bjørn Russell M. Validation of Placebo in a Manual Therapy Randomized Controlled Trial. Sci Rep. 2015 Jul 6;5(1):11774. doi:10.1038/srep11774</w:t>
      </w:r>
    </w:p>
    <w:p w14:paraId="6AEA71FE"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lastRenderedPageBreak/>
        <w:t>31.</w:t>
      </w:r>
      <w:r w:rsidRPr="00081580">
        <w:rPr>
          <w:rFonts w:eastAsiaTheme="minorHAnsi"/>
          <w:lang w:val="en-US" w:eastAsia="en-US"/>
        </w:rPr>
        <w:tab/>
        <w:t>Karas S, Plankis L. Consideration of treatment fidelity to improve manual therapy research. J Man Manip Ther. 2016 Aug 7;24(4):233–7. doi:10.1080/10669817.2015.1135555</w:t>
      </w:r>
    </w:p>
    <w:p w14:paraId="3F240B0B"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32.</w:t>
      </w:r>
      <w:r w:rsidRPr="00081580">
        <w:rPr>
          <w:rFonts w:eastAsiaTheme="minorHAnsi"/>
          <w:lang w:val="en-US" w:eastAsia="en-US"/>
        </w:rPr>
        <w:tab/>
        <w:t>Bang H, Ni L, Davis CE. Assessment of blinding in clinical trials. Control Clin Trials. 2004 Apr;25(2):143–56. doi:10.1016/j.cct.2003.10.016</w:t>
      </w:r>
    </w:p>
    <w:p w14:paraId="64C882E1"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33.</w:t>
      </w:r>
      <w:r w:rsidRPr="00081580">
        <w:rPr>
          <w:rFonts w:eastAsiaTheme="minorHAnsi"/>
          <w:lang w:val="en-US" w:eastAsia="en-US"/>
        </w:rPr>
        <w:tab/>
        <w:t>Bang H, Flaherty SP, Kolahi J, Park J. Blinding assessment in clinical trials: A review of statistical methods and a proposal of blinding assessment protocol. Clin Res Regul Aff. 2010 Jun;27(2):42–51. doi:10.3109/10601331003777444</w:t>
      </w:r>
    </w:p>
    <w:p w14:paraId="7B51E26D"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34.</w:t>
      </w:r>
      <w:r w:rsidRPr="00081580">
        <w:rPr>
          <w:rFonts w:eastAsiaTheme="minorHAnsi"/>
          <w:lang w:val="en-US" w:eastAsia="en-US"/>
        </w:rPr>
        <w:tab/>
        <w:t>Peryer G, Golder S, Junqueira D, Vohra, Sunita, Loke YK. Cochrane [Internet]. 2022. Chapter 19: Adverse effects. In: Higgins J, Thmoas J, Chandler J, Cumpston M, Li T, Page M, et al., editors. Cochrane Handbook for Systematic Reviews of Interventions. Available from: https://www.cochrane.org/authors/handbooks-and-manuals/handbook/current/chapter-19</w:t>
      </w:r>
    </w:p>
    <w:p w14:paraId="0F6876FF"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35.</w:t>
      </w:r>
      <w:r w:rsidRPr="00081580">
        <w:rPr>
          <w:rFonts w:eastAsiaTheme="minorHAnsi"/>
          <w:lang w:val="en-US" w:eastAsia="en-US"/>
        </w:rPr>
        <w:tab/>
        <w:t>Funabashi M, Gorrell LM, Pohlman KA, Bergna A, Heneghan NR, on behalf of the AdEMMo Group. Defining and classifying adverse events following joint manipulation and mobilization: An international e-Delphi study and focus groups. De Oliveira MDC, editor. PLOS One. 2025 Nov 17;20(11):e0334151. doi:10.1371/journal.pone.0334151</w:t>
      </w:r>
    </w:p>
    <w:p w14:paraId="35A9D0CE"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36.</w:t>
      </w:r>
      <w:r w:rsidRPr="00081580">
        <w:rPr>
          <w:rFonts w:eastAsiaTheme="minorHAnsi"/>
          <w:lang w:val="en-US" w:eastAsia="en-US"/>
        </w:rPr>
        <w:tab/>
        <w:t>Riley SP, Bialosky J, Cote MP, Swanson BT, Tafuto V, Sizer PS, et al. Thoracic spinal manipulation for musculoskeletal shoulder pain: Can an instructional set change patient expectation and outcome? Man Ther. 2015 Jun;20(3):469–74. doi:10.1016/j.math.2014.11.011</w:t>
      </w:r>
    </w:p>
    <w:p w14:paraId="4EBC4334"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lastRenderedPageBreak/>
        <w:t>37.</w:t>
      </w:r>
      <w:r w:rsidRPr="00081580">
        <w:rPr>
          <w:rFonts w:eastAsiaTheme="minorHAnsi"/>
          <w:lang w:val="en-US" w:eastAsia="en-US"/>
        </w:rPr>
        <w:tab/>
        <w:t>Bijur PE, Silver W, Gallagher EJ. Reliability of the Visual Analog Scale for Measurement of Acute Pain. Acad Emerg Med. 2001;8(12):1153–7. doi:10.1111/j.1553-2712.2001.tb01132.x</w:t>
      </w:r>
    </w:p>
    <w:p w14:paraId="276B0FF6"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38.</w:t>
      </w:r>
      <w:r w:rsidRPr="00081580">
        <w:rPr>
          <w:rFonts w:eastAsiaTheme="minorHAnsi"/>
          <w:lang w:val="en-US" w:eastAsia="en-US"/>
        </w:rPr>
        <w:tab/>
        <w:t>Alghadir A, Anwer S, Iqbal A, Iqbal Z. Test&amp;ndash;retest reliability, validity, and minimum detectable change of visual analog, numerical rating, and verbal rating scales for measurement of osteoarthritic knee pain. J Pain Res. 2018 Apr;Volume 11:851–6. doi:10.2147/JPR.S158847</w:t>
      </w:r>
    </w:p>
    <w:p w14:paraId="515023B0" w14:textId="77777777" w:rsidR="00081580" w:rsidRPr="00081580" w:rsidRDefault="00081580" w:rsidP="0037195D">
      <w:pPr>
        <w:pStyle w:val="Bibliographie"/>
        <w:spacing w:line="480" w:lineRule="auto"/>
        <w:rPr>
          <w:rFonts w:eastAsiaTheme="minorHAnsi"/>
          <w:lang w:eastAsia="en-US"/>
        </w:rPr>
      </w:pPr>
      <w:r w:rsidRPr="00081580">
        <w:rPr>
          <w:rFonts w:eastAsiaTheme="minorHAnsi"/>
          <w:lang w:val="en-US" w:eastAsia="en-US"/>
        </w:rPr>
        <w:t>39.</w:t>
      </w:r>
      <w:r w:rsidRPr="00081580">
        <w:rPr>
          <w:rFonts w:eastAsiaTheme="minorHAnsi"/>
          <w:lang w:val="en-US" w:eastAsia="en-US"/>
        </w:rPr>
        <w:tab/>
        <w:t xml:space="preserve">Binkley JM, Stratford PW, Lott SA, Riddle DL. The Lower Extremity Functional Scale (LEFS): Scale Development, Measurement Properties, and Clinical Application. </w:t>
      </w:r>
      <w:r w:rsidRPr="00081580">
        <w:rPr>
          <w:rFonts w:eastAsiaTheme="minorHAnsi"/>
          <w:lang w:eastAsia="en-US"/>
        </w:rPr>
        <w:t>Phys Ther. 1999 Apr 1;79(4):371–83. doi:10.1093/ptj/79.4.371</w:t>
      </w:r>
    </w:p>
    <w:p w14:paraId="0A75F02E" w14:textId="77777777" w:rsidR="00081580" w:rsidRPr="00081580" w:rsidRDefault="00081580" w:rsidP="0037195D">
      <w:pPr>
        <w:pStyle w:val="Bibliographie"/>
        <w:spacing w:line="480" w:lineRule="auto"/>
        <w:rPr>
          <w:rFonts w:eastAsiaTheme="minorHAnsi"/>
          <w:lang w:eastAsia="en-US"/>
        </w:rPr>
      </w:pPr>
      <w:r w:rsidRPr="00081580">
        <w:rPr>
          <w:rFonts w:eastAsiaTheme="minorHAnsi"/>
          <w:lang w:eastAsia="en-US"/>
        </w:rPr>
        <w:t>40.</w:t>
      </w:r>
      <w:r w:rsidRPr="00081580">
        <w:rPr>
          <w:rFonts w:eastAsiaTheme="minorHAnsi"/>
          <w:lang w:eastAsia="en-US"/>
        </w:rPr>
        <w:tab/>
        <w:t>René F, Casimiro L, Tremblay M, Brosseau L, Lefebvre A, Beaudouin M, et al. Une version canadienne française du Lower Extremity Functional Scale (LEFS) : L’Échelle fonctionnelle des membres inférieurs (ÉFMI), partie I. Physiother Can. 2011;63(2):242–8. doi:10.3138/ptc.2010-11F PubMed PMID: 22379265; PubMed Central PMCID: PMC3076903.</w:t>
      </w:r>
    </w:p>
    <w:p w14:paraId="698BD4FF" w14:textId="77777777" w:rsidR="00081580" w:rsidRPr="00081580" w:rsidRDefault="00081580" w:rsidP="0037195D">
      <w:pPr>
        <w:pStyle w:val="Bibliographie"/>
        <w:spacing w:line="480" w:lineRule="auto"/>
        <w:rPr>
          <w:rFonts w:eastAsiaTheme="minorHAnsi"/>
          <w:lang w:eastAsia="en-US"/>
        </w:rPr>
      </w:pPr>
      <w:r w:rsidRPr="00081580">
        <w:rPr>
          <w:rFonts w:eastAsiaTheme="minorHAnsi"/>
          <w:lang w:eastAsia="en-US"/>
        </w:rPr>
        <w:t>41.</w:t>
      </w:r>
      <w:r w:rsidRPr="00081580">
        <w:rPr>
          <w:rFonts w:eastAsiaTheme="minorHAnsi"/>
          <w:lang w:eastAsia="en-US"/>
        </w:rPr>
        <w:tab/>
        <w:t xml:space="preserve">Zhang Y, Zang Y, Martin RL. </w:t>
      </w:r>
      <w:r w:rsidRPr="00081580">
        <w:rPr>
          <w:rFonts w:eastAsiaTheme="minorHAnsi"/>
          <w:lang w:val="en-US" w:eastAsia="en-US"/>
        </w:rPr>
        <w:t xml:space="preserve">Clinically most relevant psychometric properties of the Lower Extremity Functional Scale: a systematic review. </w:t>
      </w:r>
      <w:r w:rsidRPr="00081580">
        <w:rPr>
          <w:rFonts w:eastAsiaTheme="minorHAnsi"/>
          <w:lang w:eastAsia="en-US"/>
        </w:rPr>
        <w:t>Disabil Rehabil. 2025 Apr 10;47(8):1932–8. doi:10.1080/09638288.2024.2390051</w:t>
      </w:r>
    </w:p>
    <w:p w14:paraId="347734FF"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eastAsia="en-US"/>
        </w:rPr>
        <w:t>42.</w:t>
      </w:r>
      <w:r w:rsidRPr="00081580">
        <w:rPr>
          <w:rFonts w:eastAsiaTheme="minorHAnsi"/>
          <w:lang w:eastAsia="en-US"/>
        </w:rPr>
        <w:tab/>
        <w:t xml:space="preserve">René F, Casimiro L, Tremblay M, Brosseau L, Chea P, Létourneau L, et al. Fiabilité test retest et validité de construit de la version française de L’Échelle fonctionnelle des membres inférieurs (ÉFMI), partie II. </w:t>
      </w:r>
      <w:r w:rsidRPr="00081580">
        <w:rPr>
          <w:rFonts w:eastAsiaTheme="minorHAnsi"/>
          <w:lang w:val="en-US" w:eastAsia="en-US"/>
        </w:rPr>
        <w:t>Physiother Can. 2011;63(2):249–55. doi:10.3138/ptc.2010-12F PubMed PMID: 22379266; PubMed Central PMCID: PMC3076912.</w:t>
      </w:r>
    </w:p>
    <w:p w14:paraId="5C38E5DD"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lastRenderedPageBreak/>
        <w:t>43.</w:t>
      </w:r>
      <w:r w:rsidRPr="00081580">
        <w:rPr>
          <w:rFonts w:eastAsiaTheme="minorHAnsi"/>
          <w:lang w:val="en-US" w:eastAsia="en-US"/>
        </w:rPr>
        <w:tab/>
        <w:t>Mehta SP, Fulton A, Quach C, Thistle M, Toledo C, Evans NA. Measurement Properties of the Lower Extremity Functional Scale: A Systematic Review. J Orthop Sports Phys Ther. 2016 Mar;46(3):200–16. doi:10.2519/jospt.2016.6165</w:t>
      </w:r>
    </w:p>
    <w:p w14:paraId="0DD73737"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44.</w:t>
      </w:r>
      <w:r w:rsidRPr="00081580">
        <w:rPr>
          <w:rFonts w:eastAsiaTheme="minorHAnsi"/>
          <w:lang w:val="en-US" w:eastAsia="en-US"/>
        </w:rPr>
        <w:tab/>
        <w:t>Whitehead AL, Julious SA, Cooper CL, Campbell MJ. Estimating the sample size for a pilot randomised trial to minimise the overall trial sample size for the external pilot and main trial for a continuous outcome variable. Stat Methods Med Res. 2016 Jun;25(3):1057–73. doi:10.1177/0962280215588241</w:t>
      </w:r>
    </w:p>
    <w:p w14:paraId="146DE9FD"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45.</w:t>
      </w:r>
      <w:r w:rsidRPr="00081580">
        <w:rPr>
          <w:rFonts w:eastAsiaTheme="minorHAnsi"/>
          <w:lang w:val="en-US" w:eastAsia="en-US"/>
        </w:rPr>
        <w:tab/>
        <w:t>Wassinger CA, Edwards DC, Bourassa M, Reagan D, Weyant EC, Walden RR. The Role of Patient Recovery Expectations in the Outcomes of Physical Therapist Intervention: A Systematic Review. Phys Ther. 2022 Apr 1;102(4):pzac008. doi:10.1093/ptj/pzac008</w:t>
      </w:r>
    </w:p>
    <w:p w14:paraId="57B63A71"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46.</w:t>
      </w:r>
      <w:r w:rsidRPr="00081580">
        <w:rPr>
          <w:rFonts w:eastAsiaTheme="minorHAnsi"/>
          <w:lang w:val="en-US" w:eastAsia="en-US"/>
        </w:rPr>
        <w:tab/>
        <w:t>Aspinall SL, Nim C, Hartvigsen J, Cook CE, Skillgate E, Vogel S, et al. Waste not, want not: call to action for spinal manipulative therapy researchers. Chiropr Man Ther. 2024 May 14;32(1):16, s12998-024-00539-y. doi:10.1186/s12998-024-00539-y</w:t>
      </w:r>
    </w:p>
    <w:p w14:paraId="04ECEF59"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47.</w:t>
      </w:r>
      <w:r w:rsidRPr="00081580">
        <w:rPr>
          <w:rFonts w:eastAsiaTheme="minorHAnsi"/>
          <w:lang w:val="en-US" w:eastAsia="en-US"/>
        </w:rPr>
        <w:tab/>
        <w:t>Wassinger CA, Bourassa M, Rheault I, Carroll A, Waldecker C, Weyant‐Blevins E, et al. The role of patient treatment specific expectations on the outcomes of musculoskeletal physical therapy treatment: A scoping review. Musculoskeletal Care. 2024 Mar;22(1):e1854. doi:10.1002/msc.1854</w:t>
      </w:r>
    </w:p>
    <w:p w14:paraId="10A6EB32" w14:textId="77777777" w:rsidR="00081580" w:rsidRPr="00081580" w:rsidRDefault="00081580" w:rsidP="0037195D">
      <w:pPr>
        <w:pStyle w:val="Bibliographie"/>
        <w:spacing w:line="480" w:lineRule="auto"/>
        <w:rPr>
          <w:rFonts w:eastAsiaTheme="minorHAnsi"/>
          <w:lang w:val="en-US" w:eastAsia="en-US"/>
        </w:rPr>
      </w:pPr>
      <w:r w:rsidRPr="00081580">
        <w:rPr>
          <w:rFonts w:eastAsiaTheme="minorHAnsi"/>
          <w:lang w:val="en-US" w:eastAsia="en-US"/>
        </w:rPr>
        <w:t>48.</w:t>
      </w:r>
      <w:r w:rsidRPr="00081580">
        <w:rPr>
          <w:rFonts w:eastAsiaTheme="minorHAnsi"/>
          <w:lang w:val="en-US" w:eastAsia="en-US"/>
        </w:rPr>
        <w:tab/>
        <w:t>Scafoglieri A, Van den Broeck J, Willems S, Tamminga R, van der Hoeven H, Engelsma Y, et al. Effectiveness of local exercise therapy versus spinal manual therapy in patients with patellofemoral pain syndrome: medium term follow-up results of a randomized controlled trial. BMC Musculoskelet Disord. 2021 May 15;22(1):446. doi:10.1186/s12891-021-04310-9 PubMed PMID: 33992100; PubMed Central PMCID: PMC8126114.</w:t>
      </w:r>
    </w:p>
    <w:p w14:paraId="6C3EAA5F" w14:textId="506C1172" w:rsidR="0058321B" w:rsidRPr="0058321B" w:rsidRDefault="0058321B" w:rsidP="0037195D">
      <w:pPr>
        <w:pStyle w:val="Bibliographie"/>
        <w:spacing w:line="480" w:lineRule="auto"/>
        <w:rPr>
          <w:rFonts w:ascii="Arial" w:hAnsi="Arial" w:cs="Arial"/>
          <w:lang w:val="en-US"/>
        </w:rPr>
      </w:pPr>
      <w:r>
        <w:rPr>
          <w:rFonts w:ascii="Arial" w:hAnsi="Arial" w:cs="Arial"/>
          <w:lang w:val="en-US"/>
        </w:rPr>
        <w:lastRenderedPageBreak/>
        <w:fldChar w:fldCharType="end"/>
      </w:r>
    </w:p>
    <w:sectPr w:rsidR="0058321B" w:rsidRPr="0058321B" w:rsidSect="00CA5737">
      <w:footerReference w:type="even" r:id="rId9"/>
      <w:footerReference w:type="default" r:id="rId10"/>
      <w:pgSz w:w="11900" w:h="16840"/>
      <w:pgMar w:top="1417" w:right="1417" w:bottom="1417" w:left="1417" w:header="708" w:footer="708" w:gutter="0"/>
      <w:lnNumType w:countBy="0" w:restart="continuous"/>
      <w:cols w:space="708"/>
      <w:titlePg/>
      <w:docGrid w:linePitch="360"/>
      <w:sectPrChange w:id="3" w:author="SERRES Wilfried" w:date="2026-05-11T16:06:00Z">
        <w:sectPr w:rsidR="0058321B" w:rsidRPr="0058321B" w:rsidSect="00CA5737">
          <w:pgMar w:top="1417" w:right="1417" w:bottom="1417" w:left="1417" w:header="708" w:footer="708" w:gutter="0"/>
          <w:lnNumType w:countBy="1"/>
        </w:sectPr>
      </w:sectPrChang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0B67C9" w16cex:dateUtc="2025-12-15T12:39:00Z"/>
  <w16cex:commentExtensible w16cex:durableId="5C482712" w16cex:dateUtc="2025-12-15T12:42:00Z"/>
  <w16cex:commentExtensible w16cex:durableId="172C12CD" w16cex:dateUtc="2025-12-15T12:43:00Z"/>
  <w16cex:commentExtensible w16cex:durableId="37CB9291" w16cex:dateUtc="2025-12-15T12:44:00Z"/>
  <w16cex:commentExtensible w16cex:durableId="2B4A11B7" w16cex:dateUtc="2025-12-15T12:46:00Z"/>
  <w16cex:commentExtensible w16cex:durableId="15631BEB" w16cex:dateUtc="2025-12-15T12:57:00Z"/>
  <w16cex:commentExtensible w16cex:durableId="27BD03DA" w16cex:dateUtc="2025-12-15T16:00:00Z"/>
  <w16cex:commentExtensible w16cex:durableId="7BE09B1E" w16cex:dateUtc="2025-12-15T13:02:00Z"/>
  <w16cex:commentExtensible w16cex:durableId="72157727" w16cex:dateUtc="2025-12-15T16:11:00Z"/>
  <w16cex:commentExtensible w16cex:durableId="0AAE7F7D" w16cex:dateUtc="2025-12-15T13:01:00Z"/>
  <w16cex:commentExtensible w16cex:durableId="128AEE43" w16cex:dateUtc="2025-12-15T16:02:00Z"/>
  <w16cex:commentExtensible w16cex:durableId="38F18D89" w16cex:dateUtc="2025-12-15T15:59:00Z"/>
  <w16cex:commentExtensible w16cex:durableId="1A4D1AF7" w16cex:dateUtc="2025-12-15T16:03:00Z"/>
  <w16cex:commentExtensible w16cex:durableId="756C89AB" w16cex:dateUtc="2025-12-15T16:03:00Z"/>
  <w16cex:commentExtensible w16cex:durableId="05869CD2" w16cex:dateUtc="2025-12-15T16:04:00Z"/>
  <w16cex:commentExtensible w16cex:durableId="730C7805" w16cex:dateUtc="2025-12-15T16:05:00Z"/>
  <w16cex:commentExtensible w16cex:durableId="5E32DCCF" w16cex:dateUtc="2025-12-15T16:05:00Z"/>
  <w16cex:commentExtensible w16cex:durableId="69B64B61" w16cex:dateUtc="2025-12-15T16:11:00Z"/>
  <w16cex:commentExtensible w16cex:durableId="67813A7B" w16cex:dateUtc="2025-12-15T16:06:00Z"/>
  <w16cex:commentExtensible w16cex:durableId="69A7FE02" w16cex:dateUtc="2025-12-15T16:12:00Z"/>
  <w16cex:commentExtensible w16cex:durableId="2B89E47D" w16cex:dateUtc="2025-12-15T16:13:00Z"/>
  <w16cex:commentExtensible w16cex:durableId="2300F2FB" w16cex:dateUtc="2025-12-15T16:14:00Z"/>
  <w16cex:commentExtensible w16cex:durableId="19C8B078" w16cex:dateUtc="2025-12-15T16:15:00Z"/>
  <w16cex:commentExtensible w16cex:durableId="0DA35066" w16cex:dateUtc="2025-12-15T16:18:00Z"/>
  <w16cex:commentExtensible w16cex:durableId="613C8A05" w16cex:dateUtc="2025-12-15T16:23:00Z"/>
  <w16cex:commentExtensible w16cex:durableId="3FCF8694" w16cex:dateUtc="2025-12-15T16:24:00Z"/>
  <w16cex:commentExtensible w16cex:durableId="5E22E993" w16cex:dateUtc="2025-12-15T16:19:00Z"/>
  <w16cex:commentExtensible w16cex:durableId="1919F729" w16cex:dateUtc="2025-12-15T16:20:00Z"/>
  <w16cex:commentExtensible w16cex:durableId="59D1E75E" w16cex:dateUtc="2025-12-15T16:25:00Z"/>
  <w16cex:commentExtensible w16cex:durableId="322DA27E" w16cex:dateUtc="2025-12-15T16:27:00Z"/>
  <w16cex:commentExtensible w16cex:durableId="34C7E68F" w16cex:dateUtc="2025-12-15T16:28:00Z"/>
  <w16cex:commentExtensible w16cex:durableId="7A35245B" w16cex:dateUtc="2025-12-15T16:29:00Z"/>
  <w16cex:commentExtensible w16cex:durableId="2A56F1E3" w16cex:dateUtc="2025-12-15T16:29:00Z"/>
  <w16cex:commentExtensible w16cex:durableId="7A21584E" w16cex:dateUtc="2025-12-15T16:31:00Z"/>
  <w16cex:commentExtensible w16cex:durableId="3D69E97C" w16cex:dateUtc="2025-12-15T16:33:00Z"/>
  <w16cex:commentExtensible w16cex:durableId="2FF9D38E" w16cex:dateUtc="2025-12-15T16:35:00Z"/>
  <w16cex:commentExtensible w16cex:durableId="7CA27095" w16cex:dateUtc="2025-12-15T16:35:00Z"/>
  <w16cex:commentExtensible w16cex:durableId="4658867D" w16cex:dateUtc="2025-12-15T16:36:00Z"/>
  <w16cex:commentExtensible w16cex:durableId="001C0BF7" w16cex:dateUtc="2025-12-15T16:36:00Z"/>
  <w16cex:commentExtensible w16cex:durableId="5800EE1A" w16cex:dateUtc="2025-12-15T16:37:00Z"/>
  <w16cex:commentExtensible w16cex:durableId="60A9D5B5" w16cex:dateUtc="2025-12-15T16:38:00Z"/>
  <w16cex:commentExtensible w16cex:durableId="713F4F58" w16cex:dateUtc="2025-12-15T16:38:00Z"/>
  <w16cex:commentExtensible w16cex:durableId="106DEF9B" w16cex:dateUtc="2025-12-15T16:39:00Z"/>
  <w16cex:commentExtensible w16cex:durableId="294F1A34" w16cex:dateUtc="2025-12-15T16:42:00Z"/>
  <w16cex:commentExtensible w16cex:durableId="67407EB6" w16cex:dateUtc="2025-12-15T16:46:00Z"/>
  <w16cex:commentExtensible w16cex:durableId="4DAEE20C" w16cex:dateUtc="2025-12-15T16:46:00Z"/>
  <w16cex:commentExtensible w16cex:durableId="42ECBEAB" w16cex:dateUtc="2025-12-15T16:47:00Z"/>
  <w16cex:commentExtensible w16cex:durableId="54154A43" w16cex:dateUtc="2025-12-15T16:48:00Z"/>
  <w16cex:commentExtensible w16cex:durableId="75BCE18F" w16cex:dateUtc="2025-12-15T16:49:00Z"/>
  <w16cex:commentExtensible w16cex:durableId="5E43FBC3" w16cex:dateUtc="2025-12-15T16:50:00Z"/>
  <w16cex:commentExtensible w16cex:durableId="62951BCD" w16cex:dateUtc="2025-12-15T16: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3E054" w14:textId="77777777" w:rsidR="008B2B3C" w:rsidRDefault="008B2B3C" w:rsidP="00553979">
      <w:r>
        <w:separator/>
      </w:r>
    </w:p>
  </w:endnote>
  <w:endnote w:type="continuationSeparator" w:id="0">
    <w:p w14:paraId="5296AD99" w14:textId="77777777" w:rsidR="008B2B3C" w:rsidRDefault="008B2B3C" w:rsidP="00553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haris SIL">
    <w:altName w:val="Calibri"/>
    <w:panose1 w:val="020B0604020202020204"/>
    <w:charset w:val="00"/>
    <w:family w:val="swiss"/>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550303650"/>
      <w:docPartObj>
        <w:docPartGallery w:val="Page Numbers (Bottom of Page)"/>
        <w:docPartUnique/>
      </w:docPartObj>
    </w:sdtPr>
    <w:sdtEndPr>
      <w:rPr>
        <w:rStyle w:val="Numrodepage"/>
      </w:rPr>
    </w:sdtEndPr>
    <w:sdtContent>
      <w:p w14:paraId="788C7892" w14:textId="06047CF8" w:rsidR="008B2EC7" w:rsidRDefault="008B2EC7" w:rsidP="00D26AD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75A26BA" w14:textId="77777777" w:rsidR="008B2EC7" w:rsidRDefault="008B2EC7" w:rsidP="0079620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995381005"/>
      <w:docPartObj>
        <w:docPartGallery w:val="Page Numbers (Bottom of Page)"/>
        <w:docPartUnique/>
      </w:docPartObj>
    </w:sdtPr>
    <w:sdtEndPr>
      <w:rPr>
        <w:rStyle w:val="Numrodepage"/>
      </w:rPr>
    </w:sdtEndPr>
    <w:sdtContent>
      <w:p w14:paraId="11DF62C8" w14:textId="5AF87750" w:rsidR="008B2EC7" w:rsidRDefault="008B2EC7" w:rsidP="00D26AD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6E641DFD" w14:textId="77777777" w:rsidR="008B2EC7" w:rsidRDefault="008B2EC7" w:rsidP="0079620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F778B" w14:textId="77777777" w:rsidR="008B2B3C" w:rsidRDefault="008B2B3C" w:rsidP="00553979">
      <w:r>
        <w:separator/>
      </w:r>
    </w:p>
  </w:footnote>
  <w:footnote w:type="continuationSeparator" w:id="0">
    <w:p w14:paraId="21396A78" w14:textId="77777777" w:rsidR="008B2B3C" w:rsidRDefault="008B2B3C" w:rsidP="00553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F032C"/>
    <w:multiLevelType w:val="hybridMultilevel"/>
    <w:tmpl w:val="E03CFE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475149"/>
    <w:multiLevelType w:val="multilevel"/>
    <w:tmpl w:val="40B25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4954ED"/>
    <w:multiLevelType w:val="hybridMultilevel"/>
    <w:tmpl w:val="9BAE05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A02F28"/>
    <w:multiLevelType w:val="hybridMultilevel"/>
    <w:tmpl w:val="FE42BA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C9C23D8"/>
    <w:multiLevelType w:val="hybridMultilevel"/>
    <w:tmpl w:val="9F0C36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RRES Wilfried">
    <w15:presenceInfo w15:providerId="AD" w15:userId="S::wilfried.serres@ulb.be::8515b019-e7eb-4284-b422-ec2297408b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6C"/>
    <w:rsid w:val="00000161"/>
    <w:rsid w:val="000014F7"/>
    <w:rsid w:val="000030EC"/>
    <w:rsid w:val="00010A64"/>
    <w:rsid w:val="00016D76"/>
    <w:rsid w:val="00030904"/>
    <w:rsid w:val="000345B4"/>
    <w:rsid w:val="00040293"/>
    <w:rsid w:val="00042B6F"/>
    <w:rsid w:val="000508A9"/>
    <w:rsid w:val="00057A04"/>
    <w:rsid w:val="0006148C"/>
    <w:rsid w:val="0006221A"/>
    <w:rsid w:val="000640D2"/>
    <w:rsid w:val="000762DB"/>
    <w:rsid w:val="00077D6A"/>
    <w:rsid w:val="00080187"/>
    <w:rsid w:val="00081580"/>
    <w:rsid w:val="0008171B"/>
    <w:rsid w:val="00081A8A"/>
    <w:rsid w:val="00085015"/>
    <w:rsid w:val="000A2C41"/>
    <w:rsid w:val="000A4DBE"/>
    <w:rsid w:val="000A54CA"/>
    <w:rsid w:val="000A7EAA"/>
    <w:rsid w:val="000B233B"/>
    <w:rsid w:val="000B43B2"/>
    <w:rsid w:val="000B739F"/>
    <w:rsid w:val="000C58C2"/>
    <w:rsid w:val="000D15B4"/>
    <w:rsid w:val="000D3F05"/>
    <w:rsid w:val="000D7B06"/>
    <w:rsid w:val="000E66BD"/>
    <w:rsid w:val="000F05D4"/>
    <w:rsid w:val="000F66BC"/>
    <w:rsid w:val="00100367"/>
    <w:rsid w:val="00107D60"/>
    <w:rsid w:val="001127BC"/>
    <w:rsid w:val="00113B02"/>
    <w:rsid w:val="001223D3"/>
    <w:rsid w:val="00127E40"/>
    <w:rsid w:val="00134D39"/>
    <w:rsid w:val="00150370"/>
    <w:rsid w:val="00155A0D"/>
    <w:rsid w:val="0016468F"/>
    <w:rsid w:val="00172E89"/>
    <w:rsid w:val="00173F7A"/>
    <w:rsid w:val="00176F92"/>
    <w:rsid w:val="00181BAA"/>
    <w:rsid w:val="00194406"/>
    <w:rsid w:val="001A6C9E"/>
    <w:rsid w:val="001B02E8"/>
    <w:rsid w:val="001B22C6"/>
    <w:rsid w:val="001B46F3"/>
    <w:rsid w:val="001B4820"/>
    <w:rsid w:val="001B582D"/>
    <w:rsid w:val="001B5F84"/>
    <w:rsid w:val="001C04CA"/>
    <w:rsid w:val="001C29F7"/>
    <w:rsid w:val="001C7722"/>
    <w:rsid w:val="001D19CE"/>
    <w:rsid w:val="001D6C84"/>
    <w:rsid w:val="001E0ED3"/>
    <w:rsid w:val="001E2645"/>
    <w:rsid w:val="001E2C8C"/>
    <w:rsid w:val="001E39E8"/>
    <w:rsid w:val="001E6672"/>
    <w:rsid w:val="002174B4"/>
    <w:rsid w:val="00225832"/>
    <w:rsid w:val="002429E4"/>
    <w:rsid w:val="00250D7C"/>
    <w:rsid w:val="00250F8B"/>
    <w:rsid w:val="00254856"/>
    <w:rsid w:val="00263256"/>
    <w:rsid w:val="00271BA3"/>
    <w:rsid w:val="00282527"/>
    <w:rsid w:val="00282AC4"/>
    <w:rsid w:val="0028694D"/>
    <w:rsid w:val="00286CE7"/>
    <w:rsid w:val="002934B1"/>
    <w:rsid w:val="002B356C"/>
    <w:rsid w:val="002B6428"/>
    <w:rsid w:val="002B75B5"/>
    <w:rsid w:val="002C48D3"/>
    <w:rsid w:val="002D5D9B"/>
    <w:rsid w:val="002E0F6D"/>
    <w:rsid w:val="002F0B87"/>
    <w:rsid w:val="002F710C"/>
    <w:rsid w:val="003003D7"/>
    <w:rsid w:val="00301CAC"/>
    <w:rsid w:val="00305EB2"/>
    <w:rsid w:val="003121F6"/>
    <w:rsid w:val="003126EE"/>
    <w:rsid w:val="00315714"/>
    <w:rsid w:val="00322B2B"/>
    <w:rsid w:val="003312EA"/>
    <w:rsid w:val="00335B1B"/>
    <w:rsid w:val="003365C3"/>
    <w:rsid w:val="00345AC5"/>
    <w:rsid w:val="003609B5"/>
    <w:rsid w:val="00362A54"/>
    <w:rsid w:val="00365514"/>
    <w:rsid w:val="0037195D"/>
    <w:rsid w:val="00373C0E"/>
    <w:rsid w:val="00380DC6"/>
    <w:rsid w:val="00397633"/>
    <w:rsid w:val="003B0360"/>
    <w:rsid w:val="003B38CE"/>
    <w:rsid w:val="003C0232"/>
    <w:rsid w:val="003C1194"/>
    <w:rsid w:val="003C3AC4"/>
    <w:rsid w:val="003D0B06"/>
    <w:rsid w:val="003E36B1"/>
    <w:rsid w:val="003E663F"/>
    <w:rsid w:val="003F0B22"/>
    <w:rsid w:val="0040081C"/>
    <w:rsid w:val="00400A1E"/>
    <w:rsid w:val="00403682"/>
    <w:rsid w:val="00406AA9"/>
    <w:rsid w:val="00406ED9"/>
    <w:rsid w:val="00410040"/>
    <w:rsid w:val="00411297"/>
    <w:rsid w:val="0041137B"/>
    <w:rsid w:val="004127E6"/>
    <w:rsid w:val="0043087E"/>
    <w:rsid w:val="00433BFB"/>
    <w:rsid w:val="004358E9"/>
    <w:rsid w:val="00435D5C"/>
    <w:rsid w:val="00451740"/>
    <w:rsid w:val="00453725"/>
    <w:rsid w:val="00457AEA"/>
    <w:rsid w:val="004673F4"/>
    <w:rsid w:val="0047046F"/>
    <w:rsid w:val="00480F97"/>
    <w:rsid w:val="00490056"/>
    <w:rsid w:val="00490F84"/>
    <w:rsid w:val="00497B68"/>
    <w:rsid w:val="004A0F28"/>
    <w:rsid w:val="004A675F"/>
    <w:rsid w:val="004B0BD3"/>
    <w:rsid w:val="004B60D2"/>
    <w:rsid w:val="004B7D6C"/>
    <w:rsid w:val="004C036C"/>
    <w:rsid w:val="004C26FC"/>
    <w:rsid w:val="004C2970"/>
    <w:rsid w:val="004C2BAC"/>
    <w:rsid w:val="00502FC5"/>
    <w:rsid w:val="00504EA5"/>
    <w:rsid w:val="00506B5A"/>
    <w:rsid w:val="0051086E"/>
    <w:rsid w:val="0051796D"/>
    <w:rsid w:val="00522BA7"/>
    <w:rsid w:val="0052428F"/>
    <w:rsid w:val="005256C4"/>
    <w:rsid w:val="00525F74"/>
    <w:rsid w:val="00534921"/>
    <w:rsid w:val="005429CE"/>
    <w:rsid w:val="0055102F"/>
    <w:rsid w:val="00553979"/>
    <w:rsid w:val="005574B4"/>
    <w:rsid w:val="00572789"/>
    <w:rsid w:val="00577D62"/>
    <w:rsid w:val="005806E8"/>
    <w:rsid w:val="00581830"/>
    <w:rsid w:val="0058321B"/>
    <w:rsid w:val="00583CAE"/>
    <w:rsid w:val="00585CBE"/>
    <w:rsid w:val="0059103B"/>
    <w:rsid w:val="005920B2"/>
    <w:rsid w:val="005943C8"/>
    <w:rsid w:val="005B0ED9"/>
    <w:rsid w:val="005C581C"/>
    <w:rsid w:val="005F031F"/>
    <w:rsid w:val="005F0995"/>
    <w:rsid w:val="005F5476"/>
    <w:rsid w:val="005F7D63"/>
    <w:rsid w:val="00606527"/>
    <w:rsid w:val="00607D9B"/>
    <w:rsid w:val="00607ED5"/>
    <w:rsid w:val="006109B2"/>
    <w:rsid w:val="0061255C"/>
    <w:rsid w:val="00615C55"/>
    <w:rsid w:val="00615EEC"/>
    <w:rsid w:val="0063229F"/>
    <w:rsid w:val="006350E3"/>
    <w:rsid w:val="00636956"/>
    <w:rsid w:val="006374EE"/>
    <w:rsid w:val="0064722D"/>
    <w:rsid w:val="006502A1"/>
    <w:rsid w:val="0065043E"/>
    <w:rsid w:val="00661AA8"/>
    <w:rsid w:val="0066206A"/>
    <w:rsid w:val="00683345"/>
    <w:rsid w:val="00695667"/>
    <w:rsid w:val="00695BFC"/>
    <w:rsid w:val="00697D40"/>
    <w:rsid w:val="006A3447"/>
    <w:rsid w:val="006B7CFE"/>
    <w:rsid w:val="006C4493"/>
    <w:rsid w:val="006C4ECA"/>
    <w:rsid w:val="006D0E26"/>
    <w:rsid w:val="006D2D0A"/>
    <w:rsid w:val="006E10AD"/>
    <w:rsid w:val="006F32A4"/>
    <w:rsid w:val="006F6913"/>
    <w:rsid w:val="00703C7D"/>
    <w:rsid w:val="0071153D"/>
    <w:rsid w:val="00722B2E"/>
    <w:rsid w:val="00740020"/>
    <w:rsid w:val="00745113"/>
    <w:rsid w:val="007672EA"/>
    <w:rsid w:val="00770CCE"/>
    <w:rsid w:val="00793937"/>
    <w:rsid w:val="0079620E"/>
    <w:rsid w:val="007A0E40"/>
    <w:rsid w:val="007A6856"/>
    <w:rsid w:val="007A73BF"/>
    <w:rsid w:val="007B1A3A"/>
    <w:rsid w:val="007B5659"/>
    <w:rsid w:val="007C1DB2"/>
    <w:rsid w:val="007C20F7"/>
    <w:rsid w:val="007C3624"/>
    <w:rsid w:val="007C488E"/>
    <w:rsid w:val="007C653B"/>
    <w:rsid w:val="007D20DD"/>
    <w:rsid w:val="007D233A"/>
    <w:rsid w:val="007D2E66"/>
    <w:rsid w:val="007D4C2A"/>
    <w:rsid w:val="007D5221"/>
    <w:rsid w:val="007D679B"/>
    <w:rsid w:val="007F2020"/>
    <w:rsid w:val="007F2B15"/>
    <w:rsid w:val="00816084"/>
    <w:rsid w:val="00816520"/>
    <w:rsid w:val="008217B2"/>
    <w:rsid w:val="008237E4"/>
    <w:rsid w:val="00830FE3"/>
    <w:rsid w:val="008358ED"/>
    <w:rsid w:val="00842BEA"/>
    <w:rsid w:val="00847989"/>
    <w:rsid w:val="00852489"/>
    <w:rsid w:val="00856851"/>
    <w:rsid w:val="008572A6"/>
    <w:rsid w:val="00872D59"/>
    <w:rsid w:val="00872EEB"/>
    <w:rsid w:val="00876F30"/>
    <w:rsid w:val="00887B1D"/>
    <w:rsid w:val="00890D35"/>
    <w:rsid w:val="00891D47"/>
    <w:rsid w:val="00894058"/>
    <w:rsid w:val="008B2B3C"/>
    <w:rsid w:val="008B2EC7"/>
    <w:rsid w:val="008B49A2"/>
    <w:rsid w:val="008B5AE2"/>
    <w:rsid w:val="008C12D7"/>
    <w:rsid w:val="008C65CE"/>
    <w:rsid w:val="008D1516"/>
    <w:rsid w:val="008E49A7"/>
    <w:rsid w:val="008E72BA"/>
    <w:rsid w:val="008F319C"/>
    <w:rsid w:val="008F3FDC"/>
    <w:rsid w:val="008F558F"/>
    <w:rsid w:val="008F7F81"/>
    <w:rsid w:val="009048EE"/>
    <w:rsid w:val="00905489"/>
    <w:rsid w:val="00912345"/>
    <w:rsid w:val="00912E54"/>
    <w:rsid w:val="00921C7E"/>
    <w:rsid w:val="00922937"/>
    <w:rsid w:val="00924CFA"/>
    <w:rsid w:val="0093357C"/>
    <w:rsid w:val="00933592"/>
    <w:rsid w:val="00936A15"/>
    <w:rsid w:val="00941C68"/>
    <w:rsid w:val="00942045"/>
    <w:rsid w:val="00953D1C"/>
    <w:rsid w:val="00953F3B"/>
    <w:rsid w:val="0095563E"/>
    <w:rsid w:val="0095581B"/>
    <w:rsid w:val="0096421B"/>
    <w:rsid w:val="00965306"/>
    <w:rsid w:val="0097754B"/>
    <w:rsid w:val="00977D9E"/>
    <w:rsid w:val="00982CF6"/>
    <w:rsid w:val="00982E9D"/>
    <w:rsid w:val="009862A5"/>
    <w:rsid w:val="009A4448"/>
    <w:rsid w:val="009B1F2E"/>
    <w:rsid w:val="009B7CF9"/>
    <w:rsid w:val="009C012F"/>
    <w:rsid w:val="009C22BE"/>
    <w:rsid w:val="009C79D2"/>
    <w:rsid w:val="009D37AE"/>
    <w:rsid w:val="009E0A42"/>
    <w:rsid w:val="009E1EF6"/>
    <w:rsid w:val="009E4297"/>
    <w:rsid w:val="009F3F22"/>
    <w:rsid w:val="00A07DAD"/>
    <w:rsid w:val="00A14846"/>
    <w:rsid w:val="00A1662F"/>
    <w:rsid w:val="00A204C4"/>
    <w:rsid w:val="00A23EE7"/>
    <w:rsid w:val="00A341A9"/>
    <w:rsid w:val="00A42B7E"/>
    <w:rsid w:val="00A53A7C"/>
    <w:rsid w:val="00A71D63"/>
    <w:rsid w:val="00A80AE8"/>
    <w:rsid w:val="00A837FE"/>
    <w:rsid w:val="00A83D69"/>
    <w:rsid w:val="00A862A6"/>
    <w:rsid w:val="00A900AE"/>
    <w:rsid w:val="00A915E4"/>
    <w:rsid w:val="00A939AB"/>
    <w:rsid w:val="00A96CDD"/>
    <w:rsid w:val="00AA2247"/>
    <w:rsid w:val="00AB18F5"/>
    <w:rsid w:val="00AB6C8D"/>
    <w:rsid w:val="00AC094A"/>
    <w:rsid w:val="00AD372F"/>
    <w:rsid w:val="00AD42CE"/>
    <w:rsid w:val="00AD7848"/>
    <w:rsid w:val="00AE3016"/>
    <w:rsid w:val="00AE3EE3"/>
    <w:rsid w:val="00AF0645"/>
    <w:rsid w:val="00AF09CA"/>
    <w:rsid w:val="00AF269E"/>
    <w:rsid w:val="00AF493B"/>
    <w:rsid w:val="00AF7FC7"/>
    <w:rsid w:val="00B0499B"/>
    <w:rsid w:val="00B13460"/>
    <w:rsid w:val="00B1739D"/>
    <w:rsid w:val="00B27E62"/>
    <w:rsid w:val="00B36191"/>
    <w:rsid w:val="00B41970"/>
    <w:rsid w:val="00B439D7"/>
    <w:rsid w:val="00B50697"/>
    <w:rsid w:val="00B50774"/>
    <w:rsid w:val="00B55C61"/>
    <w:rsid w:val="00B57A8B"/>
    <w:rsid w:val="00B610D3"/>
    <w:rsid w:val="00B6556C"/>
    <w:rsid w:val="00B74D70"/>
    <w:rsid w:val="00B845D0"/>
    <w:rsid w:val="00B95928"/>
    <w:rsid w:val="00B964B8"/>
    <w:rsid w:val="00B96E4C"/>
    <w:rsid w:val="00BA44DB"/>
    <w:rsid w:val="00BD1031"/>
    <w:rsid w:val="00BD3A9C"/>
    <w:rsid w:val="00BE21EA"/>
    <w:rsid w:val="00BE4863"/>
    <w:rsid w:val="00BE5672"/>
    <w:rsid w:val="00BE58BE"/>
    <w:rsid w:val="00BF5DD6"/>
    <w:rsid w:val="00C06EEF"/>
    <w:rsid w:val="00C15E09"/>
    <w:rsid w:val="00C15E97"/>
    <w:rsid w:val="00C24EF7"/>
    <w:rsid w:val="00C25D61"/>
    <w:rsid w:val="00C32A8D"/>
    <w:rsid w:val="00C33312"/>
    <w:rsid w:val="00C44DE2"/>
    <w:rsid w:val="00C45561"/>
    <w:rsid w:val="00C45EDF"/>
    <w:rsid w:val="00C4615F"/>
    <w:rsid w:val="00C51B19"/>
    <w:rsid w:val="00C569AE"/>
    <w:rsid w:val="00C56A01"/>
    <w:rsid w:val="00C579AF"/>
    <w:rsid w:val="00C7357F"/>
    <w:rsid w:val="00C755B5"/>
    <w:rsid w:val="00C82225"/>
    <w:rsid w:val="00C92336"/>
    <w:rsid w:val="00C92421"/>
    <w:rsid w:val="00C93D2D"/>
    <w:rsid w:val="00CA4FC7"/>
    <w:rsid w:val="00CA5737"/>
    <w:rsid w:val="00CB4338"/>
    <w:rsid w:val="00CC15A3"/>
    <w:rsid w:val="00CC7244"/>
    <w:rsid w:val="00CC7CA4"/>
    <w:rsid w:val="00CD4EE3"/>
    <w:rsid w:val="00CD7096"/>
    <w:rsid w:val="00CE3656"/>
    <w:rsid w:val="00CF74D2"/>
    <w:rsid w:val="00D00FB3"/>
    <w:rsid w:val="00D01F5C"/>
    <w:rsid w:val="00D250BE"/>
    <w:rsid w:val="00D253C8"/>
    <w:rsid w:val="00D26124"/>
    <w:rsid w:val="00D26AD3"/>
    <w:rsid w:val="00D26D4F"/>
    <w:rsid w:val="00D41D45"/>
    <w:rsid w:val="00D47080"/>
    <w:rsid w:val="00D5043A"/>
    <w:rsid w:val="00D516AD"/>
    <w:rsid w:val="00D53BA5"/>
    <w:rsid w:val="00D5652C"/>
    <w:rsid w:val="00D65E6B"/>
    <w:rsid w:val="00D67AE6"/>
    <w:rsid w:val="00D76709"/>
    <w:rsid w:val="00D82840"/>
    <w:rsid w:val="00D85B8E"/>
    <w:rsid w:val="00D92B48"/>
    <w:rsid w:val="00DA1784"/>
    <w:rsid w:val="00DA2142"/>
    <w:rsid w:val="00DA3C7D"/>
    <w:rsid w:val="00DB19B7"/>
    <w:rsid w:val="00DB1F88"/>
    <w:rsid w:val="00DB3AB9"/>
    <w:rsid w:val="00DB7897"/>
    <w:rsid w:val="00DC6EC8"/>
    <w:rsid w:val="00DC7818"/>
    <w:rsid w:val="00DC7CE6"/>
    <w:rsid w:val="00DD1D36"/>
    <w:rsid w:val="00DE2BB1"/>
    <w:rsid w:val="00DE3EDC"/>
    <w:rsid w:val="00DE6BAB"/>
    <w:rsid w:val="00DF6180"/>
    <w:rsid w:val="00DF6A77"/>
    <w:rsid w:val="00DF6F92"/>
    <w:rsid w:val="00E03D4A"/>
    <w:rsid w:val="00E143A0"/>
    <w:rsid w:val="00E151CC"/>
    <w:rsid w:val="00E15B10"/>
    <w:rsid w:val="00E1682B"/>
    <w:rsid w:val="00E2245C"/>
    <w:rsid w:val="00E26B1B"/>
    <w:rsid w:val="00E5094E"/>
    <w:rsid w:val="00E60890"/>
    <w:rsid w:val="00E67A54"/>
    <w:rsid w:val="00E73956"/>
    <w:rsid w:val="00E74B04"/>
    <w:rsid w:val="00E87B8C"/>
    <w:rsid w:val="00E97BD0"/>
    <w:rsid w:val="00EA5A01"/>
    <w:rsid w:val="00EB43D0"/>
    <w:rsid w:val="00EB6306"/>
    <w:rsid w:val="00EC6E4A"/>
    <w:rsid w:val="00ED440F"/>
    <w:rsid w:val="00EE1EBB"/>
    <w:rsid w:val="00EE45BC"/>
    <w:rsid w:val="00EF5BBA"/>
    <w:rsid w:val="00F0210F"/>
    <w:rsid w:val="00F02264"/>
    <w:rsid w:val="00F10D21"/>
    <w:rsid w:val="00F16330"/>
    <w:rsid w:val="00F217B0"/>
    <w:rsid w:val="00F24C97"/>
    <w:rsid w:val="00F37734"/>
    <w:rsid w:val="00F64123"/>
    <w:rsid w:val="00F658C3"/>
    <w:rsid w:val="00F6602A"/>
    <w:rsid w:val="00F70522"/>
    <w:rsid w:val="00F83703"/>
    <w:rsid w:val="00F873A8"/>
    <w:rsid w:val="00F93EF0"/>
    <w:rsid w:val="00F94564"/>
    <w:rsid w:val="00F95CBE"/>
    <w:rsid w:val="00F971B3"/>
    <w:rsid w:val="00F979B1"/>
    <w:rsid w:val="00FA25D4"/>
    <w:rsid w:val="00FA7AC8"/>
    <w:rsid w:val="00FB0B68"/>
    <w:rsid w:val="00FB0E6A"/>
    <w:rsid w:val="00FB1B55"/>
    <w:rsid w:val="00FB666A"/>
    <w:rsid w:val="00FB66AE"/>
    <w:rsid w:val="00FC0001"/>
    <w:rsid w:val="00FC0898"/>
    <w:rsid w:val="00FC2C22"/>
    <w:rsid w:val="00FC72BF"/>
    <w:rsid w:val="00FD0102"/>
    <w:rsid w:val="00FD1553"/>
    <w:rsid w:val="00FD3927"/>
    <w:rsid w:val="00FD5952"/>
    <w:rsid w:val="00FE5D43"/>
    <w:rsid w:val="00FE66EE"/>
    <w:rsid w:val="00FF050B"/>
    <w:rsid w:val="00FF2C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96ED7"/>
  <w15:chartTrackingRefBased/>
  <w15:docId w15:val="{9B678C8C-518C-C446-85FC-C58EC2CA7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21A"/>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ligne">
    <w:name w:val="line number"/>
    <w:basedOn w:val="Policepardfaut"/>
    <w:uiPriority w:val="99"/>
    <w:semiHidden/>
    <w:unhideWhenUsed/>
    <w:rsid w:val="004C036C"/>
  </w:style>
  <w:style w:type="character" w:styleId="Marquedecommentaire">
    <w:name w:val="annotation reference"/>
    <w:basedOn w:val="Policepardfaut"/>
    <w:uiPriority w:val="99"/>
    <w:semiHidden/>
    <w:unhideWhenUsed/>
    <w:rsid w:val="004358E9"/>
    <w:rPr>
      <w:sz w:val="16"/>
      <w:szCs w:val="16"/>
    </w:rPr>
  </w:style>
  <w:style w:type="paragraph" w:styleId="Commentaire">
    <w:name w:val="annotation text"/>
    <w:basedOn w:val="Normal"/>
    <w:link w:val="CommentaireCar"/>
    <w:uiPriority w:val="99"/>
    <w:unhideWhenUsed/>
    <w:rsid w:val="004358E9"/>
    <w:rPr>
      <w:rFonts w:asciiTheme="minorHAnsi" w:eastAsiaTheme="minorHAnsi" w:hAnsiTheme="minorHAnsi" w:cstheme="minorBidi"/>
      <w:sz w:val="20"/>
      <w:szCs w:val="20"/>
      <w:lang w:eastAsia="en-US"/>
    </w:rPr>
  </w:style>
  <w:style w:type="character" w:customStyle="1" w:styleId="CommentaireCar">
    <w:name w:val="Commentaire Car"/>
    <w:basedOn w:val="Policepardfaut"/>
    <w:link w:val="Commentaire"/>
    <w:uiPriority w:val="99"/>
    <w:rsid w:val="004358E9"/>
    <w:rPr>
      <w:sz w:val="20"/>
      <w:szCs w:val="20"/>
    </w:rPr>
  </w:style>
  <w:style w:type="paragraph" w:styleId="Objetducommentaire">
    <w:name w:val="annotation subject"/>
    <w:basedOn w:val="Commentaire"/>
    <w:next w:val="Commentaire"/>
    <w:link w:val="ObjetducommentaireCar"/>
    <w:uiPriority w:val="99"/>
    <w:semiHidden/>
    <w:unhideWhenUsed/>
    <w:rsid w:val="004358E9"/>
    <w:rPr>
      <w:b/>
      <w:bCs/>
    </w:rPr>
  </w:style>
  <w:style w:type="character" w:customStyle="1" w:styleId="ObjetducommentaireCar">
    <w:name w:val="Objet du commentaire Car"/>
    <w:basedOn w:val="CommentaireCar"/>
    <w:link w:val="Objetducommentaire"/>
    <w:uiPriority w:val="99"/>
    <w:semiHidden/>
    <w:rsid w:val="004358E9"/>
    <w:rPr>
      <w:b/>
      <w:bCs/>
      <w:sz w:val="20"/>
      <w:szCs w:val="20"/>
    </w:rPr>
  </w:style>
  <w:style w:type="paragraph" w:styleId="Textedebulles">
    <w:name w:val="Balloon Text"/>
    <w:basedOn w:val="Normal"/>
    <w:link w:val="TextedebullesCar"/>
    <w:uiPriority w:val="99"/>
    <w:semiHidden/>
    <w:unhideWhenUsed/>
    <w:rsid w:val="004358E9"/>
    <w:rPr>
      <w:rFonts w:eastAsiaTheme="minorHAnsi"/>
      <w:sz w:val="18"/>
      <w:szCs w:val="18"/>
      <w:lang w:eastAsia="en-US"/>
    </w:rPr>
  </w:style>
  <w:style w:type="character" w:customStyle="1" w:styleId="TextedebullesCar">
    <w:name w:val="Texte de bulles Car"/>
    <w:basedOn w:val="Policepardfaut"/>
    <w:link w:val="Textedebulles"/>
    <w:uiPriority w:val="99"/>
    <w:semiHidden/>
    <w:rsid w:val="004358E9"/>
    <w:rPr>
      <w:rFonts w:ascii="Times New Roman" w:hAnsi="Times New Roman" w:cs="Times New Roman"/>
      <w:sz w:val="18"/>
      <w:szCs w:val="18"/>
    </w:rPr>
  </w:style>
  <w:style w:type="paragraph" w:styleId="Paragraphedeliste">
    <w:name w:val="List Paragraph"/>
    <w:basedOn w:val="Normal"/>
    <w:uiPriority w:val="34"/>
    <w:qFormat/>
    <w:rsid w:val="004358E9"/>
    <w:pPr>
      <w:ind w:left="720"/>
      <w:contextualSpacing/>
    </w:pPr>
    <w:rPr>
      <w:rFonts w:asciiTheme="minorHAnsi" w:eastAsiaTheme="minorHAnsi" w:hAnsiTheme="minorHAnsi" w:cstheme="minorBidi"/>
      <w:lang w:eastAsia="en-US"/>
    </w:rPr>
  </w:style>
  <w:style w:type="table" w:styleId="Grilledutableau">
    <w:name w:val="Table Grid"/>
    <w:basedOn w:val="TableauNormal"/>
    <w:uiPriority w:val="39"/>
    <w:rsid w:val="00FD5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15714"/>
    <w:pPr>
      <w:spacing w:before="100" w:beforeAutospacing="1" w:after="100" w:afterAutospacing="1"/>
    </w:pPr>
  </w:style>
  <w:style w:type="character" w:styleId="lev">
    <w:name w:val="Strong"/>
    <w:basedOn w:val="Policepardfaut"/>
    <w:uiPriority w:val="22"/>
    <w:qFormat/>
    <w:rsid w:val="00315714"/>
    <w:rPr>
      <w:b/>
      <w:bCs/>
    </w:rPr>
  </w:style>
  <w:style w:type="character" w:styleId="Accentuation">
    <w:name w:val="Emphasis"/>
    <w:basedOn w:val="Policepardfaut"/>
    <w:uiPriority w:val="20"/>
    <w:qFormat/>
    <w:rsid w:val="00315714"/>
    <w:rPr>
      <w:i/>
      <w:iCs/>
    </w:rPr>
  </w:style>
  <w:style w:type="character" w:styleId="Lienhypertexte">
    <w:name w:val="Hyperlink"/>
    <w:basedOn w:val="Policepardfaut"/>
    <w:uiPriority w:val="99"/>
    <w:unhideWhenUsed/>
    <w:rsid w:val="00C82225"/>
    <w:rPr>
      <w:color w:val="0000FF"/>
      <w:u w:val="single"/>
    </w:rPr>
  </w:style>
  <w:style w:type="paragraph" w:styleId="Lgende">
    <w:name w:val="caption"/>
    <w:basedOn w:val="Normal"/>
    <w:next w:val="Normal"/>
    <w:uiPriority w:val="35"/>
    <w:unhideWhenUsed/>
    <w:qFormat/>
    <w:rsid w:val="00AF0645"/>
    <w:pPr>
      <w:spacing w:after="200"/>
    </w:pPr>
    <w:rPr>
      <w:rFonts w:asciiTheme="minorHAnsi" w:eastAsiaTheme="minorHAnsi" w:hAnsiTheme="minorHAnsi" w:cstheme="minorBidi"/>
      <w:i/>
      <w:iCs/>
      <w:color w:val="44546A" w:themeColor="text2"/>
      <w:sz w:val="18"/>
      <w:szCs w:val="18"/>
      <w:lang w:eastAsia="en-US"/>
    </w:rPr>
  </w:style>
  <w:style w:type="paragraph" w:styleId="Rvision">
    <w:name w:val="Revision"/>
    <w:hidden/>
    <w:uiPriority w:val="99"/>
    <w:semiHidden/>
    <w:rsid w:val="00683345"/>
  </w:style>
  <w:style w:type="paragraph" w:styleId="Pieddepage">
    <w:name w:val="footer"/>
    <w:basedOn w:val="Normal"/>
    <w:link w:val="PieddepageCar"/>
    <w:uiPriority w:val="99"/>
    <w:unhideWhenUsed/>
    <w:rsid w:val="00553979"/>
    <w:pPr>
      <w:tabs>
        <w:tab w:val="center" w:pos="4536"/>
        <w:tab w:val="right" w:pos="9072"/>
      </w:tabs>
    </w:pPr>
    <w:rPr>
      <w:rFonts w:asciiTheme="minorHAnsi" w:eastAsiaTheme="minorHAnsi" w:hAnsiTheme="minorHAnsi" w:cstheme="minorBidi"/>
      <w:lang w:eastAsia="en-US"/>
    </w:rPr>
  </w:style>
  <w:style w:type="character" w:customStyle="1" w:styleId="PieddepageCar">
    <w:name w:val="Pied de page Car"/>
    <w:basedOn w:val="Policepardfaut"/>
    <w:link w:val="Pieddepage"/>
    <w:uiPriority w:val="99"/>
    <w:rsid w:val="00553979"/>
  </w:style>
  <w:style w:type="character" w:styleId="Numrodepage">
    <w:name w:val="page number"/>
    <w:basedOn w:val="Policepardfaut"/>
    <w:uiPriority w:val="99"/>
    <w:semiHidden/>
    <w:unhideWhenUsed/>
    <w:rsid w:val="00553979"/>
  </w:style>
  <w:style w:type="paragraph" w:styleId="Bibliographie">
    <w:name w:val="Bibliography"/>
    <w:basedOn w:val="Normal"/>
    <w:next w:val="Normal"/>
    <w:uiPriority w:val="37"/>
    <w:unhideWhenUsed/>
    <w:rsid w:val="0058321B"/>
    <w:pPr>
      <w:tabs>
        <w:tab w:val="left" w:pos="380"/>
      </w:tabs>
      <w:spacing w:after="240"/>
      <w:ind w:left="384" w:hanging="384"/>
    </w:pPr>
  </w:style>
  <w:style w:type="character" w:styleId="Mentionnonrsolue">
    <w:name w:val="Unresolved Mention"/>
    <w:basedOn w:val="Policepardfaut"/>
    <w:uiPriority w:val="99"/>
    <w:semiHidden/>
    <w:unhideWhenUsed/>
    <w:rsid w:val="003312EA"/>
    <w:rPr>
      <w:color w:val="605E5C"/>
      <w:shd w:val="clear" w:color="auto" w:fill="E1DFDD"/>
    </w:rPr>
  </w:style>
  <w:style w:type="character" w:styleId="Lienhypertextesuivivisit">
    <w:name w:val="FollowedHyperlink"/>
    <w:basedOn w:val="Policepardfaut"/>
    <w:uiPriority w:val="99"/>
    <w:semiHidden/>
    <w:unhideWhenUsed/>
    <w:rsid w:val="0097754B"/>
    <w:rPr>
      <w:color w:val="954F72" w:themeColor="followedHyperlink"/>
      <w:u w:val="single"/>
    </w:rPr>
  </w:style>
  <w:style w:type="paragraph" w:customStyle="1" w:styleId="Default">
    <w:name w:val="Default"/>
    <w:rsid w:val="00CA4FC7"/>
    <w:pPr>
      <w:autoSpaceDE w:val="0"/>
      <w:autoSpaceDN w:val="0"/>
      <w:adjustRightInd w:val="0"/>
    </w:pPr>
    <w:rPr>
      <w:rFonts w:ascii="Charis SIL" w:hAnsi="Charis SIL" w:cs="Charis SI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67622">
      <w:bodyDiv w:val="1"/>
      <w:marLeft w:val="0"/>
      <w:marRight w:val="0"/>
      <w:marTop w:val="0"/>
      <w:marBottom w:val="0"/>
      <w:divBdr>
        <w:top w:val="none" w:sz="0" w:space="0" w:color="auto"/>
        <w:left w:val="none" w:sz="0" w:space="0" w:color="auto"/>
        <w:bottom w:val="none" w:sz="0" w:space="0" w:color="auto"/>
        <w:right w:val="none" w:sz="0" w:space="0" w:color="auto"/>
      </w:divBdr>
    </w:div>
    <w:div w:id="70741074">
      <w:bodyDiv w:val="1"/>
      <w:marLeft w:val="0"/>
      <w:marRight w:val="0"/>
      <w:marTop w:val="0"/>
      <w:marBottom w:val="0"/>
      <w:divBdr>
        <w:top w:val="none" w:sz="0" w:space="0" w:color="auto"/>
        <w:left w:val="none" w:sz="0" w:space="0" w:color="auto"/>
        <w:bottom w:val="none" w:sz="0" w:space="0" w:color="auto"/>
        <w:right w:val="none" w:sz="0" w:space="0" w:color="auto"/>
      </w:divBdr>
    </w:div>
    <w:div w:id="72819600">
      <w:bodyDiv w:val="1"/>
      <w:marLeft w:val="0"/>
      <w:marRight w:val="0"/>
      <w:marTop w:val="0"/>
      <w:marBottom w:val="0"/>
      <w:divBdr>
        <w:top w:val="none" w:sz="0" w:space="0" w:color="auto"/>
        <w:left w:val="none" w:sz="0" w:space="0" w:color="auto"/>
        <w:bottom w:val="none" w:sz="0" w:space="0" w:color="auto"/>
        <w:right w:val="none" w:sz="0" w:space="0" w:color="auto"/>
      </w:divBdr>
    </w:div>
    <w:div w:id="86269614">
      <w:bodyDiv w:val="1"/>
      <w:marLeft w:val="0"/>
      <w:marRight w:val="0"/>
      <w:marTop w:val="0"/>
      <w:marBottom w:val="0"/>
      <w:divBdr>
        <w:top w:val="none" w:sz="0" w:space="0" w:color="auto"/>
        <w:left w:val="none" w:sz="0" w:space="0" w:color="auto"/>
        <w:bottom w:val="none" w:sz="0" w:space="0" w:color="auto"/>
        <w:right w:val="none" w:sz="0" w:space="0" w:color="auto"/>
      </w:divBdr>
    </w:div>
    <w:div w:id="88165392">
      <w:bodyDiv w:val="1"/>
      <w:marLeft w:val="0"/>
      <w:marRight w:val="0"/>
      <w:marTop w:val="0"/>
      <w:marBottom w:val="0"/>
      <w:divBdr>
        <w:top w:val="none" w:sz="0" w:space="0" w:color="auto"/>
        <w:left w:val="none" w:sz="0" w:space="0" w:color="auto"/>
        <w:bottom w:val="none" w:sz="0" w:space="0" w:color="auto"/>
        <w:right w:val="none" w:sz="0" w:space="0" w:color="auto"/>
      </w:divBdr>
    </w:div>
    <w:div w:id="108012701">
      <w:bodyDiv w:val="1"/>
      <w:marLeft w:val="0"/>
      <w:marRight w:val="0"/>
      <w:marTop w:val="0"/>
      <w:marBottom w:val="0"/>
      <w:divBdr>
        <w:top w:val="none" w:sz="0" w:space="0" w:color="auto"/>
        <w:left w:val="none" w:sz="0" w:space="0" w:color="auto"/>
        <w:bottom w:val="none" w:sz="0" w:space="0" w:color="auto"/>
        <w:right w:val="none" w:sz="0" w:space="0" w:color="auto"/>
      </w:divBdr>
    </w:div>
    <w:div w:id="132212637">
      <w:bodyDiv w:val="1"/>
      <w:marLeft w:val="0"/>
      <w:marRight w:val="0"/>
      <w:marTop w:val="0"/>
      <w:marBottom w:val="0"/>
      <w:divBdr>
        <w:top w:val="none" w:sz="0" w:space="0" w:color="auto"/>
        <w:left w:val="none" w:sz="0" w:space="0" w:color="auto"/>
        <w:bottom w:val="none" w:sz="0" w:space="0" w:color="auto"/>
        <w:right w:val="none" w:sz="0" w:space="0" w:color="auto"/>
      </w:divBdr>
    </w:div>
    <w:div w:id="136609743">
      <w:bodyDiv w:val="1"/>
      <w:marLeft w:val="0"/>
      <w:marRight w:val="0"/>
      <w:marTop w:val="0"/>
      <w:marBottom w:val="0"/>
      <w:divBdr>
        <w:top w:val="none" w:sz="0" w:space="0" w:color="auto"/>
        <w:left w:val="none" w:sz="0" w:space="0" w:color="auto"/>
        <w:bottom w:val="none" w:sz="0" w:space="0" w:color="auto"/>
        <w:right w:val="none" w:sz="0" w:space="0" w:color="auto"/>
      </w:divBdr>
    </w:div>
    <w:div w:id="140004927">
      <w:bodyDiv w:val="1"/>
      <w:marLeft w:val="0"/>
      <w:marRight w:val="0"/>
      <w:marTop w:val="0"/>
      <w:marBottom w:val="0"/>
      <w:divBdr>
        <w:top w:val="none" w:sz="0" w:space="0" w:color="auto"/>
        <w:left w:val="none" w:sz="0" w:space="0" w:color="auto"/>
        <w:bottom w:val="none" w:sz="0" w:space="0" w:color="auto"/>
        <w:right w:val="none" w:sz="0" w:space="0" w:color="auto"/>
      </w:divBdr>
    </w:div>
    <w:div w:id="145318298">
      <w:bodyDiv w:val="1"/>
      <w:marLeft w:val="0"/>
      <w:marRight w:val="0"/>
      <w:marTop w:val="0"/>
      <w:marBottom w:val="0"/>
      <w:divBdr>
        <w:top w:val="none" w:sz="0" w:space="0" w:color="auto"/>
        <w:left w:val="none" w:sz="0" w:space="0" w:color="auto"/>
        <w:bottom w:val="none" w:sz="0" w:space="0" w:color="auto"/>
        <w:right w:val="none" w:sz="0" w:space="0" w:color="auto"/>
      </w:divBdr>
    </w:div>
    <w:div w:id="152913637">
      <w:bodyDiv w:val="1"/>
      <w:marLeft w:val="0"/>
      <w:marRight w:val="0"/>
      <w:marTop w:val="0"/>
      <w:marBottom w:val="0"/>
      <w:divBdr>
        <w:top w:val="none" w:sz="0" w:space="0" w:color="auto"/>
        <w:left w:val="none" w:sz="0" w:space="0" w:color="auto"/>
        <w:bottom w:val="none" w:sz="0" w:space="0" w:color="auto"/>
        <w:right w:val="none" w:sz="0" w:space="0" w:color="auto"/>
      </w:divBdr>
    </w:div>
    <w:div w:id="153883519">
      <w:bodyDiv w:val="1"/>
      <w:marLeft w:val="0"/>
      <w:marRight w:val="0"/>
      <w:marTop w:val="0"/>
      <w:marBottom w:val="0"/>
      <w:divBdr>
        <w:top w:val="none" w:sz="0" w:space="0" w:color="auto"/>
        <w:left w:val="none" w:sz="0" w:space="0" w:color="auto"/>
        <w:bottom w:val="none" w:sz="0" w:space="0" w:color="auto"/>
        <w:right w:val="none" w:sz="0" w:space="0" w:color="auto"/>
      </w:divBdr>
    </w:div>
    <w:div w:id="167410917">
      <w:bodyDiv w:val="1"/>
      <w:marLeft w:val="0"/>
      <w:marRight w:val="0"/>
      <w:marTop w:val="0"/>
      <w:marBottom w:val="0"/>
      <w:divBdr>
        <w:top w:val="none" w:sz="0" w:space="0" w:color="auto"/>
        <w:left w:val="none" w:sz="0" w:space="0" w:color="auto"/>
        <w:bottom w:val="none" w:sz="0" w:space="0" w:color="auto"/>
        <w:right w:val="none" w:sz="0" w:space="0" w:color="auto"/>
      </w:divBdr>
    </w:div>
    <w:div w:id="167985328">
      <w:bodyDiv w:val="1"/>
      <w:marLeft w:val="0"/>
      <w:marRight w:val="0"/>
      <w:marTop w:val="0"/>
      <w:marBottom w:val="0"/>
      <w:divBdr>
        <w:top w:val="none" w:sz="0" w:space="0" w:color="auto"/>
        <w:left w:val="none" w:sz="0" w:space="0" w:color="auto"/>
        <w:bottom w:val="none" w:sz="0" w:space="0" w:color="auto"/>
        <w:right w:val="none" w:sz="0" w:space="0" w:color="auto"/>
      </w:divBdr>
    </w:div>
    <w:div w:id="198857648">
      <w:bodyDiv w:val="1"/>
      <w:marLeft w:val="0"/>
      <w:marRight w:val="0"/>
      <w:marTop w:val="0"/>
      <w:marBottom w:val="0"/>
      <w:divBdr>
        <w:top w:val="none" w:sz="0" w:space="0" w:color="auto"/>
        <w:left w:val="none" w:sz="0" w:space="0" w:color="auto"/>
        <w:bottom w:val="none" w:sz="0" w:space="0" w:color="auto"/>
        <w:right w:val="none" w:sz="0" w:space="0" w:color="auto"/>
      </w:divBdr>
    </w:div>
    <w:div w:id="236526193">
      <w:bodyDiv w:val="1"/>
      <w:marLeft w:val="0"/>
      <w:marRight w:val="0"/>
      <w:marTop w:val="0"/>
      <w:marBottom w:val="0"/>
      <w:divBdr>
        <w:top w:val="none" w:sz="0" w:space="0" w:color="auto"/>
        <w:left w:val="none" w:sz="0" w:space="0" w:color="auto"/>
        <w:bottom w:val="none" w:sz="0" w:space="0" w:color="auto"/>
        <w:right w:val="none" w:sz="0" w:space="0" w:color="auto"/>
      </w:divBdr>
    </w:div>
    <w:div w:id="236747380">
      <w:bodyDiv w:val="1"/>
      <w:marLeft w:val="0"/>
      <w:marRight w:val="0"/>
      <w:marTop w:val="0"/>
      <w:marBottom w:val="0"/>
      <w:divBdr>
        <w:top w:val="none" w:sz="0" w:space="0" w:color="auto"/>
        <w:left w:val="none" w:sz="0" w:space="0" w:color="auto"/>
        <w:bottom w:val="none" w:sz="0" w:space="0" w:color="auto"/>
        <w:right w:val="none" w:sz="0" w:space="0" w:color="auto"/>
      </w:divBdr>
    </w:div>
    <w:div w:id="257561142">
      <w:bodyDiv w:val="1"/>
      <w:marLeft w:val="0"/>
      <w:marRight w:val="0"/>
      <w:marTop w:val="0"/>
      <w:marBottom w:val="0"/>
      <w:divBdr>
        <w:top w:val="none" w:sz="0" w:space="0" w:color="auto"/>
        <w:left w:val="none" w:sz="0" w:space="0" w:color="auto"/>
        <w:bottom w:val="none" w:sz="0" w:space="0" w:color="auto"/>
        <w:right w:val="none" w:sz="0" w:space="0" w:color="auto"/>
      </w:divBdr>
    </w:div>
    <w:div w:id="262958521">
      <w:bodyDiv w:val="1"/>
      <w:marLeft w:val="0"/>
      <w:marRight w:val="0"/>
      <w:marTop w:val="0"/>
      <w:marBottom w:val="0"/>
      <w:divBdr>
        <w:top w:val="none" w:sz="0" w:space="0" w:color="auto"/>
        <w:left w:val="none" w:sz="0" w:space="0" w:color="auto"/>
        <w:bottom w:val="none" w:sz="0" w:space="0" w:color="auto"/>
        <w:right w:val="none" w:sz="0" w:space="0" w:color="auto"/>
      </w:divBdr>
    </w:div>
    <w:div w:id="266544059">
      <w:bodyDiv w:val="1"/>
      <w:marLeft w:val="0"/>
      <w:marRight w:val="0"/>
      <w:marTop w:val="0"/>
      <w:marBottom w:val="0"/>
      <w:divBdr>
        <w:top w:val="none" w:sz="0" w:space="0" w:color="auto"/>
        <w:left w:val="none" w:sz="0" w:space="0" w:color="auto"/>
        <w:bottom w:val="none" w:sz="0" w:space="0" w:color="auto"/>
        <w:right w:val="none" w:sz="0" w:space="0" w:color="auto"/>
      </w:divBdr>
    </w:div>
    <w:div w:id="306513700">
      <w:bodyDiv w:val="1"/>
      <w:marLeft w:val="0"/>
      <w:marRight w:val="0"/>
      <w:marTop w:val="0"/>
      <w:marBottom w:val="0"/>
      <w:divBdr>
        <w:top w:val="none" w:sz="0" w:space="0" w:color="auto"/>
        <w:left w:val="none" w:sz="0" w:space="0" w:color="auto"/>
        <w:bottom w:val="none" w:sz="0" w:space="0" w:color="auto"/>
        <w:right w:val="none" w:sz="0" w:space="0" w:color="auto"/>
      </w:divBdr>
    </w:div>
    <w:div w:id="336347742">
      <w:bodyDiv w:val="1"/>
      <w:marLeft w:val="0"/>
      <w:marRight w:val="0"/>
      <w:marTop w:val="0"/>
      <w:marBottom w:val="0"/>
      <w:divBdr>
        <w:top w:val="none" w:sz="0" w:space="0" w:color="auto"/>
        <w:left w:val="none" w:sz="0" w:space="0" w:color="auto"/>
        <w:bottom w:val="none" w:sz="0" w:space="0" w:color="auto"/>
        <w:right w:val="none" w:sz="0" w:space="0" w:color="auto"/>
      </w:divBdr>
    </w:div>
    <w:div w:id="338579886">
      <w:bodyDiv w:val="1"/>
      <w:marLeft w:val="0"/>
      <w:marRight w:val="0"/>
      <w:marTop w:val="0"/>
      <w:marBottom w:val="0"/>
      <w:divBdr>
        <w:top w:val="none" w:sz="0" w:space="0" w:color="auto"/>
        <w:left w:val="none" w:sz="0" w:space="0" w:color="auto"/>
        <w:bottom w:val="none" w:sz="0" w:space="0" w:color="auto"/>
        <w:right w:val="none" w:sz="0" w:space="0" w:color="auto"/>
      </w:divBdr>
    </w:div>
    <w:div w:id="341931005">
      <w:bodyDiv w:val="1"/>
      <w:marLeft w:val="0"/>
      <w:marRight w:val="0"/>
      <w:marTop w:val="0"/>
      <w:marBottom w:val="0"/>
      <w:divBdr>
        <w:top w:val="none" w:sz="0" w:space="0" w:color="auto"/>
        <w:left w:val="none" w:sz="0" w:space="0" w:color="auto"/>
        <w:bottom w:val="none" w:sz="0" w:space="0" w:color="auto"/>
        <w:right w:val="none" w:sz="0" w:space="0" w:color="auto"/>
      </w:divBdr>
    </w:div>
    <w:div w:id="376196975">
      <w:bodyDiv w:val="1"/>
      <w:marLeft w:val="0"/>
      <w:marRight w:val="0"/>
      <w:marTop w:val="0"/>
      <w:marBottom w:val="0"/>
      <w:divBdr>
        <w:top w:val="none" w:sz="0" w:space="0" w:color="auto"/>
        <w:left w:val="none" w:sz="0" w:space="0" w:color="auto"/>
        <w:bottom w:val="none" w:sz="0" w:space="0" w:color="auto"/>
        <w:right w:val="none" w:sz="0" w:space="0" w:color="auto"/>
      </w:divBdr>
    </w:div>
    <w:div w:id="390274844">
      <w:bodyDiv w:val="1"/>
      <w:marLeft w:val="0"/>
      <w:marRight w:val="0"/>
      <w:marTop w:val="0"/>
      <w:marBottom w:val="0"/>
      <w:divBdr>
        <w:top w:val="none" w:sz="0" w:space="0" w:color="auto"/>
        <w:left w:val="none" w:sz="0" w:space="0" w:color="auto"/>
        <w:bottom w:val="none" w:sz="0" w:space="0" w:color="auto"/>
        <w:right w:val="none" w:sz="0" w:space="0" w:color="auto"/>
      </w:divBdr>
    </w:div>
    <w:div w:id="394426869">
      <w:bodyDiv w:val="1"/>
      <w:marLeft w:val="0"/>
      <w:marRight w:val="0"/>
      <w:marTop w:val="0"/>
      <w:marBottom w:val="0"/>
      <w:divBdr>
        <w:top w:val="none" w:sz="0" w:space="0" w:color="auto"/>
        <w:left w:val="none" w:sz="0" w:space="0" w:color="auto"/>
        <w:bottom w:val="none" w:sz="0" w:space="0" w:color="auto"/>
        <w:right w:val="none" w:sz="0" w:space="0" w:color="auto"/>
      </w:divBdr>
    </w:div>
    <w:div w:id="431630723">
      <w:bodyDiv w:val="1"/>
      <w:marLeft w:val="0"/>
      <w:marRight w:val="0"/>
      <w:marTop w:val="0"/>
      <w:marBottom w:val="0"/>
      <w:divBdr>
        <w:top w:val="none" w:sz="0" w:space="0" w:color="auto"/>
        <w:left w:val="none" w:sz="0" w:space="0" w:color="auto"/>
        <w:bottom w:val="none" w:sz="0" w:space="0" w:color="auto"/>
        <w:right w:val="none" w:sz="0" w:space="0" w:color="auto"/>
      </w:divBdr>
    </w:div>
    <w:div w:id="448669061">
      <w:bodyDiv w:val="1"/>
      <w:marLeft w:val="0"/>
      <w:marRight w:val="0"/>
      <w:marTop w:val="0"/>
      <w:marBottom w:val="0"/>
      <w:divBdr>
        <w:top w:val="none" w:sz="0" w:space="0" w:color="auto"/>
        <w:left w:val="none" w:sz="0" w:space="0" w:color="auto"/>
        <w:bottom w:val="none" w:sz="0" w:space="0" w:color="auto"/>
        <w:right w:val="none" w:sz="0" w:space="0" w:color="auto"/>
      </w:divBdr>
    </w:div>
    <w:div w:id="453015083">
      <w:bodyDiv w:val="1"/>
      <w:marLeft w:val="0"/>
      <w:marRight w:val="0"/>
      <w:marTop w:val="0"/>
      <w:marBottom w:val="0"/>
      <w:divBdr>
        <w:top w:val="none" w:sz="0" w:space="0" w:color="auto"/>
        <w:left w:val="none" w:sz="0" w:space="0" w:color="auto"/>
        <w:bottom w:val="none" w:sz="0" w:space="0" w:color="auto"/>
        <w:right w:val="none" w:sz="0" w:space="0" w:color="auto"/>
      </w:divBdr>
    </w:div>
    <w:div w:id="460924285">
      <w:bodyDiv w:val="1"/>
      <w:marLeft w:val="0"/>
      <w:marRight w:val="0"/>
      <w:marTop w:val="0"/>
      <w:marBottom w:val="0"/>
      <w:divBdr>
        <w:top w:val="none" w:sz="0" w:space="0" w:color="auto"/>
        <w:left w:val="none" w:sz="0" w:space="0" w:color="auto"/>
        <w:bottom w:val="none" w:sz="0" w:space="0" w:color="auto"/>
        <w:right w:val="none" w:sz="0" w:space="0" w:color="auto"/>
      </w:divBdr>
    </w:div>
    <w:div w:id="484249246">
      <w:bodyDiv w:val="1"/>
      <w:marLeft w:val="0"/>
      <w:marRight w:val="0"/>
      <w:marTop w:val="0"/>
      <w:marBottom w:val="0"/>
      <w:divBdr>
        <w:top w:val="none" w:sz="0" w:space="0" w:color="auto"/>
        <w:left w:val="none" w:sz="0" w:space="0" w:color="auto"/>
        <w:bottom w:val="none" w:sz="0" w:space="0" w:color="auto"/>
        <w:right w:val="none" w:sz="0" w:space="0" w:color="auto"/>
      </w:divBdr>
    </w:div>
    <w:div w:id="490489218">
      <w:bodyDiv w:val="1"/>
      <w:marLeft w:val="0"/>
      <w:marRight w:val="0"/>
      <w:marTop w:val="0"/>
      <w:marBottom w:val="0"/>
      <w:divBdr>
        <w:top w:val="none" w:sz="0" w:space="0" w:color="auto"/>
        <w:left w:val="none" w:sz="0" w:space="0" w:color="auto"/>
        <w:bottom w:val="none" w:sz="0" w:space="0" w:color="auto"/>
        <w:right w:val="none" w:sz="0" w:space="0" w:color="auto"/>
      </w:divBdr>
    </w:div>
    <w:div w:id="520775889">
      <w:bodyDiv w:val="1"/>
      <w:marLeft w:val="0"/>
      <w:marRight w:val="0"/>
      <w:marTop w:val="0"/>
      <w:marBottom w:val="0"/>
      <w:divBdr>
        <w:top w:val="none" w:sz="0" w:space="0" w:color="auto"/>
        <w:left w:val="none" w:sz="0" w:space="0" w:color="auto"/>
        <w:bottom w:val="none" w:sz="0" w:space="0" w:color="auto"/>
        <w:right w:val="none" w:sz="0" w:space="0" w:color="auto"/>
      </w:divBdr>
    </w:div>
    <w:div w:id="524173772">
      <w:bodyDiv w:val="1"/>
      <w:marLeft w:val="0"/>
      <w:marRight w:val="0"/>
      <w:marTop w:val="0"/>
      <w:marBottom w:val="0"/>
      <w:divBdr>
        <w:top w:val="none" w:sz="0" w:space="0" w:color="auto"/>
        <w:left w:val="none" w:sz="0" w:space="0" w:color="auto"/>
        <w:bottom w:val="none" w:sz="0" w:space="0" w:color="auto"/>
        <w:right w:val="none" w:sz="0" w:space="0" w:color="auto"/>
      </w:divBdr>
    </w:div>
    <w:div w:id="535696122">
      <w:bodyDiv w:val="1"/>
      <w:marLeft w:val="0"/>
      <w:marRight w:val="0"/>
      <w:marTop w:val="0"/>
      <w:marBottom w:val="0"/>
      <w:divBdr>
        <w:top w:val="none" w:sz="0" w:space="0" w:color="auto"/>
        <w:left w:val="none" w:sz="0" w:space="0" w:color="auto"/>
        <w:bottom w:val="none" w:sz="0" w:space="0" w:color="auto"/>
        <w:right w:val="none" w:sz="0" w:space="0" w:color="auto"/>
      </w:divBdr>
    </w:div>
    <w:div w:id="548808237">
      <w:bodyDiv w:val="1"/>
      <w:marLeft w:val="0"/>
      <w:marRight w:val="0"/>
      <w:marTop w:val="0"/>
      <w:marBottom w:val="0"/>
      <w:divBdr>
        <w:top w:val="none" w:sz="0" w:space="0" w:color="auto"/>
        <w:left w:val="none" w:sz="0" w:space="0" w:color="auto"/>
        <w:bottom w:val="none" w:sz="0" w:space="0" w:color="auto"/>
        <w:right w:val="none" w:sz="0" w:space="0" w:color="auto"/>
      </w:divBdr>
    </w:div>
    <w:div w:id="558593653">
      <w:bodyDiv w:val="1"/>
      <w:marLeft w:val="0"/>
      <w:marRight w:val="0"/>
      <w:marTop w:val="0"/>
      <w:marBottom w:val="0"/>
      <w:divBdr>
        <w:top w:val="none" w:sz="0" w:space="0" w:color="auto"/>
        <w:left w:val="none" w:sz="0" w:space="0" w:color="auto"/>
        <w:bottom w:val="none" w:sz="0" w:space="0" w:color="auto"/>
        <w:right w:val="none" w:sz="0" w:space="0" w:color="auto"/>
      </w:divBdr>
    </w:div>
    <w:div w:id="590044267">
      <w:bodyDiv w:val="1"/>
      <w:marLeft w:val="0"/>
      <w:marRight w:val="0"/>
      <w:marTop w:val="0"/>
      <w:marBottom w:val="0"/>
      <w:divBdr>
        <w:top w:val="none" w:sz="0" w:space="0" w:color="auto"/>
        <w:left w:val="none" w:sz="0" w:space="0" w:color="auto"/>
        <w:bottom w:val="none" w:sz="0" w:space="0" w:color="auto"/>
        <w:right w:val="none" w:sz="0" w:space="0" w:color="auto"/>
      </w:divBdr>
    </w:div>
    <w:div w:id="609894213">
      <w:bodyDiv w:val="1"/>
      <w:marLeft w:val="0"/>
      <w:marRight w:val="0"/>
      <w:marTop w:val="0"/>
      <w:marBottom w:val="0"/>
      <w:divBdr>
        <w:top w:val="none" w:sz="0" w:space="0" w:color="auto"/>
        <w:left w:val="none" w:sz="0" w:space="0" w:color="auto"/>
        <w:bottom w:val="none" w:sz="0" w:space="0" w:color="auto"/>
        <w:right w:val="none" w:sz="0" w:space="0" w:color="auto"/>
      </w:divBdr>
    </w:div>
    <w:div w:id="635259300">
      <w:bodyDiv w:val="1"/>
      <w:marLeft w:val="0"/>
      <w:marRight w:val="0"/>
      <w:marTop w:val="0"/>
      <w:marBottom w:val="0"/>
      <w:divBdr>
        <w:top w:val="none" w:sz="0" w:space="0" w:color="auto"/>
        <w:left w:val="none" w:sz="0" w:space="0" w:color="auto"/>
        <w:bottom w:val="none" w:sz="0" w:space="0" w:color="auto"/>
        <w:right w:val="none" w:sz="0" w:space="0" w:color="auto"/>
      </w:divBdr>
    </w:div>
    <w:div w:id="636448543">
      <w:bodyDiv w:val="1"/>
      <w:marLeft w:val="0"/>
      <w:marRight w:val="0"/>
      <w:marTop w:val="0"/>
      <w:marBottom w:val="0"/>
      <w:divBdr>
        <w:top w:val="none" w:sz="0" w:space="0" w:color="auto"/>
        <w:left w:val="none" w:sz="0" w:space="0" w:color="auto"/>
        <w:bottom w:val="none" w:sz="0" w:space="0" w:color="auto"/>
        <w:right w:val="none" w:sz="0" w:space="0" w:color="auto"/>
      </w:divBdr>
    </w:div>
    <w:div w:id="669717197">
      <w:bodyDiv w:val="1"/>
      <w:marLeft w:val="0"/>
      <w:marRight w:val="0"/>
      <w:marTop w:val="0"/>
      <w:marBottom w:val="0"/>
      <w:divBdr>
        <w:top w:val="none" w:sz="0" w:space="0" w:color="auto"/>
        <w:left w:val="none" w:sz="0" w:space="0" w:color="auto"/>
        <w:bottom w:val="none" w:sz="0" w:space="0" w:color="auto"/>
        <w:right w:val="none" w:sz="0" w:space="0" w:color="auto"/>
      </w:divBdr>
    </w:div>
    <w:div w:id="672876451">
      <w:bodyDiv w:val="1"/>
      <w:marLeft w:val="0"/>
      <w:marRight w:val="0"/>
      <w:marTop w:val="0"/>
      <w:marBottom w:val="0"/>
      <w:divBdr>
        <w:top w:val="none" w:sz="0" w:space="0" w:color="auto"/>
        <w:left w:val="none" w:sz="0" w:space="0" w:color="auto"/>
        <w:bottom w:val="none" w:sz="0" w:space="0" w:color="auto"/>
        <w:right w:val="none" w:sz="0" w:space="0" w:color="auto"/>
      </w:divBdr>
    </w:div>
    <w:div w:id="676463054">
      <w:bodyDiv w:val="1"/>
      <w:marLeft w:val="0"/>
      <w:marRight w:val="0"/>
      <w:marTop w:val="0"/>
      <w:marBottom w:val="0"/>
      <w:divBdr>
        <w:top w:val="none" w:sz="0" w:space="0" w:color="auto"/>
        <w:left w:val="none" w:sz="0" w:space="0" w:color="auto"/>
        <w:bottom w:val="none" w:sz="0" w:space="0" w:color="auto"/>
        <w:right w:val="none" w:sz="0" w:space="0" w:color="auto"/>
      </w:divBdr>
    </w:div>
    <w:div w:id="707920021">
      <w:bodyDiv w:val="1"/>
      <w:marLeft w:val="0"/>
      <w:marRight w:val="0"/>
      <w:marTop w:val="0"/>
      <w:marBottom w:val="0"/>
      <w:divBdr>
        <w:top w:val="none" w:sz="0" w:space="0" w:color="auto"/>
        <w:left w:val="none" w:sz="0" w:space="0" w:color="auto"/>
        <w:bottom w:val="none" w:sz="0" w:space="0" w:color="auto"/>
        <w:right w:val="none" w:sz="0" w:space="0" w:color="auto"/>
      </w:divBdr>
    </w:div>
    <w:div w:id="770710985">
      <w:bodyDiv w:val="1"/>
      <w:marLeft w:val="0"/>
      <w:marRight w:val="0"/>
      <w:marTop w:val="0"/>
      <w:marBottom w:val="0"/>
      <w:divBdr>
        <w:top w:val="none" w:sz="0" w:space="0" w:color="auto"/>
        <w:left w:val="none" w:sz="0" w:space="0" w:color="auto"/>
        <w:bottom w:val="none" w:sz="0" w:space="0" w:color="auto"/>
        <w:right w:val="none" w:sz="0" w:space="0" w:color="auto"/>
      </w:divBdr>
    </w:div>
    <w:div w:id="816604276">
      <w:bodyDiv w:val="1"/>
      <w:marLeft w:val="0"/>
      <w:marRight w:val="0"/>
      <w:marTop w:val="0"/>
      <w:marBottom w:val="0"/>
      <w:divBdr>
        <w:top w:val="none" w:sz="0" w:space="0" w:color="auto"/>
        <w:left w:val="none" w:sz="0" w:space="0" w:color="auto"/>
        <w:bottom w:val="none" w:sz="0" w:space="0" w:color="auto"/>
        <w:right w:val="none" w:sz="0" w:space="0" w:color="auto"/>
      </w:divBdr>
    </w:div>
    <w:div w:id="837769536">
      <w:bodyDiv w:val="1"/>
      <w:marLeft w:val="0"/>
      <w:marRight w:val="0"/>
      <w:marTop w:val="0"/>
      <w:marBottom w:val="0"/>
      <w:divBdr>
        <w:top w:val="none" w:sz="0" w:space="0" w:color="auto"/>
        <w:left w:val="none" w:sz="0" w:space="0" w:color="auto"/>
        <w:bottom w:val="none" w:sz="0" w:space="0" w:color="auto"/>
        <w:right w:val="none" w:sz="0" w:space="0" w:color="auto"/>
      </w:divBdr>
    </w:div>
    <w:div w:id="840580187">
      <w:bodyDiv w:val="1"/>
      <w:marLeft w:val="0"/>
      <w:marRight w:val="0"/>
      <w:marTop w:val="0"/>
      <w:marBottom w:val="0"/>
      <w:divBdr>
        <w:top w:val="none" w:sz="0" w:space="0" w:color="auto"/>
        <w:left w:val="none" w:sz="0" w:space="0" w:color="auto"/>
        <w:bottom w:val="none" w:sz="0" w:space="0" w:color="auto"/>
        <w:right w:val="none" w:sz="0" w:space="0" w:color="auto"/>
      </w:divBdr>
    </w:div>
    <w:div w:id="870145943">
      <w:bodyDiv w:val="1"/>
      <w:marLeft w:val="0"/>
      <w:marRight w:val="0"/>
      <w:marTop w:val="0"/>
      <w:marBottom w:val="0"/>
      <w:divBdr>
        <w:top w:val="none" w:sz="0" w:space="0" w:color="auto"/>
        <w:left w:val="none" w:sz="0" w:space="0" w:color="auto"/>
        <w:bottom w:val="none" w:sz="0" w:space="0" w:color="auto"/>
        <w:right w:val="none" w:sz="0" w:space="0" w:color="auto"/>
      </w:divBdr>
    </w:div>
    <w:div w:id="990717753">
      <w:bodyDiv w:val="1"/>
      <w:marLeft w:val="0"/>
      <w:marRight w:val="0"/>
      <w:marTop w:val="0"/>
      <w:marBottom w:val="0"/>
      <w:divBdr>
        <w:top w:val="none" w:sz="0" w:space="0" w:color="auto"/>
        <w:left w:val="none" w:sz="0" w:space="0" w:color="auto"/>
        <w:bottom w:val="none" w:sz="0" w:space="0" w:color="auto"/>
        <w:right w:val="none" w:sz="0" w:space="0" w:color="auto"/>
      </w:divBdr>
    </w:div>
    <w:div w:id="1024598520">
      <w:bodyDiv w:val="1"/>
      <w:marLeft w:val="0"/>
      <w:marRight w:val="0"/>
      <w:marTop w:val="0"/>
      <w:marBottom w:val="0"/>
      <w:divBdr>
        <w:top w:val="none" w:sz="0" w:space="0" w:color="auto"/>
        <w:left w:val="none" w:sz="0" w:space="0" w:color="auto"/>
        <w:bottom w:val="none" w:sz="0" w:space="0" w:color="auto"/>
        <w:right w:val="none" w:sz="0" w:space="0" w:color="auto"/>
      </w:divBdr>
    </w:div>
    <w:div w:id="1056779024">
      <w:bodyDiv w:val="1"/>
      <w:marLeft w:val="0"/>
      <w:marRight w:val="0"/>
      <w:marTop w:val="0"/>
      <w:marBottom w:val="0"/>
      <w:divBdr>
        <w:top w:val="none" w:sz="0" w:space="0" w:color="auto"/>
        <w:left w:val="none" w:sz="0" w:space="0" w:color="auto"/>
        <w:bottom w:val="none" w:sz="0" w:space="0" w:color="auto"/>
        <w:right w:val="none" w:sz="0" w:space="0" w:color="auto"/>
      </w:divBdr>
    </w:div>
    <w:div w:id="1057244345">
      <w:bodyDiv w:val="1"/>
      <w:marLeft w:val="0"/>
      <w:marRight w:val="0"/>
      <w:marTop w:val="0"/>
      <w:marBottom w:val="0"/>
      <w:divBdr>
        <w:top w:val="none" w:sz="0" w:space="0" w:color="auto"/>
        <w:left w:val="none" w:sz="0" w:space="0" w:color="auto"/>
        <w:bottom w:val="none" w:sz="0" w:space="0" w:color="auto"/>
        <w:right w:val="none" w:sz="0" w:space="0" w:color="auto"/>
      </w:divBdr>
    </w:div>
    <w:div w:id="1078677511">
      <w:bodyDiv w:val="1"/>
      <w:marLeft w:val="0"/>
      <w:marRight w:val="0"/>
      <w:marTop w:val="0"/>
      <w:marBottom w:val="0"/>
      <w:divBdr>
        <w:top w:val="none" w:sz="0" w:space="0" w:color="auto"/>
        <w:left w:val="none" w:sz="0" w:space="0" w:color="auto"/>
        <w:bottom w:val="none" w:sz="0" w:space="0" w:color="auto"/>
        <w:right w:val="none" w:sz="0" w:space="0" w:color="auto"/>
      </w:divBdr>
    </w:div>
    <w:div w:id="1081869943">
      <w:bodyDiv w:val="1"/>
      <w:marLeft w:val="0"/>
      <w:marRight w:val="0"/>
      <w:marTop w:val="0"/>
      <w:marBottom w:val="0"/>
      <w:divBdr>
        <w:top w:val="none" w:sz="0" w:space="0" w:color="auto"/>
        <w:left w:val="none" w:sz="0" w:space="0" w:color="auto"/>
        <w:bottom w:val="none" w:sz="0" w:space="0" w:color="auto"/>
        <w:right w:val="none" w:sz="0" w:space="0" w:color="auto"/>
      </w:divBdr>
    </w:div>
    <w:div w:id="1104110679">
      <w:bodyDiv w:val="1"/>
      <w:marLeft w:val="0"/>
      <w:marRight w:val="0"/>
      <w:marTop w:val="0"/>
      <w:marBottom w:val="0"/>
      <w:divBdr>
        <w:top w:val="none" w:sz="0" w:space="0" w:color="auto"/>
        <w:left w:val="none" w:sz="0" w:space="0" w:color="auto"/>
        <w:bottom w:val="none" w:sz="0" w:space="0" w:color="auto"/>
        <w:right w:val="none" w:sz="0" w:space="0" w:color="auto"/>
      </w:divBdr>
    </w:div>
    <w:div w:id="1133016195">
      <w:bodyDiv w:val="1"/>
      <w:marLeft w:val="0"/>
      <w:marRight w:val="0"/>
      <w:marTop w:val="0"/>
      <w:marBottom w:val="0"/>
      <w:divBdr>
        <w:top w:val="none" w:sz="0" w:space="0" w:color="auto"/>
        <w:left w:val="none" w:sz="0" w:space="0" w:color="auto"/>
        <w:bottom w:val="none" w:sz="0" w:space="0" w:color="auto"/>
        <w:right w:val="none" w:sz="0" w:space="0" w:color="auto"/>
      </w:divBdr>
    </w:div>
    <w:div w:id="1209683997">
      <w:bodyDiv w:val="1"/>
      <w:marLeft w:val="0"/>
      <w:marRight w:val="0"/>
      <w:marTop w:val="0"/>
      <w:marBottom w:val="0"/>
      <w:divBdr>
        <w:top w:val="none" w:sz="0" w:space="0" w:color="auto"/>
        <w:left w:val="none" w:sz="0" w:space="0" w:color="auto"/>
        <w:bottom w:val="none" w:sz="0" w:space="0" w:color="auto"/>
        <w:right w:val="none" w:sz="0" w:space="0" w:color="auto"/>
      </w:divBdr>
    </w:div>
    <w:div w:id="1262832395">
      <w:bodyDiv w:val="1"/>
      <w:marLeft w:val="0"/>
      <w:marRight w:val="0"/>
      <w:marTop w:val="0"/>
      <w:marBottom w:val="0"/>
      <w:divBdr>
        <w:top w:val="none" w:sz="0" w:space="0" w:color="auto"/>
        <w:left w:val="none" w:sz="0" w:space="0" w:color="auto"/>
        <w:bottom w:val="none" w:sz="0" w:space="0" w:color="auto"/>
        <w:right w:val="none" w:sz="0" w:space="0" w:color="auto"/>
      </w:divBdr>
    </w:div>
    <w:div w:id="1263802227">
      <w:bodyDiv w:val="1"/>
      <w:marLeft w:val="0"/>
      <w:marRight w:val="0"/>
      <w:marTop w:val="0"/>
      <w:marBottom w:val="0"/>
      <w:divBdr>
        <w:top w:val="none" w:sz="0" w:space="0" w:color="auto"/>
        <w:left w:val="none" w:sz="0" w:space="0" w:color="auto"/>
        <w:bottom w:val="none" w:sz="0" w:space="0" w:color="auto"/>
        <w:right w:val="none" w:sz="0" w:space="0" w:color="auto"/>
      </w:divBdr>
    </w:div>
    <w:div w:id="1287542083">
      <w:bodyDiv w:val="1"/>
      <w:marLeft w:val="0"/>
      <w:marRight w:val="0"/>
      <w:marTop w:val="0"/>
      <w:marBottom w:val="0"/>
      <w:divBdr>
        <w:top w:val="none" w:sz="0" w:space="0" w:color="auto"/>
        <w:left w:val="none" w:sz="0" w:space="0" w:color="auto"/>
        <w:bottom w:val="none" w:sz="0" w:space="0" w:color="auto"/>
        <w:right w:val="none" w:sz="0" w:space="0" w:color="auto"/>
      </w:divBdr>
    </w:div>
    <w:div w:id="1308129642">
      <w:bodyDiv w:val="1"/>
      <w:marLeft w:val="0"/>
      <w:marRight w:val="0"/>
      <w:marTop w:val="0"/>
      <w:marBottom w:val="0"/>
      <w:divBdr>
        <w:top w:val="none" w:sz="0" w:space="0" w:color="auto"/>
        <w:left w:val="none" w:sz="0" w:space="0" w:color="auto"/>
        <w:bottom w:val="none" w:sz="0" w:space="0" w:color="auto"/>
        <w:right w:val="none" w:sz="0" w:space="0" w:color="auto"/>
      </w:divBdr>
    </w:div>
    <w:div w:id="1315798238">
      <w:bodyDiv w:val="1"/>
      <w:marLeft w:val="0"/>
      <w:marRight w:val="0"/>
      <w:marTop w:val="0"/>
      <w:marBottom w:val="0"/>
      <w:divBdr>
        <w:top w:val="none" w:sz="0" w:space="0" w:color="auto"/>
        <w:left w:val="none" w:sz="0" w:space="0" w:color="auto"/>
        <w:bottom w:val="none" w:sz="0" w:space="0" w:color="auto"/>
        <w:right w:val="none" w:sz="0" w:space="0" w:color="auto"/>
      </w:divBdr>
    </w:div>
    <w:div w:id="1317805005">
      <w:bodyDiv w:val="1"/>
      <w:marLeft w:val="0"/>
      <w:marRight w:val="0"/>
      <w:marTop w:val="0"/>
      <w:marBottom w:val="0"/>
      <w:divBdr>
        <w:top w:val="none" w:sz="0" w:space="0" w:color="auto"/>
        <w:left w:val="none" w:sz="0" w:space="0" w:color="auto"/>
        <w:bottom w:val="none" w:sz="0" w:space="0" w:color="auto"/>
        <w:right w:val="none" w:sz="0" w:space="0" w:color="auto"/>
      </w:divBdr>
    </w:div>
    <w:div w:id="1338534315">
      <w:bodyDiv w:val="1"/>
      <w:marLeft w:val="0"/>
      <w:marRight w:val="0"/>
      <w:marTop w:val="0"/>
      <w:marBottom w:val="0"/>
      <w:divBdr>
        <w:top w:val="none" w:sz="0" w:space="0" w:color="auto"/>
        <w:left w:val="none" w:sz="0" w:space="0" w:color="auto"/>
        <w:bottom w:val="none" w:sz="0" w:space="0" w:color="auto"/>
        <w:right w:val="none" w:sz="0" w:space="0" w:color="auto"/>
      </w:divBdr>
    </w:div>
    <w:div w:id="1394811988">
      <w:bodyDiv w:val="1"/>
      <w:marLeft w:val="0"/>
      <w:marRight w:val="0"/>
      <w:marTop w:val="0"/>
      <w:marBottom w:val="0"/>
      <w:divBdr>
        <w:top w:val="none" w:sz="0" w:space="0" w:color="auto"/>
        <w:left w:val="none" w:sz="0" w:space="0" w:color="auto"/>
        <w:bottom w:val="none" w:sz="0" w:space="0" w:color="auto"/>
        <w:right w:val="none" w:sz="0" w:space="0" w:color="auto"/>
      </w:divBdr>
    </w:div>
    <w:div w:id="1470439713">
      <w:bodyDiv w:val="1"/>
      <w:marLeft w:val="0"/>
      <w:marRight w:val="0"/>
      <w:marTop w:val="0"/>
      <w:marBottom w:val="0"/>
      <w:divBdr>
        <w:top w:val="none" w:sz="0" w:space="0" w:color="auto"/>
        <w:left w:val="none" w:sz="0" w:space="0" w:color="auto"/>
        <w:bottom w:val="none" w:sz="0" w:space="0" w:color="auto"/>
        <w:right w:val="none" w:sz="0" w:space="0" w:color="auto"/>
      </w:divBdr>
    </w:div>
    <w:div w:id="1472207435">
      <w:bodyDiv w:val="1"/>
      <w:marLeft w:val="0"/>
      <w:marRight w:val="0"/>
      <w:marTop w:val="0"/>
      <w:marBottom w:val="0"/>
      <w:divBdr>
        <w:top w:val="none" w:sz="0" w:space="0" w:color="auto"/>
        <w:left w:val="none" w:sz="0" w:space="0" w:color="auto"/>
        <w:bottom w:val="none" w:sz="0" w:space="0" w:color="auto"/>
        <w:right w:val="none" w:sz="0" w:space="0" w:color="auto"/>
      </w:divBdr>
    </w:div>
    <w:div w:id="1509908799">
      <w:bodyDiv w:val="1"/>
      <w:marLeft w:val="0"/>
      <w:marRight w:val="0"/>
      <w:marTop w:val="0"/>
      <w:marBottom w:val="0"/>
      <w:divBdr>
        <w:top w:val="none" w:sz="0" w:space="0" w:color="auto"/>
        <w:left w:val="none" w:sz="0" w:space="0" w:color="auto"/>
        <w:bottom w:val="none" w:sz="0" w:space="0" w:color="auto"/>
        <w:right w:val="none" w:sz="0" w:space="0" w:color="auto"/>
      </w:divBdr>
    </w:div>
    <w:div w:id="1514029518">
      <w:bodyDiv w:val="1"/>
      <w:marLeft w:val="0"/>
      <w:marRight w:val="0"/>
      <w:marTop w:val="0"/>
      <w:marBottom w:val="0"/>
      <w:divBdr>
        <w:top w:val="none" w:sz="0" w:space="0" w:color="auto"/>
        <w:left w:val="none" w:sz="0" w:space="0" w:color="auto"/>
        <w:bottom w:val="none" w:sz="0" w:space="0" w:color="auto"/>
        <w:right w:val="none" w:sz="0" w:space="0" w:color="auto"/>
      </w:divBdr>
    </w:div>
    <w:div w:id="1555968575">
      <w:bodyDiv w:val="1"/>
      <w:marLeft w:val="0"/>
      <w:marRight w:val="0"/>
      <w:marTop w:val="0"/>
      <w:marBottom w:val="0"/>
      <w:divBdr>
        <w:top w:val="none" w:sz="0" w:space="0" w:color="auto"/>
        <w:left w:val="none" w:sz="0" w:space="0" w:color="auto"/>
        <w:bottom w:val="none" w:sz="0" w:space="0" w:color="auto"/>
        <w:right w:val="none" w:sz="0" w:space="0" w:color="auto"/>
      </w:divBdr>
    </w:div>
    <w:div w:id="1574197817">
      <w:bodyDiv w:val="1"/>
      <w:marLeft w:val="0"/>
      <w:marRight w:val="0"/>
      <w:marTop w:val="0"/>
      <w:marBottom w:val="0"/>
      <w:divBdr>
        <w:top w:val="none" w:sz="0" w:space="0" w:color="auto"/>
        <w:left w:val="none" w:sz="0" w:space="0" w:color="auto"/>
        <w:bottom w:val="none" w:sz="0" w:space="0" w:color="auto"/>
        <w:right w:val="none" w:sz="0" w:space="0" w:color="auto"/>
      </w:divBdr>
    </w:div>
    <w:div w:id="1576285122">
      <w:bodyDiv w:val="1"/>
      <w:marLeft w:val="0"/>
      <w:marRight w:val="0"/>
      <w:marTop w:val="0"/>
      <w:marBottom w:val="0"/>
      <w:divBdr>
        <w:top w:val="none" w:sz="0" w:space="0" w:color="auto"/>
        <w:left w:val="none" w:sz="0" w:space="0" w:color="auto"/>
        <w:bottom w:val="none" w:sz="0" w:space="0" w:color="auto"/>
        <w:right w:val="none" w:sz="0" w:space="0" w:color="auto"/>
      </w:divBdr>
    </w:div>
    <w:div w:id="1581018766">
      <w:bodyDiv w:val="1"/>
      <w:marLeft w:val="0"/>
      <w:marRight w:val="0"/>
      <w:marTop w:val="0"/>
      <w:marBottom w:val="0"/>
      <w:divBdr>
        <w:top w:val="none" w:sz="0" w:space="0" w:color="auto"/>
        <w:left w:val="none" w:sz="0" w:space="0" w:color="auto"/>
        <w:bottom w:val="none" w:sz="0" w:space="0" w:color="auto"/>
        <w:right w:val="none" w:sz="0" w:space="0" w:color="auto"/>
      </w:divBdr>
    </w:div>
    <w:div w:id="1584797234">
      <w:bodyDiv w:val="1"/>
      <w:marLeft w:val="0"/>
      <w:marRight w:val="0"/>
      <w:marTop w:val="0"/>
      <w:marBottom w:val="0"/>
      <w:divBdr>
        <w:top w:val="none" w:sz="0" w:space="0" w:color="auto"/>
        <w:left w:val="none" w:sz="0" w:space="0" w:color="auto"/>
        <w:bottom w:val="none" w:sz="0" w:space="0" w:color="auto"/>
        <w:right w:val="none" w:sz="0" w:space="0" w:color="auto"/>
      </w:divBdr>
    </w:div>
    <w:div w:id="1584874017">
      <w:bodyDiv w:val="1"/>
      <w:marLeft w:val="0"/>
      <w:marRight w:val="0"/>
      <w:marTop w:val="0"/>
      <w:marBottom w:val="0"/>
      <w:divBdr>
        <w:top w:val="none" w:sz="0" w:space="0" w:color="auto"/>
        <w:left w:val="none" w:sz="0" w:space="0" w:color="auto"/>
        <w:bottom w:val="none" w:sz="0" w:space="0" w:color="auto"/>
        <w:right w:val="none" w:sz="0" w:space="0" w:color="auto"/>
      </w:divBdr>
    </w:div>
    <w:div w:id="1603608474">
      <w:bodyDiv w:val="1"/>
      <w:marLeft w:val="0"/>
      <w:marRight w:val="0"/>
      <w:marTop w:val="0"/>
      <w:marBottom w:val="0"/>
      <w:divBdr>
        <w:top w:val="none" w:sz="0" w:space="0" w:color="auto"/>
        <w:left w:val="none" w:sz="0" w:space="0" w:color="auto"/>
        <w:bottom w:val="none" w:sz="0" w:space="0" w:color="auto"/>
        <w:right w:val="none" w:sz="0" w:space="0" w:color="auto"/>
      </w:divBdr>
    </w:div>
    <w:div w:id="1623806494">
      <w:bodyDiv w:val="1"/>
      <w:marLeft w:val="0"/>
      <w:marRight w:val="0"/>
      <w:marTop w:val="0"/>
      <w:marBottom w:val="0"/>
      <w:divBdr>
        <w:top w:val="none" w:sz="0" w:space="0" w:color="auto"/>
        <w:left w:val="none" w:sz="0" w:space="0" w:color="auto"/>
        <w:bottom w:val="none" w:sz="0" w:space="0" w:color="auto"/>
        <w:right w:val="none" w:sz="0" w:space="0" w:color="auto"/>
      </w:divBdr>
    </w:div>
    <w:div w:id="1627151969">
      <w:bodyDiv w:val="1"/>
      <w:marLeft w:val="0"/>
      <w:marRight w:val="0"/>
      <w:marTop w:val="0"/>
      <w:marBottom w:val="0"/>
      <w:divBdr>
        <w:top w:val="none" w:sz="0" w:space="0" w:color="auto"/>
        <w:left w:val="none" w:sz="0" w:space="0" w:color="auto"/>
        <w:bottom w:val="none" w:sz="0" w:space="0" w:color="auto"/>
        <w:right w:val="none" w:sz="0" w:space="0" w:color="auto"/>
      </w:divBdr>
    </w:div>
    <w:div w:id="1636133095">
      <w:bodyDiv w:val="1"/>
      <w:marLeft w:val="0"/>
      <w:marRight w:val="0"/>
      <w:marTop w:val="0"/>
      <w:marBottom w:val="0"/>
      <w:divBdr>
        <w:top w:val="none" w:sz="0" w:space="0" w:color="auto"/>
        <w:left w:val="none" w:sz="0" w:space="0" w:color="auto"/>
        <w:bottom w:val="none" w:sz="0" w:space="0" w:color="auto"/>
        <w:right w:val="none" w:sz="0" w:space="0" w:color="auto"/>
      </w:divBdr>
    </w:div>
    <w:div w:id="1645348143">
      <w:bodyDiv w:val="1"/>
      <w:marLeft w:val="0"/>
      <w:marRight w:val="0"/>
      <w:marTop w:val="0"/>
      <w:marBottom w:val="0"/>
      <w:divBdr>
        <w:top w:val="none" w:sz="0" w:space="0" w:color="auto"/>
        <w:left w:val="none" w:sz="0" w:space="0" w:color="auto"/>
        <w:bottom w:val="none" w:sz="0" w:space="0" w:color="auto"/>
        <w:right w:val="none" w:sz="0" w:space="0" w:color="auto"/>
      </w:divBdr>
    </w:div>
    <w:div w:id="1648240466">
      <w:bodyDiv w:val="1"/>
      <w:marLeft w:val="0"/>
      <w:marRight w:val="0"/>
      <w:marTop w:val="0"/>
      <w:marBottom w:val="0"/>
      <w:divBdr>
        <w:top w:val="none" w:sz="0" w:space="0" w:color="auto"/>
        <w:left w:val="none" w:sz="0" w:space="0" w:color="auto"/>
        <w:bottom w:val="none" w:sz="0" w:space="0" w:color="auto"/>
        <w:right w:val="none" w:sz="0" w:space="0" w:color="auto"/>
      </w:divBdr>
    </w:div>
    <w:div w:id="1660189241">
      <w:bodyDiv w:val="1"/>
      <w:marLeft w:val="0"/>
      <w:marRight w:val="0"/>
      <w:marTop w:val="0"/>
      <w:marBottom w:val="0"/>
      <w:divBdr>
        <w:top w:val="none" w:sz="0" w:space="0" w:color="auto"/>
        <w:left w:val="none" w:sz="0" w:space="0" w:color="auto"/>
        <w:bottom w:val="none" w:sz="0" w:space="0" w:color="auto"/>
        <w:right w:val="none" w:sz="0" w:space="0" w:color="auto"/>
      </w:divBdr>
    </w:div>
    <w:div w:id="1676570366">
      <w:bodyDiv w:val="1"/>
      <w:marLeft w:val="0"/>
      <w:marRight w:val="0"/>
      <w:marTop w:val="0"/>
      <w:marBottom w:val="0"/>
      <w:divBdr>
        <w:top w:val="none" w:sz="0" w:space="0" w:color="auto"/>
        <w:left w:val="none" w:sz="0" w:space="0" w:color="auto"/>
        <w:bottom w:val="none" w:sz="0" w:space="0" w:color="auto"/>
        <w:right w:val="none" w:sz="0" w:space="0" w:color="auto"/>
      </w:divBdr>
    </w:div>
    <w:div w:id="1692342928">
      <w:bodyDiv w:val="1"/>
      <w:marLeft w:val="0"/>
      <w:marRight w:val="0"/>
      <w:marTop w:val="0"/>
      <w:marBottom w:val="0"/>
      <w:divBdr>
        <w:top w:val="none" w:sz="0" w:space="0" w:color="auto"/>
        <w:left w:val="none" w:sz="0" w:space="0" w:color="auto"/>
        <w:bottom w:val="none" w:sz="0" w:space="0" w:color="auto"/>
        <w:right w:val="none" w:sz="0" w:space="0" w:color="auto"/>
      </w:divBdr>
    </w:div>
    <w:div w:id="1742436423">
      <w:bodyDiv w:val="1"/>
      <w:marLeft w:val="0"/>
      <w:marRight w:val="0"/>
      <w:marTop w:val="0"/>
      <w:marBottom w:val="0"/>
      <w:divBdr>
        <w:top w:val="none" w:sz="0" w:space="0" w:color="auto"/>
        <w:left w:val="none" w:sz="0" w:space="0" w:color="auto"/>
        <w:bottom w:val="none" w:sz="0" w:space="0" w:color="auto"/>
        <w:right w:val="none" w:sz="0" w:space="0" w:color="auto"/>
      </w:divBdr>
    </w:div>
    <w:div w:id="1759863417">
      <w:bodyDiv w:val="1"/>
      <w:marLeft w:val="0"/>
      <w:marRight w:val="0"/>
      <w:marTop w:val="0"/>
      <w:marBottom w:val="0"/>
      <w:divBdr>
        <w:top w:val="none" w:sz="0" w:space="0" w:color="auto"/>
        <w:left w:val="none" w:sz="0" w:space="0" w:color="auto"/>
        <w:bottom w:val="none" w:sz="0" w:space="0" w:color="auto"/>
        <w:right w:val="none" w:sz="0" w:space="0" w:color="auto"/>
      </w:divBdr>
    </w:div>
    <w:div w:id="1844473989">
      <w:bodyDiv w:val="1"/>
      <w:marLeft w:val="0"/>
      <w:marRight w:val="0"/>
      <w:marTop w:val="0"/>
      <w:marBottom w:val="0"/>
      <w:divBdr>
        <w:top w:val="none" w:sz="0" w:space="0" w:color="auto"/>
        <w:left w:val="none" w:sz="0" w:space="0" w:color="auto"/>
        <w:bottom w:val="none" w:sz="0" w:space="0" w:color="auto"/>
        <w:right w:val="none" w:sz="0" w:space="0" w:color="auto"/>
      </w:divBdr>
    </w:div>
    <w:div w:id="1885365816">
      <w:bodyDiv w:val="1"/>
      <w:marLeft w:val="0"/>
      <w:marRight w:val="0"/>
      <w:marTop w:val="0"/>
      <w:marBottom w:val="0"/>
      <w:divBdr>
        <w:top w:val="none" w:sz="0" w:space="0" w:color="auto"/>
        <w:left w:val="none" w:sz="0" w:space="0" w:color="auto"/>
        <w:bottom w:val="none" w:sz="0" w:space="0" w:color="auto"/>
        <w:right w:val="none" w:sz="0" w:space="0" w:color="auto"/>
      </w:divBdr>
    </w:div>
    <w:div w:id="1886333743">
      <w:bodyDiv w:val="1"/>
      <w:marLeft w:val="0"/>
      <w:marRight w:val="0"/>
      <w:marTop w:val="0"/>
      <w:marBottom w:val="0"/>
      <w:divBdr>
        <w:top w:val="none" w:sz="0" w:space="0" w:color="auto"/>
        <w:left w:val="none" w:sz="0" w:space="0" w:color="auto"/>
        <w:bottom w:val="none" w:sz="0" w:space="0" w:color="auto"/>
        <w:right w:val="none" w:sz="0" w:space="0" w:color="auto"/>
      </w:divBdr>
    </w:div>
    <w:div w:id="1937132204">
      <w:bodyDiv w:val="1"/>
      <w:marLeft w:val="0"/>
      <w:marRight w:val="0"/>
      <w:marTop w:val="0"/>
      <w:marBottom w:val="0"/>
      <w:divBdr>
        <w:top w:val="none" w:sz="0" w:space="0" w:color="auto"/>
        <w:left w:val="none" w:sz="0" w:space="0" w:color="auto"/>
        <w:bottom w:val="none" w:sz="0" w:space="0" w:color="auto"/>
        <w:right w:val="none" w:sz="0" w:space="0" w:color="auto"/>
      </w:divBdr>
    </w:div>
    <w:div w:id="1974561399">
      <w:bodyDiv w:val="1"/>
      <w:marLeft w:val="0"/>
      <w:marRight w:val="0"/>
      <w:marTop w:val="0"/>
      <w:marBottom w:val="0"/>
      <w:divBdr>
        <w:top w:val="none" w:sz="0" w:space="0" w:color="auto"/>
        <w:left w:val="none" w:sz="0" w:space="0" w:color="auto"/>
        <w:bottom w:val="none" w:sz="0" w:space="0" w:color="auto"/>
        <w:right w:val="none" w:sz="0" w:space="0" w:color="auto"/>
      </w:divBdr>
    </w:div>
    <w:div w:id="2020423395">
      <w:bodyDiv w:val="1"/>
      <w:marLeft w:val="0"/>
      <w:marRight w:val="0"/>
      <w:marTop w:val="0"/>
      <w:marBottom w:val="0"/>
      <w:divBdr>
        <w:top w:val="none" w:sz="0" w:space="0" w:color="auto"/>
        <w:left w:val="none" w:sz="0" w:space="0" w:color="auto"/>
        <w:bottom w:val="none" w:sz="0" w:space="0" w:color="auto"/>
        <w:right w:val="none" w:sz="0" w:space="0" w:color="auto"/>
      </w:divBdr>
    </w:div>
    <w:div w:id="2073043239">
      <w:bodyDiv w:val="1"/>
      <w:marLeft w:val="0"/>
      <w:marRight w:val="0"/>
      <w:marTop w:val="0"/>
      <w:marBottom w:val="0"/>
      <w:divBdr>
        <w:top w:val="none" w:sz="0" w:space="0" w:color="auto"/>
        <w:left w:val="none" w:sz="0" w:space="0" w:color="auto"/>
        <w:bottom w:val="none" w:sz="0" w:space="0" w:color="auto"/>
        <w:right w:val="none" w:sz="0" w:space="0" w:color="auto"/>
      </w:divBdr>
    </w:div>
    <w:div w:id="2101640155">
      <w:bodyDiv w:val="1"/>
      <w:marLeft w:val="0"/>
      <w:marRight w:val="0"/>
      <w:marTop w:val="0"/>
      <w:marBottom w:val="0"/>
      <w:divBdr>
        <w:top w:val="none" w:sz="0" w:space="0" w:color="auto"/>
        <w:left w:val="none" w:sz="0" w:space="0" w:color="auto"/>
        <w:bottom w:val="none" w:sz="0" w:space="0" w:color="auto"/>
        <w:right w:val="none" w:sz="0" w:space="0" w:color="auto"/>
      </w:divBdr>
    </w:div>
    <w:div w:id="210274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31</Pages>
  <Words>37441</Words>
  <Characters>205928</Characters>
  <Application>Microsoft Office Word</Application>
  <DocSecurity>0</DocSecurity>
  <Lines>1716</Lines>
  <Paragraphs>485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SERRES Wilfried</dc:creator>
  <cp:keywords/>
  <dc:description/>
  <cp:lastModifiedBy>SERRES Wilfried</cp:lastModifiedBy>
  <cp:revision>7</cp:revision>
  <cp:lastPrinted>2026-05-11T14:05:00Z</cp:lastPrinted>
  <dcterms:created xsi:type="dcterms:W3CDTF">2026-03-16T20:16:00Z</dcterms:created>
  <dcterms:modified xsi:type="dcterms:W3CDTF">2026-05-11T14:06:00Z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id="waYgqoB7"/&gt;&lt;style id="http://www.zotero.org/styles/nlm-citation-sequence" locale="en-US"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