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F7734" w14:textId="77777777" w:rsidR="00166387" w:rsidRPr="008B7C8E" w:rsidRDefault="00166387" w:rsidP="00166387">
      <w:pPr>
        <w:pBdr>
          <w:top w:val="nil"/>
          <w:left w:val="nil"/>
          <w:bottom w:val="nil"/>
          <w:right w:val="nil"/>
          <w:between w:val="nil"/>
          <w:bar w:val="nil"/>
        </w:pBdr>
        <w:spacing w:line="360" w:lineRule="auto"/>
        <w:jc w:val="both"/>
        <w:rPr>
          <w:rFonts w:eastAsia="Arial Unicode MS" w:cs="Arial Unicode MS"/>
          <w:b/>
          <w:bCs/>
          <w:color w:val="000000" w:themeColor="text1"/>
          <w:u w:color="000000"/>
          <w:bdr w:val="nil"/>
          <w:lang w:val="en-US" w:eastAsia="fr-BE"/>
          <w14:textOutline w14:w="0" w14:cap="flat" w14:cmpd="sng" w14:algn="ctr">
            <w14:noFill/>
            <w14:prstDash w14:val="solid"/>
            <w14:bevel/>
          </w14:textOutline>
        </w:rPr>
      </w:pPr>
      <w:r w:rsidRPr="008B7C8E">
        <w:rPr>
          <w:rFonts w:eastAsia="Arial Unicode MS" w:cs="Arial Unicode MS"/>
          <w:b/>
          <w:bCs/>
          <w:color w:val="000000" w:themeColor="text1"/>
          <w:u w:color="000000"/>
          <w:bdr w:val="nil"/>
          <w:lang w:val="en-US" w:eastAsia="fr-BE"/>
          <w14:textOutline w14:w="0" w14:cap="flat" w14:cmpd="sng" w14:algn="ctr">
            <w14:noFill/>
            <w14:prstDash w14:val="solid"/>
            <w14:bevel/>
          </w14:textOutline>
        </w:rPr>
        <w:t>Corresponding author:</w:t>
      </w:r>
    </w:p>
    <w:p w14:paraId="2FDCC428" w14:textId="56C87738" w:rsidR="00166387" w:rsidRPr="008B7C8E" w:rsidRDefault="00166387" w:rsidP="00166387">
      <w:pPr>
        <w:pBdr>
          <w:top w:val="nil"/>
          <w:left w:val="nil"/>
          <w:bottom w:val="nil"/>
          <w:right w:val="nil"/>
          <w:between w:val="nil"/>
          <w:bar w:val="nil"/>
        </w:pBdr>
        <w:spacing w:line="360" w:lineRule="auto"/>
        <w:jc w:val="both"/>
        <w:rPr>
          <w:rFonts w:eastAsia="Arial Unicode MS" w:cs="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Michele Carella, MD, PhD, ESRA-DRA, Department of Anesthesia and Intensive Care Medicine, Liege University Hospital</w:t>
      </w:r>
      <w:r w:rsidR="001B1205"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 xml:space="preserve">, </w:t>
      </w:r>
      <w:r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 xml:space="preserve">Sart-Tilman site, Avenue de l'Hôpital 1, Domaine Universitaire du Sart Tilman, Bâtiment B35, 4000 Liège, Belgium (email: </w:t>
      </w:r>
      <w:hyperlink r:id="rId8" w:history="1">
        <w:r w:rsidRPr="008B7C8E">
          <w:rPr>
            <w:rFonts w:eastAsia="Arial Unicode MS" w:cs="Arial Unicode MS"/>
            <w:color w:val="000000" w:themeColor="text1"/>
            <w:u w:val="single" w:color="000000"/>
            <w:bdr w:val="nil"/>
            <w:lang w:val="en-US" w:eastAsia="fr-BE"/>
            <w14:textOutline w14:w="0" w14:cap="flat" w14:cmpd="sng" w14:algn="ctr">
              <w14:noFill/>
              <w14:prstDash w14:val="solid"/>
              <w14:bevel/>
            </w14:textOutline>
          </w:rPr>
          <w:t>mcarella@chuliege.be</w:t>
        </w:r>
      </w:hyperlink>
      <w:r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 xml:space="preserve">) </w:t>
      </w:r>
    </w:p>
    <w:p w14:paraId="73D388A3" w14:textId="77777777" w:rsidR="00166387" w:rsidRPr="008B7C8E" w:rsidRDefault="00166387" w:rsidP="005A7BE1">
      <w:pPr>
        <w:pBdr>
          <w:top w:val="nil"/>
          <w:left w:val="nil"/>
          <w:bottom w:val="nil"/>
          <w:right w:val="nil"/>
          <w:between w:val="nil"/>
          <w:bar w:val="nil"/>
        </w:pBdr>
        <w:spacing w:line="360" w:lineRule="auto"/>
        <w:jc w:val="center"/>
        <w:rPr>
          <w:rFonts w:eastAsia="Arial Unicode MS" w:cs="Arial Unicode MS"/>
          <w:b/>
          <w:bCs/>
          <w:color w:val="000000" w:themeColor="text1"/>
          <w:u w:color="000000"/>
          <w:bdr w:val="nil"/>
          <w:lang w:val="en-US" w:eastAsia="fr-BE"/>
          <w14:textOutline w14:w="0" w14:cap="flat" w14:cmpd="sng" w14:algn="ctr">
            <w14:noFill/>
            <w14:prstDash w14:val="solid"/>
            <w14:bevel/>
          </w14:textOutline>
        </w:rPr>
      </w:pPr>
    </w:p>
    <w:p w14:paraId="09BA0DF0" w14:textId="77777777" w:rsidR="00166387" w:rsidRPr="008B7C8E" w:rsidRDefault="00166387" w:rsidP="005A7BE1">
      <w:pPr>
        <w:pBdr>
          <w:top w:val="nil"/>
          <w:left w:val="nil"/>
          <w:bottom w:val="nil"/>
          <w:right w:val="nil"/>
          <w:between w:val="nil"/>
          <w:bar w:val="nil"/>
        </w:pBdr>
        <w:spacing w:line="360" w:lineRule="auto"/>
        <w:jc w:val="center"/>
        <w:rPr>
          <w:rFonts w:eastAsia="Arial Unicode MS" w:cs="Arial Unicode MS"/>
          <w:b/>
          <w:bCs/>
          <w:color w:val="000000" w:themeColor="text1"/>
          <w:u w:color="000000"/>
          <w:bdr w:val="nil"/>
          <w:lang w:val="en-US" w:eastAsia="fr-BE"/>
          <w14:textOutline w14:w="0" w14:cap="flat" w14:cmpd="sng" w14:algn="ctr">
            <w14:noFill/>
            <w14:prstDash w14:val="solid"/>
            <w14:bevel/>
          </w14:textOutline>
        </w:rPr>
      </w:pPr>
    </w:p>
    <w:p w14:paraId="3EF520E7" w14:textId="38BE33BC" w:rsidR="005A7BE1" w:rsidRPr="008B7C8E" w:rsidRDefault="00EF5B0F" w:rsidP="005A7BE1">
      <w:pPr>
        <w:pBdr>
          <w:top w:val="nil"/>
          <w:left w:val="nil"/>
          <w:bottom w:val="nil"/>
          <w:right w:val="nil"/>
          <w:between w:val="nil"/>
          <w:bar w:val="nil"/>
        </w:pBdr>
        <w:spacing w:line="360" w:lineRule="auto"/>
        <w:jc w:val="center"/>
        <w:rPr>
          <w:rFonts w:eastAsia="Arial Unicode MS" w:cs="Arial Unicode MS"/>
          <w:b/>
          <w:bCs/>
          <w:color w:val="000000" w:themeColor="text1"/>
          <w:u w:color="000000"/>
          <w:bdr w:val="nil"/>
          <w:lang w:val="en-US" w:eastAsia="fr-BE"/>
          <w14:textOutline w14:w="0" w14:cap="flat" w14:cmpd="sng" w14:algn="ctr">
            <w14:noFill/>
            <w14:prstDash w14:val="solid"/>
            <w14:bevel/>
          </w14:textOutline>
        </w:rPr>
      </w:pPr>
      <w:r w:rsidRPr="008B7C8E">
        <w:rPr>
          <w:rFonts w:eastAsia="Arial Unicode MS" w:cs="Arial Unicode MS"/>
          <w:b/>
          <w:bCs/>
          <w:color w:val="000000" w:themeColor="text1"/>
          <w:u w:color="000000"/>
          <w:bdr w:val="nil"/>
          <w:lang w:val="en-US" w:eastAsia="fr-BE"/>
          <w14:textOutline w14:w="0" w14:cap="flat" w14:cmpd="sng" w14:algn="ctr">
            <w14:noFill/>
            <w14:prstDash w14:val="solid"/>
            <w14:bevel/>
          </w14:textOutline>
        </w:rPr>
        <w:t>Impact of a Multidisciplinary Algorithm on Early Complications After Hip Fracture Surgery: A Retrospective Time-Series Study</w:t>
      </w:r>
    </w:p>
    <w:p w14:paraId="5CFC223F" w14:textId="77777777" w:rsidR="005A7BE1" w:rsidRPr="008B7C8E" w:rsidRDefault="005A7BE1" w:rsidP="005A7BE1">
      <w:pPr>
        <w:pBdr>
          <w:top w:val="nil"/>
          <w:left w:val="nil"/>
          <w:bottom w:val="nil"/>
          <w:right w:val="nil"/>
          <w:between w:val="nil"/>
          <w:bar w:val="nil"/>
        </w:pBdr>
        <w:spacing w:line="360" w:lineRule="auto"/>
        <w:jc w:val="center"/>
        <w:rPr>
          <w:rFonts w:eastAsia="Arial Unicode MS" w:cs="Arial Unicode MS"/>
          <w:b/>
          <w:bCs/>
          <w:color w:val="000000" w:themeColor="text1"/>
          <w:u w:color="000000"/>
          <w:bdr w:val="nil"/>
          <w:lang w:val="en-US" w:eastAsia="fr-BE"/>
          <w14:textOutline w14:w="0" w14:cap="flat" w14:cmpd="sng" w14:algn="ctr">
            <w14:noFill/>
            <w14:prstDash w14:val="solid"/>
            <w14:bevel/>
          </w14:textOutline>
        </w:rPr>
      </w:pPr>
    </w:p>
    <w:p w14:paraId="4FBAAD0B" w14:textId="08EAC21A" w:rsidR="005A7BE1" w:rsidRPr="008B7C8E" w:rsidRDefault="005A7BE1" w:rsidP="005A7BE1">
      <w:pPr>
        <w:pBdr>
          <w:top w:val="nil"/>
          <w:left w:val="nil"/>
          <w:bottom w:val="nil"/>
          <w:right w:val="nil"/>
          <w:between w:val="nil"/>
          <w:bar w:val="nil"/>
        </w:pBdr>
        <w:spacing w:line="360" w:lineRule="auto"/>
        <w:jc w:val="both"/>
        <w:rPr>
          <w:rFonts w:eastAsia="Arial Unicode MS" w:cs="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Michele Carella, MD</w:t>
      </w:r>
      <w:r w:rsidR="00A022A7"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 xml:space="preserve"> PhD</w:t>
      </w:r>
      <w:r w:rsidR="00166387" w:rsidRPr="008B7C8E">
        <w:rPr>
          <w:rFonts w:eastAsia="Arial Unicode MS" w:cs="Arial Unicode MS"/>
          <w:color w:val="000000" w:themeColor="text1"/>
          <w:u w:color="000000"/>
          <w:bdr w:val="nil"/>
          <w:vertAlign w:val="superscript"/>
          <w:lang w:val="en-US" w:eastAsia="fr-BE"/>
          <w14:textOutline w14:w="0" w14:cap="flat" w14:cmpd="sng" w14:algn="ctr">
            <w14:noFill/>
            <w14:prstDash w14:val="solid"/>
            <w14:bevel/>
          </w14:textOutline>
        </w:rPr>
        <w:t>1,2</w:t>
      </w:r>
      <w:r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 xml:space="preserve"> Florian Beck</w:t>
      </w:r>
      <w:r w:rsidR="00166387"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w:t>
      </w:r>
      <w:r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 xml:space="preserve"> MD</w:t>
      </w:r>
      <w:r w:rsidR="00166387" w:rsidRPr="008B7C8E">
        <w:rPr>
          <w:rFonts w:eastAsia="Arial Unicode MS" w:cs="Arial Unicode MS"/>
          <w:color w:val="000000" w:themeColor="text1"/>
          <w:u w:color="000000"/>
          <w:bdr w:val="nil"/>
          <w:vertAlign w:val="superscript"/>
          <w:lang w:val="en-US" w:eastAsia="fr-BE"/>
          <w14:textOutline w14:w="0" w14:cap="flat" w14:cmpd="sng" w14:algn="ctr">
            <w14:noFill/>
            <w14:prstDash w14:val="solid"/>
            <w14:bevel/>
          </w14:textOutline>
        </w:rPr>
        <w:t>1,3</w:t>
      </w:r>
      <w:r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 xml:space="preserve"> </w:t>
      </w:r>
      <w:r w:rsidR="00A022A7"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Ambre Tanke,</w:t>
      </w:r>
      <w:r w:rsidR="00494F65"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 xml:space="preserve"> MD</w:t>
      </w:r>
      <w:r w:rsidR="00166387" w:rsidRPr="008B7C8E">
        <w:rPr>
          <w:rFonts w:eastAsia="Arial Unicode MS" w:cs="Arial Unicode MS"/>
          <w:color w:val="000000" w:themeColor="text1"/>
          <w:u w:color="000000"/>
          <w:bdr w:val="nil"/>
          <w:vertAlign w:val="superscript"/>
          <w:lang w:val="en-US" w:eastAsia="fr-BE"/>
          <w14:textOutline w14:w="0" w14:cap="flat" w14:cmpd="sng" w14:algn="ctr">
            <w14:noFill/>
            <w14:prstDash w14:val="solid"/>
            <w14:bevel/>
          </w14:textOutline>
        </w:rPr>
        <w:t>1</w:t>
      </w:r>
      <w:r w:rsidR="00A022A7"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 xml:space="preserve"> </w:t>
      </w:r>
      <w:r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Vincent L. Bonhomme, MD PhD</w:t>
      </w:r>
      <w:r w:rsidR="00166387" w:rsidRPr="008B7C8E">
        <w:rPr>
          <w:rFonts w:eastAsia="Arial Unicode MS" w:cs="Arial Unicode MS"/>
          <w:color w:val="000000" w:themeColor="text1"/>
          <w:u w:color="000000"/>
          <w:bdr w:val="nil"/>
          <w:vertAlign w:val="superscript"/>
          <w:lang w:val="en-US" w:eastAsia="fr-BE"/>
          <w14:textOutline w14:w="0" w14:cap="flat" w14:cmpd="sng" w14:algn="ctr">
            <w14:noFill/>
            <w14:prstDash w14:val="solid"/>
            <w14:bevel/>
          </w14:textOutline>
        </w:rPr>
        <w:t>1,3</w:t>
      </w:r>
    </w:p>
    <w:p w14:paraId="478D56E3" w14:textId="77777777" w:rsidR="005A7BE1" w:rsidRPr="008B7C8E" w:rsidRDefault="005A7BE1" w:rsidP="005A7BE1">
      <w:pPr>
        <w:pBdr>
          <w:top w:val="nil"/>
          <w:left w:val="nil"/>
          <w:bottom w:val="nil"/>
          <w:right w:val="nil"/>
          <w:between w:val="nil"/>
          <w:bar w:val="nil"/>
        </w:pBdr>
        <w:spacing w:line="360" w:lineRule="auto"/>
        <w:jc w:val="both"/>
        <w:rPr>
          <w:rFonts w:eastAsia="Arial Unicode MS" w:cs="Arial Unicode MS"/>
          <w:color w:val="000000" w:themeColor="text1"/>
          <w:u w:color="000000"/>
          <w:bdr w:val="nil"/>
          <w:lang w:val="en-US" w:eastAsia="fr-BE"/>
          <w14:textOutline w14:w="0" w14:cap="flat" w14:cmpd="sng" w14:algn="ctr">
            <w14:noFill/>
            <w14:prstDash w14:val="solid"/>
            <w14:bevel/>
          </w14:textOutline>
        </w:rPr>
      </w:pPr>
    </w:p>
    <w:p w14:paraId="144B1EC8" w14:textId="742BD23C" w:rsidR="005A7BE1" w:rsidRPr="008B7C8E" w:rsidRDefault="00166387" w:rsidP="005A7BE1">
      <w:pPr>
        <w:pBdr>
          <w:top w:val="nil"/>
          <w:left w:val="nil"/>
          <w:bottom w:val="nil"/>
          <w:right w:val="nil"/>
          <w:between w:val="nil"/>
          <w:bar w:val="nil"/>
        </w:pBdr>
        <w:spacing w:line="360" w:lineRule="auto"/>
        <w:jc w:val="both"/>
        <w:rPr>
          <w:rFonts w:eastAsia="Arial Unicode MS" w:cs="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1</w:t>
      </w:r>
      <w:r w:rsidR="005A7BE1"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 xml:space="preserve"> Department of Anesthesia and Intensive Care Medicine, Liege University Hospital, Liege, Belgium</w:t>
      </w:r>
    </w:p>
    <w:p w14:paraId="20E889BE" w14:textId="71F6D35A" w:rsidR="005A7BE1" w:rsidRPr="008B7C8E" w:rsidRDefault="00166387" w:rsidP="005A7BE1">
      <w:pPr>
        <w:pBdr>
          <w:top w:val="nil"/>
          <w:left w:val="nil"/>
          <w:bottom w:val="nil"/>
          <w:right w:val="nil"/>
          <w:between w:val="nil"/>
          <w:bar w:val="nil"/>
        </w:pBdr>
        <w:spacing w:line="360" w:lineRule="auto"/>
        <w:jc w:val="both"/>
        <w:rPr>
          <w:rFonts w:eastAsia="Arial Unicode MS" w:cs="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2</w:t>
      </w:r>
      <w:r w:rsidR="005A7BE1"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 xml:space="preserve"> Inflammation and Enhanced Rehabilitation Laboratory (Regional Anesthesia and Analgesia), GIGA-I3 Thematic Unit, GIGA-Reasearch, Liege University, Liege, Belgium</w:t>
      </w:r>
    </w:p>
    <w:p w14:paraId="52E20FD0" w14:textId="00900559" w:rsidR="005A7BE1" w:rsidRPr="008B7C8E" w:rsidRDefault="00166387" w:rsidP="005A7BE1">
      <w:pPr>
        <w:pBdr>
          <w:top w:val="nil"/>
          <w:left w:val="nil"/>
          <w:bottom w:val="nil"/>
          <w:right w:val="nil"/>
          <w:between w:val="nil"/>
          <w:bar w:val="nil"/>
        </w:pBdr>
        <w:spacing w:line="360" w:lineRule="auto"/>
        <w:jc w:val="both"/>
        <w:rPr>
          <w:rFonts w:eastAsia="Arial Unicode MS" w:cs="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3</w:t>
      </w:r>
      <w:r w:rsidR="005A7BE1"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 xml:space="preserve"> Anesthesia and Perioperative Neuroscience Laboratory, GIGA-Consciousness, GIGA-</w:t>
      </w:r>
      <w:r w:rsidR="00986F1A"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Neuroscience</w:t>
      </w:r>
      <w:r w:rsidR="005A7BE1" w:rsidRPr="008B7C8E">
        <w:rPr>
          <w:rFonts w:eastAsia="Arial Unicode MS" w:cs="Arial Unicode MS"/>
          <w:color w:val="000000" w:themeColor="text1"/>
          <w:u w:color="000000"/>
          <w:bdr w:val="nil"/>
          <w:lang w:val="en-US" w:eastAsia="fr-BE"/>
          <w14:textOutline w14:w="0" w14:cap="flat" w14:cmpd="sng" w14:algn="ctr">
            <w14:noFill/>
            <w14:prstDash w14:val="solid"/>
            <w14:bevel/>
          </w14:textOutline>
        </w:rPr>
        <w:t>, Liege University, Liege, Belgium</w:t>
      </w:r>
    </w:p>
    <w:p w14:paraId="2406C208" w14:textId="77777777" w:rsidR="00166387" w:rsidRPr="008B7C8E" w:rsidRDefault="00166387" w:rsidP="00166387">
      <w:pPr>
        <w:pStyle w:val="Corpo"/>
        <w:spacing w:after="0" w:line="360" w:lineRule="auto"/>
        <w:jc w:val="both"/>
        <w:rPr>
          <w:rFonts w:ascii="Times New Roman" w:eastAsia="Times New Roman" w:hAnsi="Times New Roman" w:cs="Times New Roman"/>
          <w:b/>
          <w:bCs/>
          <w:color w:val="000000" w:themeColor="text1"/>
        </w:rPr>
      </w:pPr>
    </w:p>
    <w:p w14:paraId="5D7667F1" w14:textId="77777777" w:rsidR="00ED6883" w:rsidRPr="008B7C8E" w:rsidRDefault="00166387" w:rsidP="00ED6883">
      <w:pPr>
        <w:pStyle w:val="NormaleWeb"/>
        <w:spacing w:line="360" w:lineRule="auto"/>
        <w:jc w:val="both"/>
        <w:rPr>
          <w:color w:val="000000" w:themeColor="text1"/>
          <w:lang w:val="en-US"/>
        </w:rPr>
      </w:pPr>
      <w:r w:rsidRPr="008B7C8E">
        <w:rPr>
          <w:b/>
          <w:bCs/>
          <w:color w:val="000000" w:themeColor="text1"/>
          <w:lang w:val="en-US"/>
        </w:rPr>
        <w:t>Running head:</w:t>
      </w:r>
      <w:r w:rsidRPr="008B7C8E">
        <w:rPr>
          <w:color w:val="000000" w:themeColor="text1"/>
          <w:lang w:val="en-US"/>
        </w:rPr>
        <w:t xml:space="preserve"> </w:t>
      </w:r>
      <w:r w:rsidR="00ED6883" w:rsidRPr="008B7C8E">
        <w:rPr>
          <w:color w:val="000000" w:themeColor="text1"/>
          <w:lang w:val="en-US"/>
        </w:rPr>
        <w:t>ASAP lowers early complications after hip fracture</w:t>
      </w:r>
    </w:p>
    <w:p w14:paraId="2A1E819E" w14:textId="32896F0F" w:rsidR="00166387" w:rsidRPr="008B7C8E" w:rsidRDefault="00166387" w:rsidP="00ED6883">
      <w:pPr>
        <w:pStyle w:val="NormaleWeb"/>
        <w:spacing w:line="360" w:lineRule="auto"/>
        <w:jc w:val="both"/>
        <w:rPr>
          <w:rFonts w:eastAsia="Arial Unicode MS"/>
          <w:b/>
          <w:bCs/>
          <w:color w:val="000000" w:themeColor="text1"/>
          <w:u w:color="000000"/>
          <w:bdr w:val="nil"/>
          <w:lang w:val="en-US"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US" w:eastAsia="fr-BE"/>
          <w14:textOutline w14:w="0" w14:cap="flat" w14:cmpd="sng" w14:algn="ctr">
            <w14:noFill/>
            <w14:prstDash w14:val="solid"/>
            <w14:bevel/>
          </w14:textOutline>
        </w:rPr>
        <w:t xml:space="preserve">Word counts: </w:t>
      </w:r>
    </w:p>
    <w:p w14:paraId="6F5F527A" w14:textId="04CB7707" w:rsidR="00166387" w:rsidRPr="008B7C8E" w:rsidRDefault="00166387" w:rsidP="00166387">
      <w:pPr>
        <w:pStyle w:val="Paragrafoelenco"/>
        <w:numPr>
          <w:ilvl w:val="0"/>
          <w:numId w:val="7"/>
        </w:numPr>
        <w:pBdr>
          <w:top w:val="nil"/>
          <w:left w:val="nil"/>
          <w:bottom w:val="nil"/>
          <w:right w:val="nil"/>
          <w:between w:val="nil"/>
          <w:bar w:val="nil"/>
        </w:pBdr>
        <w:spacing w:line="360" w:lineRule="auto"/>
        <w:jc w:val="both"/>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Abstract: 24</w:t>
      </w:r>
      <w:r w:rsidR="00D21A43"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2</w:t>
      </w:r>
    </w:p>
    <w:p w14:paraId="36EC087C" w14:textId="333552EF" w:rsidR="00166387" w:rsidRPr="008B7C8E" w:rsidRDefault="00166387" w:rsidP="00166387">
      <w:pPr>
        <w:pStyle w:val="Paragrafoelenco"/>
        <w:numPr>
          <w:ilvl w:val="0"/>
          <w:numId w:val="7"/>
        </w:numPr>
        <w:pBdr>
          <w:top w:val="nil"/>
          <w:left w:val="nil"/>
          <w:bottom w:val="nil"/>
          <w:right w:val="nil"/>
          <w:between w:val="nil"/>
          <w:bar w:val="nil"/>
        </w:pBdr>
        <w:spacing w:line="360" w:lineRule="auto"/>
        <w:jc w:val="both"/>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Introduction: </w:t>
      </w:r>
      <w:r w:rsidR="00D21A43"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388</w:t>
      </w:r>
    </w:p>
    <w:p w14:paraId="180E41C2" w14:textId="438F7387" w:rsidR="00166387" w:rsidRPr="008B7C8E" w:rsidRDefault="00166387" w:rsidP="00166387">
      <w:pPr>
        <w:pStyle w:val="Paragrafoelenco"/>
        <w:numPr>
          <w:ilvl w:val="0"/>
          <w:numId w:val="7"/>
        </w:numPr>
        <w:pBdr>
          <w:top w:val="nil"/>
          <w:left w:val="nil"/>
          <w:bottom w:val="nil"/>
          <w:right w:val="nil"/>
          <w:between w:val="nil"/>
          <w:bar w:val="nil"/>
        </w:pBdr>
        <w:spacing w:line="360" w:lineRule="auto"/>
        <w:jc w:val="both"/>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Discussion: </w:t>
      </w:r>
      <w:r w:rsidR="00D21A43"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12</w:t>
      </w:r>
      <w:r w:rsidR="00D3054E"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4</w:t>
      </w:r>
      <w:r w:rsidR="00D21A43"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8</w:t>
      </w:r>
    </w:p>
    <w:p w14:paraId="75FD789B" w14:textId="46189D46" w:rsidR="00166387" w:rsidRPr="008B7C8E" w:rsidRDefault="00166387" w:rsidP="00166387">
      <w:pPr>
        <w:pStyle w:val="Paragrafoelenco"/>
        <w:numPr>
          <w:ilvl w:val="0"/>
          <w:numId w:val="7"/>
        </w:numPr>
        <w:pBdr>
          <w:top w:val="nil"/>
          <w:left w:val="nil"/>
          <w:bottom w:val="nil"/>
          <w:right w:val="nil"/>
          <w:between w:val="nil"/>
          <w:bar w:val="nil"/>
        </w:pBdr>
        <w:spacing w:line="360" w:lineRule="auto"/>
        <w:jc w:val="both"/>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Total word count (body of text): </w:t>
      </w:r>
      <w:r w:rsidR="00D21A43"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4</w:t>
      </w:r>
      <w:r w:rsidR="00D3054E"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839</w:t>
      </w:r>
    </w:p>
    <w:p w14:paraId="41FC85EE" w14:textId="77777777" w:rsidR="00166387" w:rsidRPr="008B7C8E" w:rsidRDefault="00166387" w:rsidP="00166387">
      <w:pPr>
        <w:pStyle w:val="Corpo"/>
        <w:spacing w:after="0" w:line="360" w:lineRule="auto"/>
        <w:jc w:val="both"/>
        <w:rPr>
          <w:rFonts w:ascii="Times New Roman" w:eastAsia="Times New Roman" w:hAnsi="Times New Roman" w:cs="Times New Roman"/>
          <w:b/>
          <w:bCs/>
          <w:color w:val="000000" w:themeColor="text1"/>
        </w:rPr>
      </w:pPr>
    </w:p>
    <w:p w14:paraId="05866DC0" w14:textId="79F9ACB6" w:rsidR="00166387" w:rsidRPr="008B7C8E" w:rsidRDefault="00166387" w:rsidP="00166387">
      <w:pPr>
        <w:pStyle w:val="Corpo"/>
        <w:spacing w:after="0" w:line="360" w:lineRule="auto"/>
        <w:jc w:val="both"/>
        <w:rPr>
          <w:rFonts w:ascii="Times New Roman" w:eastAsia="Times New Roman" w:hAnsi="Times New Roman" w:cs="Times New Roman"/>
          <w:color w:val="000000" w:themeColor="text1"/>
        </w:rPr>
      </w:pPr>
      <w:r w:rsidRPr="008B7C8E">
        <w:rPr>
          <w:rFonts w:ascii="Times New Roman" w:eastAsia="Times New Roman" w:hAnsi="Times New Roman" w:cs="Times New Roman"/>
          <w:b/>
          <w:bCs/>
          <w:color w:val="000000" w:themeColor="text1"/>
        </w:rPr>
        <w:t xml:space="preserve">Clinical trial number and registry URL: </w:t>
      </w:r>
      <w:r w:rsidRPr="008B7C8E">
        <w:rPr>
          <w:rFonts w:ascii="Times New Roman" w:eastAsia="Times New Roman" w:hAnsi="Times New Roman" w:cs="Times New Roman"/>
          <w:color w:val="000000" w:themeColor="text1"/>
        </w:rPr>
        <w:t xml:space="preserve">NCT04771364; </w:t>
      </w:r>
      <w:hyperlink r:id="rId9" w:history="1">
        <w:r w:rsidRPr="008B7C8E">
          <w:rPr>
            <w:rStyle w:val="Collegamentoipertestuale"/>
            <w:rFonts w:ascii="Times New Roman" w:eastAsia="Times New Roman" w:hAnsi="Times New Roman" w:cs="Times New Roman"/>
            <w:color w:val="000000" w:themeColor="text1"/>
          </w:rPr>
          <w:t>https://ichgcp.net/clinical-trials-registry/NCT04771364</w:t>
        </w:r>
      </w:hyperlink>
      <w:r w:rsidRPr="008B7C8E">
        <w:rPr>
          <w:rFonts w:ascii="Times New Roman" w:eastAsia="Times New Roman" w:hAnsi="Times New Roman" w:cs="Times New Roman"/>
          <w:color w:val="000000" w:themeColor="text1"/>
        </w:rPr>
        <w:t>)</w:t>
      </w:r>
    </w:p>
    <w:p w14:paraId="07CAFC23" w14:textId="77777777" w:rsidR="00166387" w:rsidRPr="008B7C8E" w:rsidRDefault="00166387" w:rsidP="00166387">
      <w:pPr>
        <w:pStyle w:val="Corpo"/>
        <w:spacing w:after="0" w:line="360" w:lineRule="auto"/>
        <w:jc w:val="both"/>
        <w:rPr>
          <w:rFonts w:ascii="Times New Roman" w:eastAsia="Times New Roman" w:hAnsi="Times New Roman" w:cs="Times New Roman"/>
          <w:b/>
          <w:bCs/>
          <w:color w:val="000000" w:themeColor="text1"/>
        </w:rPr>
      </w:pPr>
    </w:p>
    <w:p w14:paraId="3202CF16" w14:textId="77777777" w:rsidR="00166387" w:rsidRPr="008B7C8E" w:rsidRDefault="00166387" w:rsidP="00166387">
      <w:pPr>
        <w:pStyle w:val="Corpo"/>
        <w:spacing w:after="0" w:line="360" w:lineRule="auto"/>
        <w:jc w:val="both"/>
        <w:rPr>
          <w:rFonts w:ascii="Times New Roman" w:eastAsia="Times New Roman" w:hAnsi="Times New Roman" w:cs="Times New Roman"/>
          <w:b/>
          <w:bCs/>
          <w:color w:val="000000" w:themeColor="text1"/>
        </w:rPr>
      </w:pPr>
    </w:p>
    <w:p w14:paraId="50D67E63" w14:textId="3F12097D" w:rsidR="00166387" w:rsidRPr="008B7C8E" w:rsidRDefault="00166387" w:rsidP="00166387">
      <w:pPr>
        <w:pStyle w:val="Corpo"/>
        <w:spacing w:after="0" w:line="360" w:lineRule="auto"/>
        <w:jc w:val="both"/>
        <w:rPr>
          <w:rFonts w:ascii="Times New Roman" w:hAnsi="Times New Roman" w:cs="Times New Roman"/>
          <w:color w:val="000000" w:themeColor="text1"/>
        </w:rPr>
      </w:pPr>
      <w:r w:rsidRPr="008B7C8E">
        <w:rPr>
          <w:rFonts w:ascii="Times New Roman" w:eastAsia="Times New Roman" w:hAnsi="Times New Roman" w:cs="Times New Roman"/>
          <w:b/>
          <w:bCs/>
          <w:color w:val="000000" w:themeColor="text1"/>
        </w:rPr>
        <w:lastRenderedPageBreak/>
        <w:t>DISCLOSURES</w:t>
      </w:r>
    </w:p>
    <w:p w14:paraId="4FBB8DC8" w14:textId="77777777" w:rsidR="00166387" w:rsidRPr="008B7C8E" w:rsidRDefault="00166387" w:rsidP="00166387">
      <w:pPr>
        <w:pStyle w:val="Corpo"/>
        <w:spacing w:after="0" w:line="360" w:lineRule="auto"/>
        <w:jc w:val="both"/>
        <w:rPr>
          <w:rFonts w:ascii="Times New Roman" w:eastAsia="Times New Roman" w:hAnsi="Times New Roman" w:cs="Times New Roman"/>
          <w:b/>
          <w:bCs/>
          <w:color w:val="000000" w:themeColor="text1"/>
        </w:rPr>
      </w:pPr>
      <w:r w:rsidRPr="008B7C8E">
        <w:rPr>
          <w:rFonts w:ascii="Times New Roman" w:eastAsia="Times New Roman" w:hAnsi="Times New Roman" w:cs="Times New Roman"/>
          <w:b/>
          <w:bCs/>
          <w:color w:val="000000" w:themeColor="text1"/>
        </w:rPr>
        <w:t xml:space="preserve">Assistance with the study: </w:t>
      </w:r>
      <w:r w:rsidRPr="008B7C8E">
        <w:rPr>
          <w:rFonts w:ascii="Times New Roman" w:eastAsia="Times New Roman" w:hAnsi="Times New Roman" w:cs="Times New Roman"/>
          <w:color w:val="000000" w:themeColor="text1"/>
        </w:rPr>
        <w:t>none.</w:t>
      </w:r>
    </w:p>
    <w:p w14:paraId="693B081F" w14:textId="77777777" w:rsidR="00166387" w:rsidRPr="008B7C8E" w:rsidRDefault="00166387" w:rsidP="00166387">
      <w:pPr>
        <w:pStyle w:val="Corpo"/>
        <w:spacing w:after="0" w:line="360" w:lineRule="auto"/>
        <w:jc w:val="both"/>
        <w:rPr>
          <w:rFonts w:ascii="Times New Roman" w:eastAsia="Times New Roman" w:hAnsi="Times New Roman" w:cs="Times New Roman"/>
          <w:b/>
          <w:bCs/>
          <w:color w:val="000000" w:themeColor="text1"/>
        </w:rPr>
      </w:pPr>
      <w:r w:rsidRPr="008B7C8E">
        <w:rPr>
          <w:rFonts w:ascii="Times New Roman" w:eastAsia="Times New Roman" w:hAnsi="Times New Roman" w:cs="Times New Roman"/>
          <w:b/>
          <w:bCs/>
          <w:color w:val="000000" w:themeColor="text1"/>
        </w:rPr>
        <w:t xml:space="preserve">Financial support and sponsorship: </w:t>
      </w:r>
      <w:r w:rsidRPr="008B7C8E">
        <w:rPr>
          <w:rFonts w:ascii="Times New Roman" w:eastAsia="Times New Roman" w:hAnsi="Times New Roman" w:cs="Times New Roman"/>
          <w:color w:val="000000" w:themeColor="text1"/>
        </w:rPr>
        <w:t>this work was supported by the Department of Anaesthesiology and Intensive Care, Liège University Hospital, Liège, Belgium.</w:t>
      </w:r>
    </w:p>
    <w:p w14:paraId="18B37EA2" w14:textId="48A55C33" w:rsidR="00166387" w:rsidRPr="008B7C8E" w:rsidRDefault="00166387" w:rsidP="00166387">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8B7C8E">
        <w:rPr>
          <w:b/>
          <w:bCs/>
          <w:color w:val="000000" w:themeColor="text1"/>
          <w:lang w:val="en-US"/>
        </w:rPr>
        <w:t xml:space="preserve">Conflicts of interest: </w:t>
      </w:r>
      <w:r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Michele Carella (MC) has received interview and speaker honoraria from GE Healthcare, </w:t>
      </w:r>
      <w:r w:rsidR="00E25C88"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Aspen, </w:t>
      </w:r>
      <w:r w:rsidRPr="008B7C8E">
        <w:rPr>
          <w:rFonts w:eastAsia="Arial Unicode MS"/>
          <w:color w:val="000000" w:themeColor="text1"/>
          <w:u w:color="000000"/>
          <w:bdr w:val="nil"/>
          <w:lang w:val="en-US" w:eastAsia="fr-BE"/>
          <w14:textOutline w14:w="0" w14:cap="flat" w14:cmpd="sng" w14:algn="ctr">
            <w14:noFill/>
            <w14:prstDash w14:val="solid"/>
            <w14:bevel/>
          </w14:textOutline>
        </w:rPr>
        <w:t>Aguettant, and Baxter. He is Associate Editor at the European Journal of Anaesthesiology, and a board member of the Belgian Association for Regional Anaesthesia and of the Scientific Committee of the European Society of Anaesthesiology and Intensive Care.</w:t>
      </w:r>
    </w:p>
    <w:p w14:paraId="390DB982" w14:textId="77777777" w:rsidR="00166387" w:rsidRPr="008B7C8E" w:rsidRDefault="00166387" w:rsidP="00166387">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color w:val="000000" w:themeColor="text1"/>
          <w:u w:color="000000"/>
          <w:bdr w:val="nil"/>
          <w:lang w:val="en-US" w:eastAsia="fr-BE"/>
          <w14:textOutline w14:w="0" w14:cap="flat" w14:cmpd="sng" w14:algn="ctr">
            <w14:noFill/>
            <w14:prstDash w14:val="solid"/>
            <w14:bevel/>
          </w14:textOutline>
        </w:rPr>
        <w:t>Vincent Bonhomme (VB) has received research support from Orion Pharma, and honoraria from Medtronic and Viatris. He is Deputy Editor-in-Chief of Acta Anaesthesiologica Belgica and has served as a consultant for Edwards Medical and Grunenthal.</w:t>
      </w:r>
    </w:p>
    <w:p w14:paraId="5E9293F4" w14:textId="77777777" w:rsidR="00166387" w:rsidRPr="008B7C8E" w:rsidRDefault="00166387" w:rsidP="00166387">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color w:val="000000" w:themeColor="text1"/>
          <w:u w:color="000000"/>
          <w:bdr w:val="nil"/>
          <w:lang w:val="en-US" w:eastAsia="fr-BE"/>
          <w14:textOutline w14:w="0" w14:cap="flat" w14:cmpd="sng" w14:algn="ctr">
            <w14:noFill/>
            <w14:prstDash w14:val="solid"/>
            <w14:bevel/>
          </w14:textOutline>
        </w:rPr>
        <w:t>The other authors declare no competing interests.</w:t>
      </w:r>
    </w:p>
    <w:p w14:paraId="3842EEC7" w14:textId="77777777" w:rsidR="00166387" w:rsidRPr="008B7C8E" w:rsidRDefault="00166387" w:rsidP="00166387">
      <w:pPr>
        <w:pStyle w:val="Corpo"/>
        <w:spacing w:after="0" w:line="360" w:lineRule="auto"/>
        <w:jc w:val="both"/>
        <w:rPr>
          <w:rFonts w:ascii="Times New Roman" w:eastAsia="Times New Roman" w:hAnsi="Times New Roman" w:cs="Times New Roman"/>
          <w:b/>
          <w:bCs/>
          <w:color w:val="000000" w:themeColor="text1"/>
        </w:rPr>
      </w:pPr>
      <w:r w:rsidRPr="008B7C8E">
        <w:rPr>
          <w:rFonts w:ascii="Times New Roman" w:eastAsia="Times New Roman" w:hAnsi="Times New Roman" w:cs="Times New Roman"/>
          <w:b/>
          <w:bCs/>
          <w:color w:val="000000" w:themeColor="text1"/>
        </w:rPr>
        <w:t xml:space="preserve">Presentations: </w:t>
      </w:r>
      <w:r w:rsidRPr="008B7C8E">
        <w:rPr>
          <w:rFonts w:ascii="Times New Roman" w:hAnsi="Times New Roman" w:cs="Times New Roman"/>
          <w:color w:val="000000" w:themeColor="text1"/>
        </w:rPr>
        <w:t>preliminary results of this study will be presented at the SFAR (French Society of Anaesthesia and Intensive Care), on next September 16</w:t>
      </w:r>
      <w:r w:rsidRPr="008B7C8E">
        <w:rPr>
          <w:rFonts w:ascii="Times New Roman" w:hAnsi="Times New Roman" w:cs="Times New Roman"/>
          <w:color w:val="000000" w:themeColor="text1"/>
          <w:vertAlign w:val="superscript"/>
        </w:rPr>
        <w:t>th</w:t>
      </w:r>
      <w:r w:rsidRPr="008B7C8E">
        <w:rPr>
          <w:rFonts w:ascii="Times New Roman" w:hAnsi="Times New Roman" w:cs="Times New Roman"/>
          <w:color w:val="000000" w:themeColor="text1"/>
        </w:rPr>
        <w:t>-18</w:t>
      </w:r>
      <w:r w:rsidRPr="008B7C8E">
        <w:rPr>
          <w:rFonts w:ascii="Times New Roman" w:hAnsi="Times New Roman" w:cs="Times New Roman"/>
          <w:color w:val="000000" w:themeColor="text1"/>
          <w:vertAlign w:val="superscript"/>
        </w:rPr>
        <w:t>th</w:t>
      </w:r>
      <w:r w:rsidRPr="008B7C8E">
        <w:rPr>
          <w:rFonts w:ascii="Times New Roman" w:hAnsi="Times New Roman" w:cs="Times New Roman"/>
          <w:color w:val="000000" w:themeColor="text1"/>
        </w:rPr>
        <w:t>, 2025. An abstract of the preliminary results has also been presented at the annual congress of the European Society of Regional Anaesthesia (ESRA) on June 21</w:t>
      </w:r>
      <w:r w:rsidRPr="008B7C8E">
        <w:rPr>
          <w:rFonts w:ascii="Times New Roman" w:hAnsi="Times New Roman" w:cs="Times New Roman"/>
          <w:color w:val="000000" w:themeColor="text1"/>
          <w:vertAlign w:val="superscript"/>
        </w:rPr>
        <w:t>st</w:t>
      </w:r>
      <w:r w:rsidRPr="008B7C8E">
        <w:rPr>
          <w:rFonts w:ascii="Times New Roman" w:hAnsi="Times New Roman" w:cs="Times New Roman"/>
          <w:color w:val="000000" w:themeColor="text1"/>
        </w:rPr>
        <w:t>-25</w:t>
      </w:r>
      <w:r w:rsidRPr="008B7C8E">
        <w:rPr>
          <w:rFonts w:ascii="Times New Roman" w:hAnsi="Times New Roman" w:cs="Times New Roman"/>
          <w:color w:val="000000" w:themeColor="text1"/>
          <w:vertAlign w:val="superscript"/>
        </w:rPr>
        <w:t>th</w:t>
      </w:r>
      <w:r w:rsidRPr="008B7C8E">
        <w:rPr>
          <w:rFonts w:ascii="Times New Roman" w:hAnsi="Times New Roman" w:cs="Times New Roman"/>
          <w:color w:val="000000" w:themeColor="text1"/>
        </w:rPr>
        <w:t>, 2021, in Thessaloniki (Greece).</w:t>
      </w:r>
    </w:p>
    <w:p w14:paraId="7ACF1AC9" w14:textId="77777777" w:rsidR="00166387" w:rsidRPr="008B7C8E" w:rsidRDefault="00166387" w:rsidP="00166387">
      <w:pPr>
        <w:spacing w:line="360" w:lineRule="auto"/>
        <w:jc w:val="both"/>
        <w:rPr>
          <w:rFonts w:eastAsia="Arial Unicode MS"/>
          <w:b/>
          <w:bCs/>
          <w:color w:val="000000" w:themeColor="text1"/>
          <w:u w:color="000000"/>
          <w:bdr w:val="nil"/>
          <w:lang w:val="en-US"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US" w:eastAsia="fr-BE"/>
          <w14:textOutline w14:w="0" w14:cap="flat" w14:cmpd="sng" w14:algn="ctr">
            <w14:noFill/>
            <w14:prstDash w14:val="solid"/>
            <w14:bevel/>
          </w14:textOutline>
        </w:rPr>
        <w:t>Availability of data and materials:</w:t>
      </w:r>
    </w:p>
    <w:p w14:paraId="764390B2" w14:textId="77777777" w:rsidR="00166387" w:rsidRPr="008B7C8E" w:rsidRDefault="00166387" w:rsidP="00166387">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color w:val="000000" w:themeColor="text1"/>
          <w:u w:color="000000"/>
          <w:bdr w:val="nil"/>
          <w:lang w:val="en-US" w:eastAsia="fr-BE"/>
          <w14:textOutline w14:w="0" w14:cap="flat" w14:cmpd="sng" w14:algn="ctr">
            <w14:noFill/>
            <w14:prstDash w14:val="solid"/>
            <w14:bevel/>
          </w14:textOutline>
        </w:rPr>
        <w:t>The datasets generated and analysed during the current study are available from the corresponding author upon reasonable request.</w:t>
      </w:r>
    </w:p>
    <w:p w14:paraId="4334D4F4" w14:textId="77777777" w:rsidR="00C50BB0" w:rsidRPr="008B7C8E" w:rsidRDefault="00C50BB0" w:rsidP="00C50BB0">
      <w:pPr>
        <w:spacing w:line="360" w:lineRule="auto"/>
        <w:jc w:val="both"/>
        <w:rPr>
          <w:color w:val="000000" w:themeColor="text1"/>
          <w:lang w:val="en-US"/>
        </w:rPr>
      </w:pPr>
    </w:p>
    <w:p w14:paraId="21128879" w14:textId="77777777" w:rsidR="00EF5B0F" w:rsidRPr="008B7C8E" w:rsidRDefault="00EF5B0F" w:rsidP="005A7BE1">
      <w:pPr>
        <w:spacing w:line="360" w:lineRule="auto"/>
        <w:rPr>
          <w:b/>
          <w:bCs/>
          <w:color w:val="000000" w:themeColor="text1"/>
          <w:lang w:val="en-US"/>
        </w:rPr>
      </w:pPr>
    </w:p>
    <w:p w14:paraId="2A02B90C" w14:textId="77777777" w:rsidR="00EF5B0F" w:rsidRPr="008B7C8E" w:rsidRDefault="00EF5B0F" w:rsidP="005A7BE1">
      <w:pPr>
        <w:spacing w:line="360" w:lineRule="auto"/>
        <w:rPr>
          <w:b/>
          <w:bCs/>
          <w:color w:val="000000" w:themeColor="text1"/>
          <w:lang w:val="en-US"/>
        </w:rPr>
      </w:pPr>
    </w:p>
    <w:p w14:paraId="7DEC480C" w14:textId="77777777" w:rsidR="0083477F" w:rsidRPr="008B7C8E" w:rsidRDefault="0083477F">
      <w:pPr>
        <w:rPr>
          <w:b/>
          <w:bCs/>
          <w:color w:val="000000" w:themeColor="text1"/>
          <w:lang w:val="en-US"/>
        </w:rPr>
      </w:pPr>
      <w:r w:rsidRPr="008B7C8E">
        <w:rPr>
          <w:b/>
          <w:bCs/>
          <w:color w:val="000000" w:themeColor="text1"/>
          <w:lang w:val="en-US"/>
        </w:rPr>
        <w:br w:type="page"/>
      </w:r>
    </w:p>
    <w:p w14:paraId="580F80AC" w14:textId="61290687" w:rsidR="005A7BE1" w:rsidRPr="008B7C8E" w:rsidRDefault="005A7BE1" w:rsidP="005A7BE1">
      <w:pPr>
        <w:spacing w:line="360" w:lineRule="auto"/>
        <w:rPr>
          <w:b/>
          <w:bCs/>
          <w:color w:val="000000" w:themeColor="text1"/>
          <w:lang w:val="en-US"/>
        </w:rPr>
      </w:pPr>
      <w:r w:rsidRPr="008B7C8E">
        <w:rPr>
          <w:b/>
          <w:bCs/>
          <w:color w:val="000000" w:themeColor="text1"/>
          <w:lang w:val="en-US"/>
        </w:rPr>
        <w:lastRenderedPageBreak/>
        <w:t>ABSTRACT</w:t>
      </w:r>
    </w:p>
    <w:p w14:paraId="7540139C" w14:textId="6FD1528C" w:rsidR="00ED6883" w:rsidRPr="008B7C8E" w:rsidRDefault="00ED6883" w:rsidP="00ED6883">
      <w:pPr>
        <w:spacing w:line="360" w:lineRule="auto"/>
        <w:jc w:val="both"/>
        <w:rPr>
          <w:rFonts w:eastAsia="Arial Unicode MS"/>
          <w:color w:val="000000" w:themeColor="text1"/>
          <w:u w:color="000000"/>
          <w:bdr w:val="nil"/>
          <w:lang w:val="en-GB"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GB" w:eastAsia="fr-BE"/>
          <w14:textOutline w14:w="0" w14:cap="flat" w14:cmpd="sng" w14:algn="ctr">
            <w14:noFill/>
            <w14:prstDash w14:val="solid"/>
            <w14:bevel/>
          </w14:textOutline>
        </w:rPr>
        <w:t>Background</w:t>
      </w:r>
      <w:r w:rsidRPr="008B7C8E">
        <w:rPr>
          <w:rFonts w:eastAsia="Arial Unicode MS"/>
          <w:color w:val="000000" w:themeColor="text1"/>
          <w:u w:color="000000"/>
          <w:bdr w:val="nil"/>
          <w:lang w:val="en-GB" w:eastAsia="fr-BE"/>
          <w14:textOutline w14:w="0" w14:cap="flat" w14:cmpd="sng" w14:algn="ctr">
            <w14:noFill/>
            <w14:prstDash w14:val="solid"/>
            <w14:bevel/>
          </w14:textOutline>
        </w:rPr>
        <w:t xml:space="preserve">: Hip fracture carries high morbidity in elderly patients. While most efforts focus on single perioperative measures, we assessed whether a coordinated multidisciplinary algorithm could reduce early postoperative complications (EPOCs) within 7 days. </w:t>
      </w:r>
      <w:r w:rsidR="00E8450D" w:rsidRPr="008B7C8E">
        <w:rPr>
          <w:rFonts w:eastAsia="Arial Unicode MS"/>
          <w:color w:val="000000" w:themeColor="text1"/>
          <w:u w:color="000000"/>
          <w:bdr w:val="nil"/>
          <w:lang w:val="en-GB" w:eastAsia="fr-BE"/>
          <w14:textOutline w14:w="0" w14:cap="flat" w14:cmpd="sng" w14:algn="ctr">
            <w14:noFill/>
            <w14:prstDash w14:val="solid"/>
            <w14:bevel/>
          </w14:textOutline>
        </w:rPr>
        <w:t xml:space="preserve">The Advise, Surgery, Analgesia, Pharmacology (ASAP) bundle comprises four components: ortho-geriatric consultation (Advise), surgery within 12 hours (Surgery), supra-inguinal fascia iliaca block (SFIB; Analgesia), and chronic therapy adjustment (Pharmacology). </w:t>
      </w:r>
    </w:p>
    <w:p w14:paraId="6940165C" w14:textId="115AE8DE" w:rsidR="00ED6883" w:rsidRPr="008B7C8E" w:rsidRDefault="00ED6883" w:rsidP="00ED6883">
      <w:pPr>
        <w:spacing w:line="360" w:lineRule="auto"/>
        <w:jc w:val="both"/>
        <w:rPr>
          <w:rFonts w:eastAsia="Arial Unicode MS"/>
          <w:color w:val="000000" w:themeColor="text1"/>
          <w:u w:color="000000"/>
          <w:bdr w:val="nil"/>
          <w:lang w:val="en-GB"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GB" w:eastAsia="fr-BE"/>
          <w14:textOutline w14:w="0" w14:cap="flat" w14:cmpd="sng" w14:algn="ctr">
            <w14:noFill/>
            <w14:prstDash w14:val="solid"/>
            <w14:bevel/>
          </w14:textOutline>
        </w:rPr>
        <w:t>Methods</w:t>
      </w:r>
      <w:r w:rsidRPr="008B7C8E">
        <w:rPr>
          <w:rFonts w:eastAsia="Arial Unicode MS"/>
          <w:color w:val="000000" w:themeColor="text1"/>
          <w:u w:color="000000"/>
          <w:bdr w:val="nil"/>
          <w:lang w:val="en-GB" w:eastAsia="fr-BE"/>
          <w14:textOutline w14:w="0" w14:cap="flat" w14:cmpd="sng" w14:algn="ctr">
            <w14:noFill/>
            <w14:prstDash w14:val="solid"/>
            <w14:bevel/>
          </w14:textOutline>
        </w:rPr>
        <w:t xml:space="preserve">: In this </w:t>
      </w:r>
      <w:r w:rsidR="000011C1" w:rsidRPr="008B7C8E">
        <w:rPr>
          <w:rFonts w:eastAsia="Arial Unicode MS"/>
          <w:color w:val="000000" w:themeColor="text1"/>
          <w:u w:color="000000"/>
          <w:bdr w:val="nil"/>
          <w:lang w:val="en-GB" w:eastAsia="fr-BE"/>
          <w14:textOutline w14:w="0" w14:cap="flat" w14:cmpd="sng" w14:algn="ctr">
            <w14:noFill/>
            <w14:prstDash w14:val="solid"/>
            <w14:bevel/>
          </w14:textOutline>
        </w:rPr>
        <w:t xml:space="preserve">retrospective </w:t>
      </w:r>
      <w:r w:rsidR="000011C1" w:rsidRPr="008B7C8E">
        <w:rPr>
          <w:color w:val="000000" w:themeColor="text1"/>
          <w:lang w:val="en-US"/>
        </w:rPr>
        <w:t>single-center interrupted time-series cohort study</w:t>
      </w:r>
      <w:r w:rsidR="000011C1" w:rsidRPr="008B7C8E">
        <w:rPr>
          <w:rFonts w:eastAsia="Arial Unicode MS"/>
          <w:color w:val="000000" w:themeColor="text1"/>
          <w:u w:color="000000"/>
          <w:bdr w:val="nil"/>
          <w:lang w:val="en-GB" w:eastAsia="fr-BE"/>
          <w14:textOutline w14:w="0" w14:cap="flat" w14:cmpd="sng" w14:algn="ctr">
            <w14:noFill/>
            <w14:prstDash w14:val="solid"/>
            <w14:bevel/>
          </w14:textOutline>
        </w:rPr>
        <w:t xml:space="preserve"> </w:t>
      </w:r>
      <w:r w:rsidRPr="008B7C8E">
        <w:rPr>
          <w:rFonts w:eastAsia="Arial Unicode MS"/>
          <w:color w:val="000000" w:themeColor="text1"/>
          <w:u w:color="000000"/>
          <w:bdr w:val="nil"/>
          <w:lang w:val="en-GB" w:eastAsia="fr-BE"/>
          <w14:textOutline w14:w="0" w14:cap="flat" w14:cmpd="sng" w14:algn="ctr">
            <w14:noFill/>
            <w14:prstDash w14:val="solid"/>
            <w14:bevel/>
          </w14:textOutline>
        </w:rPr>
        <w:t>(January 2017</w:t>
      </w:r>
      <w:r w:rsidR="00AA06E9" w:rsidRPr="008B7C8E">
        <w:rPr>
          <w:rFonts w:eastAsia="Arial Unicode MS"/>
          <w:color w:val="000000" w:themeColor="text1"/>
          <w:u w:color="000000"/>
          <w:bdr w:val="nil"/>
          <w:lang w:val="en-GB" w:eastAsia="fr-BE"/>
          <w14:textOutline w14:w="0" w14:cap="flat" w14:cmpd="sng" w14:algn="ctr">
            <w14:noFill/>
            <w14:prstDash w14:val="solid"/>
            <w14:bevel/>
          </w14:textOutline>
        </w:rPr>
        <w:t>-</w:t>
      </w:r>
      <w:r w:rsidRPr="008B7C8E">
        <w:rPr>
          <w:rFonts w:eastAsia="Arial Unicode MS"/>
          <w:color w:val="000000" w:themeColor="text1"/>
          <w:u w:color="000000"/>
          <w:bdr w:val="nil"/>
          <w:lang w:val="en-GB" w:eastAsia="fr-BE"/>
          <w14:textOutline w14:w="0" w14:cap="flat" w14:cmpd="sng" w14:algn="ctr">
            <w14:noFill/>
            <w14:prstDash w14:val="solid"/>
            <w14:bevel/>
          </w14:textOutline>
        </w:rPr>
        <w:t xml:space="preserve">December 2022), we compared </w:t>
      </w:r>
      <w:r w:rsidR="00BC5A06" w:rsidRPr="008B7C8E">
        <w:rPr>
          <w:rFonts w:eastAsia="Arial Unicode MS"/>
          <w:color w:val="000000" w:themeColor="text1"/>
          <w:u w:color="000000"/>
          <w:bdr w:val="nil"/>
          <w:lang w:val="en-GB" w:eastAsia="fr-BE"/>
          <w14:textOutline w14:w="0" w14:cap="flat" w14:cmpd="sng" w14:algn="ctr">
            <w14:noFill/>
            <w14:prstDash w14:val="solid"/>
            <w14:bevel/>
          </w14:textOutline>
        </w:rPr>
        <w:t>hip fracture</w:t>
      </w:r>
      <w:r w:rsidRPr="008B7C8E">
        <w:rPr>
          <w:rFonts w:eastAsia="Arial Unicode MS"/>
          <w:color w:val="000000" w:themeColor="text1"/>
          <w:u w:color="000000"/>
          <w:bdr w:val="nil"/>
          <w:lang w:val="en-GB" w:eastAsia="fr-BE"/>
          <w14:textOutline w14:w="0" w14:cap="flat" w14:cmpd="sng" w14:algn="ctr">
            <w14:noFill/>
            <w14:prstDash w14:val="solid"/>
            <w14:bevel/>
          </w14:textOutline>
        </w:rPr>
        <w:t xml:space="preserve"> patients admitted pre-ASAP (1 Jan 2017</w:t>
      </w:r>
      <w:r w:rsidR="00AA06E9" w:rsidRPr="008B7C8E">
        <w:rPr>
          <w:rFonts w:eastAsia="Arial Unicode MS"/>
          <w:color w:val="000000" w:themeColor="text1"/>
          <w:u w:color="000000"/>
          <w:bdr w:val="nil"/>
          <w:lang w:val="en-GB" w:eastAsia="fr-BE"/>
          <w14:textOutline w14:w="0" w14:cap="flat" w14:cmpd="sng" w14:algn="ctr">
            <w14:noFill/>
            <w14:prstDash w14:val="solid"/>
            <w14:bevel/>
          </w14:textOutline>
        </w:rPr>
        <w:t>-</w:t>
      </w:r>
      <w:r w:rsidRPr="008B7C8E">
        <w:rPr>
          <w:rFonts w:eastAsia="Arial Unicode MS"/>
          <w:color w:val="000000" w:themeColor="text1"/>
          <w:u w:color="000000"/>
          <w:bdr w:val="nil"/>
          <w:lang w:val="en-GB" w:eastAsia="fr-BE"/>
          <w14:textOutline w14:w="0" w14:cap="flat" w14:cmpd="sng" w14:algn="ctr">
            <w14:noFill/>
            <w14:prstDash w14:val="solid"/>
            <w14:bevel/>
          </w14:textOutline>
        </w:rPr>
        <w:t>31 Dec 2019) versus post-ASAP (1 Jan 2020</w:t>
      </w:r>
      <w:r w:rsidR="00AA06E9" w:rsidRPr="008B7C8E">
        <w:rPr>
          <w:rFonts w:eastAsia="Arial Unicode MS"/>
          <w:color w:val="000000" w:themeColor="text1"/>
          <w:u w:color="000000"/>
          <w:bdr w:val="nil"/>
          <w:lang w:val="en-GB" w:eastAsia="fr-BE"/>
          <w14:textOutline w14:w="0" w14:cap="flat" w14:cmpd="sng" w14:algn="ctr">
            <w14:noFill/>
            <w14:prstDash w14:val="solid"/>
            <w14:bevel/>
          </w14:textOutline>
        </w:rPr>
        <w:t>-</w:t>
      </w:r>
      <w:r w:rsidRPr="008B7C8E">
        <w:rPr>
          <w:rFonts w:eastAsia="Arial Unicode MS"/>
          <w:color w:val="000000" w:themeColor="text1"/>
          <w:u w:color="000000"/>
          <w:bdr w:val="nil"/>
          <w:lang w:val="en-GB" w:eastAsia="fr-BE"/>
          <w14:textOutline w14:w="0" w14:cap="flat" w14:cmpd="sng" w14:algn="ctr">
            <w14:noFill/>
            <w14:prstDash w14:val="solid"/>
            <w14:bevel/>
          </w14:textOutline>
        </w:rPr>
        <w:t>31 Dec 2022). Following ethics approval, we conducted interrupted time-series analysis of seven-day EPOC rates, stratified by Clavien</w:t>
      </w:r>
      <w:r w:rsidR="00AA06E9" w:rsidRPr="008B7C8E">
        <w:rPr>
          <w:rFonts w:eastAsia="Arial Unicode MS"/>
          <w:color w:val="000000" w:themeColor="text1"/>
          <w:u w:color="000000"/>
          <w:bdr w:val="nil"/>
          <w:lang w:val="en-GB" w:eastAsia="fr-BE"/>
          <w14:textOutline w14:w="0" w14:cap="flat" w14:cmpd="sng" w14:algn="ctr">
            <w14:noFill/>
            <w14:prstDash w14:val="solid"/>
            <w14:bevel/>
          </w14:textOutline>
        </w:rPr>
        <w:t>-</w:t>
      </w:r>
      <w:r w:rsidRPr="008B7C8E">
        <w:rPr>
          <w:rFonts w:eastAsia="Arial Unicode MS"/>
          <w:color w:val="000000" w:themeColor="text1"/>
          <w:u w:color="000000"/>
          <w:bdr w:val="nil"/>
          <w:lang w:val="en-GB" w:eastAsia="fr-BE"/>
          <w14:textOutline w14:w="0" w14:cap="flat" w14:cmpd="sng" w14:algn="ctr">
            <w14:noFill/>
            <w14:prstDash w14:val="solid"/>
            <w14:bevel/>
          </w14:textOutline>
        </w:rPr>
        <w:t>Dindo grades: all complications (1</w:t>
      </w:r>
      <w:r w:rsidR="00AA06E9" w:rsidRPr="008B7C8E">
        <w:rPr>
          <w:rFonts w:eastAsia="Arial Unicode MS"/>
          <w:color w:val="000000" w:themeColor="text1"/>
          <w:u w:color="000000"/>
          <w:bdr w:val="nil"/>
          <w:lang w:val="en-GB" w:eastAsia="fr-BE"/>
          <w14:textOutline w14:w="0" w14:cap="flat" w14:cmpd="sng" w14:algn="ctr">
            <w14:noFill/>
            <w14:prstDash w14:val="solid"/>
            <w14:bevel/>
          </w14:textOutline>
        </w:rPr>
        <w:t>-</w:t>
      </w:r>
      <w:r w:rsidRPr="008B7C8E">
        <w:rPr>
          <w:rFonts w:eastAsia="Arial Unicode MS"/>
          <w:color w:val="000000" w:themeColor="text1"/>
          <w:u w:color="000000"/>
          <w:bdr w:val="nil"/>
          <w:lang w:val="en-GB" w:eastAsia="fr-BE"/>
          <w14:textOutline w14:w="0" w14:cap="flat" w14:cmpd="sng" w14:algn="ctr">
            <w14:noFill/>
            <w14:prstDash w14:val="solid"/>
            <w14:bevel/>
          </w14:textOutline>
        </w:rPr>
        <w:t>4) and major complications (2</w:t>
      </w:r>
      <w:r w:rsidR="00AA06E9" w:rsidRPr="008B7C8E">
        <w:rPr>
          <w:rFonts w:eastAsia="Arial Unicode MS"/>
          <w:color w:val="000000" w:themeColor="text1"/>
          <w:u w:color="000000"/>
          <w:bdr w:val="nil"/>
          <w:lang w:val="en-GB" w:eastAsia="fr-BE"/>
          <w14:textOutline w14:w="0" w14:cap="flat" w14:cmpd="sng" w14:algn="ctr">
            <w14:noFill/>
            <w14:prstDash w14:val="solid"/>
            <w14:bevel/>
          </w14:textOutline>
        </w:rPr>
        <w:t>-</w:t>
      </w:r>
      <w:r w:rsidRPr="008B7C8E">
        <w:rPr>
          <w:rFonts w:eastAsia="Arial Unicode MS"/>
          <w:color w:val="000000" w:themeColor="text1"/>
          <w:u w:color="000000"/>
          <w:bdr w:val="nil"/>
          <w:lang w:val="en-GB" w:eastAsia="fr-BE"/>
          <w14:textOutline w14:w="0" w14:cap="flat" w14:cmpd="sng" w14:algn="ctr">
            <w14:noFill/>
            <w14:prstDash w14:val="solid"/>
            <w14:bevel/>
          </w14:textOutline>
        </w:rPr>
        <w:t>4). Kaplan</w:t>
      </w:r>
      <w:r w:rsidR="001B1205" w:rsidRPr="008B7C8E">
        <w:rPr>
          <w:rFonts w:eastAsia="Arial Unicode MS"/>
          <w:color w:val="000000" w:themeColor="text1"/>
          <w:u w:color="000000"/>
          <w:bdr w:val="nil"/>
          <w:lang w:val="en-GB" w:eastAsia="fr-BE"/>
          <w14:textOutline w14:w="0" w14:cap="flat" w14:cmpd="sng" w14:algn="ctr">
            <w14:noFill/>
            <w14:prstDash w14:val="solid"/>
            <w14:bevel/>
          </w14:textOutline>
        </w:rPr>
        <w:t>-</w:t>
      </w:r>
      <w:r w:rsidRPr="008B7C8E">
        <w:rPr>
          <w:rFonts w:eastAsia="Arial Unicode MS"/>
          <w:color w:val="000000" w:themeColor="text1"/>
          <w:u w:color="000000"/>
          <w:bdr w:val="nil"/>
          <w:lang w:val="en-GB" w:eastAsia="fr-BE"/>
          <w14:textOutline w14:w="0" w14:cap="flat" w14:cmpd="sng" w14:algn="ctr">
            <w14:noFill/>
            <w14:prstDash w14:val="solid"/>
            <w14:bevel/>
          </w14:textOutline>
        </w:rPr>
        <w:t>Meier and Cox proportional hazards models evaluated cumulative incidence and hazard ratios (HRs).</w:t>
      </w:r>
    </w:p>
    <w:p w14:paraId="48009C6E" w14:textId="12DAD9B9" w:rsidR="00ED6883" w:rsidRPr="008B7C8E" w:rsidRDefault="00ED6883" w:rsidP="00ED6883">
      <w:pPr>
        <w:spacing w:line="360" w:lineRule="auto"/>
        <w:jc w:val="both"/>
        <w:rPr>
          <w:rFonts w:eastAsia="Arial Unicode MS"/>
          <w:color w:val="000000" w:themeColor="text1"/>
          <w:u w:color="000000"/>
          <w:bdr w:val="nil"/>
          <w:lang w:val="en-GB"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GB" w:eastAsia="fr-BE"/>
          <w14:textOutline w14:w="0" w14:cap="flat" w14:cmpd="sng" w14:algn="ctr">
            <w14:noFill/>
            <w14:prstDash w14:val="solid"/>
            <w14:bevel/>
          </w14:textOutline>
        </w:rPr>
        <w:t>Results</w:t>
      </w:r>
      <w:r w:rsidRPr="008B7C8E">
        <w:rPr>
          <w:rFonts w:eastAsia="Arial Unicode MS"/>
          <w:color w:val="000000" w:themeColor="text1"/>
          <w:u w:color="000000"/>
          <w:bdr w:val="nil"/>
          <w:lang w:val="en-GB" w:eastAsia="fr-BE"/>
          <w14:textOutline w14:w="0" w14:cap="flat" w14:cmpd="sng" w14:algn="ctr">
            <w14:noFill/>
            <w14:prstDash w14:val="solid"/>
            <w14:bevel/>
          </w14:textOutline>
        </w:rPr>
        <w:t xml:space="preserve">: </w:t>
      </w:r>
      <w:r w:rsidR="00D0206E" w:rsidRPr="008B7C8E">
        <w:rPr>
          <w:rFonts w:eastAsia="Arial Unicode MS"/>
          <w:color w:val="000000" w:themeColor="text1"/>
          <w:u w:color="000000"/>
          <w:bdr w:val="nil"/>
          <w:lang w:val="en-GB" w:eastAsia="fr-BE"/>
          <w14:textOutline w14:w="0" w14:cap="flat" w14:cmpd="sng" w14:algn="ctr">
            <w14:noFill/>
            <w14:prstDash w14:val="solid"/>
            <w14:bevel/>
          </w14:textOutline>
        </w:rPr>
        <w:t>Among 845 patients (480 pre-ASAP, 365 post-ASAP), all EPOCs declined immediately after ASAP implementation (p=0.032) with a sustained negative trend over time (p=0.008), and major EPOCs also decreased immediately (p&lt;0.001) with a flatter subsequent trend (p=0.20). Kaplan-Meier curves confirmed a lower cumulative incidence of both all and major complications post-ASAP (log-rank p&lt;0.001). ASAP reduced the hazard for all EPOCs (HR 0.58; 95% CI 0.49-0.68) and major EPOCs (HR 0.60; 95% CI 0.49-0.73). Early surgery and SFIB each independently predicted fewer all EPOCs, whereas only early surgery predicted fewer major EPOCs.</w:t>
      </w:r>
    </w:p>
    <w:p w14:paraId="7BE597F3" w14:textId="40E56834" w:rsidR="0083477F" w:rsidRPr="008B7C8E" w:rsidRDefault="00ED6883" w:rsidP="00ED6883">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GB" w:eastAsia="fr-BE"/>
          <w14:textOutline w14:w="0" w14:cap="flat" w14:cmpd="sng" w14:algn="ctr">
            <w14:noFill/>
            <w14:prstDash w14:val="solid"/>
            <w14:bevel/>
          </w14:textOutline>
        </w:rPr>
        <w:t>Conclusions</w:t>
      </w:r>
      <w:r w:rsidRPr="008B7C8E">
        <w:rPr>
          <w:rFonts w:eastAsia="Arial Unicode MS"/>
          <w:color w:val="000000" w:themeColor="text1"/>
          <w:u w:color="000000"/>
          <w:bdr w:val="nil"/>
          <w:lang w:val="en-GB" w:eastAsia="fr-BE"/>
          <w14:textOutline w14:w="0" w14:cap="flat" w14:cmpd="sng" w14:algn="ctr">
            <w14:noFill/>
            <w14:prstDash w14:val="solid"/>
            <w14:bevel/>
          </w14:textOutline>
        </w:rPr>
        <w:t xml:space="preserve">: Implementation of the ASAP bundle significantly lowered early postoperative complications after </w:t>
      </w:r>
      <w:r w:rsidR="00BC5A06" w:rsidRPr="008B7C8E">
        <w:rPr>
          <w:rFonts w:eastAsia="Arial Unicode MS"/>
          <w:color w:val="000000" w:themeColor="text1"/>
          <w:u w:color="000000"/>
          <w:bdr w:val="nil"/>
          <w:lang w:val="en-GB" w:eastAsia="fr-BE"/>
          <w14:textOutline w14:w="0" w14:cap="flat" w14:cmpd="sng" w14:algn="ctr">
            <w14:noFill/>
            <w14:prstDash w14:val="solid"/>
            <w14:bevel/>
          </w14:textOutline>
        </w:rPr>
        <w:t>hip fracture</w:t>
      </w:r>
      <w:r w:rsidRPr="008B7C8E">
        <w:rPr>
          <w:rFonts w:eastAsia="Arial Unicode MS"/>
          <w:color w:val="000000" w:themeColor="text1"/>
          <w:u w:color="000000"/>
          <w:bdr w:val="nil"/>
          <w:lang w:val="en-GB" w:eastAsia="fr-BE"/>
          <w14:textOutline w14:w="0" w14:cap="flat" w14:cmpd="sng" w14:algn="ctr">
            <w14:noFill/>
            <w14:prstDash w14:val="solid"/>
            <w14:bevel/>
          </w14:textOutline>
        </w:rPr>
        <w:t xml:space="preserve"> surgery. Early surgery and SFIB were especially impactful, supporting broader adoption of multimodal perioperative strategies in elderly patients.</w:t>
      </w:r>
    </w:p>
    <w:p w14:paraId="3EF29ADF" w14:textId="77777777" w:rsidR="0083477F" w:rsidRPr="008B7C8E" w:rsidRDefault="0083477F" w:rsidP="00FB7F46">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p>
    <w:p w14:paraId="44361DEA" w14:textId="77777777" w:rsidR="0083477F" w:rsidRPr="008B7C8E" w:rsidRDefault="0083477F" w:rsidP="00FB7F46">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p>
    <w:p w14:paraId="0970DBC6" w14:textId="77777777" w:rsidR="00ED6883" w:rsidRPr="008B7C8E" w:rsidRDefault="00ED6883" w:rsidP="00FB7F46">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p>
    <w:p w14:paraId="666120DF" w14:textId="77777777" w:rsidR="00ED6883" w:rsidRPr="008B7C8E" w:rsidRDefault="00ED6883" w:rsidP="00FB7F46">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p>
    <w:p w14:paraId="51636071" w14:textId="77777777" w:rsidR="00ED6883" w:rsidRPr="008B7C8E" w:rsidRDefault="00ED6883" w:rsidP="00FB7F46">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p>
    <w:p w14:paraId="4793CD9C" w14:textId="77777777" w:rsidR="00ED6883" w:rsidRPr="008B7C8E" w:rsidRDefault="00ED6883" w:rsidP="00FB7F46">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p>
    <w:p w14:paraId="1C27FBD1" w14:textId="77777777" w:rsidR="00ED6883" w:rsidRPr="008B7C8E" w:rsidRDefault="00ED6883" w:rsidP="00FB7F46">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p>
    <w:p w14:paraId="692352B9" w14:textId="77777777" w:rsidR="00ED6883" w:rsidRPr="008B7C8E" w:rsidRDefault="00ED6883" w:rsidP="00FB7F46">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p>
    <w:p w14:paraId="511C3667" w14:textId="77777777" w:rsidR="00ED6883" w:rsidRPr="008B7C8E" w:rsidRDefault="00ED6883" w:rsidP="00FB7F46">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p>
    <w:p w14:paraId="77A73912" w14:textId="77777777" w:rsidR="00ED6883" w:rsidRPr="008B7C8E" w:rsidRDefault="00ED6883" w:rsidP="00FB7F46">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p>
    <w:p w14:paraId="2757E85F" w14:textId="77777777" w:rsidR="00ED6883" w:rsidRPr="008B7C8E" w:rsidRDefault="00ED6883" w:rsidP="00FB7F46">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p>
    <w:p w14:paraId="4581B9A1" w14:textId="7C2C228B" w:rsidR="00EF5B0F" w:rsidRPr="008B7C8E" w:rsidRDefault="00FB7F46" w:rsidP="00FB7F46">
      <w:pPr>
        <w:spacing w:line="360" w:lineRule="auto"/>
        <w:jc w:val="both"/>
        <w:rPr>
          <w:rFonts w:eastAsia="Arial Unicode MS"/>
          <w:b/>
          <w:bCs/>
          <w:color w:val="000000" w:themeColor="text1"/>
          <w:u w:color="000000"/>
          <w:bdr w:val="nil"/>
          <w:lang w:val="en-US"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US" w:eastAsia="fr-BE"/>
          <w14:textOutline w14:w="0" w14:cap="flat" w14:cmpd="sng" w14:algn="ctr">
            <w14:noFill/>
            <w14:prstDash w14:val="solid"/>
            <w14:bevel/>
          </w14:textOutline>
        </w:rPr>
        <w:t xml:space="preserve">MeSH BASED </w:t>
      </w:r>
      <w:r w:rsidR="00EF5B0F" w:rsidRPr="008B7C8E">
        <w:rPr>
          <w:b/>
          <w:bCs/>
          <w:color w:val="000000" w:themeColor="text1"/>
          <w:lang w:val="en-US"/>
        </w:rPr>
        <w:t>KEYWORDS</w:t>
      </w:r>
    </w:p>
    <w:p w14:paraId="4BCA5162" w14:textId="77777777" w:rsidR="0083477F" w:rsidRPr="008B7C8E" w:rsidRDefault="00FB7F46" w:rsidP="0083477F">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r w:rsidRPr="008B7C8E">
        <w:rPr>
          <w:color w:val="000000" w:themeColor="text1"/>
          <w:lang w:val="en-US"/>
        </w:rPr>
        <w:t>Hip Fractures ; Nerve Block; Postoperative Complications; Postoperative analgesia; Interrupted Time-Series Analysis; Geriatric Assessment</w:t>
      </w:r>
    </w:p>
    <w:p w14:paraId="584C2808" w14:textId="77777777" w:rsidR="0083477F" w:rsidRPr="008B7C8E" w:rsidRDefault="0083477F" w:rsidP="0083477F">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677B03E1" w14:textId="2BA0F10C" w:rsidR="005A7BE1" w:rsidRPr="008B7C8E" w:rsidRDefault="005A7BE1" w:rsidP="0083477F">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US" w:eastAsia="fr-BE"/>
          <w14:textOutline w14:w="0" w14:cap="flat" w14:cmpd="sng" w14:algn="ctr">
            <w14:noFill/>
            <w14:prstDash w14:val="solid"/>
            <w14:bevel/>
          </w14:textOutline>
        </w:rPr>
        <w:t>KEY POINTS SUMMARY</w:t>
      </w:r>
    </w:p>
    <w:p w14:paraId="44724E3E" w14:textId="0C54FF88" w:rsidR="00166387" w:rsidRPr="008B7C8E" w:rsidRDefault="00166387" w:rsidP="00166387">
      <w:pPr>
        <w:pStyle w:val="NormaleWeb"/>
        <w:numPr>
          <w:ilvl w:val="0"/>
          <w:numId w:val="7"/>
        </w:numPr>
        <w:spacing w:line="360" w:lineRule="auto"/>
        <w:ind w:left="360"/>
        <w:rPr>
          <w:color w:val="000000" w:themeColor="text1"/>
          <w:lang w:val="en-US"/>
        </w:rPr>
      </w:pPr>
      <w:r w:rsidRPr="008B7C8E">
        <w:rPr>
          <w:b/>
          <w:bCs/>
          <w:color w:val="000000" w:themeColor="text1"/>
          <w:lang w:val="en-US"/>
        </w:rPr>
        <w:t>Question</w:t>
      </w:r>
      <w:r w:rsidRPr="008B7C8E">
        <w:rPr>
          <w:color w:val="000000" w:themeColor="text1"/>
          <w:lang w:val="en-US"/>
        </w:rPr>
        <w:t>: Does implementing a multidisciplinary ASAP bundle (Advice, accelerated Surgery ≤12 h, Analgesia with supra-inguinal fascia iliaca block, Pharmacology review) reduce early postoperative complications after hip fracture surgery?</w:t>
      </w:r>
    </w:p>
    <w:p w14:paraId="7F53774F" w14:textId="47AC827C" w:rsidR="00166387" w:rsidRPr="008B7C8E" w:rsidRDefault="00166387" w:rsidP="00166387">
      <w:pPr>
        <w:pStyle w:val="NormaleWeb"/>
        <w:numPr>
          <w:ilvl w:val="0"/>
          <w:numId w:val="7"/>
        </w:numPr>
        <w:spacing w:line="360" w:lineRule="auto"/>
        <w:ind w:left="360"/>
        <w:rPr>
          <w:color w:val="000000" w:themeColor="text1"/>
          <w:lang w:val="en-US"/>
        </w:rPr>
      </w:pPr>
      <w:r w:rsidRPr="008B7C8E">
        <w:rPr>
          <w:b/>
          <w:bCs/>
          <w:color w:val="000000" w:themeColor="text1"/>
          <w:lang w:val="en-US"/>
        </w:rPr>
        <w:t>Findings</w:t>
      </w:r>
      <w:r w:rsidRPr="008B7C8E">
        <w:rPr>
          <w:color w:val="000000" w:themeColor="text1"/>
          <w:lang w:val="en-US"/>
        </w:rPr>
        <w:t xml:space="preserve">: Implementation of the multidisciplinary Advice, Surgery, Analgesia, and Pharmacology (ASAP) </w:t>
      </w:r>
      <w:r w:rsidR="00A7437D" w:rsidRPr="008B7C8E">
        <w:rPr>
          <w:rStyle w:val="Enfasigrassetto"/>
          <w:b w:val="0"/>
          <w:bCs w:val="0"/>
          <w:color w:val="000000" w:themeColor="text1"/>
          <w:lang w:val="en-US"/>
        </w:rPr>
        <w:t xml:space="preserve">bundle </w:t>
      </w:r>
      <w:r w:rsidRPr="008B7C8E">
        <w:rPr>
          <w:color w:val="000000" w:themeColor="text1"/>
          <w:lang w:val="en-US"/>
        </w:rPr>
        <w:t>produced an immediate reduction in all and major early postoperative complications and a sustained downward trend for all complications.</w:t>
      </w:r>
    </w:p>
    <w:p w14:paraId="7B570E9D" w14:textId="788D0ADF" w:rsidR="00166387" w:rsidRPr="008B7C8E" w:rsidRDefault="00166387" w:rsidP="00166387">
      <w:pPr>
        <w:pStyle w:val="NormaleWeb"/>
        <w:numPr>
          <w:ilvl w:val="0"/>
          <w:numId w:val="7"/>
        </w:numPr>
        <w:spacing w:line="360" w:lineRule="auto"/>
        <w:ind w:left="360"/>
        <w:rPr>
          <w:color w:val="000000" w:themeColor="text1"/>
          <w:lang w:val="en-US"/>
        </w:rPr>
      </w:pPr>
      <w:r w:rsidRPr="008B7C8E">
        <w:rPr>
          <w:b/>
          <w:bCs/>
          <w:color w:val="000000" w:themeColor="text1"/>
          <w:lang w:val="en-US"/>
        </w:rPr>
        <w:t>Meaning</w:t>
      </w:r>
      <w:r w:rsidRPr="008B7C8E">
        <w:rPr>
          <w:color w:val="000000" w:themeColor="text1"/>
          <w:lang w:val="en-US"/>
        </w:rPr>
        <w:t>: A multimodal protocolized perioperative bundle is associated with clinically meaningful reductions in early complications after hip fracture.</w:t>
      </w:r>
    </w:p>
    <w:p w14:paraId="35B1C07C" w14:textId="227301CE" w:rsidR="005A7BE1" w:rsidRPr="008B7C8E" w:rsidRDefault="005A7BE1" w:rsidP="00112943">
      <w:pPr>
        <w:pStyle w:val="Paragrafoelenco"/>
        <w:numPr>
          <w:ilvl w:val="0"/>
          <w:numId w:val="11"/>
        </w:numP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US" w:eastAsia="fr-BE"/>
          <w14:textOutline w14:w="0" w14:cap="flat" w14:cmpd="sng" w14:algn="ctr">
            <w14:noFill/>
            <w14:prstDash w14:val="solid"/>
            <w14:bevel/>
          </w14:textOutline>
        </w:rPr>
        <w:br w:type="page"/>
      </w:r>
    </w:p>
    <w:p w14:paraId="63949A33" w14:textId="77777777" w:rsidR="005A7BE1" w:rsidRPr="008B7C8E" w:rsidRDefault="005A7BE1" w:rsidP="005A7BE1">
      <w:pPr>
        <w:spacing w:line="360" w:lineRule="auto"/>
        <w:jc w:val="both"/>
        <w:rPr>
          <w:rFonts w:eastAsia="Arial Unicode MS"/>
          <w:b/>
          <w:bCs/>
          <w:color w:val="000000" w:themeColor="text1"/>
          <w:u w:color="000000"/>
          <w:bdr w:val="nil"/>
          <w:lang w:val="en-US"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US" w:eastAsia="fr-BE"/>
          <w14:textOutline w14:w="0" w14:cap="flat" w14:cmpd="sng" w14:algn="ctr">
            <w14:noFill/>
            <w14:prstDash w14:val="solid"/>
            <w14:bevel/>
          </w14:textOutline>
        </w:rPr>
        <w:lastRenderedPageBreak/>
        <w:t>INTRODUCTION</w:t>
      </w:r>
    </w:p>
    <w:p w14:paraId="4C983F8D" w14:textId="16C82464" w:rsidR="00A022A7" w:rsidRPr="008B7C8E" w:rsidRDefault="00A022A7" w:rsidP="00A022A7">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color w:val="000000" w:themeColor="text1"/>
          <w:u w:color="000000"/>
          <w:bdr w:val="nil"/>
          <w:lang w:val="en-US" w:eastAsia="fr-BE"/>
          <w14:textOutline w14:w="0" w14:cap="flat" w14:cmpd="sng" w14:algn="ctr">
            <w14:noFill/>
            <w14:prstDash w14:val="solid"/>
            <w14:bevel/>
          </w14:textOutline>
        </w:rPr>
        <w:t>As populations around the world continue to age, the incidence of</w:t>
      </w:r>
      <w:r w:rsidR="00BC5A06"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BC5A06" w:rsidRPr="008B7C8E">
        <w:rPr>
          <w:rFonts w:eastAsia="Arial Unicode MS"/>
          <w:color w:val="000000" w:themeColor="text1"/>
          <w:u w:color="000000"/>
          <w:bdr w:val="nil"/>
          <w:lang w:val="en-GB" w:eastAsia="fr-BE"/>
          <w14:textOutline w14:w="0" w14:cap="flat" w14:cmpd="sng" w14:algn="ctr">
            <w14:noFill/>
            <w14:prstDash w14:val="solid"/>
            <w14:bevel/>
          </w14:textOutline>
        </w:rPr>
        <w:t>hip fracture</w:t>
      </w:r>
      <w:r w:rsidR="00BC5A06"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Pr="008B7C8E">
        <w:rPr>
          <w:rFonts w:eastAsia="Arial Unicode MS"/>
          <w:color w:val="000000" w:themeColor="text1"/>
          <w:u w:color="000000"/>
          <w:bdr w:val="nil"/>
          <w:lang w:val="en-US" w:eastAsia="fr-BE"/>
          <w14:textOutline w14:w="0" w14:cap="flat" w14:cmpd="sng" w14:algn="ctr">
            <w14:noFill/>
            <w14:prstDash w14:val="solid"/>
            <w14:bevel/>
          </w14:textOutline>
        </w:rPr>
        <w:t>among elderly patients is poised to rise substantially.</w:t>
      </w:r>
      <w:r w:rsidR="00E87139" w:rsidRPr="008B7C8E">
        <w:rPr>
          <w:rFonts w:eastAsia="Arial Unicode MS"/>
          <w:color w:val="000000" w:themeColor="text1"/>
          <w:u w:color="000000"/>
          <w:bdr w:val="nil"/>
          <w:vertAlign w:val="superscript"/>
          <w:lang w:val="en-US" w:eastAsia="fr-BE"/>
          <w14:textOutline w14:w="0" w14:cap="flat" w14:cmpd="sng" w14:algn="ctr">
            <w14:noFill/>
            <w14:prstDash w14:val="solid"/>
            <w14:bevel/>
          </w14:textOutline>
        </w:rPr>
        <w:t>1</w:t>
      </w:r>
      <w:r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 Proximal femur fractures not only precipitate significant disability and loss of autonomy but also impose a growing burden on healthcare systems. These injuries typify non-elective surgical emergencies in frail older adults, whose diminished physiologic reserves complicate perioperative management.</w:t>
      </w:r>
      <w:r w:rsidR="00E87139" w:rsidRPr="008B7C8E">
        <w:rPr>
          <w:rFonts w:eastAsia="Arial Unicode MS"/>
          <w:color w:val="000000" w:themeColor="text1"/>
          <w:u w:color="000000"/>
          <w:bdr w:val="nil"/>
          <w:vertAlign w:val="superscript"/>
          <w:lang w:val="en-US" w:eastAsia="fr-BE"/>
          <w14:textOutline w14:w="0" w14:cap="flat" w14:cmpd="sng" w14:algn="ctr">
            <w14:noFill/>
            <w14:prstDash w14:val="solid"/>
            <w14:bevel/>
          </w14:textOutline>
        </w:rPr>
        <w:t>2, 3</w:t>
      </w:r>
    </w:p>
    <w:p w14:paraId="07CAD945" w14:textId="0A987B8A" w:rsidR="00A022A7" w:rsidRPr="008B7C8E" w:rsidRDefault="00A022A7" w:rsidP="00A022A7">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color w:val="000000" w:themeColor="text1"/>
          <w:u w:color="000000"/>
          <w:bdr w:val="nil"/>
          <w:lang w:val="en-US" w:eastAsia="fr-BE"/>
          <w14:textOutline w14:w="0" w14:cap="flat" w14:cmpd="sng" w14:algn="ctr">
            <w14:noFill/>
            <w14:prstDash w14:val="solid"/>
            <w14:bevel/>
          </w14:textOutline>
        </w:rPr>
        <w:t>Early surgical intervention is widely recognized as the cornerstone of effective treatment, reducing the risk of severe complications associated with conservative management.</w:t>
      </w:r>
      <w:r w:rsidR="00E87139" w:rsidRPr="008B7C8E">
        <w:rPr>
          <w:rFonts w:eastAsia="Arial Unicode MS"/>
          <w:color w:val="000000" w:themeColor="text1"/>
          <w:u w:color="000000"/>
          <w:bdr w:val="nil"/>
          <w:vertAlign w:val="superscript"/>
          <w:lang w:val="en-US" w:eastAsia="fr-BE"/>
          <w14:textOutline w14:w="0" w14:cap="flat" w14:cmpd="sng" w14:algn="ctr">
            <w14:noFill/>
            <w14:prstDash w14:val="solid"/>
            <w14:bevel/>
          </w14:textOutline>
        </w:rPr>
        <w:t>4</w:t>
      </w:r>
      <w:r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 Despite prompt surgery, however, elderly patients often experience a marked decline in functional status and health-related quality of life. Reported one-year morbidity and mortality rates following hip fracture vary globally but remain alarmingly high.</w:t>
      </w:r>
      <w:r w:rsidR="00E87139" w:rsidRPr="008B7C8E">
        <w:rPr>
          <w:rFonts w:eastAsia="Arial Unicode MS"/>
          <w:color w:val="000000" w:themeColor="text1"/>
          <w:u w:color="000000"/>
          <w:bdr w:val="nil"/>
          <w:vertAlign w:val="superscript"/>
          <w:lang w:val="en-US" w:eastAsia="fr-BE"/>
          <w14:textOutline w14:w="0" w14:cap="flat" w14:cmpd="sng" w14:algn="ctr">
            <w14:noFill/>
            <w14:prstDash w14:val="solid"/>
            <w14:bevel/>
          </w14:textOutline>
        </w:rPr>
        <w:t>5, 6</w:t>
      </w:r>
    </w:p>
    <w:p w14:paraId="0BFDE5C4" w14:textId="1D834797" w:rsidR="00A022A7" w:rsidRPr="008B7C8E" w:rsidRDefault="00A022A7" w:rsidP="00A022A7">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To date, numerous trials have examined individual facets of perioperative care—such as comparing spinal versus general </w:t>
      </w:r>
      <w:r w:rsidR="00335216" w:rsidRPr="008B7C8E">
        <w:rPr>
          <w:rFonts w:eastAsia="Arial Unicode MS"/>
          <w:color w:val="000000" w:themeColor="text1"/>
          <w:u w:color="000000"/>
          <w:bdr w:val="nil"/>
          <w:lang w:val="en-US" w:eastAsia="fr-BE"/>
          <w14:textOutline w14:w="0" w14:cap="flat" w14:cmpd="sng" w14:algn="ctr">
            <w14:noFill/>
            <w14:prstDash w14:val="solid"/>
            <w14:bevel/>
          </w14:textOutline>
        </w:rPr>
        <w:t>anesthesia</w:t>
      </w:r>
      <w:r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 or evaluating specific analgesic techniques—without demonstrating clear superiority of any single intervention in improving postoperative outcomes or autonomy.</w:t>
      </w:r>
      <w:r w:rsidR="00E87139" w:rsidRPr="008B7C8E">
        <w:rPr>
          <w:rFonts w:eastAsia="Arial Unicode MS"/>
          <w:color w:val="000000" w:themeColor="text1"/>
          <w:u w:color="000000"/>
          <w:bdr w:val="nil"/>
          <w:vertAlign w:val="superscript"/>
          <w:lang w:val="en-US" w:eastAsia="fr-BE"/>
          <w14:textOutline w14:w="0" w14:cap="flat" w14:cmpd="sng" w14:algn="ctr">
            <w14:noFill/>
            <w14:prstDash w14:val="solid"/>
            <w14:bevel/>
          </w14:textOutline>
        </w:rPr>
        <w:t>7, 8</w:t>
      </w:r>
      <w:r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7161E6" w:rsidRPr="008B7C8E">
        <w:rPr>
          <w:rStyle w:val="Enfasigrassetto"/>
          <w:b w:val="0"/>
          <w:bCs w:val="0"/>
          <w:color w:val="000000" w:themeColor="text1"/>
          <w:lang w:val="en-US"/>
        </w:rPr>
        <w:t xml:space="preserve">Within this context, enhanced recovery after surgery (ERAS) concepts have recently been adapted to hip-fracture care, but proposed protocols remain heterogeneous and incompletely defined; the ASAP </w:t>
      </w:r>
      <w:r w:rsidR="00A7437D" w:rsidRPr="008B7C8E">
        <w:rPr>
          <w:rStyle w:val="Enfasigrassetto"/>
          <w:b w:val="0"/>
          <w:bCs w:val="0"/>
          <w:color w:val="000000" w:themeColor="text1"/>
          <w:lang w:val="en-US"/>
        </w:rPr>
        <w:t xml:space="preserve">bundle </w:t>
      </w:r>
      <w:r w:rsidR="007161E6" w:rsidRPr="008B7C8E">
        <w:rPr>
          <w:rStyle w:val="Enfasigrassetto"/>
          <w:b w:val="0"/>
          <w:bCs w:val="0"/>
          <w:color w:val="000000" w:themeColor="text1"/>
          <w:lang w:val="en-US"/>
        </w:rPr>
        <w:t>was therefore conceived as a focused, hip-fracture–specific optimization bundle embedding key ERAS principles such as early surgery, regional and multimodal analgesia, careful medication management, and multidisciplinary coordination.</w:t>
      </w:r>
      <w:r w:rsidR="00E87139" w:rsidRPr="008B7C8E">
        <w:rPr>
          <w:rStyle w:val="Enfasigrassetto"/>
          <w:b w:val="0"/>
          <w:bCs w:val="0"/>
          <w:color w:val="000000" w:themeColor="text1"/>
          <w:vertAlign w:val="superscript"/>
          <w:lang w:val="en-US"/>
        </w:rPr>
        <w:t>9</w:t>
      </w:r>
      <w:r w:rsidR="007161E6" w:rsidRPr="008B7C8E">
        <w:rPr>
          <w:rStyle w:val="Enfasigrassetto"/>
          <w:color w:val="000000" w:themeColor="text1"/>
        </w:rPr>
        <w:t xml:space="preserve"> </w:t>
      </w:r>
      <w:r w:rsidR="009117B4" w:rsidRPr="008B7C8E">
        <w:rPr>
          <w:color w:val="000000" w:themeColor="text1"/>
          <w:lang w:val="en-US"/>
        </w:rPr>
        <w:t>Building on studies showing that coordinated perioperative pathways and multimodal orthogeriatric co-management can improve outcomes in older hip-fracture patients, we hypothesized that a comprehensive, multimodal strategy targeting several dimensions of care simultaneously would yield greater benefits</w:t>
      </w:r>
      <w:r w:rsidRPr="008B7C8E">
        <w:rPr>
          <w:rFonts w:eastAsia="Arial Unicode MS"/>
          <w:color w:val="000000" w:themeColor="text1"/>
          <w:u w:color="000000"/>
          <w:bdr w:val="nil"/>
          <w:lang w:val="en-US" w:eastAsia="fr-BE"/>
          <w14:textOutline w14:w="0" w14:cap="flat" w14:cmpd="sng" w14:algn="ctr">
            <w14:noFill/>
            <w14:prstDash w14:val="solid"/>
            <w14:bevel/>
          </w14:textOutline>
        </w:rPr>
        <w:t>.</w:t>
      </w:r>
      <w:r w:rsidR="00E87139" w:rsidRPr="008B7C8E">
        <w:rPr>
          <w:rFonts w:eastAsia="Arial Unicode MS"/>
          <w:color w:val="000000" w:themeColor="text1"/>
          <w:u w:color="000000"/>
          <w:bdr w:val="nil"/>
          <w:vertAlign w:val="superscript"/>
          <w:lang w:val="en-US" w:eastAsia="fr-BE"/>
          <w14:textOutline w14:w="0" w14:cap="flat" w14:cmpd="sng" w14:algn="ctr">
            <w14:noFill/>
            <w14:prstDash w14:val="solid"/>
            <w14:bevel/>
          </w14:textOutline>
        </w:rPr>
        <w:t>10-14</w:t>
      </w:r>
      <w:r w:rsidR="007161E6"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 </w:t>
      </w:r>
    </w:p>
    <w:p w14:paraId="2307CDC7" w14:textId="615C9E2A" w:rsidR="009C58EE" w:rsidRPr="008B7C8E" w:rsidRDefault="009C58EE" w:rsidP="00A7437D">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In this </w:t>
      </w:r>
      <w:r w:rsidR="000011C1" w:rsidRPr="008B7C8E">
        <w:rPr>
          <w:color w:val="000000" w:themeColor="text1"/>
          <w:lang w:val="en-US"/>
        </w:rPr>
        <w:t>single-center interrupted time-series (ITS) cohort study</w:t>
      </w:r>
      <w:r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 we evaluated the impact of a multimodal perioperative optimization </w:t>
      </w:r>
      <w:r w:rsidR="00A7437D" w:rsidRPr="008B7C8E">
        <w:rPr>
          <w:rFonts w:eastAsia="Arial Unicode MS"/>
          <w:color w:val="000000" w:themeColor="text1"/>
          <w:u w:color="000000"/>
          <w:bdr w:val="nil"/>
          <w:lang w:val="en-US" w:eastAsia="fr-BE"/>
          <w14:textOutline w14:w="0" w14:cap="flat" w14:cmpd="sng" w14:algn="ctr">
            <w14:noFill/>
            <w14:prstDash w14:val="solid"/>
            <w14:bevel/>
          </w14:textOutline>
        </w:rPr>
        <w:t>protocol</w:t>
      </w:r>
      <w:r w:rsidR="00B0775A"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the "ASAP" </w:t>
      </w:r>
      <w:r w:rsidR="00A7437D" w:rsidRPr="008B7C8E">
        <w:rPr>
          <w:rStyle w:val="Enfasigrassetto"/>
          <w:b w:val="0"/>
          <w:bCs w:val="0"/>
          <w:color w:val="000000" w:themeColor="text1"/>
          <w:lang w:val="en-US"/>
        </w:rPr>
        <w:t>bundle</w:t>
      </w:r>
      <w:r w:rsidR="00B0775A"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on early postoperative complications (EPOCs) occurring within the first seven days after surgery. </w:t>
      </w:r>
      <w:r w:rsidR="00A7437D"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The ASAP acronym summarizes four coordinated interventions: </w:t>
      </w:r>
      <w:r w:rsidR="00A7437D" w:rsidRPr="008B7C8E">
        <w:rPr>
          <w:rFonts w:eastAsia="Arial Unicode MS"/>
          <w:b/>
          <w:bCs/>
          <w:color w:val="000000" w:themeColor="text1"/>
          <w:u w:color="000000"/>
          <w:bdr w:val="nil"/>
          <w:lang w:val="en-US" w:eastAsia="fr-BE"/>
          <w14:textOutline w14:w="0" w14:cap="flat" w14:cmpd="sng" w14:algn="ctr">
            <w14:noFill/>
            <w14:prstDash w14:val="solid"/>
            <w14:bevel/>
          </w14:textOutline>
        </w:rPr>
        <w:t>A - Advice</w:t>
      </w:r>
      <w:r w:rsidR="00A7437D"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 systematic ortho-geriatric consultation; </w:t>
      </w:r>
      <w:r w:rsidR="00A7437D" w:rsidRPr="008B7C8E">
        <w:rPr>
          <w:rFonts w:eastAsia="Arial Unicode MS"/>
          <w:b/>
          <w:bCs/>
          <w:color w:val="000000" w:themeColor="text1"/>
          <w:u w:color="000000"/>
          <w:bdr w:val="nil"/>
          <w:lang w:val="en-US" w:eastAsia="fr-BE"/>
          <w14:textOutline w14:w="0" w14:cap="flat" w14:cmpd="sng" w14:algn="ctr">
            <w14:noFill/>
            <w14:prstDash w14:val="solid"/>
            <w14:bevel/>
          </w14:textOutline>
        </w:rPr>
        <w:t>S - Surgery</w:t>
      </w:r>
      <w:r w:rsidR="00A7437D"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 reduction of time to operative repair; </w:t>
      </w:r>
      <w:r w:rsidR="00A7437D" w:rsidRPr="008B7C8E">
        <w:rPr>
          <w:rFonts w:eastAsia="Arial Unicode MS"/>
          <w:b/>
          <w:bCs/>
          <w:color w:val="000000" w:themeColor="text1"/>
          <w:u w:color="000000"/>
          <w:bdr w:val="nil"/>
          <w:lang w:val="en-US" w:eastAsia="fr-BE"/>
          <w14:textOutline w14:w="0" w14:cap="flat" w14:cmpd="sng" w14:algn="ctr">
            <w14:noFill/>
            <w14:prstDash w14:val="solid"/>
            <w14:bevel/>
          </w14:textOutline>
        </w:rPr>
        <w:t>A - Analgesia</w:t>
      </w:r>
      <w:r w:rsidR="00A7437D"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 preoperative peripheral nerve block; </w:t>
      </w:r>
      <w:r w:rsidR="00A7437D" w:rsidRPr="008B7C8E">
        <w:rPr>
          <w:rFonts w:eastAsia="Arial Unicode MS"/>
          <w:b/>
          <w:bCs/>
          <w:color w:val="000000" w:themeColor="text1"/>
          <w:u w:color="000000"/>
          <w:bdr w:val="nil"/>
          <w:lang w:val="en-US" w:eastAsia="fr-BE"/>
          <w14:textOutline w14:w="0" w14:cap="flat" w14:cmpd="sng" w14:algn="ctr">
            <w14:noFill/>
            <w14:prstDash w14:val="solid"/>
            <w14:bevel/>
          </w14:textOutline>
        </w:rPr>
        <w:t>P - Pharmacology</w:t>
      </w:r>
      <w:r w:rsidR="00A7437D"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 adjustment of chronic medications to minimize anticholinergic burden. </w:t>
      </w:r>
    </w:p>
    <w:p w14:paraId="26643E70" w14:textId="38142704" w:rsidR="00A022A7" w:rsidRPr="008B7C8E" w:rsidRDefault="00A022A7" w:rsidP="001B1205">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Our primary aim was to determine whether implementing the full ASAP </w:t>
      </w:r>
      <w:r w:rsidR="00A7437D" w:rsidRPr="008B7C8E">
        <w:rPr>
          <w:rStyle w:val="Enfasigrassetto"/>
          <w:b w:val="0"/>
          <w:bCs w:val="0"/>
          <w:color w:val="000000" w:themeColor="text1"/>
          <w:lang w:val="en-US"/>
        </w:rPr>
        <w:t xml:space="preserve">bundle </w:t>
      </w:r>
      <w:r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reduced overall EPOCs, encompassing both all-confounded and major events. As a secondary objective, we assessed during the first seven postoperative days how the introduction of one, two, three, or all four individual components influenced EPOC rates, and identified which </w:t>
      </w:r>
      <w:r w:rsidRPr="008B7C8E">
        <w:rPr>
          <w:rFonts w:eastAsia="Arial Unicode MS"/>
          <w:color w:val="000000" w:themeColor="text1"/>
          <w:u w:color="000000"/>
          <w:bdr w:val="nil"/>
          <w:lang w:val="en-US" w:eastAsia="fr-BE"/>
          <w14:textOutline w14:w="0" w14:cap="flat" w14:cmpd="sng" w14:algn="ctr">
            <w14:noFill/>
            <w14:prstDash w14:val="solid"/>
            <w14:bevel/>
          </w14:textOutline>
        </w:rPr>
        <w:lastRenderedPageBreak/>
        <w:t>intervention(s) most significantly contributed to reductions in both all-confounded and major EPOCs.</w:t>
      </w:r>
    </w:p>
    <w:p w14:paraId="4E0DB714" w14:textId="77777777" w:rsidR="005A7BE1" w:rsidRPr="008B7C8E" w:rsidRDefault="005A7BE1" w:rsidP="005A7BE1">
      <w:pPr>
        <w:rPr>
          <w:rFonts w:eastAsia="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color w:val="000000" w:themeColor="text1"/>
          <w:u w:color="000000"/>
          <w:bdr w:val="nil"/>
          <w:lang w:val="en-US" w:eastAsia="fr-BE"/>
          <w14:textOutline w14:w="0" w14:cap="flat" w14:cmpd="sng" w14:algn="ctr">
            <w14:noFill/>
            <w14:prstDash w14:val="solid"/>
            <w14:bevel/>
          </w14:textOutline>
        </w:rPr>
        <w:br w:type="page"/>
      </w:r>
    </w:p>
    <w:p w14:paraId="7F356808" w14:textId="77777777" w:rsidR="005A7BE1" w:rsidRPr="008B7C8E" w:rsidRDefault="005A7BE1" w:rsidP="005A7BE1">
      <w:pPr>
        <w:spacing w:line="360" w:lineRule="auto"/>
        <w:jc w:val="both"/>
        <w:rPr>
          <w:rFonts w:eastAsia="Arial Unicode MS"/>
          <w:b/>
          <w:bCs/>
          <w:color w:val="000000" w:themeColor="text1"/>
          <w:u w:color="000000"/>
          <w:bdr w:val="nil"/>
          <w:lang w:val="en-US"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US" w:eastAsia="fr-BE"/>
          <w14:textOutline w14:w="0" w14:cap="flat" w14:cmpd="sng" w14:algn="ctr">
            <w14:noFill/>
            <w14:prstDash w14:val="solid"/>
            <w14:bevel/>
          </w14:textOutline>
        </w:rPr>
        <w:lastRenderedPageBreak/>
        <w:t>METHODS</w:t>
      </w:r>
    </w:p>
    <w:p w14:paraId="777AC40D" w14:textId="77777777" w:rsidR="004220DA" w:rsidRPr="008B7C8E" w:rsidRDefault="004220DA" w:rsidP="004220DA">
      <w:pPr>
        <w:spacing w:line="360" w:lineRule="auto"/>
        <w:jc w:val="both"/>
        <w:rPr>
          <w:rFonts w:eastAsia="Arial Unicode MS"/>
          <w:b/>
          <w:bCs/>
          <w:color w:val="000000" w:themeColor="text1"/>
          <w:u w:color="000000"/>
          <w:bdr w:val="nil"/>
          <w:lang w:val="en-US"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US" w:eastAsia="fr-BE"/>
          <w14:textOutline w14:w="0" w14:cap="flat" w14:cmpd="sng" w14:algn="ctr">
            <w14:noFill/>
            <w14:prstDash w14:val="solid"/>
            <w14:bevel/>
          </w14:textOutline>
        </w:rPr>
        <w:t>Study design and setting</w:t>
      </w:r>
    </w:p>
    <w:p w14:paraId="7C0FA470" w14:textId="59F78AD8" w:rsidR="004220DA" w:rsidRPr="008B7C8E" w:rsidRDefault="004220DA" w:rsidP="004220DA">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color w:val="000000" w:themeColor="text1"/>
          <w:u w:color="000000"/>
          <w:bdr w:val="nil"/>
          <w:lang w:val="en-US" w:eastAsia="fr-BE"/>
          <w14:textOutline w14:w="0" w14:cap="flat" w14:cmpd="sng" w14:algn="ctr">
            <w14:noFill/>
            <w14:prstDash w14:val="solid"/>
            <w14:bevel/>
          </w14:textOutline>
        </w:rPr>
        <w:t xml:space="preserve">This was a retrospective, single-center, ITS cohort study conducted at the University Hospital of Liège (CHU de Liège, Belgium). We compared outcomes between consecutive adults with hip fracture treated before and after implementation of the ASAP multimodal perioperative optimization </w:t>
      </w:r>
      <w:r w:rsidR="00A7437D" w:rsidRPr="008B7C8E">
        <w:rPr>
          <w:rStyle w:val="Enfasigrassetto"/>
          <w:b w:val="0"/>
          <w:bCs w:val="0"/>
          <w:color w:val="000000" w:themeColor="text1"/>
          <w:lang w:val="en-US"/>
        </w:rPr>
        <w:t>bundle</w:t>
      </w:r>
      <w:r w:rsidRPr="008B7C8E">
        <w:rPr>
          <w:rFonts w:eastAsia="Arial Unicode MS"/>
          <w:color w:val="000000" w:themeColor="text1"/>
          <w:u w:color="000000"/>
          <w:bdr w:val="nil"/>
          <w:lang w:val="en-US" w:eastAsia="fr-BE"/>
          <w14:textOutline w14:w="0" w14:cap="flat" w14:cmpd="sng" w14:algn="ctr">
            <w14:noFill/>
            <w14:prstDash w14:val="solid"/>
            <w14:bevel/>
          </w14:textOutline>
        </w:rPr>
        <w:t>. The pre-ASAP period extended from 1 January 2017 to 31 December 2019, and the post-ASAP period from 1 January 2020 to 31 December 2022.</w:t>
      </w:r>
    </w:p>
    <w:p w14:paraId="199A7F5C" w14:textId="1F70739A" w:rsidR="004220DA" w:rsidRPr="008B7C8E" w:rsidRDefault="004220DA" w:rsidP="004220DA">
      <w:pPr>
        <w:pStyle w:val="NormaleWeb"/>
        <w:rPr>
          <w:color w:val="000000" w:themeColor="text1"/>
          <w:lang w:val="en-US"/>
        </w:rPr>
      </w:pPr>
      <w:r w:rsidRPr="008B7C8E">
        <w:rPr>
          <w:rStyle w:val="Enfasigrassetto"/>
          <w:color w:val="000000" w:themeColor="text1"/>
          <w:lang w:val="en-US"/>
        </w:rPr>
        <w:t>Ethical approval</w:t>
      </w:r>
    </w:p>
    <w:p w14:paraId="330EF15A" w14:textId="57689578" w:rsidR="004220DA" w:rsidRPr="008B7C8E" w:rsidRDefault="004220DA" w:rsidP="004220DA">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color w:val="000000" w:themeColor="text1"/>
          <w:u w:color="000000"/>
          <w:bdr w:val="nil"/>
          <w:lang w:val="en-US" w:eastAsia="fr-BE"/>
          <w14:textOutline w14:w="0" w14:cap="flat" w14:cmpd="sng" w14:algn="ctr">
            <w14:noFill/>
            <w14:prstDash w14:val="solid"/>
            <w14:bevel/>
          </w14:textOutline>
        </w:rPr>
        <w:t>The original protocol was approved by the institutional Ethics Committee (Comité d’Éthique Hospitalo-Facultaire Universitaire de Liège; President: Prof. D. Ledoux; IRB number 707) as a prospective before-after cohort. Preliminary analyses were judged statistically inconclusive, underpowered, and potentially biased by disruptions related to the coronavirus disease 2019 (COVID-19) pandemic. The Ethics Committee subsequently approved an amended retrospective analysis over the extended study period and waived the requirement for individual informed consent. The study was prospectively registered on 22 December 2021 in the ICH-GCP Clinical Trials Registry (NCT04771364), with Michele Carella as principal investigator. A no-objection statement was obtained before data extraction and analysis. The study was conducted in accordance with the Declaration of Helsinki and reported according to the Strengthening the Reporting of Observational Studies in Epidemiology (STROBE) guidelines for observational cohort research.</w:t>
      </w:r>
    </w:p>
    <w:p w14:paraId="4AF952CF" w14:textId="77777777" w:rsidR="004220DA" w:rsidRPr="008B7C8E" w:rsidRDefault="004220DA" w:rsidP="005A7BE1">
      <w:pPr>
        <w:spacing w:line="360" w:lineRule="auto"/>
        <w:jc w:val="both"/>
        <w:rPr>
          <w:rFonts w:eastAsia="Arial Unicode MS" w:cs="Arial Unicode MS"/>
          <w:b/>
          <w:bCs/>
          <w:color w:val="000000" w:themeColor="text1"/>
          <w:u w:color="000000"/>
          <w:bdr w:val="nil"/>
          <w:lang w:val="en-US" w:eastAsia="fr-BE"/>
          <w14:textOutline w14:w="0" w14:cap="flat" w14:cmpd="sng" w14:algn="ctr">
            <w14:noFill/>
            <w14:prstDash w14:val="solid"/>
            <w14:bevel/>
          </w14:textOutline>
        </w:rPr>
      </w:pPr>
    </w:p>
    <w:p w14:paraId="7F794E0F" w14:textId="6BCDA329" w:rsidR="005A7BE1" w:rsidRPr="008B7C8E" w:rsidRDefault="005A7BE1" w:rsidP="005A7BE1">
      <w:pPr>
        <w:spacing w:line="360" w:lineRule="auto"/>
        <w:jc w:val="both"/>
        <w:rPr>
          <w:rFonts w:eastAsia="Arial Unicode MS" w:cs="Arial Unicode MS"/>
          <w:b/>
          <w:bCs/>
          <w:color w:val="000000" w:themeColor="text1"/>
          <w:u w:color="000000"/>
          <w:bdr w:val="nil"/>
          <w:lang w:val="en-US" w:eastAsia="fr-BE"/>
          <w14:textOutline w14:w="0" w14:cap="flat" w14:cmpd="sng" w14:algn="ctr">
            <w14:noFill/>
            <w14:prstDash w14:val="solid"/>
            <w14:bevel/>
          </w14:textOutline>
        </w:rPr>
      </w:pPr>
      <w:r w:rsidRPr="008B7C8E">
        <w:rPr>
          <w:rFonts w:eastAsia="Arial Unicode MS" w:cs="Arial Unicode MS"/>
          <w:b/>
          <w:bCs/>
          <w:color w:val="000000" w:themeColor="text1"/>
          <w:u w:color="000000"/>
          <w:bdr w:val="nil"/>
          <w:lang w:val="en-US" w:eastAsia="fr-BE"/>
          <w14:textOutline w14:w="0" w14:cap="flat" w14:cmpd="sng" w14:algn="ctr">
            <w14:noFill/>
            <w14:prstDash w14:val="solid"/>
            <w14:bevel/>
          </w14:textOutline>
        </w:rPr>
        <w:t>Population</w:t>
      </w:r>
    </w:p>
    <w:p w14:paraId="43E8DB29" w14:textId="7B91E768" w:rsidR="003E412E" w:rsidRPr="008B7C8E" w:rsidRDefault="00A022A7" w:rsidP="00A022A7">
      <w:pPr>
        <w:spacing w:line="360" w:lineRule="auto"/>
        <w:jc w:val="both"/>
        <w:rPr>
          <w:color w:val="000000" w:themeColor="text1"/>
          <w:lang w:val="en-US"/>
        </w:rPr>
      </w:pPr>
      <w:r w:rsidRPr="008B7C8E">
        <w:rPr>
          <w:color w:val="000000" w:themeColor="text1"/>
          <w:lang w:val="en-US"/>
        </w:rPr>
        <w:t>We performed a</w:t>
      </w:r>
      <w:r w:rsidR="000011C1" w:rsidRPr="008B7C8E">
        <w:rPr>
          <w:color w:val="000000" w:themeColor="text1"/>
          <w:lang w:val="en-US"/>
        </w:rPr>
        <w:t>n ITS</w:t>
      </w:r>
      <w:r w:rsidRPr="008B7C8E">
        <w:rPr>
          <w:color w:val="000000" w:themeColor="text1"/>
          <w:lang w:val="en-US"/>
        </w:rPr>
        <w:t xml:space="preserve"> analysis of consecutive patients aged ≥60 years admitted to </w:t>
      </w:r>
      <w:r w:rsidR="00F300D5" w:rsidRPr="008B7C8E">
        <w:rPr>
          <w:color w:val="000000" w:themeColor="text1"/>
          <w:lang w:val="en-US"/>
        </w:rPr>
        <w:t xml:space="preserve">the </w:t>
      </w:r>
      <w:r w:rsidRPr="008B7C8E">
        <w:rPr>
          <w:color w:val="000000" w:themeColor="text1"/>
          <w:lang w:val="en-US"/>
        </w:rPr>
        <w:t>Li</w:t>
      </w:r>
      <w:r w:rsidR="00F300D5" w:rsidRPr="008B7C8E">
        <w:rPr>
          <w:color w:val="000000" w:themeColor="text1"/>
          <w:lang w:val="en-US"/>
        </w:rPr>
        <w:t>e</w:t>
      </w:r>
      <w:r w:rsidRPr="008B7C8E">
        <w:rPr>
          <w:color w:val="000000" w:themeColor="text1"/>
          <w:lang w:val="en-US"/>
        </w:rPr>
        <w:t xml:space="preserve">ge University Hospital with a primary diagnosis of hip fracture between January 1, 2017, and December 31, 2022. </w:t>
      </w:r>
      <w:r w:rsidR="00CE6A1E" w:rsidRPr="008B7C8E">
        <w:rPr>
          <w:color w:val="000000" w:themeColor="text1"/>
          <w:lang w:val="en-US"/>
        </w:rPr>
        <w:t>We restricted the analysis to patients aged ≥60 years because, from this age onwards, hip fractures are predominantly osteoporotic fragility fractures related to low-energy trauma, whereas younger patients more frequently sustain hip fractures after high-energy injuries and constitute a more heterogeneous etiologic group.</w:t>
      </w:r>
      <w:r w:rsidR="00E8450D" w:rsidRPr="008B7C8E">
        <w:rPr>
          <w:color w:val="000000" w:themeColor="text1"/>
          <w:vertAlign w:val="superscript"/>
          <w:lang w:val="en-US"/>
        </w:rPr>
        <w:t>15, 16</w:t>
      </w:r>
      <w:r w:rsidR="00CE6A1E" w:rsidRPr="008B7C8E">
        <w:rPr>
          <w:color w:val="000000" w:themeColor="text1"/>
          <w:lang w:val="en-US"/>
        </w:rPr>
        <w:t xml:space="preserve"> </w:t>
      </w:r>
      <w:r w:rsidR="003E412E" w:rsidRPr="008B7C8E">
        <w:rPr>
          <w:color w:val="000000" w:themeColor="text1"/>
          <w:lang w:val="en-US"/>
        </w:rPr>
        <w:t xml:space="preserve">Only patients with unifocal hip fractures undergoing osteosynthesis or hemiarthroplasty were included. </w:t>
      </w:r>
      <w:r w:rsidRPr="008B7C8E">
        <w:rPr>
          <w:color w:val="000000" w:themeColor="text1"/>
          <w:lang w:val="en-US"/>
        </w:rPr>
        <w:t xml:space="preserve">Exclusion criteria were age &lt;60 years; polytrauma (defined as more than two fractures or concomitant splanchnic injury requiring surgical intervention); death before surgery; and cases managed nonoperatively or with a Girdlestone procedure. </w:t>
      </w:r>
    </w:p>
    <w:p w14:paraId="2FC617C1" w14:textId="71092523" w:rsidR="00A022A7" w:rsidRPr="008B7C8E" w:rsidRDefault="00A022A7" w:rsidP="00A022A7">
      <w:pPr>
        <w:spacing w:line="360" w:lineRule="auto"/>
        <w:jc w:val="both"/>
        <w:rPr>
          <w:color w:val="000000" w:themeColor="text1"/>
          <w:lang w:val="en-US"/>
        </w:rPr>
      </w:pPr>
      <w:r w:rsidRPr="008B7C8E">
        <w:rPr>
          <w:color w:val="000000" w:themeColor="text1"/>
          <w:lang w:val="en-US"/>
        </w:rPr>
        <w:lastRenderedPageBreak/>
        <w:t>Patients were assigned to the Pre</w:t>
      </w:r>
      <w:r w:rsidRPr="008B7C8E">
        <w:rPr>
          <w:color w:val="000000" w:themeColor="text1"/>
          <w:lang w:val="en-US"/>
        </w:rPr>
        <w:noBreakHyphen/>
        <w:t>ASAP cohort (January</w:t>
      </w:r>
      <w:r w:rsidR="00F300D5" w:rsidRPr="008B7C8E">
        <w:rPr>
          <w:color w:val="000000" w:themeColor="text1"/>
          <w:lang w:val="en-US"/>
        </w:rPr>
        <w:t xml:space="preserve"> </w:t>
      </w:r>
      <w:r w:rsidRPr="008B7C8E">
        <w:rPr>
          <w:color w:val="000000" w:themeColor="text1"/>
          <w:lang w:val="en-US"/>
        </w:rPr>
        <w:t>1</w:t>
      </w:r>
      <w:r w:rsidRPr="008B7C8E">
        <w:rPr>
          <w:color w:val="000000" w:themeColor="text1"/>
          <w:vertAlign w:val="superscript"/>
          <w:lang w:val="en-US"/>
        </w:rPr>
        <w:t>st</w:t>
      </w:r>
      <w:r w:rsidRPr="008B7C8E">
        <w:rPr>
          <w:color w:val="000000" w:themeColor="text1"/>
          <w:lang w:val="en-US"/>
        </w:rPr>
        <w:t>,</w:t>
      </w:r>
      <w:r w:rsidR="00F300D5" w:rsidRPr="008B7C8E">
        <w:rPr>
          <w:color w:val="000000" w:themeColor="text1"/>
          <w:lang w:val="en-US"/>
        </w:rPr>
        <w:t xml:space="preserve"> </w:t>
      </w:r>
      <w:r w:rsidRPr="008B7C8E">
        <w:rPr>
          <w:color w:val="000000" w:themeColor="text1"/>
          <w:lang w:val="en-US"/>
        </w:rPr>
        <w:t>2017</w:t>
      </w:r>
      <w:r w:rsidR="00F300D5" w:rsidRPr="008B7C8E">
        <w:rPr>
          <w:color w:val="000000" w:themeColor="text1"/>
          <w:lang w:val="en-US"/>
        </w:rPr>
        <w:t xml:space="preserve"> </w:t>
      </w:r>
      <w:r w:rsidRPr="008B7C8E">
        <w:rPr>
          <w:color w:val="000000" w:themeColor="text1"/>
          <w:lang w:val="en-US"/>
        </w:rPr>
        <w:t>to</w:t>
      </w:r>
      <w:r w:rsidR="00F300D5" w:rsidRPr="008B7C8E">
        <w:rPr>
          <w:color w:val="000000" w:themeColor="text1"/>
          <w:lang w:val="en-US"/>
        </w:rPr>
        <w:t xml:space="preserve"> </w:t>
      </w:r>
      <w:r w:rsidRPr="008B7C8E">
        <w:rPr>
          <w:color w:val="000000" w:themeColor="text1"/>
          <w:lang w:val="en-US"/>
        </w:rPr>
        <w:t>December</w:t>
      </w:r>
      <w:r w:rsidR="00F300D5" w:rsidRPr="008B7C8E">
        <w:rPr>
          <w:color w:val="000000" w:themeColor="text1"/>
          <w:lang w:val="en-US"/>
        </w:rPr>
        <w:t xml:space="preserve"> </w:t>
      </w:r>
      <w:r w:rsidRPr="008B7C8E">
        <w:rPr>
          <w:color w:val="000000" w:themeColor="text1"/>
          <w:lang w:val="en-US"/>
        </w:rPr>
        <w:t>31</w:t>
      </w:r>
      <w:r w:rsidRPr="008B7C8E">
        <w:rPr>
          <w:color w:val="000000" w:themeColor="text1"/>
          <w:vertAlign w:val="superscript"/>
          <w:lang w:val="en-US"/>
        </w:rPr>
        <w:t>th</w:t>
      </w:r>
      <w:r w:rsidRPr="008B7C8E">
        <w:rPr>
          <w:color w:val="000000" w:themeColor="text1"/>
          <w:lang w:val="en-US"/>
        </w:rPr>
        <w:t>,</w:t>
      </w:r>
      <w:r w:rsidR="00F300D5" w:rsidRPr="008B7C8E">
        <w:rPr>
          <w:color w:val="000000" w:themeColor="text1"/>
          <w:lang w:val="en-US"/>
        </w:rPr>
        <w:t xml:space="preserve"> </w:t>
      </w:r>
      <w:r w:rsidRPr="008B7C8E">
        <w:rPr>
          <w:color w:val="000000" w:themeColor="text1"/>
          <w:lang w:val="en-US"/>
        </w:rPr>
        <w:t>2019) or the Post</w:t>
      </w:r>
      <w:r w:rsidRPr="008B7C8E">
        <w:rPr>
          <w:color w:val="000000" w:themeColor="text1"/>
          <w:lang w:val="en-US"/>
        </w:rPr>
        <w:noBreakHyphen/>
        <w:t>ASAP cohort (January</w:t>
      </w:r>
      <w:r w:rsidR="00F300D5" w:rsidRPr="008B7C8E">
        <w:rPr>
          <w:color w:val="000000" w:themeColor="text1"/>
          <w:lang w:val="en-US"/>
        </w:rPr>
        <w:t xml:space="preserve"> </w:t>
      </w:r>
      <w:r w:rsidRPr="008B7C8E">
        <w:rPr>
          <w:color w:val="000000" w:themeColor="text1"/>
          <w:lang w:val="en-US"/>
        </w:rPr>
        <w:t>1</w:t>
      </w:r>
      <w:r w:rsidRPr="008B7C8E">
        <w:rPr>
          <w:color w:val="000000" w:themeColor="text1"/>
          <w:vertAlign w:val="superscript"/>
          <w:lang w:val="en-US"/>
        </w:rPr>
        <w:t>st</w:t>
      </w:r>
      <w:r w:rsidRPr="008B7C8E">
        <w:rPr>
          <w:color w:val="000000" w:themeColor="text1"/>
          <w:lang w:val="en-US"/>
        </w:rPr>
        <w:t>,</w:t>
      </w:r>
      <w:r w:rsidR="00F300D5" w:rsidRPr="008B7C8E">
        <w:rPr>
          <w:color w:val="000000" w:themeColor="text1"/>
          <w:lang w:val="en-US"/>
        </w:rPr>
        <w:t xml:space="preserve"> </w:t>
      </w:r>
      <w:r w:rsidRPr="008B7C8E">
        <w:rPr>
          <w:color w:val="000000" w:themeColor="text1"/>
          <w:lang w:val="en-US"/>
        </w:rPr>
        <w:t>2020</w:t>
      </w:r>
      <w:r w:rsidR="00F300D5" w:rsidRPr="008B7C8E">
        <w:rPr>
          <w:color w:val="000000" w:themeColor="text1"/>
          <w:lang w:val="en-US"/>
        </w:rPr>
        <w:t xml:space="preserve"> </w:t>
      </w:r>
      <w:r w:rsidRPr="008B7C8E">
        <w:rPr>
          <w:color w:val="000000" w:themeColor="text1"/>
          <w:lang w:val="en-US"/>
        </w:rPr>
        <w:t>to</w:t>
      </w:r>
      <w:r w:rsidR="00F300D5" w:rsidRPr="008B7C8E">
        <w:rPr>
          <w:color w:val="000000" w:themeColor="text1"/>
          <w:lang w:val="en-US"/>
        </w:rPr>
        <w:t xml:space="preserve"> </w:t>
      </w:r>
      <w:r w:rsidRPr="008B7C8E">
        <w:rPr>
          <w:color w:val="000000" w:themeColor="text1"/>
          <w:lang w:val="en-US"/>
        </w:rPr>
        <w:t>December</w:t>
      </w:r>
      <w:r w:rsidR="00F300D5" w:rsidRPr="008B7C8E">
        <w:rPr>
          <w:color w:val="000000" w:themeColor="text1"/>
          <w:lang w:val="en-US"/>
        </w:rPr>
        <w:t xml:space="preserve"> </w:t>
      </w:r>
      <w:r w:rsidRPr="008B7C8E">
        <w:rPr>
          <w:color w:val="000000" w:themeColor="text1"/>
          <w:lang w:val="en-US"/>
        </w:rPr>
        <w:t>31</w:t>
      </w:r>
      <w:r w:rsidRPr="008B7C8E">
        <w:rPr>
          <w:color w:val="000000" w:themeColor="text1"/>
          <w:vertAlign w:val="superscript"/>
          <w:lang w:val="en-US"/>
        </w:rPr>
        <w:t>th</w:t>
      </w:r>
      <w:r w:rsidRPr="008B7C8E">
        <w:rPr>
          <w:color w:val="000000" w:themeColor="text1"/>
          <w:lang w:val="en-US"/>
        </w:rPr>
        <w:t>,</w:t>
      </w:r>
      <w:r w:rsidR="00F300D5" w:rsidRPr="008B7C8E">
        <w:rPr>
          <w:color w:val="000000" w:themeColor="text1"/>
          <w:lang w:val="en-US"/>
        </w:rPr>
        <w:t xml:space="preserve"> </w:t>
      </w:r>
      <w:r w:rsidRPr="008B7C8E">
        <w:rPr>
          <w:color w:val="000000" w:themeColor="text1"/>
          <w:lang w:val="en-US"/>
        </w:rPr>
        <w:t xml:space="preserve">2022), reflecting implementation of the multidisciplinary ASAP </w:t>
      </w:r>
      <w:r w:rsidR="00A7437D" w:rsidRPr="008B7C8E">
        <w:rPr>
          <w:rStyle w:val="Enfasigrassetto"/>
          <w:b w:val="0"/>
          <w:bCs w:val="0"/>
          <w:color w:val="000000" w:themeColor="text1"/>
          <w:lang w:val="en-US"/>
        </w:rPr>
        <w:t xml:space="preserve">bundle </w:t>
      </w:r>
      <w:r w:rsidRPr="008B7C8E">
        <w:rPr>
          <w:color w:val="000000" w:themeColor="text1"/>
          <w:lang w:val="en-US"/>
        </w:rPr>
        <w:t>on January</w:t>
      </w:r>
      <w:r w:rsidR="00F300D5" w:rsidRPr="008B7C8E">
        <w:rPr>
          <w:color w:val="000000" w:themeColor="text1"/>
          <w:lang w:val="en-US"/>
        </w:rPr>
        <w:t xml:space="preserve"> </w:t>
      </w:r>
      <w:r w:rsidRPr="008B7C8E">
        <w:rPr>
          <w:color w:val="000000" w:themeColor="text1"/>
          <w:lang w:val="en-US"/>
        </w:rPr>
        <w:t>1</w:t>
      </w:r>
      <w:r w:rsidRPr="008B7C8E">
        <w:rPr>
          <w:color w:val="000000" w:themeColor="text1"/>
          <w:vertAlign w:val="superscript"/>
          <w:lang w:val="en-US"/>
        </w:rPr>
        <w:t>st</w:t>
      </w:r>
      <w:r w:rsidRPr="008B7C8E">
        <w:rPr>
          <w:color w:val="000000" w:themeColor="text1"/>
          <w:lang w:val="en-US"/>
        </w:rPr>
        <w:t>,</w:t>
      </w:r>
      <w:r w:rsidR="00F300D5" w:rsidRPr="008B7C8E">
        <w:rPr>
          <w:color w:val="000000" w:themeColor="text1"/>
          <w:lang w:val="en-US"/>
        </w:rPr>
        <w:t xml:space="preserve"> </w:t>
      </w:r>
      <w:r w:rsidRPr="008B7C8E">
        <w:rPr>
          <w:color w:val="000000" w:themeColor="text1"/>
          <w:lang w:val="en-US"/>
        </w:rPr>
        <w:t xml:space="preserve">2020. An independent </w:t>
      </w:r>
      <w:r w:rsidR="00335216" w:rsidRPr="008B7C8E">
        <w:rPr>
          <w:color w:val="000000" w:themeColor="text1"/>
          <w:lang w:val="en-US"/>
        </w:rPr>
        <w:t>anesthesiologist</w:t>
      </w:r>
      <w:r w:rsidRPr="008B7C8E">
        <w:rPr>
          <w:color w:val="000000" w:themeColor="text1"/>
          <w:lang w:val="en-US"/>
        </w:rPr>
        <w:t xml:space="preserve">, blinded to study hypotheses, collected clinical variables and outcomes. For individuals with multiple admissions, only the first hospitalization was </w:t>
      </w:r>
      <w:r w:rsidR="00335216" w:rsidRPr="008B7C8E">
        <w:rPr>
          <w:color w:val="000000" w:themeColor="text1"/>
          <w:lang w:val="en-US"/>
        </w:rPr>
        <w:t>analyzed</w:t>
      </w:r>
      <w:r w:rsidRPr="008B7C8E">
        <w:rPr>
          <w:color w:val="000000" w:themeColor="text1"/>
          <w:lang w:val="en-US"/>
        </w:rPr>
        <w:t>. According to standard institutional practice, all patients received intraoperative tranexamic acid (15</w:t>
      </w:r>
      <w:r w:rsidR="00F300D5" w:rsidRPr="008B7C8E">
        <w:rPr>
          <w:color w:val="000000" w:themeColor="text1"/>
          <w:lang w:val="en-US"/>
        </w:rPr>
        <w:t xml:space="preserve"> </w:t>
      </w:r>
      <w:r w:rsidRPr="008B7C8E">
        <w:rPr>
          <w:color w:val="000000" w:themeColor="text1"/>
          <w:lang w:val="en-US"/>
        </w:rPr>
        <w:t>mg</w:t>
      </w:r>
      <w:r w:rsidR="00112943" w:rsidRPr="008B7C8E">
        <w:rPr>
          <w:color w:val="000000" w:themeColor="text1"/>
          <w:lang w:val="en-US"/>
        </w:rPr>
        <w:t xml:space="preserve"> </w:t>
      </w:r>
      <w:r w:rsidR="00F300D5" w:rsidRPr="008B7C8E">
        <w:rPr>
          <w:color w:val="000000" w:themeColor="text1"/>
          <w:lang w:val="en-US"/>
        </w:rPr>
        <w:t>K</w:t>
      </w:r>
      <w:r w:rsidRPr="008B7C8E">
        <w:rPr>
          <w:color w:val="000000" w:themeColor="text1"/>
          <w:lang w:val="en-US"/>
        </w:rPr>
        <w:t>g⁻¹) and dexamethasone (0.15</w:t>
      </w:r>
      <w:r w:rsidR="00F300D5" w:rsidRPr="008B7C8E">
        <w:rPr>
          <w:color w:val="000000" w:themeColor="text1"/>
          <w:lang w:val="en-US"/>
        </w:rPr>
        <w:t xml:space="preserve"> </w:t>
      </w:r>
      <w:r w:rsidRPr="008B7C8E">
        <w:rPr>
          <w:color w:val="000000" w:themeColor="text1"/>
          <w:lang w:val="en-US"/>
        </w:rPr>
        <w:t>mg</w:t>
      </w:r>
      <w:r w:rsidR="00112943" w:rsidRPr="008B7C8E">
        <w:rPr>
          <w:color w:val="000000" w:themeColor="text1"/>
          <w:lang w:val="en-US"/>
        </w:rPr>
        <w:t xml:space="preserve"> </w:t>
      </w:r>
      <w:r w:rsidR="00F300D5" w:rsidRPr="008B7C8E">
        <w:rPr>
          <w:color w:val="000000" w:themeColor="text1"/>
          <w:lang w:val="en-US"/>
        </w:rPr>
        <w:t>K</w:t>
      </w:r>
      <w:r w:rsidRPr="008B7C8E">
        <w:rPr>
          <w:color w:val="000000" w:themeColor="text1"/>
          <w:lang w:val="en-US"/>
        </w:rPr>
        <w:t>g⁻¹).</w:t>
      </w:r>
    </w:p>
    <w:p w14:paraId="0B1FEAEF" w14:textId="77777777" w:rsidR="005A7BE1" w:rsidRPr="008B7C8E" w:rsidRDefault="005A7BE1" w:rsidP="005A7BE1">
      <w:pPr>
        <w:spacing w:line="360" w:lineRule="auto"/>
        <w:jc w:val="both"/>
        <w:rPr>
          <w:color w:val="000000" w:themeColor="text1"/>
          <w:lang w:val="en-US"/>
        </w:rPr>
      </w:pPr>
    </w:p>
    <w:p w14:paraId="465544A0" w14:textId="77777777" w:rsidR="00A022A7" w:rsidRPr="008B7C8E" w:rsidRDefault="00A022A7" w:rsidP="00A022A7">
      <w:pPr>
        <w:spacing w:line="360" w:lineRule="auto"/>
        <w:jc w:val="both"/>
        <w:rPr>
          <w:b/>
          <w:bCs/>
          <w:color w:val="000000" w:themeColor="text1"/>
          <w:lang w:val="en-US"/>
        </w:rPr>
      </w:pPr>
      <w:r w:rsidRPr="008B7C8E">
        <w:rPr>
          <w:b/>
          <w:bCs/>
          <w:color w:val="000000" w:themeColor="text1"/>
          <w:lang w:val="en-US"/>
        </w:rPr>
        <w:t>Multidisciplinary Algorithm</w:t>
      </w:r>
    </w:p>
    <w:p w14:paraId="1F4EBC45" w14:textId="379D4170" w:rsidR="00A022A7" w:rsidRPr="008B7C8E" w:rsidRDefault="00E8450D" w:rsidP="00A022A7">
      <w:pPr>
        <w:spacing w:line="360" w:lineRule="auto"/>
        <w:jc w:val="both"/>
        <w:rPr>
          <w:color w:val="000000" w:themeColor="text1"/>
          <w:lang w:val="en-US"/>
        </w:rPr>
      </w:pPr>
      <w:r w:rsidRPr="008B7C8E">
        <w:rPr>
          <w:color w:val="000000" w:themeColor="text1"/>
          <w:lang w:val="en-US"/>
        </w:rPr>
        <w:t>The ASAP cohort was managed according to</w:t>
      </w:r>
      <w:r w:rsidR="00A022A7" w:rsidRPr="008B7C8E">
        <w:rPr>
          <w:color w:val="000000" w:themeColor="text1"/>
          <w:lang w:val="en-US"/>
        </w:rPr>
        <w:t xml:space="preserve"> a series of logistical, organizational, and clinical protocol changes—each previously shown to improve the care trajectory of elderly hip-fracture patients (Figure 1). Four complementary interventions were deployed to align our institutional practice with international perioperative standards and to reduce both postoperative complications and the physiological stress of surgery and hospitalization. Adaptations to patients’ chronic medications were guided by recommendations from our orthogeriatric team.</w:t>
      </w:r>
    </w:p>
    <w:p w14:paraId="4178DECB" w14:textId="02F0A818" w:rsidR="00A022A7" w:rsidRPr="008B7C8E" w:rsidRDefault="00A022A7" w:rsidP="000C21E1">
      <w:pPr>
        <w:tabs>
          <w:tab w:val="num" w:pos="720"/>
        </w:tabs>
        <w:spacing w:line="360" w:lineRule="auto"/>
        <w:jc w:val="both"/>
        <w:rPr>
          <w:b/>
          <w:bCs/>
          <w:color w:val="000000" w:themeColor="text1"/>
          <w:lang w:val="en-US"/>
        </w:rPr>
      </w:pPr>
      <w:r w:rsidRPr="008B7C8E">
        <w:rPr>
          <w:b/>
          <w:bCs/>
          <w:color w:val="000000" w:themeColor="text1"/>
          <w:lang w:val="en-US"/>
        </w:rPr>
        <w:t>Ortho-geriatric co</w:t>
      </w:r>
      <w:r w:rsidR="00EC498F" w:rsidRPr="008B7C8E">
        <w:rPr>
          <w:b/>
          <w:bCs/>
          <w:color w:val="000000" w:themeColor="text1"/>
          <w:lang w:val="en-US"/>
        </w:rPr>
        <w:t>nsultation</w:t>
      </w:r>
    </w:p>
    <w:p w14:paraId="2A9958A4" w14:textId="34793D3D" w:rsidR="00A022A7" w:rsidRPr="008B7C8E" w:rsidRDefault="00A022A7" w:rsidP="000C21E1">
      <w:pPr>
        <w:spacing w:line="360" w:lineRule="auto"/>
        <w:jc w:val="both"/>
        <w:rPr>
          <w:color w:val="000000" w:themeColor="text1"/>
          <w:lang w:val="en-US"/>
        </w:rPr>
      </w:pPr>
      <w:r w:rsidRPr="008B7C8E">
        <w:rPr>
          <w:color w:val="000000" w:themeColor="text1"/>
          <w:lang w:val="en-US"/>
        </w:rPr>
        <w:t xml:space="preserve">All ASAP-period patients were eligible for orthogeriatric consultation within 48 hours of fracture. The attending </w:t>
      </w:r>
      <w:r w:rsidR="00335216" w:rsidRPr="008B7C8E">
        <w:rPr>
          <w:color w:val="000000" w:themeColor="text1"/>
          <w:lang w:val="en-US"/>
        </w:rPr>
        <w:t>anesthesiologist</w:t>
      </w:r>
      <w:r w:rsidRPr="008B7C8E">
        <w:rPr>
          <w:color w:val="000000" w:themeColor="text1"/>
          <w:lang w:val="en-US"/>
        </w:rPr>
        <w:t xml:space="preserve"> determined case‐by‐case which patients would benefit, based on age (≥65 years) and a Nottingham Hip Fracture Score (NHFS) ≥5</w:t>
      </w:r>
      <w:r w:rsidR="003C29B2" w:rsidRPr="008B7C8E">
        <w:rPr>
          <w:color w:val="000000" w:themeColor="text1"/>
          <w:lang w:val="en-US"/>
        </w:rPr>
        <w:t>,</w:t>
      </w:r>
      <w:r w:rsidR="00E87139" w:rsidRPr="008B7C8E">
        <w:rPr>
          <w:color w:val="000000" w:themeColor="text1"/>
          <w:vertAlign w:val="superscript"/>
          <w:lang w:val="en-US"/>
        </w:rPr>
        <w:t>1</w:t>
      </w:r>
      <w:r w:rsidR="00E8450D" w:rsidRPr="008B7C8E">
        <w:rPr>
          <w:color w:val="000000" w:themeColor="text1"/>
          <w:vertAlign w:val="superscript"/>
          <w:lang w:val="en-US"/>
        </w:rPr>
        <w:t>7</w:t>
      </w:r>
      <w:r w:rsidR="003C29B2" w:rsidRPr="008B7C8E">
        <w:rPr>
          <w:color w:val="000000" w:themeColor="text1"/>
          <w:lang w:val="en-US"/>
        </w:rPr>
        <w:t xml:space="preserve"> as well as overall frailty, the presence of existing geriatric assessments, cognitive status, living situation, and the feasibility of obtaining a consultation within 48 hours of admission</w:t>
      </w:r>
      <w:r w:rsidRPr="008B7C8E">
        <w:rPr>
          <w:color w:val="000000" w:themeColor="text1"/>
          <w:lang w:val="en-US"/>
        </w:rPr>
        <w:t xml:space="preserve">. During hospitalization, the ortho-geriatric team collaborated continuously with surgery and </w:t>
      </w:r>
      <w:r w:rsidR="00335216" w:rsidRPr="008B7C8E">
        <w:rPr>
          <w:color w:val="000000" w:themeColor="text1"/>
          <w:lang w:val="en-US"/>
        </w:rPr>
        <w:t>anesthesia</w:t>
      </w:r>
      <w:r w:rsidR="00F300D5" w:rsidRPr="008B7C8E">
        <w:rPr>
          <w:color w:val="000000" w:themeColor="text1"/>
          <w:lang w:val="en-US"/>
        </w:rPr>
        <w:t xml:space="preserve"> stakeholders</w:t>
      </w:r>
      <w:r w:rsidRPr="008B7C8E">
        <w:rPr>
          <w:color w:val="000000" w:themeColor="text1"/>
          <w:lang w:val="en-US"/>
        </w:rPr>
        <w:t>, though the latter remained the primary clinical reference. For our retrospective audit, we considered this element fulfilled if patients meeting the age/NHFS criteria received consultation, or if younger, low-risk patients appropriately did not.</w:t>
      </w:r>
    </w:p>
    <w:p w14:paraId="38612F65" w14:textId="77777777" w:rsidR="00A022A7" w:rsidRPr="008B7C8E" w:rsidRDefault="00A022A7" w:rsidP="000C21E1">
      <w:pPr>
        <w:tabs>
          <w:tab w:val="num" w:pos="720"/>
        </w:tabs>
        <w:spacing w:line="360" w:lineRule="auto"/>
        <w:jc w:val="both"/>
        <w:rPr>
          <w:b/>
          <w:bCs/>
          <w:color w:val="000000" w:themeColor="text1"/>
          <w:lang w:val="en-US"/>
        </w:rPr>
      </w:pPr>
      <w:r w:rsidRPr="008B7C8E">
        <w:rPr>
          <w:b/>
          <w:bCs/>
          <w:color w:val="000000" w:themeColor="text1"/>
          <w:lang w:val="en-US"/>
        </w:rPr>
        <w:t>Expedited surgery</w:t>
      </w:r>
    </w:p>
    <w:p w14:paraId="57EA608C" w14:textId="07858A15" w:rsidR="00A022A7" w:rsidRPr="008B7C8E" w:rsidRDefault="00A022A7" w:rsidP="000C21E1">
      <w:pPr>
        <w:spacing w:line="360" w:lineRule="auto"/>
        <w:jc w:val="both"/>
        <w:rPr>
          <w:color w:val="000000" w:themeColor="text1"/>
          <w:lang w:val="en-US"/>
        </w:rPr>
      </w:pPr>
      <w:r w:rsidRPr="008B7C8E">
        <w:rPr>
          <w:color w:val="000000" w:themeColor="text1"/>
          <w:lang w:val="en-US"/>
        </w:rPr>
        <w:t xml:space="preserve">A close partnership between the </w:t>
      </w:r>
      <w:r w:rsidR="00335216" w:rsidRPr="008B7C8E">
        <w:rPr>
          <w:color w:val="000000" w:themeColor="text1"/>
          <w:lang w:val="en-US"/>
        </w:rPr>
        <w:t>anesthesia</w:t>
      </w:r>
      <w:r w:rsidRPr="008B7C8E">
        <w:rPr>
          <w:color w:val="000000" w:themeColor="text1"/>
          <w:lang w:val="en-US"/>
        </w:rPr>
        <w:t xml:space="preserve"> and surgical teams ensured that every ASAP-period patient proceeded to operative repair as soon as feasible—targeting surgery within 12 hours of emergency department admission. Delays for senior surgeon availability, off-hours scheduling, weekend operations, or antiplatelet/anticoagulant considerations were not permitted if they did not directly improve patient outcomes.</w:t>
      </w:r>
    </w:p>
    <w:p w14:paraId="73F01425" w14:textId="77777777" w:rsidR="00A022A7" w:rsidRPr="008B7C8E" w:rsidRDefault="00A022A7" w:rsidP="000C21E1">
      <w:pPr>
        <w:tabs>
          <w:tab w:val="num" w:pos="720"/>
        </w:tabs>
        <w:spacing w:line="360" w:lineRule="auto"/>
        <w:jc w:val="both"/>
        <w:rPr>
          <w:b/>
          <w:bCs/>
          <w:color w:val="000000" w:themeColor="text1"/>
          <w:lang w:val="en-US"/>
        </w:rPr>
      </w:pPr>
      <w:r w:rsidRPr="008B7C8E">
        <w:rPr>
          <w:b/>
          <w:bCs/>
          <w:color w:val="000000" w:themeColor="text1"/>
          <w:lang w:val="en-US"/>
        </w:rPr>
        <w:t>Opioid-sparing analgesia</w:t>
      </w:r>
    </w:p>
    <w:p w14:paraId="39A53866" w14:textId="6DFDBC69" w:rsidR="00E8450D" w:rsidRPr="008B7C8E" w:rsidRDefault="00A022A7" w:rsidP="000C21E1">
      <w:pPr>
        <w:spacing w:line="360" w:lineRule="auto"/>
        <w:jc w:val="both"/>
        <w:rPr>
          <w:color w:val="000000" w:themeColor="text1"/>
          <w:lang w:val="en-US"/>
        </w:rPr>
      </w:pPr>
      <w:r w:rsidRPr="008B7C8E">
        <w:rPr>
          <w:color w:val="000000" w:themeColor="text1"/>
          <w:lang w:val="en-US"/>
        </w:rPr>
        <w:t xml:space="preserve">Postoperative pain management was optimized by adding a longitudinal supra-inguinal fascia iliaca compartment block (SFIB) to our standard multimodal regimen (paracetamol, </w:t>
      </w:r>
      <w:r w:rsidRPr="008B7C8E">
        <w:rPr>
          <w:color w:val="000000" w:themeColor="text1"/>
          <w:lang w:val="en-US"/>
        </w:rPr>
        <w:lastRenderedPageBreak/>
        <w:t>nonsteroidal anti-inflammatory drugs, and rescue opioids). Under ultrasound guidance with a 5</w:t>
      </w:r>
      <w:r w:rsidR="00AA06E9" w:rsidRPr="008B7C8E">
        <w:rPr>
          <w:color w:val="000000" w:themeColor="text1"/>
          <w:lang w:val="en-US"/>
        </w:rPr>
        <w:t>-</w:t>
      </w:r>
      <w:r w:rsidRPr="008B7C8E">
        <w:rPr>
          <w:color w:val="000000" w:themeColor="text1"/>
          <w:lang w:val="en-US"/>
        </w:rPr>
        <w:t>18 MHz linear probe, 40 mL of 0.375 % ropivacaine was deposited beneath the fascia iliaca, as described by Desmet et al.</w:t>
      </w:r>
      <w:r w:rsidR="00E87139" w:rsidRPr="008B7C8E">
        <w:rPr>
          <w:color w:val="000000" w:themeColor="text1"/>
          <w:vertAlign w:val="superscript"/>
          <w:lang w:val="en-US"/>
        </w:rPr>
        <w:t>1</w:t>
      </w:r>
      <w:r w:rsidR="00E8450D" w:rsidRPr="008B7C8E">
        <w:rPr>
          <w:color w:val="000000" w:themeColor="text1"/>
          <w:vertAlign w:val="superscript"/>
          <w:lang w:val="en-US"/>
        </w:rPr>
        <w:t>8</w:t>
      </w:r>
      <w:r w:rsidRPr="008B7C8E">
        <w:rPr>
          <w:color w:val="000000" w:themeColor="text1"/>
          <w:lang w:val="en-US"/>
        </w:rPr>
        <w:t xml:space="preserve"> Prior to the ASAP </w:t>
      </w:r>
      <w:r w:rsidR="00A7437D" w:rsidRPr="008B7C8E">
        <w:rPr>
          <w:rStyle w:val="Enfasigrassetto"/>
          <w:b w:val="0"/>
          <w:bCs w:val="0"/>
          <w:color w:val="000000" w:themeColor="text1"/>
          <w:lang w:val="en-US"/>
        </w:rPr>
        <w:t>bundle</w:t>
      </w:r>
      <w:r w:rsidRPr="008B7C8E">
        <w:rPr>
          <w:color w:val="000000" w:themeColor="text1"/>
          <w:lang w:val="en-US"/>
        </w:rPr>
        <w:t>, no perioperative peripheral nerve blocks were performed.</w:t>
      </w:r>
    </w:p>
    <w:p w14:paraId="68ED54A0" w14:textId="126943BE" w:rsidR="00A022A7" w:rsidRPr="008B7C8E" w:rsidRDefault="00A022A7" w:rsidP="000C21E1">
      <w:pPr>
        <w:tabs>
          <w:tab w:val="num" w:pos="720"/>
        </w:tabs>
        <w:spacing w:line="360" w:lineRule="auto"/>
        <w:jc w:val="both"/>
        <w:rPr>
          <w:b/>
          <w:bCs/>
          <w:color w:val="000000" w:themeColor="text1"/>
          <w:lang w:val="en-US"/>
        </w:rPr>
      </w:pPr>
      <w:r w:rsidRPr="008B7C8E">
        <w:rPr>
          <w:b/>
          <w:bCs/>
          <w:color w:val="000000" w:themeColor="text1"/>
          <w:lang w:val="en-US"/>
        </w:rPr>
        <w:t>Anticholinergic</w:t>
      </w:r>
      <w:r w:rsidR="00F300D5" w:rsidRPr="008B7C8E">
        <w:rPr>
          <w:b/>
          <w:bCs/>
          <w:color w:val="000000" w:themeColor="text1"/>
          <w:lang w:val="en-US"/>
        </w:rPr>
        <w:t xml:space="preserve"> </w:t>
      </w:r>
      <w:r w:rsidRPr="008B7C8E">
        <w:rPr>
          <w:b/>
          <w:bCs/>
          <w:color w:val="000000" w:themeColor="text1"/>
          <w:lang w:val="en-US"/>
        </w:rPr>
        <w:t>burden reduction</w:t>
      </w:r>
    </w:p>
    <w:p w14:paraId="2BB249FE" w14:textId="799A717D" w:rsidR="00A022A7" w:rsidRPr="008B7C8E" w:rsidRDefault="00A022A7" w:rsidP="000C21E1">
      <w:pPr>
        <w:spacing w:line="360" w:lineRule="auto"/>
        <w:jc w:val="both"/>
        <w:rPr>
          <w:color w:val="000000" w:themeColor="text1"/>
          <w:lang w:val="en-US"/>
        </w:rPr>
      </w:pPr>
      <w:r w:rsidRPr="008B7C8E">
        <w:rPr>
          <w:color w:val="000000" w:themeColor="text1"/>
          <w:lang w:val="en-US"/>
        </w:rPr>
        <w:t>Chronic medications with known anticholinergic risk (per the Anticholinergic Risk Scale, ARS) were reviewed and adjusted—either by discontinuation, dose reduction, or substitution—within the first seven days of hospitalization. Common medications without anticholinergic activity—such as cardiovascular agents (e.g., antihypertensives, beta-blockers, diuretics)—were exempt.</w:t>
      </w:r>
      <w:r w:rsidR="00E87139" w:rsidRPr="008B7C8E">
        <w:rPr>
          <w:color w:val="000000" w:themeColor="text1"/>
          <w:vertAlign w:val="superscript"/>
          <w:lang w:val="en-US"/>
        </w:rPr>
        <w:t>1</w:t>
      </w:r>
      <w:r w:rsidR="00E8450D" w:rsidRPr="008B7C8E">
        <w:rPr>
          <w:color w:val="000000" w:themeColor="text1"/>
          <w:vertAlign w:val="superscript"/>
          <w:lang w:val="en-US"/>
        </w:rPr>
        <w:t>9</w:t>
      </w:r>
      <w:r w:rsidR="00E87139" w:rsidRPr="008B7C8E">
        <w:rPr>
          <w:color w:val="000000" w:themeColor="text1"/>
          <w:vertAlign w:val="superscript"/>
          <w:lang w:val="en-US"/>
        </w:rPr>
        <w:t>-</w:t>
      </w:r>
      <w:r w:rsidR="00E8450D" w:rsidRPr="008B7C8E">
        <w:rPr>
          <w:color w:val="000000" w:themeColor="text1"/>
          <w:vertAlign w:val="superscript"/>
          <w:lang w:val="en-US"/>
        </w:rPr>
        <w:t>21</w:t>
      </w:r>
      <w:r w:rsidRPr="008B7C8E">
        <w:rPr>
          <w:color w:val="000000" w:themeColor="text1"/>
          <w:lang w:val="en-US"/>
        </w:rPr>
        <w:t xml:space="preserve"> This element was deemed adherent if patients with ARS ≥1 underwent at least one appropriate adjustment (and no perioperative anticholinergic drugs were used), or if those with ARS &lt;1 had no modifications.</w:t>
      </w:r>
    </w:p>
    <w:p w14:paraId="6529B64F" w14:textId="643DFAD3" w:rsidR="00A022A7" w:rsidRPr="008B7C8E" w:rsidRDefault="00A7437D" w:rsidP="00A7437D">
      <w:pPr>
        <w:spacing w:line="360" w:lineRule="auto"/>
        <w:jc w:val="both"/>
        <w:rPr>
          <w:color w:val="000000" w:themeColor="text1"/>
          <w:lang w:val="en-US"/>
        </w:rPr>
      </w:pPr>
      <w:r w:rsidRPr="008B7C8E">
        <w:rPr>
          <w:color w:val="000000" w:themeColor="text1"/>
          <w:lang w:val="en-US"/>
        </w:rPr>
        <w:t>We classified each patient as adherent or non-adherent to the ASAP bundle based on the following: Ortho-geriatric Advice, adherent if: (a) Age ≥65 years &amp; NHFS ≥5 and consultation received within 48 h; or (b) Age &lt;65 years &amp; no consultation (no indication). Timing of Surgery, adherent if surgery occurred ≤12 h after emergency department admission. Analgesia via SFIB, adherent if a SFIB was administered pre-incision. Therapeutic Adaptation, adherent if: (a) ARS ≥1 and at least one appropriate medication adjustment and no perioperative anticholinergic drugs; or (b) ARS &lt;1 and no modifications made.</w:t>
      </w:r>
    </w:p>
    <w:p w14:paraId="6C29972F" w14:textId="77777777" w:rsidR="005A7BE1" w:rsidRPr="008B7C8E" w:rsidRDefault="005A7BE1" w:rsidP="005A7BE1">
      <w:pPr>
        <w:spacing w:line="360" w:lineRule="auto"/>
        <w:jc w:val="both"/>
        <w:rPr>
          <w:color w:val="000000" w:themeColor="text1"/>
          <w:lang w:val="en-US"/>
        </w:rPr>
      </w:pPr>
    </w:p>
    <w:p w14:paraId="1299D44C" w14:textId="77777777" w:rsidR="005A7BE1" w:rsidRPr="008B7C8E" w:rsidRDefault="005A7BE1" w:rsidP="005A7BE1">
      <w:pPr>
        <w:pStyle w:val="Corpo"/>
        <w:spacing w:after="0" w:line="360" w:lineRule="auto"/>
        <w:jc w:val="both"/>
        <w:rPr>
          <w:rFonts w:ascii="Times New Roman" w:eastAsia="Times New Roman" w:hAnsi="Times New Roman" w:cs="Times New Roman"/>
          <w:b/>
          <w:bCs/>
          <w:color w:val="000000" w:themeColor="text1"/>
        </w:rPr>
      </w:pPr>
      <w:r w:rsidRPr="008B7C8E">
        <w:rPr>
          <w:rFonts w:ascii="Times New Roman" w:hAnsi="Times New Roman"/>
          <w:b/>
          <w:bCs/>
          <w:color w:val="000000" w:themeColor="text1"/>
        </w:rPr>
        <w:t>Recorded parameters and outcomes</w:t>
      </w:r>
    </w:p>
    <w:p w14:paraId="7B0BA635" w14:textId="2BE5BA76" w:rsidR="00A022A7" w:rsidRPr="008B7C8E" w:rsidRDefault="00A022A7" w:rsidP="00A022A7">
      <w:pPr>
        <w:spacing w:line="360" w:lineRule="auto"/>
        <w:jc w:val="both"/>
        <w:rPr>
          <w:color w:val="000000" w:themeColor="text1"/>
          <w:lang w:val="en-US"/>
        </w:rPr>
      </w:pPr>
      <w:r w:rsidRPr="008B7C8E">
        <w:rPr>
          <w:color w:val="000000" w:themeColor="text1"/>
          <w:lang w:val="en-US"/>
        </w:rPr>
        <w:t xml:space="preserve">Demographic variables included age, weight, height, body mass index (BMI), and the American Society of </w:t>
      </w:r>
      <w:r w:rsidR="00335216" w:rsidRPr="008B7C8E">
        <w:rPr>
          <w:color w:val="000000" w:themeColor="text1"/>
          <w:lang w:val="en-US"/>
        </w:rPr>
        <w:t>Anesthesiologists</w:t>
      </w:r>
      <w:r w:rsidRPr="008B7C8E">
        <w:rPr>
          <w:color w:val="000000" w:themeColor="text1"/>
          <w:lang w:val="en-US"/>
        </w:rPr>
        <w:t xml:space="preserve"> (ASA) physical status classification. Risk stratification for postoperative complications and mortality was assessed using the Nottingham Hip Fracture Score (NHFS) and the Revised Cardiac Risk Index (Lee's index).</w:t>
      </w:r>
      <w:r w:rsidR="00E87139" w:rsidRPr="008B7C8E">
        <w:rPr>
          <w:color w:val="000000" w:themeColor="text1"/>
          <w:vertAlign w:val="superscript"/>
          <w:lang w:val="en-US"/>
        </w:rPr>
        <w:t>1</w:t>
      </w:r>
      <w:r w:rsidR="00E8450D" w:rsidRPr="008B7C8E">
        <w:rPr>
          <w:color w:val="000000" w:themeColor="text1"/>
          <w:vertAlign w:val="superscript"/>
          <w:lang w:val="en-US"/>
        </w:rPr>
        <w:t>7</w:t>
      </w:r>
      <w:r w:rsidR="00E87139" w:rsidRPr="008B7C8E">
        <w:rPr>
          <w:color w:val="000000" w:themeColor="text1"/>
          <w:vertAlign w:val="superscript"/>
          <w:lang w:val="en-US"/>
        </w:rPr>
        <w:t>,</w:t>
      </w:r>
      <w:r w:rsidR="00E8450D" w:rsidRPr="008B7C8E">
        <w:rPr>
          <w:color w:val="000000" w:themeColor="text1"/>
          <w:vertAlign w:val="superscript"/>
          <w:lang w:val="en-US"/>
        </w:rPr>
        <w:t xml:space="preserve"> </w:t>
      </w:r>
      <w:r w:rsidR="00E87139" w:rsidRPr="008B7C8E">
        <w:rPr>
          <w:color w:val="000000" w:themeColor="text1"/>
          <w:vertAlign w:val="superscript"/>
          <w:lang w:val="en-US"/>
        </w:rPr>
        <w:t>2</w:t>
      </w:r>
      <w:r w:rsidR="00E8450D" w:rsidRPr="008B7C8E">
        <w:rPr>
          <w:color w:val="000000" w:themeColor="text1"/>
          <w:vertAlign w:val="superscript"/>
          <w:lang w:val="en-US"/>
        </w:rPr>
        <w:t>2</w:t>
      </w:r>
      <w:r w:rsidRPr="008B7C8E">
        <w:rPr>
          <w:color w:val="000000" w:themeColor="text1"/>
          <w:lang w:val="en-US"/>
        </w:rPr>
        <w:t xml:space="preserve"> The presence of dementia, formally diagnosed by a neuro-geriatrician prior to the traumatic event, was also recorded.</w:t>
      </w:r>
    </w:p>
    <w:p w14:paraId="08F44C0C" w14:textId="22E90C55" w:rsidR="00A022A7" w:rsidRPr="008B7C8E" w:rsidRDefault="00A022A7" w:rsidP="00A022A7">
      <w:pPr>
        <w:spacing w:line="360" w:lineRule="auto"/>
        <w:jc w:val="both"/>
        <w:rPr>
          <w:color w:val="000000" w:themeColor="text1"/>
          <w:lang w:val="en-US"/>
        </w:rPr>
      </w:pPr>
      <w:r w:rsidRPr="008B7C8E">
        <w:rPr>
          <w:color w:val="000000" w:themeColor="text1"/>
          <w:lang w:val="en-US"/>
        </w:rPr>
        <w:t>The time from admission to the emergency department to skin incision was recorded in minutes</w:t>
      </w:r>
      <w:r w:rsidR="008101B8" w:rsidRPr="008B7C8E">
        <w:rPr>
          <w:color w:val="000000" w:themeColor="text1"/>
          <w:lang w:val="en-US"/>
        </w:rPr>
        <w:t xml:space="preserve"> and converted in hours</w:t>
      </w:r>
      <w:r w:rsidRPr="008B7C8E">
        <w:rPr>
          <w:color w:val="000000" w:themeColor="text1"/>
          <w:lang w:val="en-US"/>
        </w:rPr>
        <w:t>. Perioperative hemodynamic adverse events were defined as episodes of hypotension—</w:t>
      </w:r>
      <w:r w:rsidR="00010934" w:rsidRPr="008B7C8E">
        <w:rPr>
          <w:color w:val="000000" w:themeColor="text1"/>
          <w:lang w:val="en-US"/>
        </w:rPr>
        <w:t>non-invasive</w:t>
      </w:r>
      <w:r w:rsidRPr="008B7C8E">
        <w:rPr>
          <w:color w:val="000000" w:themeColor="text1"/>
          <w:lang w:val="en-US"/>
        </w:rPr>
        <w:t xml:space="preserve"> mean arterial pressure &lt;65 mmHg lasting at least 5 minutes—and the administration of inotropic or chronotropic agents. All such events were documented for subsequent analysis.</w:t>
      </w:r>
    </w:p>
    <w:p w14:paraId="1F162787" w14:textId="559BF541" w:rsidR="00A022A7" w:rsidRPr="008B7C8E" w:rsidRDefault="00A022A7" w:rsidP="00A022A7">
      <w:pPr>
        <w:spacing w:line="360" w:lineRule="auto"/>
        <w:jc w:val="both"/>
        <w:rPr>
          <w:color w:val="000000" w:themeColor="text1"/>
          <w:lang w:val="en-US"/>
        </w:rPr>
      </w:pPr>
      <w:r w:rsidRPr="008B7C8E">
        <w:rPr>
          <w:color w:val="000000" w:themeColor="text1"/>
          <w:lang w:val="en-US"/>
        </w:rPr>
        <w:t xml:space="preserve">Serum creatinine and </w:t>
      </w:r>
      <w:r w:rsidR="00335216" w:rsidRPr="008B7C8E">
        <w:rPr>
          <w:color w:val="000000" w:themeColor="text1"/>
          <w:lang w:val="en-US"/>
        </w:rPr>
        <w:t>hemoglobin</w:t>
      </w:r>
      <w:r w:rsidRPr="008B7C8E">
        <w:rPr>
          <w:color w:val="000000" w:themeColor="text1"/>
          <w:lang w:val="en-US"/>
        </w:rPr>
        <w:t xml:space="preserve"> were measured on admission (preoperative values) and 1</w:t>
      </w:r>
      <w:r w:rsidR="007D0FCC" w:rsidRPr="008B7C8E">
        <w:rPr>
          <w:color w:val="000000" w:themeColor="text1"/>
          <w:lang w:val="en-US"/>
        </w:rPr>
        <w:t xml:space="preserve"> </w:t>
      </w:r>
      <w:r w:rsidRPr="008B7C8E">
        <w:rPr>
          <w:color w:val="000000" w:themeColor="text1"/>
          <w:lang w:val="en-US"/>
        </w:rPr>
        <w:t xml:space="preserve">day postoperatively. Acute kidney injury (AKI) </w:t>
      </w:r>
      <w:r w:rsidR="00642669" w:rsidRPr="008B7C8E">
        <w:rPr>
          <w:color w:val="000000" w:themeColor="text1"/>
          <w:lang w:val="en-US"/>
        </w:rPr>
        <w:t xml:space="preserve">was defined according to Kidney Disease </w:t>
      </w:r>
      <w:r w:rsidR="00642669" w:rsidRPr="008B7C8E">
        <w:rPr>
          <w:color w:val="000000" w:themeColor="text1"/>
          <w:lang w:val="en-US"/>
        </w:rPr>
        <w:lastRenderedPageBreak/>
        <w:t>Improving Global Outcomes criteria, based on changes in serum creatinine: an increase ≥0.3 mg/dL within 48 hours or ≥1.5 times baseline within 7 days. Urine-output criteria were not applied because these data were not consistently available in the retrospective dataset.</w:t>
      </w:r>
      <w:r w:rsidRPr="008B7C8E">
        <w:rPr>
          <w:color w:val="000000" w:themeColor="text1"/>
          <w:lang w:val="en-US"/>
        </w:rPr>
        <w:t xml:space="preserve"> </w:t>
      </w:r>
      <w:r w:rsidR="00E8450D" w:rsidRPr="008B7C8E">
        <w:rPr>
          <w:color w:val="000000" w:themeColor="text1"/>
          <w:lang w:val="en-US"/>
        </w:rPr>
        <w:t>In accordance with our institutional transfusion policy, red blood cell transfusion was generally considered when hemoglobin fell below 8 g·dL⁻¹, considering each patient’s clinical status and comorbidities. A</w:t>
      </w:r>
      <w:r w:rsidRPr="008B7C8E">
        <w:rPr>
          <w:color w:val="000000" w:themeColor="text1"/>
          <w:lang w:val="en-US"/>
        </w:rPr>
        <w:t xml:space="preserve">ll red blood cell transfusions were recorded. Although transfusion is classified as a grade 2 complication under the Clavien-Dindo classification, it was not included in the definition of early postoperative complications (EPOCs) for this analysis. This exclusion was predefined due to the inherently high transfusion rate in this population, influenced by the </w:t>
      </w:r>
      <w:r w:rsidR="00335216" w:rsidRPr="008B7C8E">
        <w:rPr>
          <w:color w:val="000000" w:themeColor="text1"/>
          <w:lang w:val="en-US"/>
        </w:rPr>
        <w:t>hemorrhagic</w:t>
      </w:r>
      <w:r w:rsidRPr="008B7C8E">
        <w:rPr>
          <w:color w:val="000000" w:themeColor="text1"/>
          <w:lang w:val="en-US"/>
        </w:rPr>
        <w:t xml:space="preserve"> nature of femoral fractures and the common presence of chronic </w:t>
      </w:r>
      <w:r w:rsidR="00335216" w:rsidRPr="008B7C8E">
        <w:rPr>
          <w:color w:val="000000" w:themeColor="text1"/>
          <w:lang w:val="en-US"/>
        </w:rPr>
        <w:t>anemia</w:t>
      </w:r>
      <w:r w:rsidRPr="008B7C8E">
        <w:rPr>
          <w:color w:val="000000" w:themeColor="text1"/>
          <w:lang w:val="en-US"/>
        </w:rPr>
        <w:t xml:space="preserve"> in elderly patients. The transfusion rate was instead </w:t>
      </w:r>
      <w:r w:rsidR="00335216" w:rsidRPr="008B7C8E">
        <w:rPr>
          <w:color w:val="000000" w:themeColor="text1"/>
          <w:lang w:val="en-US"/>
        </w:rPr>
        <w:t>analyzed</w:t>
      </w:r>
      <w:r w:rsidRPr="008B7C8E">
        <w:rPr>
          <w:color w:val="000000" w:themeColor="text1"/>
          <w:lang w:val="en-US"/>
        </w:rPr>
        <w:t xml:space="preserve"> as a separate secondary outcome.</w:t>
      </w:r>
    </w:p>
    <w:p w14:paraId="2FF71E3E" w14:textId="54AD6899" w:rsidR="00A022A7" w:rsidRPr="008B7C8E" w:rsidRDefault="00A022A7" w:rsidP="00A022A7">
      <w:pPr>
        <w:spacing w:line="360" w:lineRule="auto"/>
        <w:jc w:val="both"/>
        <w:rPr>
          <w:color w:val="000000" w:themeColor="text1"/>
          <w:lang w:val="en-US"/>
        </w:rPr>
      </w:pPr>
      <w:r w:rsidRPr="008B7C8E">
        <w:rPr>
          <w:color w:val="000000" w:themeColor="text1"/>
          <w:lang w:val="en-US"/>
        </w:rPr>
        <w:t xml:space="preserve">The primary outcome of this prospective </w:t>
      </w:r>
      <w:r w:rsidR="000011C1" w:rsidRPr="008B7C8E">
        <w:rPr>
          <w:color w:val="000000" w:themeColor="text1"/>
          <w:lang w:val="en-US"/>
        </w:rPr>
        <w:t>ITS</w:t>
      </w:r>
      <w:r w:rsidRPr="008B7C8E">
        <w:rPr>
          <w:color w:val="000000" w:themeColor="text1"/>
          <w:lang w:val="en-US"/>
        </w:rPr>
        <w:t xml:space="preserve"> analysis of retrospectively collected data was the incidence of EPOCs within the first 7 postoperative days. Secondary outcomes included </w:t>
      </w:r>
      <w:r w:rsidR="00F9089D" w:rsidRPr="008B7C8E">
        <w:rPr>
          <w:color w:val="000000" w:themeColor="text1"/>
          <w:lang w:val="en-US"/>
        </w:rPr>
        <w:t xml:space="preserve">postoperative pain 24 hours after surgery, </w:t>
      </w:r>
      <w:r w:rsidRPr="008B7C8E">
        <w:rPr>
          <w:color w:val="000000" w:themeColor="text1"/>
          <w:lang w:val="en-US"/>
        </w:rPr>
        <w:t xml:space="preserve">hospital length of stay, 30-day mortality, and red blood cell transfusion rate. EPOCs were classified using the Clavien-Dindo system into minor complications (grade 1: nausea, </w:t>
      </w:r>
      <w:r w:rsidR="00335216" w:rsidRPr="008B7C8E">
        <w:rPr>
          <w:color w:val="000000" w:themeColor="text1"/>
          <w:lang w:val="en-US"/>
        </w:rPr>
        <w:t>diarrhea</w:t>
      </w:r>
      <w:r w:rsidRPr="008B7C8E">
        <w:rPr>
          <w:color w:val="000000" w:themeColor="text1"/>
          <w:lang w:val="en-US"/>
        </w:rPr>
        <w:t>, constipation, urinary retention, heartburn) and major complications (grades 2</w:t>
      </w:r>
      <w:r w:rsidR="00AA06E9" w:rsidRPr="008B7C8E">
        <w:rPr>
          <w:color w:val="000000" w:themeColor="text1"/>
          <w:lang w:val="en-US"/>
        </w:rPr>
        <w:t>-</w:t>
      </w:r>
      <w:r w:rsidR="006C77B6" w:rsidRPr="008B7C8E">
        <w:rPr>
          <w:color w:val="000000" w:themeColor="text1"/>
          <w:lang w:val="en-US"/>
        </w:rPr>
        <w:t>4</w:t>
      </w:r>
      <w:r w:rsidRPr="008B7C8E">
        <w:rPr>
          <w:color w:val="000000" w:themeColor="text1"/>
          <w:lang w:val="en-US"/>
        </w:rPr>
        <w:t>: cerebrovascular events, postoperative delirium, myocardial ischemia, arrhythmias, heart failure, AKI, deep vein thrombosis or pulmonary embolism, and pulmonary or urinary tract infections).</w:t>
      </w:r>
      <w:r w:rsidR="00E87139" w:rsidRPr="008B7C8E">
        <w:rPr>
          <w:color w:val="000000" w:themeColor="text1"/>
          <w:vertAlign w:val="superscript"/>
          <w:lang w:val="en-US"/>
        </w:rPr>
        <w:t>2</w:t>
      </w:r>
      <w:r w:rsidR="00E8450D" w:rsidRPr="008B7C8E">
        <w:rPr>
          <w:color w:val="000000" w:themeColor="text1"/>
          <w:vertAlign w:val="superscript"/>
          <w:lang w:val="en-US"/>
        </w:rPr>
        <w:t>3</w:t>
      </w:r>
    </w:p>
    <w:p w14:paraId="66566C36" w14:textId="77777777" w:rsidR="005A7BE1" w:rsidRPr="008B7C8E" w:rsidRDefault="005A7BE1" w:rsidP="005A7BE1">
      <w:pPr>
        <w:spacing w:line="360" w:lineRule="auto"/>
        <w:jc w:val="both"/>
        <w:rPr>
          <w:color w:val="000000" w:themeColor="text1"/>
          <w:lang w:val="en-US"/>
        </w:rPr>
      </w:pPr>
    </w:p>
    <w:p w14:paraId="5FC00DC1" w14:textId="2AD3916E" w:rsidR="00A7437D" w:rsidRPr="008B7C8E" w:rsidRDefault="005A7BE1" w:rsidP="00A7437D">
      <w:pPr>
        <w:spacing w:line="360" w:lineRule="auto"/>
        <w:jc w:val="both"/>
        <w:rPr>
          <w:b/>
          <w:bCs/>
          <w:color w:val="000000" w:themeColor="text1"/>
          <w:lang w:val="en-US"/>
        </w:rPr>
      </w:pPr>
      <w:r w:rsidRPr="008B7C8E">
        <w:rPr>
          <w:b/>
          <w:bCs/>
          <w:color w:val="000000" w:themeColor="text1"/>
          <w:lang w:val="en-US"/>
        </w:rPr>
        <w:t>Statistical Analysis</w:t>
      </w:r>
    </w:p>
    <w:p w14:paraId="66F0EB39" w14:textId="4308DF3A" w:rsidR="00211723" w:rsidRPr="008B7C8E" w:rsidRDefault="00211723" w:rsidP="00211723">
      <w:pPr>
        <w:pStyle w:val="NormaleWeb"/>
        <w:spacing w:before="0" w:beforeAutospacing="0" w:after="0" w:afterAutospacing="0" w:line="360" w:lineRule="auto"/>
        <w:jc w:val="both"/>
        <w:rPr>
          <w:strike/>
          <w:color w:val="000000" w:themeColor="text1"/>
          <w:lang w:val="en-US"/>
        </w:rPr>
      </w:pPr>
      <w:r w:rsidRPr="008B7C8E">
        <w:rPr>
          <w:color w:val="000000" w:themeColor="text1"/>
          <w:lang w:val="en-US"/>
        </w:rPr>
        <w:t>Categorical variables were summarized as counts and percentages, while continuous variables were reported as means with standard deviations or medians with interquartile ranges, depending on distribution.</w:t>
      </w:r>
      <w:r w:rsidRPr="008B7C8E">
        <w:rPr>
          <w:rStyle w:val="apple-converted-space"/>
          <w:color w:val="000000" w:themeColor="text1"/>
          <w:lang w:val="en-US"/>
        </w:rPr>
        <w:t> </w:t>
      </w:r>
      <w:r w:rsidRPr="008B7C8E">
        <w:rPr>
          <w:color w:val="000000" w:themeColor="text1"/>
          <w:lang w:val="en-US"/>
        </w:rPr>
        <w:t>Comparisons between pre-ASAP and post-ASAP cohorts were made using a Fisher’s exact test or chi-square test for categorical variables, and a Student’s t-test or Wilcoxon</w:t>
      </w:r>
      <w:r w:rsidR="00AA06E9" w:rsidRPr="008B7C8E">
        <w:rPr>
          <w:color w:val="000000" w:themeColor="text1"/>
          <w:lang w:val="en-US"/>
        </w:rPr>
        <w:t>-</w:t>
      </w:r>
      <w:r w:rsidRPr="008B7C8E">
        <w:rPr>
          <w:color w:val="000000" w:themeColor="text1"/>
          <w:lang w:val="en-US"/>
        </w:rPr>
        <w:t>Mann</w:t>
      </w:r>
      <w:r w:rsidR="00AA06E9" w:rsidRPr="008B7C8E">
        <w:rPr>
          <w:color w:val="000000" w:themeColor="text1"/>
          <w:lang w:val="en-US"/>
        </w:rPr>
        <w:t>-</w:t>
      </w:r>
      <w:r w:rsidRPr="008B7C8E">
        <w:rPr>
          <w:color w:val="000000" w:themeColor="text1"/>
          <w:lang w:val="en-US"/>
        </w:rPr>
        <w:t>Whitney test for continuous variables, as appropriate.</w:t>
      </w:r>
      <w:r w:rsidRPr="008B7C8E">
        <w:rPr>
          <w:rStyle w:val="apple-converted-space"/>
          <w:color w:val="000000" w:themeColor="text1"/>
          <w:lang w:val="en-US"/>
        </w:rPr>
        <w:t> </w:t>
      </w:r>
      <w:r w:rsidRPr="008B7C8E">
        <w:rPr>
          <w:color w:val="000000" w:themeColor="text1"/>
          <w:lang w:val="en-US"/>
        </w:rPr>
        <w:t xml:space="preserve">To assess the effect of the ASAP </w:t>
      </w:r>
      <w:r w:rsidR="00A7437D" w:rsidRPr="008B7C8E">
        <w:rPr>
          <w:rStyle w:val="Enfasigrassetto"/>
          <w:b w:val="0"/>
          <w:bCs w:val="0"/>
          <w:color w:val="000000" w:themeColor="text1"/>
          <w:lang w:val="en-US"/>
        </w:rPr>
        <w:t xml:space="preserve">bundle </w:t>
      </w:r>
      <w:r w:rsidRPr="008B7C8E">
        <w:rPr>
          <w:color w:val="000000" w:themeColor="text1"/>
          <w:lang w:val="en-US"/>
        </w:rPr>
        <w:t>on EPOCs, an ITS analysis using segmented linear regression was performed</w:t>
      </w:r>
      <w:r w:rsidRPr="008B7C8E">
        <w:rPr>
          <w:b/>
          <w:bCs/>
          <w:color w:val="000000" w:themeColor="text1"/>
          <w:lang w:val="en-US"/>
        </w:rPr>
        <w:t>.</w:t>
      </w:r>
      <w:r w:rsidR="00B0225F" w:rsidRPr="008B7C8E">
        <w:rPr>
          <w:b/>
          <w:bCs/>
          <w:color w:val="000000" w:themeColor="text1"/>
          <w:lang w:val="en-US"/>
        </w:rPr>
        <w:t xml:space="preserve"> </w:t>
      </w:r>
      <w:r w:rsidR="00B0225F" w:rsidRPr="008B7C8E">
        <w:rPr>
          <w:color w:val="000000" w:themeColor="text1"/>
          <w:lang w:val="en-US"/>
        </w:rPr>
        <w:t>For this analysis, the outcome was defined as the monthly proportion of patients experiencing at least one EPOC (number of patients with ≥1 EPOC divided by the total number of eligible patients operated during that month), expressed as a percentage.</w:t>
      </w:r>
      <w:r w:rsidRPr="008B7C8E">
        <w:rPr>
          <w:rStyle w:val="apple-converted-space"/>
          <w:color w:val="000000" w:themeColor="text1"/>
          <w:lang w:val="en-US"/>
        </w:rPr>
        <w:t> </w:t>
      </w:r>
      <w:r w:rsidRPr="008B7C8E">
        <w:rPr>
          <w:rStyle w:val="Enfasigrassetto"/>
          <w:rFonts w:eastAsia="Arial Unicode MS"/>
          <w:b w:val="0"/>
          <w:bCs w:val="0"/>
          <w:color w:val="000000" w:themeColor="text1"/>
          <w:lang w:val="en-US"/>
        </w:rPr>
        <w:t>I</w:t>
      </w:r>
      <w:r w:rsidRPr="008B7C8E">
        <w:rPr>
          <w:rStyle w:val="Enfasigrassetto"/>
          <w:b w:val="0"/>
          <w:bCs w:val="0"/>
          <w:color w:val="000000" w:themeColor="text1"/>
          <w:lang w:val="en-US"/>
        </w:rPr>
        <w:t>TS</w:t>
      </w:r>
      <w:r w:rsidRPr="008B7C8E">
        <w:rPr>
          <w:rStyle w:val="Enfasigrassetto"/>
          <w:rFonts w:eastAsia="Arial Unicode MS"/>
          <w:b w:val="0"/>
          <w:bCs w:val="0"/>
          <w:color w:val="000000" w:themeColor="text1"/>
          <w:lang w:val="en-US"/>
        </w:rPr>
        <w:t xml:space="preserve"> analysis was chosen because it is particularly well suited to evaluating the impact of a system-level intervention introduced at a specific point in time, while accounting for pre-existing temporal trends in the outcome.</w:t>
      </w:r>
      <w:r w:rsidRPr="008B7C8E">
        <w:rPr>
          <w:rStyle w:val="apple-converted-space"/>
          <w:color w:val="000000" w:themeColor="text1"/>
          <w:lang w:val="en-US"/>
        </w:rPr>
        <w:t> </w:t>
      </w:r>
      <w:r w:rsidRPr="008B7C8E">
        <w:rPr>
          <w:color w:val="000000" w:themeColor="text1"/>
          <w:lang w:val="en-US"/>
        </w:rPr>
        <w:t xml:space="preserve">This model estimated both the immediate level change (intercept) after ASAP implementation and any change in trend (slope) between the pre- and post-intervention </w:t>
      </w:r>
      <w:r w:rsidRPr="008B7C8E">
        <w:rPr>
          <w:color w:val="000000" w:themeColor="text1"/>
          <w:lang w:val="en-US"/>
        </w:rPr>
        <w:lastRenderedPageBreak/>
        <w:t>periods.</w:t>
      </w:r>
      <w:r w:rsidRPr="008B7C8E">
        <w:rPr>
          <w:rStyle w:val="apple-converted-space"/>
          <w:color w:val="000000" w:themeColor="text1"/>
          <w:lang w:val="en-US"/>
        </w:rPr>
        <w:t> </w:t>
      </w:r>
      <w:r w:rsidRPr="008B7C8E">
        <w:rPr>
          <w:rStyle w:val="Enfasigrassetto"/>
          <w:rFonts w:eastAsia="Arial Unicode MS"/>
          <w:b w:val="0"/>
          <w:bCs w:val="0"/>
          <w:color w:val="000000" w:themeColor="text1"/>
          <w:lang w:val="en-US"/>
        </w:rPr>
        <w:t>Clinically, the level change represents an abrupt shift in the average outcome immediately after ASAP was introduced, whereas the slope change reflects a more gradual improvement or deterioration in outcomes over time during the post-intervention phase.</w:t>
      </w:r>
      <w:r w:rsidRPr="008B7C8E">
        <w:rPr>
          <w:rStyle w:val="apple-converted-space"/>
          <w:color w:val="000000" w:themeColor="text1"/>
          <w:lang w:val="en-US"/>
        </w:rPr>
        <w:t> </w:t>
      </w:r>
      <w:r w:rsidRPr="008B7C8E">
        <w:rPr>
          <w:color w:val="000000" w:themeColor="text1"/>
          <w:lang w:val="en-US"/>
        </w:rPr>
        <w:t>The effect estimates and 95% confidence intervals (CIs) were reported to quantify these changes</w:t>
      </w:r>
      <w:r w:rsidR="00A7437D" w:rsidRPr="008B7C8E">
        <w:rPr>
          <w:color w:val="000000" w:themeColor="text1"/>
          <w:lang w:val="en-US"/>
        </w:rPr>
        <w:t>.</w:t>
      </w:r>
    </w:p>
    <w:p w14:paraId="437CE4D0" w14:textId="112B64BB" w:rsidR="00211723" w:rsidRPr="008B7C8E" w:rsidRDefault="00211723" w:rsidP="00211723">
      <w:pPr>
        <w:pStyle w:val="NormaleWeb"/>
        <w:spacing w:before="0" w:beforeAutospacing="0" w:after="0" w:afterAutospacing="0" w:line="360" w:lineRule="auto"/>
        <w:jc w:val="both"/>
        <w:rPr>
          <w:color w:val="000000" w:themeColor="text1"/>
          <w:lang w:val="en-US"/>
        </w:rPr>
      </w:pPr>
      <w:r w:rsidRPr="008B7C8E">
        <w:rPr>
          <w:color w:val="000000" w:themeColor="text1"/>
          <w:lang w:val="en-US"/>
        </w:rPr>
        <w:t>Additionally, Kaplan</w:t>
      </w:r>
      <w:r w:rsidR="00AA06E9" w:rsidRPr="008B7C8E">
        <w:rPr>
          <w:color w:val="000000" w:themeColor="text1"/>
          <w:lang w:val="en-US"/>
        </w:rPr>
        <w:t>-</w:t>
      </w:r>
      <w:r w:rsidRPr="008B7C8E">
        <w:rPr>
          <w:color w:val="000000" w:themeColor="text1"/>
          <w:lang w:val="en-US"/>
        </w:rPr>
        <w:t>Meier survival curves were constructed to estimate the cumulative probability of experiencing early all confounded (Clavien</w:t>
      </w:r>
      <w:r w:rsidR="00AA06E9" w:rsidRPr="008B7C8E">
        <w:rPr>
          <w:color w:val="000000" w:themeColor="text1"/>
          <w:lang w:val="en-US"/>
        </w:rPr>
        <w:t>-</w:t>
      </w:r>
      <w:r w:rsidRPr="008B7C8E">
        <w:rPr>
          <w:color w:val="000000" w:themeColor="text1"/>
          <w:lang w:val="en-US"/>
        </w:rPr>
        <w:t>Dindo 1</w:t>
      </w:r>
      <w:r w:rsidR="00AA06E9" w:rsidRPr="008B7C8E">
        <w:rPr>
          <w:color w:val="000000" w:themeColor="text1"/>
          <w:lang w:val="en-US"/>
        </w:rPr>
        <w:t>-</w:t>
      </w:r>
      <w:r w:rsidRPr="008B7C8E">
        <w:rPr>
          <w:color w:val="000000" w:themeColor="text1"/>
          <w:lang w:val="en-US"/>
        </w:rPr>
        <w:t>2</w:t>
      </w:r>
      <w:r w:rsidR="00AA06E9" w:rsidRPr="008B7C8E">
        <w:rPr>
          <w:color w:val="000000" w:themeColor="text1"/>
          <w:lang w:val="en-US"/>
        </w:rPr>
        <w:t>-</w:t>
      </w:r>
      <w:r w:rsidRPr="008B7C8E">
        <w:rPr>
          <w:color w:val="000000" w:themeColor="text1"/>
          <w:lang w:val="en-US"/>
        </w:rPr>
        <w:t>3</w:t>
      </w:r>
      <w:r w:rsidR="00AA06E9" w:rsidRPr="008B7C8E">
        <w:rPr>
          <w:color w:val="000000" w:themeColor="text1"/>
          <w:lang w:val="en-US"/>
        </w:rPr>
        <w:t>-</w:t>
      </w:r>
      <w:r w:rsidRPr="008B7C8E">
        <w:rPr>
          <w:color w:val="000000" w:themeColor="text1"/>
          <w:lang w:val="en-US"/>
        </w:rPr>
        <w:t>4) and major (Clavien</w:t>
      </w:r>
      <w:r w:rsidR="00AA06E9" w:rsidRPr="008B7C8E">
        <w:rPr>
          <w:color w:val="000000" w:themeColor="text1"/>
          <w:lang w:val="en-US"/>
        </w:rPr>
        <w:t>-</w:t>
      </w:r>
      <w:r w:rsidRPr="008B7C8E">
        <w:rPr>
          <w:color w:val="000000" w:themeColor="text1"/>
          <w:lang w:val="en-US"/>
        </w:rPr>
        <w:t>Dindo 2</w:t>
      </w:r>
      <w:r w:rsidR="00AA06E9" w:rsidRPr="008B7C8E">
        <w:rPr>
          <w:color w:val="000000" w:themeColor="text1"/>
          <w:lang w:val="en-US"/>
        </w:rPr>
        <w:t>-</w:t>
      </w:r>
      <w:r w:rsidRPr="008B7C8E">
        <w:rPr>
          <w:color w:val="000000" w:themeColor="text1"/>
          <w:lang w:val="en-US"/>
        </w:rPr>
        <w:t>3</w:t>
      </w:r>
      <w:r w:rsidR="00AA06E9" w:rsidRPr="008B7C8E">
        <w:rPr>
          <w:color w:val="000000" w:themeColor="text1"/>
          <w:lang w:val="en-US"/>
        </w:rPr>
        <w:t>-</w:t>
      </w:r>
      <w:r w:rsidRPr="008B7C8E">
        <w:rPr>
          <w:color w:val="000000" w:themeColor="text1"/>
          <w:lang w:val="en-US"/>
        </w:rPr>
        <w:t>4) postoperative complications within the first 7 postoperative days.</w:t>
      </w:r>
      <w:r w:rsidRPr="008B7C8E">
        <w:rPr>
          <w:rStyle w:val="apple-converted-space"/>
          <w:color w:val="000000" w:themeColor="text1"/>
          <w:lang w:val="en-US"/>
        </w:rPr>
        <w:t> </w:t>
      </w:r>
      <w:r w:rsidRPr="008B7C8E">
        <w:rPr>
          <w:rStyle w:val="Enfasigrassetto"/>
          <w:rFonts w:eastAsia="Arial Unicode MS"/>
          <w:b w:val="0"/>
          <w:bCs w:val="0"/>
          <w:color w:val="000000" w:themeColor="text1"/>
          <w:lang w:val="en-US"/>
        </w:rPr>
        <w:t xml:space="preserve">Time-to-event methods were preferred over simple proportions so that both the occurrence and timing of complications within the 7-day postoperative window were </w:t>
      </w:r>
      <w:r w:rsidRPr="008B7C8E">
        <w:rPr>
          <w:rStyle w:val="Enfasigrassetto"/>
          <w:b w:val="0"/>
          <w:bCs w:val="0"/>
          <w:color w:val="000000" w:themeColor="text1"/>
          <w:lang w:val="en-US"/>
        </w:rPr>
        <w:t>considered</w:t>
      </w:r>
      <w:r w:rsidRPr="008B7C8E">
        <w:rPr>
          <w:rStyle w:val="Enfasigrassetto"/>
          <w:rFonts w:eastAsia="Arial Unicode MS"/>
          <w:b w:val="0"/>
          <w:bCs w:val="0"/>
          <w:color w:val="000000" w:themeColor="text1"/>
          <w:lang w:val="en-US"/>
        </w:rPr>
        <w:t>.</w:t>
      </w:r>
      <w:r w:rsidRPr="008B7C8E">
        <w:rPr>
          <w:rStyle w:val="apple-converted-space"/>
          <w:color w:val="000000" w:themeColor="text1"/>
          <w:lang w:val="en-US"/>
        </w:rPr>
        <w:t> </w:t>
      </w:r>
      <w:r w:rsidRPr="008B7C8E">
        <w:rPr>
          <w:color w:val="000000" w:themeColor="text1"/>
          <w:lang w:val="en-US"/>
        </w:rPr>
        <w:t>Differences in survival distributions between groups were evaluated using the log-rank test. Cox proportional hazards models were then fitted to assess the effect of the ASAP intervention, as well as the individual contribution of each of its components, on the hazard of developing complications.</w:t>
      </w:r>
      <w:r w:rsidRPr="008B7C8E">
        <w:rPr>
          <w:rStyle w:val="apple-converted-space"/>
          <w:color w:val="000000" w:themeColor="text1"/>
          <w:lang w:val="en-US"/>
        </w:rPr>
        <w:t> </w:t>
      </w:r>
      <w:r w:rsidRPr="008B7C8E">
        <w:rPr>
          <w:rStyle w:val="Enfasigrassetto"/>
          <w:rFonts w:eastAsia="Arial Unicode MS"/>
          <w:b w:val="0"/>
          <w:bCs w:val="0"/>
          <w:color w:val="000000" w:themeColor="text1"/>
          <w:lang w:val="en-US"/>
        </w:rPr>
        <w:t>These models yielded adjusted hazard ratios, which can be interpreted as the relative instantaneous risk of developing a complication in patients managed with versus without the intervention, after accounting for relevant covariates.</w:t>
      </w:r>
      <w:r w:rsidRPr="008B7C8E">
        <w:rPr>
          <w:rStyle w:val="apple-converted-space"/>
          <w:color w:val="000000" w:themeColor="text1"/>
          <w:lang w:val="en-US"/>
        </w:rPr>
        <w:t> </w:t>
      </w:r>
    </w:p>
    <w:p w14:paraId="2962EA1D" w14:textId="5B1F79CC" w:rsidR="00211723" w:rsidRPr="008B7C8E" w:rsidRDefault="00211723" w:rsidP="00211723">
      <w:pPr>
        <w:pStyle w:val="NormaleWeb"/>
        <w:spacing w:before="0" w:beforeAutospacing="0" w:after="0" w:afterAutospacing="0" w:line="360" w:lineRule="auto"/>
        <w:jc w:val="both"/>
        <w:rPr>
          <w:b/>
          <w:bCs/>
          <w:color w:val="000000" w:themeColor="text1"/>
          <w:lang w:val="en-US"/>
        </w:rPr>
      </w:pPr>
      <w:r w:rsidRPr="008B7C8E">
        <w:rPr>
          <w:color w:val="000000" w:themeColor="text1"/>
          <w:lang w:val="en-US"/>
        </w:rPr>
        <w:t xml:space="preserve">To analyze quantitative adherence to the ASAP </w:t>
      </w:r>
      <w:r w:rsidR="00A7437D" w:rsidRPr="008B7C8E">
        <w:rPr>
          <w:rStyle w:val="Enfasigrassetto"/>
          <w:b w:val="0"/>
          <w:bCs w:val="0"/>
          <w:color w:val="000000" w:themeColor="text1"/>
          <w:lang w:val="en-US"/>
        </w:rPr>
        <w:t xml:space="preserve">bundle </w:t>
      </w:r>
      <w:r w:rsidRPr="008B7C8E">
        <w:rPr>
          <w:color w:val="000000" w:themeColor="text1"/>
          <w:lang w:val="en-US"/>
        </w:rPr>
        <w:t>(i.e., implementation of 1, 2, 3, or all 4 components), a Cox proportional hazards model for trend was applied.</w:t>
      </w:r>
      <w:r w:rsidRPr="008B7C8E">
        <w:rPr>
          <w:rStyle w:val="apple-converted-space"/>
          <w:color w:val="000000" w:themeColor="text1"/>
          <w:lang w:val="en-US"/>
        </w:rPr>
        <w:t> </w:t>
      </w:r>
      <w:r w:rsidRPr="008B7C8E">
        <w:rPr>
          <w:rStyle w:val="Enfasigrassetto"/>
          <w:rFonts w:eastAsia="Arial Unicode MS"/>
          <w:b w:val="0"/>
          <w:bCs w:val="0"/>
          <w:color w:val="000000" w:themeColor="text1"/>
          <w:lang w:val="en-US"/>
        </w:rPr>
        <w:t>In this model, the number of implemented components was treated as an ordinal predictor, enabling us to explore a potential dose</w:t>
      </w:r>
      <w:r w:rsidR="001B1205" w:rsidRPr="008B7C8E">
        <w:rPr>
          <w:rStyle w:val="Enfasigrassetto"/>
          <w:rFonts w:eastAsia="Arial Unicode MS"/>
          <w:b w:val="0"/>
          <w:bCs w:val="0"/>
          <w:color w:val="000000" w:themeColor="text1"/>
          <w:lang w:val="en-US"/>
        </w:rPr>
        <w:t>-</w:t>
      </w:r>
      <w:r w:rsidRPr="008B7C8E">
        <w:rPr>
          <w:rStyle w:val="Enfasigrassetto"/>
          <w:rFonts w:eastAsia="Arial Unicode MS"/>
          <w:b w:val="0"/>
          <w:bCs w:val="0"/>
          <w:color w:val="000000" w:themeColor="text1"/>
          <w:lang w:val="en-US"/>
        </w:rPr>
        <w:t>response relationship between the intensity of ASAP implementation and the risk of EPOCs.</w:t>
      </w:r>
      <w:r w:rsidRPr="008B7C8E">
        <w:rPr>
          <w:rStyle w:val="apple-converted-space"/>
          <w:color w:val="000000" w:themeColor="text1"/>
          <w:lang w:val="en-US"/>
        </w:rPr>
        <w:t> </w:t>
      </w:r>
      <w:r w:rsidRPr="008B7C8E">
        <w:rPr>
          <w:color w:val="000000" w:themeColor="text1"/>
          <w:lang w:val="en-US"/>
        </w:rPr>
        <w:t xml:space="preserve">A separate, qualitative analysis was performed to evaluate the individual effect of each component of the </w:t>
      </w:r>
      <w:r w:rsidR="00A7437D" w:rsidRPr="008B7C8E">
        <w:rPr>
          <w:rStyle w:val="Enfasigrassetto"/>
          <w:b w:val="0"/>
          <w:bCs w:val="0"/>
          <w:color w:val="000000" w:themeColor="text1"/>
          <w:lang w:val="en-US"/>
        </w:rPr>
        <w:t xml:space="preserve">bundle </w:t>
      </w:r>
      <w:r w:rsidRPr="008B7C8E">
        <w:rPr>
          <w:color w:val="000000" w:themeColor="text1"/>
          <w:lang w:val="en-US"/>
        </w:rPr>
        <w:t>on the risk of EPOCs, adjusting for potential confounders.</w:t>
      </w:r>
      <w:r w:rsidRPr="008B7C8E">
        <w:rPr>
          <w:rStyle w:val="apple-converted-space"/>
          <w:color w:val="000000" w:themeColor="text1"/>
          <w:lang w:val="en-US"/>
        </w:rPr>
        <w:t> </w:t>
      </w:r>
      <w:r w:rsidRPr="008B7C8E">
        <w:rPr>
          <w:rStyle w:val="Enfasigrassetto"/>
          <w:rFonts w:eastAsia="Arial Unicode MS"/>
          <w:b w:val="0"/>
          <w:bCs w:val="0"/>
          <w:color w:val="000000" w:themeColor="text1"/>
          <w:lang w:val="en-US"/>
        </w:rPr>
        <w:t>This dual approach (quantitative trend analysis and qualitative component-wise analysis) was intended to help readers distinguish between the global effect of the pathway and the specific contribution of its individual elements.</w:t>
      </w:r>
    </w:p>
    <w:p w14:paraId="52BC1940" w14:textId="6F16800A" w:rsidR="00211723" w:rsidRPr="008B7C8E" w:rsidRDefault="00211723" w:rsidP="00211723">
      <w:pPr>
        <w:pStyle w:val="NormaleWeb"/>
        <w:spacing w:before="0" w:beforeAutospacing="0" w:after="0" w:afterAutospacing="0" w:line="360" w:lineRule="auto"/>
        <w:jc w:val="both"/>
        <w:rPr>
          <w:color w:val="000000" w:themeColor="text1"/>
          <w:lang w:val="en-US"/>
        </w:rPr>
      </w:pPr>
      <w:r w:rsidRPr="008B7C8E">
        <w:rPr>
          <w:color w:val="000000" w:themeColor="text1"/>
          <w:lang w:val="en-US"/>
        </w:rPr>
        <w:t>An a priori power analysis was conducted based on the assumption that a 25% relative reduction in the overall EPOC rate would constitute the minimum clinically relevant effect size associated with ASAP implementation.</w:t>
      </w:r>
      <w:r w:rsidRPr="008B7C8E">
        <w:rPr>
          <w:rStyle w:val="apple-converted-space"/>
          <w:color w:val="000000" w:themeColor="text1"/>
          <w:lang w:val="en-US"/>
        </w:rPr>
        <w:t> </w:t>
      </w:r>
      <w:r w:rsidRPr="008B7C8E">
        <w:rPr>
          <w:rStyle w:val="Enfasigrassetto"/>
          <w:rFonts w:eastAsia="Arial Unicode MS"/>
          <w:b w:val="0"/>
          <w:bCs w:val="0"/>
          <w:color w:val="000000" w:themeColor="text1"/>
          <w:lang w:val="en-US"/>
        </w:rPr>
        <w:t>This target reduction was defined a priori in consultation with clinicians as the smallest change that would be considered meaningful in this high-risk population.</w:t>
      </w:r>
      <w:r w:rsidRPr="008B7C8E">
        <w:rPr>
          <w:rStyle w:val="apple-converted-space"/>
          <w:color w:val="000000" w:themeColor="text1"/>
          <w:lang w:val="en-US"/>
        </w:rPr>
        <w:t> </w:t>
      </w:r>
      <w:r w:rsidRPr="008B7C8E">
        <w:rPr>
          <w:color w:val="000000" w:themeColor="text1"/>
          <w:lang w:val="en-US"/>
        </w:rPr>
        <w:t xml:space="preserve">Based on </w:t>
      </w:r>
      <w:r w:rsidR="00E8450D" w:rsidRPr="008B7C8E">
        <w:rPr>
          <w:color w:val="000000" w:themeColor="text1"/>
          <w:lang w:val="en-US"/>
        </w:rPr>
        <w:t>unpublished quality improvement data</w:t>
      </w:r>
      <w:r w:rsidRPr="008B7C8E">
        <w:rPr>
          <w:color w:val="000000" w:themeColor="text1"/>
          <w:lang w:val="en-US"/>
        </w:rPr>
        <w:t>, a baseline EPOC rate of 40% (Clavien</w:t>
      </w:r>
      <w:r w:rsidR="00AA06E9" w:rsidRPr="008B7C8E">
        <w:rPr>
          <w:color w:val="000000" w:themeColor="text1"/>
          <w:lang w:val="en-US"/>
        </w:rPr>
        <w:t>-</w:t>
      </w:r>
      <w:r w:rsidRPr="008B7C8E">
        <w:rPr>
          <w:color w:val="000000" w:themeColor="text1"/>
          <w:lang w:val="en-US"/>
        </w:rPr>
        <w:t xml:space="preserve">Dindo grade 1 or higher) was assumed. Under these assumptions, a total sample size of 686 patients (assuming equal group sizes) would provide 90% power to detect the specified difference at a two-sided alpha level of 0.05. All statistical analyses were performed using R software (version 4.1.0; R Foundation for Statistical Computing, Vienna, </w:t>
      </w:r>
      <w:r w:rsidRPr="008B7C8E">
        <w:rPr>
          <w:color w:val="000000" w:themeColor="text1"/>
          <w:lang w:val="en-US"/>
        </w:rPr>
        <w:lastRenderedPageBreak/>
        <w:t>Austria).</w:t>
      </w:r>
      <w:r w:rsidRPr="008B7C8E">
        <w:rPr>
          <w:rStyle w:val="apple-converted-space"/>
          <w:color w:val="000000" w:themeColor="text1"/>
          <w:lang w:val="en-US"/>
        </w:rPr>
        <w:t> </w:t>
      </w:r>
      <w:r w:rsidR="00A7437D" w:rsidRPr="008B7C8E">
        <w:rPr>
          <w:color w:val="000000" w:themeColor="text1"/>
          <w:lang w:val="en-US"/>
        </w:rPr>
        <w:t xml:space="preserve">Further details on model specification, diagnostics, and sensitivity analyses are available in the Supplementary </w:t>
      </w:r>
      <w:r w:rsidR="00E8450D" w:rsidRPr="008B7C8E">
        <w:rPr>
          <w:color w:val="000000" w:themeColor="text1"/>
          <w:lang w:val="en-US"/>
        </w:rPr>
        <w:t>Digital Content (S1)</w:t>
      </w:r>
      <w:r w:rsidR="00A7437D" w:rsidRPr="008B7C8E">
        <w:rPr>
          <w:color w:val="000000" w:themeColor="text1"/>
          <w:lang w:val="en-US"/>
        </w:rPr>
        <w:t>.</w:t>
      </w:r>
    </w:p>
    <w:p w14:paraId="16C7BC86" w14:textId="77777777" w:rsidR="005A7BE1" w:rsidRPr="008B7C8E" w:rsidRDefault="005A7BE1" w:rsidP="005A7BE1">
      <w:pPr>
        <w:rPr>
          <w:color w:val="000000" w:themeColor="text1"/>
          <w:lang w:val="en-US"/>
        </w:rPr>
      </w:pPr>
      <w:r w:rsidRPr="008B7C8E">
        <w:rPr>
          <w:color w:val="000000" w:themeColor="text1"/>
          <w:lang w:val="en-US"/>
        </w:rPr>
        <w:br w:type="page"/>
      </w:r>
    </w:p>
    <w:p w14:paraId="0798210C" w14:textId="77777777" w:rsidR="005A7BE1" w:rsidRPr="008B7C8E" w:rsidRDefault="005A7BE1" w:rsidP="005A7BE1">
      <w:pPr>
        <w:spacing w:line="360" w:lineRule="auto"/>
        <w:jc w:val="both"/>
        <w:rPr>
          <w:b/>
          <w:bCs/>
          <w:color w:val="000000" w:themeColor="text1"/>
          <w:lang w:val="en-US"/>
        </w:rPr>
      </w:pPr>
      <w:r w:rsidRPr="008B7C8E">
        <w:rPr>
          <w:b/>
          <w:bCs/>
          <w:color w:val="000000" w:themeColor="text1"/>
          <w:lang w:val="en-US"/>
        </w:rPr>
        <w:lastRenderedPageBreak/>
        <w:t>RESULTS</w:t>
      </w:r>
    </w:p>
    <w:p w14:paraId="72387DF5" w14:textId="21933463" w:rsidR="005A7BE1" w:rsidRPr="008B7C8E" w:rsidRDefault="00801386" w:rsidP="005A7BE1">
      <w:pPr>
        <w:spacing w:line="360" w:lineRule="auto"/>
        <w:jc w:val="both"/>
        <w:rPr>
          <w:color w:val="000000" w:themeColor="text1"/>
          <w:lang w:val="en-US"/>
        </w:rPr>
      </w:pPr>
      <w:r w:rsidRPr="008B7C8E">
        <w:rPr>
          <w:color w:val="000000" w:themeColor="text1"/>
          <w:lang w:val="en-US"/>
        </w:rPr>
        <w:t xml:space="preserve">Overall, implementation of the ASAP </w:t>
      </w:r>
      <w:r w:rsidR="00A7437D" w:rsidRPr="008B7C8E">
        <w:rPr>
          <w:rStyle w:val="Enfasigrassetto"/>
          <w:b w:val="0"/>
          <w:bCs w:val="0"/>
          <w:color w:val="000000" w:themeColor="text1"/>
          <w:lang w:val="en-US"/>
        </w:rPr>
        <w:t xml:space="preserve">bundle </w:t>
      </w:r>
      <w:r w:rsidRPr="008B7C8E">
        <w:rPr>
          <w:color w:val="000000" w:themeColor="text1"/>
          <w:lang w:val="en-US"/>
        </w:rPr>
        <w:t xml:space="preserve">was associated with higher adherence to its four components, shorter time to surgery, and fewer early postoperative complications. </w:t>
      </w:r>
      <w:r w:rsidR="005A7BE1" w:rsidRPr="008B7C8E">
        <w:rPr>
          <w:color w:val="000000" w:themeColor="text1"/>
          <w:lang w:val="en-US"/>
        </w:rPr>
        <w:t xml:space="preserve">The study was conducted in </w:t>
      </w:r>
      <w:r w:rsidR="006C77B6" w:rsidRPr="008B7C8E">
        <w:rPr>
          <w:color w:val="000000" w:themeColor="text1"/>
          <w:lang w:val="en-US"/>
        </w:rPr>
        <w:t>June</w:t>
      </w:r>
      <w:r w:rsidR="005A7BE1" w:rsidRPr="008B7C8E">
        <w:rPr>
          <w:color w:val="000000" w:themeColor="text1"/>
          <w:lang w:val="en-US"/>
        </w:rPr>
        <w:t xml:space="preserve"> 202</w:t>
      </w:r>
      <w:r w:rsidR="005F5905" w:rsidRPr="008B7C8E">
        <w:rPr>
          <w:color w:val="000000" w:themeColor="text1"/>
          <w:lang w:val="en-US"/>
        </w:rPr>
        <w:t>5</w:t>
      </w:r>
      <w:r w:rsidR="005A7BE1" w:rsidRPr="008B7C8E">
        <w:rPr>
          <w:color w:val="000000" w:themeColor="text1"/>
          <w:lang w:val="en-US"/>
        </w:rPr>
        <w:t>. Between January 1</w:t>
      </w:r>
      <w:r w:rsidR="006C77B6" w:rsidRPr="008B7C8E">
        <w:rPr>
          <w:color w:val="000000" w:themeColor="text1"/>
          <w:vertAlign w:val="superscript"/>
          <w:lang w:val="en-US"/>
        </w:rPr>
        <w:t>st</w:t>
      </w:r>
      <w:r w:rsidR="005A7BE1" w:rsidRPr="008B7C8E">
        <w:rPr>
          <w:color w:val="000000" w:themeColor="text1"/>
          <w:lang w:val="en-US"/>
        </w:rPr>
        <w:t>, 201</w:t>
      </w:r>
      <w:r w:rsidR="005F5905" w:rsidRPr="008B7C8E">
        <w:rPr>
          <w:color w:val="000000" w:themeColor="text1"/>
          <w:lang w:val="en-US"/>
        </w:rPr>
        <w:t>7</w:t>
      </w:r>
      <w:r w:rsidR="005A7BE1" w:rsidRPr="008B7C8E">
        <w:rPr>
          <w:color w:val="000000" w:themeColor="text1"/>
          <w:lang w:val="en-US"/>
        </w:rPr>
        <w:t xml:space="preserve"> and December 31</w:t>
      </w:r>
      <w:r w:rsidR="006C77B6" w:rsidRPr="008B7C8E">
        <w:rPr>
          <w:color w:val="000000" w:themeColor="text1"/>
          <w:vertAlign w:val="superscript"/>
          <w:lang w:val="en-US"/>
        </w:rPr>
        <w:t>st</w:t>
      </w:r>
      <w:r w:rsidR="005A7BE1" w:rsidRPr="008B7C8E">
        <w:rPr>
          <w:color w:val="000000" w:themeColor="text1"/>
          <w:lang w:val="en-US"/>
        </w:rPr>
        <w:t>, 202</w:t>
      </w:r>
      <w:r w:rsidR="006C77B6" w:rsidRPr="008B7C8E">
        <w:rPr>
          <w:color w:val="000000" w:themeColor="text1"/>
          <w:lang w:val="en-US"/>
        </w:rPr>
        <w:t>2</w:t>
      </w:r>
      <w:r w:rsidR="005A7BE1" w:rsidRPr="008B7C8E">
        <w:rPr>
          <w:color w:val="000000" w:themeColor="text1"/>
          <w:lang w:val="en-US"/>
        </w:rPr>
        <w:t xml:space="preserve">, </w:t>
      </w:r>
      <w:r w:rsidR="006C77B6" w:rsidRPr="008B7C8E">
        <w:rPr>
          <w:color w:val="000000" w:themeColor="text1"/>
          <w:lang w:val="en-US"/>
        </w:rPr>
        <w:t>896</w:t>
      </w:r>
      <w:r w:rsidR="005A7BE1" w:rsidRPr="008B7C8E">
        <w:rPr>
          <w:color w:val="000000" w:themeColor="text1"/>
          <w:lang w:val="en-US"/>
        </w:rPr>
        <w:t xml:space="preserve"> patients with </w:t>
      </w:r>
      <w:r w:rsidR="00BC5A06" w:rsidRPr="008B7C8E">
        <w:rPr>
          <w:rFonts w:eastAsia="Arial Unicode MS"/>
          <w:color w:val="000000" w:themeColor="text1"/>
          <w:u w:color="000000"/>
          <w:bdr w:val="nil"/>
          <w:lang w:val="en-GB" w:eastAsia="fr-BE"/>
          <w14:textOutline w14:w="0" w14:cap="flat" w14:cmpd="sng" w14:algn="ctr">
            <w14:noFill/>
            <w14:prstDash w14:val="solid"/>
            <w14:bevel/>
          </w14:textOutline>
        </w:rPr>
        <w:t>hip fracture</w:t>
      </w:r>
      <w:r w:rsidR="005A7BE1" w:rsidRPr="008B7C8E">
        <w:rPr>
          <w:color w:val="000000" w:themeColor="text1"/>
          <w:lang w:val="en-US"/>
        </w:rPr>
        <w:t xml:space="preserve"> were admitted to the emergency department at the Liege University Hospital. </w:t>
      </w:r>
      <w:r w:rsidR="00E8450D" w:rsidRPr="008B7C8E">
        <w:rPr>
          <w:color w:val="000000" w:themeColor="text1"/>
          <w:lang w:val="en-US"/>
        </w:rPr>
        <w:t>According to the exclusion criteria, data from 51 patients was excluded as detailed in Figure 1</w:t>
      </w:r>
      <w:r w:rsidR="005A7BE1" w:rsidRPr="008B7C8E">
        <w:rPr>
          <w:color w:val="000000" w:themeColor="text1"/>
          <w:lang w:val="en-US"/>
        </w:rPr>
        <w:t>.</w:t>
      </w:r>
    </w:p>
    <w:p w14:paraId="02C5A683" w14:textId="7103A0D9" w:rsidR="00AA2197" w:rsidRPr="008B7C8E" w:rsidRDefault="006C77B6" w:rsidP="006C77B6">
      <w:pPr>
        <w:spacing w:line="360" w:lineRule="auto"/>
        <w:jc w:val="both"/>
        <w:rPr>
          <w:color w:val="000000" w:themeColor="text1"/>
          <w:lang w:val="en-US"/>
        </w:rPr>
      </w:pPr>
      <w:r w:rsidRPr="008B7C8E">
        <w:rPr>
          <w:color w:val="000000" w:themeColor="text1"/>
          <w:lang w:val="en-US"/>
        </w:rPr>
        <w:t xml:space="preserve">During the study period, a total of 845 patients met the inclusion criteria, with 480 in the pre-ASAP cohort and 365 in the post-ASAP cohort. </w:t>
      </w:r>
      <w:r w:rsidR="00E8450D" w:rsidRPr="008B7C8E">
        <w:rPr>
          <w:color w:val="000000" w:themeColor="text1"/>
          <w:lang w:val="en-US"/>
        </w:rPr>
        <w:t>The demographic and surgical characteristics of the two cohorts were broadly similar at baseline, including age, sex, body mass index (BMI), ASA physical status, documented comorbidities (e.g., diabetes, dementia), NHFS, or preoperative ARS scores, (Table 1)</w:t>
      </w:r>
      <w:r w:rsidRPr="008B7C8E">
        <w:rPr>
          <w:color w:val="000000" w:themeColor="text1"/>
          <w:lang w:val="en-US"/>
        </w:rPr>
        <w:t>.</w:t>
      </w:r>
      <w:r w:rsidR="00F22462" w:rsidRPr="008B7C8E">
        <w:rPr>
          <w:color w:val="000000" w:themeColor="text1"/>
          <w:lang w:val="en-US"/>
        </w:rPr>
        <w:t xml:space="preserve"> </w:t>
      </w:r>
      <w:r w:rsidR="0047445E" w:rsidRPr="008B7C8E">
        <w:rPr>
          <w:color w:val="000000" w:themeColor="text1"/>
          <w:lang w:val="en-US"/>
        </w:rPr>
        <w:t>However, there was a modest increase in the proportion of patients with low functional reserve (METs ≤4) in the post-ASAP cohort, suggesting that this group may have been slightly frailer at baseline</w:t>
      </w:r>
      <w:r w:rsidR="00F22462" w:rsidRPr="008B7C8E">
        <w:rPr>
          <w:color w:val="000000" w:themeColor="text1"/>
          <w:lang w:val="en-US"/>
        </w:rPr>
        <w:t xml:space="preserve">. </w:t>
      </w:r>
    </w:p>
    <w:p w14:paraId="772B9B91" w14:textId="29A77B6E" w:rsidR="006C77B6" w:rsidRPr="008B7C8E" w:rsidRDefault="00E8450D" w:rsidP="006C77B6">
      <w:pPr>
        <w:spacing w:line="360" w:lineRule="auto"/>
        <w:jc w:val="both"/>
        <w:rPr>
          <w:color w:val="000000" w:themeColor="text1"/>
          <w:lang w:val="en-US"/>
        </w:rPr>
      </w:pPr>
      <w:r w:rsidRPr="008B7C8E">
        <w:rPr>
          <w:color w:val="000000" w:themeColor="text1"/>
          <w:lang w:val="en-US"/>
        </w:rPr>
        <w:t>Statistically significant higher intraoperative utilization of ephedrine and norepinephrine and a trend towards reduction in atropine administration (not statistically significant) was observed. This may reflect a secondary effect of pre- and post-operative pharmacology medication management to minimize anticholinergic burden (Table 1)</w:t>
      </w:r>
      <w:r w:rsidR="00F22462" w:rsidRPr="008B7C8E">
        <w:rPr>
          <w:color w:val="000000" w:themeColor="text1"/>
          <w:lang w:val="en-US"/>
        </w:rPr>
        <w:t>.</w:t>
      </w:r>
    </w:p>
    <w:p w14:paraId="060DBB75" w14:textId="77777777" w:rsidR="00A7437D" w:rsidRPr="008B7C8E" w:rsidRDefault="00A7437D" w:rsidP="006C77B6">
      <w:pPr>
        <w:spacing w:line="360" w:lineRule="auto"/>
        <w:jc w:val="both"/>
        <w:rPr>
          <w:rStyle w:val="Enfasigrassetto"/>
          <w:color w:val="000000" w:themeColor="text1"/>
          <w:lang w:val="en-US"/>
        </w:rPr>
      </w:pPr>
    </w:p>
    <w:p w14:paraId="581ACDEA" w14:textId="3D1EE0EA" w:rsidR="00A7437D" w:rsidRPr="008B7C8E" w:rsidRDefault="00A7437D" w:rsidP="006C77B6">
      <w:pPr>
        <w:spacing w:line="360" w:lineRule="auto"/>
        <w:jc w:val="both"/>
        <w:rPr>
          <w:rStyle w:val="Enfasigrassetto"/>
          <w:color w:val="000000" w:themeColor="text1"/>
          <w:lang w:val="en-US"/>
        </w:rPr>
      </w:pPr>
      <w:r w:rsidRPr="008B7C8E">
        <w:rPr>
          <w:rStyle w:val="Enfasigrassetto"/>
          <w:color w:val="000000" w:themeColor="text1"/>
          <w:lang w:val="en-US"/>
        </w:rPr>
        <w:t>ASAP bundle</w:t>
      </w:r>
      <w:r w:rsidRPr="008B7C8E">
        <w:rPr>
          <w:rStyle w:val="Enfasigrassetto"/>
          <w:b w:val="0"/>
          <w:bCs w:val="0"/>
          <w:color w:val="000000" w:themeColor="text1"/>
          <w:lang w:val="en-US"/>
        </w:rPr>
        <w:t xml:space="preserve"> </w:t>
      </w:r>
      <w:r w:rsidRPr="008B7C8E">
        <w:rPr>
          <w:rStyle w:val="Enfasigrassetto"/>
          <w:color w:val="000000" w:themeColor="text1"/>
          <w:lang w:val="en-US"/>
        </w:rPr>
        <w:t>Adherence</w:t>
      </w:r>
    </w:p>
    <w:p w14:paraId="4E3B926A" w14:textId="443C214D" w:rsidR="00F22462" w:rsidRPr="008B7C8E" w:rsidRDefault="0047445E" w:rsidP="006C77B6">
      <w:pPr>
        <w:spacing w:line="360" w:lineRule="auto"/>
        <w:jc w:val="both"/>
        <w:rPr>
          <w:color w:val="000000" w:themeColor="text1"/>
          <w:lang w:val="en-US"/>
        </w:rPr>
      </w:pPr>
      <w:r w:rsidRPr="008B7C8E">
        <w:rPr>
          <w:color w:val="000000" w:themeColor="text1"/>
          <w:lang w:val="en-US"/>
        </w:rPr>
        <w:t>Adherence to the four ASAP components increased substantially after implementation of the pathway and a</w:t>
      </w:r>
      <w:r w:rsidR="006C77B6" w:rsidRPr="008B7C8E">
        <w:rPr>
          <w:color w:val="000000" w:themeColor="text1"/>
          <w:lang w:val="en-US"/>
        </w:rPr>
        <w:t xml:space="preserve">dherence to the components of the ASAP </w:t>
      </w:r>
      <w:r w:rsidR="00A7437D" w:rsidRPr="008B7C8E">
        <w:rPr>
          <w:rStyle w:val="Enfasigrassetto"/>
          <w:b w:val="0"/>
          <w:bCs w:val="0"/>
          <w:color w:val="000000" w:themeColor="text1"/>
          <w:lang w:val="en-US"/>
        </w:rPr>
        <w:t xml:space="preserve">bundle </w:t>
      </w:r>
      <w:r w:rsidR="006C77B6" w:rsidRPr="008B7C8E">
        <w:rPr>
          <w:color w:val="000000" w:themeColor="text1"/>
          <w:lang w:val="en-US"/>
        </w:rPr>
        <w:t xml:space="preserve">was markedly higher in the post-ASAP cohort. Specifically, </w:t>
      </w:r>
      <w:r w:rsidR="00F22462" w:rsidRPr="008B7C8E">
        <w:rPr>
          <w:color w:val="000000" w:themeColor="text1"/>
          <w:lang w:val="en-US"/>
        </w:rPr>
        <w:t>72</w:t>
      </w:r>
      <w:r w:rsidR="006C77B6" w:rsidRPr="008B7C8E">
        <w:rPr>
          <w:color w:val="000000" w:themeColor="text1"/>
          <w:lang w:val="en-US"/>
        </w:rPr>
        <w:t xml:space="preserve">.1% of patients in this group received a </w:t>
      </w:r>
      <w:r w:rsidR="00F22462" w:rsidRPr="008B7C8E">
        <w:rPr>
          <w:color w:val="000000" w:themeColor="text1"/>
          <w:lang w:val="en-US"/>
        </w:rPr>
        <w:t>peripheral nerve block</w:t>
      </w:r>
      <w:r w:rsidR="006C77B6" w:rsidRPr="008B7C8E">
        <w:rPr>
          <w:color w:val="000000" w:themeColor="text1"/>
          <w:lang w:val="en-US"/>
        </w:rPr>
        <w:t xml:space="preserve"> before skin incision, compared to only 2.3% in the pre-ASAP group (</w:t>
      </w:r>
      <w:r w:rsidR="006C77B6" w:rsidRPr="008B7C8E">
        <w:rPr>
          <w:i/>
          <w:iCs/>
          <w:color w:val="000000" w:themeColor="text1"/>
          <w:lang w:val="en-US"/>
        </w:rPr>
        <w:t>p</w:t>
      </w:r>
      <w:r w:rsidR="006C77B6" w:rsidRPr="008B7C8E">
        <w:rPr>
          <w:color w:val="000000" w:themeColor="text1"/>
          <w:lang w:val="en-US"/>
        </w:rPr>
        <w:t xml:space="preserve">&lt;0.001). </w:t>
      </w:r>
    </w:p>
    <w:p w14:paraId="0CF9A1E8" w14:textId="68BB1B9B" w:rsidR="00F22462" w:rsidRPr="008B7C8E" w:rsidRDefault="008101B8" w:rsidP="006C77B6">
      <w:pPr>
        <w:spacing w:line="360" w:lineRule="auto"/>
        <w:jc w:val="both"/>
        <w:rPr>
          <w:color w:val="000000" w:themeColor="text1"/>
          <w:lang w:val="en-US"/>
        </w:rPr>
      </w:pPr>
      <w:r w:rsidRPr="008B7C8E">
        <w:rPr>
          <w:color w:val="000000" w:themeColor="text1"/>
          <w:lang w:val="en-US"/>
        </w:rPr>
        <w:t xml:space="preserve">Median time to surgery in hours [IQR] fell from 16.3 [6.2–42.3] to 11.5 [5.6–19.1], pre-ASAP and post-ASAP, respectively (p&lt;0.001), </w:t>
      </w:r>
      <w:r w:rsidR="00F22462" w:rsidRPr="008B7C8E">
        <w:rPr>
          <w:color w:val="000000" w:themeColor="text1"/>
          <w:lang w:val="en-US"/>
        </w:rPr>
        <w:t xml:space="preserve">with the proportion operated on within 12 hours rising from </w:t>
      </w:r>
      <w:r w:rsidR="008811D1" w:rsidRPr="008B7C8E">
        <w:rPr>
          <w:color w:val="000000" w:themeColor="text1"/>
          <w:lang w:val="en-US"/>
        </w:rPr>
        <w:t>36</w:t>
      </w:r>
      <w:r w:rsidR="00F22462" w:rsidRPr="008B7C8E">
        <w:rPr>
          <w:color w:val="000000" w:themeColor="text1"/>
          <w:lang w:val="en-US"/>
        </w:rPr>
        <w:t>.</w:t>
      </w:r>
      <w:r w:rsidR="008811D1" w:rsidRPr="008B7C8E">
        <w:rPr>
          <w:color w:val="000000" w:themeColor="text1"/>
          <w:lang w:val="en-US"/>
        </w:rPr>
        <w:t>5</w:t>
      </w:r>
      <w:r w:rsidR="00F22462" w:rsidRPr="008B7C8E">
        <w:rPr>
          <w:color w:val="000000" w:themeColor="text1"/>
          <w:lang w:val="en-US"/>
        </w:rPr>
        <w:t xml:space="preserve">% to </w:t>
      </w:r>
      <w:r w:rsidR="008811D1" w:rsidRPr="008B7C8E">
        <w:rPr>
          <w:color w:val="000000" w:themeColor="text1"/>
          <w:lang w:val="en-US"/>
        </w:rPr>
        <w:t>43</w:t>
      </w:r>
      <w:r w:rsidR="00F22462" w:rsidRPr="008B7C8E">
        <w:rPr>
          <w:color w:val="000000" w:themeColor="text1"/>
          <w:lang w:val="en-US"/>
        </w:rPr>
        <w:t>.</w:t>
      </w:r>
      <w:r w:rsidR="008811D1" w:rsidRPr="008B7C8E">
        <w:rPr>
          <w:color w:val="000000" w:themeColor="text1"/>
          <w:lang w:val="en-US"/>
        </w:rPr>
        <w:t>6</w:t>
      </w:r>
      <w:r w:rsidR="00F22462" w:rsidRPr="008B7C8E">
        <w:rPr>
          <w:color w:val="000000" w:themeColor="text1"/>
          <w:lang w:val="en-US"/>
        </w:rPr>
        <w:t>% (</w:t>
      </w:r>
      <w:r w:rsidR="00F22462" w:rsidRPr="008B7C8E">
        <w:rPr>
          <w:i/>
          <w:iCs/>
          <w:color w:val="000000" w:themeColor="text1"/>
          <w:lang w:val="en-US"/>
        </w:rPr>
        <w:t>p</w:t>
      </w:r>
      <w:r w:rsidR="00F22462" w:rsidRPr="008B7C8E">
        <w:rPr>
          <w:color w:val="000000" w:themeColor="text1"/>
          <w:lang w:val="en-US"/>
        </w:rPr>
        <w:t>=0.0</w:t>
      </w:r>
      <w:r w:rsidR="008811D1" w:rsidRPr="008B7C8E">
        <w:rPr>
          <w:color w:val="000000" w:themeColor="text1"/>
          <w:lang w:val="en-US"/>
        </w:rPr>
        <w:t>4</w:t>
      </w:r>
      <w:r w:rsidR="00F22462" w:rsidRPr="008B7C8E">
        <w:rPr>
          <w:color w:val="000000" w:themeColor="text1"/>
          <w:lang w:val="en-US"/>
        </w:rPr>
        <w:t xml:space="preserve">). </w:t>
      </w:r>
    </w:p>
    <w:p w14:paraId="2130D0B0" w14:textId="60ADE065" w:rsidR="00F22462" w:rsidRPr="008B7C8E" w:rsidRDefault="00F22462" w:rsidP="006C77B6">
      <w:pPr>
        <w:spacing w:line="360" w:lineRule="auto"/>
        <w:jc w:val="both"/>
        <w:rPr>
          <w:color w:val="000000" w:themeColor="text1"/>
          <w:lang w:val="en-US"/>
        </w:rPr>
      </w:pPr>
      <w:r w:rsidRPr="008B7C8E">
        <w:rPr>
          <w:color w:val="000000" w:themeColor="text1"/>
          <w:lang w:val="en-US"/>
        </w:rPr>
        <w:t>Although the proportion of patients meeting criteria for ortho-geriatric consultation (age ≥65 years and NHFS ≥5) was similar pre- versus post-ASAP (</w:t>
      </w:r>
      <w:r w:rsidR="008811D1" w:rsidRPr="008B7C8E">
        <w:rPr>
          <w:color w:val="000000" w:themeColor="text1"/>
          <w:lang w:val="en-US"/>
        </w:rPr>
        <w:t>56</w:t>
      </w:r>
      <w:r w:rsidRPr="008B7C8E">
        <w:rPr>
          <w:color w:val="000000" w:themeColor="text1"/>
          <w:lang w:val="en-US"/>
        </w:rPr>
        <w:t>.</w:t>
      </w:r>
      <w:r w:rsidR="008811D1" w:rsidRPr="008B7C8E">
        <w:rPr>
          <w:color w:val="000000" w:themeColor="text1"/>
          <w:lang w:val="en-US"/>
        </w:rPr>
        <w:t>5</w:t>
      </w:r>
      <w:r w:rsidRPr="008B7C8E">
        <w:rPr>
          <w:color w:val="000000" w:themeColor="text1"/>
          <w:lang w:val="en-US"/>
        </w:rPr>
        <w:t xml:space="preserve">% vs </w:t>
      </w:r>
      <w:r w:rsidR="008811D1" w:rsidRPr="008B7C8E">
        <w:rPr>
          <w:color w:val="000000" w:themeColor="text1"/>
          <w:lang w:val="en-US"/>
        </w:rPr>
        <w:t>55</w:t>
      </w:r>
      <w:r w:rsidRPr="008B7C8E">
        <w:rPr>
          <w:color w:val="000000" w:themeColor="text1"/>
          <w:lang w:val="en-US"/>
        </w:rPr>
        <w:t>.1%</w:t>
      </w:r>
      <w:r w:rsidR="008811D1" w:rsidRPr="008B7C8E">
        <w:rPr>
          <w:color w:val="000000" w:themeColor="text1"/>
          <w:lang w:val="en-US"/>
        </w:rPr>
        <w:t xml:space="preserve">, </w:t>
      </w:r>
      <w:r w:rsidR="008811D1" w:rsidRPr="008B7C8E">
        <w:rPr>
          <w:i/>
          <w:iCs/>
          <w:color w:val="000000" w:themeColor="text1"/>
          <w:lang w:val="en-US"/>
        </w:rPr>
        <w:t>p</w:t>
      </w:r>
      <w:r w:rsidR="008811D1" w:rsidRPr="008B7C8E">
        <w:rPr>
          <w:color w:val="000000" w:themeColor="text1"/>
          <w:lang w:val="en-US"/>
        </w:rPr>
        <w:t>=0.67</w:t>
      </w:r>
      <w:r w:rsidRPr="008B7C8E">
        <w:rPr>
          <w:color w:val="000000" w:themeColor="text1"/>
          <w:lang w:val="en-US"/>
        </w:rPr>
        <w:t>), early consultation—defined as occurring within 48 hours—</w:t>
      </w:r>
      <w:r w:rsidR="0047445E" w:rsidRPr="008B7C8E">
        <w:rPr>
          <w:color w:val="000000" w:themeColor="text1"/>
        </w:rPr>
        <w:t xml:space="preserve"> </w:t>
      </w:r>
      <w:r w:rsidR="0047445E" w:rsidRPr="008B7C8E">
        <w:rPr>
          <w:color w:val="000000" w:themeColor="text1"/>
          <w:lang w:val="en-US"/>
        </w:rPr>
        <w:t>increased more than threefold</w:t>
      </w:r>
      <w:r w:rsidRPr="008B7C8E">
        <w:rPr>
          <w:color w:val="000000" w:themeColor="text1"/>
          <w:lang w:val="en-US"/>
        </w:rPr>
        <w:t xml:space="preserve"> from </w:t>
      </w:r>
      <w:r w:rsidR="008811D1" w:rsidRPr="008B7C8E">
        <w:rPr>
          <w:color w:val="000000" w:themeColor="text1"/>
          <w:lang w:val="en-US"/>
        </w:rPr>
        <w:t>6</w:t>
      </w:r>
      <w:r w:rsidRPr="008B7C8E">
        <w:rPr>
          <w:color w:val="000000" w:themeColor="text1"/>
          <w:lang w:val="en-US"/>
        </w:rPr>
        <w:t>.</w:t>
      </w:r>
      <w:r w:rsidR="008811D1" w:rsidRPr="008B7C8E">
        <w:rPr>
          <w:color w:val="000000" w:themeColor="text1"/>
          <w:lang w:val="en-US"/>
        </w:rPr>
        <w:t>3</w:t>
      </w:r>
      <w:r w:rsidRPr="008B7C8E">
        <w:rPr>
          <w:color w:val="000000" w:themeColor="text1"/>
          <w:lang w:val="en-US"/>
        </w:rPr>
        <w:t>% to 2</w:t>
      </w:r>
      <w:r w:rsidR="008811D1" w:rsidRPr="008B7C8E">
        <w:rPr>
          <w:color w:val="000000" w:themeColor="text1"/>
          <w:lang w:val="en-US"/>
        </w:rPr>
        <w:t>0</w:t>
      </w:r>
      <w:r w:rsidRPr="008B7C8E">
        <w:rPr>
          <w:color w:val="000000" w:themeColor="text1"/>
          <w:lang w:val="en-US"/>
        </w:rPr>
        <w:t>.</w:t>
      </w:r>
      <w:r w:rsidR="008811D1" w:rsidRPr="008B7C8E">
        <w:rPr>
          <w:color w:val="000000" w:themeColor="text1"/>
          <w:lang w:val="en-US"/>
        </w:rPr>
        <w:t>8</w:t>
      </w:r>
      <w:r w:rsidRPr="008B7C8E">
        <w:rPr>
          <w:color w:val="000000" w:themeColor="text1"/>
          <w:lang w:val="en-US"/>
        </w:rPr>
        <w:t>% (</w:t>
      </w:r>
      <w:r w:rsidRPr="008B7C8E">
        <w:rPr>
          <w:i/>
          <w:iCs/>
          <w:color w:val="000000" w:themeColor="text1"/>
          <w:lang w:val="en-US"/>
        </w:rPr>
        <w:t>p</w:t>
      </w:r>
      <w:r w:rsidRPr="008B7C8E">
        <w:rPr>
          <w:color w:val="000000" w:themeColor="text1"/>
          <w:lang w:val="en-US"/>
        </w:rPr>
        <w:t>&lt;0.001).</w:t>
      </w:r>
    </w:p>
    <w:p w14:paraId="5EFC0980" w14:textId="58F1E79E" w:rsidR="006C77B6" w:rsidRPr="008B7C8E" w:rsidRDefault="00F22462" w:rsidP="006C77B6">
      <w:pPr>
        <w:spacing w:line="360" w:lineRule="auto"/>
        <w:jc w:val="both"/>
        <w:rPr>
          <w:color w:val="000000" w:themeColor="text1"/>
          <w:lang w:val="en-US"/>
        </w:rPr>
      </w:pPr>
      <w:r w:rsidRPr="008B7C8E">
        <w:rPr>
          <w:color w:val="000000" w:themeColor="text1"/>
          <w:lang w:val="en-US"/>
        </w:rPr>
        <w:t>Likewise, pharmacological adaptations, required in 4</w:t>
      </w:r>
      <w:r w:rsidR="008811D1" w:rsidRPr="008B7C8E">
        <w:rPr>
          <w:color w:val="000000" w:themeColor="text1"/>
          <w:lang w:val="en-US"/>
        </w:rPr>
        <w:t>7</w:t>
      </w:r>
      <w:r w:rsidRPr="008B7C8E">
        <w:rPr>
          <w:color w:val="000000" w:themeColor="text1"/>
          <w:lang w:val="en-US"/>
        </w:rPr>
        <w:t>.</w:t>
      </w:r>
      <w:r w:rsidR="008811D1" w:rsidRPr="008B7C8E">
        <w:rPr>
          <w:color w:val="000000" w:themeColor="text1"/>
          <w:lang w:val="en-US"/>
        </w:rPr>
        <w:t>5</w:t>
      </w:r>
      <w:r w:rsidRPr="008B7C8E">
        <w:rPr>
          <w:color w:val="000000" w:themeColor="text1"/>
          <w:lang w:val="en-US"/>
        </w:rPr>
        <w:t>% vs 40.</w:t>
      </w:r>
      <w:r w:rsidR="008811D1" w:rsidRPr="008B7C8E">
        <w:rPr>
          <w:color w:val="000000" w:themeColor="text1"/>
          <w:lang w:val="en-US"/>
        </w:rPr>
        <w:t>1</w:t>
      </w:r>
      <w:r w:rsidRPr="008B7C8E">
        <w:rPr>
          <w:color w:val="000000" w:themeColor="text1"/>
          <w:lang w:val="en-US"/>
        </w:rPr>
        <w:t>%</w:t>
      </w:r>
      <w:r w:rsidR="008811D1" w:rsidRPr="008B7C8E">
        <w:rPr>
          <w:color w:val="000000" w:themeColor="text1"/>
          <w:lang w:val="en-US"/>
        </w:rPr>
        <w:t xml:space="preserve"> (</w:t>
      </w:r>
      <w:r w:rsidR="008811D1" w:rsidRPr="008B7C8E">
        <w:rPr>
          <w:i/>
          <w:iCs/>
          <w:color w:val="000000" w:themeColor="text1"/>
          <w:lang w:val="en-US"/>
        </w:rPr>
        <w:t>p</w:t>
      </w:r>
      <w:r w:rsidR="008811D1" w:rsidRPr="008B7C8E">
        <w:rPr>
          <w:color w:val="000000" w:themeColor="text1"/>
          <w:lang w:val="en-US"/>
        </w:rPr>
        <w:t>=0.06)</w:t>
      </w:r>
      <w:r w:rsidRPr="008B7C8E">
        <w:rPr>
          <w:color w:val="000000" w:themeColor="text1"/>
          <w:lang w:val="en-US"/>
        </w:rPr>
        <w:t xml:space="preserve"> of cases for ARS ≥1, were implemented in </w:t>
      </w:r>
      <w:r w:rsidR="008811D1" w:rsidRPr="008B7C8E">
        <w:rPr>
          <w:color w:val="000000" w:themeColor="text1"/>
          <w:lang w:val="en-US"/>
        </w:rPr>
        <w:t>2</w:t>
      </w:r>
      <w:r w:rsidRPr="008B7C8E">
        <w:rPr>
          <w:color w:val="000000" w:themeColor="text1"/>
          <w:lang w:val="en-US"/>
        </w:rPr>
        <w:t>.</w:t>
      </w:r>
      <w:r w:rsidR="008811D1" w:rsidRPr="008B7C8E">
        <w:rPr>
          <w:color w:val="000000" w:themeColor="text1"/>
          <w:lang w:val="en-US"/>
        </w:rPr>
        <w:t>1</w:t>
      </w:r>
      <w:r w:rsidRPr="008B7C8E">
        <w:rPr>
          <w:color w:val="000000" w:themeColor="text1"/>
          <w:lang w:val="en-US"/>
        </w:rPr>
        <w:t xml:space="preserve">% pre-ASAP versus </w:t>
      </w:r>
      <w:r w:rsidR="008811D1" w:rsidRPr="008B7C8E">
        <w:rPr>
          <w:color w:val="000000" w:themeColor="text1"/>
          <w:lang w:val="en-US"/>
        </w:rPr>
        <w:t>20</w:t>
      </w:r>
      <w:r w:rsidRPr="008B7C8E">
        <w:rPr>
          <w:color w:val="000000" w:themeColor="text1"/>
          <w:lang w:val="en-US"/>
        </w:rPr>
        <w:t>.</w:t>
      </w:r>
      <w:r w:rsidR="008811D1" w:rsidRPr="008B7C8E">
        <w:rPr>
          <w:color w:val="000000" w:themeColor="text1"/>
          <w:lang w:val="en-US"/>
        </w:rPr>
        <w:t>6</w:t>
      </w:r>
      <w:r w:rsidRPr="008B7C8E">
        <w:rPr>
          <w:color w:val="000000" w:themeColor="text1"/>
          <w:lang w:val="en-US"/>
        </w:rPr>
        <w:t>% post-ASAP (</w:t>
      </w:r>
      <w:r w:rsidRPr="008B7C8E">
        <w:rPr>
          <w:i/>
          <w:iCs/>
          <w:color w:val="000000" w:themeColor="text1"/>
          <w:lang w:val="en-US"/>
        </w:rPr>
        <w:t>p</w:t>
      </w:r>
      <w:r w:rsidRPr="008B7C8E">
        <w:rPr>
          <w:color w:val="000000" w:themeColor="text1"/>
          <w:lang w:val="en-US"/>
        </w:rPr>
        <w:t>&lt;0.001).</w:t>
      </w:r>
      <w:r w:rsidR="0047445E" w:rsidRPr="008B7C8E">
        <w:rPr>
          <w:color w:val="000000" w:themeColor="text1"/>
          <w:lang w:val="en-US"/>
        </w:rPr>
        <w:t xml:space="preserve"> Taken together, these findings indicate that, after ASAP implementation, a greater proportion of patients </w:t>
      </w:r>
      <w:r w:rsidR="0047445E" w:rsidRPr="008B7C8E">
        <w:rPr>
          <w:color w:val="000000" w:themeColor="text1"/>
          <w:lang w:val="en-US"/>
        </w:rPr>
        <w:lastRenderedPageBreak/>
        <w:t>received timely surgery, structured geriatric input, nerve block-based analgesia, and targeted reduction of anticholinergic burden.</w:t>
      </w:r>
    </w:p>
    <w:p w14:paraId="5ABA98D5" w14:textId="77777777" w:rsidR="00A7437D" w:rsidRPr="008B7C8E" w:rsidRDefault="00A7437D" w:rsidP="006C77B6">
      <w:pPr>
        <w:spacing w:line="360" w:lineRule="auto"/>
        <w:jc w:val="both"/>
        <w:rPr>
          <w:rStyle w:val="Enfasigrassetto"/>
          <w:color w:val="000000" w:themeColor="text1"/>
          <w:lang w:val="en-US"/>
        </w:rPr>
      </w:pPr>
    </w:p>
    <w:p w14:paraId="5C658AC9" w14:textId="55F2B29A" w:rsidR="00A7437D" w:rsidRPr="008B7C8E" w:rsidRDefault="00A7437D" w:rsidP="006C77B6">
      <w:pPr>
        <w:spacing w:line="360" w:lineRule="auto"/>
        <w:jc w:val="both"/>
        <w:rPr>
          <w:rStyle w:val="Enfasigrassetto"/>
          <w:color w:val="000000" w:themeColor="text1"/>
          <w:lang w:val="en-US"/>
        </w:rPr>
      </w:pPr>
      <w:r w:rsidRPr="008B7C8E">
        <w:rPr>
          <w:rStyle w:val="Enfasigrassetto"/>
          <w:color w:val="000000" w:themeColor="text1"/>
          <w:lang w:val="en-US"/>
        </w:rPr>
        <w:t>Early Postoperative Complications</w:t>
      </w:r>
    </w:p>
    <w:p w14:paraId="25BB8613" w14:textId="178CD64E" w:rsidR="0047445E" w:rsidRPr="008B7C8E" w:rsidRDefault="0047445E" w:rsidP="006C77B6">
      <w:pPr>
        <w:spacing w:line="360" w:lineRule="auto"/>
        <w:jc w:val="both"/>
        <w:rPr>
          <w:color w:val="000000" w:themeColor="text1"/>
          <w:lang w:val="en-US"/>
        </w:rPr>
      </w:pPr>
      <w:r w:rsidRPr="008B7C8E">
        <w:rPr>
          <w:color w:val="000000" w:themeColor="text1"/>
          <w:lang w:val="en-US"/>
        </w:rPr>
        <w:t xml:space="preserve">The primary analyses consistently showed fewer early postoperative complications in the post-ASAP cohort. The impact of the ASAP </w:t>
      </w:r>
      <w:r w:rsidR="00A7437D" w:rsidRPr="008B7C8E">
        <w:rPr>
          <w:rStyle w:val="Enfasigrassetto"/>
          <w:b w:val="0"/>
          <w:bCs w:val="0"/>
          <w:color w:val="000000" w:themeColor="text1"/>
          <w:lang w:val="en-US"/>
        </w:rPr>
        <w:t xml:space="preserve">bundle </w:t>
      </w:r>
      <w:r w:rsidRPr="008B7C8E">
        <w:rPr>
          <w:color w:val="000000" w:themeColor="text1"/>
          <w:lang w:val="en-US"/>
        </w:rPr>
        <w:t>on EPOCs was evaluated using segmented linear regression within an ITS framework. For all EPOCs (Figure 2A), ASAP implementation was associated with a statistically significant immediate decrease in the monthly proportion of patients experiencing at least one complication (</w:t>
      </w:r>
      <w:r w:rsidRPr="008B7C8E">
        <w:rPr>
          <w:i/>
          <w:iCs/>
          <w:color w:val="000000" w:themeColor="text1"/>
          <w:lang w:val="en-US"/>
        </w:rPr>
        <w:t>p</w:t>
      </w:r>
      <w:r w:rsidRPr="008B7C8E">
        <w:rPr>
          <w:color w:val="000000" w:themeColor="text1"/>
          <w:lang w:val="en-US"/>
        </w:rPr>
        <w:t>=0.03), followed by a sustained downward trend over the post-intervention period (</w:t>
      </w:r>
      <w:r w:rsidRPr="008B7C8E">
        <w:rPr>
          <w:i/>
          <w:iCs/>
          <w:color w:val="000000" w:themeColor="text1"/>
          <w:lang w:val="en-US"/>
        </w:rPr>
        <w:t>p</w:t>
      </w:r>
      <w:r w:rsidRPr="008B7C8E">
        <w:rPr>
          <w:color w:val="000000" w:themeColor="text1"/>
          <w:lang w:val="en-US"/>
        </w:rPr>
        <w:t>=0.008). For major EPOCs (Figure 2B), the ITS analysis similarly demonstrated a significant immediate drop after ASAP introduction (</w:t>
      </w:r>
      <w:r w:rsidRPr="008B7C8E">
        <w:rPr>
          <w:i/>
          <w:iCs/>
          <w:color w:val="000000" w:themeColor="text1"/>
          <w:lang w:val="en-US"/>
        </w:rPr>
        <w:t xml:space="preserve">p </w:t>
      </w:r>
      <w:r w:rsidRPr="008B7C8E">
        <w:rPr>
          <w:color w:val="000000" w:themeColor="text1"/>
          <w:lang w:val="en-US"/>
        </w:rPr>
        <w:t>= 0.001), while the subsequent trend over time was flatter (</w:t>
      </w:r>
      <w:r w:rsidRPr="008B7C8E">
        <w:rPr>
          <w:i/>
          <w:iCs/>
          <w:color w:val="000000" w:themeColor="text1"/>
          <w:lang w:val="en-US"/>
        </w:rPr>
        <w:t xml:space="preserve">p </w:t>
      </w:r>
      <w:r w:rsidRPr="008B7C8E">
        <w:rPr>
          <w:color w:val="000000" w:themeColor="text1"/>
          <w:lang w:val="en-US"/>
        </w:rPr>
        <w:t xml:space="preserve">= 0.2). Full model coefficients, confidence intervals, and diagnostic statistics (including tests for autocorrelation and heteroskedasticity) are provided in Supplementary </w:t>
      </w:r>
      <w:r w:rsidR="00E8450D" w:rsidRPr="008B7C8E">
        <w:rPr>
          <w:color w:val="000000" w:themeColor="text1"/>
          <w:lang w:val="en-US"/>
        </w:rPr>
        <w:t>Digital Content (S1 and S2)</w:t>
      </w:r>
      <w:r w:rsidRPr="008B7C8E">
        <w:rPr>
          <w:color w:val="000000" w:themeColor="text1"/>
          <w:lang w:val="en-US"/>
        </w:rPr>
        <w:t xml:space="preserve"> to document the robustness and reproducibility of these findings. Table 2 summarizes the rates of all confounded and major EPOCs, and the full range of recorded perioperative outcomes.</w:t>
      </w:r>
    </w:p>
    <w:p w14:paraId="6E2A2325" w14:textId="77777777" w:rsidR="00AA2197" w:rsidRPr="008B7C8E" w:rsidRDefault="00AA2197" w:rsidP="006C77B6">
      <w:pPr>
        <w:spacing w:line="360" w:lineRule="auto"/>
        <w:jc w:val="both"/>
        <w:rPr>
          <w:color w:val="000000" w:themeColor="text1"/>
          <w:lang w:val="en-US"/>
        </w:rPr>
      </w:pPr>
      <w:r w:rsidRPr="008B7C8E">
        <w:rPr>
          <w:color w:val="000000" w:themeColor="text1"/>
          <w:lang w:val="en-US"/>
        </w:rPr>
        <w:t>Spinal anesthesia was used more frequently after ASAP implementation (Table 1). In sensitivity analyses additionally adjusting the segmented regression for spinal anesthesia (monthly proportion), the ASAP-associated level change remained significant for both all EPOCs (p=0.03) and major EPOCs (β=−0.241, SE 0.065; p&lt;0.001), while the spinal anesthesia covariate itself was not significant for either all EPOCs (p=0.59) or major EPOCs (p=0.94).</w:t>
      </w:r>
    </w:p>
    <w:p w14:paraId="155CD843" w14:textId="27194B13" w:rsidR="006C77B6" w:rsidRPr="008B7C8E" w:rsidRDefault="006C77B6" w:rsidP="006C77B6">
      <w:pPr>
        <w:spacing w:line="360" w:lineRule="auto"/>
        <w:jc w:val="both"/>
        <w:rPr>
          <w:color w:val="000000" w:themeColor="text1"/>
          <w:lang w:val="en-US"/>
        </w:rPr>
      </w:pPr>
      <w:r w:rsidRPr="008B7C8E">
        <w:rPr>
          <w:color w:val="000000" w:themeColor="text1"/>
          <w:lang w:val="en-US"/>
        </w:rPr>
        <w:t>Survival analysis using</w:t>
      </w:r>
      <w:r w:rsidR="00382D59" w:rsidRPr="008B7C8E">
        <w:rPr>
          <w:color w:val="000000" w:themeColor="text1"/>
          <w:lang w:val="en-US"/>
        </w:rPr>
        <w:t xml:space="preserve"> </w:t>
      </w:r>
      <w:r w:rsidRPr="008B7C8E">
        <w:rPr>
          <w:color w:val="000000" w:themeColor="text1"/>
          <w:lang w:val="en-US"/>
        </w:rPr>
        <w:t>Kaplan</w:t>
      </w:r>
      <w:r w:rsidR="00AA06E9" w:rsidRPr="008B7C8E">
        <w:rPr>
          <w:color w:val="000000" w:themeColor="text1"/>
          <w:lang w:val="en-US"/>
        </w:rPr>
        <w:t>-</w:t>
      </w:r>
      <w:r w:rsidRPr="008B7C8E">
        <w:rPr>
          <w:color w:val="000000" w:themeColor="text1"/>
          <w:lang w:val="en-US"/>
        </w:rPr>
        <w:t>Meier curves</w:t>
      </w:r>
      <w:r w:rsidR="00382D59" w:rsidRPr="008B7C8E">
        <w:rPr>
          <w:color w:val="000000" w:themeColor="text1"/>
          <w:lang w:val="en-US"/>
        </w:rPr>
        <w:t xml:space="preserve"> </w:t>
      </w:r>
      <w:r w:rsidRPr="008B7C8E">
        <w:rPr>
          <w:color w:val="000000" w:themeColor="text1"/>
          <w:lang w:val="en-US"/>
        </w:rPr>
        <w:t>confirmed a lower cumulative incidence of EPOCs in the post-ASAP group compared to the pre-ASAP group, with significant differences in both</w:t>
      </w:r>
      <w:r w:rsidR="00382D59" w:rsidRPr="008B7C8E">
        <w:rPr>
          <w:color w:val="000000" w:themeColor="text1"/>
          <w:lang w:val="en-US"/>
        </w:rPr>
        <w:t xml:space="preserve"> </w:t>
      </w:r>
      <w:r w:rsidRPr="008B7C8E">
        <w:rPr>
          <w:color w:val="000000" w:themeColor="text1"/>
          <w:lang w:val="en-US"/>
        </w:rPr>
        <w:t>all complications</w:t>
      </w:r>
      <w:r w:rsidR="00382D59" w:rsidRPr="008B7C8E">
        <w:rPr>
          <w:color w:val="000000" w:themeColor="text1"/>
          <w:lang w:val="en-US"/>
        </w:rPr>
        <w:t xml:space="preserve"> </w:t>
      </w:r>
      <w:r w:rsidRPr="008B7C8E">
        <w:rPr>
          <w:color w:val="000000" w:themeColor="text1"/>
          <w:lang w:val="en-US"/>
        </w:rPr>
        <w:t>(log-rank</w:t>
      </w:r>
      <w:r w:rsidR="00382D59" w:rsidRPr="008B7C8E">
        <w:rPr>
          <w:color w:val="000000" w:themeColor="text1"/>
          <w:lang w:val="en-US"/>
        </w:rPr>
        <w:t xml:space="preserve"> </w:t>
      </w:r>
      <w:r w:rsidRPr="008B7C8E">
        <w:rPr>
          <w:i/>
          <w:iCs/>
          <w:color w:val="000000" w:themeColor="text1"/>
          <w:lang w:val="en-US"/>
        </w:rPr>
        <w:t>p</w:t>
      </w:r>
      <w:r w:rsidRPr="008B7C8E">
        <w:rPr>
          <w:color w:val="000000" w:themeColor="text1"/>
          <w:lang w:val="en-US"/>
        </w:rPr>
        <w:t>&lt;0.001) (Figure 3A) and</w:t>
      </w:r>
      <w:r w:rsidR="00382D59" w:rsidRPr="008B7C8E">
        <w:rPr>
          <w:color w:val="000000" w:themeColor="text1"/>
          <w:lang w:val="en-US"/>
        </w:rPr>
        <w:t xml:space="preserve"> </w:t>
      </w:r>
      <w:r w:rsidRPr="008B7C8E">
        <w:rPr>
          <w:color w:val="000000" w:themeColor="text1"/>
          <w:lang w:val="en-US"/>
        </w:rPr>
        <w:t>major complications</w:t>
      </w:r>
      <w:r w:rsidR="00382D59" w:rsidRPr="008B7C8E">
        <w:rPr>
          <w:color w:val="000000" w:themeColor="text1"/>
          <w:lang w:val="en-US"/>
        </w:rPr>
        <w:t xml:space="preserve"> </w:t>
      </w:r>
      <w:r w:rsidRPr="008B7C8E">
        <w:rPr>
          <w:color w:val="000000" w:themeColor="text1"/>
          <w:lang w:val="en-US"/>
        </w:rPr>
        <w:t>(log-rank</w:t>
      </w:r>
      <w:r w:rsidR="00382D59" w:rsidRPr="008B7C8E">
        <w:rPr>
          <w:color w:val="000000" w:themeColor="text1"/>
          <w:lang w:val="en-US"/>
        </w:rPr>
        <w:t xml:space="preserve"> </w:t>
      </w:r>
      <w:r w:rsidRPr="008B7C8E">
        <w:rPr>
          <w:i/>
          <w:iCs/>
          <w:color w:val="000000" w:themeColor="text1"/>
          <w:lang w:val="en-US"/>
        </w:rPr>
        <w:t>p</w:t>
      </w:r>
      <w:r w:rsidRPr="008B7C8E">
        <w:rPr>
          <w:color w:val="000000" w:themeColor="text1"/>
          <w:lang w:val="en-US"/>
        </w:rPr>
        <w:t xml:space="preserve">&lt;0.001) (Figure 3B). </w:t>
      </w:r>
      <w:r w:rsidR="0047445E" w:rsidRPr="008B7C8E">
        <w:rPr>
          <w:rStyle w:val="Enfasigrassetto"/>
          <w:b w:val="0"/>
          <w:bCs w:val="0"/>
          <w:color w:val="000000" w:themeColor="text1"/>
          <w:lang w:val="en-US"/>
        </w:rPr>
        <w:t xml:space="preserve">Expressed in more intuitive terms, patients managed with the ASAP </w:t>
      </w:r>
      <w:r w:rsidR="00A7437D" w:rsidRPr="008B7C8E">
        <w:rPr>
          <w:rStyle w:val="Enfasigrassetto"/>
          <w:b w:val="0"/>
          <w:bCs w:val="0"/>
          <w:color w:val="000000" w:themeColor="text1"/>
          <w:lang w:val="en-US"/>
        </w:rPr>
        <w:t xml:space="preserve">bundle </w:t>
      </w:r>
      <w:r w:rsidR="0047445E" w:rsidRPr="008B7C8E">
        <w:rPr>
          <w:rStyle w:val="Enfasigrassetto"/>
          <w:b w:val="0"/>
          <w:bCs w:val="0"/>
          <w:color w:val="000000" w:themeColor="text1"/>
          <w:lang w:val="en-US"/>
        </w:rPr>
        <w:t>had a substantially lower risk of developing complications within the first postoperative week.</w:t>
      </w:r>
      <w:r w:rsidR="0047445E" w:rsidRPr="008B7C8E">
        <w:rPr>
          <w:rStyle w:val="Enfasigrassetto"/>
          <w:color w:val="000000" w:themeColor="text1"/>
        </w:rPr>
        <w:t xml:space="preserve"> </w:t>
      </w:r>
      <w:r w:rsidRPr="008B7C8E">
        <w:rPr>
          <w:color w:val="000000" w:themeColor="text1"/>
          <w:lang w:val="en-US"/>
        </w:rPr>
        <w:t>These results were further supported by Cox proportional hazards models. For all EPOCs, ASAP implementation was associated with a</w:t>
      </w:r>
      <w:r w:rsidR="00382D59" w:rsidRPr="008B7C8E">
        <w:rPr>
          <w:color w:val="000000" w:themeColor="text1"/>
          <w:lang w:val="en-US"/>
        </w:rPr>
        <w:t xml:space="preserve"> </w:t>
      </w:r>
      <w:r w:rsidRPr="008B7C8E">
        <w:rPr>
          <w:color w:val="000000" w:themeColor="text1"/>
          <w:lang w:val="en-US"/>
        </w:rPr>
        <w:t>hazard ratio (</w:t>
      </w:r>
      <w:r w:rsidRPr="008B7C8E">
        <w:rPr>
          <w:i/>
          <w:iCs/>
          <w:color w:val="000000" w:themeColor="text1"/>
          <w:lang w:val="en-US"/>
        </w:rPr>
        <w:t>HR</w:t>
      </w:r>
      <w:r w:rsidRPr="008B7C8E">
        <w:rPr>
          <w:color w:val="000000" w:themeColor="text1"/>
          <w:lang w:val="en-US"/>
        </w:rPr>
        <w:t>)</w:t>
      </w:r>
      <w:r w:rsidR="00382D59" w:rsidRPr="008B7C8E">
        <w:rPr>
          <w:color w:val="000000" w:themeColor="text1"/>
          <w:lang w:val="en-US"/>
        </w:rPr>
        <w:t xml:space="preserve"> </w:t>
      </w:r>
      <w:r w:rsidRPr="008B7C8E">
        <w:rPr>
          <w:color w:val="000000" w:themeColor="text1"/>
          <w:lang w:val="en-US"/>
        </w:rPr>
        <w:t>of 0.5</w:t>
      </w:r>
      <w:r w:rsidR="0052560B" w:rsidRPr="008B7C8E">
        <w:rPr>
          <w:color w:val="000000" w:themeColor="text1"/>
          <w:lang w:val="en-US"/>
        </w:rPr>
        <w:t>8</w:t>
      </w:r>
      <w:r w:rsidRPr="008B7C8E">
        <w:rPr>
          <w:color w:val="000000" w:themeColor="text1"/>
          <w:lang w:val="en-US"/>
        </w:rPr>
        <w:t xml:space="preserve"> (95%</w:t>
      </w:r>
      <w:r w:rsidR="000329BB" w:rsidRPr="008B7C8E">
        <w:rPr>
          <w:color w:val="000000" w:themeColor="text1"/>
          <w:lang w:val="en-US"/>
        </w:rPr>
        <w:t xml:space="preserve"> </w:t>
      </w:r>
      <w:r w:rsidRPr="008B7C8E">
        <w:rPr>
          <w:color w:val="000000" w:themeColor="text1"/>
          <w:lang w:val="en-US"/>
        </w:rPr>
        <w:t>CI: 0.49</w:t>
      </w:r>
      <w:r w:rsidR="00326261" w:rsidRPr="008B7C8E">
        <w:rPr>
          <w:color w:val="000000" w:themeColor="text1"/>
          <w:lang w:val="en-US"/>
        </w:rPr>
        <w:t>-</w:t>
      </w:r>
      <w:r w:rsidRPr="008B7C8E">
        <w:rPr>
          <w:color w:val="000000" w:themeColor="text1"/>
          <w:lang w:val="en-US"/>
        </w:rPr>
        <w:t>0.68,</w:t>
      </w:r>
      <w:r w:rsidR="00382D59" w:rsidRPr="008B7C8E">
        <w:rPr>
          <w:color w:val="000000" w:themeColor="text1"/>
          <w:lang w:val="en-US"/>
        </w:rPr>
        <w:t xml:space="preserve"> </w:t>
      </w:r>
      <w:r w:rsidRPr="008B7C8E">
        <w:rPr>
          <w:i/>
          <w:iCs/>
          <w:color w:val="000000" w:themeColor="text1"/>
          <w:lang w:val="en-US"/>
        </w:rPr>
        <w:t>p</w:t>
      </w:r>
      <w:r w:rsidRPr="008B7C8E">
        <w:rPr>
          <w:color w:val="000000" w:themeColor="text1"/>
          <w:lang w:val="en-US"/>
        </w:rPr>
        <w:t xml:space="preserve">&lt;0.001), and for major EPOCs, </w:t>
      </w:r>
      <w:r w:rsidRPr="008B7C8E">
        <w:rPr>
          <w:i/>
          <w:iCs/>
          <w:color w:val="000000" w:themeColor="text1"/>
          <w:lang w:val="en-US"/>
        </w:rPr>
        <w:t>HR</w:t>
      </w:r>
      <w:r w:rsidRPr="008B7C8E">
        <w:rPr>
          <w:color w:val="000000" w:themeColor="text1"/>
          <w:lang w:val="en-US"/>
        </w:rPr>
        <w:t>=0.</w:t>
      </w:r>
      <w:r w:rsidR="0052560B" w:rsidRPr="008B7C8E">
        <w:rPr>
          <w:color w:val="000000" w:themeColor="text1"/>
          <w:lang w:val="en-US"/>
        </w:rPr>
        <w:t>6</w:t>
      </w:r>
      <w:r w:rsidRPr="008B7C8E">
        <w:rPr>
          <w:color w:val="000000" w:themeColor="text1"/>
          <w:lang w:val="en-US"/>
        </w:rPr>
        <w:t xml:space="preserve"> (95% CI: 0.4</w:t>
      </w:r>
      <w:r w:rsidR="0052560B" w:rsidRPr="008B7C8E">
        <w:rPr>
          <w:color w:val="000000" w:themeColor="text1"/>
          <w:lang w:val="en-US"/>
        </w:rPr>
        <w:t>9</w:t>
      </w:r>
      <w:r w:rsidR="00326261" w:rsidRPr="008B7C8E">
        <w:rPr>
          <w:color w:val="000000" w:themeColor="text1"/>
          <w:lang w:val="en-US"/>
        </w:rPr>
        <w:t>-</w:t>
      </w:r>
      <w:r w:rsidRPr="008B7C8E">
        <w:rPr>
          <w:color w:val="000000" w:themeColor="text1"/>
          <w:lang w:val="en-US"/>
        </w:rPr>
        <w:t>0.73,</w:t>
      </w:r>
      <w:r w:rsidR="00382D59" w:rsidRPr="008B7C8E">
        <w:rPr>
          <w:color w:val="000000" w:themeColor="text1"/>
          <w:lang w:val="en-US"/>
        </w:rPr>
        <w:t xml:space="preserve"> </w:t>
      </w:r>
      <w:r w:rsidRPr="008B7C8E">
        <w:rPr>
          <w:i/>
          <w:iCs/>
          <w:color w:val="000000" w:themeColor="text1"/>
          <w:lang w:val="en-US"/>
        </w:rPr>
        <w:t>p</w:t>
      </w:r>
      <w:r w:rsidRPr="008B7C8E">
        <w:rPr>
          <w:color w:val="000000" w:themeColor="text1"/>
          <w:lang w:val="en-US"/>
        </w:rPr>
        <w:t>&lt; 0.001), indicating a substantial protective effect.</w:t>
      </w:r>
    </w:p>
    <w:p w14:paraId="25E14627" w14:textId="2BA1F2CC" w:rsidR="006C77B6" w:rsidRPr="008B7C8E" w:rsidRDefault="0047445E" w:rsidP="006C77B6">
      <w:pPr>
        <w:spacing w:line="360" w:lineRule="auto"/>
        <w:jc w:val="both"/>
        <w:rPr>
          <w:color w:val="000000" w:themeColor="text1"/>
          <w:lang w:val="en-US"/>
        </w:rPr>
      </w:pPr>
      <w:r w:rsidRPr="008B7C8E">
        <w:rPr>
          <w:color w:val="000000" w:themeColor="text1"/>
          <w:lang w:val="en-US"/>
        </w:rPr>
        <w:t xml:space="preserve">We also observed a clear dose–response pattern: patients who received more components of the ASAP </w:t>
      </w:r>
      <w:r w:rsidR="00A7437D" w:rsidRPr="008B7C8E">
        <w:rPr>
          <w:rStyle w:val="Enfasigrassetto"/>
          <w:b w:val="0"/>
          <w:bCs w:val="0"/>
          <w:color w:val="000000" w:themeColor="text1"/>
          <w:lang w:val="en-US"/>
        </w:rPr>
        <w:t xml:space="preserve">bundle </w:t>
      </w:r>
      <w:r w:rsidRPr="008B7C8E">
        <w:rPr>
          <w:color w:val="000000" w:themeColor="text1"/>
          <w:lang w:val="en-US"/>
        </w:rPr>
        <w:t xml:space="preserve">experienced fewer complications. </w:t>
      </w:r>
      <w:r w:rsidR="006C77B6" w:rsidRPr="008B7C8E">
        <w:rPr>
          <w:color w:val="000000" w:themeColor="text1"/>
          <w:lang w:val="en-US"/>
        </w:rPr>
        <w:t>When stratifying by the</w:t>
      </w:r>
      <w:r w:rsidR="00382D59" w:rsidRPr="008B7C8E">
        <w:rPr>
          <w:color w:val="000000" w:themeColor="text1"/>
          <w:lang w:val="en-US"/>
        </w:rPr>
        <w:t xml:space="preserve"> </w:t>
      </w:r>
      <w:r w:rsidR="006C77B6" w:rsidRPr="008B7C8E">
        <w:rPr>
          <w:color w:val="000000" w:themeColor="text1"/>
          <w:lang w:val="en-US"/>
        </w:rPr>
        <w:t xml:space="preserve">number of ASAP </w:t>
      </w:r>
      <w:r w:rsidR="00A7437D" w:rsidRPr="008B7C8E">
        <w:rPr>
          <w:rStyle w:val="Enfasigrassetto"/>
          <w:b w:val="0"/>
          <w:bCs w:val="0"/>
          <w:color w:val="000000" w:themeColor="text1"/>
          <w:lang w:val="en-US"/>
        </w:rPr>
        <w:t xml:space="preserve">bundle </w:t>
      </w:r>
      <w:r w:rsidR="006C77B6" w:rsidRPr="008B7C8E">
        <w:rPr>
          <w:color w:val="000000" w:themeColor="text1"/>
          <w:lang w:val="en-US"/>
        </w:rPr>
        <w:t>items applied</w:t>
      </w:r>
      <w:r w:rsidR="00382D59" w:rsidRPr="008B7C8E">
        <w:rPr>
          <w:color w:val="000000" w:themeColor="text1"/>
          <w:lang w:val="en-US"/>
        </w:rPr>
        <w:t xml:space="preserve"> </w:t>
      </w:r>
      <w:r w:rsidR="006C77B6" w:rsidRPr="008B7C8E">
        <w:rPr>
          <w:color w:val="000000" w:themeColor="text1"/>
          <w:lang w:val="en-US"/>
        </w:rPr>
        <w:t>(1</w:t>
      </w:r>
      <w:r w:rsidR="001B1205" w:rsidRPr="008B7C8E">
        <w:rPr>
          <w:color w:val="000000" w:themeColor="text1"/>
          <w:lang w:val="en-US"/>
        </w:rPr>
        <w:t>-</w:t>
      </w:r>
      <w:r w:rsidR="006C77B6" w:rsidRPr="008B7C8E">
        <w:rPr>
          <w:color w:val="000000" w:themeColor="text1"/>
          <w:lang w:val="en-US"/>
        </w:rPr>
        <w:t>4), a dose-response trend was observed. The log-rank test for trend was highly significant for both all (</w:t>
      </w:r>
      <w:r w:rsidR="006C77B6" w:rsidRPr="008B7C8E">
        <w:rPr>
          <w:i/>
          <w:iCs/>
          <w:color w:val="000000" w:themeColor="text1"/>
          <w:lang w:val="en-US"/>
        </w:rPr>
        <w:t>p</w:t>
      </w:r>
      <w:r w:rsidR="006C77B6" w:rsidRPr="008B7C8E">
        <w:rPr>
          <w:color w:val="000000" w:themeColor="text1"/>
          <w:lang w:val="en-US"/>
        </w:rPr>
        <w:t>&lt;0.001)</w:t>
      </w:r>
      <w:r w:rsidR="00594884" w:rsidRPr="008B7C8E">
        <w:rPr>
          <w:color w:val="000000" w:themeColor="text1"/>
          <w:lang w:val="en-US"/>
        </w:rPr>
        <w:t xml:space="preserve"> (Figure 4A)</w:t>
      </w:r>
      <w:r w:rsidR="006C77B6" w:rsidRPr="008B7C8E">
        <w:rPr>
          <w:color w:val="000000" w:themeColor="text1"/>
          <w:lang w:val="en-US"/>
        </w:rPr>
        <w:t xml:space="preserve"> and major complications (</w:t>
      </w:r>
      <w:r w:rsidR="006C77B6" w:rsidRPr="008B7C8E">
        <w:rPr>
          <w:i/>
          <w:iCs/>
          <w:color w:val="000000" w:themeColor="text1"/>
          <w:lang w:val="en-US"/>
        </w:rPr>
        <w:t>p</w:t>
      </w:r>
      <w:r w:rsidR="006C77B6" w:rsidRPr="008B7C8E">
        <w:rPr>
          <w:color w:val="000000" w:themeColor="text1"/>
          <w:lang w:val="en-US"/>
        </w:rPr>
        <w:t>&lt;0.001)</w:t>
      </w:r>
      <w:r w:rsidR="00594884" w:rsidRPr="008B7C8E">
        <w:rPr>
          <w:color w:val="000000" w:themeColor="text1"/>
          <w:lang w:val="en-US"/>
        </w:rPr>
        <w:t xml:space="preserve"> </w:t>
      </w:r>
      <w:r w:rsidR="00594884" w:rsidRPr="008B7C8E">
        <w:rPr>
          <w:color w:val="000000" w:themeColor="text1"/>
          <w:lang w:val="en-US"/>
        </w:rPr>
        <w:lastRenderedPageBreak/>
        <w:t>(Figure 4B)</w:t>
      </w:r>
      <w:r w:rsidR="006C77B6" w:rsidRPr="008B7C8E">
        <w:rPr>
          <w:color w:val="000000" w:themeColor="text1"/>
          <w:lang w:val="en-US"/>
        </w:rPr>
        <w:t xml:space="preserve">. Cox models showed decreasing risk of all EPOCs with greater </w:t>
      </w:r>
      <w:r w:rsidR="00A7437D" w:rsidRPr="008B7C8E">
        <w:rPr>
          <w:rStyle w:val="Enfasigrassetto"/>
          <w:b w:val="0"/>
          <w:bCs w:val="0"/>
          <w:color w:val="000000" w:themeColor="text1"/>
          <w:lang w:val="en-US"/>
        </w:rPr>
        <w:t xml:space="preserve">bundle </w:t>
      </w:r>
      <w:r w:rsidR="006C77B6" w:rsidRPr="008B7C8E">
        <w:rPr>
          <w:color w:val="000000" w:themeColor="text1"/>
          <w:lang w:val="en-US"/>
        </w:rPr>
        <w:t>adherence (</w:t>
      </w:r>
      <w:r w:rsidR="006C77B6" w:rsidRPr="008B7C8E">
        <w:rPr>
          <w:i/>
          <w:iCs/>
          <w:color w:val="000000" w:themeColor="text1"/>
          <w:lang w:val="en-US"/>
        </w:rPr>
        <w:t>HR</w:t>
      </w:r>
      <w:r w:rsidR="006C77B6" w:rsidRPr="008B7C8E">
        <w:rPr>
          <w:color w:val="000000" w:themeColor="text1"/>
          <w:lang w:val="en-US"/>
        </w:rPr>
        <w:t>=0.4</w:t>
      </w:r>
      <w:r w:rsidR="0052560B" w:rsidRPr="008B7C8E">
        <w:rPr>
          <w:color w:val="000000" w:themeColor="text1"/>
          <w:lang w:val="en-US"/>
        </w:rPr>
        <w:t>3</w:t>
      </w:r>
      <w:r w:rsidR="006C77B6" w:rsidRPr="008B7C8E">
        <w:rPr>
          <w:color w:val="000000" w:themeColor="text1"/>
          <w:lang w:val="en-US"/>
        </w:rPr>
        <w:t>; 95% CI: 0.3</w:t>
      </w:r>
      <w:r w:rsidR="0052560B" w:rsidRPr="008B7C8E">
        <w:rPr>
          <w:color w:val="000000" w:themeColor="text1"/>
          <w:lang w:val="en-US"/>
        </w:rPr>
        <w:t>7</w:t>
      </w:r>
      <w:r w:rsidR="001B1205" w:rsidRPr="008B7C8E">
        <w:rPr>
          <w:color w:val="000000" w:themeColor="text1"/>
          <w:lang w:val="en-US"/>
        </w:rPr>
        <w:t>-</w:t>
      </w:r>
      <w:r w:rsidR="006C77B6" w:rsidRPr="008B7C8E">
        <w:rPr>
          <w:color w:val="000000" w:themeColor="text1"/>
          <w:lang w:val="en-US"/>
        </w:rPr>
        <w:t>0.5), and for major EPOCs (</w:t>
      </w:r>
      <w:r w:rsidR="006C77B6" w:rsidRPr="008B7C8E">
        <w:rPr>
          <w:i/>
          <w:iCs/>
          <w:color w:val="000000" w:themeColor="text1"/>
          <w:lang w:val="en-US"/>
        </w:rPr>
        <w:t>HR</w:t>
      </w:r>
      <w:r w:rsidR="006C77B6" w:rsidRPr="008B7C8E">
        <w:rPr>
          <w:color w:val="000000" w:themeColor="text1"/>
          <w:lang w:val="en-US"/>
        </w:rPr>
        <w:t>=0.37; 95% CI: 0.3</w:t>
      </w:r>
      <w:r w:rsidR="0052560B" w:rsidRPr="008B7C8E">
        <w:rPr>
          <w:color w:val="000000" w:themeColor="text1"/>
          <w:lang w:val="en-US"/>
        </w:rPr>
        <w:t>1</w:t>
      </w:r>
      <w:r w:rsidR="001B1205" w:rsidRPr="008B7C8E">
        <w:rPr>
          <w:color w:val="000000" w:themeColor="text1"/>
          <w:lang w:val="en-US"/>
        </w:rPr>
        <w:t>-</w:t>
      </w:r>
      <w:r w:rsidR="006C77B6" w:rsidRPr="008B7C8E">
        <w:rPr>
          <w:color w:val="000000" w:themeColor="text1"/>
          <w:lang w:val="en-US"/>
        </w:rPr>
        <w:t>0.45), again both statistically significant (</w:t>
      </w:r>
      <w:r w:rsidR="006C77B6" w:rsidRPr="008B7C8E">
        <w:rPr>
          <w:i/>
          <w:iCs/>
          <w:color w:val="000000" w:themeColor="text1"/>
          <w:lang w:val="en-US"/>
        </w:rPr>
        <w:t>p</w:t>
      </w:r>
      <w:r w:rsidR="006C77B6" w:rsidRPr="008B7C8E">
        <w:rPr>
          <w:color w:val="000000" w:themeColor="text1"/>
          <w:lang w:val="en-US"/>
        </w:rPr>
        <w:t>&lt;0.001).</w:t>
      </w:r>
      <w:r w:rsidRPr="008B7C8E">
        <w:rPr>
          <w:color w:val="000000" w:themeColor="text1"/>
          <w:lang w:val="en-US"/>
        </w:rPr>
        <w:t xml:space="preserve"> Detailed hazard ratios by adherence category are provided in Supplementary </w:t>
      </w:r>
      <w:r w:rsidR="00E8450D" w:rsidRPr="008B7C8E">
        <w:rPr>
          <w:color w:val="000000" w:themeColor="text1"/>
          <w:lang w:val="en-US"/>
        </w:rPr>
        <w:t>Digital Content (S2)</w:t>
      </w:r>
      <w:r w:rsidRPr="008B7C8E">
        <w:rPr>
          <w:color w:val="000000" w:themeColor="text1"/>
          <w:lang w:val="en-US"/>
        </w:rPr>
        <w:t>.</w:t>
      </w:r>
    </w:p>
    <w:p w14:paraId="67F5EDBB" w14:textId="77777777" w:rsidR="0047445E" w:rsidRPr="008B7C8E" w:rsidRDefault="0047445E" w:rsidP="006C77B6">
      <w:pPr>
        <w:spacing w:line="360" w:lineRule="auto"/>
        <w:jc w:val="both"/>
        <w:rPr>
          <w:color w:val="000000" w:themeColor="text1"/>
          <w:lang w:val="en-US"/>
        </w:rPr>
      </w:pPr>
    </w:p>
    <w:p w14:paraId="10A2EDC6" w14:textId="799A794F" w:rsidR="0047445E" w:rsidRPr="008B7C8E" w:rsidRDefault="0047445E" w:rsidP="006C77B6">
      <w:pPr>
        <w:spacing w:line="360" w:lineRule="auto"/>
        <w:jc w:val="both"/>
        <w:rPr>
          <w:b/>
          <w:bCs/>
          <w:color w:val="000000" w:themeColor="text1"/>
          <w:lang w:val="en-US"/>
        </w:rPr>
      </w:pPr>
      <w:r w:rsidRPr="008B7C8E">
        <w:rPr>
          <w:b/>
          <w:bCs/>
          <w:color w:val="000000" w:themeColor="text1"/>
          <w:lang w:val="en-US"/>
        </w:rPr>
        <w:t>Effect of individual ASAP components</w:t>
      </w:r>
    </w:p>
    <w:p w14:paraId="41F456BD" w14:textId="4AE9859D" w:rsidR="00006B91" w:rsidRPr="008B7C8E" w:rsidRDefault="006C77B6" w:rsidP="00D727BF">
      <w:pPr>
        <w:spacing w:line="360" w:lineRule="auto"/>
        <w:jc w:val="both"/>
        <w:rPr>
          <w:color w:val="000000" w:themeColor="text1"/>
          <w:lang w:val="en-US"/>
        </w:rPr>
      </w:pPr>
      <w:r w:rsidRPr="008B7C8E">
        <w:rPr>
          <w:color w:val="000000" w:themeColor="text1"/>
          <w:lang w:val="en-US"/>
        </w:rPr>
        <w:t>In the</w:t>
      </w:r>
      <w:r w:rsidR="00382D59" w:rsidRPr="008B7C8E">
        <w:rPr>
          <w:color w:val="000000" w:themeColor="text1"/>
          <w:lang w:val="en-US"/>
        </w:rPr>
        <w:t xml:space="preserve"> </w:t>
      </w:r>
      <w:r w:rsidRPr="008B7C8E">
        <w:rPr>
          <w:color w:val="000000" w:themeColor="text1"/>
          <w:lang w:val="en-US"/>
        </w:rPr>
        <w:t>qualitative analysis</w:t>
      </w:r>
      <w:r w:rsidR="00382D59" w:rsidRPr="008B7C8E">
        <w:rPr>
          <w:color w:val="000000" w:themeColor="text1"/>
          <w:lang w:val="en-US"/>
        </w:rPr>
        <w:t xml:space="preserve"> </w:t>
      </w:r>
      <w:r w:rsidRPr="008B7C8E">
        <w:rPr>
          <w:color w:val="000000" w:themeColor="text1"/>
          <w:lang w:val="en-US"/>
        </w:rPr>
        <w:t>of individual ASAP components,</w:t>
      </w:r>
      <w:r w:rsidR="00382D59" w:rsidRPr="008B7C8E">
        <w:rPr>
          <w:color w:val="000000" w:themeColor="text1"/>
          <w:lang w:val="en-US"/>
        </w:rPr>
        <w:t xml:space="preserve"> </w:t>
      </w:r>
      <w:r w:rsidRPr="008B7C8E">
        <w:rPr>
          <w:color w:val="000000" w:themeColor="text1"/>
          <w:lang w:val="en-US"/>
        </w:rPr>
        <w:t>early surgery</w:t>
      </w:r>
      <w:r w:rsidR="00382D59" w:rsidRPr="008B7C8E">
        <w:rPr>
          <w:color w:val="000000" w:themeColor="text1"/>
          <w:lang w:val="en-US"/>
        </w:rPr>
        <w:t xml:space="preserve"> </w:t>
      </w:r>
      <w:r w:rsidRPr="008B7C8E">
        <w:rPr>
          <w:color w:val="000000" w:themeColor="text1"/>
          <w:lang w:val="en-US"/>
        </w:rPr>
        <w:t>and</w:t>
      </w:r>
      <w:r w:rsidR="00382D59" w:rsidRPr="008B7C8E">
        <w:rPr>
          <w:color w:val="000000" w:themeColor="text1"/>
          <w:lang w:val="en-US"/>
        </w:rPr>
        <w:t xml:space="preserve"> </w:t>
      </w:r>
      <w:r w:rsidRPr="008B7C8E">
        <w:rPr>
          <w:color w:val="000000" w:themeColor="text1"/>
          <w:lang w:val="en-US"/>
        </w:rPr>
        <w:t>SFIB</w:t>
      </w:r>
      <w:r w:rsidR="00382D59" w:rsidRPr="008B7C8E">
        <w:rPr>
          <w:color w:val="000000" w:themeColor="text1"/>
          <w:lang w:val="en-US"/>
        </w:rPr>
        <w:t xml:space="preserve"> </w:t>
      </w:r>
      <w:r w:rsidRPr="008B7C8E">
        <w:rPr>
          <w:color w:val="000000" w:themeColor="text1"/>
          <w:lang w:val="en-US"/>
        </w:rPr>
        <w:t>were effective in reducing all EPOCs (</w:t>
      </w:r>
      <w:r w:rsidRPr="008B7C8E">
        <w:rPr>
          <w:i/>
          <w:iCs/>
          <w:color w:val="000000" w:themeColor="text1"/>
          <w:lang w:val="en-US"/>
        </w:rPr>
        <w:t>HR</w:t>
      </w:r>
      <w:r w:rsidRPr="008B7C8E">
        <w:rPr>
          <w:color w:val="000000" w:themeColor="text1"/>
          <w:lang w:val="en-US"/>
        </w:rPr>
        <w:t xml:space="preserve"> for early surgery=0.56; 95% CI: 0.41</w:t>
      </w:r>
      <w:r w:rsidR="001B1205" w:rsidRPr="008B7C8E">
        <w:rPr>
          <w:color w:val="000000" w:themeColor="text1"/>
          <w:lang w:val="en-US"/>
        </w:rPr>
        <w:t>-</w:t>
      </w:r>
      <w:r w:rsidRPr="008B7C8E">
        <w:rPr>
          <w:color w:val="000000" w:themeColor="text1"/>
          <w:lang w:val="en-US"/>
        </w:rPr>
        <w:t>0.7</w:t>
      </w:r>
      <w:r w:rsidR="0052560B" w:rsidRPr="008B7C8E">
        <w:rPr>
          <w:color w:val="000000" w:themeColor="text1"/>
          <w:lang w:val="en-US"/>
        </w:rPr>
        <w:t>7</w:t>
      </w:r>
      <w:r w:rsidRPr="008B7C8E">
        <w:rPr>
          <w:color w:val="000000" w:themeColor="text1"/>
          <w:lang w:val="en-US"/>
        </w:rPr>
        <w:t>,</w:t>
      </w:r>
      <w:r w:rsidR="00382D59" w:rsidRPr="008B7C8E">
        <w:rPr>
          <w:color w:val="000000" w:themeColor="text1"/>
          <w:lang w:val="en-US"/>
        </w:rPr>
        <w:t xml:space="preserve"> </w:t>
      </w:r>
      <w:r w:rsidRPr="008B7C8E">
        <w:rPr>
          <w:i/>
          <w:iCs/>
          <w:color w:val="000000" w:themeColor="text1"/>
          <w:lang w:val="en-US"/>
        </w:rPr>
        <w:t>p</w:t>
      </w:r>
      <w:r w:rsidRPr="008B7C8E">
        <w:rPr>
          <w:color w:val="000000" w:themeColor="text1"/>
          <w:lang w:val="en-US"/>
        </w:rPr>
        <w:t xml:space="preserve">=0.002; </w:t>
      </w:r>
      <w:r w:rsidRPr="008B7C8E">
        <w:rPr>
          <w:i/>
          <w:iCs/>
          <w:color w:val="000000" w:themeColor="text1"/>
          <w:lang w:val="en-US"/>
        </w:rPr>
        <w:t>HR</w:t>
      </w:r>
      <w:r w:rsidRPr="008B7C8E">
        <w:rPr>
          <w:color w:val="000000" w:themeColor="text1"/>
          <w:lang w:val="en-US"/>
        </w:rPr>
        <w:t xml:space="preserve"> for SFIB=0.57; 95% CI: 0.42</w:t>
      </w:r>
      <w:r w:rsidR="001B1205" w:rsidRPr="008B7C8E">
        <w:rPr>
          <w:color w:val="000000" w:themeColor="text1"/>
          <w:lang w:val="en-US"/>
        </w:rPr>
        <w:t>-</w:t>
      </w:r>
      <w:r w:rsidRPr="008B7C8E">
        <w:rPr>
          <w:color w:val="000000" w:themeColor="text1"/>
          <w:lang w:val="en-US"/>
        </w:rPr>
        <w:t>0.7</w:t>
      </w:r>
      <w:r w:rsidR="0052560B" w:rsidRPr="008B7C8E">
        <w:rPr>
          <w:color w:val="000000" w:themeColor="text1"/>
          <w:lang w:val="en-US"/>
        </w:rPr>
        <w:t>8</w:t>
      </w:r>
      <w:r w:rsidRPr="008B7C8E">
        <w:rPr>
          <w:color w:val="000000" w:themeColor="text1"/>
          <w:lang w:val="en-US"/>
        </w:rPr>
        <w:t>,</w:t>
      </w:r>
      <w:r w:rsidR="00382D59" w:rsidRPr="008B7C8E">
        <w:rPr>
          <w:color w:val="000000" w:themeColor="text1"/>
          <w:lang w:val="en-US"/>
        </w:rPr>
        <w:t xml:space="preserve"> </w:t>
      </w:r>
      <w:r w:rsidRPr="008B7C8E">
        <w:rPr>
          <w:i/>
          <w:iCs/>
          <w:color w:val="000000" w:themeColor="text1"/>
          <w:lang w:val="en-US"/>
        </w:rPr>
        <w:t>p</w:t>
      </w:r>
      <w:r w:rsidRPr="008B7C8E">
        <w:rPr>
          <w:color w:val="000000" w:themeColor="text1"/>
          <w:lang w:val="en-US"/>
        </w:rPr>
        <w:t>&lt;0.001) (Figure 5A). However, for</w:t>
      </w:r>
      <w:r w:rsidR="00382D59" w:rsidRPr="008B7C8E">
        <w:rPr>
          <w:color w:val="000000" w:themeColor="text1"/>
          <w:lang w:val="en-US"/>
        </w:rPr>
        <w:t xml:space="preserve"> </w:t>
      </w:r>
      <w:r w:rsidRPr="008B7C8E">
        <w:rPr>
          <w:color w:val="000000" w:themeColor="text1"/>
          <w:lang w:val="en-US"/>
        </w:rPr>
        <w:t>major EPOCs, only early surgery showed a significant effect (</w:t>
      </w:r>
      <w:r w:rsidRPr="008B7C8E">
        <w:rPr>
          <w:i/>
          <w:iCs/>
          <w:color w:val="000000" w:themeColor="text1"/>
          <w:lang w:val="en-US"/>
        </w:rPr>
        <w:t>HR</w:t>
      </w:r>
      <w:r w:rsidRPr="008B7C8E">
        <w:rPr>
          <w:color w:val="000000" w:themeColor="text1"/>
          <w:lang w:val="en-US"/>
        </w:rPr>
        <w:t>=0.5</w:t>
      </w:r>
      <w:r w:rsidR="0052560B" w:rsidRPr="008B7C8E">
        <w:rPr>
          <w:color w:val="000000" w:themeColor="text1"/>
          <w:lang w:val="en-US"/>
        </w:rPr>
        <w:t>4</w:t>
      </w:r>
      <w:r w:rsidRPr="008B7C8E">
        <w:rPr>
          <w:color w:val="000000" w:themeColor="text1"/>
          <w:lang w:val="en-US"/>
        </w:rPr>
        <w:t>; 95% CI: 0.3</w:t>
      </w:r>
      <w:r w:rsidR="0052560B" w:rsidRPr="008B7C8E">
        <w:rPr>
          <w:color w:val="000000" w:themeColor="text1"/>
          <w:lang w:val="en-US"/>
        </w:rPr>
        <w:t>7</w:t>
      </w:r>
      <w:r w:rsidR="001B1205" w:rsidRPr="008B7C8E">
        <w:rPr>
          <w:color w:val="000000" w:themeColor="text1"/>
          <w:lang w:val="en-US"/>
        </w:rPr>
        <w:t>-</w:t>
      </w:r>
      <w:r w:rsidRPr="008B7C8E">
        <w:rPr>
          <w:color w:val="000000" w:themeColor="text1"/>
          <w:lang w:val="en-US"/>
        </w:rPr>
        <w:t>0.79,</w:t>
      </w:r>
      <w:r w:rsidR="00382D59" w:rsidRPr="008B7C8E">
        <w:rPr>
          <w:color w:val="000000" w:themeColor="text1"/>
          <w:lang w:val="en-US"/>
        </w:rPr>
        <w:t xml:space="preserve"> </w:t>
      </w:r>
      <w:r w:rsidRPr="008B7C8E">
        <w:rPr>
          <w:i/>
          <w:iCs/>
          <w:color w:val="000000" w:themeColor="text1"/>
          <w:lang w:val="en-US"/>
        </w:rPr>
        <w:t>p</w:t>
      </w:r>
      <w:r w:rsidRPr="008B7C8E">
        <w:rPr>
          <w:color w:val="000000" w:themeColor="text1"/>
          <w:lang w:val="en-US"/>
        </w:rPr>
        <w:t>=0.002), while SFIB did not reach statistical significance (</w:t>
      </w:r>
      <w:r w:rsidRPr="008B7C8E">
        <w:rPr>
          <w:i/>
          <w:iCs/>
          <w:color w:val="000000" w:themeColor="text1"/>
          <w:lang w:val="en-US"/>
        </w:rPr>
        <w:t>p</w:t>
      </w:r>
      <w:r w:rsidRPr="008B7C8E">
        <w:rPr>
          <w:color w:val="000000" w:themeColor="text1"/>
          <w:lang w:val="en-US"/>
        </w:rPr>
        <w:t>=0.108) (Figure 5B). Interestingly, both</w:t>
      </w:r>
      <w:r w:rsidR="00382D59" w:rsidRPr="008B7C8E">
        <w:rPr>
          <w:color w:val="000000" w:themeColor="text1"/>
          <w:lang w:val="en-US"/>
        </w:rPr>
        <w:t xml:space="preserve"> </w:t>
      </w:r>
      <w:r w:rsidRPr="008B7C8E">
        <w:rPr>
          <w:color w:val="000000" w:themeColor="text1"/>
          <w:lang w:val="en-US"/>
        </w:rPr>
        <w:t>ortho-geriatric advice</w:t>
      </w:r>
      <w:r w:rsidR="00382D59" w:rsidRPr="008B7C8E">
        <w:rPr>
          <w:color w:val="000000" w:themeColor="text1"/>
          <w:lang w:val="en-US"/>
        </w:rPr>
        <w:t xml:space="preserve"> </w:t>
      </w:r>
      <w:r w:rsidRPr="008B7C8E">
        <w:rPr>
          <w:color w:val="000000" w:themeColor="text1"/>
          <w:lang w:val="en-US"/>
        </w:rPr>
        <w:t>and</w:t>
      </w:r>
      <w:r w:rsidR="00382D59" w:rsidRPr="008B7C8E">
        <w:rPr>
          <w:color w:val="000000" w:themeColor="text1"/>
          <w:lang w:val="en-US"/>
        </w:rPr>
        <w:t xml:space="preserve"> </w:t>
      </w:r>
      <w:r w:rsidRPr="008B7C8E">
        <w:rPr>
          <w:color w:val="000000" w:themeColor="text1"/>
          <w:lang w:val="en-US"/>
        </w:rPr>
        <w:t>therapeutic adaptation</w:t>
      </w:r>
      <w:r w:rsidR="00382D59" w:rsidRPr="008B7C8E">
        <w:rPr>
          <w:color w:val="000000" w:themeColor="text1"/>
          <w:lang w:val="en-US"/>
        </w:rPr>
        <w:t xml:space="preserve"> </w:t>
      </w:r>
      <w:r w:rsidRPr="008B7C8E">
        <w:rPr>
          <w:color w:val="000000" w:themeColor="text1"/>
          <w:lang w:val="en-US"/>
        </w:rPr>
        <w:t xml:space="preserve">were associated with a statistically significant reduction in both all and major complications. For all EPOCs (Figure 5A), the </w:t>
      </w:r>
      <w:r w:rsidR="00DD76E8" w:rsidRPr="008B7C8E">
        <w:rPr>
          <w:i/>
          <w:iCs/>
          <w:color w:val="000000" w:themeColor="text1"/>
          <w:lang w:val="en-US"/>
        </w:rPr>
        <w:t>HR</w:t>
      </w:r>
      <w:r w:rsidRPr="008B7C8E">
        <w:rPr>
          <w:color w:val="000000" w:themeColor="text1"/>
          <w:lang w:val="en-US"/>
        </w:rPr>
        <w:t xml:space="preserve"> were </w:t>
      </w:r>
      <w:r w:rsidR="002C6E2A" w:rsidRPr="008B7C8E">
        <w:rPr>
          <w:color w:val="000000" w:themeColor="text1"/>
          <w:lang w:val="en-US"/>
        </w:rPr>
        <w:t>0.45 (95% CI</w:t>
      </w:r>
      <w:r w:rsidR="00835A3C" w:rsidRPr="008B7C8E">
        <w:rPr>
          <w:color w:val="000000" w:themeColor="text1"/>
          <w:lang w:val="en-US"/>
        </w:rPr>
        <w:t>:</w:t>
      </w:r>
      <w:r w:rsidR="002C6E2A" w:rsidRPr="008B7C8E">
        <w:rPr>
          <w:color w:val="000000" w:themeColor="text1"/>
          <w:lang w:val="en-US"/>
        </w:rPr>
        <w:t xml:space="preserve"> 0.34</w:t>
      </w:r>
      <w:r w:rsidR="001B1205" w:rsidRPr="008B7C8E">
        <w:rPr>
          <w:color w:val="000000" w:themeColor="text1"/>
          <w:lang w:val="en-US"/>
        </w:rPr>
        <w:t>-</w:t>
      </w:r>
      <w:r w:rsidR="002C6E2A" w:rsidRPr="008B7C8E">
        <w:rPr>
          <w:color w:val="000000" w:themeColor="text1"/>
          <w:lang w:val="en-US"/>
        </w:rPr>
        <w:t xml:space="preserve">0.59, </w:t>
      </w:r>
      <w:r w:rsidR="002C6E2A" w:rsidRPr="008B7C8E">
        <w:rPr>
          <w:i/>
          <w:iCs/>
          <w:color w:val="000000" w:themeColor="text1"/>
          <w:lang w:val="en-US"/>
        </w:rPr>
        <w:t>p</w:t>
      </w:r>
      <w:r w:rsidR="002C6E2A" w:rsidRPr="008B7C8E">
        <w:rPr>
          <w:color w:val="000000" w:themeColor="text1"/>
          <w:lang w:val="en-US"/>
        </w:rPr>
        <w:t>&lt;0.001)</w:t>
      </w:r>
      <w:r w:rsidRPr="008B7C8E">
        <w:rPr>
          <w:color w:val="000000" w:themeColor="text1"/>
          <w:lang w:val="en-US"/>
        </w:rPr>
        <w:t xml:space="preserve"> for ortho-geriatric advice and </w:t>
      </w:r>
      <w:r w:rsidR="002C6E2A" w:rsidRPr="008B7C8E">
        <w:rPr>
          <w:color w:val="000000" w:themeColor="text1"/>
          <w:lang w:val="en-US"/>
        </w:rPr>
        <w:t>0.43 (95% CI</w:t>
      </w:r>
      <w:r w:rsidR="00835A3C" w:rsidRPr="008B7C8E">
        <w:rPr>
          <w:color w:val="000000" w:themeColor="text1"/>
          <w:lang w:val="en-US"/>
        </w:rPr>
        <w:t>:</w:t>
      </w:r>
      <w:r w:rsidR="002C6E2A" w:rsidRPr="008B7C8E">
        <w:rPr>
          <w:color w:val="000000" w:themeColor="text1"/>
          <w:lang w:val="en-US"/>
        </w:rPr>
        <w:t xml:space="preserve"> 0.31</w:t>
      </w:r>
      <w:r w:rsidR="001B1205" w:rsidRPr="008B7C8E">
        <w:rPr>
          <w:color w:val="000000" w:themeColor="text1"/>
          <w:lang w:val="en-US"/>
        </w:rPr>
        <w:t>-</w:t>
      </w:r>
      <w:r w:rsidR="002C6E2A" w:rsidRPr="008B7C8E">
        <w:rPr>
          <w:color w:val="000000" w:themeColor="text1"/>
          <w:lang w:val="en-US"/>
        </w:rPr>
        <w:t xml:space="preserve">0.58, </w:t>
      </w:r>
      <w:r w:rsidR="002C6E2A" w:rsidRPr="008B7C8E">
        <w:rPr>
          <w:i/>
          <w:iCs/>
          <w:color w:val="000000" w:themeColor="text1"/>
          <w:lang w:val="en-US"/>
        </w:rPr>
        <w:t>p</w:t>
      </w:r>
      <w:r w:rsidR="002C6E2A" w:rsidRPr="008B7C8E">
        <w:rPr>
          <w:color w:val="000000" w:themeColor="text1"/>
          <w:lang w:val="en-US"/>
        </w:rPr>
        <w:t>&lt;0.001)</w:t>
      </w:r>
      <w:r w:rsidRPr="008B7C8E">
        <w:rPr>
          <w:color w:val="000000" w:themeColor="text1"/>
          <w:lang w:val="en-US"/>
        </w:rPr>
        <w:t xml:space="preserve"> for therapeutic adaptation. For major EPOCs (Figure 5B), the </w:t>
      </w:r>
      <w:r w:rsidR="00DD76E8" w:rsidRPr="008B7C8E">
        <w:rPr>
          <w:i/>
          <w:iCs/>
          <w:color w:val="000000" w:themeColor="text1"/>
          <w:lang w:val="en-US"/>
        </w:rPr>
        <w:t>HR</w:t>
      </w:r>
      <w:r w:rsidRPr="008B7C8E">
        <w:rPr>
          <w:color w:val="000000" w:themeColor="text1"/>
          <w:lang w:val="en-US"/>
        </w:rPr>
        <w:t xml:space="preserve"> were </w:t>
      </w:r>
      <w:r w:rsidR="002C6E2A" w:rsidRPr="008B7C8E">
        <w:rPr>
          <w:color w:val="000000" w:themeColor="text1"/>
          <w:lang w:val="en-US"/>
        </w:rPr>
        <w:t>0.30 (95% CI</w:t>
      </w:r>
      <w:r w:rsidR="00835A3C" w:rsidRPr="008B7C8E">
        <w:rPr>
          <w:color w:val="000000" w:themeColor="text1"/>
          <w:lang w:val="en-US"/>
        </w:rPr>
        <w:t>:</w:t>
      </w:r>
      <w:r w:rsidR="002C6E2A" w:rsidRPr="008B7C8E">
        <w:rPr>
          <w:color w:val="000000" w:themeColor="text1"/>
          <w:lang w:val="en-US"/>
        </w:rPr>
        <w:t xml:space="preserve"> 0.21</w:t>
      </w:r>
      <w:r w:rsidR="001B1205" w:rsidRPr="008B7C8E">
        <w:rPr>
          <w:color w:val="000000" w:themeColor="text1"/>
          <w:lang w:val="en-US"/>
        </w:rPr>
        <w:t>-</w:t>
      </w:r>
      <w:r w:rsidR="002C6E2A" w:rsidRPr="008B7C8E">
        <w:rPr>
          <w:color w:val="000000" w:themeColor="text1"/>
          <w:lang w:val="en-US"/>
        </w:rPr>
        <w:t xml:space="preserve">0.42, </w:t>
      </w:r>
      <w:r w:rsidR="002C6E2A" w:rsidRPr="008B7C8E">
        <w:rPr>
          <w:i/>
          <w:iCs/>
          <w:color w:val="000000" w:themeColor="text1"/>
          <w:lang w:val="en-US"/>
        </w:rPr>
        <w:t>p</w:t>
      </w:r>
      <w:r w:rsidR="002C6E2A" w:rsidRPr="008B7C8E">
        <w:rPr>
          <w:color w:val="000000" w:themeColor="text1"/>
          <w:lang w:val="en-US"/>
        </w:rPr>
        <w:t>&lt;0.001)</w:t>
      </w:r>
      <w:r w:rsidRPr="008B7C8E">
        <w:rPr>
          <w:color w:val="000000" w:themeColor="text1"/>
          <w:lang w:val="en-US"/>
        </w:rPr>
        <w:t xml:space="preserve"> for ortho-geriatric advice and </w:t>
      </w:r>
      <w:r w:rsidR="002C6E2A" w:rsidRPr="008B7C8E">
        <w:rPr>
          <w:color w:val="000000" w:themeColor="text1"/>
          <w:lang w:val="en-US"/>
        </w:rPr>
        <w:t>0.25 (95% CI</w:t>
      </w:r>
      <w:r w:rsidR="00835A3C" w:rsidRPr="008B7C8E">
        <w:rPr>
          <w:color w:val="000000" w:themeColor="text1"/>
          <w:lang w:val="en-US"/>
        </w:rPr>
        <w:t>:</w:t>
      </w:r>
      <w:r w:rsidR="002C6E2A" w:rsidRPr="008B7C8E">
        <w:rPr>
          <w:color w:val="000000" w:themeColor="text1"/>
          <w:lang w:val="en-US"/>
        </w:rPr>
        <w:t xml:space="preserve"> 0.18</w:t>
      </w:r>
      <w:r w:rsidR="001B1205" w:rsidRPr="008B7C8E">
        <w:rPr>
          <w:color w:val="000000" w:themeColor="text1"/>
          <w:lang w:val="en-US"/>
        </w:rPr>
        <w:t>-</w:t>
      </w:r>
      <w:r w:rsidR="002C6E2A" w:rsidRPr="008B7C8E">
        <w:rPr>
          <w:color w:val="000000" w:themeColor="text1"/>
          <w:lang w:val="en-US"/>
        </w:rPr>
        <w:t xml:space="preserve">0.36, </w:t>
      </w:r>
      <w:r w:rsidR="002C6E2A" w:rsidRPr="008B7C8E">
        <w:rPr>
          <w:i/>
          <w:iCs/>
          <w:color w:val="000000" w:themeColor="text1"/>
          <w:lang w:val="en-US"/>
        </w:rPr>
        <w:t>p</w:t>
      </w:r>
      <w:r w:rsidR="002C6E2A" w:rsidRPr="008B7C8E">
        <w:rPr>
          <w:color w:val="000000" w:themeColor="text1"/>
          <w:lang w:val="en-US"/>
        </w:rPr>
        <w:t>&lt;0.001)</w:t>
      </w:r>
      <w:r w:rsidRPr="008B7C8E">
        <w:rPr>
          <w:color w:val="000000" w:themeColor="text1"/>
          <w:lang w:val="en-US"/>
        </w:rPr>
        <w:t xml:space="preserve"> for therapeutic adaptation.</w:t>
      </w:r>
      <w:r w:rsidR="00835A3C" w:rsidRPr="008B7C8E">
        <w:rPr>
          <w:color w:val="000000" w:themeColor="text1"/>
          <w:lang w:val="en-US"/>
        </w:rPr>
        <w:t xml:space="preserve"> These findings suggest that timely surgery, structured geriatric involvement, nerve block-based analgesia, and reduction of anticholinergic burden act in a complementary manner to reduce postoperative complications; full model outputs are available in Supplementary </w:t>
      </w:r>
      <w:r w:rsidR="00E8450D" w:rsidRPr="008B7C8E">
        <w:rPr>
          <w:color w:val="000000" w:themeColor="text1"/>
          <w:lang w:val="en-US"/>
        </w:rPr>
        <w:t>Digital Content (S2)</w:t>
      </w:r>
      <w:r w:rsidR="00835A3C" w:rsidRPr="008B7C8E">
        <w:rPr>
          <w:color w:val="000000" w:themeColor="text1"/>
          <w:lang w:val="en-US"/>
        </w:rPr>
        <w:t>.</w:t>
      </w:r>
    </w:p>
    <w:p w14:paraId="0835E92A" w14:textId="77777777" w:rsidR="00A7437D" w:rsidRPr="008B7C8E" w:rsidRDefault="00A7437D" w:rsidP="00D727BF">
      <w:pPr>
        <w:spacing w:line="360" w:lineRule="auto"/>
        <w:jc w:val="both"/>
        <w:rPr>
          <w:color w:val="000000" w:themeColor="text1"/>
          <w:lang w:val="en-US"/>
        </w:rPr>
      </w:pPr>
    </w:p>
    <w:p w14:paraId="5827DFF6" w14:textId="19B5F45B" w:rsidR="00A7437D" w:rsidRPr="008B7C8E" w:rsidRDefault="00A7437D" w:rsidP="00D727BF">
      <w:pPr>
        <w:spacing w:line="360" w:lineRule="auto"/>
        <w:jc w:val="both"/>
        <w:rPr>
          <w:b/>
          <w:bCs/>
          <w:color w:val="000000" w:themeColor="text1"/>
          <w:lang w:val="en-US"/>
        </w:rPr>
      </w:pPr>
      <w:r w:rsidRPr="008B7C8E">
        <w:rPr>
          <w:b/>
          <w:bCs/>
          <w:color w:val="000000" w:themeColor="text1"/>
          <w:lang w:val="en-US"/>
        </w:rPr>
        <w:t>Secondary Clinical Outcomes</w:t>
      </w:r>
    </w:p>
    <w:p w14:paraId="71092153" w14:textId="708D0352" w:rsidR="00A7437D" w:rsidRPr="008B7C8E" w:rsidRDefault="00A7437D" w:rsidP="00A7437D">
      <w:pPr>
        <w:spacing w:line="360" w:lineRule="auto"/>
        <w:jc w:val="both"/>
        <w:rPr>
          <w:color w:val="000000" w:themeColor="text1"/>
          <w:lang w:val="en-US"/>
        </w:rPr>
      </w:pPr>
      <w:r w:rsidRPr="008B7C8E">
        <w:rPr>
          <w:color w:val="000000" w:themeColor="text1"/>
          <w:lang w:val="en-US"/>
        </w:rPr>
        <w:t xml:space="preserve">Pain control was also significantly improved, with the pre-ASAP cohort reporting higher median [IQR] NRS pain scores compared with the post-ASAP group (6 [4-7] vs 3 [2-4], for pre-ASAP and post-ASAP, respectively; p&lt;0.001) 24 hours after surgery. </w:t>
      </w:r>
    </w:p>
    <w:p w14:paraId="12561386" w14:textId="6740C965" w:rsidR="00A7437D" w:rsidRPr="008B7C8E" w:rsidRDefault="00A7437D" w:rsidP="00A7437D">
      <w:pPr>
        <w:spacing w:line="360" w:lineRule="auto"/>
        <w:jc w:val="both"/>
        <w:rPr>
          <w:color w:val="000000" w:themeColor="text1"/>
          <w:lang w:val="en-US"/>
        </w:rPr>
      </w:pPr>
      <w:r w:rsidRPr="008B7C8E">
        <w:rPr>
          <w:color w:val="000000" w:themeColor="text1"/>
          <w:lang w:val="en-US"/>
        </w:rPr>
        <w:t>Thirty-day postoperative mortality was numerically lower in the post-ASAP cohort compared with the pre-ASAP cohort (6.0% vs 9.2%), although this difference did not reach statistical significance (p=0.10). Similarly, the proportion of patients requiring postoperative red blood cell transfusion was slightly lower after ASAP implementation (20.8% vs 23.5%), but this difference was also not statistically significant (p=0.36), suggesting that the pathway did not have a clear impact on these two secondary outcomes (Table 2).</w:t>
      </w:r>
    </w:p>
    <w:p w14:paraId="6CCD9312" w14:textId="77777777" w:rsidR="00A7437D" w:rsidRPr="008B7C8E" w:rsidRDefault="00A7437D" w:rsidP="00D727BF">
      <w:pPr>
        <w:spacing w:line="360" w:lineRule="auto"/>
        <w:jc w:val="both"/>
        <w:rPr>
          <w:b/>
          <w:bCs/>
          <w:color w:val="000000" w:themeColor="text1"/>
          <w:lang w:val="en-US"/>
        </w:rPr>
      </w:pPr>
    </w:p>
    <w:p w14:paraId="0C8CDF40" w14:textId="3BDDAAF5" w:rsidR="00D727BF" w:rsidRPr="008B7C8E" w:rsidRDefault="00D727BF" w:rsidP="00D727BF">
      <w:pPr>
        <w:spacing w:line="360" w:lineRule="auto"/>
        <w:jc w:val="both"/>
        <w:rPr>
          <w:color w:val="000000" w:themeColor="text1"/>
          <w:lang w:val="en-US"/>
        </w:rPr>
      </w:pPr>
      <w:r w:rsidRPr="008B7C8E">
        <w:rPr>
          <w:color w:val="000000" w:themeColor="text1"/>
          <w:lang w:val="en-US"/>
        </w:rPr>
        <w:br w:type="page"/>
      </w:r>
    </w:p>
    <w:p w14:paraId="76BB4D5E" w14:textId="7105F4CA" w:rsidR="00D727BF" w:rsidRPr="008B7C8E" w:rsidRDefault="005A7BE1" w:rsidP="00D727BF">
      <w:pPr>
        <w:spacing w:line="360" w:lineRule="auto"/>
        <w:rPr>
          <w:color w:val="000000" w:themeColor="text1"/>
          <w:lang w:val="en-US"/>
        </w:rPr>
      </w:pPr>
      <w:r w:rsidRPr="008B7C8E">
        <w:rPr>
          <w:b/>
          <w:bCs/>
          <w:color w:val="000000" w:themeColor="text1"/>
          <w:lang w:val="en-US"/>
        </w:rPr>
        <w:lastRenderedPageBreak/>
        <w:t>DISCUSSION</w:t>
      </w:r>
    </w:p>
    <w:p w14:paraId="4FC40DD3" w14:textId="0A2764AB" w:rsidR="00A7437D" w:rsidRPr="008B7C8E" w:rsidRDefault="00A7437D" w:rsidP="00D727BF">
      <w:pPr>
        <w:spacing w:line="360" w:lineRule="auto"/>
        <w:jc w:val="both"/>
        <w:rPr>
          <w:b/>
          <w:bCs/>
          <w:color w:val="000000" w:themeColor="text1"/>
          <w:lang w:val="en-US"/>
        </w:rPr>
      </w:pPr>
      <w:r w:rsidRPr="008B7C8E">
        <w:rPr>
          <w:rStyle w:val="Enfasigrassetto"/>
          <w:color w:val="000000" w:themeColor="text1"/>
          <w:lang w:val="en-US"/>
        </w:rPr>
        <w:t>ASAP bundle</w:t>
      </w:r>
      <w:r w:rsidRPr="008B7C8E">
        <w:rPr>
          <w:rStyle w:val="Enfasigrassetto"/>
          <w:b w:val="0"/>
          <w:bCs w:val="0"/>
          <w:color w:val="000000" w:themeColor="text1"/>
          <w:lang w:val="en-US"/>
        </w:rPr>
        <w:t xml:space="preserve"> </w:t>
      </w:r>
      <w:r w:rsidRPr="008B7C8E">
        <w:rPr>
          <w:rStyle w:val="Enfasigrassetto"/>
          <w:color w:val="000000" w:themeColor="text1"/>
          <w:lang w:val="en-US"/>
        </w:rPr>
        <w:t>Adherence</w:t>
      </w:r>
    </w:p>
    <w:p w14:paraId="2431B7B5" w14:textId="5243A3A1" w:rsidR="00D727BF" w:rsidRPr="008B7C8E" w:rsidRDefault="00D727BF" w:rsidP="00D727BF">
      <w:pPr>
        <w:spacing w:line="360" w:lineRule="auto"/>
        <w:jc w:val="both"/>
        <w:rPr>
          <w:color w:val="000000" w:themeColor="text1"/>
          <w:lang w:val="en-US"/>
        </w:rPr>
      </w:pPr>
      <w:r w:rsidRPr="008B7C8E">
        <w:rPr>
          <w:color w:val="000000" w:themeColor="text1"/>
          <w:lang w:val="en-US"/>
        </w:rPr>
        <w:t xml:space="preserve">In this </w:t>
      </w:r>
      <w:r w:rsidR="000C21E1" w:rsidRPr="008B7C8E">
        <w:rPr>
          <w:color w:val="000000" w:themeColor="text1"/>
          <w:lang w:val="en-US"/>
        </w:rPr>
        <w:t>single center</w:t>
      </w:r>
      <w:r w:rsidR="000011C1" w:rsidRPr="008B7C8E">
        <w:rPr>
          <w:color w:val="000000" w:themeColor="text1"/>
          <w:lang w:val="en-US"/>
        </w:rPr>
        <w:t>, ITS cohort study</w:t>
      </w:r>
      <w:r w:rsidRPr="008B7C8E">
        <w:rPr>
          <w:color w:val="000000" w:themeColor="text1"/>
          <w:lang w:val="en-US"/>
        </w:rPr>
        <w:t xml:space="preserve">, we demonstrated that implementation of the ASAP </w:t>
      </w:r>
      <w:r w:rsidR="00A7437D" w:rsidRPr="008B7C8E">
        <w:rPr>
          <w:rStyle w:val="Enfasigrassetto"/>
          <w:b w:val="0"/>
          <w:bCs w:val="0"/>
          <w:color w:val="000000" w:themeColor="text1"/>
          <w:lang w:val="en-US"/>
        </w:rPr>
        <w:t xml:space="preserve">bundle </w:t>
      </w:r>
      <w:r w:rsidRPr="008B7C8E">
        <w:rPr>
          <w:color w:val="000000" w:themeColor="text1"/>
          <w:lang w:val="en-US"/>
        </w:rPr>
        <w:t xml:space="preserve">significantly reduced EPOCs in elderly patients undergoing surgery for </w:t>
      </w:r>
      <w:r w:rsidR="00BC5A06" w:rsidRPr="008B7C8E">
        <w:rPr>
          <w:rFonts w:eastAsia="Arial Unicode MS"/>
          <w:color w:val="000000" w:themeColor="text1"/>
          <w:u w:color="000000"/>
          <w:bdr w:val="nil"/>
          <w:lang w:val="en-GB" w:eastAsia="fr-BE"/>
          <w14:textOutline w14:w="0" w14:cap="flat" w14:cmpd="sng" w14:algn="ctr">
            <w14:noFill/>
            <w14:prstDash w14:val="solid"/>
            <w14:bevel/>
          </w14:textOutline>
        </w:rPr>
        <w:t>hip fracture</w:t>
      </w:r>
      <w:r w:rsidRPr="008B7C8E">
        <w:rPr>
          <w:color w:val="000000" w:themeColor="text1"/>
          <w:lang w:val="en-US"/>
        </w:rPr>
        <w:t>. The effect was observed both as an immediate reduction following implementation and as a sustained trend over time, particularly for all EPOCs during the first seven postoperative days. These findings were robust and confirmed through ITS analysis adjusted with Newey</w:t>
      </w:r>
      <w:r w:rsidR="001B1205" w:rsidRPr="008B7C8E">
        <w:rPr>
          <w:color w:val="000000" w:themeColor="text1"/>
          <w:lang w:val="en-US"/>
        </w:rPr>
        <w:t>-</w:t>
      </w:r>
      <w:r w:rsidRPr="008B7C8E">
        <w:rPr>
          <w:color w:val="000000" w:themeColor="text1"/>
          <w:lang w:val="en-US"/>
        </w:rPr>
        <w:t>West standard errors to account for autocorrelation and heteroskedasticity</w:t>
      </w:r>
      <w:r w:rsidR="00A7437D" w:rsidRPr="008B7C8E">
        <w:rPr>
          <w:color w:val="000000" w:themeColor="text1"/>
          <w:lang w:val="en-US"/>
        </w:rPr>
        <w:t xml:space="preserve"> (Supplementary </w:t>
      </w:r>
      <w:r w:rsidR="00E8450D" w:rsidRPr="008B7C8E">
        <w:rPr>
          <w:color w:val="000000" w:themeColor="text1"/>
          <w:lang w:val="en-US"/>
        </w:rPr>
        <w:t>Digital Content S2</w:t>
      </w:r>
      <w:r w:rsidR="00A7437D" w:rsidRPr="008B7C8E">
        <w:rPr>
          <w:color w:val="000000" w:themeColor="text1"/>
          <w:lang w:val="en-US"/>
        </w:rPr>
        <w:t>)</w:t>
      </w:r>
      <w:r w:rsidRPr="008B7C8E">
        <w:rPr>
          <w:color w:val="000000" w:themeColor="text1"/>
          <w:lang w:val="en-US"/>
        </w:rPr>
        <w:t>. The benefit was also evident in Kaplan</w:t>
      </w:r>
      <w:r w:rsidR="001B1205" w:rsidRPr="008B7C8E">
        <w:rPr>
          <w:color w:val="000000" w:themeColor="text1"/>
          <w:lang w:val="en-US"/>
        </w:rPr>
        <w:t>-</w:t>
      </w:r>
      <w:r w:rsidRPr="008B7C8E">
        <w:rPr>
          <w:color w:val="000000" w:themeColor="text1"/>
          <w:lang w:val="en-US"/>
        </w:rPr>
        <w:t>Meier survival curves and Cox regression models, confirming a protective association between ASAP and reduced postoperative morbidity.</w:t>
      </w:r>
    </w:p>
    <w:p w14:paraId="6354DC3D" w14:textId="77777777" w:rsidR="00A7437D" w:rsidRPr="008B7C8E" w:rsidRDefault="00A7437D" w:rsidP="00D727BF">
      <w:pPr>
        <w:spacing w:line="360" w:lineRule="auto"/>
        <w:jc w:val="both"/>
        <w:rPr>
          <w:color w:val="000000" w:themeColor="text1"/>
          <w:lang w:val="en-US"/>
        </w:rPr>
      </w:pPr>
    </w:p>
    <w:p w14:paraId="01208D44" w14:textId="765FD9D2" w:rsidR="00A7437D" w:rsidRPr="008B7C8E" w:rsidRDefault="00A7437D" w:rsidP="00D727BF">
      <w:pPr>
        <w:spacing w:line="360" w:lineRule="auto"/>
        <w:jc w:val="both"/>
        <w:rPr>
          <w:b/>
          <w:bCs/>
          <w:color w:val="000000" w:themeColor="text1"/>
          <w:lang w:val="en-US"/>
        </w:rPr>
      </w:pPr>
      <w:r w:rsidRPr="008B7C8E">
        <w:rPr>
          <w:rStyle w:val="Enfasigrassetto"/>
          <w:color w:val="000000" w:themeColor="text1"/>
          <w:lang w:val="en-US"/>
        </w:rPr>
        <w:t>Early Postoperative Complications</w:t>
      </w:r>
    </w:p>
    <w:p w14:paraId="628067C5" w14:textId="07A02651" w:rsidR="00A7437D" w:rsidRPr="008B7C8E" w:rsidRDefault="00D727BF" w:rsidP="00D727BF">
      <w:pPr>
        <w:spacing w:line="360" w:lineRule="auto"/>
        <w:jc w:val="both"/>
        <w:rPr>
          <w:color w:val="000000" w:themeColor="text1"/>
          <w:lang w:val="en-US"/>
        </w:rPr>
      </w:pPr>
      <w:r w:rsidRPr="008B7C8E">
        <w:rPr>
          <w:color w:val="000000" w:themeColor="text1"/>
          <w:lang w:val="en-US"/>
        </w:rPr>
        <w:t xml:space="preserve">Notably, this reduction in EPOCs did not uniformly extend to all major complications when </w:t>
      </w:r>
      <w:r w:rsidR="00335216" w:rsidRPr="008B7C8E">
        <w:rPr>
          <w:color w:val="000000" w:themeColor="text1"/>
          <w:lang w:val="en-US"/>
        </w:rPr>
        <w:t>analyzed</w:t>
      </w:r>
      <w:r w:rsidRPr="008B7C8E">
        <w:rPr>
          <w:color w:val="000000" w:themeColor="text1"/>
          <w:lang w:val="en-US"/>
        </w:rPr>
        <w:t xml:space="preserve"> separately. The ITS model showed a statistically significant immediate level change for major EPOCs, but the trend did not significantly decline over time. This distinction suggests that the ASAP </w:t>
      </w:r>
      <w:r w:rsidR="00A7437D" w:rsidRPr="008B7C8E">
        <w:rPr>
          <w:rStyle w:val="Enfasigrassetto"/>
          <w:b w:val="0"/>
          <w:bCs w:val="0"/>
          <w:color w:val="000000" w:themeColor="text1"/>
          <w:lang w:val="en-US"/>
        </w:rPr>
        <w:t>bundle</w:t>
      </w:r>
      <w:r w:rsidRPr="008B7C8E">
        <w:rPr>
          <w:color w:val="000000" w:themeColor="text1"/>
          <w:lang w:val="en-US"/>
        </w:rPr>
        <w:t>’s principal value may lie in mitigating less severe, yet frequent, postoperative events—such as inadequate pain control and opioid-related adverse effects—which contribute substantially to overall patient burden and healthcare costs.</w:t>
      </w:r>
      <w:r w:rsidR="00E87139" w:rsidRPr="008B7C8E">
        <w:rPr>
          <w:color w:val="000000" w:themeColor="text1"/>
          <w:vertAlign w:val="superscript"/>
          <w:lang w:val="en-US"/>
        </w:rPr>
        <w:t>2</w:t>
      </w:r>
      <w:r w:rsidR="00E8450D" w:rsidRPr="008B7C8E">
        <w:rPr>
          <w:color w:val="000000" w:themeColor="text1"/>
          <w:vertAlign w:val="superscript"/>
          <w:lang w:val="en-US"/>
        </w:rPr>
        <w:t>4</w:t>
      </w:r>
      <w:r w:rsidR="00E87139" w:rsidRPr="008B7C8E">
        <w:rPr>
          <w:color w:val="000000" w:themeColor="text1"/>
          <w:vertAlign w:val="superscript"/>
          <w:lang w:val="en-US"/>
        </w:rPr>
        <w:t>, 2</w:t>
      </w:r>
      <w:r w:rsidR="00E8450D" w:rsidRPr="008B7C8E">
        <w:rPr>
          <w:color w:val="000000" w:themeColor="text1"/>
          <w:vertAlign w:val="superscript"/>
          <w:lang w:val="en-US"/>
        </w:rPr>
        <w:t>5</w:t>
      </w:r>
      <w:r w:rsidR="00A7437D" w:rsidRPr="008B7C8E">
        <w:rPr>
          <w:color w:val="000000" w:themeColor="text1"/>
          <w:lang w:val="en-US"/>
        </w:rPr>
        <w:t xml:space="preserve"> </w:t>
      </w:r>
    </w:p>
    <w:p w14:paraId="2E5DF943" w14:textId="77777777" w:rsidR="00A7437D" w:rsidRPr="008B7C8E" w:rsidRDefault="00A7437D" w:rsidP="00D727BF">
      <w:pPr>
        <w:spacing w:line="360" w:lineRule="auto"/>
        <w:jc w:val="both"/>
        <w:rPr>
          <w:color w:val="000000" w:themeColor="text1"/>
          <w:lang w:val="en-US"/>
        </w:rPr>
      </w:pPr>
    </w:p>
    <w:p w14:paraId="67729009" w14:textId="4CF9A233" w:rsidR="00A7437D" w:rsidRPr="008B7C8E" w:rsidRDefault="00A7437D" w:rsidP="00D727BF">
      <w:pPr>
        <w:spacing w:line="360" w:lineRule="auto"/>
        <w:jc w:val="both"/>
        <w:rPr>
          <w:b/>
          <w:bCs/>
          <w:color w:val="000000" w:themeColor="text1"/>
          <w:lang w:val="en-US"/>
        </w:rPr>
      </w:pPr>
      <w:r w:rsidRPr="008B7C8E">
        <w:rPr>
          <w:b/>
          <w:bCs/>
          <w:color w:val="000000" w:themeColor="text1"/>
          <w:lang w:val="en-US"/>
        </w:rPr>
        <w:t>Effect of individual ASAP components</w:t>
      </w:r>
    </w:p>
    <w:p w14:paraId="0CC61F4B" w14:textId="63D519D1" w:rsidR="00D727BF" w:rsidRPr="008B7C8E" w:rsidRDefault="00D727BF" w:rsidP="00D727BF">
      <w:pPr>
        <w:spacing w:line="360" w:lineRule="auto"/>
        <w:jc w:val="both"/>
        <w:rPr>
          <w:color w:val="000000" w:themeColor="text1"/>
          <w:lang w:val="en-US"/>
        </w:rPr>
      </w:pPr>
      <w:r w:rsidRPr="008B7C8E">
        <w:rPr>
          <w:color w:val="000000" w:themeColor="text1"/>
          <w:lang w:val="en-US"/>
        </w:rPr>
        <w:t xml:space="preserve">Our results underscore the specific efficacy of two core components of the ASAP </w:t>
      </w:r>
      <w:r w:rsidR="00A7437D" w:rsidRPr="008B7C8E">
        <w:rPr>
          <w:rStyle w:val="Enfasigrassetto"/>
          <w:b w:val="0"/>
          <w:bCs w:val="0"/>
          <w:color w:val="000000" w:themeColor="text1"/>
          <w:lang w:val="en-US"/>
        </w:rPr>
        <w:t>bundle</w:t>
      </w:r>
      <w:r w:rsidRPr="008B7C8E">
        <w:rPr>
          <w:color w:val="000000" w:themeColor="text1"/>
          <w:lang w:val="en-US"/>
        </w:rPr>
        <w:t xml:space="preserve">: early surgical intervention and SFIB. Early surgery within 12 hours of admission was significantly associated with a reduction in both all and major EPOCs. This finding confirms existing evidence showing that reduced time to surgery is a modifiable factor </w:t>
      </w:r>
      <w:r w:rsidR="00006B91" w:rsidRPr="008B7C8E">
        <w:rPr>
          <w:color w:val="000000" w:themeColor="text1"/>
          <w:lang w:val="en-US"/>
        </w:rPr>
        <w:t xml:space="preserve">for </w:t>
      </w:r>
      <w:r w:rsidRPr="008B7C8E">
        <w:rPr>
          <w:color w:val="000000" w:themeColor="text1"/>
          <w:lang w:val="en-US"/>
        </w:rPr>
        <w:t xml:space="preserve">improving outcomes </w:t>
      </w:r>
      <w:r w:rsidR="00006B91" w:rsidRPr="008B7C8E">
        <w:rPr>
          <w:color w:val="000000" w:themeColor="text1"/>
          <w:lang w:val="en-US"/>
        </w:rPr>
        <w:t xml:space="preserve">in </w:t>
      </w:r>
      <w:r w:rsidRPr="008B7C8E">
        <w:rPr>
          <w:color w:val="000000" w:themeColor="text1"/>
          <w:lang w:val="en-US"/>
        </w:rPr>
        <w:t xml:space="preserve">patients with </w:t>
      </w:r>
      <w:r w:rsidR="00BC5A06" w:rsidRPr="008B7C8E">
        <w:rPr>
          <w:rFonts w:eastAsia="Arial Unicode MS"/>
          <w:color w:val="000000" w:themeColor="text1"/>
          <w:u w:color="000000"/>
          <w:bdr w:val="nil"/>
          <w:lang w:val="en-GB" w:eastAsia="fr-BE"/>
          <w14:textOutline w14:w="0" w14:cap="flat" w14:cmpd="sng" w14:algn="ctr">
            <w14:noFill/>
            <w14:prstDash w14:val="solid"/>
            <w14:bevel/>
          </w14:textOutline>
        </w:rPr>
        <w:t>hip fracture</w:t>
      </w:r>
      <w:r w:rsidRPr="008B7C8E">
        <w:rPr>
          <w:color w:val="000000" w:themeColor="text1"/>
          <w:lang w:val="en-US"/>
        </w:rPr>
        <w:t>.</w:t>
      </w:r>
      <w:r w:rsidR="00E87139" w:rsidRPr="008B7C8E">
        <w:rPr>
          <w:color w:val="000000" w:themeColor="text1"/>
          <w:vertAlign w:val="superscript"/>
          <w:lang w:val="en-US"/>
        </w:rPr>
        <w:t>2</w:t>
      </w:r>
      <w:r w:rsidR="00E8450D" w:rsidRPr="008B7C8E">
        <w:rPr>
          <w:color w:val="000000" w:themeColor="text1"/>
          <w:vertAlign w:val="superscript"/>
          <w:lang w:val="en-US"/>
        </w:rPr>
        <w:t>6</w:t>
      </w:r>
      <w:r w:rsidR="00E87139" w:rsidRPr="008B7C8E">
        <w:rPr>
          <w:color w:val="000000" w:themeColor="text1"/>
          <w:vertAlign w:val="superscript"/>
          <w:lang w:val="en-US"/>
        </w:rPr>
        <w:t>, 2</w:t>
      </w:r>
      <w:r w:rsidR="00E8450D" w:rsidRPr="008B7C8E">
        <w:rPr>
          <w:color w:val="000000" w:themeColor="text1"/>
          <w:vertAlign w:val="superscript"/>
          <w:lang w:val="en-US"/>
        </w:rPr>
        <w:t>7</w:t>
      </w:r>
      <w:r w:rsidRPr="008B7C8E">
        <w:rPr>
          <w:color w:val="000000" w:themeColor="text1"/>
          <w:lang w:val="en-US"/>
        </w:rPr>
        <w:t xml:space="preserve"> Our data support the hypothesis that the optimal timing may lie between </w:t>
      </w:r>
      <w:r w:rsidR="00231DB3" w:rsidRPr="008B7C8E">
        <w:rPr>
          <w:color w:val="000000" w:themeColor="text1"/>
          <w:lang w:val="en-US"/>
        </w:rPr>
        <w:t>6- and 12-hours</w:t>
      </w:r>
      <w:r w:rsidRPr="008B7C8E">
        <w:rPr>
          <w:color w:val="000000" w:themeColor="text1"/>
          <w:lang w:val="en-US"/>
        </w:rPr>
        <w:t xml:space="preserve"> post-admission, consistent with recent literature discouraging excessively early surgery (&lt;6 hours) due to increased physiological stress and perioperative risk.</w:t>
      </w:r>
      <w:r w:rsidR="00E87139" w:rsidRPr="008B7C8E">
        <w:rPr>
          <w:color w:val="000000" w:themeColor="text1"/>
          <w:vertAlign w:val="superscript"/>
          <w:lang w:val="en-US"/>
        </w:rPr>
        <w:t>2</w:t>
      </w:r>
      <w:r w:rsidR="00E8450D" w:rsidRPr="008B7C8E">
        <w:rPr>
          <w:color w:val="000000" w:themeColor="text1"/>
          <w:vertAlign w:val="superscript"/>
          <w:lang w:val="en-US"/>
        </w:rPr>
        <w:t>7</w:t>
      </w:r>
      <w:r w:rsidR="00754D84" w:rsidRPr="008B7C8E">
        <w:rPr>
          <w:color w:val="000000" w:themeColor="text1"/>
          <w:lang w:val="en-US"/>
        </w:rPr>
        <w:t xml:space="preserve"> For generalizability, we acknowledge that a 12-hour target is context-dependent and not feasible in all centers; our findings should therefore be interpreted as supporting the principle of performing surgery as early as safely achievable within, and ideally earlier than, the widely recommended 24–48-hour window, rather than advocating 12 hours as a universal standard.</w:t>
      </w:r>
    </w:p>
    <w:p w14:paraId="165C001D" w14:textId="3D174D08" w:rsidR="00A7437D" w:rsidRPr="008B7C8E" w:rsidRDefault="00D727BF" w:rsidP="00D727BF">
      <w:pPr>
        <w:spacing w:line="360" w:lineRule="auto"/>
        <w:jc w:val="both"/>
        <w:rPr>
          <w:color w:val="000000" w:themeColor="text1"/>
          <w:lang w:val="en-US"/>
        </w:rPr>
      </w:pPr>
      <w:r w:rsidRPr="008B7C8E">
        <w:rPr>
          <w:color w:val="000000" w:themeColor="text1"/>
          <w:lang w:val="en-US"/>
        </w:rPr>
        <w:t xml:space="preserve">The introduction of SFIB was also strongly associated with a lower incidence of all EPOCs. Pain scores decreased markedly in the post-ASAP cohort, and SFIB was associated with a 43% </w:t>
      </w:r>
      <w:r w:rsidRPr="008B7C8E">
        <w:rPr>
          <w:color w:val="000000" w:themeColor="text1"/>
          <w:lang w:val="en-US"/>
        </w:rPr>
        <w:lastRenderedPageBreak/>
        <w:t>relative reduction in complication risk. While this effect did not extend to major EPOCs alone, the results support the use of regional analgesia in geriatric fracture care to facilitate opioid-sparing strategies and reduce complications related to systemic analgesics.</w:t>
      </w:r>
      <w:r w:rsidR="00E87139" w:rsidRPr="008B7C8E">
        <w:rPr>
          <w:color w:val="000000" w:themeColor="text1"/>
          <w:vertAlign w:val="superscript"/>
          <w:lang w:val="en-US"/>
        </w:rPr>
        <w:t>10, 2</w:t>
      </w:r>
      <w:r w:rsidR="00E8450D" w:rsidRPr="008B7C8E">
        <w:rPr>
          <w:color w:val="000000" w:themeColor="text1"/>
          <w:vertAlign w:val="superscript"/>
          <w:lang w:val="en-US"/>
        </w:rPr>
        <w:t>4</w:t>
      </w:r>
      <w:r w:rsidR="00E87139" w:rsidRPr="008B7C8E">
        <w:rPr>
          <w:color w:val="000000" w:themeColor="text1"/>
          <w:vertAlign w:val="superscript"/>
          <w:lang w:val="en-US"/>
        </w:rPr>
        <w:t>, 2</w:t>
      </w:r>
      <w:r w:rsidR="00E8450D" w:rsidRPr="008B7C8E">
        <w:rPr>
          <w:color w:val="000000" w:themeColor="text1"/>
          <w:vertAlign w:val="superscript"/>
          <w:lang w:val="en-US"/>
        </w:rPr>
        <w:t>5</w:t>
      </w:r>
      <w:r w:rsidR="00730D59" w:rsidRPr="008B7C8E">
        <w:rPr>
          <w:color w:val="000000" w:themeColor="text1"/>
          <w:lang w:val="en-US"/>
        </w:rPr>
        <w:t xml:space="preserve"> </w:t>
      </w:r>
      <w:r w:rsidR="00A7437D" w:rsidRPr="008B7C8E">
        <w:rPr>
          <w:color w:val="000000" w:themeColor="text1"/>
          <w:lang w:val="en-US"/>
        </w:rPr>
        <w:t>Beyond analgesia, intraoperative blood pressure optimization has also been shown to reduce postoperative delirium in older hip fracture patients, underscoring the multifactorial nature of early postoperative complications and the need for comprehensive perioperative strategies.</w:t>
      </w:r>
      <w:r w:rsidR="00A7437D" w:rsidRPr="008B7C8E">
        <w:rPr>
          <w:color w:val="000000" w:themeColor="text1"/>
          <w:vertAlign w:val="superscript"/>
          <w:lang w:val="en-US"/>
        </w:rPr>
        <w:t>26</w:t>
      </w:r>
    </w:p>
    <w:p w14:paraId="0B44D5A0" w14:textId="712FC21B" w:rsidR="00A7437D" w:rsidRPr="008B7C8E" w:rsidRDefault="00730D59" w:rsidP="00D727BF">
      <w:pPr>
        <w:spacing w:line="360" w:lineRule="auto"/>
        <w:jc w:val="both"/>
        <w:rPr>
          <w:color w:val="000000" w:themeColor="text1"/>
          <w:lang w:val="en-US"/>
        </w:rPr>
      </w:pPr>
      <w:r w:rsidRPr="008B7C8E">
        <w:rPr>
          <w:color w:val="000000" w:themeColor="text1"/>
          <w:lang w:val="en-US"/>
        </w:rPr>
        <w:t>We observed a contemporaneous shift toward greater use of spinal anesthesia in the post-ASAP period, which may itself have contributed to the observed reduction in complications; however, the literature on whether anesthetic technique (spinal versus general anesthesia) independently improves postoperative outcomes after hip fracture remains conflicting and inconclusive, so this change in practice should be regarded as a potential but not clearly quantifiable co-intervention in our study.</w:t>
      </w:r>
      <w:r w:rsidR="00E87139" w:rsidRPr="008B7C8E">
        <w:rPr>
          <w:color w:val="000000" w:themeColor="text1"/>
          <w:vertAlign w:val="superscript"/>
          <w:lang w:val="en-US"/>
        </w:rPr>
        <w:t>7, 8, 2</w:t>
      </w:r>
      <w:r w:rsidR="00E8450D" w:rsidRPr="008B7C8E">
        <w:rPr>
          <w:color w:val="000000" w:themeColor="text1"/>
          <w:vertAlign w:val="superscript"/>
          <w:lang w:val="en-US"/>
        </w:rPr>
        <w:t>9</w:t>
      </w:r>
      <w:r w:rsidR="00A7437D" w:rsidRPr="008B7C8E">
        <w:rPr>
          <w:color w:val="000000" w:themeColor="text1"/>
          <w:vertAlign w:val="superscript"/>
          <w:lang w:val="en-US"/>
        </w:rPr>
        <w:t xml:space="preserve">, </w:t>
      </w:r>
      <w:r w:rsidR="00E8450D" w:rsidRPr="008B7C8E">
        <w:rPr>
          <w:color w:val="000000" w:themeColor="text1"/>
          <w:vertAlign w:val="superscript"/>
          <w:lang w:val="en-US"/>
        </w:rPr>
        <w:t>30</w:t>
      </w:r>
      <w:r w:rsidR="00AA2197" w:rsidRPr="008B7C8E">
        <w:rPr>
          <w:color w:val="000000" w:themeColor="text1"/>
          <w:lang w:val="en-US"/>
        </w:rPr>
        <w:t xml:space="preserve"> Importantly, spinal anesthesia uptake was not an intended component of the ASAP bundle, and adjustment for spinal anesthesia in sensitivity analyses did not materially change the estimated ASAP effect, supporting the robustness of our findings to this concurrent practice change.</w:t>
      </w:r>
    </w:p>
    <w:p w14:paraId="7127ECA1" w14:textId="57132583" w:rsidR="00D727BF" w:rsidRPr="008B7C8E" w:rsidRDefault="003A3CBF" w:rsidP="00D727BF">
      <w:pPr>
        <w:spacing w:line="360" w:lineRule="auto"/>
        <w:jc w:val="both"/>
        <w:rPr>
          <w:color w:val="000000" w:themeColor="text1"/>
          <w:lang w:val="en-US"/>
        </w:rPr>
      </w:pPr>
      <w:r w:rsidRPr="008B7C8E">
        <w:rPr>
          <w:color w:val="000000" w:themeColor="text1"/>
          <w:lang w:val="en-US"/>
        </w:rPr>
        <w:t>When examining the number of ASAP components applied, a clear dose</w:t>
      </w:r>
      <w:r w:rsidR="001B1205" w:rsidRPr="008B7C8E">
        <w:rPr>
          <w:color w:val="000000" w:themeColor="text1"/>
          <w:lang w:val="en-US"/>
        </w:rPr>
        <w:t>-</w:t>
      </w:r>
      <w:r w:rsidRPr="008B7C8E">
        <w:rPr>
          <w:color w:val="000000" w:themeColor="text1"/>
          <w:lang w:val="en-US"/>
        </w:rPr>
        <w:t xml:space="preserve">response trend emerged. </w:t>
      </w:r>
      <w:r w:rsidR="00EC498F" w:rsidRPr="008B7C8E">
        <w:rPr>
          <w:color w:val="000000" w:themeColor="text1"/>
          <w:lang w:val="en-US"/>
        </w:rPr>
        <w:t xml:space="preserve">Accordingly, the observed dose–response gradient reflects real-world partial implementation of the pathway, since patients could receive anywhere from 0 to 4 ASAP components and those with 0 components formed the reference group in our Cox models. </w:t>
      </w:r>
      <w:r w:rsidRPr="008B7C8E">
        <w:rPr>
          <w:color w:val="000000" w:themeColor="text1"/>
          <w:lang w:val="en-US"/>
        </w:rPr>
        <w:t>However, our analysis also suggests that it is not solely the quantity of interventions, but the type and quality, that determine effectiveness. This aligns with Donabedian’s model of healthcare quality, which emphasizes that the structure and process of care delivery—not merely the number of interventions—are critical determinants of outcomes.</w:t>
      </w:r>
      <w:r w:rsidR="00E8450D" w:rsidRPr="008B7C8E">
        <w:rPr>
          <w:color w:val="000000" w:themeColor="text1"/>
          <w:vertAlign w:val="superscript"/>
          <w:lang w:val="en-US"/>
        </w:rPr>
        <w:t>31</w:t>
      </w:r>
      <w:r w:rsidRPr="008B7C8E">
        <w:rPr>
          <w:color w:val="000000" w:themeColor="text1"/>
          <w:lang w:val="en-US"/>
        </w:rPr>
        <w:t xml:space="preserve"> Future studies should explore possible synergistic effects between components—for example, whether the benefit of early surgery is enhanced by concurrent analgesia or medication </w:t>
      </w:r>
      <w:r w:rsidR="00335216" w:rsidRPr="008B7C8E">
        <w:rPr>
          <w:color w:val="000000" w:themeColor="text1"/>
          <w:lang w:val="en-US"/>
        </w:rPr>
        <w:t>optimization</w:t>
      </w:r>
      <w:r w:rsidR="00D727BF" w:rsidRPr="008B7C8E">
        <w:rPr>
          <w:color w:val="000000" w:themeColor="text1"/>
          <w:lang w:val="en-US"/>
        </w:rPr>
        <w:t>.</w:t>
      </w:r>
    </w:p>
    <w:p w14:paraId="439A3E05" w14:textId="506DEE31" w:rsidR="002C6E2A" w:rsidRPr="008B7C8E" w:rsidRDefault="002C6E2A" w:rsidP="00D727BF">
      <w:pPr>
        <w:spacing w:line="360" w:lineRule="auto"/>
        <w:jc w:val="both"/>
        <w:rPr>
          <w:color w:val="000000" w:themeColor="text1"/>
          <w:lang w:val="en-US"/>
        </w:rPr>
      </w:pPr>
      <w:r w:rsidRPr="008B7C8E">
        <w:rPr>
          <w:color w:val="000000" w:themeColor="text1"/>
          <w:lang w:val="en-US"/>
        </w:rPr>
        <w:t>In contrast, ortho-geriatric consultation and therapeutic adaptation yielded the greatest hazard reductions for major EPOCs (HR 0.30; 95% CI 0.21</w:t>
      </w:r>
      <w:r w:rsidR="001B1205" w:rsidRPr="008B7C8E">
        <w:rPr>
          <w:color w:val="000000" w:themeColor="text1"/>
          <w:lang w:val="en-US"/>
        </w:rPr>
        <w:t>-</w:t>
      </w:r>
      <w:r w:rsidRPr="008B7C8E">
        <w:rPr>
          <w:color w:val="000000" w:themeColor="text1"/>
          <w:lang w:val="en-US"/>
        </w:rPr>
        <w:t>0.42 and HR 0.25; 95% CI 0.18</w:t>
      </w:r>
      <w:r w:rsidR="001B1205" w:rsidRPr="008B7C8E">
        <w:rPr>
          <w:color w:val="000000" w:themeColor="text1"/>
          <w:lang w:val="en-US"/>
        </w:rPr>
        <w:t>-</w:t>
      </w:r>
      <w:r w:rsidRPr="008B7C8E">
        <w:rPr>
          <w:color w:val="000000" w:themeColor="text1"/>
          <w:lang w:val="en-US"/>
        </w:rPr>
        <w:t>0.36, respectively), underscoring the value of holistic geriatric co</w:t>
      </w:r>
      <w:r w:rsidR="00EC498F" w:rsidRPr="008B7C8E">
        <w:rPr>
          <w:color w:val="000000" w:themeColor="text1"/>
          <w:lang w:val="en-US"/>
        </w:rPr>
        <w:t>nsultation</w:t>
      </w:r>
      <w:r w:rsidRPr="008B7C8E">
        <w:rPr>
          <w:color w:val="000000" w:themeColor="text1"/>
          <w:lang w:val="en-US"/>
        </w:rPr>
        <w:t xml:space="preserve"> in preventing severe complications. However, our largely consultative model—rather than fully integrated geriatric co-management—may have attenuated their impact. Unlike settings with dedicated ortho-geriatric units, we relied on on-request consultations, which could have limited the scope of interdisciplinary interventions.</w:t>
      </w:r>
      <w:r w:rsidR="00E87139" w:rsidRPr="008B7C8E">
        <w:rPr>
          <w:color w:val="000000" w:themeColor="text1"/>
          <w:vertAlign w:val="superscript"/>
          <w:lang w:val="en-US"/>
        </w:rPr>
        <w:t xml:space="preserve">12, </w:t>
      </w:r>
      <w:r w:rsidR="00E8450D" w:rsidRPr="008B7C8E">
        <w:rPr>
          <w:color w:val="000000" w:themeColor="text1"/>
          <w:vertAlign w:val="superscript"/>
          <w:lang w:val="en-US"/>
        </w:rPr>
        <w:t>32</w:t>
      </w:r>
    </w:p>
    <w:p w14:paraId="604300AF" w14:textId="5103990B" w:rsidR="00D727BF" w:rsidRPr="008B7C8E" w:rsidRDefault="00D727BF" w:rsidP="00D727BF">
      <w:pPr>
        <w:spacing w:line="360" w:lineRule="auto"/>
        <w:jc w:val="both"/>
        <w:rPr>
          <w:color w:val="000000" w:themeColor="text1"/>
          <w:lang w:val="en-US"/>
        </w:rPr>
      </w:pPr>
      <w:r w:rsidRPr="008B7C8E">
        <w:rPr>
          <w:color w:val="000000" w:themeColor="text1"/>
          <w:lang w:val="en-US"/>
        </w:rPr>
        <w:t xml:space="preserve">Findings relating to therapeutic adaptation and the ARS require a nuanced interpretation. While deprescribing is broadly encouraged, our data did not demonstrate a clearly beneficial impact </w:t>
      </w:r>
      <w:r w:rsidRPr="008B7C8E">
        <w:rPr>
          <w:color w:val="000000" w:themeColor="text1"/>
          <w:lang w:val="en-US"/>
        </w:rPr>
        <w:lastRenderedPageBreak/>
        <w:t xml:space="preserve">from ARS-driven medication changes. In some cases, overly cautious or non-specific pharmacological adjustments in the perioperative period may </w:t>
      </w:r>
      <w:r w:rsidR="00335216" w:rsidRPr="008B7C8E">
        <w:rPr>
          <w:color w:val="000000" w:themeColor="text1"/>
          <w:lang w:val="en-US"/>
        </w:rPr>
        <w:t>destabilize</w:t>
      </w:r>
      <w:r w:rsidRPr="008B7C8E">
        <w:rPr>
          <w:color w:val="000000" w:themeColor="text1"/>
          <w:lang w:val="en-US"/>
        </w:rPr>
        <w:t xml:space="preserve"> frail patients. Future strategies may benefit from more refined, patient-specific risk stratification—potentially extending beyond ARS or incorporating frailty indices—to guide medication management more safely and effectively.</w:t>
      </w:r>
      <w:r w:rsidR="00E87139" w:rsidRPr="008B7C8E">
        <w:rPr>
          <w:color w:val="000000" w:themeColor="text1"/>
          <w:vertAlign w:val="superscript"/>
          <w:lang w:val="en-US"/>
        </w:rPr>
        <w:t xml:space="preserve">13, </w:t>
      </w:r>
      <w:r w:rsidR="00A7437D" w:rsidRPr="008B7C8E">
        <w:rPr>
          <w:color w:val="000000" w:themeColor="text1"/>
          <w:vertAlign w:val="superscript"/>
          <w:lang w:val="en-US"/>
        </w:rPr>
        <w:t>3</w:t>
      </w:r>
      <w:r w:rsidR="00E8450D" w:rsidRPr="008B7C8E">
        <w:rPr>
          <w:color w:val="000000" w:themeColor="text1"/>
          <w:vertAlign w:val="superscript"/>
          <w:lang w:val="en-US"/>
        </w:rPr>
        <w:t>3</w:t>
      </w:r>
    </w:p>
    <w:p w14:paraId="73C49E0A" w14:textId="77777777" w:rsidR="00A7437D" w:rsidRPr="008B7C8E" w:rsidRDefault="00A7437D" w:rsidP="00D727BF">
      <w:pPr>
        <w:spacing w:line="360" w:lineRule="auto"/>
        <w:jc w:val="both"/>
        <w:rPr>
          <w:color w:val="000000" w:themeColor="text1"/>
          <w:lang w:val="en-US"/>
        </w:rPr>
      </w:pPr>
    </w:p>
    <w:p w14:paraId="0215652D" w14:textId="0A677A1F" w:rsidR="00A7437D" w:rsidRPr="008B7C8E" w:rsidRDefault="00A7437D" w:rsidP="00D727BF">
      <w:pPr>
        <w:spacing w:line="360" w:lineRule="auto"/>
        <w:jc w:val="both"/>
        <w:rPr>
          <w:b/>
          <w:bCs/>
          <w:color w:val="000000" w:themeColor="text1"/>
          <w:lang w:val="en-US"/>
        </w:rPr>
      </w:pPr>
      <w:r w:rsidRPr="008B7C8E">
        <w:rPr>
          <w:b/>
          <w:bCs/>
          <w:color w:val="000000" w:themeColor="text1"/>
          <w:lang w:val="en-US"/>
        </w:rPr>
        <w:t>Limitations</w:t>
      </w:r>
    </w:p>
    <w:p w14:paraId="386277B3" w14:textId="1C5860AD" w:rsidR="00A7437D" w:rsidRPr="008B7C8E" w:rsidRDefault="00A7437D" w:rsidP="00D727BF">
      <w:pPr>
        <w:spacing w:line="360" w:lineRule="auto"/>
        <w:jc w:val="both"/>
        <w:rPr>
          <w:color w:val="000000" w:themeColor="text1"/>
          <w:lang w:val="en-US"/>
        </w:rPr>
      </w:pPr>
      <w:r w:rsidRPr="008B7C8E">
        <w:rPr>
          <w:color w:val="000000" w:themeColor="text1"/>
          <w:lang w:val="en-US"/>
        </w:rPr>
        <w:t>This study reflects a single-center implementation with specific institutional protocols and patient demographics. As such, generalizability may be limited. Further validation in other settings is warranted to confirm broader applicability.</w:t>
      </w:r>
    </w:p>
    <w:p w14:paraId="31E42292" w14:textId="374049F8" w:rsidR="00A7437D" w:rsidRPr="008B7C8E" w:rsidRDefault="00A7437D" w:rsidP="00D727BF">
      <w:pPr>
        <w:spacing w:line="360" w:lineRule="auto"/>
        <w:jc w:val="both"/>
        <w:rPr>
          <w:color w:val="000000" w:themeColor="text1"/>
          <w:lang w:val="en-US"/>
        </w:rPr>
      </w:pPr>
      <w:r w:rsidRPr="008B7C8E">
        <w:rPr>
          <w:color w:val="000000" w:themeColor="text1"/>
          <w:lang w:val="en-US"/>
        </w:rPr>
        <w:t>We did not define a formal wash-in period because all four ASAP components were already available and intermittently used before implementation, and the intervention primarily consisted of standardizing and intensifying the use of these existing measures rather than introducing entirely new practices—a choice we acknowledge as a limitation, since a brief implementation phase might still have influenced early post-ASAP outcomes.</w:t>
      </w:r>
    </w:p>
    <w:p w14:paraId="6B52E1FF" w14:textId="0B223385" w:rsidR="00D727BF" w:rsidRPr="008B7C8E" w:rsidRDefault="003A3CBF" w:rsidP="00D727BF">
      <w:pPr>
        <w:spacing w:line="360" w:lineRule="auto"/>
        <w:jc w:val="both"/>
        <w:rPr>
          <w:color w:val="000000" w:themeColor="text1"/>
          <w:lang w:val="en-US"/>
        </w:rPr>
      </w:pPr>
      <w:r w:rsidRPr="008B7C8E">
        <w:rPr>
          <w:color w:val="000000" w:themeColor="text1"/>
          <w:lang w:val="en-US"/>
        </w:rPr>
        <w:t>There are several limitations</w:t>
      </w:r>
      <w:r w:rsidR="00006B91" w:rsidRPr="008B7C8E">
        <w:rPr>
          <w:color w:val="000000" w:themeColor="text1"/>
          <w:lang w:val="en-US"/>
        </w:rPr>
        <w:t xml:space="preserve"> to our study</w:t>
      </w:r>
      <w:r w:rsidRPr="008B7C8E">
        <w:rPr>
          <w:color w:val="000000" w:themeColor="text1"/>
          <w:lang w:val="en-US"/>
        </w:rPr>
        <w:t xml:space="preserve">. First, although we assessed a comprehensive set of common complications, rare but serious events (e.g., mesenteric </w:t>
      </w:r>
      <w:r w:rsidR="00335216" w:rsidRPr="008B7C8E">
        <w:rPr>
          <w:color w:val="000000" w:themeColor="text1"/>
          <w:lang w:val="en-US"/>
        </w:rPr>
        <w:t>ischemia</w:t>
      </w:r>
      <w:r w:rsidRPr="008B7C8E">
        <w:rPr>
          <w:color w:val="000000" w:themeColor="text1"/>
          <w:lang w:val="en-US"/>
        </w:rPr>
        <w:t xml:space="preserve"> or drug-induced hepatitis) were not included. </w:t>
      </w:r>
      <w:r w:rsidR="00D94BF1" w:rsidRPr="008B7C8E">
        <w:rPr>
          <w:color w:val="000000" w:themeColor="text1"/>
          <w:lang w:val="en-US"/>
        </w:rPr>
        <w:t xml:space="preserve">We arbitrarily excluded patients who died before surgery, because in the context of our relatively short preoperative waiting times such deaths were judged to reflect catastrophic events independent of the hip fracture itself or even the primary cause of both the fall and the fracture. This choice may have led to a slight underestimation of the overall event rate; however, only one patient met this criterion (a death within hours of admission due to a massive cerebrovascular event), so the impact on our estimates is likely negligible.  </w:t>
      </w:r>
      <w:r w:rsidRPr="008B7C8E">
        <w:rPr>
          <w:color w:val="000000" w:themeColor="text1"/>
          <w:lang w:val="en-US"/>
        </w:rPr>
        <w:t>Second, the ortho-geriatric component was limited to consultation rather than continuous co-management, which may have attenuated its effectiveness.</w:t>
      </w:r>
      <w:r w:rsidR="00E87139" w:rsidRPr="008B7C8E">
        <w:rPr>
          <w:color w:val="000000" w:themeColor="text1"/>
          <w:vertAlign w:val="superscript"/>
          <w:lang w:val="en-US"/>
        </w:rPr>
        <w:t xml:space="preserve">11, </w:t>
      </w:r>
      <w:r w:rsidR="00E8450D" w:rsidRPr="008B7C8E">
        <w:rPr>
          <w:color w:val="000000" w:themeColor="text1"/>
          <w:vertAlign w:val="superscript"/>
          <w:lang w:val="en-US"/>
        </w:rPr>
        <w:t>31</w:t>
      </w:r>
      <w:r w:rsidRPr="008B7C8E">
        <w:rPr>
          <w:color w:val="000000" w:themeColor="text1"/>
          <w:lang w:val="en-US"/>
        </w:rPr>
        <w:t xml:space="preserve"> Third, although the ITS design and statistical adjustments improved internal validity, this approach remains susceptible to unmeasured secular trends or co-interventions occurring alongside ASAP implementation. As a quasi-experimental method, ITS strengthens causal inference compared to simple pre</w:t>
      </w:r>
      <w:r w:rsidR="001B1205" w:rsidRPr="008B7C8E">
        <w:rPr>
          <w:color w:val="000000" w:themeColor="text1"/>
          <w:lang w:val="en-US"/>
        </w:rPr>
        <w:t>-</w:t>
      </w:r>
      <w:r w:rsidRPr="008B7C8E">
        <w:rPr>
          <w:color w:val="000000" w:themeColor="text1"/>
          <w:lang w:val="en-US"/>
        </w:rPr>
        <w:t>post analyses but can still be affected by temporal confounding.</w:t>
      </w:r>
      <w:r w:rsidR="00E87139" w:rsidRPr="008B7C8E">
        <w:rPr>
          <w:color w:val="000000" w:themeColor="text1"/>
          <w:vertAlign w:val="superscript"/>
          <w:lang w:val="en-US"/>
        </w:rPr>
        <w:t>3</w:t>
      </w:r>
      <w:r w:rsidR="00E8450D" w:rsidRPr="008B7C8E">
        <w:rPr>
          <w:color w:val="000000" w:themeColor="text1"/>
          <w:vertAlign w:val="superscript"/>
          <w:lang w:val="en-US"/>
        </w:rPr>
        <w:t>4</w:t>
      </w:r>
      <w:r w:rsidRPr="008B7C8E">
        <w:rPr>
          <w:color w:val="000000" w:themeColor="text1"/>
          <w:lang w:val="en-US"/>
        </w:rPr>
        <w:t xml:space="preserve"> These factors may have influenced outcomes independently of the intervention. Additionally, while Cox models indicated associations between individual ASAP components and outcomes, these findings should be interpreted cautiously due to limited sample size and reduced statistical power in stratified analyses. Mortality outcome</w:t>
      </w:r>
      <w:r w:rsidR="00F22462" w:rsidRPr="008B7C8E">
        <w:rPr>
          <w:color w:val="000000" w:themeColor="text1"/>
          <w:lang w:val="en-US"/>
        </w:rPr>
        <w:t xml:space="preserve"> </w:t>
      </w:r>
      <w:r w:rsidR="00690520" w:rsidRPr="008B7C8E">
        <w:rPr>
          <w:color w:val="000000" w:themeColor="text1"/>
          <w:lang w:val="en-US"/>
        </w:rPr>
        <w:t>was</w:t>
      </w:r>
      <w:r w:rsidRPr="008B7C8E">
        <w:rPr>
          <w:color w:val="000000" w:themeColor="text1"/>
          <w:lang w:val="en-US"/>
        </w:rPr>
        <w:t xml:space="preserve"> likely underpowered and may also ha</w:t>
      </w:r>
      <w:r w:rsidR="00690520" w:rsidRPr="008B7C8E">
        <w:rPr>
          <w:color w:val="000000" w:themeColor="text1"/>
          <w:lang w:val="en-US"/>
        </w:rPr>
        <w:t>s</w:t>
      </w:r>
      <w:r w:rsidRPr="008B7C8E">
        <w:rPr>
          <w:color w:val="000000" w:themeColor="text1"/>
          <w:lang w:val="en-US"/>
        </w:rPr>
        <w:t xml:space="preserve"> been confounded by the COVID-19 pandemic, which disproportionately affected older populations. </w:t>
      </w:r>
      <w:r w:rsidRPr="008B7C8E">
        <w:rPr>
          <w:color w:val="000000" w:themeColor="text1"/>
          <w:lang w:val="en-US"/>
        </w:rPr>
        <w:lastRenderedPageBreak/>
        <w:t xml:space="preserve">The low event rate and missing data further limit the reliability of conclusions regarding </w:t>
      </w:r>
      <w:r w:rsidR="00F22462" w:rsidRPr="008B7C8E">
        <w:rPr>
          <w:color w:val="000000" w:themeColor="text1"/>
          <w:lang w:val="en-US"/>
        </w:rPr>
        <w:t>postoperative</w:t>
      </w:r>
      <w:r w:rsidRPr="008B7C8E">
        <w:rPr>
          <w:color w:val="000000" w:themeColor="text1"/>
          <w:lang w:val="en-US"/>
        </w:rPr>
        <w:t xml:space="preserve"> mortality.</w:t>
      </w:r>
    </w:p>
    <w:p w14:paraId="65B4E3CD" w14:textId="77777777" w:rsidR="00D727BF" w:rsidRPr="008B7C8E" w:rsidRDefault="00D727BF" w:rsidP="00D727BF">
      <w:pPr>
        <w:spacing w:line="360" w:lineRule="auto"/>
        <w:jc w:val="both"/>
        <w:rPr>
          <w:color w:val="000000" w:themeColor="text1"/>
          <w:lang w:val="en-US"/>
        </w:rPr>
      </w:pPr>
      <w:r w:rsidRPr="008B7C8E">
        <w:rPr>
          <w:color w:val="000000" w:themeColor="text1"/>
          <w:lang w:val="en-US"/>
        </w:rPr>
        <w:t>While this study focused on reducing postoperative complications, future research should also assess whether such interventions improve functional recovery, independence, and quality of life—particularly important outcomes in elderly populations.</w:t>
      </w:r>
    </w:p>
    <w:p w14:paraId="67942C87" w14:textId="2D19E445" w:rsidR="00D727BF" w:rsidRPr="008B7C8E" w:rsidRDefault="002C6E2A" w:rsidP="00D727BF">
      <w:pPr>
        <w:spacing w:line="360" w:lineRule="auto"/>
        <w:jc w:val="both"/>
        <w:rPr>
          <w:color w:val="000000" w:themeColor="text1"/>
          <w:lang w:val="en-US"/>
        </w:rPr>
      </w:pPr>
      <w:r w:rsidRPr="008B7C8E">
        <w:rPr>
          <w:color w:val="000000" w:themeColor="text1"/>
          <w:lang w:val="en-US"/>
        </w:rPr>
        <w:t>In summary, these findings demonstrate that a balanced combination of timely surgery, regional analgesia, geriatric co‐management, and targeted pharmacology is necessary: early surgery and SFIB effectively reduce all EPOCs, whereas ortho‐geriatric consultation and therapeutic adaptation exert the greatest protection against major EPOCs.</w:t>
      </w:r>
      <w:r w:rsidR="00006B91" w:rsidRPr="008B7C8E">
        <w:rPr>
          <w:color w:val="000000" w:themeColor="text1"/>
          <w:lang w:val="en-US"/>
        </w:rPr>
        <w:t xml:space="preserve"> </w:t>
      </w:r>
      <w:r w:rsidR="00D727BF" w:rsidRPr="008B7C8E">
        <w:rPr>
          <w:color w:val="000000" w:themeColor="text1"/>
          <w:lang w:val="en-US"/>
        </w:rPr>
        <w:t xml:space="preserve">Clinicians should exercise caution when modifying chronic medications in elderly patients, particularly those with neuropsychiatric regimens. These findings support the continued development of multimodal, interdisciplinary care pathways and call for large, </w:t>
      </w:r>
      <w:r w:rsidR="00335216" w:rsidRPr="008B7C8E">
        <w:rPr>
          <w:color w:val="000000" w:themeColor="text1"/>
          <w:lang w:val="en-US"/>
        </w:rPr>
        <w:t>multicenter</w:t>
      </w:r>
      <w:r w:rsidR="00D727BF" w:rsidRPr="008B7C8E">
        <w:rPr>
          <w:color w:val="000000" w:themeColor="text1"/>
          <w:lang w:val="en-US"/>
        </w:rPr>
        <w:t xml:space="preserve"> trials to validate and refine such strategies.</w:t>
      </w:r>
    </w:p>
    <w:p w14:paraId="27BBBB41" w14:textId="77777777" w:rsidR="00E8450D" w:rsidRPr="008B7C8E" w:rsidRDefault="00E8450D" w:rsidP="00166387">
      <w:pPr>
        <w:rPr>
          <w:rFonts w:eastAsia="Arial Unicode MS"/>
          <w:b/>
          <w:bCs/>
          <w:color w:val="000000" w:themeColor="text1"/>
          <w:u w:color="000000"/>
          <w:bdr w:val="nil"/>
          <w:lang w:val="en-US" w:eastAsia="fr-BE"/>
          <w14:textOutline w14:w="0" w14:cap="flat" w14:cmpd="sng" w14:algn="ctr">
            <w14:noFill/>
            <w14:prstDash w14:val="solid"/>
            <w14:bevel/>
          </w14:textOutline>
        </w:rPr>
      </w:pPr>
    </w:p>
    <w:p w14:paraId="18A89610" w14:textId="77777777" w:rsidR="00E8450D" w:rsidRPr="008B7C8E" w:rsidRDefault="00E8450D">
      <w:pPr>
        <w:rPr>
          <w:rFonts w:eastAsia="Arial Unicode MS"/>
          <w:b/>
          <w:bCs/>
          <w:color w:val="000000" w:themeColor="text1"/>
          <w:u w:color="000000"/>
          <w:bdr w:val="nil"/>
          <w:lang w:val="en-US"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US" w:eastAsia="fr-BE"/>
          <w14:textOutline w14:w="0" w14:cap="flat" w14:cmpd="sng" w14:algn="ctr">
            <w14:noFill/>
            <w14:prstDash w14:val="solid"/>
            <w14:bevel/>
          </w14:textOutline>
        </w:rPr>
        <w:br w:type="page"/>
      </w:r>
    </w:p>
    <w:p w14:paraId="6C9EE9F2" w14:textId="77777777" w:rsidR="00E8450D" w:rsidRPr="008B7C8E" w:rsidRDefault="00E8450D" w:rsidP="00E8450D">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US" w:eastAsia="fr-BE"/>
          <w14:textOutline w14:w="0" w14:cap="flat" w14:cmpd="sng" w14:algn="ctr">
            <w14:noFill/>
            <w14:prstDash w14:val="solid"/>
            <w14:bevel/>
          </w14:textOutline>
        </w:rPr>
        <w:lastRenderedPageBreak/>
        <w:t>SUPPLEMENTARY DIGITAL CONTENT</w:t>
      </w:r>
    </w:p>
    <w:p w14:paraId="3C3B0845" w14:textId="77777777" w:rsidR="00E8450D" w:rsidRPr="008B7C8E" w:rsidRDefault="00E8450D" w:rsidP="00E8450D">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66E9C65A" w14:textId="77777777" w:rsidR="00E8450D" w:rsidRPr="008B7C8E" w:rsidRDefault="00E8450D" w:rsidP="00E8450D">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US" w:eastAsia="fr-BE"/>
          <w14:textOutline w14:w="0" w14:cap="flat" w14:cmpd="sng" w14:algn="ctr">
            <w14:noFill/>
            <w14:prstDash w14:val="solid"/>
            <w14:bevel/>
          </w14:textOutline>
        </w:rPr>
        <w:t xml:space="preserve">S1: </w:t>
      </w:r>
      <w:r w:rsidRPr="008B7C8E">
        <w:rPr>
          <w:rFonts w:eastAsia="Arial Unicode MS"/>
          <w:color w:val="000000" w:themeColor="text1"/>
          <w:u w:color="000000"/>
          <w:bdr w:val="nil"/>
          <w:lang w:val="en-US" w:eastAsia="fr-BE"/>
          <w14:textOutline w14:w="0" w14:cap="flat" w14:cmpd="sng" w14:algn="ctr">
            <w14:noFill/>
            <w14:prstDash w14:val="solid"/>
            <w14:bevel/>
          </w14:textOutline>
        </w:rPr>
        <w:t>Supplementary Methods.</w:t>
      </w:r>
      <w:r w:rsidRPr="008B7C8E">
        <w:rPr>
          <w:rFonts w:eastAsia="Arial Unicode MS"/>
          <w:b/>
          <w:bCs/>
          <w:color w:val="000000" w:themeColor="text1"/>
          <w:u w:color="000000"/>
          <w:bdr w:val="nil"/>
          <w:lang w:val="en-US" w:eastAsia="fr-BE"/>
          <w14:textOutline w14:w="0" w14:cap="flat" w14:cmpd="sng" w14:algn="ctr">
            <w14:noFill/>
            <w14:prstDash w14:val="solid"/>
            <w14:bevel/>
          </w14:textOutline>
        </w:rPr>
        <w:t xml:space="preserve"> </w:t>
      </w:r>
      <w:r w:rsidRPr="008B7C8E">
        <w:rPr>
          <w:rFonts w:eastAsia="Arial Unicode MS"/>
          <w:color w:val="000000" w:themeColor="text1"/>
          <w:u w:color="000000"/>
          <w:bdr w:val="nil"/>
          <w:lang w:val="en-US" w:eastAsia="fr-BE"/>
          <w14:textOutline w14:w="0" w14:cap="flat" w14:cmpd="sng" w14:algn="ctr">
            <w14:noFill/>
            <w14:prstDash w14:val="solid"/>
            <w14:bevel/>
          </w14:textOutline>
        </w:rPr>
        <w:t>Detailed description of statistical procedures, including descriptive statistics, interrupted time-series modelling, survival and Cox regression analyses, sensitivity analyses, and sample size calculation.</w:t>
      </w:r>
    </w:p>
    <w:p w14:paraId="316B6893" w14:textId="77777777" w:rsidR="00E8450D" w:rsidRPr="008B7C8E" w:rsidRDefault="00E8450D" w:rsidP="00E8450D">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US" w:eastAsia="fr-BE"/>
          <w14:textOutline w14:w="0" w14:cap="flat" w14:cmpd="sng" w14:algn="ctr">
            <w14:noFill/>
            <w14:prstDash w14:val="solid"/>
            <w14:bevel/>
          </w14:textOutline>
        </w:rPr>
        <w:t xml:space="preserve">S2 : </w:t>
      </w:r>
      <w:r w:rsidRPr="008B7C8E">
        <w:rPr>
          <w:rFonts w:eastAsia="Arial Unicode MS"/>
          <w:color w:val="000000" w:themeColor="text1"/>
          <w:u w:color="000000"/>
          <w:bdr w:val="nil"/>
          <w:lang w:val="en-US" w:eastAsia="fr-BE"/>
          <w14:textOutline w14:w="0" w14:cap="flat" w14:cmpd="sng" w14:algn="ctr">
            <w14:noFill/>
            <w14:prstDash w14:val="solid"/>
            <w14:bevel/>
          </w14:textOutline>
        </w:rPr>
        <w:t>Supplementary Results. Interrupted time-series analyses, model diagnostics, and survival analyses for early postoperative complications in the ASAP and standard-care cohorts.</w:t>
      </w:r>
    </w:p>
    <w:p w14:paraId="6729FB2C" w14:textId="3567B725" w:rsidR="00166387" w:rsidRPr="008B7C8E" w:rsidRDefault="00E31357" w:rsidP="00E8450D">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US" w:eastAsia="fr-BE"/>
          <w14:textOutline w14:w="0" w14:cap="flat" w14:cmpd="sng" w14:algn="ctr">
            <w14:noFill/>
            <w14:prstDash w14:val="solid"/>
            <w14:bevel/>
          </w14:textOutline>
        </w:rPr>
        <w:br w:type="page"/>
      </w:r>
    </w:p>
    <w:p w14:paraId="5285BDD7" w14:textId="5BBD6AAB" w:rsidR="005A7BE1" w:rsidRPr="008B7C8E" w:rsidRDefault="005A7BE1" w:rsidP="005A7BE1">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US" w:eastAsia="fr-BE"/>
          <w14:textOutline w14:w="0" w14:cap="flat" w14:cmpd="sng" w14:algn="ctr">
            <w14:noFill/>
            <w14:prstDash w14:val="solid"/>
            <w14:bevel/>
          </w14:textOutline>
        </w:rPr>
        <w:lastRenderedPageBreak/>
        <w:t>REFERENCES</w:t>
      </w:r>
    </w:p>
    <w:p w14:paraId="2289F3AC"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Brauer CA, Coca-Perraillon M, Cutler DM, Rosen AB. Incidence and mortality of hip fractures in the United States.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JAMA</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2009;302(14):1573-1579. doi:10.1001/jama.2009.1462</w:t>
      </w:r>
    </w:p>
    <w:p w14:paraId="47ACB055"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Hannan EL, Magaziner J, Wang JJ, et al. Mortality and locomotion 6 months after hospitalization for hip fracture: risk factors and risk-adjusted hospital outcomes.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JAMA</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2001;285(21):2736-2742. doi:10.1001/jama.285.21.2736</w:t>
      </w:r>
    </w:p>
    <w:p w14:paraId="0676E674"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Eastwood EA, Magaziner J, Wang J, et al. Patients with hip fracture: subgroups and their outcomes.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J Am Geriatr Soc</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2002;50(7):1240-1249. doi:10.1046/j.1532-5415.2002.50311.x</w:t>
      </w:r>
    </w:p>
    <w:p w14:paraId="2B92A4EB"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Loggers SAI, van Lieshout EMM, Joosse P, Verhofstad MHJ, Willems HC. Prognosis of nonoperative treatment in elderly patients with a hip fracture: a systematic review and meta-analysis.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Injury</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2020;51(11):2407-2413. doi:10.1016/j.injury.2020.08.027</w:t>
      </w:r>
    </w:p>
    <w:p w14:paraId="7F5FEA8E"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Peeters CMM, Visser E, van de Ree CLP, Gosens T, den Oudsten BL, de Vries J. Quality of life after hip fracture in the elderly: a systematic literature review.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Injury</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2016;47(7):1369-1382. doi:10.1016/j.injury.2016.04.018</w:t>
      </w:r>
    </w:p>
    <w:p w14:paraId="00E19027"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Bhandari M, Swiontkowski M. Management of acute hip fracture.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N Engl J Med.</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 2017;377(21):2053-2062. doi:10.1056/NEJMcp1611090</w:t>
      </w:r>
    </w:p>
    <w:p w14:paraId="69E2CF54"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Li T, Li J, Yuan L, et al; RAGA Study Investigators. Effect of regional vs general anesthesia on incidence of postoperative delirium in older patients undergoing hip fracture surgery: the RAGA randomized trial.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JAMA</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2022;327(1):50-58. doi:10.1001/jama.2021.22647</w:t>
      </w:r>
    </w:p>
    <w:p w14:paraId="313B0800"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Neuman MD, Feng R, Carson JL, et al; REGAIN Investigators. Spinal anesthesia or general anesthesia for hip surgery in older adults.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N Engl J Med.</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 2021;385(22):2025-2035. doi:10.1056/NEJMoa2113514</w:t>
      </w:r>
    </w:p>
    <w:p w14:paraId="20652DDA"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Soffin EM, Gibbons MM, Wick EC, et al. Evidence review conducted for the Agency for Healthcare Research and Quality Safety Program for Improving Surgical Care and Recovery: focus on anesthesiology for hip fracture surgery.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Anesth Analg</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2019;128(6):1107-1117. doi:10.1213/ANE.0000000000003925</w:t>
      </w:r>
    </w:p>
    <w:p w14:paraId="0CCD0F1D"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Melton N, Talarico R, Abdallah F, et al. Peripheral nerve blocks and potentially attributable adverse events in older people with hip fracture: a retrospective population-based cohort study.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Anesthesiology</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2021;135(3):454-462. doi:10.1097/ALN.0000000000003863</w:t>
      </w:r>
    </w:p>
    <w:p w14:paraId="2C6F2EA9"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lastRenderedPageBreak/>
        <w:t xml:space="preserve">Hamilton GM, Lalu MM, Ramlogan R, et al. A population-based comparative effectiveness study of peripheral nerve blocks for hip fracture surgery.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Anesthesiology</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2019;131(5):1025-1035. doi:10.1097/ALN.0000000000002947</w:t>
      </w:r>
    </w:p>
    <w:p w14:paraId="308FAF40"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Neuburger J, Currie C, Wakeman R, et al. Increased orthogeriatrician involvement in hip fracture care and its impact on mortality in England.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Age Ageing</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2017;46(2):187-192. doi:10.1093/ageing/afw201</w:t>
      </w:r>
    </w:p>
    <w:p w14:paraId="759A7E51"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Salahudeen MS, Duffull SB, Nishtala PS. Anticholinergic burden quantified by anticholinergic risk scales and adverse outcomes in older people: a systematic review.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BMC Geriatr</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2015;15:31. doi:10.1186/s12877-015-0031-4</w:t>
      </w:r>
    </w:p>
    <w:p w14:paraId="21030E72"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Pincus D, Ravi B, Wasserstein D, et al. Association between wait time and 30-day mortality in adults undergoing hip fracture surgery.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JAMA</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2017;318(20):1994-2003. doi:10.1001/jama.2017.17606</w:t>
      </w:r>
    </w:p>
    <w:p w14:paraId="47D20078" w14:textId="49DFB505" w:rsidR="00E8450D" w:rsidRPr="008B7C8E" w:rsidRDefault="00E8450D"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Cummings SR, Melton LJ. Epidemiology and outcomes of osteoporotic fractures.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Lancet</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2002 May 18;359(9319):1761-7. doi: 10.1016/S0140-6736(02)08657-9.</w:t>
      </w:r>
    </w:p>
    <w:p w14:paraId="1B5DF96F" w14:textId="16E1268D" w:rsidR="00E8450D" w:rsidRPr="008B7C8E" w:rsidRDefault="00E8450D"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Johnell O, Kanis JA. An estimate of the worldwide prevalence, mortality and disability associated with hip fracture.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Osteoporos Int.</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 2004 Nov;15(11):897-902. doi: 10.1007/s00198-004-1627-0.</w:t>
      </w:r>
    </w:p>
    <w:p w14:paraId="75A66CD6"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Maxwell MJ, Moran CG, Moppett IK. Development and validation of a preoperative scoring system to predict 30-day mortality in patients undergoing hip fracture surgery.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Br J Anaesth</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2008;101(4):511-517. doi:10.1093/bja/aen236</w:t>
      </w:r>
    </w:p>
    <w:p w14:paraId="3DB36D99"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Desmet M, Vermeylen K, Van Herreweghe I, et al. A longitudinal supra-inguinal fascia iliaca compartment block reduces morphine consumption after total hip arthroplasty.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Reg Anesth Pain Med</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2017;42(3):327-333. doi:10.1097/AAP.0000000000000614</w:t>
      </w:r>
    </w:p>
    <w:p w14:paraId="7CC893A4"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Gray SL, Anderson ML, Dublin S, et al. Cumulative use of strong anticholinergics and incident dementia: a prospective cohort study.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JAMA Intern Med</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2015;175(3):401-407. doi:10.1001/jamainternmed.2014.7663</w:t>
      </w:r>
    </w:p>
    <w:p w14:paraId="3C17BF1D"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Fick DM, Semla TP, Steinman M, et al. American Geriatrics Society 2019 updated AGS Beers Criteria® for potentially inappropriate medication use in older adults.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J Am Geriatr Soc.</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 2019;67(4):674-694. doi:10.1111/jgs.15767</w:t>
      </w:r>
    </w:p>
    <w:p w14:paraId="5A5991DF"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Rudolph JL, Salow MJ, Angelini MC, McGlinchey RE. The anticholinergic risk scale and anticholinergic adverse effects in older persons.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Arch Intern Med.</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 2008;168(5):508-513. doi:10.1001/archinte.168.5.508</w:t>
      </w:r>
    </w:p>
    <w:p w14:paraId="0A5DA59B"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lastRenderedPageBreak/>
        <w:t xml:space="preserve">Lee TH, Marcantonio ER, Mangione CM, et al. Derivation and prospective validation of a simple index for prediction of cardiac risk of major noncardiac surgery.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Circulation</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1999;100(10):1043-1049. doi:10.1161/01.CIR.100.10.1043</w:t>
      </w:r>
    </w:p>
    <w:p w14:paraId="210059F6"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Dindo D, Demartines N, Clavien PA. Classification of surgical complications: a new proposal with evaluation in a cohort of 6336 patients and results of a survey</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 Ann Surg</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2004;240(2):205-213. doi:10.1097/01.sla.0000133083.54934.ae</w:t>
      </w:r>
    </w:p>
    <w:p w14:paraId="0CFEDE3B"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Pissens S, Cavens L, Joshi GP, et al; PROSPECT Working Group of ESRA. Pain management after hip fracture repair surgery: a systematic review and procedure-specific postoperative pain management (PROSPECT) recommendations.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Acta Anaesth Belg</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2024;75(1):15-31. doi:10.56126/75.1.04</w:t>
      </w:r>
    </w:p>
    <w:p w14:paraId="54ABFEFA"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Guay J, Parker MJ, Griffiths R, Kopp S. Peripheral nerve blocks for hip fractures.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Cochrane Database Syst Rev</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2017;2017(5):CD001159. doi:10.1002/14651858.CD001159.pub3</w:t>
      </w:r>
    </w:p>
    <w:p w14:paraId="27E318F2"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Klestil T, Röder C, Stotter C, et al. Impact of timing of surgery in elderly hip fracture patients: a systematic review and meta-analysis.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Sci Rep.</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 2018;8(1):13933. doi:10.1038/s41598-018-32098-7</w:t>
      </w:r>
    </w:p>
    <w:p w14:paraId="345546F9" w14:textId="77777777" w:rsidR="00A62959"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Warren M, Bretherton C, Parker M. Delay to surgery beyond 12 hours is associated with increased hip fracture mortality</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 Eur J Orthop Surg Traumatol</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2024;34(6):2973-2980. doi:10.1007/s00590-024-03997-5</w:t>
      </w:r>
    </w:p>
    <w:p w14:paraId="1ED5B385" w14:textId="2773E2B4" w:rsidR="00A7437D" w:rsidRPr="008B7C8E" w:rsidRDefault="00A7437D" w:rsidP="00A7437D">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Huang Z, Zhu Y, Yuan J, Wang B, Zhao H, Feng Y. Effect of Goal-Directed Intraoperative Blood Pressure Management on Postoperative Delirium in Older Patients Undergoing Hip Fracture Surgery: A Randomized Controlled Trial. Anesth Analg. 2025 Dec 16. doi: 10.1213/ANE.0000000000007869.</w:t>
      </w:r>
    </w:p>
    <w:p w14:paraId="2DB35596" w14:textId="4E86A787" w:rsidR="0085684C"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Vail EA, Feng R, Sieber F, et al; REGAIN Investigators. Long-term outcomes with spinal versus general anesthesia for hip fracture surgery: a randomized trial.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Anesthesiology</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2024;140(3):375-386. doi:10.1097/ALN.0000000000004807</w:t>
      </w:r>
    </w:p>
    <w:p w14:paraId="077684F4" w14:textId="42A7C8D6" w:rsidR="00A7437D" w:rsidRPr="008B7C8E" w:rsidRDefault="00A7437D"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Fettiplace MR, Herbstreit F. Reconciling Observational Signals With Trial Data in Anesthetic Choice for Hip Fracture Surgery. Anesth Analg. 2025 Oct 24. doi: 10.1213/ANE.0000000000007833.</w:t>
      </w:r>
    </w:p>
    <w:p w14:paraId="74D54946" w14:textId="23CCEB95" w:rsidR="0085684C"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Donabedian A. Evaluating the quality of medical care.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Milbank Q</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1966;44(3 Suppl):166-203.</w:t>
      </w:r>
    </w:p>
    <w:p w14:paraId="5B342E61" w14:textId="77777777" w:rsidR="0085684C"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Prestmo A, Hagen G, Sletvold O, et al. Comprehensive geriatric care for patients with hip fractures: a prospective, randomized, controlled trial.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Lancet</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2015;385(9978):1623-1633. doi:10.1016/S0140-6736(14)62409-0</w:t>
      </w:r>
    </w:p>
    <w:p w14:paraId="3F6CFB56" w14:textId="77777777" w:rsidR="0085684C"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lastRenderedPageBreak/>
        <w:t xml:space="preserve">Rockwood K, Song X, MacKnight C, et al. A global clinical measure of fitness and frailty in elderly people.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CMAJ</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2005;173(5):489-495. doi:10.1503/cmaj.050051</w:t>
      </w:r>
    </w:p>
    <w:p w14:paraId="0FE62BBE" w14:textId="527DCEA2" w:rsidR="005A7BE1" w:rsidRPr="008B7C8E" w:rsidRDefault="00A62959" w:rsidP="0085684C">
      <w:pPr>
        <w:pStyle w:val="Paragrafoelenco"/>
        <w:numPr>
          <w:ilvl w:val="0"/>
          <w:numId w:val="14"/>
        </w:numPr>
        <w:spacing w:line="360" w:lineRule="auto"/>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pP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xml:space="preserve">Ho AMH, Phelan R, Mizubuti GB, et al. Bias in before-after studies: narrative overview for anesthesiologists. </w:t>
      </w:r>
      <w:r w:rsidRPr="008B7C8E">
        <w:rPr>
          <w:rFonts w:ascii="Times New Roman" w:eastAsia="Arial Unicode MS" w:hAnsi="Times New Roman" w:cs="Times New Roman"/>
          <w:i/>
          <w:iCs/>
          <w:color w:val="000000" w:themeColor="text1"/>
          <w:u w:color="000000"/>
          <w:bdr w:val="nil"/>
          <w:lang w:val="en-US" w:eastAsia="fr-BE"/>
          <w14:textOutline w14:w="0" w14:cap="flat" w14:cmpd="sng" w14:algn="ctr">
            <w14:noFill/>
            <w14:prstDash w14:val="solid"/>
            <w14:bevel/>
          </w14:textOutline>
        </w:rPr>
        <w:t>Anesth Analg</w:t>
      </w:r>
      <w:r w:rsidRPr="008B7C8E">
        <w:rPr>
          <w:rFonts w:ascii="Times New Roman" w:eastAsia="Arial Unicode MS" w:hAnsi="Times New Roman" w:cs="Times New Roman"/>
          <w:color w:val="000000" w:themeColor="text1"/>
          <w:u w:color="000000"/>
          <w:bdr w:val="nil"/>
          <w:lang w:val="en-US" w:eastAsia="fr-BE"/>
          <w14:textOutline w14:w="0" w14:cap="flat" w14:cmpd="sng" w14:algn="ctr">
            <w14:noFill/>
            <w14:prstDash w14:val="solid"/>
            <w14:bevel/>
          </w14:textOutline>
        </w:rPr>
        <w:t>. 2018;126(5):1755-1762. doi:10.1213/ANE.0000000000002600</w:t>
      </w:r>
      <w:r w:rsidR="005A7BE1" w:rsidRPr="008B7C8E">
        <w:rPr>
          <w:rFonts w:eastAsia="Arial Unicode MS"/>
          <w:b/>
          <w:bCs/>
          <w:color w:val="000000" w:themeColor="text1"/>
          <w:u w:color="000000"/>
          <w:bdr w:val="nil"/>
          <w:lang w:val="en-US" w:eastAsia="fr-BE"/>
          <w14:textOutline w14:w="0" w14:cap="flat" w14:cmpd="sng" w14:algn="ctr">
            <w14:noFill/>
            <w14:prstDash w14:val="solid"/>
            <w14:bevel/>
          </w14:textOutline>
        </w:rPr>
        <w:br w:type="page"/>
      </w:r>
    </w:p>
    <w:p w14:paraId="4046576E" w14:textId="77777777" w:rsidR="00166387" w:rsidRPr="008B7C8E" w:rsidRDefault="00166387" w:rsidP="00166387">
      <w:pPr>
        <w:autoSpaceDE w:val="0"/>
        <w:autoSpaceDN w:val="0"/>
        <w:spacing w:line="276" w:lineRule="auto"/>
        <w:jc w:val="both"/>
        <w:rPr>
          <w:rFonts w:ascii="Arial" w:hAnsi="Arial" w:cs="Arial"/>
          <w:color w:val="000000" w:themeColor="text1"/>
          <w:sz w:val="18"/>
          <w:szCs w:val="18"/>
          <w:lang w:val="en-GB"/>
        </w:rPr>
      </w:pPr>
      <w:r w:rsidRPr="008B7C8E">
        <w:rPr>
          <w:rFonts w:ascii="Arial" w:hAnsi="Arial" w:cs="Arial"/>
          <w:b/>
          <w:bCs/>
          <w:color w:val="000000" w:themeColor="text1"/>
          <w:sz w:val="18"/>
          <w:szCs w:val="18"/>
          <w:lang w:val="en-GB"/>
        </w:rPr>
        <w:lastRenderedPageBreak/>
        <w:t>Table 1.</w:t>
      </w:r>
      <w:r w:rsidRPr="008B7C8E">
        <w:rPr>
          <w:rFonts w:ascii="Arial" w:hAnsi="Arial" w:cs="Arial"/>
          <w:color w:val="000000" w:themeColor="text1"/>
          <w:sz w:val="18"/>
          <w:szCs w:val="18"/>
          <w:lang w:val="en-GB"/>
        </w:rPr>
        <w:t xml:space="preserve"> Baseline and operative characteristics of pre-ASAP and post-ASAP cohorts.</w:t>
      </w:r>
    </w:p>
    <w:tbl>
      <w:tblPr>
        <w:tblStyle w:val="Tabellasemplice5"/>
        <w:tblW w:w="9498" w:type="dxa"/>
        <w:tblBorders>
          <w:top w:val="single" w:sz="4" w:space="0" w:color="auto"/>
          <w:bottom w:val="single" w:sz="4" w:space="0" w:color="auto"/>
        </w:tblBorders>
        <w:tblLook w:val="04A0" w:firstRow="1" w:lastRow="0" w:firstColumn="1" w:lastColumn="0" w:noHBand="0" w:noVBand="1"/>
      </w:tblPr>
      <w:tblGrid>
        <w:gridCol w:w="142"/>
        <w:gridCol w:w="4111"/>
        <w:gridCol w:w="1843"/>
        <w:gridCol w:w="1984"/>
        <w:gridCol w:w="1134"/>
        <w:gridCol w:w="284"/>
      </w:tblGrid>
      <w:tr w:rsidR="00A7437D" w:rsidRPr="008B7C8E" w14:paraId="3751C755" w14:textId="77777777" w:rsidTr="004E322D">
        <w:trPr>
          <w:gridAfter w:val="1"/>
          <w:cnfStyle w:val="100000000000" w:firstRow="1" w:lastRow="0" w:firstColumn="0" w:lastColumn="0" w:oddVBand="0" w:evenVBand="0" w:oddHBand="0" w:evenHBand="0" w:firstRowFirstColumn="0" w:firstRowLastColumn="0" w:lastRowFirstColumn="0" w:lastRowLastColumn="0"/>
          <w:wAfter w:w="284" w:type="dxa"/>
          <w:trHeight w:val="300"/>
        </w:trPr>
        <w:tc>
          <w:tcPr>
            <w:cnfStyle w:val="001000000100" w:firstRow="0" w:lastRow="0" w:firstColumn="1" w:lastColumn="0" w:oddVBand="0" w:evenVBand="0" w:oddHBand="0" w:evenHBand="0" w:firstRowFirstColumn="1" w:firstRowLastColumn="0" w:lastRowFirstColumn="0" w:lastRowLastColumn="0"/>
            <w:tcW w:w="4253" w:type="dxa"/>
            <w:gridSpan w:val="2"/>
            <w:tcBorders>
              <w:top w:val="single" w:sz="4" w:space="0" w:color="auto"/>
              <w:bottom w:val="single" w:sz="4" w:space="0" w:color="000000" w:themeColor="text1"/>
            </w:tcBorders>
            <w:noWrap/>
            <w:hideMark/>
          </w:tcPr>
          <w:p w14:paraId="6594FC69" w14:textId="77777777" w:rsidR="00166387" w:rsidRPr="008B7C8E" w:rsidRDefault="00166387" w:rsidP="004E322D">
            <w:pPr>
              <w:jc w:val="center"/>
              <w:rPr>
                <w:rFonts w:ascii="Arial" w:hAnsi="Arial" w:cs="Arial"/>
                <w:i w:val="0"/>
                <w:iCs w:val="0"/>
                <w:color w:val="000000" w:themeColor="text1"/>
                <w:sz w:val="18"/>
                <w:szCs w:val="18"/>
                <w:lang w:val="en-GB"/>
              </w:rPr>
            </w:pPr>
          </w:p>
        </w:tc>
        <w:tc>
          <w:tcPr>
            <w:tcW w:w="1843" w:type="dxa"/>
            <w:tcBorders>
              <w:top w:val="single" w:sz="4" w:space="0" w:color="auto"/>
              <w:bottom w:val="single" w:sz="4" w:space="0" w:color="000000" w:themeColor="text1"/>
            </w:tcBorders>
            <w:noWrap/>
            <w:hideMark/>
          </w:tcPr>
          <w:p w14:paraId="1FA4461A" w14:textId="77777777" w:rsidR="00166387" w:rsidRPr="008B7C8E" w:rsidRDefault="00166387" w:rsidP="004E322D">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18"/>
                <w:szCs w:val="18"/>
                <w:lang w:val="en-GB"/>
              </w:rPr>
            </w:pPr>
            <w:r w:rsidRPr="008B7C8E">
              <w:rPr>
                <w:rFonts w:ascii="Arial" w:hAnsi="Arial" w:cs="Arial"/>
                <w:b/>
                <w:bCs/>
                <w:i w:val="0"/>
                <w:iCs w:val="0"/>
                <w:color w:val="000000" w:themeColor="text1"/>
                <w:sz w:val="18"/>
                <w:szCs w:val="18"/>
                <w:lang w:val="en-GB"/>
              </w:rPr>
              <w:t>Pre-ASAP</w:t>
            </w:r>
          </w:p>
        </w:tc>
        <w:tc>
          <w:tcPr>
            <w:tcW w:w="1984" w:type="dxa"/>
            <w:tcBorders>
              <w:top w:val="single" w:sz="4" w:space="0" w:color="auto"/>
              <w:bottom w:val="single" w:sz="4" w:space="0" w:color="000000" w:themeColor="text1"/>
            </w:tcBorders>
            <w:noWrap/>
            <w:hideMark/>
          </w:tcPr>
          <w:p w14:paraId="7C2213E1" w14:textId="77777777" w:rsidR="00166387" w:rsidRPr="008B7C8E" w:rsidRDefault="00166387" w:rsidP="004E322D">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18"/>
                <w:szCs w:val="18"/>
                <w:lang w:val="en-GB"/>
              </w:rPr>
            </w:pPr>
            <w:r w:rsidRPr="008B7C8E">
              <w:rPr>
                <w:rFonts w:ascii="Arial" w:hAnsi="Arial" w:cs="Arial"/>
                <w:b/>
                <w:bCs/>
                <w:i w:val="0"/>
                <w:iCs w:val="0"/>
                <w:color w:val="000000" w:themeColor="text1"/>
                <w:sz w:val="18"/>
                <w:szCs w:val="18"/>
                <w:lang w:val="en-GB"/>
              </w:rPr>
              <w:t>Post-ASAP</w:t>
            </w:r>
          </w:p>
        </w:tc>
        <w:tc>
          <w:tcPr>
            <w:tcW w:w="1134" w:type="dxa"/>
            <w:tcBorders>
              <w:top w:val="single" w:sz="4" w:space="0" w:color="auto"/>
              <w:bottom w:val="single" w:sz="4" w:space="0" w:color="000000" w:themeColor="text1"/>
            </w:tcBorders>
          </w:tcPr>
          <w:p w14:paraId="4261A708" w14:textId="77777777" w:rsidR="00166387" w:rsidRPr="008B7C8E" w:rsidRDefault="00166387" w:rsidP="004E322D">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P value</w:t>
            </w:r>
          </w:p>
        </w:tc>
      </w:tr>
      <w:tr w:rsidR="00A7437D" w:rsidRPr="008B7C8E" w14:paraId="4CDBB15E" w14:textId="77777777" w:rsidTr="004E322D">
        <w:trPr>
          <w:gridAfter w:val="1"/>
          <w:cnfStyle w:val="000000100000" w:firstRow="0" w:lastRow="0" w:firstColumn="0" w:lastColumn="0" w:oddVBand="0" w:evenVBand="0" w:oddHBand="1" w:evenHBand="0" w:firstRowFirstColumn="0" w:firstRowLastColumn="0" w:lastRowFirstColumn="0" w:lastRowLastColumn="0"/>
          <w:wAfter w:w="284"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single" w:sz="4" w:space="0" w:color="000000" w:themeColor="text1"/>
              <w:bottom w:val="nil"/>
              <w:right w:val="nil"/>
            </w:tcBorders>
            <w:noWrap/>
            <w:hideMark/>
          </w:tcPr>
          <w:p w14:paraId="5758D128" w14:textId="77777777" w:rsidR="00166387" w:rsidRPr="008B7C8E" w:rsidRDefault="00166387" w:rsidP="004E322D">
            <w:pPr>
              <w:spacing w:before="120" w:after="120"/>
              <w:jc w:val="left"/>
              <w:rPr>
                <w:rFonts w:ascii="Arial" w:eastAsia="Arial Unicode MS" w:hAnsi="Arial" w:cs="Arial"/>
                <w:b/>
                <w:bCs/>
                <w:i w:val="0"/>
                <w:iCs w:val="0"/>
                <w:color w:val="000000" w:themeColor="text1"/>
                <w:sz w:val="18"/>
                <w:szCs w:val="18"/>
                <w:lang w:val="en-GB"/>
              </w:rPr>
            </w:pPr>
            <w:r w:rsidRPr="008B7C8E">
              <w:rPr>
                <w:rFonts w:ascii="Arial" w:eastAsia="Arial Unicode MS" w:hAnsi="Arial" w:cs="Arial"/>
                <w:b/>
                <w:bCs/>
                <w:i w:val="0"/>
                <w:iCs w:val="0"/>
                <w:color w:val="000000" w:themeColor="text1"/>
                <w:sz w:val="18"/>
                <w:szCs w:val="18"/>
                <w:lang w:val="en-GB"/>
              </w:rPr>
              <w:t>Number of patients</w:t>
            </w:r>
            <w:r w:rsidRPr="008B7C8E">
              <w:rPr>
                <w:rFonts w:ascii="Arial" w:eastAsia="Arial Unicode MS" w:hAnsi="Arial" w:cs="Arial"/>
                <w:i w:val="0"/>
                <w:iCs w:val="0"/>
                <w:color w:val="000000" w:themeColor="text1"/>
                <w:sz w:val="18"/>
                <w:szCs w:val="18"/>
                <w:lang w:val="en-GB"/>
              </w:rPr>
              <w:t>, n</w:t>
            </w:r>
          </w:p>
        </w:tc>
        <w:tc>
          <w:tcPr>
            <w:tcW w:w="1843" w:type="dxa"/>
            <w:tcBorders>
              <w:top w:val="single" w:sz="4" w:space="0" w:color="000000" w:themeColor="text1"/>
              <w:left w:val="nil"/>
              <w:bottom w:val="nil"/>
              <w:right w:val="nil"/>
            </w:tcBorders>
            <w:noWrap/>
            <w:hideMark/>
          </w:tcPr>
          <w:p w14:paraId="055CDE1A" w14:textId="77777777" w:rsidR="00166387" w:rsidRPr="008B7C8E" w:rsidRDefault="00166387" w:rsidP="004E322D">
            <w:pPr>
              <w:spacing w:before="120" w:after="12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480</w:t>
            </w:r>
          </w:p>
        </w:tc>
        <w:tc>
          <w:tcPr>
            <w:tcW w:w="1984" w:type="dxa"/>
            <w:tcBorders>
              <w:top w:val="single" w:sz="4" w:space="0" w:color="000000" w:themeColor="text1"/>
              <w:left w:val="nil"/>
              <w:bottom w:val="nil"/>
            </w:tcBorders>
            <w:noWrap/>
            <w:hideMark/>
          </w:tcPr>
          <w:p w14:paraId="56C13481" w14:textId="77777777" w:rsidR="00166387" w:rsidRPr="008B7C8E" w:rsidRDefault="00166387" w:rsidP="004E322D">
            <w:pPr>
              <w:spacing w:before="120" w:after="12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365</w:t>
            </w:r>
          </w:p>
        </w:tc>
        <w:tc>
          <w:tcPr>
            <w:tcW w:w="1134" w:type="dxa"/>
            <w:tcBorders>
              <w:top w:val="single" w:sz="4" w:space="0" w:color="000000" w:themeColor="text1"/>
              <w:left w:val="nil"/>
              <w:bottom w:val="nil"/>
            </w:tcBorders>
          </w:tcPr>
          <w:p w14:paraId="4D082762" w14:textId="77777777" w:rsidR="00166387" w:rsidRPr="008B7C8E" w:rsidRDefault="00166387" w:rsidP="004E322D">
            <w:pPr>
              <w:spacing w:before="120" w:after="12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1AB24675" w14:textId="77777777" w:rsidTr="004E322D">
        <w:trPr>
          <w:gridAfter w:val="1"/>
          <w:wAfter w:w="284"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tcPr>
          <w:p w14:paraId="23304A07" w14:textId="77777777" w:rsidR="00166387" w:rsidRPr="008B7C8E" w:rsidRDefault="00166387" w:rsidP="004E322D">
            <w:pPr>
              <w:jc w:val="left"/>
              <w:rPr>
                <w:rFonts w:ascii="Arial" w:eastAsia="Arial Unicode MS" w:hAnsi="Arial" w:cs="Arial"/>
                <w:b/>
                <w:bCs/>
                <w:i w:val="0"/>
                <w:iCs w:val="0"/>
                <w:color w:val="000000" w:themeColor="text1"/>
                <w:sz w:val="18"/>
                <w:szCs w:val="18"/>
                <w:lang w:val="en-GB"/>
              </w:rPr>
            </w:pPr>
            <w:r w:rsidRPr="008B7C8E">
              <w:rPr>
                <w:rFonts w:ascii="Arial" w:eastAsia="Arial Unicode MS" w:hAnsi="Arial" w:cs="Arial"/>
                <w:b/>
                <w:bCs/>
                <w:i w:val="0"/>
                <w:iCs w:val="0"/>
                <w:color w:val="000000" w:themeColor="text1"/>
                <w:sz w:val="18"/>
                <w:szCs w:val="18"/>
                <w:lang w:val="en-GB"/>
              </w:rPr>
              <w:t>Demographic Characteristics</w:t>
            </w:r>
          </w:p>
        </w:tc>
        <w:tc>
          <w:tcPr>
            <w:tcW w:w="1843" w:type="dxa"/>
            <w:tcBorders>
              <w:top w:val="nil"/>
              <w:left w:val="nil"/>
              <w:bottom w:val="nil"/>
              <w:right w:val="nil"/>
            </w:tcBorders>
            <w:noWrap/>
          </w:tcPr>
          <w:p w14:paraId="0E94B115"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p>
        </w:tc>
        <w:tc>
          <w:tcPr>
            <w:tcW w:w="1984" w:type="dxa"/>
            <w:tcBorders>
              <w:top w:val="nil"/>
              <w:left w:val="nil"/>
              <w:bottom w:val="nil"/>
            </w:tcBorders>
            <w:noWrap/>
          </w:tcPr>
          <w:p w14:paraId="795A317E"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p>
        </w:tc>
        <w:tc>
          <w:tcPr>
            <w:tcW w:w="1134" w:type="dxa"/>
            <w:tcBorders>
              <w:top w:val="nil"/>
              <w:left w:val="nil"/>
              <w:bottom w:val="nil"/>
            </w:tcBorders>
          </w:tcPr>
          <w:p w14:paraId="142997D3"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11E64EEF" w14:textId="77777777" w:rsidTr="004E322D">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4445B0F3"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Age (y; median [IQR])</w:t>
            </w:r>
          </w:p>
        </w:tc>
        <w:tc>
          <w:tcPr>
            <w:tcW w:w="1843" w:type="dxa"/>
            <w:tcBorders>
              <w:top w:val="nil"/>
              <w:left w:val="nil"/>
              <w:bottom w:val="nil"/>
            </w:tcBorders>
            <w:noWrap/>
            <w:hideMark/>
          </w:tcPr>
          <w:p w14:paraId="40A227D4"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81 [71 - 88]</w:t>
            </w:r>
          </w:p>
        </w:tc>
        <w:tc>
          <w:tcPr>
            <w:tcW w:w="1984" w:type="dxa"/>
            <w:tcBorders>
              <w:top w:val="nil"/>
              <w:bottom w:val="nil"/>
            </w:tcBorders>
            <w:noWrap/>
            <w:hideMark/>
          </w:tcPr>
          <w:p w14:paraId="27DEC9C8"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81 [71 - 87]</w:t>
            </w:r>
          </w:p>
        </w:tc>
        <w:tc>
          <w:tcPr>
            <w:tcW w:w="1134" w:type="dxa"/>
            <w:tcBorders>
              <w:top w:val="nil"/>
              <w:bottom w:val="nil"/>
            </w:tcBorders>
          </w:tcPr>
          <w:p w14:paraId="28EFC85D"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0.54</w:t>
            </w:r>
          </w:p>
        </w:tc>
      </w:tr>
      <w:tr w:rsidR="00A7437D" w:rsidRPr="008B7C8E" w14:paraId="14F48452" w14:textId="77777777" w:rsidTr="004E322D">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4B6EF4AD"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Gender, n of women (%)</w:t>
            </w:r>
          </w:p>
        </w:tc>
        <w:tc>
          <w:tcPr>
            <w:tcW w:w="1843" w:type="dxa"/>
            <w:tcBorders>
              <w:top w:val="nil"/>
              <w:left w:val="nil"/>
              <w:bottom w:val="nil"/>
            </w:tcBorders>
            <w:noWrap/>
            <w:hideMark/>
          </w:tcPr>
          <w:p w14:paraId="7AAD601E"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333 (69.4)</w:t>
            </w:r>
          </w:p>
        </w:tc>
        <w:tc>
          <w:tcPr>
            <w:tcW w:w="1984" w:type="dxa"/>
            <w:tcBorders>
              <w:top w:val="nil"/>
              <w:bottom w:val="nil"/>
            </w:tcBorders>
            <w:noWrap/>
            <w:hideMark/>
          </w:tcPr>
          <w:p w14:paraId="684D65D8"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253 (69.3)</w:t>
            </w:r>
          </w:p>
        </w:tc>
        <w:tc>
          <w:tcPr>
            <w:tcW w:w="1134" w:type="dxa"/>
            <w:tcBorders>
              <w:top w:val="nil"/>
              <w:bottom w:val="nil"/>
            </w:tcBorders>
          </w:tcPr>
          <w:p w14:paraId="7C48EE8D"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w:t>
            </w:r>
          </w:p>
        </w:tc>
      </w:tr>
      <w:tr w:rsidR="00A7437D" w:rsidRPr="008B7C8E" w14:paraId="5E398BC5" w14:textId="77777777" w:rsidTr="004E322D">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03850340"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ASA classification, n (%)</w:t>
            </w:r>
          </w:p>
        </w:tc>
        <w:tc>
          <w:tcPr>
            <w:tcW w:w="1843" w:type="dxa"/>
            <w:tcBorders>
              <w:top w:val="nil"/>
              <w:left w:val="nil"/>
              <w:bottom w:val="nil"/>
            </w:tcBorders>
            <w:noWrap/>
            <w:hideMark/>
          </w:tcPr>
          <w:p w14:paraId="20DA7057"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p>
        </w:tc>
        <w:tc>
          <w:tcPr>
            <w:tcW w:w="1984" w:type="dxa"/>
            <w:tcBorders>
              <w:top w:val="nil"/>
              <w:bottom w:val="nil"/>
            </w:tcBorders>
            <w:noWrap/>
            <w:hideMark/>
          </w:tcPr>
          <w:p w14:paraId="77147505"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p>
        </w:tc>
        <w:tc>
          <w:tcPr>
            <w:tcW w:w="1134" w:type="dxa"/>
            <w:tcBorders>
              <w:top w:val="nil"/>
              <w:bottom w:val="nil"/>
            </w:tcBorders>
          </w:tcPr>
          <w:p w14:paraId="66DA4297"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0.11</w:t>
            </w:r>
          </w:p>
        </w:tc>
      </w:tr>
      <w:tr w:rsidR="00A7437D" w:rsidRPr="008B7C8E" w14:paraId="684434FA" w14:textId="77777777" w:rsidTr="004E322D">
        <w:trPr>
          <w:gridBefore w:val="1"/>
          <w:wBefore w:w="142"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60B3FA80"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I</w:t>
            </w:r>
          </w:p>
        </w:tc>
        <w:tc>
          <w:tcPr>
            <w:tcW w:w="1843" w:type="dxa"/>
            <w:tcBorders>
              <w:top w:val="nil"/>
              <w:left w:val="nil"/>
              <w:bottom w:val="nil"/>
              <w:right w:val="nil"/>
            </w:tcBorders>
            <w:noWrap/>
            <w:hideMark/>
          </w:tcPr>
          <w:p w14:paraId="739DFCF4"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16 (3.3)</w:t>
            </w:r>
          </w:p>
        </w:tc>
        <w:tc>
          <w:tcPr>
            <w:tcW w:w="1984" w:type="dxa"/>
            <w:tcBorders>
              <w:top w:val="nil"/>
              <w:left w:val="nil"/>
              <w:bottom w:val="nil"/>
            </w:tcBorders>
            <w:noWrap/>
            <w:hideMark/>
          </w:tcPr>
          <w:p w14:paraId="0EFE1188"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5 (1.4)</w:t>
            </w:r>
          </w:p>
        </w:tc>
        <w:tc>
          <w:tcPr>
            <w:tcW w:w="1418" w:type="dxa"/>
            <w:gridSpan w:val="2"/>
            <w:tcBorders>
              <w:top w:val="nil"/>
              <w:left w:val="nil"/>
              <w:bottom w:val="nil"/>
            </w:tcBorders>
          </w:tcPr>
          <w:p w14:paraId="43F34FAB"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3D73139B" w14:textId="77777777" w:rsidTr="004E322D">
        <w:trPr>
          <w:gridBefore w:val="1"/>
          <w:cnfStyle w:val="000000100000" w:firstRow="0" w:lastRow="0" w:firstColumn="0" w:lastColumn="0" w:oddVBand="0" w:evenVBand="0" w:oddHBand="1" w:evenHBand="0" w:firstRowFirstColumn="0" w:firstRowLastColumn="0" w:lastRowFirstColumn="0" w:lastRowLastColumn="0"/>
          <w:wBefore w:w="142"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1BB13D34"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II</w:t>
            </w:r>
          </w:p>
        </w:tc>
        <w:tc>
          <w:tcPr>
            <w:tcW w:w="1843" w:type="dxa"/>
            <w:tcBorders>
              <w:top w:val="nil"/>
              <w:left w:val="nil"/>
              <w:bottom w:val="nil"/>
              <w:right w:val="nil"/>
            </w:tcBorders>
            <w:noWrap/>
            <w:hideMark/>
          </w:tcPr>
          <w:p w14:paraId="7985BA52"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312 (65)</w:t>
            </w:r>
          </w:p>
        </w:tc>
        <w:tc>
          <w:tcPr>
            <w:tcW w:w="1984" w:type="dxa"/>
            <w:tcBorders>
              <w:top w:val="nil"/>
              <w:left w:val="nil"/>
              <w:bottom w:val="nil"/>
            </w:tcBorders>
            <w:noWrap/>
            <w:hideMark/>
          </w:tcPr>
          <w:p w14:paraId="1A49D21A"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237 (64.9)</w:t>
            </w:r>
          </w:p>
        </w:tc>
        <w:tc>
          <w:tcPr>
            <w:tcW w:w="1418" w:type="dxa"/>
            <w:gridSpan w:val="2"/>
            <w:tcBorders>
              <w:top w:val="nil"/>
              <w:left w:val="nil"/>
              <w:bottom w:val="nil"/>
            </w:tcBorders>
          </w:tcPr>
          <w:p w14:paraId="1D0E0218"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4454A9D8" w14:textId="77777777" w:rsidTr="004E322D">
        <w:trPr>
          <w:gridBefore w:val="1"/>
          <w:wBefore w:w="142"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02C406B1"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III</w:t>
            </w:r>
          </w:p>
        </w:tc>
        <w:tc>
          <w:tcPr>
            <w:tcW w:w="1843" w:type="dxa"/>
            <w:tcBorders>
              <w:top w:val="nil"/>
              <w:left w:val="nil"/>
              <w:bottom w:val="nil"/>
              <w:right w:val="nil"/>
            </w:tcBorders>
            <w:noWrap/>
            <w:hideMark/>
          </w:tcPr>
          <w:p w14:paraId="35415E90"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152 (31.7)</w:t>
            </w:r>
          </w:p>
        </w:tc>
        <w:tc>
          <w:tcPr>
            <w:tcW w:w="1984" w:type="dxa"/>
            <w:tcBorders>
              <w:top w:val="nil"/>
              <w:left w:val="nil"/>
              <w:bottom w:val="nil"/>
            </w:tcBorders>
            <w:noWrap/>
            <w:hideMark/>
          </w:tcPr>
          <w:p w14:paraId="27D57EE0"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121 (33.2)</w:t>
            </w:r>
          </w:p>
        </w:tc>
        <w:tc>
          <w:tcPr>
            <w:tcW w:w="1418" w:type="dxa"/>
            <w:gridSpan w:val="2"/>
            <w:tcBorders>
              <w:top w:val="nil"/>
              <w:left w:val="nil"/>
              <w:bottom w:val="nil"/>
            </w:tcBorders>
          </w:tcPr>
          <w:p w14:paraId="44712992"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2E2ED6BC" w14:textId="77777777" w:rsidTr="004E322D">
        <w:trPr>
          <w:gridBefore w:val="1"/>
          <w:cnfStyle w:val="000000100000" w:firstRow="0" w:lastRow="0" w:firstColumn="0" w:lastColumn="0" w:oddVBand="0" w:evenVBand="0" w:oddHBand="1" w:evenHBand="0" w:firstRowFirstColumn="0" w:firstRowLastColumn="0" w:lastRowFirstColumn="0" w:lastRowLastColumn="0"/>
          <w:wBefore w:w="142"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7F049B35"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IV</w:t>
            </w:r>
          </w:p>
        </w:tc>
        <w:tc>
          <w:tcPr>
            <w:tcW w:w="1843" w:type="dxa"/>
            <w:tcBorders>
              <w:top w:val="nil"/>
              <w:left w:val="nil"/>
              <w:bottom w:val="nil"/>
              <w:right w:val="nil"/>
            </w:tcBorders>
            <w:noWrap/>
          </w:tcPr>
          <w:p w14:paraId="6EC334FD"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 (0.5)</w:t>
            </w:r>
          </w:p>
        </w:tc>
        <w:tc>
          <w:tcPr>
            <w:tcW w:w="1984" w:type="dxa"/>
            <w:tcBorders>
              <w:top w:val="nil"/>
              <w:left w:val="nil"/>
              <w:bottom w:val="nil"/>
            </w:tcBorders>
            <w:noWrap/>
          </w:tcPr>
          <w:p w14:paraId="51D4CDF6"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 (0)</w:t>
            </w:r>
          </w:p>
        </w:tc>
        <w:tc>
          <w:tcPr>
            <w:tcW w:w="1418" w:type="dxa"/>
            <w:gridSpan w:val="2"/>
            <w:tcBorders>
              <w:top w:val="nil"/>
              <w:left w:val="nil"/>
              <w:bottom w:val="nil"/>
            </w:tcBorders>
          </w:tcPr>
          <w:p w14:paraId="6BEE408A"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54756F18" w14:textId="77777777" w:rsidTr="004E322D">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55F0B3A7"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Weight (kg; median [IQR])</w:t>
            </w:r>
          </w:p>
        </w:tc>
        <w:tc>
          <w:tcPr>
            <w:tcW w:w="1843" w:type="dxa"/>
            <w:tcBorders>
              <w:top w:val="nil"/>
              <w:left w:val="nil"/>
              <w:bottom w:val="nil"/>
            </w:tcBorders>
            <w:noWrap/>
            <w:hideMark/>
          </w:tcPr>
          <w:p w14:paraId="0E28E0D7"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63 [55 - 72]</w:t>
            </w:r>
          </w:p>
        </w:tc>
        <w:tc>
          <w:tcPr>
            <w:tcW w:w="1984" w:type="dxa"/>
            <w:tcBorders>
              <w:top w:val="nil"/>
              <w:bottom w:val="nil"/>
            </w:tcBorders>
            <w:noWrap/>
            <w:hideMark/>
          </w:tcPr>
          <w:p w14:paraId="51466368"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62 [55 - 71]</w:t>
            </w:r>
          </w:p>
        </w:tc>
        <w:tc>
          <w:tcPr>
            <w:tcW w:w="1134" w:type="dxa"/>
            <w:tcBorders>
              <w:top w:val="nil"/>
              <w:bottom w:val="nil"/>
            </w:tcBorders>
          </w:tcPr>
          <w:p w14:paraId="14607BAE"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0.97</w:t>
            </w:r>
          </w:p>
        </w:tc>
      </w:tr>
      <w:tr w:rsidR="00A7437D" w:rsidRPr="008B7C8E" w14:paraId="1B00292E" w14:textId="77777777" w:rsidTr="004E322D">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3833BDFE"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Height (m; median [IQR])</w:t>
            </w:r>
          </w:p>
        </w:tc>
        <w:tc>
          <w:tcPr>
            <w:tcW w:w="1843" w:type="dxa"/>
            <w:tcBorders>
              <w:top w:val="nil"/>
              <w:left w:val="nil"/>
              <w:bottom w:val="nil"/>
            </w:tcBorders>
            <w:noWrap/>
            <w:hideMark/>
          </w:tcPr>
          <w:p w14:paraId="340C7DAF" w14:textId="7A4A76FF"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1.65 [1.6</w:t>
            </w:r>
            <w:r w:rsidR="001B1205" w:rsidRPr="008B7C8E">
              <w:rPr>
                <w:rFonts w:ascii="Arial" w:eastAsia="Arial Unicode MS" w:hAnsi="Arial" w:cs="Arial"/>
                <w:color w:val="000000" w:themeColor="text1"/>
                <w:sz w:val="18"/>
                <w:szCs w:val="18"/>
                <w:lang w:val="en-GB"/>
              </w:rPr>
              <w:t>-</w:t>
            </w:r>
            <w:r w:rsidRPr="008B7C8E">
              <w:rPr>
                <w:rFonts w:ascii="Arial" w:eastAsia="Arial Unicode MS" w:hAnsi="Arial" w:cs="Arial"/>
                <w:color w:val="000000" w:themeColor="text1"/>
                <w:sz w:val="18"/>
                <w:szCs w:val="18"/>
                <w:lang w:val="en-GB"/>
              </w:rPr>
              <w:t>1.7]</w:t>
            </w:r>
          </w:p>
        </w:tc>
        <w:tc>
          <w:tcPr>
            <w:tcW w:w="1984" w:type="dxa"/>
            <w:tcBorders>
              <w:top w:val="nil"/>
              <w:bottom w:val="nil"/>
            </w:tcBorders>
            <w:noWrap/>
            <w:hideMark/>
          </w:tcPr>
          <w:p w14:paraId="5E3E7631" w14:textId="25A39270"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1.64 [1.6</w:t>
            </w:r>
            <w:r w:rsidR="001B1205" w:rsidRPr="008B7C8E">
              <w:rPr>
                <w:rFonts w:ascii="Arial" w:eastAsia="Arial Unicode MS" w:hAnsi="Arial" w:cs="Arial"/>
                <w:color w:val="000000" w:themeColor="text1"/>
                <w:sz w:val="18"/>
                <w:szCs w:val="18"/>
                <w:lang w:val="en-GB"/>
              </w:rPr>
              <w:t>-</w:t>
            </w:r>
            <w:r w:rsidRPr="008B7C8E">
              <w:rPr>
                <w:rFonts w:ascii="Arial" w:eastAsia="Arial Unicode MS" w:hAnsi="Arial" w:cs="Arial"/>
                <w:color w:val="000000" w:themeColor="text1"/>
                <w:sz w:val="18"/>
                <w:szCs w:val="18"/>
                <w:lang w:val="en-GB"/>
              </w:rPr>
              <w:t>1.7]</w:t>
            </w:r>
          </w:p>
        </w:tc>
        <w:tc>
          <w:tcPr>
            <w:tcW w:w="1134" w:type="dxa"/>
            <w:tcBorders>
              <w:top w:val="nil"/>
              <w:bottom w:val="nil"/>
            </w:tcBorders>
          </w:tcPr>
          <w:p w14:paraId="1D492AEB"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0.57</w:t>
            </w:r>
          </w:p>
        </w:tc>
      </w:tr>
      <w:tr w:rsidR="00A7437D" w:rsidRPr="008B7C8E" w14:paraId="3660077C" w14:textId="77777777" w:rsidTr="004E322D">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703878D7"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BMI (kg.m</w:t>
            </w:r>
            <w:r w:rsidRPr="008B7C8E">
              <w:rPr>
                <w:rFonts w:ascii="Arial" w:eastAsia="Arial Unicode MS" w:hAnsi="Arial" w:cs="Arial"/>
                <w:i w:val="0"/>
                <w:iCs w:val="0"/>
                <w:color w:val="000000" w:themeColor="text1"/>
                <w:sz w:val="18"/>
                <w:szCs w:val="18"/>
                <w:vertAlign w:val="superscript"/>
                <w:lang w:val="en-GB"/>
              </w:rPr>
              <w:t>-2</w:t>
            </w:r>
            <w:r w:rsidRPr="008B7C8E">
              <w:rPr>
                <w:rFonts w:ascii="Arial" w:eastAsia="Arial Unicode MS" w:hAnsi="Arial" w:cs="Arial"/>
                <w:i w:val="0"/>
                <w:iCs w:val="0"/>
                <w:color w:val="000000" w:themeColor="text1"/>
                <w:sz w:val="18"/>
                <w:szCs w:val="18"/>
                <w:lang w:val="en-GB"/>
              </w:rPr>
              <w:t>; median [IQR])</w:t>
            </w:r>
          </w:p>
        </w:tc>
        <w:tc>
          <w:tcPr>
            <w:tcW w:w="1843" w:type="dxa"/>
            <w:tcBorders>
              <w:top w:val="nil"/>
              <w:left w:val="nil"/>
              <w:bottom w:val="nil"/>
            </w:tcBorders>
            <w:noWrap/>
            <w:hideMark/>
          </w:tcPr>
          <w:p w14:paraId="4180B39C" w14:textId="769703C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23.1 [20.8</w:t>
            </w:r>
            <w:r w:rsidR="001B1205" w:rsidRPr="008B7C8E">
              <w:rPr>
                <w:rFonts w:ascii="Arial" w:eastAsia="Arial Unicode MS" w:hAnsi="Arial" w:cs="Arial"/>
                <w:color w:val="000000" w:themeColor="text1"/>
                <w:sz w:val="18"/>
                <w:szCs w:val="18"/>
                <w:lang w:val="en-GB"/>
              </w:rPr>
              <w:t>-</w:t>
            </w:r>
            <w:r w:rsidRPr="008B7C8E">
              <w:rPr>
                <w:rFonts w:ascii="Arial" w:eastAsia="Arial Unicode MS" w:hAnsi="Arial" w:cs="Arial"/>
                <w:color w:val="000000" w:themeColor="text1"/>
                <w:sz w:val="18"/>
                <w:szCs w:val="18"/>
                <w:lang w:val="en-GB"/>
              </w:rPr>
              <w:t>25.7]</w:t>
            </w:r>
          </w:p>
        </w:tc>
        <w:tc>
          <w:tcPr>
            <w:tcW w:w="1984" w:type="dxa"/>
            <w:tcBorders>
              <w:top w:val="nil"/>
              <w:bottom w:val="nil"/>
            </w:tcBorders>
            <w:noWrap/>
            <w:hideMark/>
          </w:tcPr>
          <w:p w14:paraId="017749E8" w14:textId="378DC534"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23.2 [20.8</w:t>
            </w:r>
            <w:r w:rsidR="001B1205" w:rsidRPr="008B7C8E">
              <w:rPr>
                <w:rFonts w:ascii="Arial" w:eastAsia="Arial Unicode MS" w:hAnsi="Arial" w:cs="Arial"/>
                <w:color w:val="000000" w:themeColor="text1"/>
                <w:sz w:val="18"/>
                <w:szCs w:val="18"/>
                <w:lang w:val="en-GB"/>
              </w:rPr>
              <w:t>-</w:t>
            </w:r>
            <w:r w:rsidRPr="008B7C8E">
              <w:rPr>
                <w:rFonts w:ascii="Arial" w:eastAsia="Arial Unicode MS" w:hAnsi="Arial" w:cs="Arial"/>
                <w:color w:val="000000" w:themeColor="text1"/>
                <w:sz w:val="18"/>
                <w:szCs w:val="18"/>
                <w:lang w:val="en-GB"/>
              </w:rPr>
              <w:t>25.7]</w:t>
            </w:r>
          </w:p>
        </w:tc>
        <w:tc>
          <w:tcPr>
            <w:tcW w:w="1134" w:type="dxa"/>
            <w:tcBorders>
              <w:top w:val="nil"/>
              <w:bottom w:val="nil"/>
            </w:tcBorders>
          </w:tcPr>
          <w:p w14:paraId="585B01C7"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0.68</w:t>
            </w:r>
          </w:p>
        </w:tc>
      </w:tr>
      <w:tr w:rsidR="00A7437D" w:rsidRPr="008B7C8E" w14:paraId="4F6F38DE" w14:textId="77777777" w:rsidTr="004E322D">
        <w:trPr>
          <w:gridAfter w:val="1"/>
          <w:cnfStyle w:val="000000100000" w:firstRow="0" w:lastRow="0" w:firstColumn="0" w:lastColumn="0" w:oddVBand="0" w:evenVBand="0" w:oddHBand="1" w:evenHBand="0" w:firstRowFirstColumn="0" w:firstRowLastColumn="0" w:lastRowFirstColumn="0" w:lastRowLastColumn="0"/>
          <w:wAfter w:w="284"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tcPr>
          <w:p w14:paraId="1D0BFD56" w14:textId="77777777" w:rsidR="00166387" w:rsidRPr="008B7C8E" w:rsidRDefault="00166387" w:rsidP="004E322D">
            <w:pPr>
              <w:jc w:val="left"/>
              <w:rPr>
                <w:rFonts w:ascii="Arial" w:eastAsia="Arial Unicode MS" w:hAnsi="Arial" w:cs="Arial"/>
                <w:b/>
                <w:bCs/>
                <w:i w:val="0"/>
                <w:iCs w:val="0"/>
                <w:color w:val="000000" w:themeColor="text1"/>
                <w:sz w:val="18"/>
                <w:szCs w:val="18"/>
                <w:lang w:val="en-GB"/>
              </w:rPr>
            </w:pPr>
            <w:r w:rsidRPr="008B7C8E">
              <w:rPr>
                <w:rFonts w:ascii="Arial" w:eastAsia="Arial Unicode MS" w:hAnsi="Arial" w:cs="Arial"/>
                <w:b/>
                <w:bCs/>
                <w:i w:val="0"/>
                <w:iCs w:val="0"/>
                <w:color w:val="000000" w:themeColor="text1"/>
                <w:sz w:val="18"/>
                <w:szCs w:val="18"/>
                <w:lang w:val="en-GB"/>
              </w:rPr>
              <w:t>Medical preoperative conditions</w:t>
            </w:r>
          </w:p>
        </w:tc>
        <w:tc>
          <w:tcPr>
            <w:tcW w:w="1843" w:type="dxa"/>
            <w:tcBorders>
              <w:top w:val="nil"/>
              <w:left w:val="nil"/>
              <w:bottom w:val="nil"/>
            </w:tcBorders>
            <w:noWrap/>
          </w:tcPr>
          <w:p w14:paraId="7002852F"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p>
        </w:tc>
        <w:tc>
          <w:tcPr>
            <w:tcW w:w="1984" w:type="dxa"/>
            <w:tcBorders>
              <w:top w:val="nil"/>
              <w:bottom w:val="nil"/>
            </w:tcBorders>
            <w:noWrap/>
          </w:tcPr>
          <w:p w14:paraId="2BBC5E14"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p>
        </w:tc>
        <w:tc>
          <w:tcPr>
            <w:tcW w:w="1134" w:type="dxa"/>
            <w:tcBorders>
              <w:top w:val="nil"/>
              <w:bottom w:val="nil"/>
            </w:tcBorders>
          </w:tcPr>
          <w:p w14:paraId="7471DE6F"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17EA9E8B" w14:textId="77777777" w:rsidTr="004E322D">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78E56FBE"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Lee’s Score, n (%)</w:t>
            </w:r>
          </w:p>
        </w:tc>
        <w:tc>
          <w:tcPr>
            <w:tcW w:w="1843" w:type="dxa"/>
            <w:tcBorders>
              <w:top w:val="nil"/>
              <w:left w:val="nil"/>
              <w:bottom w:val="nil"/>
              <w:right w:val="nil"/>
            </w:tcBorders>
            <w:noWrap/>
            <w:hideMark/>
          </w:tcPr>
          <w:p w14:paraId="14FCB6B9"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p>
        </w:tc>
        <w:tc>
          <w:tcPr>
            <w:tcW w:w="1984" w:type="dxa"/>
            <w:tcBorders>
              <w:top w:val="nil"/>
              <w:left w:val="nil"/>
              <w:bottom w:val="nil"/>
            </w:tcBorders>
            <w:noWrap/>
            <w:hideMark/>
          </w:tcPr>
          <w:p w14:paraId="3DFAA3DC"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p>
        </w:tc>
        <w:tc>
          <w:tcPr>
            <w:tcW w:w="1134" w:type="dxa"/>
            <w:tcBorders>
              <w:top w:val="nil"/>
              <w:left w:val="nil"/>
              <w:bottom w:val="nil"/>
            </w:tcBorders>
          </w:tcPr>
          <w:p w14:paraId="536D01CB"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0.59</w:t>
            </w:r>
          </w:p>
        </w:tc>
      </w:tr>
      <w:tr w:rsidR="00A7437D" w:rsidRPr="008B7C8E" w14:paraId="235C8500" w14:textId="77777777" w:rsidTr="004E322D">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1ED0ED26"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0</w:t>
            </w:r>
          </w:p>
        </w:tc>
        <w:tc>
          <w:tcPr>
            <w:tcW w:w="1843" w:type="dxa"/>
            <w:tcBorders>
              <w:top w:val="nil"/>
              <w:left w:val="nil"/>
              <w:bottom w:val="nil"/>
              <w:right w:val="nil"/>
            </w:tcBorders>
            <w:noWrap/>
            <w:hideMark/>
          </w:tcPr>
          <w:p w14:paraId="50269C8D"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214 (44.6)</w:t>
            </w:r>
          </w:p>
        </w:tc>
        <w:tc>
          <w:tcPr>
            <w:tcW w:w="1984" w:type="dxa"/>
            <w:tcBorders>
              <w:top w:val="nil"/>
              <w:left w:val="nil"/>
              <w:bottom w:val="nil"/>
            </w:tcBorders>
            <w:noWrap/>
            <w:hideMark/>
          </w:tcPr>
          <w:p w14:paraId="7450AD94"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179 (49.2)</w:t>
            </w:r>
          </w:p>
        </w:tc>
        <w:tc>
          <w:tcPr>
            <w:tcW w:w="1134" w:type="dxa"/>
            <w:tcBorders>
              <w:top w:val="nil"/>
              <w:left w:val="nil"/>
              <w:bottom w:val="nil"/>
            </w:tcBorders>
          </w:tcPr>
          <w:p w14:paraId="561FF73B"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2AD5D8F0" w14:textId="77777777" w:rsidTr="004E322D">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2F67206D"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1</w:t>
            </w:r>
          </w:p>
        </w:tc>
        <w:tc>
          <w:tcPr>
            <w:tcW w:w="1843" w:type="dxa"/>
            <w:tcBorders>
              <w:top w:val="nil"/>
              <w:left w:val="nil"/>
              <w:bottom w:val="nil"/>
            </w:tcBorders>
            <w:noWrap/>
            <w:hideMark/>
          </w:tcPr>
          <w:p w14:paraId="2253BDC1"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160 (33.3)</w:t>
            </w:r>
          </w:p>
        </w:tc>
        <w:tc>
          <w:tcPr>
            <w:tcW w:w="1984" w:type="dxa"/>
            <w:tcBorders>
              <w:top w:val="nil"/>
              <w:bottom w:val="nil"/>
            </w:tcBorders>
            <w:noWrap/>
            <w:hideMark/>
          </w:tcPr>
          <w:p w14:paraId="01A36BE2"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105 (28.8)</w:t>
            </w:r>
          </w:p>
        </w:tc>
        <w:tc>
          <w:tcPr>
            <w:tcW w:w="1134" w:type="dxa"/>
            <w:tcBorders>
              <w:top w:val="nil"/>
              <w:bottom w:val="nil"/>
            </w:tcBorders>
          </w:tcPr>
          <w:p w14:paraId="756E7D9D"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70D47066" w14:textId="77777777" w:rsidTr="004E322D">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68F03997"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2</w:t>
            </w:r>
          </w:p>
        </w:tc>
        <w:tc>
          <w:tcPr>
            <w:tcW w:w="1843" w:type="dxa"/>
            <w:tcBorders>
              <w:top w:val="nil"/>
              <w:left w:val="nil"/>
              <w:bottom w:val="nil"/>
              <w:right w:val="nil"/>
            </w:tcBorders>
            <w:noWrap/>
            <w:hideMark/>
          </w:tcPr>
          <w:p w14:paraId="62DE3DDB"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83 (17.3)</w:t>
            </w:r>
          </w:p>
        </w:tc>
        <w:tc>
          <w:tcPr>
            <w:tcW w:w="1984" w:type="dxa"/>
            <w:tcBorders>
              <w:top w:val="nil"/>
              <w:left w:val="nil"/>
              <w:bottom w:val="nil"/>
            </w:tcBorders>
            <w:noWrap/>
            <w:hideMark/>
          </w:tcPr>
          <w:p w14:paraId="02F7D8E6"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62 (17)</w:t>
            </w:r>
          </w:p>
        </w:tc>
        <w:tc>
          <w:tcPr>
            <w:tcW w:w="1134" w:type="dxa"/>
            <w:tcBorders>
              <w:top w:val="nil"/>
              <w:left w:val="nil"/>
              <w:bottom w:val="nil"/>
            </w:tcBorders>
          </w:tcPr>
          <w:p w14:paraId="794896F7"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29AB31A5" w14:textId="77777777" w:rsidTr="004E322D">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20E8F4C3"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3</w:t>
            </w:r>
          </w:p>
        </w:tc>
        <w:tc>
          <w:tcPr>
            <w:tcW w:w="1843" w:type="dxa"/>
            <w:tcBorders>
              <w:top w:val="nil"/>
              <w:left w:val="nil"/>
              <w:bottom w:val="nil"/>
            </w:tcBorders>
            <w:noWrap/>
            <w:hideMark/>
          </w:tcPr>
          <w:p w14:paraId="2402B27C"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21 (4.4)</w:t>
            </w:r>
          </w:p>
        </w:tc>
        <w:tc>
          <w:tcPr>
            <w:tcW w:w="1984" w:type="dxa"/>
            <w:tcBorders>
              <w:top w:val="nil"/>
              <w:bottom w:val="nil"/>
            </w:tcBorders>
            <w:noWrap/>
            <w:hideMark/>
          </w:tcPr>
          <w:p w14:paraId="16860A21"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15 (4.1)</w:t>
            </w:r>
          </w:p>
        </w:tc>
        <w:tc>
          <w:tcPr>
            <w:tcW w:w="1134" w:type="dxa"/>
            <w:tcBorders>
              <w:top w:val="nil"/>
              <w:bottom w:val="nil"/>
            </w:tcBorders>
          </w:tcPr>
          <w:p w14:paraId="2F3F479D"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1E0E332E" w14:textId="77777777" w:rsidTr="004E322D">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279C5817"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4</w:t>
            </w:r>
          </w:p>
        </w:tc>
        <w:tc>
          <w:tcPr>
            <w:tcW w:w="1843" w:type="dxa"/>
            <w:tcBorders>
              <w:top w:val="nil"/>
              <w:left w:val="nil"/>
              <w:bottom w:val="nil"/>
            </w:tcBorders>
            <w:noWrap/>
          </w:tcPr>
          <w:p w14:paraId="33EC3955"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 (0.4)</w:t>
            </w:r>
          </w:p>
        </w:tc>
        <w:tc>
          <w:tcPr>
            <w:tcW w:w="1984" w:type="dxa"/>
            <w:tcBorders>
              <w:top w:val="nil"/>
              <w:bottom w:val="nil"/>
            </w:tcBorders>
            <w:noWrap/>
          </w:tcPr>
          <w:p w14:paraId="08603698"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 (0.5)</w:t>
            </w:r>
          </w:p>
        </w:tc>
        <w:tc>
          <w:tcPr>
            <w:tcW w:w="1134" w:type="dxa"/>
            <w:tcBorders>
              <w:top w:val="nil"/>
              <w:bottom w:val="nil"/>
            </w:tcBorders>
          </w:tcPr>
          <w:p w14:paraId="6E1B07FC"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6C93666C" w14:textId="77777777" w:rsidTr="004E322D">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21CE1D17"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 xml:space="preserve">5 </w:t>
            </w:r>
          </w:p>
        </w:tc>
        <w:tc>
          <w:tcPr>
            <w:tcW w:w="1843" w:type="dxa"/>
            <w:tcBorders>
              <w:top w:val="nil"/>
              <w:left w:val="nil"/>
              <w:bottom w:val="nil"/>
            </w:tcBorders>
            <w:noWrap/>
          </w:tcPr>
          <w:p w14:paraId="7B3EC9BA"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 (0)</w:t>
            </w:r>
          </w:p>
        </w:tc>
        <w:tc>
          <w:tcPr>
            <w:tcW w:w="1984" w:type="dxa"/>
            <w:tcBorders>
              <w:top w:val="nil"/>
              <w:bottom w:val="nil"/>
            </w:tcBorders>
            <w:noWrap/>
          </w:tcPr>
          <w:p w14:paraId="32CDE4A0"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 (0.3)</w:t>
            </w:r>
          </w:p>
        </w:tc>
        <w:tc>
          <w:tcPr>
            <w:tcW w:w="1134" w:type="dxa"/>
            <w:tcBorders>
              <w:top w:val="nil"/>
              <w:bottom w:val="nil"/>
            </w:tcBorders>
          </w:tcPr>
          <w:p w14:paraId="1FC891F0"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7DF80BEB" w14:textId="77777777" w:rsidTr="004E322D">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6DCD2CF3"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Diabetes, n (%)</w:t>
            </w:r>
          </w:p>
        </w:tc>
        <w:tc>
          <w:tcPr>
            <w:tcW w:w="1843" w:type="dxa"/>
            <w:tcBorders>
              <w:top w:val="nil"/>
              <w:left w:val="nil"/>
              <w:bottom w:val="nil"/>
              <w:right w:val="nil"/>
            </w:tcBorders>
            <w:noWrap/>
            <w:hideMark/>
          </w:tcPr>
          <w:p w14:paraId="73425FE2"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57 (11.9)</w:t>
            </w:r>
          </w:p>
        </w:tc>
        <w:tc>
          <w:tcPr>
            <w:tcW w:w="1984" w:type="dxa"/>
            <w:tcBorders>
              <w:top w:val="nil"/>
              <w:left w:val="nil"/>
              <w:bottom w:val="nil"/>
            </w:tcBorders>
            <w:noWrap/>
            <w:hideMark/>
          </w:tcPr>
          <w:p w14:paraId="546559CF"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42 (11.5)</w:t>
            </w:r>
          </w:p>
        </w:tc>
        <w:tc>
          <w:tcPr>
            <w:tcW w:w="1134" w:type="dxa"/>
            <w:tcBorders>
              <w:top w:val="nil"/>
              <w:left w:val="nil"/>
              <w:bottom w:val="nil"/>
            </w:tcBorders>
          </w:tcPr>
          <w:p w14:paraId="4F334C04"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0.91</w:t>
            </w:r>
          </w:p>
        </w:tc>
      </w:tr>
      <w:tr w:rsidR="00A7437D" w:rsidRPr="008B7C8E" w14:paraId="6089BED9" w14:textId="77777777" w:rsidTr="004E322D">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2FEE27BD"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NHFS (median [IQR])</w:t>
            </w:r>
          </w:p>
        </w:tc>
        <w:tc>
          <w:tcPr>
            <w:tcW w:w="1843" w:type="dxa"/>
            <w:tcBorders>
              <w:top w:val="nil"/>
              <w:left w:val="nil"/>
              <w:bottom w:val="nil"/>
              <w:right w:val="nil"/>
            </w:tcBorders>
            <w:noWrap/>
          </w:tcPr>
          <w:p w14:paraId="5E7750C1"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5 [4 - 6]</w:t>
            </w:r>
          </w:p>
        </w:tc>
        <w:tc>
          <w:tcPr>
            <w:tcW w:w="1984" w:type="dxa"/>
            <w:tcBorders>
              <w:top w:val="nil"/>
              <w:left w:val="nil"/>
              <w:bottom w:val="nil"/>
            </w:tcBorders>
            <w:noWrap/>
          </w:tcPr>
          <w:p w14:paraId="2261E6D0"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5 [3 - 6]</w:t>
            </w:r>
          </w:p>
        </w:tc>
        <w:tc>
          <w:tcPr>
            <w:tcW w:w="1134" w:type="dxa"/>
            <w:tcBorders>
              <w:top w:val="nil"/>
              <w:left w:val="nil"/>
              <w:bottom w:val="nil"/>
            </w:tcBorders>
          </w:tcPr>
          <w:p w14:paraId="20E08637"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0.75</w:t>
            </w:r>
          </w:p>
        </w:tc>
      </w:tr>
      <w:tr w:rsidR="00A7437D" w:rsidRPr="008B7C8E" w14:paraId="63C6E1FD" w14:textId="77777777" w:rsidTr="004E322D">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1F6B86FE"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Atrial fibrillation, n (%)</w:t>
            </w:r>
          </w:p>
        </w:tc>
        <w:tc>
          <w:tcPr>
            <w:tcW w:w="1843" w:type="dxa"/>
            <w:tcBorders>
              <w:top w:val="nil"/>
              <w:left w:val="nil"/>
              <w:bottom w:val="nil"/>
              <w:right w:val="nil"/>
            </w:tcBorders>
            <w:noWrap/>
          </w:tcPr>
          <w:p w14:paraId="7B2670EC"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81 (16.9)</w:t>
            </w:r>
          </w:p>
        </w:tc>
        <w:tc>
          <w:tcPr>
            <w:tcW w:w="1984" w:type="dxa"/>
            <w:tcBorders>
              <w:top w:val="nil"/>
              <w:left w:val="nil"/>
              <w:bottom w:val="nil"/>
            </w:tcBorders>
            <w:noWrap/>
          </w:tcPr>
          <w:p w14:paraId="0CC705D9"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56 (15.4)</w:t>
            </w:r>
          </w:p>
        </w:tc>
        <w:tc>
          <w:tcPr>
            <w:tcW w:w="1134" w:type="dxa"/>
            <w:tcBorders>
              <w:top w:val="nil"/>
              <w:left w:val="nil"/>
              <w:bottom w:val="nil"/>
            </w:tcBorders>
          </w:tcPr>
          <w:p w14:paraId="4A380FE7"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0.39</w:t>
            </w:r>
          </w:p>
        </w:tc>
      </w:tr>
      <w:tr w:rsidR="00A7437D" w:rsidRPr="008B7C8E" w14:paraId="0C092E8E" w14:textId="77777777" w:rsidTr="004E322D">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5FD89547"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Alcohol chronic abuse, n (%)</w:t>
            </w:r>
          </w:p>
        </w:tc>
        <w:tc>
          <w:tcPr>
            <w:tcW w:w="1843" w:type="dxa"/>
            <w:tcBorders>
              <w:top w:val="nil"/>
              <w:left w:val="nil"/>
              <w:bottom w:val="nil"/>
              <w:right w:val="nil"/>
            </w:tcBorders>
            <w:noWrap/>
            <w:hideMark/>
          </w:tcPr>
          <w:p w14:paraId="12E3B3FD"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71 (14.8)</w:t>
            </w:r>
          </w:p>
        </w:tc>
        <w:tc>
          <w:tcPr>
            <w:tcW w:w="1984" w:type="dxa"/>
            <w:tcBorders>
              <w:top w:val="nil"/>
              <w:left w:val="nil"/>
              <w:bottom w:val="nil"/>
            </w:tcBorders>
            <w:noWrap/>
            <w:hideMark/>
          </w:tcPr>
          <w:p w14:paraId="447CB9AA"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54 (14.8)</w:t>
            </w:r>
          </w:p>
        </w:tc>
        <w:tc>
          <w:tcPr>
            <w:tcW w:w="1134" w:type="dxa"/>
            <w:tcBorders>
              <w:top w:val="nil"/>
              <w:left w:val="nil"/>
              <w:bottom w:val="nil"/>
            </w:tcBorders>
          </w:tcPr>
          <w:p w14:paraId="7FEB96E8"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w:t>
            </w:r>
          </w:p>
        </w:tc>
      </w:tr>
      <w:tr w:rsidR="00A7437D" w:rsidRPr="008B7C8E" w14:paraId="4768E40F" w14:textId="77777777" w:rsidTr="004E322D">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574BC331"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Tobacco consumption, n (%)</w:t>
            </w:r>
          </w:p>
        </w:tc>
        <w:tc>
          <w:tcPr>
            <w:tcW w:w="1843" w:type="dxa"/>
            <w:tcBorders>
              <w:top w:val="nil"/>
              <w:left w:val="nil"/>
              <w:bottom w:val="nil"/>
              <w:right w:val="nil"/>
            </w:tcBorders>
            <w:noWrap/>
            <w:hideMark/>
          </w:tcPr>
          <w:p w14:paraId="108C2531"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115 (24)</w:t>
            </w:r>
          </w:p>
        </w:tc>
        <w:tc>
          <w:tcPr>
            <w:tcW w:w="1984" w:type="dxa"/>
            <w:tcBorders>
              <w:top w:val="nil"/>
              <w:left w:val="nil"/>
              <w:bottom w:val="nil"/>
            </w:tcBorders>
            <w:noWrap/>
            <w:hideMark/>
          </w:tcPr>
          <w:p w14:paraId="6B7B7BF9"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90 (24.7)</w:t>
            </w:r>
          </w:p>
        </w:tc>
        <w:tc>
          <w:tcPr>
            <w:tcW w:w="1134" w:type="dxa"/>
            <w:tcBorders>
              <w:top w:val="nil"/>
              <w:left w:val="nil"/>
              <w:bottom w:val="nil"/>
            </w:tcBorders>
          </w:tcPr>
          <w:p w14:paraId="7B5001FB"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0.87</w:t>
            </w:r>
          </w:p>
        </w:tc>
      </w:tr>
      <w:tr w:rsidR="00A7437D" w:rsidRPr="008B7C8E" w14:paraId="234D6BE9" w14:textId="77777777" w:rsidTr="004E322D">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1E01E041"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Dementia, n (%)</w:t>
            </w:r>
          </w:p>
        </w:tc>
        <w:tc>
          <w:tcPr>
            <w:tcW w:w="1843" w:type="dxa"/>
            <w:tcBorders>
              <w:top w:val="nil"/>
              <w:left w:val="nil"/>
              <w:bottom w:val="nil"/>
              <w:right w:val="nil"/>
            </w:tcBorders>
            <w:noWrap/>
          </w:tcPr>
          <w:p w14:paraId="4904D80F"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121 (25.2)</w:t>
            </w:r>
          </w:p>
        </w:tc>
        <w:tc>
          <w:tcPr>
            <w:tcW w:w="1984" w:type="dxa"/>
            <w:tcBorders>
              <w:top w:val="nil"/>
              <w:left w:val="nil"/>
              <w:bottom w:val="nil"/>
            </w:tcBorders>
            <w:noWrap/>
          </w:tcPr>
          <w:p w14:paraId="59E18500"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75 (20.5)</w:t>
            </w:r>
          </w:p>
        </w:tc>
        <w:tc>
          <w:tcPr>
            <w:tcW w:w="1134" w:type="dxa"/>
            <w:tcBorders>
              <w:top w:val="nil"/>
              <w:left w:val="nil"/>
              <w:bottom w:val="nil"/>
            </w:tcBorders>
          </w:tcPr>
          <w:p w14:paraId="3BB82AC4"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0.12</w:t>
            </w:r>
          </w:p>
        </w:tc>
      </w:tr>
      <w:tr w:rsidR="00A7437D" w:rsidRPr="008B7C8E" w14:paraId="2C8290FB" w14:textId="77777777" w:rsidTr="004E322D">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6C3180CA"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Functional Status METs ≤ 4, n (%)</w:t>
            </w:r>
          </w:p>
        </w:tc>
        <w:tc>
          <w:tcPr>
            <w:tcW w:w="1843" w:type="dxa"/>
            <w:tcBorders>
              <w:top w:val="nil"/>
              <w:left w:val="nil"/>
              <w:bottom w:val="nil"/>
              <w:right w:val="nil"/>
            </w:tcBorders>
            <w:noWrap/>
          </w:tcPr>
          <w:p w14:paraId="4226B999"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236 (49.2)</w:t>
            </w:r>
          </w:p>
        </w:tc>
        <w:tc>
          <w:tcPr>
            <w:tcW w:w="1984" w:type="dxa"/>
            <w:tcBorders>
              <w:top w:val="nil"/>
              <w:left w:val="nil"/>
              <w:bottom w:val="nil"/>
            </w:tcBorders>
            <w:noWrap/>
          </w:tcPr>
          <w:p w14:paraId="62AAF1EE"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 xml:space="preserve">140 (38.4) </w:t>
            </w:r>
          </w:p>
        </w:tc>
        <w:tc>
          <w:tcPr>
            <w:tcW w:w="1134" w:type="dxa"/>
            <w:tcBorders>
              <w:top w:val="nil"/>
              <w:left w:val="nil"/>
              <w:bottom w:val="nil"/>
            </w:tcBorders>
          </w:tcPr>
          <w:p w14:paraId="53101F03"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b/>
                <w:bCs/>
                <w:color w:val="000000" w:themeColor="text1"/>
                <w:sz w:val="18"/>
                <w:szCs w:val="18"/>
                <w:lang w:val="en-GB"/>
              </w:rPr>
            </w:pPr>
            <w:r w:rsidRPr="008B7C8E">
              <w:rPr>
                <w:rFonts w:ascii="Arial" w:eastAsia="Arial Unicode MS" w:hAnsi="Arial" w:cs="Arial"/>
                <w:b/>
                <w:bCs/>
                <w:color w:val="000000" w:themeColor="text1"/>
                <w:sz w:val="18"/>
                <w:szCs w:val="18"/>
                <w:lang w:val="en-GB"/>
              </w:rPr>
              <w:t>0.002</w:t>
            </w:r>
          </w:p>
        </w:tc>
      </w:tr>
      <w:tr w:rsidR="00A7437D" w:rsidRPr="008B7C8E" w14:paraId="2B49A508" w14:textId="77777777" w:rsidTr="004E322D">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2800AD53"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Preoperative creatinine (mg dL</w:t>
            </w:r>
            <w:r w:rsidRPr="008B7C8E">
              <w:rPr>
                <w:rFonts w:ascii="Arial" w:eastAsia="Arial Unicode MS" w:hAnsi="Arial" w:cs="Arial"/>
                <w:i w:val="0"/>
                <w:iCs w:val="0"/>
                <w:color w:val="000000" w:themeColor="text1"/>
                <w:sz w:val="18"/>
                <w:szCs w:val="18"/>
                <w:vertAlign w:val="superscript"/>
                <w:lang w:val="en-GB"/>
              </w:rPr>
              <w:t>-1</w:t>
            </w:r>
            <w:r w:rsidRPr="008B7C8E">
              <w:rPr>
                <w:rFonts w:ascii="Arial" w:eastAsia="Arial Unicode MS" w:hAnsi="Arial" w:cs="Arial"/>
                <w:i w:val="0"/>
                <w:iCs w:val="0"/>
                <w:color w:val="000000" w:themeColor="text1"/>
                <w:sz w:val="18"/>
                <w:szCs w:val="18"/>
                <w:lang w:val="en-GB"/>
              </w:rPr>
              <w:t>; median [IQR])</w:t>
            </w:r>
          </w:p>
        </w:tc>
        <w:tc>
          <w:tcPr>
            <w:tcW w:w="1843" w:type="dxa"/>
            <w:tcBorders>
              <w:top w:val="nil"/>
              <w:left w:val="nil"/>
              <w:bottom w:val="nil"/>
              <w:right w:val="nil"/>
            </w:tcBorders>
            <w:noWrap/>
            <w:hideMark/>
          </w:tcPr>
          <w:p w14:paraId="3D060F36" w14:textId="4AA6ABA0"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0.9 [0.7</w:t>
            </w:r>
            <w:r w:rsidR="001B1205" w:rsidRPr="008B7C8E">
              <w:rPr>
                <w:rFonts w:ascii="Arial" w:eastAsia="Arial Unicode MS" w:hAnsi="Arial" w:cs="Arial"/>
                <w:color w:val="000000" w:themeColor="text1"/>
                <w:sz w:val="18"/>
                <w:szCs w:val="18"/>
                <w:lang w:val="en-GB"/>
              </w:rPr>
              <w:t>-</w:t>
            </w:r>
            <w:r w:rsidRPr="008B7C8E">
              <w:rPr>
                <w:rFonts w:ascii="Arial" w:eastAsia="Arial Unicode MS" w:hAnsi="Arial" w:cs="Arial"/>
                <w:color w:val="000000" w:themeColor="text1"/>
                <w:sz w:val="18"/>
                <w:szCs w:val="18"/>
                <w:lang w:val="en-GB"/>
              </w:rPr>
              <w:t>1.2]</w:t>
            </w:r>
          </w:p>
        </w:tc>
        <w:tc>
          <w:tcPr>
            <w:tcW w:w="1984" w:type="dxa"/>
            <w:tcBorders>
              <w:top w:val="nil"/>
              <w:left w:val="nil"/>
              <w:bottom w:val="nil"/>
            </w:tcBorders>
            <w:noWrap/>
            <w:hideMark/>
          </w:tcPr>
          <w:p w14:paraId="2C825E17" w14:textId="5AE6AD1D"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0.9 [0.7</w:t>
            </w:r>
            <w:r w:rsidR="001B1205" w:rsidRPr="008B7C8E">
              <w:rPr>
                <w:rFonts w:ascii="Arial" w:eastAsia="Arial Unicode MS" w:hAnsi="Arial" w:cs="Arial"/>
                <w:color w:val="000000" w:themeColor="text1"/>
                <w:sz w:val="18"/>
                <w:szCs w:val="18"/>
                <w:lang w:val="en-GB"/>
              </w:rPr>
              <w:t>-</w:t>
            </w:r>
            <w:r w:rsidRPr="008B7C8E">
              <w:rPr>
                <w:rFonts w:ascii="Arial" w:eastAsia="Arial Unicode MS" w:hAnsi="Arial" w:cs="Arial"/>
                <w:color w:val="000000" w:themeColor="text1"/>
                <w:sz w:val="18"/>
                <w:szCs w:val="18"/>
                <w:lang w:val="en-GB"/>
              </w:rPr>
              <w:t>1.1]</w:t>
            </w:r>
          </w:p>
        </w:tc>
        <w:tc>
          <w:tcPr>
            <w:tcW w:w="1134" w:type="dxa"/>
            <w:tcBorders>
              <w:top w:val="nil"/>
              <w:left w:val="nil"/>
              <w:bottom w:val="nil"/>
            </w:tcBorders>
          </w:tcPr>
          <w:p w14:paraId="2060592C"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0.1</w:t>
            </w:r>
          </w:p>
        </w:tc>
      </w:tr>
      <w:tr w:rsidR="00A7437D" w:rsidRPr="008B7C8E" w14:paraId="48F0FB69" w14:textId="77777777" w:rsidTr="004E322D">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434CF8A6"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Preoperative Hb (g dL</w:t>
            </w:r>
            <w:r w:rsidRPr="008B7C8E">
              <w:rPr>
                <w:rFonts w:ascii="Arial" w:eastAsia="Arial Unicode MS" w:hAnsi="Arial" w:cs="Arial"/>
                <w:i w:val="0"/>
                <w:iCs w:val="0"/>
                <w:color w:val="000000" w:themeColor="text1"/>
                <w:sz w:val="18"/>
                <w:szCs w:val="18"/>
                <w:vertAlign w:val="superscript"/>
                <w:lang w:val="en-GB"/>
              </w:rPr>
              <w:t>-1</w:t>
            </w:r>
            <w:r w:rsidRPr="008B7C8E">
              <w:rPr>
                <w:rFonts w:ascii="Arial" w:eastAsia="Arial Unicode MS" w:hAnsi="Arial" w:cs="Arial"/>
                <w:i w:val="0"/>
                <w:iCs w:val="0"/>
                <w:color w:val="000000" w:themeColor="text1"/>
                <w:sz w:val="18"/>
                <w:szCs w:val="18"/>
                <w:lang w:val="en-GB"/>
              </w:rPr>
              <w:t>; median [IQR])</w:t>
            </w:r>
          </w:p>
        </w:tc>
        <w:tc>
          <w:tcPr>
            <w:tcW w:w="1843" w:type="dxa"/>
            <w:tcBorders>
              <w:top w:val="nil"/>
              <w:left w:val="nil"/>
              <w:bottom w:val="nil"/>
              <w:right w:val="nil"/>
            </w:tcBorders>
            <w:noWrap/>
            <w:hideMark/>
          </w:tcPr>
          <w:p w14:paraId="7AEBE2D9" w14:textId="629F5B3C"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12.4 [11.2</w:t>
            </w:r>
            <w:r w:rsidR="001B1205" w:rsidRPr="008B7C8E">
              <w:rPr>
                <w:rFonts w:ascii="Arial" w:eastAsia="Arial Unicode MS" w:hAnsi="Arial" w:cs="Arial"/>
                <w:color w:val="000000" w:themeColor="text1"/>
                <w:sz w:val="18"/>
                <w:szCs w:val="18"/>
                <w:lang w:val="en-GB"/>
              </w:rPr>
              <w:t>-</w:t>
            </w:r>
            <w:r w:rsidRPr="008B7C8E">
              <w:rPr>
                <w:rFonts w:ascii="Arial" w:eastAsia="Arial Unicode MS" w:hAnsi="Arial" w:cs="Arial"/>
                <w:color w:val="000000" w:themeColor="text1"/>
                <w:sz w:val="18"/>
                <w:szCs w:val="18"/>
                <w:lang w:val="en-GB"/>
              </w:rPr>
              <w:t>13.4]</w:t>
            </w:r>
          </w:p>
        </w:tc>
        <w:tc>
          <w:tcPr>
            <w:tcW w:w="1984" w:type="dxa"/>
            <w:tcBorders>
              <w:top w:val="nil"/>
              <w:left w:val="nil"/>
              <w:bottom w:val="nil"/>
            </w:tcBorders>
            <w:noWrap/>
            <w:hideMark/>
          </w:tcPr>
          <w:p w14:paraId="466AAA46" w14:textId="0A1F748E"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12.5 [11.3</w:t>
            </w:r>
            <w:r w:rsidR="001B1205" w:rsidRPr="008B7C8E">
              <w:rPr>
                <w:rFonts w:ascii="Arial" w:eastAsia="Arial Unicode MS" w:hAnsi="Arial" w:cs="Arial"/>
                <w:color w:val="000000" w:themeColor="text1"/>
                <w:sz w:val="18"/>
                <w:szCs w:val="18"/>
                <w:lang w:val="en-GB"/>
              </w:rPr>
              <w:t>-</w:t>
            </w:r>
            <w:r w:rsidRPr="008B7C8E">
              <w:rPr>
                <w:rFonts w:ascii="Arial" w:eastAsia="Arial Unicode MS" w:hAnsi="Arial" w:cs="Arial"/>
                <w:color w:val="000000" w:themeColor="text1"/>
                <w:sz w:val="18"/>
                <w:szCs w:val="18"/>
                <w:lang w:val="en-GB"/>
              </w:rPr>
              <w:t>13.8]</w:t>
            </w:r>
          </w:p>
        </w:tc>
        <w:tc>
          <w:tcPr>
            <w:tcW w:w="1134" w:type="dxa"/>
            <w:tcBorders>
              <w:top w:val="nil"/>
              <w:left w:val="nil"/>
              <w:bottom w:val="nil"/>
            </w:tcBorders>
          </w:tcPr>
          <w:p w14:paraId="05131A9F"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0.13</w:t>
            </w:r>
          </w:p>
        </w:tc>
      </w:tr>
      <w:tr w:rsidR="00A7437D" w:rsidRPr="008B7C8E" w14:paraId="738712C3" w14:textId="77777777" w:rsidTr="004E322D">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5FE9C714"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Antiplatelet therapy, n (%)</w:t>
            </w:r>
          </w:p>
        </w:tc>
        <w:tc>
          <w:tcPr>
            <w:tcW w:w="1843" w:type="dxa"/>
            <w:tcBorders>
              <w:top w:val="nil"/>
              <w:left w:val="nil"/>
              <w:bottom w:val="nil"/>
              <w:right w:val="nil"/>
            </w:tcBorders>
            <w:noWrap/>
          </w:tcPr>
          <w:p w14:paraId="26874599"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215 (44.8)</w:t>
            </w:r>
          </w:p>
        </w:tc>
        <w:tc>
          <w:tcPr>
            <w:tcW w:w="1984" w:type="dxa"/>
            <w:tcBorders>
              <w:top w:val="nil"/>
              <w:left w:val="nil"/>
              <w:bottom w:val="nil"/>
            </w:tcBorders>
            <w:noWrap/>
          </w:tcPr>
          <w:p w14:paraId="2E85D7AC"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148 (40.5)</w:t>
            </w:r>
          </w:p>
        </w:tc>
        <w:tc>
          <w:tcPr>
            <w:tcW w:w="1134" w:type="dxa"/>
            <w:tcBorders>
              <w:top w:val="nil"/>
              <w:left w:val="nil"/>
              <w:bottom w:val="nil"/>
            </w:tcBorders>
          </w:tcPr>
          <w:p w14:paraId="5FAFBA33"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0.23</w:t>
            </w:r>
          </w:p>
        </w:tc>
      </w:tr>
      <w:tr w:rsidR="00A7437D" w:rsidRPr="008B7C8E" w14:paraId="0C17811D" w14:textId="77777777" w:rsidTr="004E322D">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1FE7B3AF" w14:textId="77777777" w:rsidR="00166387" w:rsidRPr="008B7C8E" w:rsidRDefault="00166387" w:rsidP="004E322D">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Anticoagulant therapy, n (%)</w:t>
            </w:r>
          </w:p>
        </w:tc>
        <w:tc>
          <w:tcPr>
            <w:tcW w:w="1843" w:type="dxa"/>
            <w:tcBorders>
              <w:top w:val="nil"/>
              <w:left w:val="nil"/>
              <w:bottom w:val="nil"/>
              <w:right w:val="nil"/>
            </w:tcBorders>
            <w:noWrap/>
          </w:tcPr>
          <w:p w14:paraId="16E5092F"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74 (15.4)</w:t>
            </w:r>
          </w:p>
        </w:tc>
        <w:tc>
          <w:tcPr>
            <w:tcW w:w="1984" w:type="dxa"/>
            <w:tcBorders>
              <w:top w:val="nil"/>
              <w:left w:val="nil"/>
              <w:bottom w:val="nil"/>
            </w:tcBorders>
            <w:noWrap/>
          </w:tcPr>
          <w:p w14:paraId="6B9E03EC"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53 (14.5)</w:t>
            </w:r>
          </w:p>
        </w:tc>
        <w:tc>
          <w:tcPr>
            <w:tcW w:w="1134" w:type="dxa"/>
            <w:tcBorders>
              <w:top w:val="nil"/>
              <w:left w:val="nil"/>
              <w:bottom w:val="nil"/>
            </w:tcBorders>
          </w:tcPr>
          <w:p w14:paraId="28096940" w14:textId="77777777" w:rsidR="00166387" w:rsidRPr="008B7C8E" w:rsidRDefault="00166387" w:rsidP="004E322D">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0.77</w:t>
            </w:r>
          </w:p>
        </w:tc>
      </w:tr>
      <w:tr w:rsidR="00A7437D" w:rsidRPr="008B7C8E" w14:paraId="7CAA60F1" w14:textId="77777777" w:rsidTr="00F57BDB">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7A7A0862" w14:textId="30C3353E" w:rsidR="00166387" w:rsidRPr="008B7C8E" w:rsidRDefault="00166387" w:rsidP="004E322D">
            <w:pPr>
              <w:spacing w:after="120"/>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ARS score</w:t>
            </w:r>
          </w:p>
        </w:tc>
        <w:tc>
          <w:tcPr>
            <w:tcW w:w="1843" w:type="dxa"/>
            <w:tcBorders>
              <w:top w:val="nil"/>
              <w:left w:val="nil"/>
              <w:bottom w:val="nil"/>
              <w:right w:val="nil"/>
            </w:tcBorders>
            <w:noWrap/>
          </w:tcPr>
          <w:p w14:paraId="36A08573"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p>
        </w:tc>
        <w:tc>
          <w:tcPr>
            <w:tcW w:w="1984" w:type="dxa"/>
            <w:tcBorders>
              <w:top w:val="nil"/>
              <w:left w:val="nil"/>
              <w:bottom w:val="nil"/>
            </w:tcBorders>
            <w:noWrap/>
          </w:tcPr>
          <w:p w14:paraId="472C4B31"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p>
        </w:tc>
        <w:tc>
          <w:tcPr>
            <w:tcW w:w="1134" w:type="dxa"/>
            <w:tcBorders>
              <w:top w:val="nil"/>
              <w:left w:val="nil"/>
              <w:bottom w:val="nil"/>
            </w:tcBorders>
          </w:tcPr>
          <w:p w14:paraId="094D7C68" w14:textId="0FC9812A" w:rsidR="00166387" w:rsidRPr="008B7C8E" w:rsidRDefault="00F57BDB" w:rsidP="004E322D">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0.41</w:t>
            </w:r>
          </w:p>
        </w:tc>
      </w:tr>
      <w:tr w:rsidR="00A7437D" w:rsidRPr="008B7C8E" w14:paraId="257BA695" w14:textId="77777777" w:rsidTr="00F57BDB">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0F22D250" w14:textId="537E8E5A" w:rsidR="00F57BDB" w:rsidRPr="008B7C8E" w:rsidRDefault="00F57BDB" w:rsidP="00F57BDB">
            <w:pPr>
              <w:spacing w:after="120"/>
              <w:jc w:val="left"/>
              <w:rPr>
                <w:rFonts w:ascii="Arial" w:eastAsia="Arial Unicode MS" w:hAnsi="Arial" w:cs="Arial"/>
                <w:color w:val="000000" w:themeColor="text1"/>
                <w:sz w:val="18"/>
                <w:szCs w:val="18"/>
                <w:lang w:val="en-GB"/>
              </w:rPr>
            </w:pPr>
            <w:r w:rsidRPr="008B7C8E">
              <w:rPr>
                <w:rFonts w:ascii="Arial" w:eastAsia="Arial Unicode MS" w:hAnsi="Arial" w:cs="Arial"/>
                <w:i w:val="0"/>
                <w:iCs w:val="0"/>
                <w:color w:val="000000" w:themeColor="text1"/>
                <w:sz w:val="18"/>
                <w:szCs w:val="18"/>
                <w:lang w:val="en-GB"/>
              </w:rPr>
              <w:t>0 , n (%)</w:t>
            </w:r>
          </w:p>
        </w:tc>
        <w:tc>
          <w:tcPr>
            <w:tcW w:w="1843" w:type="dxa"/>
            <w:tcBorders>
              <w:top w:val="nil"/>
              <w:left w:val="nil"/>
              <w:bottom w:val="nil"/>
              <w:right w:val="nil"/>
            </w:tcBorders>
            <w:noWrap/>
          </w:tcPr>
          <w:p w14:paraId="45EAFCDC" w14:textId="392806E9"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271 (56)</w:t>
            </w:r>
          </w:p>
        </w:tc>
        <w:tc>
          <w:tcPr>
            <w:tcW w:w="1984" w:type="dxa"/>
            <w:tcBorders>
              <w:top w:val="nil"/>
              <w:left w:val="nil"/>
              <w:bottom w:val="nil"/>
            </w:tcBorders>
            <w:noWrap/>
          </w:tcPr>
          <w:p w14:paraId="62F36DCB" w14:textId="4F9DE7EB"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220 (60)</w:t>
            </w:r>
          </w:p>
        </w:tc>
        <w:tc>
          <w:tcPr>
            <w:tcW w:w="1134" w:type="dxa"/>
            <w:tcBorders>
              <w:top w:val="nil"/>
              <w:left w:val="nil"/>
              <w:bottom w:val="nil"/>
            </w:tcBorders>
          </w:tcPr>
          <w:p w14:paraId="2FC7F7D6" w14:textId="77777777"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60BFF455" w14:textId="77777777" w:rsidTr="00F57BDB">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544EE872" w14:textId="4F6588AA" w:rsidR="00F57BDB" w:rsidRPr="008B7C8E" w:rsidRDefault="00F57BDB" w:rsidP="00F57BDB">
            <w:pPr>
              <w:spacing w:after="120"/>
              <w:jc w:val="left"/>
              <w:rPr>
                <w:rFonts w:ascii="Arial" w:eastAsia="Arial Unicode MS" w:hAnsi="Arial" w:cs="Arial"/>
                <w:color w:val="000000" w:themeColor="text1"/>
                <w:sz w:val="18"/>
                <w:szCs w:val="18"/>
                <w:lang w:val="en-GB"/>
              </w:rPr>
            </w:pPr>
            <w:r w:rsidRPr="008B7C8E">
              <w:rPr>
                <w:rFonts w:ascii="Arial" w:eastAsia="Arial Unicode MS" w:hAnsi="Arial" w:cs="Arial"/>
                <w:i w:val="0"/>
                <w:iCs w:val="0"/>
                <w:color w:val="000000" w:themeColor="text1"/>
                <w:sz w:val="18"/>
                <w:szCs w:val="18"/>
                <w:lang w:val="en-GB"/>
              </w:rPr>
              <w:t>1 , n (%)</w:t>
            </w:r>
          </w:p>
        </w:tc>
        <w:tc>
          <w:tcPr>
            <w:tcW w:w="1843" w:type="dxa"/>
            <w:tcBorders>
              <w:top w:val="nil"/>
              <w:left w:val="nil"/>
              <w:bottom w:val="nil"/>
              <w:right w:val="nil"/>
            </w:tcBorders>
            <w:noWrap/>
          </w:tcPr>
          <w:p w14:paraId="723841BE" w14:textId="0538C15F" w:rsidR="00F57BDB" w:rsidRPr="008B7C8E" w:rsidRDefault="00F57BDB" w:rsidP="00F57BD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105 (22)</w:t>
            </w:r>
          </w:p>
        </w:tc>
        <w:tc>
          <w:tcPr>
            <w:tcW w:w="1984" w:type="dxa"/>
            <w:tcBorders>
              <w:top w:val="nil"/>
              <w:left w:val="nil"/>
              <w:bottom w:val="nil"/>
            </w:tcBorders>
            <w:noWrap/>
          </w:tcPr>
          <w:p w14:paraId="733EF82D" w14:textId="6D5F044B" w:rsidR="00F57BDB" w:rsidRPr="008B7C8E" w:rsidRDefault="00F57BDB" w:rsidP="00F57BD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67 (19)</w:t>
            </w:r>
          </w:p>
        </w:tc>
        <w:tc>
          <w:tcPr>
            <w:tcW w:w="1134" w:type="dxa"/>
            <w:tcBorders>
              <w:top w:val="nil"/>
              <w:left w:val="nil"/>
              <w:bottom w:val="nil"/>
            </w:tcBorders>
          </w:tcPr>
          <w:p w14:paraId="51C3D49A" w14:textId="77777777" w:rsidR="00F57BDB" w:rsidRPr="008B7C8E" w:rsidRDefault="00F57BDB" w:rsidP="00F57BD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4471D099" w14:textId="77777777" w:rsidTr="00F57BDB">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0FC3D356" w14:textId="025024BC" w:rsidR="00F57BDB" w:rsidRPr="008B7C8E" w:rsidRDefault="00F57BDB" w:rsidP="00F57BDB">
            <w:pPr>
              <w:spacing w:after="120"/>
              <w:jc w:val="left"/>
              <w:rPr>
                <w:rFonts w:ascii="Arial" w:eastAsia="Arial Unicode MS" w:hAnsi="Arial" w:cs="Arial"/>
                <w:color w:val="000000" w:themeColor="text1"/>
                <w:sz w:val="18"/>
                <w:szCs w:val="18"/>
                <w:lang w:val="en-GB"/>
              </w:rPr>
            </w:pPr>
            <w:r w:rsidRPr="008B7C8E">
              <w:rPr>
                <w:rFonts w:ascii="Arial" w:eastAsia="Arial Unicode MS" w:hAnsi="Arial" w:cs="Arial"/>
                <w:i w:val="0"/>
                <w:iCs w:val="0"/>
                <w:color w:val="000000" w:themeColor="text1"/>
                <w:sz w:val="18"/>
                <w:szCs w:val="18"/>
                <w:lang w:val="en-GB"/>
              </w:rPr>
              <w:sym w:font="Symbol" w:char="F0B3"/>
            </w:r>
            <w:r w:rsidRPr="008B7C8E">
              <w:rPr>
                <w:rFonts w:ascii="Arial" w:eastAsia="Arial Unicode MS" w:hAnsi="Arial" w:cs="Arial"/>
                <w:i w:val="0"/>
                <w:iCs w:val="0"/>
                <w:color w:val="000000" w:themeColor="text1"/>
                <w:sz w:val="18"/>
                <w:szCs w:val="18"/>
                <w:lang w:val="en-GB"/>
              </w:rPr>
              <w:t>2 , n (%)</w:t>
            </w:r>
          </w:p>
        </w:tc>
        <w:tc>
          <w:tcPr>
            <w:tcW w:w="1843" w:type="dxa"/>
            <w:tcBorders>
              <w:top w:val="nil"/>
              <w:left w:val="nil"/>
              <w:bottom w:val="nil"/>
              <w:right w:val="nil"/>
            </w:tcBorders>
            <w:noWrap/>
          </w:tcPr>
          <w:p w14:paraId="668F3DDE" w14:textId="579DE503"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104 (22)</w:t>
            </w:r>
          </w:p>
        </w:tc>
        <w:tc>
          <w:tcPr>
            <w:tcW w:w="1984" w:type="dxa"/>
            <w:tcBorders>
              <w:top w:val="nil"/>
              <w:left w:val="nil"/>
              <w:bottom w:val="nil"/>
            </w:tcBorders>
            <w:noWrap/>
          </w:tcPr>
          <w:p w14:paraId="20454D42" w14:textId="5F677E14"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78 (21)</w:t>
            </w:r>
          </w:p>
        </w:tc>
        <w:tc>
          <w:tcPr>
            <w:tcW w:w="1134" w:type="dxa"/>
            <w:tcBorders>
              <w:top w:val="nil"/>
              <w:left w:val="nil"/>
              <w:bottom w:val="nil"/>
            </w:tcBorders>
          </w:tcPr>
          <w:p w14:paraId="1DB1AE20" w14:textId="77777777"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30D62083" w14:textId="77777777" w:rsidTr="004E322D">
        <w:trPr>
          <w:gridAfter w:val="1"/>
          <w:wAfter w:w="284"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tcPr>
          <w:p w14:paraId="2F56027A" w14:textId="77777777" w:rsidR="00F57BDB" w:rsidRPr="008B7C8E" w:rsidRDefault="00F57BDB" w:rsidP="00F57BDB">
            <w:pPr>
              <w:jc w:val="left"/>
              <w:rPr>
                <w:rFonts w:ascii="Arial" w:eastAsia="Arial Unicode MS" w:hAnsi="Arial" w:cs="Arial"/>
                <w:b/>
                <w:bCs/>
                <w:i w:val="0"/>
                <w:iCs w:val="0"/>
                <w:color w:val="000000" w:themeColor="text1"/>
                <w:sz w:val="18"/>
                <w:szCs w:val="18"/>
                <w:lang w:val="en-GB"/>
              </w:rPr>
            </w:pPr>
            <w:r w:rsidRPr="008B7C8E">
              <w:rPr>
                <w:rFonts w:ascii="Arial" w:eastAsia="Arial Unicode MS" w:hAnsi="Arial" w:cs="Arial"/>
                <w:b/>
                <w:bCs/>
                <w:i w:val="0"/>
                <w:iCs w:val="0"/>
                <w:color w:val="000000" w:themeColor="text1"/>
                <w:sz w:val="18"/>
                <w:szCs w:val="18"/>
                <w:lang w:val="en-GB"/>
              </w:rPr>
              <w:t>Surgical characteristics</w:t>
            </w:r>
          </w:p>
        </w:tc>
        <w:tc>
          <w:tcPr>
            <w:tcW w:w="1843" w:type="dxa"/>
            <w:tcBorders>
              <w:top w:val="nil"/>
              <w:left w:val="nil"/>
              <w:bottom w:val="nil"/>
              <w:right w:val="nil"/>
            </w:tcBorders>
            <w:noWrap/>
          </w:tcPr>
          <w:p w14:paraId="11A9BEA4" w14:textId="77777777" w:rsidR="00F57BDB" w:rsidRPr="008B7C8E" w:rsidRDefault="00F57BDB" w:rsidP="00F57BD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p>
        </w:tc>
        <w:tc>
          <w:tcPr>
            <w:tcW w:w="1984" w:type="dxa"/>
            <w:tcBorders>
              <w:top w:val="nil"/>
              <w:left w:val="nil"/>
              <w:bottom w:val="nil"/>
              <w:right w:val="nil"/>
            </w:tcBorders>
            <w:noWrap/>
          </w:tcPr>
          <w:p w14:paraId="38035586" w14:textId="77777777" w:rsidR="00F57BDB" w:rsidRPr="008B7C8E" w:rsidRDefault="00F57BDB" w:rsidP="00F57BD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p>
        </w:tc>
        <w:tc>
          <w:tcPr>
            <w:tcW w:w="1134" w:type="dxa"/>
            <w:tcBorders>
              <w:top w:val="nil"/>
              <w:left w:val="nil"/>
              <w:bottom w:val="nil"/>
            </w:tcBorders>
          </w:tcPr>
          <w:p w14:paraId="72F4B524" w14:textId="77777777" w:rsidR="00F57BDB" w:rsidRPr="008B7C8E" w:rsidRDefault="00F57BDB" w:rsidP="00F57BD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p>
        </w:tc>
      </w:tr>
      <w:tr w:rsidR="00A7437D" w:rsidRPr="008B7C8E" w14:paraId="5DE825DD" w14:textId="77777777" w:rsidTr="00F57BDB">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hideMark/>
          </w:tcPr>
          <w:p w14:paraId="21AA13CA" w14:textId="77777777" w:rsidR="00F57BDB" w:rsidRPr="008B7C8E" w:rsidRDefault="00F57BDB" w:rsidP="00F57BDB">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Side, n of left side (%)</w:t>
            </w:r>
          </w:p>
        </w:tc>
        <w:tc>
          <w:tcPr>
            <w:tcW w:w="1843" w:type="dxa"/>
            <w:tcBorders>
              <w:top w:val="nil"/>
              <w:left w:val="nil"/>
              <w:bottom w:val="nil"/>
              <w:right w:val="nil"/>
            </w:tcBorders>
            <w:noWrap/>
            <w:hideMark/>
          </w:tcPr>
          <w:p w14:paraId="14C5E9D4" w14:textId="77777777"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233 (48.5)</w:t>
            </w:r>
          </w:p>
        </w:tc>
        <w:tc>
          <w:tcPr>
            <w:tcW w:w="1984" w:type="dxa"/>
            <w:tcBorders>
              <w:top w:val="nil"/>
              <w:left w:val="nil"/>
              <w:bottom w:val="nil"/>
              <w:right w:val="nil"/>
            </w:tcBorders>
            <w:noWrap/>
            <w:hideMark/>
          </w:tcPr>
          <w:p w14:paraId="07A81B66" w14:textId="77777777"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182 (49.9)</w:t>
            </w:r>
          </w:p>
        </w:tc>
        <w:tc>
          <w:tcPr>
            <w:tcW w:w="1134" w:type="dxa"/>
            <w:tcBorders>
              <w:top w:val="nil"/>
              <w:left w:val="nil"/>
              <w:bottom w:val="nil"/>
            </w:tcBorders>
          </w:tcPr>
          <w:p w14:paraId="572FC011" w14:textId="77777777"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0.73</w:t>
            </w:r>
          </w:p>
        </w:tc>
      </w:tr>
      <w:tr w:rsidR="00A7437D" w:rsidRPr="008B7C8E" w14:paraId="131D90E6" w14:textId="77777777" w:rsidTr="004E322D">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2E017963" w14:textId="77777777" w:rsidR="00F57BDB" w:rsidRPr="008B7C8E" w:rsidRDefault="00F57BDB" w:rsidP="00F57BDB">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Intraoperative atropine, n (%)</w:t>
            </w:r>
          </w:p>
        </w:tc>
        <w:tc>
          <w:tcPr>
            <w:tcW w:w="1843" w:type="dxa"/>
            <w:tcBorders>
              <w:top w:val="nil"/>
              <w:left w:val="nil"/>
              <w:bottom w:val="nil"/>
              <w:right w:val="nil"/>
            </w:tcBorders>
            <w:noWrap/>
          </w:tcPr>
          <w:p w14:paraId="099A863D" w14:textId="77777777" w:rsidR="00F57BDB" w:rsidRPr="008B7C8E" w:rsidRDefault="00F57BDB" w:rsidP="00F57BD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20 (4.2)</w:t>
            </w:r>
          </w:p>
        </w:tc>
        <w:tc>
          <w:tcPr>
            <w:tcW w:w="1984" w:type="dxa"/>
            <w:tcBorders>
              <w:top w:val="nil"/>
              <w:left w:val="nil"/>
              <w:bottom w:val="nil"/>
            </w:tcBorders>
            <w:noWrap/>
          </w:tcPr>
          <w:p w14:paraId="081C7947" w14:textId="77777777" w:rsidR="00F57BDB" w:rsidRPr="008B7C8E" w:rsidRDefault="00F57BDB" w:rsidP="00F57BD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9 (2.5)</w:t>
            </w:r>
          </w:p>
        </w:tc>
        <w:tc>
          <w:tcPr>
            <w:tcW w:w="1134" w:type="dxa"/>
            <w:tcBorders>
              <w:top w:val="nil"/>
              <w:left w:val="nil"/>
              <w:bottom w:val="nil"/>
            </w:tcBorders>
          </w:tcPr>
          <w:p w14:paraId="4765453A" w14:textId="77777777" w:rsidR="00F57BDB" w:rsidRPr="008B7C8E" w:rsidRDefault="00F57BDB" w:rsidP="00F57BD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0.25</w:t>
            </w:r>
          </w:p>
        </w:tc>
      </w:tr>
      <w:tr w:rsidR="00A7437D" w:rsidRPr="008B7C8E" w14:paraId="5CE9FC77" w14:textId="77777777" w:rsidTr="00F57BDB">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704C7E53" w14:textId="77777777" w:rsidR="00F57BDB" w:rsidRPr="008B7C8E" w:rsidRDefault="00F57BDB" w:rsidP="00F57BDB">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Intraoperative ephedrine, n (%)</w:t>
            </w:r>
          </w:p>
        </w:tc>
        <w:tc>
          <w:tcPr>
            <w:tcW w:w="1843" w:type="dxa"/>
            <w:tcBorders>
              <w:top w:val="nil"/>
              <w:left w:val="nil"/>
              <w:bottom w:val="nil"/>
              <w:right w:val="nil"/>
            </w:tcBorders>
            <w:noWrap/>
          </w:tcPr>
          <w:p w14:paraId="41972DE3" w14:textId="77777777"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264 (55)</w:t>
            </w:r>
          </w:p>
        </w:tc>
        <w:tc>
          <w:tcPr>
            <w:tcW w:w="1984" w:type="dxa"/>
            <w:tcBorders>
              <w:top w:val="nil"/>
              <w:left w:val="nil"/>
              <w:bottom w:val="nil"/>
            </w:tcBorders>
            <w:noWrap/>
          </w:tcPr>
          <w:p w14:paraId="5FC84158" w14:textId="77777777"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151 (41.4)</w:t>
            </w:r>
          </w:p>
        </w:tc>
        <w:tc>
          <w:tcPr>
            <w:tcW w:w="1134" w:type="dxa"/>
            <w:tcBorders>
              <w:top w:val="nil"/>
              <w:left w:val="nil"/>
              <w:bottom w:val="nil"/>
            </w:tcBorders>
          </w:tcPr>
          <w:p w14:paraId="207FABAE" w14:textId="77777777"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b/>
                <w:bCs/>
                <w:color w:val="000000" w:themeColor="text1"/>
                <w:sz w:val="18"/>
                <w:szCs w:val="18"/>
                <w:lang w:val="en-GB"/>
              </w:rPr>
            </w:pPr>
            <w:r w:rsidRPr="008B7C8E">
              <w:rPr>
                <w:rFonts w:ascii="Arial" w:eastAsia="Arial Unicode MS" w:hAnsi="Arial" w:cs="Arial"/>
                <w:b/>
                <w:bCs/>
                <w:color w:val="000000" w:themeColor="text1"/>
                <w:sz w:val="18"/>
                <w:szCs w:val="18"/>
                <w:lang w:val="en-GB"/>
              </w:rPr>
              <w:t>&lt;0.001</w:t>
            </w:r>
          </w:p>
        </w:tc>
      </w:tr>
      <w:tr w:rsidR="00A7437D" w:rsidRPr="008B7C8E" w14:paraId="6DA24C7F" w14:textId="77777777" w:rsidTr="004E322D">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17873B4C" w14:textId="77777777" w:rsidR="00F57BDB" w:rsidRPr="008B7C8E" w:rsidRDefault="00F57BDB" w:rsidP="00F57BDB">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Intraoperative norepinephrine, n (%)</w:t>
            </w:r>
          </w:p>
        </w:tc>
        <w:tc>
          <w:tcPr>
            <w:tcW w:w="1843" w:type="dxa"/>
            <w:tcBorders>
              <w:top w:val="nil"/>
              <w:left w:val="nil"/>
              <w:bottom w:val="nil"/>
              <w:right w:val="nil"/>
            </w:tcBorders>
            <w:noWrap/>
          </w:tcPr>
          <w:p w14:paraId="39FA92D3" w14:textId="77777777" w:rsidR="00F57BDB" w:rsidRPr="008B7C8E" w:rsidRDefault="00F57BDB" w:rsidP="00F57BD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16 (3.3)</w:t>
            </w:r>
          </w:p>
        </w:tc>
        <w:tc>
          <w:tcPr>
            <w:tcW w:w="1984" w:type="dxa"/>
            <w:tcBorders>
              <w:top w:val="nil"/>
              <w:left w:val="nil"/>
              <w:bottom w:val="nil"/>
            </w:tcBorders>
            <w:noWrap/>
          </w:tcPr>
          <w:p w14:paraId="5CDF75AD" w14:textId="77777777" w:rsidR="00F57BDB" w:rsidRPr="008B7C8E" w:rsidRDefault="00F57BDB" w:rsidP="00F57BD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81 (22.2)</w:t>
            </w:r>
          </w:p>
        </w:tc>
        <w:tc>
          <w:tcPr>
            <w:tcW w:w="1134" w:type="dxa"/>
            <w:tcBorders>
              <w:top w:val="nil"/>
              <w:left w:val="nil"/>
              <w:bottom w:val="nil"/>
            </w:tcBorders>
          </w:tcPr>
          <w:p w14:paraId="03B26390" w14:textId="77777777" w:rsidR="00F57BDB" w:rsidRPr="008B7C8E" w:rsidRDefault="00F57BDB" w:rsidP="00F57BD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bCs/>
                <w:color w:val="000000" w:themeColor="text1"/>
                <w:sz w:val="18"/>
                <w:szCs w:val="18"/>
                <w:lang w:val="en-GB"/>
              </w:rPr>
            </w:pPr>
            <w:r w:rsidRPr="008B7C8E">
              <w:rPr>
                <w:rFonts w:ascii="Arial" w:eastAsia="Arial Unicode MS" w:hAnsi="Arial" w:cs="Arial"/>
                <w:b/>
                <w:bCs/>
                <w:color w:val="000000" w:themeColor="text1"/>
                <w:sz w:val="18"/>
                <w:szCs w:val="18"/>
                <w:lang w:val="en-GB"/>
              </w:rPr>
              <w:t>&lt;0.001</w:t>
            </w:r>
          </w:p>
        </w:tc>
      </w:tr>
      <w:tr w:rsidR="00A7437D" w:rsidRPr="008B7C8E" w14:paraId="3E5E9218" w14:textId="77777777" w:rsidTr="00F57BDB">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065DA564" w14:textId="77777777" w:rsidR="00F57BDB" w:rsidRPr="008B7C8E" w:rsidRDefault="00F57BDB" w:rsidP="00F57BDB">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Type of anaesthesia, n of spinal (%)</w:t>
            </w:r>
          </w:p>
        </w:tc>
        <w:tc>
          <w:tcPr>
            <w:tcW w:w="1843" w:type="dxa"/>
            <w:tcBorders>
              <w:top w:val="nil"/>
              <w:left w:val="nil"/>
              <w:bottom w:val="nil"/>
              <w:right w:val="nil"/>
            </w:tcBorders>
            <w:noWrap/>
          </w:tcPr>
          <w:p w14:paraId="519EAD8A" w14:textId="77777777"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86 (17.9)</w:t>
            </w:r>
          </w:p>
        </w:tc>
        <w:tc>
          <w:tcPr>
            <w:tcW w:w="1984" w:type="dxa"/>
            <w:tcBorders>
              <w:top w:val="nil"/>
              <w:left w:val="nil"/>
              <w:bottom w:val="nil"/>
            </w:tcBorders>
            <w:noWrap/>
          </w:tcPr>
          <w:p w14:paraId="4F747A86" w14:textId="77777777"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190 (52.1)</w:t>
            </w:r>
          </w:p>
        </w:tc>
        <w:tc>
          <w:tcPr>
            <w:tcW w:w="1134" w:type="dxa"/>
            <w:tcBorders>
              <w:top w:val="nil"/>
              <w:left w:val="nil"/>
              <w:bottom w:val="nil"/>
            </w:tcBorders>
          </w:tcPr>
          <w:p w14:paraId="428D3607" w14:textId="77777777"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b/>
                <w:bCs/>
                <w:color w:val="000000" w:themeColor="text1"/>
                <w:sz w:val="18"/>
                <w:szCs w:val="18"/>
                <w:lang w:val="en-GB"/>
              </w:rPr>
              <w:t>&lt;0.001</w:t>
            </w:r>
          </w:p>
        </w:tc>
      </w:tr>
      <w:tr w:rsidR="00A7437D" w:rsidRPr="008B7C8E" w14:paraId="21CA4F9D" w14:textId="77777777" w:rsidTr="004E322D">
        <w:trPr>
          <w:gridBefore w:val="1"/>
          <w:gridAfter w:val="1"/>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4D177D9B" w14:textId="77777777" w:rsidR="00F57BDB" w:rsidRPr="008B7C8E" w:rsidRDefault="00F57BDB" w:rsidP="00F57BDB">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Hemiarthroplasty, n (%)</w:t>
            </w:r>
          </w:p>
        </w:tc>
        <w:tc>
          <w:tcPr>
            <w:tcW w:w="1843" w:type="dxa"/>
            <w:tcBorders>
              <w:top w:val="nil"/>
              <w:left w:val="nil"/>
              <w:bottom w:val="nil"/>
              <w:right w:val="nil"/>
            </w:tcBorders>
            <w:noWrap/>
          </w:tcPr>
          <w:p w14:paraId="193A89D0" w14:textId="77777777" w:rsidR="00F57BDB" w:rsidRPr="008B7C8E" w:rsidRDefault="00F57BDB" w:rsidP="00F57BD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147 (30.6)</w:t>
            </w:r>
          </w:p>
        </w:tc>
        <w:tc>
          <w:tcPr>
            <w:tcW w:w="1984" w:type="dxa"/>
            <w:tcBorders>
              <w:top w:val="nil"/>
              <w:left w:val="nil"/>
              <w:bottom w:val="nil"/>
            </w:tcBorders>
            <w:noWrap/>
          </w:tcPr>
          <w:p w14:paraId="75C5B69E" w14:textId="77777777" w:rsidR="00F57BDB" w:rsidRPr="008B7C8E" w:rsidRDefault="00F57BDB" w:rsidP="00F57BD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109 (29.9)</w:t>
            </w:r>
          </w:p>
        </w:tc>
        <w:tc>
          <w:tcPr>
            <w:tcW w:w="1134" w:type="dxa"/>
            <w:tcBorders>
              <w:top w:val="nil"/>
              <w:left w:val="nil"/>
              <w:bottom w:val="nil"/>
            </w:tcBorders>
          </w:tcPr>
          <w:p w14:paraId="3CFBC53B" w14:textId="77777777" w:rsidR="00F57BDB" w:rsidRPr="008B7C8E" w:rsidRDefault="00F57BDB" w:rsidP="00F57BDB">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0.82</w:t>
            </w:r>
          </w:p>
        </w:tc>
      </w:tr>
      <w:tr w:rsidR="00A7437D" w:rsidRPr="008B7C8E" w14:paraId="56F53D28" w14:textId="77777777" w:rsidTr="00F57BDB">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695CF214" w14:textId="77777777" w:rsidR="00F57BDB" w:rsidRPr="008B7C8E" w:rsidRDefault="00F57BDB" w:rsidP="00F57BDB">
            <w:pPr>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Intramedullary nail, n (%)</w:t>
            </w:r>
          </w:p>
        </w:tc>
        <w:tc>
          <w:tcPr>
            <w:tcW w:w="1843" w:type="dxa"/>
            <w:tcBorders>
              <w:top w:val="nil"/>
              <w:left w:val="nil"/>
              <w:bottom w:val="nil"/>
              <w:right w:val="nil"/>
            </w:tcBorders>
            <w:noWrap/>
          </w:tcPr>
          <w:p w14:paraId="2DBFE460" w14:textId="77777777"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248 (51.7)</w:t>
            </w:r>
          </w:p>
        </w:tc>
        <w:tc>
          <w:tcPr>
            <w:tcW w:w="1984" w:type="dxa"/>
            <w:tcBorders>
              <w:top w:val="nil"/>
              <w:left w:val="nil"/>
              <w:bottom w:val="nil"/>
            </w:tcBorders>
            <w:noWrap/>
          </w:tcPr>
          <w:p w14:paraId="35A8FB10" w14:textId="77777777"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205 (56.2)</w:t>
            </w:r>
          </w:p>
        </w:tc>
        <w:tc>
          <w:tcPr>
            <w:tcW w:w="1134" w:type="dxa"/>
            <w:tcBorders>
              <w:top w:val="nil"/>
              <w:left w:val="nil"/>
              <w:bottom w:val="nil"/>
            </w:tcBorders>
          </w:tcPr>
          <w:p w14:paraId="2EB45387" w14:textId="77777777" w:rsidR="00F57BDB" w:rsidRPr="008B7C8E" w:rsidRDefault="00F57BDB" w:rsidP="00F57BDB">
            <w:pP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0.21</w:t>
            </w:r>
          </w:p>
        </w:tc>
      </w:tr>
      <w:tr w:rsidR="00A7437D" w:rsidRPr="008B7C8E" w14:paraId="5AC4CEA4" w14:textId="77777777" w:rsidTr="004E322D">
        <w:trPr>
          <w:gridBefore w:val="1"/>
          <w:gridAfter w:val="1"/>
          <w:wBefore w:w="142" w:type="dxa"/>
          <w:wAfter w:w="284" w:type="dxa"/>
          <w:trHeight w:val="93"/>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right w:val="nil"/>
            </w:tcBorders>
            <w:noWrap/>
          </w:tcPr>
          <w:p w14:paraId="1937FC94" w14:textId="77777777" w:rsidR="00F57BDB" w:rsidRPr="008B7C8E" w:rsidRDefault="00F57BDB" w:rsidP="00F57BDB">
            <w:pPr>
              <w:spacing w:line="360" w:lineRule="auto"/>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lastRenderedPageBreak/>
              <w:t>Dynamic Hip Screw, n (%)</w:t>
            </w:r>
          </w:p>
        </w:tc>
        <w:tc>
          <w:tcPr>
            <w:tcW w:w="1843" w:type="dxa"/>
            <w:tcBorders>
              <w:top w:val="nil"/>
              <w:left w:val="nil"/>
              <w:bottom w:val="nil"/>
              <w:right w:val="nil"/>
            </w:tcBorders>
            <w:noWrap/>
          </w:tcPr>
          <w:p w14:paraId="13E17377" w14:textId="77777777" w:rsidR="00F57BDB" w:rsidRPr="008B7C8E" w:rsidRDefault="00F57BDB" w:rsidP="00F57BDB">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84 (17.5)</w:t>
            </w:r>
          </w:p>
        </w:tc>
        <w:tc>
          <w:tcPr>
            <w:tcW w:w="1984" w:type="dxa"/>
            <w:tcBorders>
              <w:top w:val="nil"/>
              <w:left w:val="nil"/>
              <w:bottom w:val="nil"/>
            </w:tcBorders>
            <w:noWrap/>
          </w:tcPr>
          <w:p w14:paraId="4B174A76" w14:textId="77777777" w:rsidR="00F57BDB" w:rsidRPr="008B7C8E" w:rsidRDefault="00F57BDB" w:rsidP="00F57BDB">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47 (12.9)</w:t>
            </w:r>
          </w:p>
        </w:tc>
        <w:tc>
          <w:tcPr>
            <w:tcW w:w="1134" w:type="dxa"/>
            <w:tcBorders>
              <w:top w:val="nil"/>
              <w:left w:val="nil"/>
              <w:bottom w:val="nil"/>
            </w:tcBorders>
          </w:tcPr>
          <w:p w14:paraId="57906D7A" w14:textId="77777777" w:rsidR="00F57BDB" w:rsidRPr="008B7C8E" w:rsidRDefault="00F57BDB" w:rsidP="00F57BDB">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0.07</w:t>
            </w:r>
          </w:p>
        </w:tc>
      </w:tr>
      <w:tr w:rsidR="00A7437D" w:rsidRPr="008B7C8E" w14:paraId="05A949A4" w14:textId="77777777" w:rsidTr="00F57BDB">
        <w:trPr>
          <w:gridBefore w:val="1"/>
          <w:gridAfter w:val="1"/>
          <w:cnfStyle w:val="000000100000" w:firstRow="0" w:lastRow="0" w:firstColumn="0" w:lastColumn="0" w:oddVBand="0" w:evenVBand="0" w:oddHBand="1" w:evenHBand="0" w:firstRowFirstColumn="0" w:firstRowLastColumn="0" w:lastRowFirstColumn="0" w:lastRowLastColumn="0"/>
          <w:wBefore w:w="142" w:type="dxa"/>
          <w:wAfter w:w="284" w:type="dxa"/>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single" w:sz="4" w:space="0" w:color="auto"/>
              <w:right w:val="nil"/>
            </w:tcBorders>
            <w:noWrap/>
          </w:tcPr>
          <w:p w14:paraId="4B3843F1" w14:textId="77777777" w:rsidR="00F57BDB" w:rsidRPr="008B7C8E" w:rsidRDefault="00F57BDB" w:rsidP="00F57BDB">
            <w:pPr>
              <w:spacing w:line="360" w:lineRule="auto"/>
              <w:jc w:val="left"/>
              <w:rPr>
                <w:rFonts w:ascii="Arial" w:eastAsia="Arial Unicode MS" w:hAnsi="Arial" w:cs="Arial"/>
                <w:i w:val="0"/>
                <w:iCs w:val="0"/>
                <w:color w:val="000000" w:themeColor="text1"/>
                <w:sz w:val="18"/>
                <w:szCs w:val="18"/>
                <w:lang w:val="en-GB"/>
              </w:rPr>
            </w:pPr>
            <w:r w:rsidRPr="008B7C8E">
              <w:rPr>
                <w:rFonts w:ascii="Arial" w:eastAsia="Arial Unicode MS" w:hAnsi="Arial" w:cs="Arial"/>
                <w:i w:val="0"/>
                <w:iCs w:val="0"/>
                <w:color w:val="000000" w:themeColor="text1"/>
                <w:sz w:val="18"/>
                <w:szCs w:val="18"/>
                <w:lang w:val="en-GB"/>
              </w:rPr>
              <w:t>Triple screw, n (%)</w:t>
            </w:r>
          </w:p>
        </w:tc>
        <w:tc>
          <w:tcPr>
            <w:tcW w:w="1843" w:type="dxa"/>
            <w:tcBorders>
              <w:top w:val="nil"/>
              <w:left w:val="nil"/>
              <w:bottom w:val="single" w:sz="4" w:space="0" w:color="auto"/>
              <w:right w:val="nil"/>
            </w:tcBorders>
            <w:noWrap/>
          </w:tcPr>
          <w:p w14:paraId="489350A3" w14:textId="77777777" w:rsidR="00F57BDB" w:rsidRPr="008B7C8E" w:rsidRDefault="00F57BDB" w:rsidP="00F57BDB">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1 (0.2)</w:t>
            </w:r>
          </w:p>
        </w:tc>
        <w:tc>
          <w:tcPr>
            <w:tcW w:w="1984" w:type="dxa"/>
            <w:tcBorders>
              <w:top w:val="nil"/>
              <w:left w:val="nil"/>
              <w:bottom w:val="single" w:sz="4" w:space="0" w:color="auto"/>
            </w:tcBorders>
            <w:noWrap/>
          </w:tcPr>
          <w:p w14:paraId="5689601E" w14:textId="77777777" w:rsidR="00F57BDB" w:rsidRPr="008B7C8E" w:rsidRDefault="00F57BDB" w:rsidP="00F57BDB">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4 (1.1)</w:t>
            </w:r>
          </w:p>
        </w:tc>
        <w:tc>
          <w:tcPr>
            <w:tcW w:w="1134" w:type="dxa"/>
            <w:tcBorders>
              <w:top w:val="nil"/>
              <w:left w:val="nil"/>
              <w:bottom w:val="single" w:sz="4" w:space="0" w:color="auto"/>
            </w:tcBorders>
          </w:tcPr>
          <w:p w14:paraId="6F39561B" w14:textId="77777777" w:rsidR="00F57BDB" w:rsidRPr="008B7C8E" w:rsidRDefault="00F57BDB" w:rsidP="00F57BDB">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0.17</w:t>
            </w:r>
          </w:p>
        </w:tc>
      </w:tr>
    </w:tbl>
    <w:p w14:paraId="4A7AC768" w14:textId="77777777" w:rsidR="00166387" w:rsidRPr="008B7C8E" w:rsidRDefault="00166387" w:rsidP="00166387">
      <w:pPr>
        <w:pStyle w:val="Paragrafoelenco"/>
        <w:autoSpaceDE w:val="0"/>
        <w:autoSpaceDN w:val="0"/>
        <w:ind w:left="360"/>
        <w:jc w:val="both"/>
        <w:rPr>
          <w:rFonts w:ascii="Arial" w:eastAsia="Arial Unicode MS" w:hAnsi="Arial" w:cs="Arial"/>
          <w:color w:val="000000" w:themeColor="text1"/>
          <w:sz w:val="18"/>
          <w:szCs w:val="18"/>
          <w:lang w:val="en-GB"/>
        </w:rPr>
      </w:pPr>
    </w:p>
    <w:p w14:paraId="6340CEC6" w14:textId="2F5B4371" w:rsidR="00166387" w:rsidRPr="008B7C8E" w:rsidRDefault="00166387" w:rsidP="00166387">
      <w:pPr>
        <w:autoSpaceDE w:val="0"/>
        <w:autoSpaceDN w:val="0"/>
        <w:jc w:val="both"/>
        <w:rPr>
          <w:rFonts w:ascii="Arial" w:eastAsia="Arial Unicode MS" w:hAnsi="Arial" w:cs="Arial"/>
          <w:color w:val="000000" w:themeColor="text1"/>
          <w:sz w:val="18"/>
          <w:szCs w:val="18"/>
          <w:lang w:val="en-GB"/>
        </w:rPr>
      </w:pPr>
      <w:r w:rsidRPr="008B7C8E">
        <w:rPr>
          <w:rFonts w:ascii="Arial" w:eastAsia="Arial Unicode MS" w:hAnsi="Arial" w:cs="Arial"/>
          <w:color w:val="000000" w:themeColor="text1"/>
          <w:sz w:val="18"/>
          <w:szCs w:val="18"/>
          <w:lang w:val="en-GB"/>
        </w:rPr>
        <w:t xml:space="preserve">Footnotes: n: number of patients; IQR: interquartile range; ARS: anticholinergic risk score; ASA: American Society of Anaesthesiologists Physical Status; BMI: Body Mass Index; NHFS: Nottingham Hip Fracture Score; METs: metabolic equivalent; SD: standard deviation; Hb: Haemoglobin circulating concentration. Student’s </w:t>
      </w:r>
      <w:r w:rsidRPr="008B7C8E">
        <w:rPr>
          <w:rFonts w:ascii="Arial" w:eastAsia="Arial Unicode MS" w:hAnsi="Arial" w:cs="Arial"/>
          <w:i/>
          <w:iCs/>
          <w:color w:val="000000" w:themeColor="text1"/>
          <w:sz w:val="18"/>
          <w:szCs w:val="18"/>
          <w:lang w:val="en-GB"/>
        </w:rPr>
        <w:t>t</w:t>
      </w:r>
      <w:r w:rsidRPr="008B7C8E">
        <w:rPr>
          <w:rFonts w:ascii="Arial" w:eastAsia="Arial Unicode MS" w:hAnsi="Arial" w:cs="Arial"/>
          <w:color w:val="000000" w:themeColor="text1"/>
          <w:sz w:val="18"/>
          <w:szCs w:val="18"/>
          <w:lang w:val="en-GB"/>
        </w:rPr>
        <w:t xml:space="preserve">-test and Mann-Whitney </w:t>
      </w:r>
      <w:r w:rsidRPr="008B7C8E">
        <w:rPr>
          <w:rFonts w:ascii="Arial" w:eastAsia="Arial Unicode MS" w:hAnsi="Arial" w:cs="Arial"/>
          <w:i/>
          <w:iCs/>
          <w:color w:val="000000" w:themeColor="text1"/>
          <w:sz w:val="18"/>
          <w:szCs w:val="18"/>
          <w:lang w:val="en-GB"/>
        </w:rPr>
        <w:t>U</w:t>
      </w:r>
      <w:r w:rsidRPr="008B7C8E">
        <w:rPr>
          <w:rFonts w:ascii="Arial" w:eastAsia="Arial Unicode MS" w:hAnsi="Arial" w:cs="Arial"/>
          <w:color w:val="000000" w:themeColor="text1"/>
          <w:sz w:val="18"/>
          <w:szCs w:val="18"/>
          <w:lang w:val="en-GB"/>
        </w:rPr>
        <w:t xml:space="preserve"> test for continuous variables (normal and non-normal distribution); Fisher's exact or chi-squared tests for categorical variables and proportions.</w:t>
      </w:r>
    </w:p>
    <w:p w14:paraId="450CBB4D" w14:textId="77777777" w:rsidR="00166387" w:rsidRPr="008B7C8E" w:rsidRDefault="00166387" w:rsidP="00166387">
      <w:pPr>
        <w:ind w:left="283"/>
        <w:rPr>
          <w:rFonts w:eastAsiaTheme="minorHAnsi"/>
          <w:color w:val="000000" w:themeColor="text1"/>
        </w:rPr>
      </w:pPr>
    </w:p>
    <w:p w14:paraId="1CDC4958"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2CFC8FD2"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053FCB4C"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31F969A2"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2E60C422"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2E98157A"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1BD39385"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0729AA14"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7BACB843"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4414C462"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0D34A3B8"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4E221DEC"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4EE01AA0"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37A3140A"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0FD30E38"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46BB3B63"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59710EBF"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475591CA"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3E4D701A"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13AACDB2"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4CAF9BC9"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5CAFC029"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099802F0"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75A156E4"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1D27B061"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0466A81B"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058D51A6"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2C05C316"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49F66765" w14:textId="1C56D194" w:rsidR="00166387" w:rsidRPr="008B7C8E" w:rsidRDefault="00A7437D" w:rsidP="00A7437D">
      <w:pPr>
        <w:rPr>
          <w:rFonts w:eastAsia="Arial Unicode MS"/>
          <w:b/>
          <w:bCs/>
          <w:color w:val="000000" w:themeColor="text1"/>
          <w:u w:color="000000"/>
          <w:bdr w:val="nil"/>
          <w:lang w:val="en-US" w:eastAsia="fr-BE"/>
          <w14:textOutline w14:w="0" w14:cap="flat" w14:cmpd="sng" w14:algn="ctr">
            <w14:noFill/>
            <w14:prstDash w14:val="solid"/>
            <w14:bevel/>
          </w14:textOutline>
        </w:rPr>
      </w:pPr>
      <w:r w:rsidRPr="008B7C8E">
        <w:rPr>
          <w:rFonts w:eastAsia="Arial Unicode MS"/>
          <w:b/>
          <w:bCs/>
          <w:color w:val="000000" w:themeColor="text1"/>
          <w:u w:color="000000"/>
          <w:bdr w:val="nil"/>
          <w:lang w:val="en-US" w:eastAsia="fr-BE"/>
          <w14:textOutline w14:w="0" w14:cap="flat" w14:cmpd="sng" w14:algn="ctr">
            <w14:noFill/>
            <w14:prstDash w14:val="solid"/>
            <w14:bevel/>
          </w14:textOutline>
        </w:rPr>
        <w:br w:type="page"/>
      </w:r>
      <w:r w:rsidR="00166387" w:rsidRPr="008B7C8E">
        <w:rPr>
          <w:rFonts w:ascii="Arial" w:hAnsi="Arial" w:cs="Arial"/>
          <w:b/>
          <w:bCs/>
          <w:color w:val="000000" w:themeColor="text1"/>
          <w:sz w:val="18"/>
          <w:szCs w:val="18"/>
          <w:lang w:val="en-GB"/>
        </w:rPr>
        <w:lastRenderedPageBreak/>
        <w:t>Table 2.</w:t>
      </w:r>
      <w:r w:rsidR="00166387" w:rsidRPr="008B7C8E">
        <w:rPr>
          <w:rFonts w:ascii="Arial" w:hAnsi="Arial" w:cs="Arial"/>
          <w:color w:val="000000" w:themeColor="text1"/>
          <w:sz w:val="18"/>
          <w:szCs w:val="18"/>
          <w:lang w:val="en-GB"/>
        </w:rPr>
        <w:t xml:space="preserve"> Early Postoperative Complications (EPOCs) and secondary outcomes</w:t>
      </w:r>
    </w:p>
    <w:tbl>
      <w:tblPr>
        <w:tblStyle w:val="Tabellasemplice5"/>
        <w:tblW w:w="9273" w:type="dxa"/>
        <w:tblBorders>
          <w:top w:val="single" w:sz="4" w:space="0" w:color="auto"/>
          <w:bottom w:val="single" w:sz="4" w:space="0" w:color="auto"/>
        </w:tblBorders>
        <w:tblLook w:val="04A0" w:firstRow="1" w:lastRow="0" w:firstColumn="1" w:lastColumn="0" w:noHBand="0" w:noVBand="1"/>
      </w:tblPr>
      <w:tblGrid>
        <w:gridCol w:w="3402"/>
        <w:gridCol w:w="1843"/>
        <w:gridCol w:w="2126"/>
        <w:gridCol w:w="1902"/>
      </w:tblGrid>
      <w:tr w:rsidR="00A7437D" w:rsidRPr="008B7C8E" w14:paraId="4512B5DB" w14:textId="77777777" w:rsidTr="004E322D">
        <w:trPr>
          <w:cnfStyle w:val="100000000000" w:firstRow="1" w:lastRow="0" w:firstColumn="0" w:lastColumn="0" w:oddVBand="0" w:evenVBand="0" w:oddHBand="0" w:evenHBand="0" w:firstRowFirstColumn="0" w:firstRowLastColumn="0" w:lastRowFirstColumn="0" w:lastRowLastColumn="0"/>
          <w:trHeight w:val="301"/>
        </w:trPr>
        <w:tc>
          <w:tcPr>
            <w:cnfStyle w:val="001000000100" w:firstRow="0" w:lastRow="0" w:firstColumn="1" w:lastColumn="0" w:oddVBand="0" w:evenVBand="0" w:oddHBand="0" w:evenHBand="0" w:firstRowFirstColumn="1" w:firstRowLastColumn="0" w:lastRowFirstColumn="0" w:lastRowLastColumn="0"/>
            <w:tcW w:w="3402" w:type="dxa"/>
            <w:tcBorders>
              <w:top w:val="single" w:sz="4" w:space="0" w:color="auto"/>
              <w:bottom w:val="single" w:sz="4" w:space="0" w:color="auto"/>
            </w:tcBorders>
            <w:noWrap/>
            <w:hideMark/>
          </w:tcPr>
          <w:p w14:paraId="0CE970E6" w14:textId="77777777" w:rsidR="00166387" w:rsidRPr="008B7C8E" w:rsidRDefault="00166387" w:rsidP="004E322D">
            <w:pPr>
              <w:spacing w:before="120" w:after="120"/>
              <w:jc w:val="left"/>
              <w:rPr>
                <w:rFonts w:ascii="Arial" w:hAnsi="Arial" w:cs="Arial"/>
                <w:i w:val="0"/>
                <w:iCs w:val="0"/>
                <w:color w:val="000000" w:themeColor="text1"/>
                <w:sz w:val="18"/>
                <w:szCs w:val="18"/>
                <w:lang w:val="en-GB"/>
              </w:rPr>
            </w:pPr>
          </w:p>
        </w:tc>
        <w:tc>
          <w:tcPr>
            <w:tcW w:w="1843" w:type="dxa"/>
            <w:tcBorders>
              <w:top w:val="single" w:sz="4" w:space="0" w:color="auto"/>
              <w:bottom w:val="single" w:sz="4" w:space="0" w:color="auto"/>
            </w:tcBorders>
            <w:noWrap/>
            <w:hideMark/>
          </w:tcPr>
          <w:p w14:paraId="729CEDE9" w14:textId="77777777" w:rsidR="00166387" w:rsidRPr="008B7C8E" w:rsidRDefault="00166387" w:rsidP="004E322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i w:val="0"/>
                <w:iCs w:val="0"/>
                <w:color w:val="000000" w:themeColor="text1"/>
                <w:sz w:val="18"/>
                <w:szCs w:val="18"/>
                <w:lang w:val="en-GB"/>
              </w:rPr>
            </w:pPr>
            <w:r w:rsidRPr="008B7C8E">
              <w:rPr>
                <w:rFonts w:ascii="Arial" w:hAnsi="Arial" w:cs="Arial"/>
                <w:color w:val="000000" w:themeColor="text1"/>
                <w:sz w:val="18"/>
                <w:szCs w:val="18"/>
                <w:lang w:val="en-GB"/>
              </w:rPr>
              <w:t>Pre-ASAP</w:t>
            </w:r>
          </w:p>
        </w:tc>
        <w:tc>
          <w:tcPr>
            <w:tcW w:w="2126" w:type="dxa"/>
            <w:tcBorders>
              <w:top w:val="single" w:sz="4" w:space="0" w:color="auto"/>
              <w:bottom w:val="single" w:sz="4" w:space="0" w:color="auto"/>
            </w:tcBorders>
            <w:noWrap/>
            <w:hideMark/>
          </w:tcPr>
          <w:p w14:paraId="095FF2FE" w14:textId="77777777" w:rsidR="00166387" w:rsidRPr="008B7C8E" w:rsidRDefault="00166387" w:rsidP="004E322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i w:val="0"/>
                <w:iCs w:val="0"/>
                <w:color w:val="000000" w:themeColor="text1"/>
                <w:sz w:val="18"/>
                <w:szCs w:val="18"/>
                <w:lang w:val="en-GB"/>
              </w:rPr>
            </w:pPr>
            <w:r w:rsidRPr="008B7C8E">
              <w:rPr>
                <w:rFonts w:ascii="Arial" w:hAnsi="Arial" w:cs="Arial"/>
                <w:color w:val="000000" w:themeColor="text1"/>
                <w:sz w:val="18"/>
                <w:szCs w:val="18"/>
                <w:lang w:val="en-GB"/>
              </w:rPr>
              <w:t>Post-ASAP</w:t>
            </w:r>
          </w:p>
        </w:tc>
        <w:tc>
          <w:tcPr>
            <w:tcW w:w="1902" w:type="dxa"/>
            <w:tcBorders>
              <w:top w:val="single" w:sz="4" w:space="0" w:color="auto"/>
              <w:bottom w:val="single" w:sz="4" w:space="0" w:color="auto"/>
            </w:tcBorders>
            <w:noWrap/>
            <w:hideMark/>
          </w:tcPr>
          <w:p w14:paraId="40F9AA9A" w14:textId="28B96E07" w:rsidR="00166387" w:rsidRPr="008B7C8E" w:rsidRDefault="00166387" w:rsidP="004E322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i w:val="0"/>
                <w:iCs w:val="0"/>
                <w:color w:val="000000" w:themeColor="text1"/>
                <w:sz w:val="18"/>
                <w:szCs w:val="18"/>
                <w:lang w:val="en-GB"/>
              </w:rPr>
            </w:pPr>
            <w:r w:rsidRPr="008B7C8E">
              <w:rPr>
                <w:rFonts w:ascii="Arial" w:hAnsi="Arial" w:cs="Arial"/>
                <w:color w:val="000000" w:themeColor="text1"/>
                <w:sz w:val="18"/>
                <w:szCs w:val="18"/>
                <w:lang w:val="en-GB"/>
              </w:rPr>
              <w:t>P</w:t>
            </w:r>
            <w:r w:rsidR="001B1205" w:rsidRPr="008B7C8E">
              <w:rPr>
                <w:rFonts w:ascii="Arial" w:hAnsi="Arial" w:cs="Arial"/>
                <w:color w:val="000000" w:themeColor="text1"/>
                <w:sz w:val="18"/>
                <w:szCs w:val="18"/>
                <w:lang w:val="en-GB"/>
              </w:rPr>
              <w:t xml:space="preserve"> </w:t>
            </w:r>
            <w:r w:rsidRPr="008B7C8E">
              <w:rPr>
                <w:rFonts w:ascii="Arial" w:hAnsi="Arial" w:cs="Arial"/>
                <w:color w:val="000000" w:themeColor="text1"/>
                <w:sz w:val="18"/>
                <w:szCs w:val="18"/>
                <w:lang w:val="en-GB"/>
              </w:rPr>
              <w:t>value</w:t>
            </w:r>
          </w:p>
        </w:tc>
      </w:tr>
      <w:tr w:rsidR="00A7437D" w:rsidRPr="008B7C8E" w14:paraId="74B97981" w14:textId="77777777" w:rsidTr="004E322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hideMark/>
          </w:tcPr>
          <w:p w14:paraId="79D75936" w14:textId="77777777" w:rsidR="00166387" w:rsidRPr="008B7C8E" w:rsidRDefault="00166387" w:rsidP="004E322D">
            <w:pPr>
              <w:jc w:val="left"/>
              <w:rPr>
                <w:rFonts w:ascii="Arial" w:hAnsi="Arial" w:cs="Arial"/>
                <w:b/>
                <w:bCs/>
                <w:i w:val="0"/>
                <w:iCs w:val="0"/>
                <w:color w:val="000000" w:themeColor="text1"/>
                <w:sz w:val="18"/>
                <w:szCs w:val="18"/>
                <w:lang w:val="en-GB"/>
              </w:rPr>
            </w:pPr>
            <w:r w:rsidRPr="008B7C8E">
              <w:rPr>
                <w:rFonts w:ascii="Arial" w:hAnsi="Arial" w:cs="Arial"/>
                <w:b/>
                <w:bCs/>
                <w:i w:val="0"/>
                <w:iCs w:val="0"/>
                <w:color w:val="000000" w:themeColor="text1"/>
                <w:sz w:val="18"/>
                <w:szCs w:val="18"/>
                <w:lang w:val="en-GB"/>
              </w:rPr>
              <w:t>EPOCs Grade 1</w:t>
            </w:r>
          </w:p>
        </w:tc>
        <w:tc>
          <w:tcPr>
            <w:tcW w:w="1843" w:type="dxa"/>
            <w:tcBorders>
              <w:top w:val="nil"/>
              <w:left w:val="nil"/>
              <w:bottom w:val="nil"/>
              <w:right w:val="nil"/>
            </w:tcBorders>
            <w:noWrap/>
            <w:hideMark/>
          </w:tcPr>
          <w:p w14:paraId="558677D5"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p>
        </w:tc>
        <w:tc>
          <w:tcPr>
            <w:tcW w:w="2126" w:type="dxa"/>
            <w:tcBorders>
              <w:top w:val="nil"/>
              <w:left w:val="nil"/>
              <w:bottom w:val="nil"/>
              <w:right w:val="nil"/>
            </w:tcBorders>
            <w:noWrap/>
            <w:hideMark/>
          </w:tcPr>
          <w:p w14:paraId="22B012F4"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p>
        </w:tc>
        <w:tc>
          <w:tcPr>
            <w:tcW w:w="1902" w:type="dxa"/>
            <w:tcBorders>
              <w:top w:val="nil"/>
              <w:left w:val="nil"/>
              <w:bottom w:val="nil"/>
            </w:tcBorders>
            <w:noWrap/>
            <w:hideMark/>
          </w:tcPr>
          <w:p w14:paraId="57D3D5AF"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p>
        </w:tc>
      </w:tr>
      <w:tr w:rsidR="00A7437D" w:rsidRPr="008B7C8E" w14:paraId="63C058C6" w14:textId="77777777" w:rsidTr="004E322D">
        <w:trPr>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0A774F64"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PONV postop day 1 (n (%))</w:t>
            </w:r>
          </w:p>
        </w:tc>
        <w:tc>
          <w:tcPr>
            <w:tcW w:w="1843" w:type="dxa"/>
            <w:tcBorders>
              <w:top w:val="nil"/>
              <w:left w:val="nil"/>
              <w:bottom w:val="nil"/>
              <w:right w:val="nil"/>
            </w:tcBorders>
            <w:noWrap/>
          </w:tcPr>
          <w:p w14:paraId="1E2D56AB"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172 (35.8)</w:t>
            </w:r>
          </w:p>
        </w:tc>
        <w:tc>
          <w:tcPr>
            <w:tcW w:w="2126" w:type="dxa"/>
            <w:tcBorders>
              <w:top w:val="nil"/>
              <w:left w:val="nil"/>
              <w:bottom w:val="nil"/>
              <w:right w:val="nil"/>
            </w:tcBorders>
            <w:noWrap/>
          </w:tcPr>
          <w:p w14:paraId="4C629F75"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108 (29.6)</w:t>
            </w:r>
          </w:p>
        </w:tc>
        <w:tc>
          <w:tcPr>
            <w:tcW w:w="1902" w:type="dxa"/>
            <w:tcBorders>
              <w:top w:val="nil"/>
              <w:left w:val="nil"/>
              <w:bottom w:val="nil"/>
            </w:tcBorders>
            <w:noWrap/>
          </w:tcPr>
          <w:p w14:paraId="7E8C3453"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0.06</w:t>
            </w:r>
          </w:p>
        </w:tc>
      </w:tr>
      <w:tr w:rsidR="00A7437D" w:rsidRPr="008B7C8E" w14:paraId="14C84CBC" w14:textId="77777777" w:rsidTr="004E322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651A9119"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PONV postop day 2 (n (%))</w:t>
            </w:r>
          </w:p>
        </w:tc>
        <w:tc>
          <w:tcPr>
            <w:tcW w:w="1843" w:type="dxa"/>
            <w:tcBorders>
              <w:top w:val="nil"/>
              <w:left w:val="nil"/>
              <w:bottom w:val="nil"/>
              <w:right w:val="nil"/>
            </w:tcBorders>
            <w:noWrap/>
          </w:tcPr>
          <w:p w14:paraId="473D5EDF"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111 (23.1)</w:t>
            </w:r>
          </w:p>
        </w:tc>
        <w:tc>
          <w:tcPr>
            <w:tcW w:w="2126" w:type="dxa"/>
            <w:tcBorders>
              <w:top w:val="nil"/>
              <w:left w:val="nil"/>
              <w:bottom w:val="nil"/>
              <w:right w:val="nil"/>
            </w:tcBorders>
            <w:noWrap/>
          </w:tcPr>
          <w:p w14:paraId="186D7558"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37 (10.1)</w:t>
            </w:r>
          </w:p>
        </w:tc>
        <w:tc>
          <w:tcPr>
            <w:tcW w:w="1902" w:type="dxa"/>
            <w:tcBorders>
              <w:top w:val="nil"/>
              <w:left w:val="nil"/>
              <w:bottom w:val="nil"/>
            </w:tcBorders>
            <w:noWrap/>
          </w:tcPr>
          <w:p w14:paraId="3A3B6CC3"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lang w:val="en-GB"/>
              </w:rPr>
            </w:pPr>
            <w:r w:rsidRPr="008B7C8E">
              <w:rPr>
                <w:rFonts w:ascii="Arial" w:hAnsi="Arial" w:cs="Arial"/>
                <w:b/>
                <w:bCs/>
                <w:color w:val="000000" w:themeColor="text1"/>
                <w:sz w:val="18"/>
                <w:szCs w:val="18"/>
                <w:lang w:val="en-GB"/>
              </w:rPr>
              <w:t>&lt;0.001</w:t>
            </w:r>
          </w:p>
        </w:tc>
      </w:tr>
      <w:tr w:rsidR="00A7437D" w:rsidRPr="008B7C8E" w14:paraId="0275C887" w14:textId="77777777" w:rsidTr="004E322D">
        <w:trPr>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63347E3E"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Constipation (n (%))</w:t>
            </w:r>
          </w:p>
        </w:tc>
        <w:tc>
          <w:tcPr>
            <w:tcW w:w="1843" w:type="dxa"/>
            <w:tcBorders>
              <w:top w:val="nil"/>
              <w:left w:val="nil"/>
              <w:bottom w:val="nil"/>
              <w:right w:val="nil"/>
            </w:tcBorders>
            <w:noWrap/>
          </w:tcPr>
          <w:p w14:paraId="6FDC0855"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193 (40.2)</w:t>
            </w:r>
          </w:p>
        </w:tc>
        <w:tc>
          <w:tcPr>
            <w:tcW w:w="2126" w:type="dxa"/>
            <w:tcBorders>
              <w:top w:val="nil"/>
              <w:left w:val="nil"/>
              <w:bottom w:val="nil"/>
              <w:right w:val="nil"/>
            </w:tcBorders>
            <w:noWrap/>
          </w:tcPr>
          <w:p w14:paraId="67388FB9"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120 (32.9)</w:t>
            </w:r>
          </w:p>
        </w:tc>
        <w:tc>
          <w:tcPr>
            <w:tcW w:w="1902" w:type="dxa"/>
            <w:tcBorders>
              <w:top w:val="nil"/>
              <w:left w:val="nil"/>
              <w:bottom w:val="nil"/>
            </w:tcBorders>
            <w:noWrap/>
          </w:tcPr>
          <w:p w14:paraId="7FEEAD28"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lang w:val="en-GB"/>
              </w:rPr>
            </w:pPr>
            <w:r w:rsidRPr="008B7C8E">
              <w:rPr>
                <w:rFonts w:ascii="Arial" w:hAnsi="Arial" w:cs="Arial"/>
                <w:b/>
                <w:bCs/>
                <w:color w:val="000000" w:themeColor="text1"/>
                <w:sz w:val="18"/>
                <w:szCs w:val="18"/>
                <w:lang w:val="en-GB"/>
              </w:rPr>
              <w:t>0.02</w:t>
            </w:r>
          </w:p>
        </w:tc>
      </w:tr>
      <w:tr w:rsidR="00A7437D" w:rsidRPr="008B7C8E" w14:paraId="73C12288" w14:textId="77777777" w:rsidTr="004E322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7B9A9338"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Diarrhoea (n (%))</w:t>
            </w:r>
          </w:p>
        </w:tc>
        <w:tc>
          <w:tcPr>
            <w:tcW w:w="1843" w:type="dxa"/>
            <w:tcBorders>
              <w:top w:val="nil"/>
              <w:left w:val="nil"/>
              <w:bottom w:val="nil"/>
              <w:right w:val="nil"/>
            </w:tcBorders>
            <w:noWrap/>
          </w:tcPr>
          <w:p w14:paraId="740EC3AE"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84 (17.5)</w:t>
            </w:r>
          </w:p>
        </w:tc>
        <w:tc>
          <w:tcPr>
            <w:tcW w:w="2126" w:type="dxa"/>
            <w:tcBorders>
              <w:top w:val="nil"/>
              <w:left w:val="nil"/>
              <w:bottom w:val="nil"/>
              <w:right w:val="nil"/>
            </w:tcBorders>
            <w:noWrap/>
          </w:tcPr>
          <w:p w14:paraId="7575D009"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36 (9.9)</w:t>
            </w:r>
          </w:p>
        </w:tc>
        <w:tc>
          <w:tcPr>
            <w:tcW w:w="1902" w:type="dxa"/>
            <w:tcBorders>
              <w:top w:val="nil"/>
              <w:left w:val="nil"/>
              <w:bottom w:val="nil"/>
            </w:tcBorders>
            <w:noWrap/>
          </w:tcPr>
          <w:p w14:paraId="43BAE3C7"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lang w:val="en-GB"/>
              </w:rPr>
            </w:pPr>
            <w:r w:rsidRPr="008B7C8E">
              <w:rPr>
                <w:rFonts w:ascii="Arial" w:hAnsi="Arial" w:cs="Arial"/>
                <w:b/>
                <w:bCs/>
                <w:color w:val="000000" w:themeColor="text1"/>
                <w:sz w:val="18"/>
                <w:szCs w:val="18"/>
                <w:lang w:val="en-GB"/>
              </w:rPr>
              <w:t>0.002</w:t>
            </w:r>
          </w:p>
        </w:tc>
      </w:tr>
      <w:tr w:rsidR="00A7437D" w:rsidRPr="008B7C8E" w14:paraId="1CE05C4F" w14:textId="77777777" w:rsidTr="004E322D">
        <w:trPr>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5356A20F"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Acute urinary retention (n (%))</w:t>
            </w:r>
          </w:p>
        </w:tc>
        <w:tc>
          <w:tcPr>
            <w:tcW w:w="1843" w:type="dxa"/>
            <w:tcBorders>
              <w:top w:val="nil"/>
              <w:left w:val="nil"/>
              <w:bottom w:val="nil"/>
              <w:right w:val="nil"/>
            </w:tcBorders>
            <w:noWrap/>
          </w:tcPr>
          <w:p w14:paraId="3D93ED72"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135 (28.1)</w:t>
            </w:r>
          </w:p>
        </w:tc>
        <w:tc>
          <w:tcPr>
            <w:tcW w:w="2126" w:type="dxa"/>
            <w:tcBorders>
              <w:top w:val="nil"/>
              <w:left w:val="nil"/>
              <w:bottom w:val="nil"/>
              <w:right w:val="nil"/>
            </w:tcBorders>
            <w:noWrap/>
          </w:tcPr>
          <w:p w14:paraId="6F08F9A4"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64 (17.5)</w:t>
            </w:r>
          </w:p>
        </w:tc>
        <w:tc>
          <w:tcPr>
            <w:tcW w:w="1902" w:type="dxa"/>
            <w:tcBorders>
              <w:top w:val="nil"/>
              <w:left w:val="nil"/>
              <w:bottom w:val="nil"/>
            </w:tcBorders>
            <w:noWrap/>
          </w:tcPr>
          <w:p w14:paraId="465DF081"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lang w:val="en-GB"/>
              </w:rPr>
            </w:pPr>
            <w:r w:rsidRPr="008B7C8E">
              <w:rPr>
                <w:rFonts w:ascii="Arial" w:hAnsi="Arial" w:cs="Arial"/>
                <w:b/>
                <w:bCs/>
                <w:color w:val="000000" w:themeColor="text1"/>
                <w:sz w:val="18"/>
                <w:szCs w:val="18"/>
                <w:lang w:val="en-GB"/>
              </w:rPr>
              <w:t>&lt;0.001</w:t>
            </w:r>
          </w:p>
        </w:tc>
      </w:tr>
      <w:tr w:rsidR="00A7437D" w:rsidRPr="008B7C8E" w14:paraId="642F74A3" w14:textId="77777777" w:rsidTr="004E322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6641F533"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Heartburn (n (%))</w:t>
            </w:r>
          </w:p>
        </w:tc>
        <w:tc>
          <w:tcPr>
            <w:tcW w:w="1843" w:type="dxa"/>
            <w:tcBorders>
              <w:top w:val="nil"/>
              <w:left w:val="nil"/>
              <w:bottom w:val="nil"/>
              <w:right w:val="nil"/>
            </w:tcBorders>
            <w:noWrap/>
          </w:tcPr>
          <w:p w14:paraId="0B688FB4"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57 (11.9)</w:t>
            </w:r>
          </w:p>
        </w:tc>
        <w:tc>
          <w:tcPr>
            <w:tcW w:w="2126" w:type="dxa"/>
            <w:tcBorders>
              <w:top w:val="nil"/>
              <w:left w:val="nil"/>
              <w:bottom w:val="nil"/>
              <w:right w:val="nil"/>
            </w:tcBorders>
            <w:noWrap/>
          </w:tcPr>
          <w:p w14:paraId="455DAEA1"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26 (7.1)</w:t>
            </w:r>
          </w:p>
        </w:tc>
        <w:tc>
          <w:tcPr>
            <w:tcW w:w="1902" w:type="dxa"/>
            <w:tcBorders>
              <w:top w:val="nil"/>
              <w:left w:val="nil"/>
              <w:bottom w:val="nil"/>
            </w:tcBorders>
            <w:noWrap/>
          </w:tcPr>
          <w:p w14:paraId="36011FD8"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lang w:val="en-GB"/>
              </w:rPr>
            </w:pPr>
            <w:r w:rsidRPr="008B7C8E">
              <w:rPr>
                <w:rFonts w:ascii="Arial" w:hAnsi="Arial" w:cs="Arial"/>
                <w:b/>
                <w:bCs/>
                <w:color w:val="000000" w:themeColor="text1"/>
                <w:sz w:val="18"/>
                <w:szCs w:val="18"/>
                <w:lang w:val="en-GB"/>
              </w:rPr>
              <w:t>0.02</w:t>
            </w:r>
          </w:p>
        </w:tc>
      </w:tr>
      <w:tr w:rsidR="00A7437D" w:rsidRPr="008B7C8E" w14:paraId="2F03DE78" w14:textId="77777777" w:rsidTr="004E322D">
        <w:trPr>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0B9A82E2" w14:textId="77777777" w:rsidR="00166387" w:rsidRPr="008B7C8E" w:rsidRDefault="00166387" w:rsidP="004E322D">
            <w:pPr>
              <w:jc w:val="left"/>
              <w:rPr>
                <w:rFonts w:ascii="Arial" w:hAnsi="Arial" w:cs="Arial"/>
                <w:b/>
                <w:bCs/>
                <w:i w:val="0"/>
                <w:iCs w:val="0"/>
                <w:color w:val="000000" w:themeColor="text1"/>
                <w:sz w:val="18"/>
                <w:szCs w:val="18"/>
                <w:lang w:val="en-GB"/>
              </w:rPr>
            </w:pPr>
            <w:r w:rsidRPr="008B7C8E">
              <w:rPr>
                <w:rFonts w:ascii="Arial" w:hAnsi="Arial" w:cs="Arial"/>
                <w:b/>
                <w:bCs/>
                <w:i w:val="0"/>
                <w:iCs w:val="0"/>
                <w:color w:val="000000" w:themeColor="text1"/>
                <w:sz w:val="18"/>
                <w:szCs w:val="18"/>
                <w:lang w:val="en-GB"/>
              </w:rPr>
              <w:t>EPOCs Grade 2/3/4</w:t>
            </w:r>
          </w:p>
        </w:tc>
        <w:tc>
          <w:tcPr>
            <w:tcW w:w="1843" w:type="dxa"/>
            <w:tcBorders>
              <w:top w:val="nil"/>
              <w:left w:val="nil"/>
              <w:bottom w:val="nil"/>
              <w:right w:val="nil"/>
            </w:tcBorders>
            <w:noWrap/>
          </w:tcPr>
          <w:p w14:paraId="419BE0A2" w14:textId="77777777" w:rsidR="00166387" w:rsidRPr="008B7C8E" w:rsidRDefault="00166387" w:rsidP="004E322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p>
        </w:tc>
        <w:tc>
          <w:tcPr>
            <w:tcW w:w="2126" w:type="dxa"/>
            <w:tcBorders>
              <w:top w:val="nil"/>
              <w:left w:val="nil"/>
              <w:bottom w:val="nil"/>
              <w:right w:val="nil"/>
            </w:tcBorders>
            <w:noWrap/>
          </w:tcPr>
          <w:p w14:paraId="14057A1A"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p>
        </w:tc>
        <w:tc>
          <w:tcPr>
            <w:tcW w:w="1902" w:type="dxa"/>
            <w:tcBorders>
              <w:top w:val="nil"/>
              <w:left w:val="nil"/>
              <w:bottom w:val="nil"/>
            </w:tcBorders>
            <w:noWrap/>
          </w:tcPr>
          <w:p w14:paraId="3129E35B"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p>
        </w:tc>
      </w:tr>
      <w:tr w:rsidR="00A7437D" w:rsidRPr="008B7C8E" w14:paraId="1536E9C5" w14:textId="77777777" w:rsidTr="004E322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427A7537"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Cerebrovascular events (n (%))</w:t>
            </w:r>
          </w:p>
        </w:tc>
        <w:tc>
          <w:tcPr>
            <w:tcW w:w="1843" w:type="dxa"/>
            <w:tcBorders>
              <w:top w:val="nil"/>
              <w:left w:val="nil"/>
              <w:bottom w:val="nil"/>
              <w:right w:val="nil"/>
            </w:tcBorders>
            <w:noWrap/>
          </w:tcPr>
          <w:p w14:paraId="6EEF8DBA"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8 (1.7)</w:t>
            </w:r>
          </w:p>
        </w:tc>
        <w:tc>
          <w:tcPr>
            <w:tcW w:w="2126" w:type="dxa"/>
            <w:tcBorders>
              <w:top w:val="nil"/>
              <w:left w:val="nil"/>
              <w:bottom w:val="nil"/>
              <w:right w:val="nil"/>
            </w:tcBorders>
            <w:noWrap/>
          </w:tcPr>
          <w:p w14:paraId="771D1519"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9 (2.5)</w:t>
            </w:r>
          </w:p>
        </w:tc>
        <w:tc>
          <w:tcPr>
            <w:tcW w:w="1902" w:type="dxa"/>
            <w:tcBorders>
              <w:top w:val="nil"/>
              <w:left w:val="nil"/>
              <w:bottom w:val="nil"/>
            </w:tcBorders>
            <w:noWrap/>
          </w:tcPr>
          <w:p w14:paraId="31BF5BF1"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0.41</w:t>
            </w:r>
          </w:p>
        </w:tc>
      </w:tr>
      <w:tr w:rsidR="00A7437D" w:rsidRPr="008B7C8E" w14:paraId="0BA4E337" w14:textId="77777777" w:rsidTr="004E322D">
        <w:trPr>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76B2ED66"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Postoperative Delirium (n (%))</w:t>
            </w:r>
          </w:p>
        </w:tc>
        <w:tc>
          <w:tcPr>
            <w:tcW w:w="1843" w:type="dxa"/>
            <w:tcBorders>
              <w:top w:val="nil"/>
              <w:left w:val="nil"/>
              <w:bottom w:val="nil"/>
              <w:right w:val="nil"/>
            </w:tcBorders>
            <w:noWrap/>
          </w:tcPr>
          <w:p w14:paraId="494A6328"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142 (29.6)</w:t>
            </w:r>
          </w:p>
        </w:tc>
        <w:tc>
          <w:tcPr>
            <w:tcW w:w="2126" w:type="dxa"/>
            <w:tcBorders>
              <w:top w:val="nil"/>
              <w:left w:val="nil"/>
              <w:bottom w:val="nil"/>
              <w:right w:val="nil"/>
            </w:tcBorders>
            <w:noWrap/>
          </w:tcPr>
          <w:p w14:paraId="45CACE2C"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75 (20.6)</w:t>
            </w:r>
          </w:p>
        </w:tc>
        <w:tc>
          <w:tcPr>
            <w:tcW w:w="1902" w:type="dxa"/>
            <w:tcBorders>
              <w:top w:val="nil"/>
              <w:left w:val="nil"/>
              <w:bottom w:val="nil"/>
            </w:tcBorders>
            <w:noWrap/>
          </w:tcPr>
          <w:p w14:paraId="10544342"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lang w:val="en-GB"/>
              </w:rPr>
            </w:pPr>
            <w:r w:rsidRPr="008B7C8E">
              <w:rPr>
                <w:rFonts w:ascii="Arial" w:hAnsi="Arial" w:cs="Arial"/>
                <w:b/>
                <w:bCs/>
                <w:color w:val="000000" w:themeColor="text1"/>
                <w:sz w:val="18"/>
                <w:szCs w:val="18"/>
                <w:lang w:val="en-GB"/>
              </w:rPr>
              <w:t>0.003</w:t>
            </w:r>
          </w:p>
        </w:tc>
      </w:tr>
      <w:tr w:rsidR="00A7437D" w:rsidRPr="008B7C8E" w14:paraId="5F16B281" w14:textId="77777777" w:rsidTr="004E322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4FAD7D36"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Myocardial ischemia (n (%))</w:t>
            </w:r>
          </w:p>
        </w:tc>
        <w:tc>
          <w:tcPr>
            <w:tcW w:w="1843" w:type="dxa"/>
            <w:tcBorders>
              <w:top w:val="nil"/>
              <w:left w:val="nil"/>
              <w:bottom w:val="nil"/>
              <w:right w:val="nil"/>
            </w:tcBorders>
            <w:noWrap/>
          </w:tcPr>
          <w:p w14:paraId="4DA95E5A"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8 (1.7)</w:t>
            </w:r>
          </w:p>
        </w:tc>
        <w:tc>
          <w:tcPr>
            <w:tcW w:w="2126" w:type="dxa"/>
            <w:tcBorders>
              <w:top w:val="nil"/>
              <w:left w:val="nil"/>
              <w:bottom w:val="nil"/>
              <w:right w:val="nil"/>
            </w:tcBorders>
            <w:noWrap/>
          </w:tcPr>
          <w:p w14:paraId="75958573"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5 (1.4)</w:t>
            </w:r>
          </w:p>
        </w:tc>
        <w:tc>
          <w:tcPr>
            <w:tcW w:w="1902" w:type="dxa"/>
            <w:tcBorders>
              <w:top w:val="nil"/>
              <w:left w:val="nil"/>
              <w:bottom w:val="nil"/>
            </w:tcBorders>
            <w:noWrap/>
          </w:tcPr>
          <w:p w14:paraId="042D760E"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0.73</w:t>
            </w:r>
          </w:p>
        </w:tc>
      </w:tr>
      <w:tr w:rsidR="00A7437D" w:rsidRPr="008B7C8E" w14:paraId="02D15067" w14:textId="77777777" w:rsidTr="004E322D">
        <w:trPr>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04CADA48"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Postoperative arrhythmias (n (%))</w:t>
            </w:r>
          </w:p>
        </w:tc>
        <w:tc>
          <w:tcPr>
            <w:tcW w:w="1843" w:type="dxa"/>
            <w:tcBorders>
              <w:top w:val="nil"/>
              <w:left w:val="nil"/>
              <w:bottom w:val="nil"/>
              <w:right w:val="nil"/>
            </w:tcBorders>
            <w:noWrap/>
          </w:tcPr>
          <w:p w14:paraId="7524A058"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29 (6)</w:t>
            </w:r>
          </w:p>
        </w:tc>
        <w:tc>
          <w:tcPr>
            <w:tcW w:w="2126" w:type="dxa"/>
            <w:tcBorders>
              <w:top w:val="nil"/>
              <w:left w:val="nil"/>
              <w:bottom w:val="nil"/>
              <w:right w:val="nil"/>
            </w:tcBorders>
            <w:noWrap/>
          </w:tcPr>
          <w:p w14:paraId="192845E9"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12 (3.3)</w:t>
            </w:r>
          </w:p>
        </w:tc>
        <w:tc>
          <w:tcPr>
            <w:tcW w:w="1902" w:type="dxa"/>
            <w:tcBorders>
              <w:top w:val="nil"/>
              <w:left w:val="nil"/>
              <w:bottom w:val="nil"/>
            </w:tcBorders>
            <w:noWrap/>
          </w:tcPr>
          <w:p w14:paraId="390EAB60"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0.07</w:t>
            </w:r>
          </w:p>
        </w:tc>
      </w:tr>
      <w:tr w:rsidR="00A7437D" w:rsidRPr="008B7C8E" w14:paraId="1009C6FD" w14:textId="77777777" w:rsidTr="004E322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330640AE"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Heart failure (n (%))</w:t>
            </w:r>
          </w:p>
        </w:tc>
        <w:tc>
          <w:tcPr>
            <w:tcW w:w="1843" w:type="dxa"/>
            <w:tcBorders>
              <w:top w:val="nil"/>
              <w:left w:val="nil"/>
              <w:bottom w:val="nil"/>
              <w:right w:val="nil"/>
            </w:tcBorders>
            <w:noWrap/>
          </w:tcPr>
          <w:p w14:paraId="11EC3513"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17 (3.5)</w:t>
            </w:r>
          </w:p>
        </w:tc>
        <w:tc>
          <w:tcPr>
            <w:tcW w:w="2126" w:type="dxa"/>
            <w:tcBorders>
              <w:top w:val="nil"/>
              <w:left w:val="nil"/>
              <w:bottom w:val="nil"/>
              <w:right w:val="nil"/>
            </w:tcBorders>
            <w:noWrap/>
          </w:tcPr>
          <w:p w14:paraId="2DBCC690"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 xml:space="preserve">6 (1.6) </w:t>
            </w:r>
          </w:p>
        </w:tc>
        <w:tc>
          <w:tcPr>
            <w:tcW w:w="1902" w:type="dxa"/>
            <w:tcBorders>
              <w:top w:val="nil"/>
              <w:left w:val="nil"/>
              <w:bottom w:val="nil"/>
            </w:tcBorders>
            <w:noWrap/>
          </w:tcPr>
          <w:p w14:paraId="3E1A3FAE"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0.09</w:t>
            </w:r>
          </w:p>
        </w:tc>
      </w:tr>
      <w:tr w:rsidR="00A7437D" w:rsidRPr="008B7C8E" w14:paraId="68BB7D5C" w14:textId="77777777" w:rsidTr="004E322D">
        <w:trPr>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6223840B"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DVT or PE (n (%))</w:t>
            </w:r>
          </w:p>
        </w:tc>
        <w:tc>
          <w:tcPr>
            <w:tcW w:w="1843" w:type="dxa"/>
            <w:tcBorders>
              <w:top w:val="nil"/>
              <w:left w:val="nil"/>
              <w:bottom w:val="nil"/>
              <w:right w:val="nil"/>
            </w:tcBorders>
            <w:noWrap/>
          </w:tcPr>
          <w:p w14:paraId="078D7350"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15 (3.1)</w:t>
            </w:r>
          </w:p>
        </w:tc>
        <w:tc>
          <w:tcPr>
            <w:tcW w:w="2126" w:type="dxa"/>
            <w:tcBorders>
              <w:top w:val="nil"/>
              <w:left w:val="nil"/>
              <w:bottom w:val="nil"/>
              <w:right w:val="nil"/>
            </w:tcBorders>
            <w:noWrap/>
          </w:tcPr>
          <w:p w14:paraId="588D8B51"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10 (2.7)</w:t>
            </w:r>
          </w:p>
        </w:tc>
        <w:tc>
          <w:tcPr>
            <w:tcW w:w="1902" w:type="dxa"/>
            <w:tcBorders>
              <w:top w:val="nil"/>
              <w:left w:val="nil"/>
              <w:bottom w:val="nil"/>
            </w:tcBorders>
            <w:noWrap/>
          </w:tcPr>
          <w:p w14:paraId="492698AA"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0.74</w:t>
            </w:r>
          </w:p>
        </w:tc>
      </w:tr>
      <w:tr w:rsidR="00A7437D" w:rsidRPr="008B7C8E" w14:paraId="7ADF4F50" w14:textId="77777777" w:rsidTr="004E322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7BC516D3"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AKI (n (%))</w:t>
            </w:r>
          </w:p>
        </w:tc>
        <w:tc>
          <w:tcPr>
            <w:tcW w:w="1843" w:type="dxa"/>
            <w:tcBorders>
              <w:top w:val="nil"/>
              <w:left w:val="nil"/>
              <w:bottom w:val="nil"/>
              <w:right w:val="nil"/>
            </w:tcBorders>
            <w:noWrap/>
          </w:tcPr>
          <w:p w14:paraId="530985C7"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84 (17.5)</w:t>
            </w:r>
          </w:p>
        </w:tc>
        <w:tc>
          <w:tcPr>
            <w:tcW w:w="2126" w:type="dxa"/>
            <w:tcBorders>
              <w:top w:val="nil"/>
              <w:left w:val="nil"/>
              <w:bottom w:val="nil"/>
              <w:right w:val="nil"/>
            </w:tcBorders>
            <w:noWrap/>
          </w:tcPr>
          <w:p w14:paraId="2F5DF724"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44 (12.1)</w:t>
            </w:r>
          </w:p>
        </w:tc>
        <w:tc>
          <w:tcPr>
            <w:tcW w:w="1902" w:type="dxa"/>
            <w:tcBorders>
              <w:top w:val="nil"/>
              <w:left w:val="nil"/>
              <w:bottom w:val="nil"/>
            </w:tcBorders>
            <w:noWrap/>
          </w:tcPr>
          <w:p w14:paraId="42DEDD5F"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lang w:val="en-GB"/>
              </w:rPr>
            </w:pPr>
            <w:r w:rsidRPr="008B7C8E">
              <w:rPr>
                <w:rFonts w:ascii="Arial" w:hAnsi="Arial" w:cs="Arial"/>
                <w:b/>
                <w:bCs/>
                <w:color w:val="000000" w:themeColor="text1"/>
                <w:sz w:val="18"/>
                <w:szCs w:val="18"/>
                <w:lang w:val="en-GB"/>
              </w:rPr>
              <w:t>0.03</w:t>
            </w:r>
          </w:p>
        </w:tc>
      </w:tr>
      <w:tr w:rsidR="00A7437D" w:rsidRPr="008B7C8E" w14:paraId="4BDD6559" w14:textId="77777777" w:rsidTr="004E322D">
        <w:trPr>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63F2AD0B"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Pulmonary infections (n (%))</w:t>
            </w:r>
          </w:p>
        </w:tc>
        <w:tc>
          <w:tcPr>
            <w:tcW w:w="1843" w:type="dxa"/>
            <w:tcBorders>
              <w:top w:val="nil"/>
              <w:left w:val="nil"/>
              <w:bottom w:val="nil"/>
              <w:right w:val="nil"/>
            </w:tcBorders>
            <w:noWrap/>
          </w:tcPr>
          <w:p w14:paraId="6FE557EF"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68 (14.2)</w:t>
            </w:r>
          </w:p>
        </w:tc>
        <w:tc>
          <w:tcPr>
            <w:tcW w:w="2126" w:type="dxa"/>
            <w:tcBorders>
              <w:top w:val="nil"/>
              <w:left w:val="nil"/>
              <w:bottom w:val="nil"/>
              <w:right w:val="nil"/>
            </w:tcBorders>
            <w:noWrap/>
          </w:tcPr>
          <w:p w14:paraId="4C6B5CF7"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19 (5.2)</w:t>
            </w:r>
          </w:p>
        </w:tc>
        <w:tc>
          <w:tcPr>
            <w:tcW w:w="1902" w:type="dxa"/>
            <w:tcBorders>
              <w:top w:val="nil"/>
              <w:left w:val="nil"/>
              <w:bottom w:val="nil"/>
            </w:tcBorders>
            <w:noWrap/>
          </w:tcPr>
          <w:p w14:paraId="4DDA5435"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lang w:val="en-GB"/>
              </w:rPr>
            </w:pPr>
            <w:r w:rsidRPr="008B7C8E">
              <w:rPr>
                <w:rFonts w:ascii="Arial" w:hAnsi="Arial" w:cs="Arial"/>
                <w:b/>
                <w:bCs/>
                <w:color w:val="000000" w:themeColor="text1"/>
                <w:sz w:val="18"/>
                <w:szCs w:val="18"/>
                <w:lang w:val="en-GB"/>
              </w:rPr>
              <w:t>&lt;0.001</w:t>
            </w:r>
          </w:p>
        </w:tc>
      </w:tr>
      <w:tr w:rsidR="00A7437D" w:rsidRPr="008B7C8E" w14:paraId="78476D6F" w14:textId="77777777" w:rsidTr="004E322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0785D6FC"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Urinary infections (n (%))</w:t>
            </w:r>
          </w:p>
        </w:tc>
        <w:tc>
          <w:tcPr>
            <w:tcW w:w="1843" w:type="dxa"/>
            <w:tcBorders>
              <w:top w:val="nil"/>
              <w:left w:val="nil"/>
              <w:bottom w:val="nil"/>
              <w:right w:val="nil"/>
            </w:tcBorders>
            <w:noWrap/>
          </w:tcPr>
          <w:p w14:paraId="3495383F"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82 (17.1)</w:t>
            </w:r>
          </w:p>
        </w:tc>
        <w:tc>
          <w:tcPr>
            <w:tcW w:w="2126" w:type="dxa"/>
            <w:tcBorders>
              <w:top w:val="nil"/>
              <w:left w:val="nil"/>
              <w:bottom w:val="nil"/>
              <w:right w:val="nil"/>
            </w:tcBorders>
            <w:noWrap/>
          </w:tcPr>
          <w:p w14:paraId="5B9B934A"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41 (11.2)</w:t>
            </w:r>
          </w:p>
        </w:tc>
        <w:tc>
          <w:tcPr>
            <w:tcW w:w="1902" w:type="dxa"/>
            <w:tcBorders>
              <w:top w:val="nil"/>
              <w:left w:val="nil"/>
              <w:bottom w:val="nil"/>
            </w:tcBorders>
            <w:noWrap/>
          </w:tcPr>
          <w:p w14:paraId="7A6E65E1"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lang w:val="en-GB"/>
              </w:rPr>
            </w:pPr>
            <w:r w:rsidRPr="008B7C8E">
              <w:rPr>
                <w:rFonts w:ascii="Arial" w:hAnsi="Arial" w:cs="Arial"/>
                <w:b/>
                <w:bCs/>
                <w:color w:val="000000" w:themeColor="text1"/>
                <w:sz w:val="18"/>
                <w:szCs w:val="18"/>
                <w:lang w:val="en-GB"/>
              </w:rPr>
              <w:t>0.02</w:t>
            </w:r>
          </w:p>
        </w:tc>
      </w:tr>
      <w:tr w:rsidR="00A7437D" w:rsidRPr="008B7C8E" w14:paraId="2F3BEE27" w14:textId="77777777" w:rsidTr="004E322D">
        <w:trPr>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673E2F89" w14:textId="77777777" w:rsidR="00166387" w:rsidRPr="008B7C8E" w:rsidRDefault="00166387" w:rsidP="004E322D">
            <w:pPr>
              <w:jc w:val="left"/>
              <w:rPr>
                <w:rFonts w:ascii="Arial" w:hAnsi="Arial" w:cs="Arial"/>
                <w:b/>
                <w:bCs/>
                <w:i w:val="0"/>
                <w:iCs w:val="0"/>
                <w:color w:val="000000" w:themeColor="text1"/>
                <w:sz w:val="18"/>
                <w:szCs w:val="18"/>
                <w:lang w:val="en-GB"/>
              </w:rPr>
            </w:pPr>
            <w:r w:rsidRPr="008B7C8E">
              <w:rPr>
                <w:rFonts w:ascii="Arial" w:hAnsi="Arial" w:cs="Arial"/>
                <w:b/>
                <w:bCs/>
                <w:i w:val="0"/>
                <w:iCs w:val="0"/>
                <w:color w:val="000000" w:themeColor="text1"/>
                <w:sz w:val="18"/>
                <w:szCs w:val="18"/>
                <w:lang w:val="en-GB"/>
              </w:rPr>
              <w:t>Secondary outcomes</w:t>
            </w:r>
          </w:p>
        </w:tc>
        <w:tc>
          <w:tcPr>
            <w:tcW w:w="1843" w:type="dxa"/>
            <w:tcBorders>
              <w:top w:val="nil"/>
              <w:left w:val="nil"/>
              <w:bottom w:val="nil"/>
              <w:right w:val="nil"/>
            </w:tcBorders>
            <w:noWrap/>
          </w:tcPr>
          <w:p w14:paraId="57B2907B"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highlight w:val="yellow"/>
                <w:lang w:val="en-GB"/>
              </w:rPr>
            </w:pPr>
          </w:p>
        </w:tc>
        <w:tc>
          <w:tcPr>
            <w:tcW w:w="2126" w:type="dxa"/>
            <w:tcBorders>
              <w:top w:val="nil"/>
              <w:left w:val="nil"/>
              <w:bottom w:val="nil"/>
              <w:right w:val="nil"/>
            </w:tcBorders>
            <w:noWrap/>
          </w:tcPr>
          <w:p w14:paraId="785DA63B"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highlight w:val="yellow"/>
                <w:lang w:val="en-GB"/>
              </w:rPr>
            </w:pPr>
          </w:p>
        </w:tc>
        <w:tc>
          <w:tcPr>
            <w:tcW w:w="1902" w:type="dxa"/>
            <w:tcBorders>
              <w:top w:val="nil"/>
              <w:left w:val="nil"/>
              <w:bottom w:val="nil"/>
            </w:tcBorders>
            <w:noWrap/>
          </w:tcPr>
          <w:p w14:paraId="3BBF26AF"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highlight w:val="yellow"/>
                <w:lang w:val="en-GB"/>
              </w:rPr>
            </w:pPr>
          </w:p>
        </w:tc>
      </w:tr>
      <w:tr w:rsidR="00A7437D" w:rsidRPr="008B7C8E" w14:paraId="4549EA4F" w14:textId="77777777" w:rsidTr="004E322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right w:val="nil"/>
            </w:tcBorders>
            <w:noWrap/>
          </w:tcPr>
          <w:p w14:paraId="292C1B32"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30-days postoperative mortality (n (%))</w:t>
            </w:r>
          </w:p>
        </w:tc>
        <w:tc>
          <w:tcPr>
            <w:tcW w:w="1843" w:type="dxa"/>
            <w:tcBorders>
              <w:top w:val="nil"/>
              <w:left w:val="nil"/>
              <w:bottom w:val="nil"/>
              <w:right w:val="nil"/>
            </w:tcBorders>
            <w:noWrap/>
          </w:tcPr>
          <w:p w14:paraId="1C1C1C84"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44 (9.2)</w:t>
            </w:r>
          </w:p>
        </w:tc>
        <w:tc>
          <w:tcPr>
            <w:tcW w:w="2126" w:type="dxa"/>
            <w:tcBorders>
              <w:top w:val="nil"/>
              <w:left w:val="nil"/>
              <w:bottom w:val="nil"/>
              <w:right w:val="nil"/>
            </w:tcBorders>
            <w:noWrap/>
          </w:tcPr>
          <w:p w14:paraId="7D7EB523"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22 (6)</w:t>
            </w:r>
          </w:p>
        </w:tc>
        <w:tc>
          <w:tcPr>
            <w:tcW w:w="1902" w:type="dxa"/>
            <w:tcBorders>
              <w:top w:val="nil"/>
              <w:left w:val="nil"/>
              <w:bottom w:val="nil"/>
            </w:tcBorders>
            <w:noWrap/>
          </w:tcPr>
          <w:p w14:paraId="00F800F8" w14:textId="77777777" w:rsidR="00166387" w:rsidRPr="008B7C8E" w:rsidRDefault="00166387" w:rsidP="004E322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0.1</w:t>
            </w:r>
          </w:p>
        </w:tc>
      </w:tr>
      <w:tr w:rsidR="00A7437D" w:rsidRPr="008B7C8E" w14:paraId="7935AA49" w14:textId="77777777" w:rsidTr="004E322D">
        <w:trPr>
          <w:trHeight w:val="301"/>
        </w:trPr>
        <w:tc>
          <w:tcPr>
            <w:cnfStyle w:val="001000000000" w:firstRow="0" w:lastRow="0" w:firstColumn="1" w:lastColumn="0" w:oddVBand="0" w:evenVBand="0" w:oddHBand="0" w:evenHBand="0" w:firstRowFirstColumn="0" w:firstRowLastColumn="0" w:lastRowFirstColumn="0" w:lastRowLastColumn="0"/>
            <w:tcW w:w="3402" w:type="dxa"/>
            <w:tcBorders>
              <w:top w:val="nil"/>
              <w:bottom w:val="single" w:sz="4" w:space="0" w:color="auto"/>
              <w:right w:val="nil"/>
            </w:tcBorders>
            <w:noWrap/>
          </w:tcPr>
          <w:p w14:paraId="3FAEA5BA" w14:textId="77777777" w:rsidR="00166387" w:rsidRPr="008B7C8E" w:rsidRDefault="00166387" w:rsidP="004E322D">
            <w:pPr>
              <w:jc w:val="left"/>
              <w:rPr>
                <w:rFonts w:ascii="Arial" w:hAnsi="Arial" w:cs="Arial"/>
                <w:i w:val="0"/>
                <w:iCs w:val="0"/>
                <w:color w:val="000000" w:themeColor="text1"/>
                <w:sz w:val="18"/>
                <w:szCs w:val="18"/>
                <w:lang w:val="en-GB"/>
              </w:rPr>
            </w:pPr>
            <w:r w:rsidRPr="008B7C8E">
              <w:rPr>
                <w:rFonts w:ascii="Arial" w:hAnsi="Arial" w:cs="Arial"/>
                <w:i w:val="0"/>
                <w:iCs w:val="0"/>
                <w:color w:val="000000" w:themeColor="text1"/>
                <w:sz w:val="18"/>
                <w:szCs w:val="18"/>
                <w:lang w:val="en-GB"/>
              </w:rPr>
              <w:t>Postoperative RBC transfusion (n (%))</w:t>
            </w:r>
          </w:p>
        </w:tc>
        <w:tc>
          <w:tcPr>
            <w:tcW w:w="1843" w:type="dxa"/>
            <w:tcBorders>
              <w:top w:val="nil"/>
              <w:left w:val="nil"/>
              <w:bottom w:val="single" w:sz="4" w:space="0" w:color="auto"/>
              <w:right w:val="nil"/>
            </w:tcBorders>
            <w:noWrap/>
          </w:tcPr>
          <w:p w14:paraId="2A18AB63"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113 (23.5)</w:t>
            </w:r>
          </w:p>
        </w:tc>
        <w:tc>
          <w:tcPr>
            <w:tcW w:w="2126" w:type="dxa"/>
            <w:tcBorders>
              <w:top w:val="nil"/>
              <w:left w:val="nil"/>
              <w:bottom w:val="single" w:sz="4" w:space="0" w:color="auto"/>
              <w:right w:val="nil"/>
            </w:tcBorders>
            <w:noWrap/>
          </w:tcPr>
          <w:p w14:paraId="0F73AE23"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76 (20.8)</w:t>
            </w:r>
          </w:p>
        </w:tc>
        <w:tc>
          <w:tcPr>
            <w:tcW w:w="1902" w:type="dxa"/>
            <w:tcBorders>
              <w:top w:val="nil"/>
              <w:left w:val="nil"/>
              <w:bottom w:val="single" w:sz="4" w:space="0" w:color="auto"/>
            </w:tcBorders>
            <w:noWrap/>
          </w:tcPr>
          <w:p w14:paraId="63EC3EE4" w14:textId="77777777" w:rsidR="00166387" w:rsidRPr="008B7C8E" w:rsidRDefault="00166387" w:rsidP="004E322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n-GB"/>
              </w:rPr>
            </w:pPr>
            <w:r w:rsidRPr="008B7C8E">
              <w:rPr>
                <w:rFonts w:ascii="Arial" w:hAnsi="Arial" w:cs="Arial"/>
                <w:color w:val="000000" w:themeColor="text1"/>
                <w:sz w:val="18"/>
                <w:szCs w:val="18"/>
                <w:lang w:val="en-GB"/>
              </w:rPr>
              <w:t>0.36</w:t>
            </w:r>
          </w:p>
        </w:tc>
      </w:tr>
    </w:tbl>
    <w:p w14:paraId="4FB27693" w14:textId="77777777" w:rsidR="00166387" w:rsidRPr="008B7C8E" w:rsidRDefault="00166387" w:rsidP="00166387">
      <w:pPr>
        <w:jc w:val="both"/>
        <w:rPr>
          <w:color w:val="000000" w:themeColor="text1"/>
          <w:sz w:val="18"/>
          <w:szCs w:val="18"/>
          <w:lang w:val="en-GB"/>
        </w:rPr>
      </w:pPr>
    </w:p>
    <w:p w14:paraId="1CE639FF" w14:textId="03583620" w:rsidR="00166387" w:rsidRPr="008B7C8E" w:rsidRDefault="00166387" w:rsidP="00166387">
      <w:pPr>
        <w:jc w:val="both"/>
        <w:rPr>
          <w:rFonts w:ascii="Arial" w:eastAsia="Arial Unicode MS" w:hAnsi="Arial" w:cs="Arial"/>
          <w:color w:val="000000" w:themeColor="text1"/>
          <w:sz w:val="18"/>
          <w:szCs w:val="18"/>
          <w:lang w:val="en-US"/>
        </w:rPr>
      </w:pPr>
      <w:r w:rsidRPr="008B7C8E">
        <w:rPr>
          <w:rFonts w:ascii="Arial" w:eastAsia="Arial Unicode MS" w:hAnsi="Arial" w:cs="Arial"/>
          <w:color w:val="000000" w:themeColor="text1"/>
          <w:sz w:val="18"/>
          <w:szCs w:val="18"/>
          <w:lang w:val="en-US"/>
        </w:rPr>
        <w:t xml:space="preserve">Footnotes: postop: postoperative; </w:t>
      </w:r>
      <w:r w:rsidRPr="008B7C8E">
        <w:rPr>
          <w:rFonts w:ascii="Arial" w:hAnsi="Arial" w:cs="Arial"/>
          <w:color w:val="000000" w:themeColor="text1"/>
          <w:sz w:val="18"/>
          <w:szCs w:val="18"/>
          <w:lang w:val="en-US"/>
        </w:rPr>
        <w:t>IQR: interquartile range; n: number. EPOCs: early postoperative complications during firs 7</w:t>
      </w:r>
      <w:r w:rsidR="001B1205" w:rsidRPr="008B7C8E">
        <w:rPr>
          <w:rFonts w:ascii="Arial" w:hAnsi="Arial" w:cs="Arial"/>
          <w:color w:val="000000" w:themeColor="text1"/>
          <w:sz w:val="18"/>
          <w:szCs w:val="18"/>
          <w:lang w:val="en-US"/>
        </w:rPr>
        <w:t xml:space="preserve"> </w:t>
      </w:r>
      <w:r w:rsidRPr="008B7C8E">
        <w:rPr>
          <w:rFonts w:ascii="Arial" w:hAnsi="Arial" w:cs="Arial"/>
          <w:color w:val="000000" w:themeColor="text1"/>
          <w:sz w:val="18"/>
          <w:szCs w:val="18"/>
          <w:lang w:val="en-US"/>
        </w:rPr>
        <w:t>days after surgery. Clavien-Dindo classification Grade 1 or Grade 2/3/4. PONV: postoperative nausea and vomiting. DVT: deep venous thrombosis; PE: pulmonary embolism. AKI: Acute Kidney Injury during first postoperative 7</w:t>
      </w:r>
      <w:r w:rsidR="001B1205" w:rsidRPr="008B7C8E">
        <w:rPr>
          <w:rFonts w:ascii="Arial" w:hAnsi="Arial" w:cs="Arial"/>
          <w:color w:val="000000" w:themeColor="text1"/>
          <w:sz w:val="18"/>
          <w:szCs w:val="18"/>
          <w:lang w:val="en-US"/>
        </w:rPr>
        <w:t xml:space="preserve"> </w:t>
      </w:r>
      <w:r w:rsidRPr="008B7C8E">
        <w:rPr>
          <w:rFonts w:ascii="Arial" w:hAnsi="Arial" w:cs="Arial"/>
          <w:color w:val="000000" w:themeColor="text1"/>
          <w:sz w:val="18"/>
          <w:szCs w:val="18"/>
          <w:lang w:val="en-US"/>
        </w:rPr>
        <w:t xml:space="preserve">days. RBC: red blood cells. </w:t>
      </w:r>
      <w:r w:rsidRPr="008B7C8E">
        <w:rPr>
          <w:rFonts w:ascii="Arial" w:eastAsia="Arial Unicode MS" w:hAnsi="Arial" w:cs="Arial"/>
          <w:color w:val="000000" w:themeColor="text1"/>
          <w:sz w:val="18"/>
          <w:szCs w:val="18"/>
          <w:lang w:val="en-US"/>
        </w:rPr>
        <w:t>Chi-squared tests for categorical variables and proportions.</w:t>
      </w:r>
    </w:p>
    <w:p w14:paraId="159FA6AF" w14:textId="26EBECB3" w:rsidR="009C3FB5" w:rsidRPr="008B7C8E" w:rsidRDefault="009C3FB5" w:rsidP="009C3FB5">
      <w:pPr>
        <w:jc w:val="both"/>
        <w:rPr>
          <w:rFonts w:ascii="Arial" w:eastAsia="Arial Unicode MS" w:hAnsi="Arial" w:cs="Arial"/>
          <w:color w:val="000000" w:themeColor="text1"/>
          <w:sz w:val="18"/>
          <w:szCs w:val="18"/>
          <w:lang w:val="en-US"/>
        </w:rPr>
      </w:pPr>
      <w:r w:rsidRPr="008B7C8E">
        <w:rPr>
          <w:rFonts w:ascii="Arial" w:eastAsia="Arial Unicode MS" w:hAnsi="Arial" w:cs="Arial"/>
          <w:color w:val="000000" w:themeColor="text1"/>
          <w:sz w:val="18"/>
          <w:szCs w:val="18"/>
          <w:lang w:val="en-US"/>
        </w:rPr>
        <w:t>Cerebrovascular events: acute ischemic or hemorrhagic stroke or transient ischemic attack diagnosed clinically and/or by brain imaging.</w:t>
      </w:r>
    </w:p>
    <w:p w14:paraId="28CA3D26" w14:textId="2BB65A7F" w:rsidR="009C3FB5" w:rsidRPr="008B7C8E" w:rsidRDefault="009C3FB5" w:rsidP="009C3FB5">
      <w:pPr>
        <w:jc w:val="both"/>
        <w:rPr>
          <w:rFonts w:ascii="Arial" w:eastAsia="Arial Unicode MS" w:hAnsi="Arial" w:cs="Arial"/>
          <w:color w:val="000000" w:themeColor="text1"/>
          <w:sz w:val="18"/>
          <w:szCs w:val="18"/>
          <w:lang w:val="en-US"/>
        </w:rPr>
      </w:pPr>
      <w:r w:rsidRPr="008B7C8E">
        <w:rPr>
          <w:rFonts w:ascii="Arial" w:eastAsia="Arial Unicode MS" w:hAnsi="Arial" w:cs="Arial"/>
          <w:color w:val="000000" w:themeColor="text1"/>
          <w:sz w:val="18"/>
          <w:szCs w:val="18"/>
          <w:lang w:val="en-US"/>
        </w:rPr>
        <w:t>Postoperative delirium: acute disturbance of attention and cognition consistent with postoperative delirium, diagnosed clinically.</w:t>
      </w:r>
    </w:p>
    <w:p w14:paraId="7198AFC5" w14:textId="3F0F49B6" w:rsidR="009C3FB5" w:rsidRPr="008B7C8E" w:rsidRDefault="009C3FB5" w:rsidP="009C3FB5">
      <w:pPr>
        <w:jc w:val="both"/>
        <w:rPr>
          <w:rFonts w:ascii="Arial" w:eastAsia="Arial Unicode MS" w:hAnsi="Arial" w:cs="Arial"/>
          <w:color w:val="000000" w:themeColor="text1"/>
          <w:sz w:val="18"/>
          <w:szCs w:val="18"/>
          <w:lang w:val="en-US"/>
        </w:rPr>
      </w:pPr>
      <w:r w:rsidRPr="008B7C8E">
        <w:rPr>
          <w:rFonts w:ascii="Arial" w:eastAsia="Arial Unicode MS" w:hAnsi="Arial" w:cs="Arial"/>
          <w:color w:val="000000" w:themeColor="text1"/>
          <w:sz w:val="18"/>
          <w:szCs w:val="18"/>
          <w:lang w:val="en-US"/>
        </w:rPr>
        <w:t>Myocardial ischemia: new clinical, ECG, or biomarker evidence of myocardial ischemia (including myocardial infarction).</w:t>
      </w:r>
    </w:p>
    <w:p w14:paraId="099C1806" w14:textId="77777777" w:rsidR="009C3FB5" w:rsidRPr="008B7C8E" w:rsidRDefault="009C3FB5" w:rsidP="009C3FB5">
      <w:pPr>
        <w:jc w:val="both"/>
        <w:rPr>
          <w:rFonts w:ascii="Arial" w:eastAsia="Arial Unicode MS" w:hAnsi="Arial" w:cs="Arial"/>
          <w:color w:val="000000" w:themeColor="text1"/>
          <w:sz w:val="18"/>
          <w:szCs w:val="18"/>
          <w:lang w:val="en-US"/>
        </w:rPr>
      </w:pPr>
      <w:r w:rsidRPr="008B7C8E">
        <w:rPr>
          <w:rFonts w:ascii="Arial" w:eastAsia="Arial Unicode MS" w:hAnsi="Arial" w:cs="Arial"/>
          <w:color w:val="000000" w:themeColor="text1"/>
          <w:sz w:val="18"/>
          <w:szCs w:val="18"/>
          <w:lang w:val="en-US"/>
        </w:rPr>
        <w:t>Postoperative arrhythmias: new-onset or acutely decompensated supraventricular or ventricular arrhythmias requiring medical treatment and/or monitoring.</w:t>
      </w:r>
    </w:p>
    <w:p w14:paraId="597ECB59" w14:textId="77777777" w:rsidR="00D70742" w:rsidRPr="008B7C8E" w:rsidRDefault="00D70742" w:rsidP="009C3FB5">
      <w:pPr>
        <w:jc w:val="both"/>
        <w:rPr>
          <w:rFonts w:ascii="Arial" w:eastAsia="Arial Unicode MS" w:hAnsi="Arial" w:cs="Arial"/>
          <w:color w:val="000000" w:themeColor="text1"/>
          <w:sz w:val="18"/>
          <w:szCs w:val="18"/>
          <w:lang w:val="en-US"/>
        </w:rPr>
      </w:pPr>
      <w:r w:rsidRPr="008B7C8E">
        <w:rPr>
          <w:rFonts w:ascii="Arial" w:eastAsia="Arial Unicode MS" w:hAnsi="Arial" w:cs="Arial"/>
          <w:color w:val="000000" w:themeColor="text1"/>
          <w:sz w:val="18"/>
          <w:szCs w:val="18"/>
          <w:lang w:val="en-US"/>
        </w:rPr>
        <w:t>Heart failure: acute postoperative decompensated heart failure, either new-onset or exacerbation of pre-existing chronic heart failure, requiring specific therapy (e.g., intravenous diuretics, vasodilators, inotropes and/or non-invasive ventilation or higher-level care).</w:t>
      </w:r>
    </w:p>
    <w:p w14:paraId="24EB2D84" w14:textId="5C80EFDD" w:rsidR="009C3FB5" w:rsidRPr="008B7C8E" w:rsidRDefault="009C3FB5" w:rsidP="009C3FB5">
      <w:pPr>
        <w:jc w:val="both"/>
        <w:rPr>
          <w:rFonts w:ascii="Arial" w:eastAsia="Arial Unicode MS" w:hAnsi="Arial" w:cs="Arial"/>
          <w:color w:val="000000" w:themeColor="text1"/>
          <w:sz w:val="18"/>
          <w:szCs w:val="18"/>
          <w:lang w:val="en-US"/>
        </w:rPr>
      </w:pPr>
      <w:r w:rsidRPr="008B7C8E">
        <w:rPr>
          <w:rFonts w:ascii="Arial" w:eastAsia="Arial Unicode MS" w:hAnsi="Arial" w:cs="Arial"/>
          <w:color w:val="000000" w:themeColor="text1"/>
          <w:sz w:val="18"/>
          <w:szCs w:val="18"/>
          <w:lang w:val="en-US"/>
        </w:rPr>
        <w:t>DVT or PE: objectively confirmed deep vein thrombosis (compression ultrasound) or pulmonary embolism (CT pulmonary angiography or equivalent imaging).</w:t>
      </w:r>
    </w:p>
    <w:p w14:paraId="6D3DE74F" w14:textId="77777777" w:rsidR="009C3FB5" w:rsidRPr="008B7C8E" w:rsidRDefault="009C3FB5" w:rsidP="009C3FB5">
      <w:pPr>
        <w:jc w:val="both"/>
        <w:rPr>
          <w:rFonts w:ascii="Arial" w:eastAsia="Arial Unicode MS" w:hAnsi="Arial" w:cs="Arial"/>
          <w:color w:val="000000" w:themeColor="text1"/>
          <w:sz w:val="18"/>
          <w:szCs w:val="18"/>
          <w:lang w:val="en-US"/>
        </w:rPr>
      </w:pPr>
      <w:r w:rsidRPr="008B7C8E">
        <w:rPr>
          <w:rFonts w:ascii="Arial" w:eastAsia="Arial Unicode MS" w:hAnsi="Arial" w:cs="Arial"/>
          <w:color w:val="000000" w:themeColor="text1"/>
          <w:sz w:val="18"/>
          <w:szCs w:val="18"/>
          <w:lang w:val="en-US"/>
        </w:rPr>
        <w:t>AKI: acute kidney injury defined by KDIGO creatinine criteria (increase ≥0.3 mg/dL within 48 h or ≥1.5 times baseline within 7 days).</w:t>
      </w:r>
    </w:p>
    <w:p w14:paraId="7ADFB10A" w14:textId="77777777" w:rsidR="009C3FB5" w:rsidRPr="008B7C8E" w:rsidRDefault="009C3FB5" w:rsidP="009C3FB5">
      <w:pPr>
        <w:jc w:val="both"/>
        <w:rPr>
          <w:rFonts w:ascii="Arial" w:eastAsia="Arial Unicode MS" w:hAnsi="Arial" w:cs="Arial"/>
          <w:color w:val="000000" w:themeColor="text1"/>
          <w:sz w:val="18"/>
          <w:szCs w:val="18"/>
          <w:lang w:val="en-US"/>
        </w:rPr>
      </w:pPr>
      <w:r w:rsidRPr="008B7C8E">
        <w:rPr>
          <w:rFonts w:ascii="Arial" w:eastAsia="Arial Unicode MS" w:hAnsi="Arial" w:cs="Arial"/>
          <w:color w:val="000000" w:themeColor="text1"/>
          <w:sz w:val="18"/>
          <w:szCs w:val="18"/>
          <w:lang w:val="en-US"/>
        </w:rPr>
        <w:t>Pulmonary infections: postoperative pneumonia or lower respiratory tract infection diagnosed clinically and/or radiologically and treated with antibiotics.</w:t>
      </w:r>
    </w:p>
    <w:p w14:paraId="71AB0F20" w14:textId="7297C9AF" w:rsidR="009C3FB5" w:rsidRPr="008B7C8E" w:rsidRDefault="009C3FB5" w:rsidP="009C3FB5">
      <w:pPr>
        <w:jc w:val="both"/>
        <w:rPr>
          <w:rFonts w:ascii="Arial" w:eastAsia="Arial Unicode MS" w:hAnsi="Arial" w:cs="Arial"/>
          <w:color w:val="000000" w:themeColor="text1"/>
          <w:sz w:val="18"/>
          <w:szCs w:val="18"/>
          <w:lang w:val="en-US"/>
        </w:rPr>
      </w:pPr>
      <w:r w:rsidRPr="008B7C8E">
        <w:rPr>
          <w:rFonts w:ascii="Arial" w:eastAsia="Arial Unicode MS" w:hAnsi="Arial" w:cs="Arial"/>
          <w:color w:val="000000" w:themeColor="text1"/>
          <w:sz w:val="18"/>
          <w:szCs w:val="18"/>
          <w:lang w:val="en-US"/>
        </w:rPr>
        <w:t>Urinary infections: symptomatic urinary tract infection diagnosed clinically and treated with antibiotics, with or without microbiological confirmation.</w:t>
      </w:r>
    </w:p>
    <w:p w14:paraId="5E32F0D5"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3EF06EA6"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2E864E29" w14:textId="77777777" w:rsidR="00166387" w:rsidRPr="008B7C8E" w:rsidRDefault="00166387" w:rsidP="00166387">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6A2599B0" w14:textId="77777777" w:rsidR="00AF45DE" w:rsidRPr="008B7C8E" w:rsidRDefault="00AF45DE" w:rsidP="005A7BE1">
      <w:pPr>
        <w:spacing w:line="360" w:lineRule="auto"/>
        <w:jc w:val="both"/>
        <w:rPr>
          <w:rFonts w:eastAsia="Arial Unicode MS"/>
          <w:b/>
          <w:bCs/>
          <w:color w:val="000000" w:themeColor="text1"/>
          <w:u w:color="000000"/>
          <w:bdr w:val="nil"/>
          <w:lang w:val="en-US" w:eastAsia="fr-BE"/>
          <w14:textOutline w14:w="0" w14:cap="flat" w14:cmpd="sng" w14:algn="ctr">
            <w14:noFill/>
            <w14:prstDash w14:val="solid"/>
            <w14:bevel/>
          </w14:textOutline>
        </w:rPr>
      </w:pPr>
    </w:p>
    <w:p w14:paraId="7061BB5C" w14:textId="77777777" w:rsidR="00A7437D" w:rsidRPr="008B7C8E" w:rsidRDefault="00A7437D" w:rsidP="005A7BE1">
      <w:pPr>
        <w:spacing w:line="360" w:lineRule="auto"/>
        <w:jc w:val="both"/>
        <w:rPr>
          <w:b/>
          <w:bCs/>
          <w:color w:val="000000" w:themeColor="text1"/>
          <w:lang w:val="en-US"/>
        </w:rPr>
      </w:pPr>
    </w:p>
    <w:p w14:paraId="388E3291" w14:textId="4F14C064" w:rsidR="005A7BE1" w:rsidRPr="008B7C8E" w:rsidRDefault="005A7BE1" w:rsidP="005A7BE1">
      <w:pPr>
        <w:spacing w:line="360" w:lineRule="auto"/>
        <w:jc w:val="both"/>
        <w:rPr>
          <w:b/>
          <w:bCs/>
          <w:color w:val="000000" w:themeColor="text1"/>
          <w:lang w:val="en-US"/>
        </w:rPr>
      </w:pPr>
      <w:r w:rsidRPr="008B7C8E">
        <w:rPr>
          <w:b/>
          <w:bCs/>
          <w:color w:val="000000" w:themeColor="text1"/>
          <w:lang w:val="en-US"/>
        </w:rPr>
        <w:lastRenderedPageBreak/>
        <w:t>FIGURES LEGENDS</w:t>
      </w:r>
    </w:p>
    <w:p w14:paraId="4236B73F" w14:textId="77777777" w:rsidR="005A7BE1" w:rsidRPr="008B7C8E" w:rsidRDefault="005A7BE1" w:rsidP="005A7BE1">
      <w:pPr>
        <w:spacing w:line="360" w:lineRule="auto"/>
        <w:jc w:val="both"/>
        <w:rPr>
          <w:b/>
          <w:bCs/>
          <w:color w:val="000000" w:themeColor="text1"/>
          <w:lang w:val="en-US"/>
        </w:rPr>
      </w:pPr>
    </w:p>
    <w:p w14:paraId="4820CC2B" w14:textId="1627A1C8" w:rsidR="005A7BE1" w:rsidRPr="008B7C8E" w:rsidRDefault="000329BB" w:rsidP="005A7BE1">
      <w:pPr>
        <w:spacing w:line="360" w:lineRule="auto"/>
        <w:jc w:val="both"/>
        <w:rPr>
          <w:color w:val="000000" w:themeColor="text1"/>
          <w:lang w:val="en-US"/>
        </w:rPr>
      </w:pPr>
      <w:r w:rsidRPr="008B7C8E">
        <w:rPr>
          <w:b/>
          <w:bCs/>
          <w:color w:val="000000" w:themeColor="text1"/>
          <w:lang w:val="en-US"/>
        </w:rPr>
        <w:t xml:space="preserve">Figure 1. </w:t>
      </w:r>
      <w:r w:rsidR="001103FC" w:rsidRPr="008B7C8E">
        <w:rPr>
          <w:rStyle w:val="Enfasigrassetto"/>
          <w:b w:val="0"/>
          <w:bCs w:val="0"/>
          <w:color w:val="000000" w:themeColor="text1"/>
          <w:lang w:val="en-US"/>
        </w:rPr>
        <w:t xml:space="preserve">Patient pathway under the ASAP </w:t>
      </w:r>
      <w:r w:rsidR="00A7437D" w:rsidRPr="008B7C8E">
        <w:rPr>
          <w:rStyle w:val="Enfasigrassetto"/>
          <w:b w:val="0"/>
          <w:bCs w:val="0"/>
          <w:color w:val="000000" w:themeColor="text1"/>
          <w:lang w:val="en-US"/>
        </w:rPr>
        <w:t>bundle</w:t>
      </w:r>
      <w:r w:rsidR="001103FC" w:rsidRPr="008B7C8E">
        <w:rPr>
          <w:rStyle w:val="Enfasigrassetto"/>
          <w:b w:val="0"/>
          <w:bCs w:val="0"/>
          <w:color w:val="000000" w:themeColor="text1"/>
          <w:lang w:val="en-US"/>
        </w:rPr>
        <w:t>, from emergency department admission through perioperative optimization to postoperative care and discharge, and STROBE flowchart of study cohort selection.</w:t>
      </w:r>
      <w:r w:rsidR="001103FC" w:rsidRPr="008B7C8E">
        <w:rPr>
          <w:rStyle w:val="Enfasigrassetto"/>
          <w:color w:val="000000" w:themeColor="text1"/>
          <w:lang w:val="en-US"/>
        </w:rPr>
        <w:t xml:space="preserve"> </w:t>
      </w:r>
      <w:r w:rsidRPr="008B7C8E">
        <w:rPr>
          <w:b/>
          <w:bCs/>
          <w:color w:val="000000" w:themeColor="text1"/>
          <w:lang w:val="en-US"/>
        </w:rPr>
        <w:t>STROBE</w:t>
      </w:r>
      <w:r w:rsidRPr="008B7C8E">
        <w:rPr>
          <w:color w:val="000000" w:themeColor="text1"/>
          <w:lang w:val="en-US"/>
        </w:rPr>
        <w:t xml:space="preserve"> </w:t>
      </w:r>
      <w:r w:rsidRPr="008B7C8E">
        <w:rPr>
          <w:b/>
          <w:bCs/>
          <w:color w:val="000000" w:themeColor="text1"/>
          <w:lang w:val="en-US"/>
        </w:rPr>
        <w:t xml:space="preserve">Flowchart of study cohort selection and ASAP </w:t>
      </w:r>
      <w:r w:rsidR="00A7437D" w:rsidRPr="008B7C8E">
        <w:rPr>
          <w:rStyle w:val="Enfasigrassetto"/>
          <w:color w:val="000000" w:themeColor="text1"/>
          <w:lang w:val="en-US"/>
        </w:rPr>
        <w:t>bundle</w:t>
      </w:r>
      <w:r w:rsidR="00A7437D" w:rsidRPr="008B7C8E">
        <w:rPr>
          <w:rStyle w:val="Enfasigrassetto"/>
          <w:b w:val="0"/>
          <w:bCs w:val="0"/>
          <w:color w:val="000000" w:themeColor="text1"/>
          <w:lang w:val="en-US"/>
        </w:rPr>
        <w:t xml:space="preserve"> </w:t>
      </w:r>
      <w:r w:rsidRPr="008B7C8E">
        <w:rPr>
          <w:b/>
          <w:bCs/>
          <w:color w:val="000000" w:themeColor="text1"/>
          <w:lang w:val="en-US"/>
        </w:rPr>
        <w:t>implementation.</w:t>
      </w:r>
      <w:r w:rsidRPr="008B7C8E">
        <w:rPr>
          <w:color w:val="000000" w:themeColor="text1"/>
          <w:lang w:val="en-US"/>
        </w:rPr>
        <w:t xml:space="preserve"> STROBE = </w:t>
      </w:r>
      <w:r w:rsidRPr="008B7C8E">
        <w:rPr>
          <w:rFonts w:eastAsia="Arial Unicode MS"/>
          <w:color w:val="000000" w:themeColor="text1"/>
          <w:u w:color="000000"/>
          <w:bdr w:val="nil"/>
          <w:lang w:val="en-US" w:eastAsia="fr-BE"/>
          <w14:textOutline w14:w="0" w14:cap="flat" w14:cmpd="sng" w14:algn="ctr">
            <w14:noFill/>
            <w14:prstDash w14:val="solid"/>
            <w14:bevel/>
          </w14:textOutline>
        </w:rPr>
        <w:t>STrengthening the Reporting of OBservational studies in Epidemiology</w:t>
      </w:r>
      <w:r w:rsidRPr="008B7C8E">
        <w:rPr>
          <w:color w:val="000000" w:themeColor="text1"/>
          <w:lang w:val="en-US"/>
        </w:rPr>
        <w:t xml:space="preserve">. </w:t>
      </w:r>
      <w:r w:rsidR="001103FC" w:rsidRPr="008B7C8E">
        <w:rPr>
          <w:rStyle w:val="Enfasigrassetto"/>
          <w:b w:val="0"/>
          <w:bCs w:val="0"/>
          <w:color w:val="000000" w:themeColor="text1"/>
          <w:lang w:val="en-US"/>
        </w:rPr>
        <w:t xml:space="preserve">The ASAP </w:t>
      </w:r>
      <w:r w:rsidR="00A7437D" w:rsidRPr="008B7C8E">
        <w:rPr>
          <w:rStyle w:val="Enfasigrassetto"/>
          <w:b w:val="0"/>
          <w:bCs w:val="0"/>
          <w:color w:val="000000" w:themeColor="text1"/>
          <w:lang w:val="en-US"/>
        </w:rPr>
        <w:t>bundle</w:t>
      </w:r>
      <w:r w:rsidR="001103FC" w:rsidRPr="008B7C8E">
        <w:rPr>
          <w:rStyle w:val="Enfasigrassetto"/>
          <w:b w:val="0"/>
          <w:bCs w:val="0"/>
          <w:color w:val="000000" w:themeColor="text1"/>
          <w:lang w:val="en-US"/>
        </w:rPr>
        <w:t xml:space="preserve"> comprises four coordinated components (advice, surgery, analgesia and pharmacology), applied along the patient journey.</w:t>
      </w:r>
      <w:r w:rsidR="001103FC" w:rsidRPr="008B7C8E">
        <w:rPr>
          <w:rStyle w:val="Enfasigrassetto"/>
          <w:color w:val="000000" w:themeColor="text1"/>
        </w:rPr>
        <w:t xml:space="preserve"> </w:t>
      </w:r>
      <w:r w:rsidR="005A7BE1" w:rsidRPr="008B7C8E">
        <w:rPr>
          <w:color w:val="000000" w:themeColor="text1"/>
          <w:lang w:val="en-US"/>
        </w:rPr>
        <w:t xml:space="preserve">ASAP </w:t>
      </w:r>
      <w:r w:rsidR="00A7437D" w:rsidRPr="008B7C8E">
        <w:rPr>
          <w:rStyle w:val="Enfasigrassetto"/>
          <w:b w:val="0"/>
          <w:bCs w:val="0"/>
          <w:color w:val="000000" w:themeColor="text1"/>
          <w:lang w:val="en-US"/>
        </w:rPr>
        <w:t>bundle</w:t>
      </w:r>
      <w:r w:rsidR="005A7BE1" w:rsidRPr="008B7C8E">
        <w:rPr>
          <w:color w:val="000000" w:themeColor="text1"/>
          <w:lang w:val="en-US"/>
        </w:rPr>
        <w:t xml:space="preserve">. ASAP: </w:t>
      </w:r>
      <w:r w:rsidR="005A7BE1" w:rsidRPr="008B7C8E">
        <w:rPr>
          <w:rFonts w:eastAsia="Arial Unicode MS"/>
          <w:color w:val="000000" w:themeColor="text1"/>
          <w:u w:color="000000"/>
          <w:bdr w:val="nil"/>
          <w:lang w:val="en-US" w:eastAsia="fr-BE"/>
          <w14:textOutline w14:w="0" w14:cap="flat" w14:cmpd="sng" w14:algn="ctr">
            <w14:noFill/>
            <w14:prstDash w14:val="solid"/>
            <w14:bevel/>
          </w14:textOutline>
        </w:rPr>
        <w:t>advice, surgery, analgesia and pharmacology. SFIB: Supra-inguinal Fascia Iliaca Block. NHFS: Nottingham Hip Fracture Score. ARS: Anticholinergic Risk Scale</w:t>
      </w:r>
    </w:p>
    <w:p w14:paraId="253B59AC" w14:textId="77777777" w:rsidR="005A7BE1" w:rsidRPr="008B7C8E" w:rsidRDefault="005A7BE1" w:rsidP="005A7BE1">
      <w:pPr>
        <w:spacing w:line="360" w:lineRule="auto"/>
        <w:jc w:val="both"/>
        <w:rPr>
          <w:color w:val="000000" w:themeColor="text1"/>
          <w:lang w:val="en-US"/>
        </w:rPr>
      </w:pPr>
    </w:p>
    <w:p w14:paraId="70EBEB48" w14:textId="248E9EB5" w:rsidR="005A7BE1" w:rsidRPr="008B7C8E" w:rsidRDefault="005A7BE1" w:rsidP="005A7BE1">
      <w:pPr>
        <w:spacing w:line="360" w:lineRule="auto"/>
        <w:jc w:val="both"/>
        <w:rPr>
          <w:b/>
          <w:bCs/>
          <w:color w:val="000000" w:themeColor="text1"/>
          <w:lang w:val="en-US"/>
        </w:rPr>
      </w:pPr>
      <w:r w:rsidRPr="008B7C8E">
        <w:rPr>
          <w:b/>
          <w:bCs/>
          <w:color w:val="000000" w:themeColor="text1"/>
          <w:lang w:val="en-US"/>
        </w:rPr>
        <w:t xml:space="preserve">Figure </w:t>
      </w:r>
      <w:r w:rsidR="000329BB" w:rsidRPr="008B7C8E">
        <w:rPr>
          <w:b/>
          <w:bCs/>
          <w:color w:val="000000" w:themeColor="text1"/>
          <w:lang w:val="en-US"/>
        </w:rPr>
        <w:t>2</w:t>
      </w:r>
      <w:r w:rsidRPr="008B7C8E">
        <w:rPr>
          <w:b/>
          <w:bCs/>
          <w:color w:val="000000" w:themeColor="text1"/>
          <w:lang w:val="en-US"/>
        </w:rPr>
        <w:t xml:space="preserve">. </w:t>
      </w:r>
      <w:r w:rsidRPr="008B7C8E">
        <w:rPr>
          <w:color w:val="000000" w:themeColor="text1"/>
          <w:lang w:val="en-US"/>
        </w:rPr>
        <w:t>Interrupted time-series with 1-month intervals. The ASAP</w:t>
      </w:r>
      <w:r w:rsidR="00A7437D" w:rsidRPr="008B7C8E">
        <w:rPr>
          <w:color w:val="000000" w:themeColor="text1"/>
          <w:lang w:val="en-US"/>
        </w:rPr>
        <w:t xml:space="preserve"> </w:t>
      </w:r>
      <w:r w:rsidR="00A7437D" w:rsidRPr="008B7C8E">
        <w:rPr>
          <w:rStyle w:val="Enfasigrassetto"/>
          <w:b w:val="0"/>
          <w:bCs w:val="0"/>
          <w:color w:val="000000" w:themeColor="text1"/>
          <w:lang w:val="en-US"/>
        </w:rPr>
        <w:t>bundle</w:t>
      </w:r>
      <w:r w:rsidRPr="008B7C8E">
        <w:rPr>
          <w:color w:val="000000" w:themeColor="text1"/>
          <w:lang w:val="en-US"/>
        </w:rPr>
        <w:t xml:space="preserve"> was implemented at the beginning of </w:t>
      </w:r>
      <w:r w:rsidR="00594C53" w:rsidRPr="008B7C8E">
        <w:rPr>
          <w:color w:val="000000" w:themeColor="text1"/>
          <w:lang w:val="en-US"/>
        </w:rPr>
        <w:t>37</w:t>
      </w:r>
      <w:r w:rsidRPr="008B7C8E">
        <w:rPr>
          <w:color w:val="000000" w:themeColor="text1"/>
          <w:vertAlign w:val="superscript"/>
          <w:lang w:val="en-US"/>
        </w:rPr>
        <w:t>th</w:t>
      </w:r>
      <w:r w:rsidRPr="008B7C8E">
        <w:rPr>
          <w:color w:val="000000" w:themeColor="text1"/>
          <w:lang w:val="en-US"/>
        </w:rPr>
        <w:t xml:space="preserve"> month. EPOCs: early postoperative complications during first 7-days after surgery. </w:t>
      </w:r>
      <w:r w:rsidR="001103FC" w:rsidRPr="008B7C8E">
        <w:rPr>
          <w:rStyle w:val="Enfasigrassetto"/>
          <w:b w:val="0"/>
          <w:bCs w:val="0"/>
          <w:color w:val="000000" w:themeColor="text1"/>
          <w:lang w:val="en-US"/>
        </w:rPr>
        <w:t xml:space="preserve">Monthly EPOC risk was modelled using segmented regression with 4-week intervals to estimate changes in level and trend before (pre-ASAP) and after (post-ASAP) implementation of the </w:t>
      </w:r>
      <w:r w:rsidR="00A7437D" w:rsidRPr="008B7C8E">
        <w:rPr>
          <w:rStyle w:val="Enfasigrassetto"/>
          <w:b w:val="0"/>
          <w:bCs w:val="0"/>
          <w:color w:val="000000" w:themeColor="text1"/>
          <w:lang w:val="en-US"/>
        </w:rPr>
        <w:t>bundle</w:t>
      </w:r>
      <w:r w:rsidR="001103FC" w:rsidRPr="008B7C8E">
        <w:rPr>
          <w:rStyle w:val="Enfasigrassetto"/>
          <w:b w:val="0"/>
          <w:bCs w:val="0"/>
          <w:color w:val="000000" w:themeColor="text1"/>
          <w:lang w:val="en-US"/>
        </w:rPr>
        <w:t>.</w:t>
      </w:r>
      <w:r w:rsidR="001103FC" w:rsidRPr="008B7C8E">
        <w:rPr>
          <w:rStyle w:val="Enfasigrassetto"/>
          <w:color w:val="000000" w:themeColor="text1"/>
        </w:rPr>
        <w:t xml:space="preserve"> </w:t>
      </w:r>
      <w:r w:rsidRPr="008B7C8E">
        <w:rPr>
          <w:color w:val="000000" w:themeColor="text1"/>
          <w:lang w:val="en-US"/>
        </w:rPr>
        <w:t>All EPOCs include Clavien-Dindo grade 1/2/3/4 complications</w:t>
      </w:r>
      <w:r w:rsidR="00010934" w:rsidRPr="008B7C8E">
        <w:rPr>
          <w:color w:val="000000" w:themeColor="text1"/>
          <w:lang w:val="en-US"/>
        </w:rPr>
        <w:t xml:space="preserve"> (</w:t>
      </w:r>
      <w:r w:rsidR="00010934" w:rsidRPr="008B7C8E">
        <w:rPr>
          <w:b/>
          <w:bCs/>
          <w:color w:val="000000" w:themeColor="text1"/>
          <w:lang w:val="en-US"/>
        </w:rPr>
        <w:t>2A</w:t>
      </w:r>
      <w:r w:rsidR="00010934" w:rsidRPr="008B7C8E">
        <w:rPr>
          <w:color w:val="000000" w:themeColor="text1"/>
          <w:lang w:val="en-US"/>
        </w:rPr>
        <w:t>)</w:t>
      </w:r>
      <w:r w:rsidRPr="008B7C8E">
        <w:rPr>
          <w:color w:val="000000" w:themeColor="text1"/>
          <w:lang w:val="en-US"/>
        </w:rPr>
        <w:t>, while major EPOCs include only grade 2/3/4</w:t>
      </w:r>
      <w:r w:rsidR="00010934" w:rsidRPr="008B7C8E">
        <w:rPr>
          <w:color w:val="000000" w:themeColor="text1"/>
          <w:lang w:val="en-US"/>
        </w:rPr>
        <w:t xml:space="preserve"> (</w:t>
      </w:r>
      <w:r w:rsidR="00010934" w:rsidRPr="008B7C8E">
        <w:rPr>
          <w:b/>
          <w:bCs/>
          <w:color w:val="000000" w:themeColor="text1"/>
          <w:lang w:val="en-US"/>
        </w:rPr>
        <w:t>2B</w:t>
      </w:r>
      <w:r w:rsidR="00010934" w:rsidRPr="008B7C8E">
        <w:rPr>
          <w:color w:val="000000" w:themeColor="text1"/>
          <w:lang w:val="en-US"/>
        </w:rPr>
        <w:t>)</w:t>
      </w:r>
      <w:r w:rsidRPr="008B7C8E">
        <w:rPr>
          <w:color w:val="000000" w:themeColor="text1"/>
          <w:lang w:val="en-US"/>
        </w:rPr>
        <w:t>.</w:t>
      </w:r>
      <w:r w:rsidR="001103FC" w:rsidRPr="008B7C8E">
        <w:rPr>
          <w:color w:val="000000" w:themeColor="text1"/>
          <w:lang w:val="en-US"/>
        </w:rPr>
        <w:t xml:space="preserve"> </w:t>
      </w:r>
      <w:r w:rsidR="001103FC" w:rsidRPr="008B7C8E">
        <w:rPr>
          <w:rStyle w:val="Enfasigrassetto"/>
          <w:b w:val="0"/>
          <w:bCs w:val="0"/>
          <w:color w:val="000000" w:themeColor="text1"/>
          <w:lang w:val="en-US"/>
        </w:rPr>
        <w:t>The vertical line indicates the time of ASAP implementation; the “step” at this point represents the immediate change in the mean monthly EPOC rate (level effect), whereas the difference in slopes of the fitted lines before and after this point reflects the change in trend over time (trend effect).</w:t>
      </w:r>
    </w:p>
    <w:p w14:paraId="25AE1428" w14:textId="77777777" w:rsidR="005A7BE1" w:rsidRPr="008B7C8E" w:rsidRDefault="005A7BE1" w:rsidP="005A7BE1">
      <w:pPr>
        <w:spacing w:line="360" w:lineRule="auto"/>
        <w:jc w:val="both"/>
        <w:rPr>
          <w:b/>
          <w:bCs/>
          <w:color w:val="000000" w:themeColor="text1"/>
          <w:lang w:val="en-US"/>
        </w:rPr>
      </w:pPr>
      <w:r w:rsidRPr="008B7C8E">
        <w:rPr>
          <w:color w:val="000000" w:themeColor="text1"/>
          <w:lang w:val="en-US"/>
        </w:rPr>
        <w:t xml:space="preserve">  </w:t>
      </w:r>
    </w:p>
    <w:p w14:paraId="224804B2" w14:textId="5CBDFAD3" w:rsidR="005A7BE1" w:rsidRPr="008B7C8E" w:rsidRDefault="005A7BE1" w:rsidP="005A7BE1">
      <w:pPr>
        <w:spacing w:line="360" w:lineRule="auto"/>
        <w:jc w:val="both"/>
        <w:rPr>
          <w:b/>
          <w:bCs/>
          <w:color w:val="000000" w:themeColor="text1"/>
          <w:lang w:val="en-US"/>
        </w:rPr>
      </w:pPr>
      <w:r w:rsidRPr="008B7C8E">
        <w:rPr>
          <w:b/>
          <w:bCs/>
          <w:color w:val="000000" w:themeColor="text1"/>
          <w:lang w:val="en-US"/>
        </w:rPr>
        <w:t xml:space="preserve">Figure </w:t>
      </w:r>
      <w:r w:rsidR="00332B84" w:rsidRPr="008B7C8E">
        <w:rPr>
          <w:b/>
          <w:bCs/>
          <w:color w:val="000000" w:themeColor="text1"/>
          <w:lang w:val="en-US"/>
        </w:rPr>
        <w:t>3</w:t>
      </w:r>
      <w:r w:rsidRPr="008B7C8E">
        <w:rPr>
          <w:b/>
          <w:bCs/>
          <w:color w:val="000000" w:themeColor="text1"/>
          <w:lang w:val="en-US"/>
        </w:rPr>
        <w:t xml:space="preserve">. </w:t>
      </w:r>
      <w:r w:rsidR="00C50BB0" w:rsidRPr="008B7C8E">
        <w:rPr>
          <w:color w:val="000000" w:themeColor="text1"/>
          <w:lang w:val="en-US"/>
        </w:rPr>
        <w:t>Kaplan</w:t>
      </w:r>
      <w:r w:rsidR="001B1205" w:rsidRPr="008B7C8E">
        <w:rPr>
          <w:color w:val="000000" w:themeColor="text1"/>
          <w:lang w:val="en-US"/>
        </w:rPr>
        <w:t>-</w:t>
      </w:r>
      <w:r w:rsidR="00C50BB0" w:rsidRPr="008B7C8E">
        <w:rPr>
          <w:color w:val="000000" w:themeColor="text1"/>
          <w:lang w:val="en-US"/>
        </w:rPr>
        <w:t xml:space="preserve">Meier </w:t>
      </w:r>
      <w:r w:rsidRPr="008B7C8E">
        <w:rPr>
          <w:color w:val="000000" w:themeColor="text1"/>
          <w:lang w:val="en-US"/>
        </w:rPr>
        <w:t xml:space="preserve">analysis to estimate patient’s cumulative risk of early postoperative complications (EPOC) during first 7-days. </w:t>
      </w:r>
      <w:r w:rsidR="001103FC" w:rsidRPr="008B7C8E">
        <w:rPr>
          <w:rStyle w:val="Enfasigrassetto"/>
          <w:b w:val="0"/>
          <w:bCs w:val="0"/>
          <w:color w:val="000000" w:themeColor="text1"/>
          <w:lang w:val="en-US"/>
        </w:rPr>
        <w:t>Curves compare pre-ASAP and post-ASAP cohorts and illustrate the cumulative incidence of complications over the first postoperative week.</w:t>
      </w:r>
      <w:r w:rsidR="001103FC" w:rsidRPr="008B7C8E">
        <w:rPr>
          <w:rStyle w:val="Enfasigrassetto"/>
          <w:color w:val="000000" w:themeColor="text1"/>
        </w:rPr>
        <w:t xml:space="preserve"> </w:t>
      </w:r>
      <w:r w:rsidRPr="008B7C8E">
        <w:rPr>
          <w:color w:val="000000" w:themeColor="text1"/>
          <w:lang w:val="en-US"/>
        </w:rPr>
        <w:t>All EPOCs include Clavien-Dindo grade 1/2/3/4 complications</w:t>
      </w:r>
      <w:r w:rsidR="00010934" w:rsidRPr="008B7C8E">
        <w:rPr>
          <w:color w:val="000000" w:themeColor="text1"/>
          <w:lang w:val="en-US"/>
        </w:rPr>
        <w:t xml:space="preserve"> (</w:t>
      </w:r>
      <w:r w:rsidR="00010934" w:rsidRPr="008B7C8E">
        <w:rPr>
          <w:b/>
          <w:bCs/>
          <w:color w:val="000000" w:themeColor="text1"/>
          <w:lang w:val="en-US"/>
        </w:rPr>
        <w:t>3A</w:t>
      </w:r>
      <w:r w:rsidR="00010934" w:rsidRPr="008B7C8E">
        <w:rPr>
          <w:color w:val="000000" w:themeColor="text1"/>
          <w:lang w:val="en-US"/>
        </w:rPr>
        <w:t>)</w:t>
      </w:r>
      <w:r w:rsidRPr="008B7C8E">
        <w:rPr>
          <w:color w:val="000000" w:themeColor="text1"/>
          <w:lang w:val="en-US"/>
        </w:rPr>
        <w:t>, while major EPOCs include only grade 2/3/4</w:t>
      </w:r>
      <w:r w:rsidR="00010934" w:rsidRPr="008B7C8E">
        <w:rPr>
          <w:color w:val="000000" w:themeColor="text1"/>
          <w:lang w:val="en-US"/>
        </w:rPr>
        <w:t xml:space="preserve"> (</w:t>
      </w:r>
      <w:r w:rsidR="00010934" w:rsidRPr="008B7C8E">
        <w:rPr>
          <w:b/>
          <w:bCs/>
          <w:color w:val="000000" w:themeColor="text1"/>
          <w:lang w:val="en-US"/>
        </w:rPr>
        <w:t>3B</w:t>
      </w:r>
      <w:r w:rsidR="00010934" w:rsidRPr="008B7C8E">
        <w:rPr>
          <w:color w:val="000000" w:themeColor="text1"/>
          <w:lang w:val="en-US"/>
        </w:rPr>
        <w:t>)</w:t>
      </w:r>
      <w:r w:rsidRPr="008B7C8E">
        <w:rPr>
          <w:color w:val="000000" w:themeColor="text1"/>
          <w:lang w:val="en-US"/>
        </w:rPr>
        <w:t>.</w:t>
      </w:r>
    </w:p>
    <w:p w14:paraId="3FE8E30D" w14:textId="77777777" w:rsidR="005A7BE1" w:rsidRPr="008B7C8E" w:rsidRDefault="005A7BE1" w:rsidP="005A7BE1">
      <w:pPr>
        <w:spacing w:line="360" w:lineRule="auto"/>
        <w:jc w:val="both"/>
        <w:rPr>
          <w:b/>
          <w:bCs/>
          <w:color w:val="000000" w:themeColor="text1"/>
          <w:lang w:val="en-US"/>
        </w:rPr>
      </w:pPr>
    </w:p>
    <w:p w14:paraId="33486E1C" w14:textId="76C7F863" w:rsidR="00332B84" w:rsidRPr="008B7C8E" w:rsidRDefault="005A7BE1" w:rsidP="005A7BE1">
      <w:pPr>
        <w:spacing w:line="360" w:lineRule="auto"/>
        <w:jc w:val="both"/>
        <w:rPr>
          <w:color w:val="000000" w:themeColor="text1"/>
          <w:lang w:val="en-US"/>
        </w:rPr>
      </w:pPr>
      <w:r w:rsidRPr="008B7C8E">
        <w:rPr>
          <w:b/>
          <w:bCs/>
          <w:color w:val="000000" w:themeColor="text1"/>
          <w:lang w:val="en-US"/>
        </w:rPr>
        <w:t xml:space="preserve">Figure </w:t>
      </w:r>
      <w:r w:rsidR="00332B84" w:rsidRPr="008B7C8E">
        <w:rPr>
          <w:b/>
          <w:bCs/>
          <w:color w:val="000000" w:themeColor="text1"/>
          <w:lang w:val="en-US"/>
        </w:rPr>
        <w:t>4</w:t>
      </w:r>
      <w:r w:rsidRPr="008B7C8E">
        <w:rPr>
          <w:b/>
          <w:bCs/>
          <w:color w:val="000000" w:themeColor="text1"/>
          <w:lang w:val="en-US"/>
        </w:rPr>
        <w:t xml:space="preserve">. </w:t>
      </w:r>
      <w:r w:rsidR="001103FC" w:rsidRPr="008B7C8E">
        <w:rPr>
          <w:color w:val="000000" w:themeColor="text1"/>
          <w:lang w:val="en-US"/>
        </w:rPr>
        <w:t>Dose–response analysis according to the number of ASAP components received (1–4),</w:t>
      </w:r>
      <w:r w:rsidRPr="008B7C8E">
        <w:rPr>
          <w:color w:val="000000" w:themeColor="text1"/>
          <w:lang w:val="en-US"/>
        </w:rPr>
        <w:t xml:space="preserve"> </w:t>
      </w:r>
      <w:r w:rsidR="001103FC" w:rsidRPr="008B7C8E">
        <w:rPr>
          <w:color w:val="000000" w:themeColor="text1"/>
          <w:lang w:val="en-US"/>
        </w:rPr>
        <w:t>analyzed</w:t>
      </w:r>
      <w:r w:rsidRPr="008B7C8E">
        <w:rPr>
          <w:color w:val="000000" w:themeColor="text1"/>
          <w:lang w:val="en-US"/>
        </w:rPr>
        <w:t xml:space="preserve"> using Cox proportional-hazard models for all (Clavien-Dindo grade 1/2/3/4</w:t>
      </w:r>
      <w:r w:rsidR="00010934" w:rsidRPr="008B7C8E">
        <w:rPr>
          <w:color w:val="000000" w:themeColor="text1"/>
          <w:lang w:val="en-US"/>
        </w:rPr>
        <w:t xml:space="preserve">, </w:t>
      </w:r>
      <w:r w:rsidR="00010934" w:rsidRPr="008B7C8E">
        <w:rPr>
          <w:b/>
          <w:bCs/>
          <w:color w:val="000000" w:themeColor="text1"/>
          <w:lang w:val="en-US"/>
        </w:rPr>
        <w:t>4A</w:t>
      </w:r>
      <w:r w:rsidRPr="008B7C8E">
        <w:rPr>
          <w:color w:val="000000" w:themeColor="text1"/>
          <w:lang w:val="en-US"/>
        </w:rPr>
        <w:t>) or only major (Clavien-Dindo grade 2/3/4</w:t>
      </w:r>
      <w:r w:rsidR="00010934" w:rsidRPr="008B7C8E">
        <w:rPr>
          <w:color w:val="000000" w:themeColor="text1"/>
          <w:lang w:val="en-US"/>
        </w:rPr>
        <w:t xml:space="preserve">, </w:t>
      </w:r>
      <w:r w:rsidR="00010934" w:rsidRPr="008B7C8E">
        <w:rPr>
          <w:b/>
          <w:bCs/>
          <w:color w:val="000000" w:themeColor="text1"/>
          <w:lang w:val="en-US"/>
        </w:rPr>
        <w:t>4B</w:t>
      </w:r>
      <w:r w:rsidRPr="008B7C8E">
        <w:rPr>
          <w:color w:val="000000" w:themeColor="text1"/>
          <w:lang w:val="en-US"/>
        </w:rPr>
        <w:t xml:space="preserve">) early postoperative complications (EPOC) during first 7-days after surgery. </w:t>
      </w:r>
    </w:p>
    <w:p w14:paraId="42F64E7C" w14:textId="77777777" w:rsidR="00332B84" w:rsidRPr="008B7C8E" w:rsidRDefault="00332B84" w:rsidP="005A7BE1">
      <w:pPr>
        <w:spacing w:line="360" w:lineRule="auto"/>
        <w:jc w:val="both"/>
        <w:rPr>
          <w:color w:val="000000" w:themeColor="text1"/>
          <w:lang w:val="en-US"/>
        </w:rPr>
      </w:pPr>
    </w:p>
    <w:p w14:paraId="645B4103" w14:textId="126C95B8" w:rsidR="005A7BE1" w:rsidRPr="008B7C8E" w:rsidRDefault="00332B84" w:rsidP="005A7BE1">
      <w:pPr>
        <w:spacing w:line="360" w:lineRule="auto"/>
        <w:jc w:val="both"/>
        <w:rPr>
          <w:color w:val="000000" w:themeColor="text1"/>
          <w:lang w:val="en-US"/>
        </w:rPr>
      </w:pPr>
      <w:r w:rsidRPr="008B7C8E">
        <w:rPr>
          <w:b/>
          <w:bCs/>
          <w:color w:val="000000" w:themeColor="text1"/>
          <w:lang w:val="en-US"/>
        </w:rPr>
        <w:t xml:space="preserve">Figure 5. </w:t>
      </w:r>
      <w:r w:rsidR="005A7BE1" w:rsidRPr="008B7C8E">
        <w:rPr>
          <w:color w:val="000000" w:themeColor="text1"/>
          <w:lang w:val="en-US"/>
        </w:rPr>
        <w:t xml:space="preserve">Qualitative analysis performed </w:t>
      </w:r>
      <w:r w:rsidRPr="008B7C8E">
        <w:rPr>
          <w:color w:val="000000" w:themeColor="text1"/>
          <w:lang w:val="en-US"/>
        </w:rPr>
        <w:t>regarding</w:t>
      </w:r>
      <w:r w:rsidR="005A7BE1" w:rsidRPr="008B7C8E">
        <w:rPr>
          <w:color w:val="000000" w:themeColor="text1"/>
          <w:lang w:val="en-US"/>
        </w:rPr>
        <w:t xml:space="preserve"> single ASAP items</w:t>
      </w:r>
      <w:r w:rsidR="0055655E" w:rsidRPr="008B7C8E">
        <w:rPr>
          <w:color w:val="000000" w:themeColor="text1"/>
          <w:lang w:val="en-US"/>
        </w:rPr>
        <w:t xml:space="preserve">, analysed using Cox proportional-hazard models for all (Clavien-Dindo grade 1/2/3/4, </w:t>
      </w:r>
      <w:r w:rsidR="0055655E" w:rsidRPr="008B7C8E">
        <w:rPr>
          <w:b/>
          <w:bCs/>
          <w:color w:val="000000" w:themeColor="text1"/>
          <w:lang w:val="en-US"/>
        </w:rPr>
        <w:t>5A</w:t>
      </w:r>
      <w:r w:rsidR="0055655E" w:rsidRPr="008B7C8E">
        <w:rPr>
          <w:color w:val="000000" w:themeColor="text1"/>
          <w:lang w:val="en-US"/>
        </w:rPr>
        <w:t>) or only major (Clavien-</w:t>
      </w:r>
      <w:r w:rsidR="0055655E" w:rsidRPr="008B7C8E">
        <w:rPr>
          <w:color w:val="000000" w:themeColor="text1"/>
          <w:lang w:val="en-US"/>
        </w:rPr>
        <w:lastRenderedPageBreak/>
        <w:t xml:space="preserve">Dindo grade 2/3/4, </w:t>
      </w:r>
      <w:r w:rsidR="0055655E" w:rsidRPr="008B7C8E">
        <w:rPr>
          <w:b/>
          <w:bCs/>
          <w:color w:val="000000" w:themeColor="text1"/>
          <w:lang w:val="en-US"/>
        </w:rPr>
        <w:t>5B</w:t>
      </w:r>
      <w:r w:rsidR="0055655E" w:rsidRPr="008B7C8E">
        <w:rPr>
          <w:color w:val="000000" w:themeColor="text1"/>
          <w:lang w:val="en-US"/>
        </w:rPr>
        <w:t>) early postoperative complications (EPOC) during first 7-days after surgery</w:t>
      </w:r>
      <w:r w:rsidR="005A7BE1" w:rsidRPr="008B7C8E">
        <w:rPr>
          <w:color w:val="000000" w:themeColor="text1"/>
          <w:lang w:val="en-US"/>
        </w:rPr>
        <w:t xml:space="preserve">. </w:t>
      </w:r>
      <w:r w:rsidR="001103FC" w:rsidRPr="008B7C8E">
        <w:rPr>
          <w:rStyle w:val="Enfasigrassetto"/>
          <w:b w:val="0"/>
          <w:bCs w:val="0"/>
          <w:color w:val="000000" w:themeColor="text1"/>
          <w:lang w:val="en-US"/>
        </w:rPr>
        <w:t>This figure illustrates the individual association of each ASAP component with complication risk.</w:t>
      </w:r>
      <w:r w:rsidR="001103FC" w:rsidRPr="008B7C8E">
        <w:rPr>
          <w:color w:val="000000" w:themeColor="text1"/>
          <w:lang w:val="en-US"/>
        </w:rPr>
        <w:t xml:space="preserve"> </w:t>
      </w:r>
      <w:r w:rsidRPr="008B7C8E">
        <w:rPr>
          <w:color w:val="000000" w:themeColor="text1"/>
          <w:lang w:val="en-US"/>
        </w:rPr>
        <w:t xml:space="preserve">Time to </w:t>
      </w:r>
      <w:r w:rsidR="005A7BE1" w:rsidRPr="008B7C8E">
        <w:rPr>
          <w:color w:val="000000" w:themeColor="text1"/>
          <w:lang w:val="en-US"/>
        </w:rPr>
        <w:t>surgery</w:t>
      </w:r>
      <w:r w:rsidRPr="008B7C8E">
        <w:rPr>
          <w:color w:val="000000" w:themeColor="text1"/>
          <w:lang w:val="en-US"/>
        </w:rPr>
        <w:t>: delay</w:t>
      </w:r>
      <w:r w:rsidR="005A7BE1" w:rsidRPr="008B7C8E">
        <w:rPr>
          <w:color w:val="000000" w:themeColor="text1"/>
          <w:lang w:val="en-US"/>
        </w:rPr>
        <w:t xml:space="preserve"> less than 12 hours. </w:t>
      </w:r>
      <w:r w:rsidRPr="008B7C8E">
        <w:rPr>
          <w:color w:val="000000" w:themeColor="text1"/>
          <w:lang w:val="en-US"/>
        </w:rPr>
        <w:t>SFIB</w:t>
      </w:r>
      <w:r w:rsidR="005A7BE1" w:rsidRPr="008B7C8E">
        <w:rPr>
          <w:color w:val="000000" w:themeColor="text1"/>
          <w:lang w:val="en-US"/>
        </w:rPr>
        <w:t xml:space="preserve">: supra-inguinal fascia iliaca block. </w:t>
      </w:r>
      <w:r w:rsidRPr="008B7C8E">
        <w:rPr>
          <w:color w:val="000000" w:themeColor="text1"/>
          <w:lang w:val="en-US"/>
        </w:rPr>
        <w:t>Therapeutic adaptation</w:t>
      </w:r>
      <w:r w:rsidR="005A7BE1" w:rsidRPr="008B7C8E">
        <w:rPr>
          <w:color w:val="000000" w:themeColor="text1"/>
          <w:lang w:val="en-US"/>
        </w:rPr>
        <w:t xml:space="preserve">: adaptation of the patient’s chronic therapy. </w:t>
      </w:r>
      <w:r w:rsidRPr="008B7C8E">
        <w:rPr>
          <w:color w:val="000000" w:themeColor="text1"/>
          <w:lang w:val="en-US"/>
        </w:rPr>
        <w:t>Ortho-geriatric advice</w:t>
      </w:r>
      <w:r w:rsidR="005A7BE1" w:rsidRPr="008B7C8E">
        <w:rPr>
          <w:color w:val="000000" w:themeColor="text1"/>
          <w:lang w:val="en-US"/>
        </w:rPr>
        <w:t xml:space="preserve">: orthogeriatric </w:t>
      </w:r>
      <w:r w:rsidRPr="008B7C8E">
        <w:rPr>
          <w:color w:val="000000" w:themeColor="text1"/>
          <w:lang w:val="en-US"/>
        </w:rPr>
        <w:t>consultation</w:t>
      </w:r>
      <w:r w:rsidR="005A7BE1" w:rsidRPr="008B7C8E">
        <w:rPr>
          <w:color w:val="000000" w:themeColor="text1"/>
          <w:lang w:val="en-US"/>
        </w:rPr>
        <w:t xml:space="preserve"> during first 48 hours in the hospital.</w:t>
      </w:r>
    </w:p>
    <w:p w14:paraId="1BDA0162" w14:textId="77777777" w:rsidR="005A7BE1" w:rsidRPr="008B7C8E" w:rsidRDefault="005A7BE1" w:rsidP="005A7BE1">
      <w:pPr>
        <w:spacing w:line="360" w:lineRule="auto"/>
        <w:jc w:val="both"/>
        <w:rPr>
          <w:color w:val="000000" w:themeColor="text1"/>
          <w:lang w:val="en-US"/>
        </w:rPr>
      </w:pPr>
    </w:p>
    <w:p w14:paraId="1573D8A8" w14:textId="77777777" w:rsidR="005A7BE1" w:rsidRPr="008B7C8E" w:rsidRDefault="005A7BE1" w:rsidP="005A7BE1">
      <w:pPr>
        <w:spacing w:line="360" w:lineRule="auto"/>
        <w:jc w:val="both"/>
        <w:rPr>
          <w:color w:val="000000" w:themeColor="text1"/>
          <w:lang w:val="en-US"/>
        </w:rPr>
      </w:pPr>
    </w:p>
    <w:p w14:paraId="1E62B902" w14:textId="76C5CFB5" w:rsidR="00344A3E" w:rsidRPr="008B7C8E" w:rsidRDefault="00344A3E" w:rsidP="00C50BB0">
      <w:pPr>
        <w:spacing w:line="360" w:lineRule="auto"/>
        <w:jc w:val="both"/>
        <w:rPr>
          <w:color w:val="000000" w:themeColor="text1"/>
          <w:lang w:val="en-US"/>
        </w:rPr>
      </w:pPr>
    </w:p>
    <w:sectPr w:rsidR="00344A3E" w:rsidRPr="008B7C8E" w:rsidSect="00344A3E">
      <w:footerReference w:type="default" r:id="rId10"/>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0386" w14:textId="77777777" w:rsidR="003B7733" w:rsidRDefault="003B7733">
      <w:r>
        <w:separator/>
      </w:r>
    </w:p>
  </w:endnote>
  <w:endnote w:type="continuationSeparator" w:id="0">
    <w:p w14:paraId="7363497C" w14:textId="77777777" w:rsidR="003B7733" w:rsidRDefault="003B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32C1" w14:textId="77777777" w:rsidR="00833A2D" w:rsidRDefault="001F256C">
    <w:pPr>
      <w:pStyle w:val="Pidipagina"/>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726C" w14:textId="77777777" w:rsidR="003B7733" w:rsidRDefault="003B7733">
      <w:r>
        <w:separator/>
      </w:r>
    </w:p>
  </w:footnote>
  <w:footnote w:type="continuationSeparator" w:id="0">
    <w:p w14:paraId="3834CFD6" w14:textId="77777777" w:rsidR="003B7733" w:rsidRDefault="003B7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401B"/>
    <w:multiLevelType w:val="multilevel"/>
    <w:tmpl w:val="FEBC2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FA202C"/>
    <w:multiLevelType w:val="hybridMultilevel"/>
    <w:tmpl w:val="007CD4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BE575C"/>
    <w:multiLevelType w:val="hybridMultilevel"/>
    <w:tmpl w:val="F9F271B0"/>
    <w:lvl w:ilvl="0" w:tplc="11C4F7B8">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0871B3E"/>
    <w:multiLevelType w:val="hybridMultilevel"/>
    <w:tmpl w:val="3AC040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82E72CC"/>
    <w:multiLevelType w:val="multilevel"/>
    <w:tmpl w:val="84A2A2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E31139A"/>
    <w:multiLevelType w:val="hybridMultilevel"/>
    <w:tmpl w:val="EE9EC812"/>
    <w:lvl w:ilvl="0" w:tplc="BE0A030A">
      <w:start w:val="3"/>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E56B9C"/>
    <w:multiLevelType w:val="hybridMultilevel"/>
    <w:tmpl w:val="18B8C9F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40B35DB9"/>
    <w:multiLevelType w:val="hybridMultilevel"/>
    <w:tmpl w:val="8990D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CF662F"/>
    <w:multiLevelType w:val="hybridMultilevel"/>
    <w:tmpl w:val="D59C83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0CA0AE1"/>
    <w:multiLevelType w:val="multilevel"/>
    <w:tmpl w:val="F506A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244EFF"/>
    <w:multiLevelType w:val="hybridMultilevel"/>
    <w:tmpl w:val="97647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D66635"/>
    <w:multiLevelType w:val="hybridMultilevel"/>
    <w:tmpl w:val="79B80FCC"/>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2" w15:restartNumberingAfterBreak="0">
    <w:nsid w:val="6D9F4065"/>
    <w:multiLevelType w:val="hybridMultilevel"/>
    <w:tmpl w:val="797C25BC"/>
    <w:lvl w:ilvl="0" w:tplc="E6366788">
      <w:start w:val="1"/>
      <w:numFmt w:val="decimal"/>
      <w:lvlText w:val="%1."/>
      <w:lvlJc w:val="left"/>
      <w:pPr>
        <w:ind w:left="643" w:hanging="360"/>
      </w:pPr>
      <w:rPr>
        <w:rFonts w:ascii="Times New Roman" w:hAnsi="Times New Roman" w:cs="Times New Roman" w:hint="default"/>
        <w:b w:val="0"/>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7F885F1C"/>
    <w:multiLevelType w:val="hybridMultilevel"/>
    <w:tmpl w:val="0016A7E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831067262">
    <w:abstractNumId w:val="3"/>
  </w:num>
  <w:num w:numId="2" w16cid:durableId="688533951">
    <w:abstractNumId w:val="12"/>
  </w:num>
  <w:num w:numId="3" w16cid:durableId="980496998">
    <w:abstractNumId w:val="9"/>
  </w:num>
  <w:num w:numId="4" w16cid:durableId="375079967">
    <w:abstractNumId w:val="4"/>
  </w:num>
  <w:num w:numId="5" w16cid:durableId="1451825725">
    <w:abstractNumId w:val="0"/>
  </w:num>
  <w:num w:numId="6" w16cid:durableId="843979378">
    <w:abstractNumId w:val="8"/>
  </w:num>
  <w:num w:numId="7" w16cid:durableId="7602381">
    <w:abstractNumId w:val="10"/>
  </w:num>
  <w:num w:numId="8" w16cid:durableId="1833132234">
    <w:abstractNumId w:val="13"/>
  </w:num>
  <w:num w:numId="9" w16cid:durableId="644047985">
    <w:abstractNumId w:val="1"/>
  </w:num>
  <w:num w:numId="10" w16cid:durableId="1868518041">
    <w:abstractNumId w:val="2"/>
  </w:num>
  <w:num w:numId="11" w16cid:durableId="1565991275">
    <w:abstractNumId w:val="11"/>
  </w:num>
  <w:num w:numId="12" w16cid:durableId="1248686866">
    <w:abstractNumId w:val="7"/>
  </w:num>
  <w:num w:numId="13" w16cid:durableId="1854176246">
    <w:abstractNumId w:val="5"/>
  </w:num>
  <w:num w:numId="14" w16cid:durableId="1238789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A0"/>
    <w:rsid w:val="000011C1"/>
    <w:rsid w:val="00001265"/>
    <w:rsid w:val="00006B91"/>
    <w:rsid w:val="00010934"/>
    <w:rsid w:val="000127E1"/>
    <w:rsid w:val="000329BB"/>
    <w:rsid w:val="00033A11"/>
    <w:rsid w:val="00033F09"/>
    <w:rsid w:val="0008079E"/>
    <w:rsid w:val="000A6C86"/>
    <w:rsid w:val="000C21E1"/>
    <w:rsid w:val="000D32F2"/>
    <w:rsid w:val="000D58CF"/>
    <w:rsid w:val="000F2F81"/>
    <w:rsid w:val="000F42B3"/>
    <w:rsid w:val="00102C68"/>
    <w:rsid w:val="001103FC"/>
    <w:rsid w:val="00112943"/>
    <w:rsid w:val="00124C5E"/>
    <w:rsid w:val="00124E0D"/>
    <w:rsid w:val="00127583"/>
    <w:rsid w:val="00134A63"/>
    <w:rsid w:val="00136050"/>
    <w:rsid w:val="001446C1"/>
    <w:rsid w:val="00147A22"/>
    <w:rsid w:val="00153433"/>
    <w:rsid w:val="00166387"/>
    <w:rsid w:val="00190D4E"/>
    <w:rsid w:val="00195C84"/>
    <w:rsid w:val="001A1D9D"/>
    <w:rsid w:val="001A4A56"/>
    <w:rsid w:val="001B1205"/>
    <w:rsid w:val="001B6885"/>
    <w:rsid w:val="001C21F9"/>
    <w:rsid w:val="001D2DC6"/>
    <w:rsid w:val="001E3541"/>
    <w:rsid w:val="001F256C"/>
    <w:rsid w:val="001F589C"/>
    <w:rsid w:val="00211723"/>
    <w:rsid w:val="00230833"/>
    <w:rsid w:val="00231DB3"/>
    <w:rsid w:val="00244877"/>
    <w:rsid w:val="00262A73"/>
    <w:rsid w:val="00286FFC"/>
    <w:rsid w:val="002A19C9"/>
    <w:rsid w:val="002A6D23"/>
    <w:rsid w:val="002B082F"/>
    <w:rsid w:val="002C6E2A"/>
    <w:rsid w:val="002D06A0"/>
    <w:rsid w:val="002E310A"/>
    <w:rsid w:val="002F0ECD"/>
    <w:rsid w:val="002F18B1"/>
    <w:rsid w:val="0031082E"/>
    <w:rsid w:val="00310CAD"/>
    <w:rsid w:val="00321059"/>
    <w:rsid w:val="00326261"/>
    <w:rsid w:val="00331379"/>
    <w:rsid w:val="00332B84"/>
    <w:rsid w:val="00335216"/>
    <w:rsid w:val="00337CF8"/>
    <w:rsid w:val="00344A3E"/>
    <w:rsid w:val="003462CD"/>
    <w:rsid w:val="00356D49"/>
    <w:rsid w:val="00360AB9"/>
    <w:rsid w:val="00362634"/>
    <w:rsid w:val="00370FF5"/>
    <w:rsid w:val="003818A9"/>
    <w:rsid w:val="00382D59"/>
    <w:rsid w:val="00383C1B"/>
    <w:rsid w:val="00393795"/>
    <w:rsid w:val="00397061"/>
    <w:rsid w:val="003A1039"/>
    <w:rsid w:val="003A2BED"/>
    <w:rsid w:val="003A3CBF"/>
    <w:rsid w:val="003B60EC"/>
    <w:rsid w:val="003B7733"/>
    <w:rsid w:val="003C29B2"/>
    <w:rsid w:val="003D6AF3"/>
    <w:rsid w:val="003E412E"/>
    <w:rsid w:val="00400086"/>
    <w:rsid w:val="004103D0"/>
    <w:rsid w:val="00410E7E"/>
    <w:rsid w:val="0041288A"/>
    <w:rsid w:val="004220DA"/>
    <w:rsid w:val="00424D43"/>
    <w:rsid w:val="00434E7A"/>
    <w:rsid w:val="004512AC"/>
    <w:rsid w:val="00452BF3"/>
    <w:rsid w:val="00457746"/>
    <w:rsid w:val="00460CE0"/>
    <w:rsid w:val="0047445E"/>
    <w:rsid w:val="00487E93"/>
    <w:rsid w:val="00494F65"/>
    <w:rsid w:val="004B1063"/>
    <w:rsid w:val="004C0E14"/>
    <w:rsid w:val="004C6C94"/>
    <w:rsid w:val="004D450F"/>
    <w:rsid w:val="004D4C35"/>
    <w:rsid w:val="004D5494"/>
    <w:rsid w:val="004F5CED"/>
    <w:rsid w:val="005141E9"/>
    <w:rsid w:val="005210C2"/>
    <w:rsid w:val="00521851"/>
    <w:rsid w:val="0052560B"/>
    <w:rsid w:val="0054576E"/>
    <w:rsid w:val="005475B0"/>
    <w:rsid w:val="00553115"/>
    <w:rsid w:val="0055655E"/>
    <w:rsid w:val="005602CB"/>
    <w:rsid w:val="00570855"/>
    <w:rsid w:val="00576D0C"/>
    <w:rsid w:val="00580A15"/>
    <w:rsid w:val="00585B05"/>
    <w:rsid w:val="0058640C"/>
    <w:rsid w:val="00586B81"/>
    <w:rsid w:val="00594884"/>
    <w:rsid w:val="00594C53"/>
    <w:rsid w:val="005971FC"/>
    <w:rsid w:val="005A0B00"/>
    <w:rsid w:val="005A7BE1"/>
    <w:rsid w:val="005C302F"/>
    <w:rsid w:val="005C4BA3"/>
    <w:rsid w:val="005C5ED3"/>
    <w:rsid w:val="005D014A"/>
    <w:rsid w:val="005E5304"/>
    <w:rsid w:val="005E6FD5"/>
    <w:rsid w:val="005F5905"/>
    <w:rsid w:val="00613C95"/>
    <w:rsid w:val="00614864"/>
    <w:rsid w:val="00616821"/>
    <w:rsid w:val="00616BD0"/>
    <w:rsid w:val="006243FB"/>
    <w:rsid w:val="00627667"/>
    <w:rsid w:val="0063607B"/>
    <w:rsid w:val="00642669"/>
    <w:rsid w:val="0064277B"/>
    <w:rsid w:val="006550DB"/>
    <w:rsid w:val="006569A8"/>
    <w:rsid w:val="006639E7"/>
    <w:rsid w:val="006730D7"/>
    <w:rsid w:val="006760A4"/>
    <w:rsid w:val="00682D07"/>
    <w:rsid w:val="006840C9"/>
    <w:rsid w:val="00685A29"/>
    <w:rsid w:val="00685CB4"/>
    <w:rsid w:val="00690520"/>
    <w:rsid w:val="00692C48"/>
    <w:rsid w:val="006A37E3"/>
    <w:rsid w:val="006B0F15"/>
    <w:rsid w:val="006B6856"/>
    <w:rsid w:val="006C10ED"/>
    <w:rsid w:val="006C3F45"/>
    <w:rsid w:val="006C642B"/>
    <w:rsid w:val="006C77B6"/>
    <w:rsid w:val="006D4670"/>
    <w:rsid w:val="006E06EF"/>
    <w:rsid w:val="006F1BE1"/>
    <w:rsid w:val="006F706A"/>
    <w:rsid w:val="00701681"/>
    <w:rsid w:val="007049EE"/>
    <w:rsid w:val="0071431A"/>
    <w:rsid w:val="007161E6"/>
    <w:rsid w:val="00730D59"/>
    <w:rsid w:val="00730EA9"/>
    <w:rsid w:val="00732991"/>
    <w:rsid w:val="00741F96"/>
    <w:rsid w:val="00745182"/>
    <w:rsid w:val="00754D84"/>
    <w:rsid w:val="00760F4D"/>
    <w:rsid w:val="007647F0"/>
    <w:rsid w:val="007A2C5E"/>
    <w:rsid w:val="007A79E7"/>
    <w:rsid w:val="007B2191"/>
    <w:rsid w:val="007C0F5C"/>
    <w:rsid w:val="007C2302"/>
    <w:rsid w:val="007D0FCC"/>
    <w:rsid w:val="007E29B0"/>
    <w:rsid w:val="007E52D3"/>
    <w:rsid w:val="008010BC"/>
    <w:rsid w:val="00801386"/>
    <w:rsid w:val="008045A9"/>
    <w:rsid w:val="008101B8"/>
    <w:rsid w:val="00814099"/>
    <w:rsid w:val="00821D8E"/>
    <w:rsid w:val="00833A2D"/>
    <w:rsid w:val="0083477F"/>
    <w:rsid w:val="00835A3C"/>
    <w:rsid w:val="0084016D"/>
    <w:rsid w:val="00852382"/>
    <w:rsid w:val="00852F8B"/>
    <w:rsid w:val="0085684C"/>
    <w:rsid w:val="00860B6D"/>
    <w:rsid w:val="0086161F"/>
    <w:rsid w:val="008717CE"/>
    <w:rsid w:val="008746ED"/>
    <w:rsid w:val="00874DD2"/>
    <w:rsid w:val="00877E0E"/>
    <w:rsid w:val="008811D1"/>
    <w:rsid w:val="00894CBF"/>
    <w:rsid w:val="008B7C8E"/>
    <w:rsid w:val="008D148F"/>
    <w:rsid w:val="008D6A62"/>
    <w:rsid w:val="008D7B20"/>
    <w:rsid w:val="008E2BA9"/>
    <w:rsid w:val="008F0193"/>
    <w:rsid w:val="008F16CE"/>
    <w:rsid w:val="008F2FB2"/>
    <w:rsid w:val="008F537E"/>
    <w:rsid w:val="00903378"/>
    <w:rsid w:val="00910A00"/>
    <w:rsid w:val="009117B4"/>
    <w:rsid w:val="00913013"/>
    <w:rsid w:val="0091505F"/>
    <w:rsid w:val="00920054"/>
    <w:rsid w:val="00921006"/>
    <w:rsid w:val="0093597F"/>
    <w:rsid w:val="00941353"/>
    <w:rsid w:val="00944BA2"/>
    <w:rsid w:val="009475D3"/>
    <w:rsid w:val="00956F71"/>
    <w:rsid w:val="00972EB5"/>
    <w:rsid w:val="00977649"/>
    <w:rsid w:val="00986F1A"/>
    <w:rsid w:val="009A4F74"/>
    <w:rsid w:val="009B1DE0"/>
    <w:rsid w:val="009B3235"/>
    <w:rsid w:val="009B3EB5"/>
    <w:rsid w:val="009C013D"/>
    <w:rsid w:val="009C1F72"/>
    <w:rsid w:val="009C3FB5"/>
    <w:rsid w:val="009C58EE"/>
    <w:rsid w:val="009D2068"/>
    <w:rsid w:val="009E2EDC"/>
    <w:rsid w:val="009E6DEF"/>
    <w:rsid w:val="009F0148"/>
    <w:rsid w:val="009F6FD5"/>
    <w:rsid w:val="00A022A7"/>
    <w:rsid w:val="00A03A85"/>
    <w:rsid w:val="00A04A0C"/>
    <w:rsid w:val="00A10D41"/>
    <w:rsid w:val="00A3302B"/>
    <w:rsid w:val="00A37389"/>
    <w:rsid w:val="00A41C68"/>
    <w:rsid w:val="00A50606"/>
    <w:rsid w:val="00A533D4"/>
    <w:rsid w:val="00A57209"/>
    <w:rsid w:val="00A62959"/>
    <w:rsid w:val="00A6436F"/>
    <w:rsid w:val="00A7437D"/>
    <w:rsid w:val="00AA06E9"/>
    <w:rsid w:val="00AA2184"/>
    <w:rsid w:val="00AA2197"/>
    <w:rsid w:val="00AA326F"/>
    <w:rsid w:val="00AB7FD9"/>
    <w:rsid w:val="00AD26B7"/>
    <w:rsid w:val="00AD77FB"/>
    <w:rsid w:val="00AD7D58"/>
    <w:rsid w:val="00AE6E10"/>
    <w:rsid w:val="00AF1E6D"/>
    <w:rsid w:val="00AF45DE"/>
    <w:rsid w:val="00B01B36"/>
    <w:rsid w:val="00B0225F"/>
    <w:rsid w:val="00B0775A"/>
    <w:rsid w:val="00B152AB"/>
    <w:rsid w:val="00B17CE0"/>
    <w:rsid w:val="00B260CF"/>
    <w:rsid w:val="00B372C2"/>
    <w:rsid w:val="00B4033B"/>
    <w:rsid w:val="00B50D5C"/>
    <w:rsid w:val="00B566D8"/>
    <w:rsid w:val="00B80D6C"/>
    <w:rsid w:val="00B8478E"/>
    <w:rsid w:val="00B85A53"/>
    <w:rsid w:val="00B861B1"/>
    <w:rsid w:val="00B9524C"/>
    <w:rsid w:val="00B97283"/>
    <w:rsid w:val="00BB61F5"/>
    <w:rsid w:val="00BC5A06"/>
    <w:rsid w:val="00BD306A"/>
    <w:rsid w:val="00BD69A7"/>
    <w:rsid w:val="00BE1A51"/>
    <w:rsid w:val="00BE7A8A"/>
    <w:rsid w:val="00BF399B"/>
    <w:rsid w:val="00BF5CCF"/>
    <w:rsid w:val="00BF6140"/>
    <w:rsid w:val="00C008EB"/>
    <w:rsid w:val="00C06F43"/>
    <w:rsid w:val="00C11C65"/>
    <w:rsid w:val="00C11FB4"/>
    <w:rsid w:val="00C3015B"/>
    <w:rsid w:val="00C45676"/>
    <w:rsid w:val="00C5085A"/>
    <w:rsid w:val="00C50BB0"/>
    <w:rsid w:val="00C545D0"/>
    <w:rsid w:val="00C56C08"/>
    <w:rsid w:val="00C6506F"/>
    <w:rsid w:val="00C76695"/>
    <w:rsid w:val="00CA4D13"/>
    <w:rsid w:val="00CA530D"/>
    <w:rsid w:val="00CA58A7"/>
    <w:rsid w:val="00CA6E3D"/>
    <w:rsid w:val="00CD1D3A"/>
    <w:rsid w:val="00CE27D0"/>
    <w:rsid w:val="00CE6A1E"/>
    <w:rsid w:val="00D0206E"/>
    <w:rsid w:val="00D11C29"/>
    <w:rsid w:val="00D17269"/>
    <w:rsid w:val="00D21A43"/>
    <w:rsid w:val="00D24CEF"/>
    <w:rsid w:val="00D3054E"/>
    <w:rsid w:val="00D400E1"/>
    <w:rsid w:val="00D41495"/>
    <w:rsid w:val="00D43EDA"/>
    <w:rsid w:val="00D54817"/>
    <w:rsid w:val="00D70742"/>
    <w:rsid w:val="00D727BF"/>
    <w:rsid w:val="00D84EA8"/>
    <w:rsid w:val="00D908CB"/>
    <w:rsid w:val="00D94BF1"/>
    <w:rsid w:val="00DA0A3D"/>
    <w:rsid w:val="00DA6359"/>
    <w:rsid w:val="00DA6CBD"/>
    <w:rsid w:val="00DC0214"/>
    <w:rsid w:val="00DC415E"/>
    <w:rsid w:val="00DC7AD9"/>
    <w:rsid w:val="00DD336B"/>
    <w:rsid w:val="00DD76E8"/>
    <w:rsid w:val="00DE078F"/>
    <w:rsid w:val="00DE46FA"/>
    <w:rsid w:val="00DE5BFF"/>
    <w:rsid w:val="00E0658D"/>
    <w:rsid w:val="00E069B6"/>
    <w:rsid w:val="00E13F6A"/>
    <w:rsid w:val="00E25C88"/>
    <w:rsid w:val="00E301D9"/>
    <w:rsid w:val="00E31357"/>
    <w:rsid w:val="00E40107"/>
    <w:rsid w:val="00E40E0D"/>
    <w:rsid w:val="00E41729"/>
    <w:rsid w:val="00E5157A"/>
    <w:rsid w:val="00E54707"/>
    <w:rsid w:val="00E667B8"/>
    <w:rsid w:val="00E734B8"/>
    <w:rsid w:val="00E76CA1"/>
    <w:rsid w:val="00E8450D"/>
    <w:rsid w:val="00E87139"/>
    <w:rsid w:val="00EA1A30"/>
    <w:rsid w:val="00EA2FE6"/>
    <w:rsid w:val="00EC0713"/>
    <w:rsid w:val="00EC498F"/>
    <w:rsid w:val="00EC6A1F"/>
    <w:rsid w:val="00ED6883"/>
    <w:rsid w:val="00EE2ECC"/>
    <w:rsid w:val="00EF5B0F"/>
    <w:rsid w:val="00F04882"/>
    <w:rsid w:val="00F15DD1"/>
    <w:rsid w:val="00F22462"/>
    <w:rsid w:val="00F300D5"/>
    <w:rsid w:val="00F30C5D"/>
    <w:rsid w:val="00F35673"/>
    <w:rsid w:val="00F51B31"/>
    <w:rsid w:val="00F5360F"/>
    <w:rsid w:val="00F563F0"/>
    <w:rsid w:val="00F57BDB"/>
    <w:rsid w:val="00F66DCF"/>
    <w:rsid w:val="00F7180C"/>
    <w:rsid w:val="00F85EAA"/>
    <w:rsid w:val="00F9089D"/>
    <w:rsid w:val="00F92C79"/>
    <w:rsid w:val="00FA1184"/>
    <w:rsid w:val="00FA78B2"/>
    <w:rsid w:val="00FB3651"/>
    <w:rsid w:val="00FB7F46"/>
    <w:rsid w:val="00FE0BC3"/>
    <w:rsid w:val="00FE4888"/>
    <w:rsid w:val="00FE4E04"/>
  </w:rsids>
  <m:mathPr>
    <m:mathFont m:val="Cambria Math"/>
    <m:brkBin m:val="before"/>
    <m:brkBinSub m:val="--"/>
    <m:smallFrac m:val="0"/>
    <m:dispDef/>
    <m:lMargin m:val="0"/>
    <m:rMargin m:val="0"/>
    <m:defJc m:val="centerGroup"/>
    <m:wrapIndent m:val="1440"/>
    <m:intLim m:val="subSup"/>
    <m:naryLim m:val="undOvr"/>
  </m:mathPr>
  <w:themeFontLang w:val="it-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AA36"/>
  <w15:chartTrackingRefBased/>
  <w15:docId w15:val="{435721CF-CA50-154B-9ECA-5B44284E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2068"/>
    <w:rPr>
      <w:rFonts w:ascii="Times New Roman" w:eastAsia="Times New Roman" w:hAnsi="Times New Roman" w:cs="Times New Roman"/>
      <w:lang w:val="fr-B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D2068"/>
    <w:rPr>
      <w:u w:val="single"/>
    </w:rPr>
  </w:style>
  <w:style w:type="paragraph" w:customStyle="1" w:styleId="Intestazioneepipagina">
    <w:name w:val="Intestazione e piè pagina"/>
    <w:rsid w:val="009D2068"/>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val="fr-BE" w:eastAsia="fr-BE"/>
      <w14:textOutline w14:w="0" w14:cap="flat" w14:cmpd="sng" w14:algn="ctr">
        <w14:noFill/>
        <w14:prstDash w14:val="solid"/>
        <w14:bevel/>
      </w14:textOutline>
    </w:rPr>
  </w:style>
  <w:style w:type="paragraph" w:styleId="Pidipagina">
    <w:name w:val="footer"/>
    <w:link w:val="PidipaginaCarattere"/>
    <w:rsid w:val="009D2068"/>
    <w:pPr>
      <w:pBdr>
        <w:top w:val="nil"/>
        <w:left w:val="nil"/>
        <w:bottom w:val="nil"/>
        <w:right w:val="nil"/>
        <w:between w:val="nil"/>
        <w:bar w:val="nil"/>
      </w:pBdr>
      <w:tabs>
        <w:tab w:val="center" w:pos="4536"/>
        <w:tab w:val="right" w:pos="9072"/>
      </w:tabs>
    </w:pPr>
    <w:rPr>
      <w:rFonts w:ascii="Calibri" w:eastAsia="Arial Unicode MS" w:hAnsi="Calibri" w:cs="Arial Unicode MS"/>
      <w:color w:val="000000"/>
      <w:u w:color="000000"/>
      <w:bdr w:val="nil"/>
      <w:lang w:val="en-US" w:eastAsia="fr-BE"/>
    </w:rPr>
  </w:style>
  <w:style w:type="character" w:customStyle="1" w:styleId="PidipaginaCarattere">
    <w:name w:val="Piè di pagina Carattere"/>
    <w:basedOn w:val="Carpredefinitoparagrafo"/>
    <w:link w:val="Pidipagina"/>
    <w:rsid w:val="009D2068"/>
    <w:rPr>
      <w:rFonts w:ascii="Calibri" w:eastAsia="Arial Unicode MS" w:hAnsi="Calibri" w:cs="Arial Unicode MS"/>
      <w:color w:val="000000"/>
      <w:u w:color="000000"/>
      <w:bdr w:val="nil"/>
      <w:lang w:val="en-US" w:eastAsia="fr-BE"/>
    </w:rPr>
  </w:style>
  <w:style w:type="paragraph" w:styleId="NormaleWeb">
    <w:name w:val="Normal (Web)"/>
    <w:basedOn w:val="Normale"/>
    <w:uiPriority w:val="99"/>
    <w:unhideWhenUsed/>
    <w:rsid w:val="009D2068"/>
    <w:pPr>
      <w:spacing w:before="100" w:beforeAutospacing="1" w:after="100" w:afterAutospacing="1"/>
    </w:pPr>
  </w:style>
  <w:style w:type="paragraph" w:styleId="Paragrafoelenco">
    <w:name w:val="List Paragraph"/>
    <w:basedOn w:val="Normale"/>
    <w:uiPriority w:val="34"/>
    <w:qFormat/>
    <w:rsid w:val="009D2068"/>
    <w:pPr>
      <w:ind w:left="720"/>
      <w:contextualSpacing/>
    </w:pPr>
    <w:rPr>
      <w:rFonts w:asciiTheme="minorHAnsi" w:eastAsiaTheme="minorHAnsi" w:hAnsiTheme="minorHAnsi" w:cstheme="minorBidi"/>
    </w:rPr>
  </w:style>
  <w:style w:type="character" w:styleId="Testosegnaposto">
    <w:name w:val="Placeholder Text"/>
    <w:basedOn w:val="Carpredefinitoparagrafo"/>
    <w:uiPriority w:val="99"/>
    <w:semiHidden/>
    <w:rsid w:val="00B8478E"/>
    <w:rPr>
      <w:color w:val="808080"/>
    </w:rPr>
  </w:style>
  <w:style w:type="paragraph" w:customStyle="1" w:styleId="Corpo">
    <w:name w:val="Corpo"/>
    <w:rsid w:val="0086161F"/>
    <w:pPr>
      <w:pBdr>
        <w:top w:val="nil"/>
        <w:left w:val="nil"/>
        <w:bottom w:val="nil"/>
        <w:right w:val="nil"/>
        <w:between w:val="nil"/>
        <w:bar w:val="nil"/>
      </w:pBdr>
      <w:spacing w:after="200"/>
    </w:pPr>
    <w:rPr>
      <w:rFonts w:ascii="Calibri" w:eastAsia="Arial Unicode MS" w:hAnsi="Calibri" w:cs="Arial Unicode MS"/>
      <w:color w:val="000000"/>
      <w:u w:color="000000"/>
      <w:bdr w:val="nil"/>
      <w:lang w:val="en-US" w:eastAsia="fr-BE"/>
      <w14:textOutline w14:w="0" w14:cap="flat" w14:cmpd="sng" w14:algn="ctr">
        <w14:noFill/>
        <w14:prstDash w14:val="solid"/>
        <w14:bevel/>
      </w14:textOutline>
    </w:rPr>
  </w:style>
  <w:style w:type="character" w:styleId="Menzionenonrisolta">
    <w:name w:val="Unresolved Mention"/>
    <w:basedOn w:val="Carpredefinitoparagrafo"/>
    <w:uiPriority w:val="99"/>
    <w:semiHidden/>
    <w:unhideWhenUsed/>
    <w:rsid w:val="005E5304"/>
    <w:rPr>
      <w:color w:val="605E5C"/>
      <w:shd w:val="clear" w:color="auto" w:fill="E1DFDD"/>
    </w:rPr>
  </w:style>
  <w:style w:type="character" w:styleId="Collegamentovisitato">
    <w:name w:val="FollowedHyperlink"/>
    <w:basedOn w:val="Carpredefinitoparagrafo"/>
    <w:uiPriority w:val="99"/>
    <w:semiHidden/>
    <w:unhideWhenUsed/>
    <w:rsid w:val="005E5304"/>
    <w:rPr>
      <w:color w:val="954F72" w:themeColor="followedHyperlink"/>
      <w:u w:val="single"/>
    </w:rPr>
  </w:style>
  <w:style w:type="table" w:styleId="Tabellasemplice5">
    <w:name w:val="Plain Table 5"/>
    <w:basedOn w:val="Tabellanormale"/>
    <w:uiPriority w:val="45"/>
    <w:rsid w:val="00F04882"/>
    <w:pPr>
      <w:pBdr>
        <w:top w:val="nil"/>
        <w:left w:val="nil"/>
        <w:bottom w:val="nil"/>
        <w:right w:val="nil"/>
        <w:between w:val="nil"/>
        <w:bar w:val="nil"/>
      </w:pBdr>
    </w:pPr>
    <w:rPr>
      <w:rFonts w:ascii="Times New Roman" w:eastAsia="Arial Unicode MS" w:hAnsi="Times New Roman" w:cs="Times New Roman"/>
      <w:sz w:val="20"/>
      <w:szCs w:val="20"/>
      <w:bdr w:val="nil"/>
      <w:lang w:val="fr-BE" w:eastAsia="fr-B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zionenonrisolta1">
    <w:name w:val="Menzione non risolta1"/>
    <w:basedOn w:val="Carpredefinitoparagrafo"/>
    <w:uiPriority w:val="99"/>
    <w:semiHidden/>
    <w:unhideWhenUsed/>
    <w:rsid w:val="005A7BE1"/>
    <w:rPr>
      <w:color w:val="605E5C"/>
      <w:shd w:val="clear" w:color="auto" w:fill="E1DFDD"/>
    </w:rPr>
  </w:style>
  <w:style w:type="character" w:styleId="Rimandocommento">
    <w:name w:val="annotation reference"/>
    <w:basedOn w:val="Carpredefinitoparagrafo"/>
    <w:uiPriority w:val="99"/>
    <w:semiHidden/>
    <w:unhideWhenUsed/>
    <w:rsid w:val="005A7BE1"/>
    <w:rPr>
      <w:sz w:val="16"/>
      <w:szCs w:val="16"/>
    </w:rPr>
  </w:style>
  <w:style w:type="paragraph" w:styleId="Testocommento">
    <w:name w:val="annotation text"/>
    <w:basedOn w:val="Normale"/>
    <w:link w:val="TestocommentoCarattere"/>
    <w:uiPriority w:val="99"/>
    <w:unhideWhenUsed/>
    <w:rsid w:val="005A7BE1"/>
    <w:rPr>
      <w:sz w:val="20"/>
      <w:szCs w:val="20"/>
    </w:rPr>
  </w:style>
  <w:style w:type="character" w:customStyle="1" w:styleId="TestocommentoCarattere">
    <w:name w:val="Testo commento Carattere"/>
    <w:basedOn w:val="Carpredefinitoparagrafo"/>
    <w:link w:val="Testocommento"/>
    <w:uiPriority w:val="99"/>
    <w:rsid w:val="005A7BE1"/>
    <w:rPr>
      <w:rFonts w:ascii="Times New Roman" w:eastAsia="Times New Roman" w:hAnsi="Times New Roman" w:cs="Times New Roman"/>
      <w:sz w:val="20"/>
      <w:szCs w:val="20"/>
      <w:lang w:val="fr-BE" w:eastAsia="it-IT"/>
    </w:rPr>
  </w:style>
  <w:style w:type="paragraph" w:styleId="Soggettocommento">
    <w:name w:val="annotation subject"/>
    <w:basedOn w:val="Testocommento"/>
    <w:next w:val="Testocommento"/>
    <w:link w:val="SoggettocommentoCarattere"/>
    <w:uiPriority w:val="99"/>
    <w:semiHidden/>
    <w:unhideWhenUsed/>
    <w:rsid w:val="005A7BE1"/>
    <w:rPr>
      <w:b/>
      <w:bCs/>
    </w:rPr>
  </w:style>
  <w:style w:type="character" w:customStyle="1" w:styleId="SoggettocommentoCarattere">
    <w:name w:val="Soggetto commento Carattere"/>
    <w:basedOn w:val="TestocommentoCarattere"/>
    <w:link w:val="Soggettocommento"/>
    <w:uiPriority w:val="99"/>
    <w:semiHidden/>
    <w:rsid w:val="005A7BE1"/>
    <w:rPr>
      <w:rFonts w:ascii="Times New Roman" w:eastAsia="Times New Roman" w:hAnsi="Times New Roman" w:cs="Times New Roman"/>
      <w:b/>
      <w:bCs/>
      <w:sz w:val="20"/>
      <w:szCs w:val="20"/>
      <w:lang w:val="fr-BE" w:eastAsia="it-IT"/>
    </w:rPr>
  </w:style>
  <w:style w:type="paragraph" w:styleId="Testofumetto">
    <w:name w:val="Balloon Text"/>
    <w:basedOn w:val="Normale"/>
    <w:link w:val="TestofumettoCarattere"/>
    <w:uiPriority w:val="99"/>
    <w:semiHidden/>
    <w:unhideWhenUsed/>
    <w:rsid w:val="005A7BE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A7BE1"/>
    <w:rPr>
      <w:rFonts w:ascii="Segoe UI" w:eastAsia="Times New Roman" w:hAnsi="Segoe UI" w:cs="Segoe UI"/>
      <w:sz w:val="18"/>
      <w:szCs w:val="18"/>
      <w:lang w:val="fr-BE" w:eastAsia="it-IT"/>
    </w:rPr>
  </w:style>
  <w:style w:type="paragraph" w:styleId="Revisione">
    <w:name w:val="Revision"/>
    <w:hidden/>
    <w:uiPriority w:val="99"/>
    <w:semiHidden/>
    <w:rsid w:val="005A7BE1"/>
    <w:rPr>
      <w:rFonts w:ascii="Times New Roman" w:eastAsia="Times New Roman" w:hAnsi="Times New Roman" w:cs="Times New Roman"/>
      <w:lang w:val="fr-BE" w:eastAsia="it-IT"/>
    </w:rPr>
  </w:style>
  <w:style w:type="paragraph" w:styleId="Intestazione">
    <w:name w:val="header"/>
    <w:basedOn w:val="Normale"/>
    <w:link w:val="IntestazioneCarattere"/>
    <w:uiPriority w:val="99"/>
    <w:unhideWhenUsed/>
    <w:rsid w:val="00C545D0"/>
    <w:pPr>
      <w:tabs>
        <w:tab w:val="center" w:pos="4513"/>
        <w:tab w:val="right" w:pos="9026"/>
      </w:tabs>
    </w:pPr>
  </w:style>
  <w:style w:type="character" w:customStyle="1" w:styleId="IntestazioneCarattere">
    <w:name w:val="Intestazione Carattere"/>
    <w:basedOn w:val="Carpredefinitoparagrafo"/>
    <w:link w:val="Intestazione"/>
    <w:uiPriority w:val="99"/>
    <w:rsid w:val="00C545D0"/>
    <w:rPr>
      <w:rFonts w:ascii="Times New Roman" w:eastAsia="Times New Roman" w:hAnsi="Times New Roman" w:cs="Times New Roman"/>
      <w:lang w:val="fr-BE" w:eastAsia="it-IT"/>
    </w:rPr>
  </w:style>
  <w:style w:type="character" w:customStyle="1" w:styleId="apple-converted-space">
    <w:name w:val="apple-converted-space"/>
    <w:basedOn w:val="Carpredefinitoparagrafo"/>
    <w:rsid w:val="00211723"/>
  </w:style>
  <w:style w:type="character" w:styleId="Enfasigrassetto">
    <w:name w:val="Strong"/>
    <w:basedOn w:val="Carpredefinitoparagrafo"/>
    <w:uiPriority w:val="22"/>
    <w:qFormat/>
    <w:rsid w:val="00211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532">
      <w:bodyDiv w:val="1"/>
      <w:marLeft w:val="0"/>
      <w:marRight w:val="0"/>
      <w:marTop w:val="0"/>
      <w:marBottom w:val="0"/>
      <w:divBdr>
        <w:top w:val="none" w:sz="0" w:space="0" w:color="auto"/>
        <w:left w:val="none" w:sz="0" w:space="0" w:color="auto"/>
        <w:bottom w:val="none" w:sz="0" w:space="0" w:color="auto"/>
        <w:right w:val="none" w:sz="0" w:space="0" w:color="auto"/>
      </w:divBdr>
    </w:div>
    <w:div w:id="24063968">
      <w:bodyDiv w:val="1"/>
      <w:marLeft w:val="0"/>
      <w:marRight w:val="0"/>
      <w:marTop w:val="0"/>
      <w:marBottom w:val="0"/>
      <w:divBdr>
        <w:top w:val="none" w:sz="0" w:space="0" w:color="auto"/>
        <w:left w:val="none" w:sz="0" w:space="0" w:color="auto"/>
        <w:bottom w:val="none" w:sz="0" w:space="0" w:color="auto"/>
        <w:right w:val="none" w:sz="0" w:space="0" w:color="auto"/>
      </w:divBdr>
    </w:div>
    <w:div w:id="56442441">
      <w:bodyDiv w:val="1"/>
      <w:marLeft w:val="0"/>
      <w:marRight w:val="0"/>
      <w:marTop w:val="0"/>
      <w:marBottom w:val="0"/>
      <w:divBdr>
        <w:top w:val="none" w:sz="0" w:space="0" w:color="auto"/>
        <w:left w:val="none" w:sz="0" w:space="0" w:color="auto"/>
        <w:bottom w:val="none" w:sz="0" w:space="0" w:color="auto"/>
        <w:right w:val="none" w:sz="0" w:space="0" w:color="auto"/>
      </w:divBdr>
    </w:div>
    <w:div w:id="60950203">
      <w:bodyDiv w:val="1"/>
      <w:marLeft w:val="0"/>
      <w:marRight w:val="0"/>
      <w:marTop w:val="0"/>
      <w:marBottom w:val="0"/>
      <w:divBdr>
        <w:top w:val="none" w:sz="0" w:space="0" w:color="auto"/>
        <w:left w:val="none" w:sz="0" w:space="0" w:color="auto"/>
        <w:bottom w:val="none" w:sz="0" w:space="0" w:color="auto"/>
        <w:right w:val="none" w:sz="0" w:space="0" w:color="auto"/>
      </w:divBdr>
    </w:div>
    <w:div w:id="73164395">
      <w:bodyDiv w:val="1"/>
      <w:marLeft w:val="0"/>
      <w:marRight w:val="0"/>
      <w:marTop w:val="0"/>
      <w:marBottom w:val="0"/>
      <w:divBdr>
        <w:top w:val="none" w:sz="0" w:space="0" w:color="auto"/>
        <w:left w:val="none" w:sz="0" w:space="0" w:color="auto"/>
        <w:bottom w:val="none" w:sz="0" w:space="0" w:color="auto"/>
        <w:right w:val="none" w:sz="0" w:space="0" w:color="auto"/>
      </w:divBdr>
      <w:divsChild>
        <w:div w:id="1066103179">
          <w:marLeft w:val="0"/>
          <w:marRight w:val="0"/>
          <w:marTop w:val="0"/>
          <w:marBottom w:val="0"/>
          <w:divBdr>
            <w:top w:val="none" w:sz="0" w:space="0" w:color="auto"/>
            <w:left w:val="none" w:sz="0" w:space="0" w:color="auto"/>
            <w:bottom w:val="none" w:sz="0" w:space="0" w:color="auto"/>
            <w:right w:val="none" w:sz="0" w:space="0" w:color="auto"/>
          </w:divBdr>
          <w:divsChild>
            <w:div w:id="1145439868">
              <w:marLeft w:val="0"/>
              <w:marRight w:val="0"/>
              <w:marTop w:val="0"/>
              <w:marBottom w:val="0"/>
              <w:divBdr>
                <w:top w:val="none" w:sz="0" w:space="0" w:color="auto"/>
                <w:left w:val="none" w:sz="0" w:space="0" w:color="auto"/>
                <w:bottom w:val="none" w:sz="0" w:space="0" w:color="auto"/>
                <w:right w:val="none" w:sz="0" w:space="0" w:color="auto"/>
              </w:divBdr>
              <w:divsChild>
                <w:div w:id="2110544340">
                  <w:marLeft w:val="0"/>
                  <w:marRight w:val="0"/>
                  <w:marTop w:val="0"/>
                  <w:marBottom w:val="0"/>
                  <w:divBdr>
                    <w:top w:val="none" w:sz="0" w:space="0" w:color="auto"/>
                    <w:left w:val="none" w:sz="0" w:space="0" w:color="auto"/>
                    <w:bottom w:val="none" w:sz="0" w:space="0" w:color="auto"/>
                    <w:right w:val="none" w:sz="0" w:space="0" w:color="auto"/>
                  </w:divBdr>
                  <w:divsChild>
                    <w:div w:id="1016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81728">
      <w:bodyDiv w:val="1"/>
      <w:marLeft w:val="0"/>
      <w:marRight w:val="0"/>
      <w:marTop w:val="0"/>
      <w:marBottom w:val="0"/>
      <w:divBdr>
        <w:top w:val="none" w:sz="0" w:space="0" w:color="auto"/>
        <w:left w:val="none" w:sz="0" w:space="0" w:color="auto"/>
        <w:bottom w:val="none" w:sz="0" w:space="0" w:color="auto"/>
        <w:right w:val="none" w:sz="0" w:space="0" w:color="auto"/>
      </w:divBdr>
    </w:div>
    <w:div w:id="153113711">
      <w:bodyDiv w:val="1"/>
      <w:marLeft w:val="0"/>
      <w:marRight w:val="0"/>
      <w:marTop w:val="0"/>
      <w:marBottom w:val="0"/>
      <w:divBdr>
        <w:top w:val="none" w:sz="0" w:space="0" w:color="auto"/>
        <w:left w:val="none" w:sz="0" w:space="0" w:color="auto"/>
        <w:bottom w:val="none" w:sz="0" w:space="0" w:color="auto"/>
        <w:right w:val="none" w:sz="0" w:space="0" w:color="auto"/>
      </w:divBdr>
      <w:divsChild>
        <w:div w:id="1497764532">
          <w:marLeft w:val="0"/>
          <w:marRight w:val="0"/>
          <w:marTop w:val="0"/>
          <w:marBottom w:val="0"/>
          <w:divBdr>
            <w:top w:val="none" w:sz="0" w:space="0" w:color="auto"/>
            <w:left w:val="none" w:sz="0" w:space="0" w:color="auto"/>
            <w:bottom w:val="none" w:sz="0" w:space="0" w:color="auto"/>
            <w:right w:val="none" w:sz="0" w:space="0" w:color="auto"/>
          </w:divBdr>
          <w:divsChild>
            <w:div w:id="294680957">
              <w:marLeft w:val="0"/>
              <w:marRight w:val="0"/>
              <w:marTop w:val="0"/>
              <w:marBottom w:val="0"/>
              <w:divBdr>
                <w:top w:val="none" w:sz="0" w:space="0" w:color="auto"/>
                <w:left w:val="none" w:sz="0" w:space="0" w:color="auto"/>
                <w:bottom w:val="none" w:sz="0" w:space="0" w:color="auto"/>
                <w:right w:val="none" w:sz="0" w:space="0" w:color="auto"/>
              </w:divBdr>
              <w:divsChild>
                <w:div w:id="11140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4486">
      <w:bodyDiv w:val="1"/>
      <w:marLeft w:val="0"/>
      <w:marRight w:val="0"/>
      <w:marTop w:val="0"/>
      <w:marBottom w:val="0"/>
      <w:divBdr>
        <w:top w:val="none" w:sz="0" w:space="0" w:color="auto"/>
        <w:left w:val="none" w:sz="0" w:space="0" w:color="auto"/>
        <w:bottom w:val="none" w:sz="0" w:space="0" w:color="auto"/>
        <w:right w:val="none" w:sz="0" w:space="0" w:color="auto"/>
      </w:divBdr>
      <w:divsChild>
        <w:div w:id="770322152">
          <w:marLeft w:val="0"/>
          <w:marRight w:val="0"/>
          <w:marTop w:val="0"/>
          <w:marBottom w:val="0"/>
          <w:divBdr>
            <w:top w:val="none" w:sz="0" w:space="0" w:color="auto"/>
            <w:left w:val="none" w:sz="0" w:space="0" w:color="auto"/>
            <w:bottom w:val="none" w:sz="0" w:space="0" w:color="auto"/>
            <w:right w:val="none" w:sz="0" w:space="0" w:color="auto"/>
          </w:divBdr>
          <w:divsChild>
            <w:div w:id="52626653">
              <w:marLeft w:val="0"/>
              <w:marRight w:val="0"/>
              <w:marTop w:val="0"/>
              <w:marBottom w:val="0"/>
              <w:divBdr>
                <w:top w:val="none" w:sz="0" w:space="0" w:color="auto"/>
                <w:left w:val="none" w:sz="0" w:space="0" w:color="auto"/>
                <w:bottom w:val="none" w:sz="0" w:space="0" w:color="auto"/>
                <w:right w:val="none" w:sz="0" w:space="0" w:color="auto"/>
              </w:divBdr>
              <w:divsChild>
                <w:div w:id="16087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543">
      <w:bodyDiv w:val="1"/>
      <w:marLeft w:val="0"/>
      <w:marRight w:val="0"/>
      <w:marTop w:val="0"/>
      <w:marBottom w:val="0"/>
      <w:divBdr>
        <w:top w:val="none" w:sz="0" w:space="0" w:color="auto"/>
        <w:left w:val="none" w:sz="0" w:space="0" w:color="auto"/>
        <w:bottom w:val="none" w:sz="0" w:space="0" w:color="auto"/>
        <w:right w:val="none" w:sz="0" w:space="0" w:color="auto"/>
      </w:divBdr>
    </w:div>
    <w:div w:id="335422193">
      <w:bodyDiv w:val="1"/>
      <w:marLeft w:val="0"/>
      <w:marRight w:val="0"/>
      <w:marTop w:val="0"/>
      <w:marBottom w:val="0"/>
      <w:divBdr>
        <w:top w:val="none" w:sz="0" w:space="0" w:color="auto"/>
        <w:left w:val="none" w:sz="0" w:space="0" w:color="auto"/>
        <w:bottom w:val="none" w:sz="0" w:space="0" w:color="auto"/>
        <w:right w:val="none" w:sz="0" w:space="0" w:color="auto"/>
      </w:divBdr>
      <w:divsChild>
        <w:div w:id="1951662210">
          <w:marLeft w:val="0"/>
          <w:marRight w:val="0"/>
          <w:marTop w:val="0"/>
          <w:marBottom w:val="0"/>
          <w:divBdr>
            <w:top w:val="single" w:sz="6" w:space="0" w:color="5B616B"/>
            <w:left w:val="single" w:sz="6" w:space="0" w:color="5B616B"/>
            <w:bottom w:val="single" w:sz="6" w:space="0" w:color="5B616B"/>
            <w:right w:val="single" w:sz="6" w:space="0" w:color="5B616B"/>
          </w:divBdr>
        </w:div>
        <w:div w:id="56899298">
          <w:marLeft w:val="0"/>
          <w:marRight w:val="0"/>
          <w:marTop w:val="0"/>
          <w:marBottom w:val="0"/>
          <w:divBdr>
            <w:top w:val="none" w:sz="0" w:space="0" w:color="auto"/>
            <w:left w:val="none" w:sz="0" w:space="0" w:color="auto"/>
            <w:bottom w:val="none" w:sz="0" w:space="0" w:color="auto"/>
            <w:right w:val="none" w:sz="0" w:space="0" w:color="auto"/>
          </w:divBdr>
        </w:div>
      </w:divsChild>
    </w:div>
    <w:div w:id="364408974">
      <w:bodyDiv w:val="1"/>
      <w:marLeft w:val="0"/>
      <w:marRight w:val="0"/>
      <w:marTop w:val="0"/>
      <w:marBottom w:val="0"/>
      <w:divBdr>
        <w:top w:val="none" w:sz="0" w:space="0" w:color="auto"/>
        <w:left w:val="none" w:sz="0" w:space="0" w:color="auto"/>
        <w:bottom w:val="none" w:sz="0" w:space="0" w:color="auto"/>
        <w:right w:val="none" w:sz="0" w:space="0" w:color="auto"/>
      </w:divBdr>
    </w:div>
    <w:div w:id="376510294">
      <w:bodyDiv w:val="1"/>
      <w:marLeft w:val="0"/>
      <w:marRight w:val="0"/>
      <w:marTop w:val="0"/>
      <w:marBottom w:val="0"/>
      <w:divBdr>
        <w:top w:val="none" w:sz="0" w:space="0" w:color="auto"/>
        <w:left w:val="none" w:sz="0" w:space="0" w:color="auto"/>
        <w:bottom w:val="none" w:sz="0" w:space="0" w:color="auto"/>
        <w:right w:val="none" w:sz="0" w:space="0" w:color="auto"/>
      </w:divBdr>
    </w:div>
    <w:div w:id="399865875">
      <w:bodyDiv w:val="1"/>
      <w:marLeft w:val="0"/>
      <w:marRight w:val="0"/>
      <w:marTop w:val="0"/>
      <w:marBottom w:val="0"/>
      <w:divBdr>
        <w:top w:val="none" w:sz="0" w:space="0" w:color="auto"/>
        <w:left w:val="none" w:sz="0" w:space="0" w:color="auto"/>
        <w:bottom w:val="none" w:sz="0" w:space="0" w:color="auto"/>
        <w:right w:val="none" w:sz="0" w:space="0" w:color="auto"/>
      </w:divBdr>
    </w:div>
    <w:div w:id="412236932">
      <w:bodyDiv w:val="1"/>
      <w:marLeft w:val="0"/>
      <w:marRight w:val="0"/>
      <w:marTop w:val="0"/>
      <w:marBottom w:val="0"/>
      <w:divBdr>
        <w:top w:val="none" w:sz="0" w:space="0" w:color="auto"/>
        <w:left w:val="none" w:sz="0" w:space="0" w:color="auto"/>
        <w:bottom w:val="none" w:sz="0" w:space="0" w:color="auto"/>
        <w:right w:val="none" w:sz="0" w:space="0" w:color="auto"/>
      </w:divBdr>
    </w:div>
    <w:div w:id="413280739">
      <w:bodyDiv w:val="1"/>
      <w:marLeft w:val="0"/>
      <w:marRight w:val="0"/>
      <w:marTop w:val="0"/>
      <w:marBottom w:val="0"/>
      <w:divBdr>
        <w:top w:val="none" w:sz="0" w:space="0" w:color="auto"/>
        <w:left w:val="none" w:sz="0" w:space="0" w:color="auto"/>
        <w:bottom w:val="none" w:sz="0" w:space="0" w:color="auto"/>
        <w:right w:val="none" w:sz="0" w:space="0" w:color="auto"/>
      </w:divBdr>
    </w:div>
    <w:div w:id="492986892">
      <w:bodyDiv w:val="1"/>
      <w:marLeft w:val="0"/>
      <w:marRight w:val="0"/>
      <w:marTop w:val="0"/>
      <w:marBottom w:val="0"/>
      <w:divBdr>
        <w:top w:val="none" w:sz="0" w:space="0" w:color="auto"/>
        <w:left w:val="none" w:sz="0" w:space="0" w:color="auto"/>
        <w:bottom w:val="none" w:sz="0" w:space="0" w:color="auto"/>
        <w:right w:val="none" w:sz="0" w:space="0" w:color="auto"/>
      </w:divBdr>
      <w:divsChild>
        <w:div w:id="544604995">
          <w:marLeft w:val="0"/>
          <w:marRight w:val="0"/>
          <w:marTop w:val="0"/>
          <w:marBottom w:val="0"/>
          <w:divBdr>
            <w:top w:val="none" w:sz="0" w:space="0" w:color="auto"/>
            <w:left w:val="none" w:sz="0" w:space="0" w:color="auto"/>
            <w:bottom w:val="none" w:sz="0" w:space="0" w:color="auto"/>
            <w:right w:val="none" w:sz="0" w:space="0" w:color="auto"/>
          </w:divBdr>
          <w:divsChild>
            <w:div w:id="1962565362">
              <w:marLeft w:val="0"/>
              <w:marRight w:val="0"/>
              <w:marTop w:val="0"/>
              <w:marBottom w:val="0"/>
              <w:divBdr>
                <w:top w:val="none" w:sz="0" w:space="0" w:color="auto"/>
                <w:left w:val="none" w:sz="0" w:space="0" w:color="auto"/>
                <w:bottom w:val="none" w:sz="0" w:space="0" w:color="auto"/>
                <w:right w:val="none" w:sz="0" w:space="0" w:color="auto"/>
              </w:divBdr>
              <w:divsChild>
                <w:div w:id="20786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23474">
      <w:bodyDiv w:val="1"/>
      <w:marLeft w:val="0"/>
      <w:marRight w:val="0"/>
      <w:marTop w:val="0"/>
      <w:marBottom w:val="0"/>
      <w:divBdr>
        <w:top w:val="none" w:sz="0" w:space="0" w:color="auto"/>
        <w:left w:val="none" w:sz="0" w:space="0" w:color="auto"/>
        <w:bottom w:val="none" w:sz="0" w:space="0" w:color="auto"/>
        <w:right w:val="none" w:sz="0" w:space="0" w:color="auto"/>
      </w:divBdr>
    </w:div>
    <w:div w:id="500006788">
      <w:bodyDiv w:val="1"/>
      <w:marLeft w:val="0"/>
      <w:marRight w:val="0"/>
      <w:marTop w:val="0"/>
      <w:marBottom w:val="0"/>
      <w:divBdr>
        <w:top w:val="none" w:sz="0" w:space="0" w:color="auto"/>
        <w:left w:val="none" w:sz="0" w:space="0" w:color="auto"/>
        <w:bottom w:val="none" w:sz="0" w:space="0" w:color="auto"/>
        <w:right w:val="none" w:sz="0" w:space="0" w:color="auto"/>
      </w:divBdr>
    </w:div>
    <w:div w:id="567692396">
      <w:bodyDiv w:val="1"/>
      <w:marLeft w:val="0"/>
      <w:marRight w:val="0"/>
      <w:marTop w:val="0"/>
      <w:marBottom w:val="0"/>
      <w:divBdr>
        <w:top w:val="none" w:sz="0" w:space="0" w:color="auto"/>
        <w:left w:val="none" w:sz="0" w:space="0" w:color="auto"/>
        <w:bottom w:val="none" w:sz="0" w:space="0" w:color="auto"/>
        <w:right w:val="none" w:sz="0" w:space="0" w:color="auto"/>
      </w:divBdr>
    </w:div>
    <w:div w:id="579028162">
      <w:bodyDiv w:val="1"/>
      <w:marLeft w:val="0"/>
      <w:marRight w:val="0"/>
      <w:marTop w:val="0"/>
      <w:marBottom w:val="0"/>
      <w:divBdr>
        <w:top w:val="none" w:sz="0" w:space="0" w:color="auto"/>
        <w:left w:val="none" w:sz="0" w:space="0" w:color="auto"/>
        <w:bottom w:val="none" w:sz="0" w:space="0" w:color="auto"/>
        <w:right w:val="none" w:sz="0" w:space="0" w:color="auto"/>
      </w:divBdr>
    </w:div>
    <w:div w:id="608464019">
      <w:bodyDiv w:val="1"/>
      <w:marLeft w:val="0"/>
      <w:marRight w:val="0"/>
      <w:marTop w:val="0"/>
      <w:marBottom w:val="0"/>
      <w:divBdr>
        <w:top w:val="none" w:sz="0" w:space="0" w:color="auto"/>
        <w:left w:val="none" w:sz="0" w:space="0" w:color="auto"/>
        <w:bottom w:val="none" w:sz="0" w:space="0" w:color="auto"/>
        <w:right w:val="none" w:sz="0" w:space="0" w:color="auto"/>
      </w:divBdr>
    </w:div>
    <w:div w:id="640696080">
      <w:bodyDiv w:val="1"/>
      <w:marLeft w:val="0"/>
      <w:marRight w:val="0"/>
      <w:marTop w:val="0"/>
      <w:marBottom w:val="0"/>
      <w:divBdr>
        <w:top w:val="none" w:sz="0" w:space="0" w:color="auto"/>
        <w:left w:val="none" w:sz="0" w:space="0" w:color="auto"/>
        <w:bottom w:val="none" w:sz="0" w:space="0" w:color="auto"/>
        <w:right w:val="none" w:sz="0" w:space="0" w:color="auto"/>
      </w:divBdr>
      <w:divsChild>
        <w:div w:id="512302948">
          <w:marLeft w:val="0"/>
          <w:marRight w:val="0"/>
          <w:marTop w:val="0"/>
          <w:marBottom w:val="0"/>
          <w:divBdr>
            <w:top w:val="single" w:sz="6" w:space="0" w:color="5B616B"/>
            <w:left w:val="single" w:sz="6" w:space="0" w:color="5B616B"/>
            <w:bottom w:val="single" w:sz="6" w:space="0" w:color="5B616B"/>
            <w:right w:val="single" w:sz="6" w:space="0" w:color="5B616B"/>
          </w:divBdr>
        </w:div>
        <w:div w:id="1520385930">
          <w:marLeft w:val="0"/>
          <w:marRight w:val="0"/>
          <w:marTop w:val="0"/>
          <w:marBottom w:val="0"/>
          <w:divBdr>
            <w:top w:val="none" w:sz="0" w:space="0" w:color="auto"/>
            <w:left w:val="none" w:sz="0" w:space="0" w:color="auto"/>
            <w:bottom w:val="none" w:sz="0" w:space="0" w:color="auto"/>
            <w:right w:val="none" w:sz="0" w:space="0" w:color="auto"/>
          </w:divBdr>
        </w:div>
      </w:divsChild>
    </w:div>
    <w:div w:id="650015780">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5230177">
      <w:bodyDiv w:val="1"/>
      <w:marLeft w:val="0"/>
      <w:marRight w:val="0"/>
      <w:marTop w:val="0"/>
      <w:marBottom w:val="0"/>
      <w:divBdr>
        <w:top w:val="none" w:sz="0" w:space="0" w:color="auto"/>
        <w:left w:val="none" w:sz="0" w:space="0" w:color="auto"/>
        <w:bottom w:val="none" w:sz="0" w:space="0" w:color="auto"/>
        <w:right w:val="none" w:sz="0" w:space="0" w:color="auto"/>
      </w:divBdr>
    </w:div>
    <w:div w:id="710114696">
      <w:bodyDiv w:val="1"/>
      <w:marLeft w:val="0"/>
      <w:marRight w:val="0"/>
      <w:marTop w:val="0"/>
      <w:marBottom w:val="0"/>
      <w:divBdr>
        <w:top w:val="none" w:sz="0" w:space="0" w:color="auto"/>
        <w:left w:val="none" w:sz="0" w:space="0" w:color="auto"/>
        <w:bottom w:val="none" w:sz="0" w:space="0" w:color="auto"/>
        <w:right w:val="none" w:sz="0" w:space="0" w:color="auto"/>
      </w:divBdr>
    </w:div>
    <w:div w:id="774907724">
      <w:bodyDiv w:val="1"/>
      <w:marLeft w:val="0"/>
      <w:marRight w:val="0"/>
      <w:marTop w:val="0"/>
      <w:marBottom w:val="0"/>
      <w:divBdr>
        <w:top w:val="none" w:sz="0" w:space="0" w:color="auto"/>
        <w:left w:val="none" w:sz="0" w:space="0" w:color="auto"/>
        <w:bottom w:val="none" w:sz="0" w:space="0" w:color="auto"/>
        <w:right w:val="none" w:sz="0" w:space="0" w:color="auto"/>
      </w:divBdr>
    </w:div>
    <w:div w:id="775640878">
      <w:bodyDiv w:val="1"/>
      <w:marLeft w:val="0"/>
      <w:marRight w:val="0"/>
      <w:marTop w:val="0"/>
      <w:marBottom w:val="0"/>
      <w:divBdr>
        <w:top w:val="none" w:sz="0" w:space="0" w:color="auto"/>
        <w:left w:val="none" w:sz="0" w:space="0" w:color="auto"/>
        <w:bottom w:val="none" w:sz="0" w:space="0" w:color="auto"/>
        <w:right w:val="none" w:sz="0" w:space="0" w:color="auto"/>
      </w:divBdr>
    </w:div>
    <w:div w:id="787551810">
      <w:bodyDiv w:val="1"/>
      <w:marLeft w:val="0"/>
      <w:marRight w:val="0"/>
      <w:marTop w:val="0"/>
      <w:marBottom w:val="0"/>
      <w:divBdr>
        <w:top w:val="none" w:sz="0" w:space="0" w:color="auto"/>
        <w:left w:val="none" w:sz="0" w:space="0" w:color="auto"/>
        <w:bottom w:val="none" w:sz="0" w:space="0" w:color="auto"/>
        <w:right w:val="none" w:sz="0" w:space="0" w:color="auto"/>
      </w:divBdr>
      <w:divsChild>
        <w:div w:id="858591488">
          <w:marLeft w:val="0"/>
          <w:marRight w:val="0"/>
          <w:marTop w:val="0"/>
          <w:marBottom w:val="0"/>
          <w:divBdr>
            <w:top w:val="none" w:sz="0" w:space="0" w:color="auto"/>
            <w:left w:val="none" w:sz="0" w:space="0" w:color="auto"/>
            <w:bottom w:val="none" w:sz="0" w:space="0" w:color="auto"/>
            <w:right w:val="none" w:sz="0" w:space="0" w:color="auto"/>
          </w:divBdr>
          <w:divsChild>
            <w:div w:id="745686999">
              <w:marLeft w:val="0"/>
              <w:marRight w:val="0"/>
              <w:marTop w:val="0"/>
              <w:marBottom w:val="0"/>
              <w:divBdr>
                <w:top w:val="none" w:sz="0" w:space="0" w:color="auto"/>
                <w:left w:val="none" w:sz="0" w:space="0" w:color="auto"/>
                <w:bottom w:val="none" w:sz="0" w:space="0" w:color="auto"/>
                <w:right w:val="none" w:sz="0" w:space="0" w:color="auto"/>
              </w:divBdr>
              <w:divsChild>
                <w:div w:id="994987665">
                  <w:marLeft w:val="0"/>
                  <w:marRight w:val="0"/>
                  <w:marTop w:val="0"/>
                  <w:marBottom w:val="0"/>
                  <w:divBdr>
                    <w:top w:val="none" w:sz="0" w:space="0" w:color="auto"/>
                    <w:left w:val="none" w:sz="0" w:space="0" w:color="auto"/>
                    <w:bottom w:val="none" w:sz="0" w:space="0" w:color="auto"/>
                    <w:right w:val="none" w:sz="0" w:space="0" w:color="auto"/>
                  </w:divBdr>
                  <w:divsChild>
                    <w:div w:id="7119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5439">
      <w:bodyDiv w:val="1"/>
      <w:marLeft w:val="0"/>
      <w:marRight w:val="0"/>
      <w:marTop w:val="0"/>
      <w:marBottom w:val="0"/>
      <w:divBdr>
        <w:top w:val="none" w:sz="0" w:space="0" w:color="auto"/>
        <w:left w:val="none" w:sz="0" w:space="0" w:color="auto"/>
        <w:bottom w:val="none" w:sz="0" w:space="0" w:color="auto"/>
        <w:right w:val="none" w:sz="0" w:space="0" w:color="auto"/>
      </w:divBdr>
    </w:div>
    <w:div w:id="832070499">
      <w:bodyDiv w:val="1"/>
      <w:marLeft w:val="0"/>
      <w:marRight w:val="0"/>
      <w:marTop w:val="0"/>
      <w:marBottom w:val="0"/>
      <w:divBdr>
        <w:top w:val="none" w:sz="0" w:space="0" w:color="auto"/>
        <w:left w:val="none" w:sz="0" w:space="0" w:color="auto"/>
        <w:bottom w:val="none" w:sz="0" w:space="0" w:color="auto"/>
        <w:right w:val="none" w:sz="0" w:space="0" w:color="auto"/>
      </w:divBdr>
    </w:div>
    <w:div w:id="844251331">
      <w:bodyDiv w:val="1"/>
      <w:marLeft w:val="0"/>
      <w:marRight w:val="0"/>
      <w:marTop w:val="0"/>
      <w:marBottom w:val="0"/>
      <w:divBdr>
        <w:top w:val="none" w:sz="0" w:space="0" w:color="auto"/>
        <w:left w:val="none" w:sz="0" w:space="0" w:color="auto"/>
        <w:bottom w:val="none" w:sz="0" w:space="0" w:color="auto"/>
        <w:right w:val="none" w:sz="0" w:space="0" w:color="auto"/>
      </w:divBdr>
      <w:divsChild>
        <w:div w:id="2144882581">
          <w:marLeft w:val="0"/>
          <w:marRight w:val="0"/>
          <w:marTop w:val="0"/>
          <w:marBottom w:val="0"/>
          <w:divBdr>
            <w:top w:val="none" w:sz="0" w:space="0" w:color="auto"/>
            <w:left w:val="none" w:sz="0" w:space="0" w:color="auto"/>
            <w:bottom w:val="none" w:sz="0" w:space="0" w:color="auto"/>
            <w:right w:val="none" w:sz="0" w:space="0" w:color="auto"/>
          </w:divBdr>
          <w:divsChild>
            <w:div w:id="872959799">
              <w:marLeft w:val="0"/>
              <w:marRight w:val="0"/>
              <w:marTop w:val="0"/>
              <w:marBottom w:val="0"/>
              <w:divBdr>
                <w:top w:val="none" w:sz="0" w:space="0" w:color="auto"/>
                <w:left w:val="none" w:sz="0" w:space="0" w:color="auto"/>
                <w:bottom w:val="none" w:sz="0" w:space="0" w:color="auto"/>
                <w:right w:val="none" w:sz="0" w:space="0" w:color="auto"/>
              </w:divBdr>
              <w:divsChild>
                <w:div w:id="248274525">
                  <w:marLeft w:val="0"/>
                  <w:marRight w:val="0"/>
                  <w:marTop w:val="0"/>
                  <w:marBottom w:val="0"/>
                  <w:divBdr>
                    <w:top w:val="none" w:sz="0" w:space="0" w:color="auto"/>
                    <w:left w:val="none" w:sz="0" w:space="0" w:color="auto"/>
                    <w:bottom w:val="none" w:sz="0" w:space="0" w:color="auto"/>
                    <w:right w:val="none" w:sz="0" w:space="0" w:color="auto"/>
                  </w:divBdr>
                  <w:divsChild>
                    <w:div w:id="200011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02690">
      <w:bodyDiv w:val="1"/>
      <w:marLeft w:val="0"/>
      <w:marRight w:val="0"/>
      <w:marTop w:val="0"/>
      <w:marBottom w:val="0"/>
      <w:divBdr>
        <w:top w:val="none" w:sz="0" w:space="0" w:color="auto"/>
        <w:left w:val="none" w:sz="0" w:space="0" w:color="auto"/>
        <w:bottom w:val="none" w:sz="0" w:space="0" w:color="auto"/>
        <w:right w:val="none" w:sz="0" w:space="0" w:color="auto"/>
      </w:divBdr>
    </w:div>
    <w:div w:id="905140301">
      <w:bodyDiv w:val="1"/>
      <w:marLeft w:val="0"/>
      <w:marRight w:val="0"/>
      <w:marTop w:val="0"/>
      <w:marBottom w:val="0"/>
      <w:divBdr>
        <w:top w:val="none" w:sz="0" w:space="0" w:color="auto"/>
        <w:left w:val="none" w:sz="0" w:space="0" w:color="auto"/>
        <w:bottom w:val="none" w:sz="0" w:space="0" w:color="auto"/>
        <w:right w:val="none" w:sz="0" w:space="0" w:color="auto"/>
      </w:divBdr>
    </w:div>
    <w:div w:id="961424918">
      <w:bodyDiv w:val="1"/>
      <w:marLeft w:val="0"/>
      <w:marRight w:val="0"/>
      <w:marTop w:val="0"/>
      <w:marBottom w:val="0"/>
      <w:divBdr>
        <w:top w:val="none" w:sz="0" w:space="0" w:color="auto"/>
        <w:left w:val="none" w:sz="0" w:space="0" w:color="auto"/>
        <w:bottom w:val="none" w:sz="0" w:space="0" w:color="auto"/>
        <w:right w:val="none" w:sz="0" w:space="0" w:color="auto"/>
      </w:divBdr>
    </w:div>
    <w:div w:id="970524999">
      <w:bodyDiv w:val="1"/>
      <w:marLeft w:val="0"/>
      <w:marRight w:val="0"/>
      <w:marTop w:val="0"/>
      <w:marBottom w:val="0"/>
      <w:divBdr>
        <w:top w:val="none" w:sz="0" w:space="0" w:color="auto"/>
        <w:left w:val="none" w:sz="0" w:space="0" w:color="auto"/>
        <w:bottom w:val="none" w:sz="0" w:space="0" w:color="auto"/>
        <w:right w:val="none" w:sz="0" w:space="0" w:color="auto"/>
      </w:divBdr>
    </w:div>
    <w:div w:id="971983827">
      <w:bodyDiv w:val="1"/>
      <w:marLeft w:val="0"/>
      <w:marRight w:val="0"/>
      <w:marTop w:val="0"/>
      <w:marBottom w:val="0"/>
      <w:divBdr>
        <w:top w:val="none" w:sz="0" w:space="0" w:color="auto"/>
        <w:left w:val="none" w:sz="0" w:space="0" w:color="auto"/>
        <w:bottom w:val="none" w:sz="0" w:space="0" w:color="auto"/>
        <w:right w:val="none" w:sz="0" w:space="0" w:color="auto"/>
      </w:divBdr>
    </w:div>
    <w:div w:id="972365618">
      <w:bodyDiv w:val="1"/>
      <w:marLeft w:val="0"/>
      <w:marRight w:val="0"/>
      <w:marTop w:val="0"/>
      <w:marBottom w:val="0"/>
      <w:divBdr>
        <w:top w:val="none" w:sz="0" w:space="0" w:color="auto"/>
        <w:left w:val="none" w:sz="0" w:space="0" w:color="auto"/>
        <w:bottom w:val="none" w:sz="0" w:space="0" w:color="auto"/>
        <w:right w:val="none" w:sz="0" w:space="0" w:color="auto"/>
      </w:divBdr>
    </w:div>
    <w:div w:id="974794134">
      <w:bodyDiv w:val="1"/>
      <w:marLeft w:val="0"/>
      <w:marRight w:val="0"/>
      <w:marTop w:val="0"/>
      <w:marBottom w:val="0"/>
      <w:divBdr>
        <w:top w:val="none" w:sz="0" w:space="0" w:color="auto"/>
        <w:left w:val="none" w:sz="0" w:space="0" w:color="auto"/>
        <w:bottom w:val="none" w:sz="0" w:space="0" w:color="auto"/>
        <w:right w:val="none" w:sz="0" w:space="0" w:color="auto"/>
      </w:divBdr>
    </w:div>
    <w:div w:id="982349562">
      <w:bodyDiv w:val="1"/>
      <w:marLeft w:val="0"/>
      <w:marRight w:val="0"/>
      <w:marTop w:val="0"/>
      <w:marBottom w:val="0"/>
      <w:divBdr>
        <w:top w:val="none" w:sz="0" w:space="0" w:color="auto"/>
        <w:left w:val="none" w:sz="0" w:space="0" w:color="auto"/>
        <w:bottom w:val="none" w:sz="0" w:space="0" w:color="auto"/>
        <w:right w:val="none" w:sz="0" w:space="0" w:color="auto"/>
      </w:divBdr>
    </w:div>
    <w:div w:id="997609088">
      <w:bodyDiv w:val="1"/>
      <w:marLeft w:val="0"/>
      <w:marRight w:val="0"/>
      <w:marTop w:val="0"/>
      <w:marBottom w:val="0"/>
      <w:divBdr>
        <w:top w:val="none" w:sz="0" w:space="0" w:color="auto"/>
        <w:left w:val="none" w:sz="0" w:space="0" w:color="auto"/>
        <w:bottom w:val="none" w:sz="0" w:space="0" w:color="auto"/>
        <w:right w:val="none" w:sz="0" w:space="0" w:color="auto"/>
      </w:divBdr>
    </w:div>
    <w:div w:id="1023944923">
      <w:bodyDiv w:val="1"/>
      <w:marLeft w:val="0"/>
      <w:marRight w:val="0"/>
      <w:marTop w:val="0"/>
      <w:marBottom w:val="0"/>
      <w:divBdr>
        <w:top w:val="none" w:sz="0" w:space="0" w:color="auto"/>
        <w:left w:val="none" w:sz="0" w:space="0" w:color="auto"/>
        <w:bottom w:val="none" w:sz="0" w:space="0" w:color="auto"/>
        <w:right w:val="none" w:sz="0" w:space="0" w:color="auto"/>
      </w:divBdr>
    </w:div>
    <w:div w:id="1045376407">
      <w:bodyDiv w:val="1"/>
      <w:marLeft w:val="0"/>
      <w:marRight w:val="0"/>
      <w:marTop w:val="0"/>
      <w:marBottom w:val="0"/>
      <w:divBdr>
        <w:top w:val="none" w:sz="0" w:space="0" w:color="auto"/>
        <w:left w:val="none" w:sz="0" w:space="0" w:color="auto"/>
        <w:bottom w:val="none" w:sz="0" w:space="0" w:color="auto"/>
        <w:right w:val="none" w:sz="0" w:space="0" w:color="auto"/>
      </w:divBdr>
    </w:div>
    <w:div w:id="1090125987">
      <w:bodyDiv w:val="1"/>
      <w:marLeft w:val="0"/>
      <w:marRight w:val="0"/>
      <w:marTop w:val="0"/>
      <w:marBottom w:val="0"/>
      <w:divBdr>
        <w:top w:val="none" w:sz="0" w:space="0" w:color="auto"/>
        <w:left w:val="none" w:sz="0" w:space="0" w:color="auto"/>
        <w:bottom w:val="none" w:sz="0" w:space="0" w:color="auto"/>
        <w:right w:val="none" w:sz="0" w:space="0" w:color="auto"/>
      </w:divBdr>
    </w:div>
    <w:div w:id="1107383430">
      <w:bodyDiv w:val="1"/>
      <w:marLeft w:val="0"/>
      <w:marRight w:val="0"/>
      <w:marTop w:val="0"/>
      <w:marBottom w:val="0"/>
      <w:divBdr>
        <w:top w:val="none" w:sz="0" w:space="0" w:color="auto"/>
        <w:left w:val="none" w:sz="0" w:space="0" w:color="auto"/>
        <w:bottom w:val="none" w:sz="0" w:space="0" w:color="auto"/>
        <w:right w:val="none" w:sz="0" w:space="0" w:color="auto"/>
      </w:divBdr>
    </w:div>
    <w:div w:id="1135879583">
      <w:bodyDiv w:val="1"/>
      <w:marLeft w:val="0"/>
      <w:marRight w:val="0"/>
      <w:marTop w:val="0"/>
      <w:marBottom w:val="0"/>
      <w:divBdr>
        <w:top w:val="none" w:sz="0" w:space="0" w:color="auto"/>
        <w:left w:val="none" w:sz="0" w:space="0" w:color="auto"/>
        <w:bottom w:val="none" w:sz="0" w:space="0" w:color="auto"/>
        <w:right w:val="none" w:sz="0" w:space="0" w:color="auto"/>
      </w:divBdr>
      <w:divsChild>
        <w:div w:id="368841804">
          <w:marLeft w:val="0"/>
          <w:marRight w:val="0"/>
          <w:marTop w:val="0"/>
          <w:marBottom w:val="0"/>
          <w:divBdr>
            <w:top w:val="none" w:sz="0" w:space="0" w:color="auto"/>
            <w:left w:val="none" w:sz="0" w:space="0" w:color="auto"/>
            <w:bottom w:val="none" w:sz="0" w:space="0" w:color="auto"/>
            <w:right w:val="none" w:sz="0" w:space="0" w:color="auto"/>
          </w:divBdr>
          <w:divsChild>
            <w:div w:id="512065115">
              <w:marLeft w:val="0"/>
              <w:marRight w:val="0"/>
              <w:marTop w:val="0"/>
              <w:marBottom w:val="0"/>
              <w:divBdr>
                <w:top w:val="none" w:sz="0" w:space="0" w:color="auto"/>
                <w:left w:val="none" w:sz="0" w:space="0" w:color="auto"/>
                <w:bottom w:val="none" w:sz="0" w:space="0" w:color="auto"/>
                <w:right w:val="none" w:sz="0" w:space="0" w:color="auto"/>
              </w:divBdr>
              <w:divsChild>
                <w:div w:id="11630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8560">
      <w:bodyDiv w:val="1"/>
      <w:marLeft w:val="0"/>
      <w:marRight w:val="0"/>
      <w:marTop w:val="0"/>
      <w:marBottom w:val="0"/>
      <w:divBdr>
        <w:top w:val="none" w:sz="0" w:space="0" w:color="auto"/>
        <w:left w:val="none" w:sz="0" w:space="0" w:color="auto"/>
        <w:bottom w:val="none" w:sz="0" w:space="0" w:color="auto"/>
        <w:right w:val="none" w:sz="0" w:space="0" w:color="auto"/>
      </w:divBdr>
    </w:div>
    <w:div w:id="1167672864">
      <w:bodyDiv w:val="1"/>
      <w:marLeft w:val="0"/>
      <w:marRight w:val="0"/>
      <w:marTop w:val="0"/>
      <w:marBottom w:val="0"/>
      <w:divBdr>
        <w:top w:val="none" w:sz="0" w:space="0" w:color="auto"/>
        <w:left w:val="none" w:sz="0" w:space="0" w:color="auto"/>
        <w:bottom w:val="none" w:sz="0" w:space="0" w:color="auto"/>
        <w:right w:val="none" w:sz="0" w:space="0" w:color="auto"/>
      </w:divBdr>
    </w:div>
    <w:div w:id="1176307531">
      <w:bodyDiv w:val="1"/>
      <w:marLeft w:val="0"/>
      <w:marRight w:val="0"/>
      <w:marTop w:val="0"/>
      <w:marBottom w:val="0"/>
      <w:divBdr>
        <w:top w:val="none" w:sz="0" w:space="0" w:color="auto"/>
        <w:left w:val="none" w:sz="0" w:space="0" w:color="auto"/>
        <w:bottom w:val="none" w:sz="0" w:space="0" w:color="auto"/>
        <w:right w:val="none" w:sz="0" w:space="0" w:color="auto"/>
      </w:divBdr>
    </w:div>
    <w:div w:id="1184244258">
      <w:bodyDiv w:val="1"/>
      <w:marLeft w:val="0"/>
      <w:marRight w:val="0"/>
      <w:marTop w:val="0"/>
      <w:marBottom w:val="0"/>
      <w:divBdr>
        <w:top w:val="none" w:sz="0" w:space="0" w:color="auto"/>
        <w:left w:val="none" w:sz="0" w:space="0" w:color="auto"/>
        <w:bottom w:val="none" w:sz="0" w:space="0" w:color="auto"/>
        <w:right w:val="none" w:sz="0" w:space="0" w:color="auto"/>
      </w:divBdr>
    </w:div>
    <w:div w:id="1192106255">
      <w:bodyDiv w:val="1"/>
      <w:marLeft w:val="0"/>
      <w:marRight w:val="0"/>
      <w:marTop w:val="0"/>
      <w:marBottom w:val="0"/>
      <w:divBdr>
        <w:top w:val="none" w:sz="0" w:space="0" w:color="auto"/>
        <w:left w:val="none" w:sz="0" w:space="0" w:color="auto"/>
        <w:bottom w:val="none" w:sz="0" w:space="0" w:color="auto"/>
        <w:right w:val="none" w:sz="0" w:space="0" w:color="auto"/>
      </w:divBdr>
    </w:div>
    <w:div w:id="1212107658">
      <w:bodyDiv w:val="1"/>
      <w:marLeft w:val="0"/>
      <w:marRight w:val="0"/>
      <w:marTop w:val="0"/>
      <w:marBottom w:val="0"/>
      <w:divBdr>
        <w:top w:val="none" w:sz="0" w:space="0" w:color="auto"/>
        <w:left w:val="none" w:sz="0" w:space="0" w:color="auto"/>
        <w:bottom w:val="none" w:sz="0" w:space="0" w:color="auto"/>
        <w:right w:val="none" w:sz="0" w:space="0" w:color="auto"/>
      </w:divBdr>
      <w:divsChild>
        <w:div w:id="496308013">
          <w:marLeft w:val="0"/>
          <w:marRight w:val="0"/>
          <w:marTop w:val="0"/>
          <w:marBottom w:val="0"/>
          <w:divBdr>
            <w:top w:val="none" w:sz="0" w:space="0" w:color="auto"/>
            <w:left w:val="none" w:sz="0" w:space="0" w:color="auto"/>
            <w:bottom w:val="none" w:sz="0" w:space="0" w:color="auto"/>
            <w:right w:val="none" w:sz="0" w:space="0" w:color="auto"/>
          </w:divBdr>
          <w:divsChild>
            <w:div w:id="226112359">
              <w:marLeft w:val="0"/>
              <w:marRight w:val="0"/>
              <w:marTop w:val="0"/>
              <w:marBottom w:val="0"/>
              <w:divBdr>
                <w:top w:val="none" w:sz="0" w:space="0" w:color="auto"/>
                <w:left w:val="none" w:sz="0" w:space="0" w:color="auto"/>
                <w:bottom w:val="none" w:sz="0" w:space="0" w:color="auto"/>
                <w:right w:val="none" w:sz="0" w:space="0" w:color="auto"/>
              </w:divBdr>
              <w:divsChild>
                <w:div w:id="97068966">
                  <w:marLeft w:val="0"/>
                  <w:marRight w:val="0"/>
                  <w:marTop w:val="0"/>
                  <w:marBottom w:val="0"/>
                  <w:divBdr>
                    <w:top w:val="none" w:sz="0" w:space="0" w:color="auto"/>
                    <w:left w:val="none" w:sz="0" w:space="0" w:color="auto"/>
                    <w:bottom w:val="none" w:sz="0" w:space="0" w:color="auto"/>
                    <w:right w:val="none" w:sz="0" w:space="0" w:color="auto"/>
                  </w:divBdr>
                  <w:divsChild>
                    <w:div w:id="2738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21507">
      <w:bodyDiv w:val="1"/>
      <w:marLeft w:val="0"/>
      <w:marRight w:val="0"/>
      <w:marTop w:val="0"/>
      <w:marBottom w:val="0"/>
      <w:divBdr>
        <w:top w:val="none" w:sz="0" w:space="0" w:color="auto"/>
        <w:left w:val="none" w:sz="0" w:space="0" w:color="auto"/>
        <w:bottom w:val="none" w:sz="0" w:space="0" w:color="auto"/>
        <w:right w:val="none" w:sz="0" w:space="0" w:color="auto"/>
      </w:divBdr>
    </w:div>
    <w:div w:id="1227111937">
      <w:bodyDiv w:val="1"/>
      <w:marLeft w:val="0"/>
      <w:marRight w:val="0"/>
      <w:marTop w:val="0"/>
      <w:marBottom w:val="0"/>
      <w:divBdr>
        <w:top w:val="none" w:sz="0" w:space="0" w:color="auto"/>
        <w:left w:val="none" w:sz="0" w:space="0" w:color="auto"/>
        <w:bottom w:val="none" w:sz="0" w:space="0" w:color="auto"/>
        <w:right w:val="none" w:sz="0" w:space="0" w:color="auto"/>
      </w:divBdr>
    </w:div>
    <w:div w:id="1250195275">
      <w:bodyDiv w:val="1"/>
      <w:marLeft w:val="0"/>
      <w:marRight w:val="0"/>
      <w:marTop w:val="0"/>
      <w:marBottom w:val="0"/>
      <w:divBdr>
        <w:top w:val="none" w:sz="0" w:space="0" w:color="auto"/>
        <w:left w:val="none" w:sz="0" w:space="0" w:color="auto"/>
        <w:bottom w:val="none" w:sz="0" w:space="0" w:color="auto"/>
        <w:right w:val="none" w:sz="0" w:space="0" w:color="auto"/>
      </w:divBdr>
    </w:div>
    <w:div w:id="1264846999">
      <w:bodyDiv w:val="1"/>
      <w:marLeft w:val="0"/>
      <w:marRight w:val="0"/>
      <w:marTop w:val="0"/>
      <w:marBottom w:val="0"/>
      <w:divBdr>
        <w:top w:val="none" w:sz="0" w:space="0" w:color="auto"/>
        <w:left w:val="none" w:sz="0" w:space="0" w:color="auto"/>
        <w:bottom w:val="none" w:sz="0" w:space="0" w:color="auto"/>
        <w:right w:val="none" w:sz="0" w:space="0" w:color="auto"/>
      </w:divBdr>
    </w:div>
    <w:div w:id="1271281507">
      <w:bodyDiv w:val="1"/>
      <w:marLeft w:val="0"/>
      <w:marRight w:val="0"/>
      <w:marTop w:val="0"/>
      <w:marBottom w:val="0"/>
      <w:divBdr>
        <w:top w:val="none" w:sz="0" w:space="0" w:color="auto"/>
        <w:left w:val="none" w:sz="0" w:space="0" w:color="auto"/>
        <w:bottom w:val="none" w:sz="0" w:space="0" w:color="auto"/>
        <w:right w:val="none" w:sz="0" w:space="0" w:color="auto"/>
      </w:divBdr>
    </w:div>
    <w:div w:id="1275595758">
      <w:bodyDiv w:val="1"/>
      <w:marLeft w:val="0"/>
      <w:marRight w:val="0"/>
      <w:marTop w:val="0"/>
      <w:marBottom w:val="0"/>
      <w:divBdr>
        <w:top w:val="none" w:sz="0" w:space="0" w:color="auto"/>
        <w:left w:val="none" w:sz="0" w:space="0" w:color="auto"/>
        <w:bottom w:val="none" w:sz="0" w:space="0" w:color="auto"/>
        <w:right w:val="none" w:sz="0" w:space="0" w:color="auto"/>
      </w:divBdr>
      <w:divsChild>
        <w:div w:id="991058292">
          <w:marLeft w:val="0"/>
          <w:marRight w:val="0"/>
          <w:marTop w:val="0"/>
          <w:marBottom w:val="0"/>
          <w:divBdr>
            <w:top w:val="none" w:sz="0" w:space="0" w:color="auto"/>
            <w:left w:val="none" w:sz="0" w:space="0" w:color="auto"/>
            <w:bottom w:val="none" w:sz="0" w:space="0" w:color="auto"/>
            <w:right w:val="none" w:sz="0" w:space="0" w:color="auto"/>
          </w:divBdr>
          <w:divsChild>
            <w:div w:id="2006198797">
              <w:marLeft w:val="0"/>
              <w:marRight w:val="0"/>
              <w:marTop w:val="0"/>
              <w:marBottom w:val="0"/>
              <w:divBdr>
                <w:top w:val="none" w:sz="0" w:space="0" w:color="auto"/>
                <w:left w:val="none" w:sz="0" w:space="0" w:color="auto"/>
                <w:bottom w:val="none" w:sz="0" w:space="0" w:color="auto"/>
                <w:right w:val="none" w:sz="0" w:space="0" w:color="auto"/>
              </w:divBdr>
              <w:divsChild>
                <w:div w:id="93482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7087">
      <w:bodyDiv w:val="1"/>
      <w:marLeft w:val="0"/>
      <w:marRight w:val="0"/>
      <w:marTop w:val="0"/>
      <w:marBottom w:val="0"/>
      <w:divBdr>
        <w:top w:val="none" w:sz="0" w:space="0" w:color="auto"/>
        <w:left w:val="none" w:sz="0" w:space="0" w:color="auto"/>
        <w:bottom w:val="none" w:sz="0" w:space="0" w:color="auto"/>
        <w:right w:val="none" w:sz="0" w:space="0" w:color="auto"/>
      </w:divBdr>
      <w:divsChild>
        <w:div w:id="1116102024">
          <w:marLeft w:val="0"/>
          <w:marRight w:val="0"/>
          <w:marTop w:val="0"/>
          <w:marBottom w:val="0"/>
          <w:divBdr>
            <w:top w:val="none" w:sz="0" w:space="0" w:color="auto"/>
            <w:left w:val="none" w:sz="0" w:space="0" w:color="auto"/>
            <w:bottom w:val="none" w:sz="0" w:space="0" w:color="auto"/>
            <w:right w:val="none" w:sz="0" w:space="0" w:color="auto"/>
          </w:divBdr>
          <w:divsChild>
            <w:div w:id="1736590279">
              <w:marLeft w:val="0"/>
              <w:marRight w:val="0"/>
              <w:marTop w:val="0"/>
              <w:marBottom w:val="0"/>
              <w:divBdr>
                <w:top w:val="none" w:sz="0" w:space="0" w:color="auto"/>
                <w:left w:val="none" w:sz="0" w:space="0" w:color="auto"/>
                <w:bottom w:val="none" w:sz="0" w:space="0" w:color="auto"/>
                <w:right w:val="none" w:sz="0" w:space="0" w:color="auto"/>
              </w:divBdr>
              <w:divsChild>
                <w:div w:id="92965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028541">
      <w:bodyDiv w:val="1"/>
      <w:marLeft w:val="0"/>
      <w:marRight w:val="0"/>
      <w:marTop w:val="0"/>
      <w:marBottom w:val="0"/>
      <w:divBdr>
        <w:top w:val="none" w:sz="0" w:space="0" w:color="auto"/>
        <w:left w:val="none" w:sz="0" w:space="0" w:color="auto"/>
        <w:bottom w:val="none" w:sz="0" w:space="0" w:color="auto"/>
        <w:right w:val="none" w:sz="0" w:space="0" w:color="auto"/>
      </w:divBdr>
    </w:div>
    <w:div w:id="1353264106">
      <w:bodyDiv w:val="1"/>
      <w:marLeft w:val="0"/>
      <w:marRight w:val="0"/>
      <w:marTop w:val="0"/>
      <w:marBottom w:val="0"/>
      <w:divBdr>
        <w:top w:val="none" w:sz="0" w:space="0" w:color="auto"/>
        <w:left w:val="none" w:sz="0" w:space="0" w:color="auto"/>
        <w:bottom w:val="none" w:sz="0" w:space="0" w:color="auto"/>
        <w:right w:val="none" w:sz="0" w:space="0" w:color="auto"/>
      </w:divBdr>
    </w:div>
    <w:div w:id="1381127734">
      <w:bodyDiv w:val="1"/>
      <w:marLeft w:val="0"/>
      <w:marRight w:val="0"/>
      <w:marTop w:val="0"/>
      <w:marBottom w:val="0"/>
      <w:divBdr>
        <w:top w:val="none" w:sz="0" w:space="0" w:color="auto"/>
        <w:left w:val="none" w:sz="0" w:space="0" w:color="auto"/>
        <w:bottom w:val="none" w:sz="0" w:space="0" w:color="auto"/>
        <w:right w:val="none" w:sz="0" w:space="0" w:color="auto"/>
      </w:divBdr>
    </w:div>
    <w:div w:id="1437213920">
      <w:bodyDiv w:val="1"/>
      <w:marLeft w:val="0"/>
      <w:marRight w:val="0"/>
      <w:marTop w:val="0"/>
      <w:marBottom w:val="0"/>
      <w:divBdr>
        <w:top w:val="none" w:sz="0" w:space="0" w:color="auto"/>
        <w:left w:val="none" w:sz="0" w:space="0" w:color="auto"/>
        <w:bottom w:val="none" w:sz="0" w:space="0" w:color="auto"/>
        <w:right w:val="none" w:sz="0" w:space="0" w:color="auto"/>
      </w:divBdr>
    </w:div>
    <w:div w:id="1457673377">
      <w:bodyDiv w:val="1"/>
      <w:marLeft w:val="0"/>
      <w:marRight w:val="0"/>
      <w:marTop w:val="0"/>
      <w:marBottom w:val="0"/>
      <w:divBdr>
        <w:top w:val="none" w:sz="0" w:space="0" w:color="auto"/>
        <w:left w:val="none" w:sz="0" w:space="0" w:color="auto"/>
        <w:bottom w:val="none" w:sz="0" w:space="0" w:color="auto"/>
        <w:right w:val="none" w:sz="0" w:space="0" w:color="auto"/>
      </w:divBdr>
    </w:div>
    <w:div w:id="1475877369">
      <w:bodyDiv w:val="1"/>
      <w:marLeft w:val="0"/>
      <w:marRight w:val="0"/>
      <w:marTop w:val="0"/>
      <w:marBottom w:val="0"/>
      <w:divBdr>
        <w:top w:val="none" w:sz="0" w:space="0" w:color="auto"/>
        <w:left w:val="none" w:sz="0" w:space="0" w:color="auto"/>
        <w:bottom w:val="none" w:sz="0" w:space="0" w:color="auto"/>
        <w:right w:val="none" w:sz="0" w:space="0" w:color="auto"/>
      </w:divBdr>
    </w:div>
    <w:div w:id="1493524906">
      <w:bodyDiv w:val="1"/>
      <w:marLeft w:val="0"/>
      <w:marRight w:val="0"/>
      <w:marTop w:val="0"/>
      <w:marBottom w:val="0"/>
      <w:divBdr>
        <w:top w:val="none" w:sz="0" w:space="0" w:color="auto"/>
        <w:left w:val="none" w:sz="0" w:space="0" w:color="auto"/>
        <w:bottom w:val="none" w:sz="0" w:space="0" w:color="auto"/>
        <w:right w:val="none" w:sz="0" w:space="0" w:color="auto"/>
      </w:divBdr>
      <w:divsChild>
        <w:div w:id="1050835712">
          <w:marLeft w:val="0"/>
          <w:marRight w:val="0"/>
          <w:marTop w:val="0"/>
          <w:marBottom w:val="0"/>
          <w:divBdr>
            <w:top w:val="none" w:sz="0" w:space="0" w:color="auto"/>
            <w:left w:val="none" w:sz="0" w:space="0" w:color="auto"/>
            <w:bottom w:val="none" w:sz="0" w:space="0" w:color="auto"/>
            <w:right w:val="none" w:sz="0" w:space="0" w:color="auto"/>
          </w:divBdr>
          <w:divsChild>
            <w:div w:id="569392601">
              <w:marLeft w:val="0"/>
              <w:marRight w:val="0"/>
              <w:marTop w:val="0"/>
              <w:marBottom w:val="0"/>
              <w:divBdr>
                <w:top w:val="none" w:sz="0" w:space="0" w:color="auto"/>
                <w:left w:val="none" w:sz="0" w:space="0" w:color="auto"/>
                <w:bottom w:val="none" w:sz="0" w:space="0" w:color="auto"/>
                <w:right w:val="none" w:sz="0" w:space="0" w:color="auto"/>
              </w:divBdr>
              <w:divsChild>
                <w:div w:id="10678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32021">
      <w:bodyDiv w:val="1"/>
      <w:marLeft w:val="0"/>
      <w:marRight w:val="0"/>
      <w:marTop w:val="0"/>
      <w:marBottom w:val="0"/>
      <w:divBdr>
        <w:top w:val="none" w:sz="0" w:space="0" w:color="auto"/>
        <w:left w:val="none" w:sz="0" w:space="0" w:color="auto"/>
        <w:bottom w:val="none" w:sz="0" w:space="0" w:color="auto"/>
        <w:right w:val="none" w:sz="0" w:space="0" w:color="auto"/>
      </w:divBdr>
    </w:div>
    <w:div w:id="1566991958">
      <w:bodyDiv w:val="1"/>
      <w:marLeft w:val="0"/>
      <w:marRight w:val="0"/>
      <w:marTop w:val="0"/>
      <w:marBottom w:val="0"/>
      <w:divBdr>
        <w:top w:val="none" w:sz="0" w:space="0" w:color="auto"/>
        <w:left w:val="none" w:sz="0" w:space="0" w:color="auto"/>
        <w:bottom w:val="none" w:sz="0" w:space="0" w:color="auto"/>
        <w:right w:val="none" w:sz="0" w:space="0" w:color="auto"/>
      </w:divBdr>
      <w:divsChild>
        <w:div w:id="607277172">
          <w:marLeft w:val="640"/>
          <w:marRight w:val="0"/>
          <w:marTop w:val="0"/>
          <w:marBottom w:val="0"/>
          <w:divBdr>
            <w:top w:val="none" w:sz="0" w:space="0" w:color="auto"/>
            <w:left w:val="none" w:sz="0" w:space="0" w:color="auto"/>
            <w:bottom w:val="none" w:sz="0" w:space="0" w:color="auto"/>
            <w:right w:val="none" w:sz="0" w:space="0" w:color="auto"/>
          </w:divBdr>
        </w:div>
        <w:div w:id="610089800">
          <w:marLeft w:val="640"/>
          <w:marRight w:val="0"/>
          <w:marTop w:val="0"/>
          <w:marBottom w:val="0"/>
          <w:divBdr>
            <w:top w:val="none" w:sz="0" w:space="0" w:color="auto"/>
            <w:left w:val="none" w:sz="0" w:space="0" w:color="auto"/>
            <w:bottom w:val="none" w:sz="0" w:space="0" w:color="auto"/>
            <w:right w:val="none" w:sz="0" w:space="0" w:color="auto"/>
          </w:divBdr>
        </w:div>
        <w:div w:id="1559978839">
          <w:marLeft w:val="640"/>
          <w:marRight w:val="0"/>
          <w:marTop w:val="0"/>
          <w:marBottom w:val="0"/>
          <w:divBdr>
            <w:top w:val="none" w:sz="0" w:space="0" w:color="auto"/>
            <w:left w:val="none" w:sz="0" w:space="0" w:color="auto"/>
            <w:bottom w:val="none" w:sz="0" w:space="0" w:color="auto"/>
            <w:right w:val="none" w:sz="0" w:space="0" w:color="auto"/>
          </w:divBdr>
        </w:div>
        <w:div w:id="745961195">
          <w:marLeft w:val="640"/>
          <w:marRight w:val="0"/>
          <w:marTop w:val="0"/>
          <w:marBottom w:val="0"/>
          <w:divBdr>
            <w:top w:val="none" w:sz="0" w:space="0" w:color="auto"/>
            <w:left w:val="none" w:sz="0" w:space="0" w:color="auto"/>
            <w:bottom w:val="none" w:sz="0" w:space="0" w:color="auto"/>
            <w:right w:val="none" w:sz="0" w:space="0" w:color="auto"/>
          </w:divBdr>
        </w:div>
        <w:div w:id="925921202">
          <w:marLeft w:val="640"/>
          <w:marRight w:val="0"/>
          <w:marTop w:val="0"/>
          <w:marBottom w:val="0"/>
          <w:divBdr>
            <w:top w:val="none" w:sz="0" w:space="0" w:color="auto"/>
            <w:left w:val="none" w:sz="0" w:space="0" w:color="auto"/>
            <w:bottom w:val="none" w:sz="0" w:space="0" w:color="auto"/>
            <w:right w:val="none" w:sz="0" w:space="0" w:color="auto"/>
          </w:divBdr>
        </w:div>
        <w:div w:id="532040015">
          <w:marLeft w:val="640"/>
          <w:marRight w:val="0"/>
          <w:marTop w:val="0"/>
          <w:marBottom w:val="0"/>
          <w:divBdr>
            <w:top w:val="none" w:sz="0" w:space="0" w:color="auto"/>
            <w:left w:val="none" w:sz="0" w:space="0" w:color="auto"/>
            <w:bottom w:val="none" w:sz="0" w:space="0" w:color="auto"/>
            <w:right w:val="none" w:sz="0" w:space="0" w:color="auto"/>
          </w:divBdr>
        </w:div>
        <w:div w:id="17853606">
          <w:marLeft w:val="640"/>
          <w:marRight w:val="0"/>
          <w:marTop w:val="0"/>
          <w:marBottom w:val="0"/>
          <w:divBdr>
            <w:top w:val="none" w:sz="0" w:space="0" w:color="auto"/>
            <w:left w:val="none" w:sz="0" w:space="0" w:color="auto"/>
            <w:bottom w:val="none" w:sz="0" w:space="0" w:color="auto"/>
            <w:right w:val="none" w:sz="0" w:space="0" w:color="auto"/>
          </w:divBdr>
        </w:div>
        <w:div w:id="893346465">
          <w:marLeft w:val="640"/>
          <w:marRight w:val="0"/>
          <w:marTop w:val="0"/>
          <w:marBottom w:val="0"/>
          <w:divBdr>
            <w:top w:val="none" w:sz="0" w:space="0" w:color="auto"/>
            <w:left w:val="none" w:sz="0" w:space="0" w:color="auto"/>
            <w:bottom w:val="none" w:sz="0" w:space="0" w:color="auto"/>
            <w:right w:val="none" w:sz="0" w:space="0" w:color="auto"/>
          </w:divBdr>
        </w:div>
        <w:div w:id="1495876816">
          <w:marLeft w:val="640"/>
          <w:marRight w:val="0"/>
          <w:marTop w:val="0"/>
          <w:marBottom w:val="0"/>
          <w:divBdr>
            <w:top w:val="none" w:sz="0" w:space="0" w:color="auto"/>
            <w:left w:val="none" w:sz="0" w:space="0" w:color="auto"/>
            <w:bottom w:val="none" w:sz="0" w:space="0" w:color="auto"/>
            <w:right w:val="none" w:sz="0" w:space="0" w:color="auto"/>
          </w:divBdr>
        </w:div>
        <w:div w:id="126244101">
          <w:marLeft w:val="640"/>
          <w:marRight w:val="0"/>
          <w:marTop w:val="0"/>
          <w:marBottom w:val="0"/>
          <w:divBdr>
            <w:top w:val="none" w:sz="0" w:space="0" w:color="auto"/>
            <w:left w:val="none" w:sz="0" w:space="0" w:color="auto"/>
            <w:bottom w:val="none" w:sz="0" w:space="0" w:color="auto"/>
            <w:right w:val="none" w:sz="0" w:space="0" w:color="auto"/>
          </w:divBdr>
        </w:div>
        <w:div w:id="1416590231">
          <w:marLeft w:val="640"/>
          <w:marRight w:val="0"/>
          <w:marTop w:val="0"/>
          <w:marBottom w:val="0"/>
          <w:divBdr>
            <w:top w:val="none" w:sz="0" w:space="0" w:color="auto"/>
            <w:left w:val="none" w:sz="0" w:space="0" w:color="auto"/>
            <w:bottom w:val="none" w:sz="0" w:space="0" w:color="auto"/>
            <w:right w:val="none" w:sz="0" w:space="0" w:color="auto"/>
          </w:divBdr>
        </w:div>
        <w:div w:id="12806294">
          <w:marLeft w:val="640"/>
          <w:marRight w:val="0"/>
          <w:marTop w:val="0"/>
          <w:marBottom w:val="0"/>
          <w:divBdr>
            <w:top w:val="none" w:sz="0" w:space="0" w:color="auto"/>
            <w:left w:val="none" w:sz="0" w:space="0" w:color="auto"/>
            <w:bottom w:val="none" w:sz="0" w:space="0" w:color="auto"/>
            <w:right w:val="none" w:sz="0" w:space="0" w:color="auto"/>
          </w:divBdr>
        </w:div>
        <w:div w:id="1813062141">
          <w:marLeft w:val="640"/>
          <w:marRight w:val="0"/>
          <w:marTop w:val="0"/>
          <w:marBottom w:val="0"/>
          <w:divBdr>
            <w:top w:val="none" w:sz="0" w:space="0" w:color="auto"/>
            <w:left w:val="none" w:sz="0" w:space="0" w:color="auto"/>
            <w:bottom w:val="none" w:sz="0" w:space="0" w:color="auto"/>
            <w:right w:val="none" w:sz="0" w:space="0" w:color="auto"/>
          </w:divBdr>
        </w:div>
        <w:div w:id="167017642">
          <w:marLeft w:val="640"/>
          <w:marRight w:val="0"/>
          <w:marTop w:val="0"/>
          <w:marBottom w:val="0"/>
          <w:divBdr>
            <w:top w:val="none" w:sz="0" w:space="0" w:color="auto"/>
            <w:left w:val="none" w:sz="0" w:space="0" w:color="auto"/>
            <w:bottom w:val="none" w:sz="0" w:space="0" w:color="auto"/>
            <w:right w:val="none" w:sz="0" w:space="0" w:color="auto"/>
          </w:divBdr>
        </w:div>
        <w:div w:id="671227719">
          <w:marLeft w:val="640"/>
          <w:marRight w:val="0"/>
          <w:marTop w:val="0"/>
          <w:marBottom w:val="0"/>
          <w:divBdr>
            <w:top w:val="none" w:sz="0" w:space="0" w:color="auto"/>
            <w:left w:val="none" w:sz="0" w:space="0" w:color="auto"/>
            <w:bottom w:val="none" w:sz="0" w:space="0" w:color="auto"/>
            <w:right w:val="none" w:sz="0" w:space="0" w:color="auto"/>
          </w:divBdr>
        </w:div>
        <w:div w:id="1996033176">
          <w:marLeft w:val="640"/>
          <w:marRight w:val="0"/>
          <w:marTop w:val="0"/>
          <w:marBottom w:val="0"/>
          <w:divBdr>
            <w:top w:val="none" w:sz="0" w:space="0" w:color="auto"/>
            <w:left w:val="none" w:sz="0" w:space="0" w:color="auto"/>
            <w:bottom w:val="none" w:sz="0" w:space="0" w:color="auto"/>
            <w:right w:val="none" w:sz="0" w:space="0" w:color="auto"/>
          </w:divBdr>
        </w:div>
        <w:div w:id="667947870">
          <w:marLeft w:val="640"/>
          <w:marRight w:val="0"/>
          <w:marTop w:val="0"/>
          <w:marBottom w:val="0"/>
          <w:divBdr>
            <w:top w:val="none" w:sz="0" w:space="0" w:color="auto"/>
            <w:left w:val="none" w:sz="0" w:space="0" w:color="auto"/>
            <w:bottom w:val="none" w:sz="0" w:space="0" w:color="auto"/>
            <w:right w:val="none" w:sz="0" w:space="0" w:color="auto"/>
          </w:divBdr>
        </w:div>
        <w:div w:id="303891643">
          <w:marLeft w:val="640"/>
          <w:marRight w:val="0"/>
          <w:marTop w:val="0"/>
          <w:marBottom w:val="0"/>
          <w:divBdr>
            <w:top w:val="none" w:sz="0" w:space="0" w:color="auto"/>
            <w:left w:val="none" w:sz="0" w:space="0" w:color="auto"/>
            <w:bottom w:val="none" w:sz="0" w:space="0" w:color="auto"/>
            <w:right w:val="none" w:sz="0" w:space="0" w:color="auto"/>
          </w:divBdr>
        </w:div>
        <w:div w:id="1947424310">
          <w:marLeft w:val="640"/>
          <w:marRight w:val="0"/>
          <w:marTop w:val="0"/>
          <w:marBottom w:val="0"/>
          <w:divBdr>
            <w:top w:val="none" w:sz="0" w:space="0" w:color="auto"/>
            <w:left w:val="none" w:sz="0" w:space="0" w:color="auto"/>
            <w:bottom w:val="none" w:sz="0" w:space="0" w:color="auto"/>
            <w:right w:val="none" w:sz="0" w:space="0" w:color="auto"/>
          </w:divBdr>
        </w:div>
        <w:div w:id="1775900329">
          <w:marLeft w:val="640"/>
          <w:marRight w:val="0"/>
          <w:marTop w:val="0"/>
          <w:marBottom w:val="0"/>
          <w:divBdr>
            <w:top w:val="none" w:sz="0" w:space="0" w:color="auto"/>
            <w:left w:val="none" w:sz="0" w:space="0" w:color="auto"/>
            <w:bottom w:val="none" w:sz="0" w:space="0" w:color="auto"/>
            <w:right w:val="none" w:sz="0" w:space="0" w:color="auto"/>
          </w:divBdr>
        </w:div>
        <w:div w:id="1511410918">
          <w:marLeft w:val="640"/>
          <w:marRight w:val="0"/>
          <w:marTop w:val="0"/>
          <w:marBottom w:val="0"/>
          <w:divBdr>
            <w:top w:val="none" w:sz="0" w:space="0" w:color="auto"/>
            <w:left w:val="none" w:sz="0" w:space="0" w:color="auto"/>
            <w:bottom w:val="none" w:sz="0" w:space="0" w:color="auto"/>
            <w:right w:val="none" w:sz="0" w:space="0" w:color="auto"/>
          </w:divBdr>
        </w:div>
        <w:div w:id="915630183">
          <w:marLeft w:val="640"/>
          <w:marRight w:val="0"/>
          <w:marTop w:val="0"/>
          <w:marBottom w:val="0"/>
          <w:divBdr>
            <w:top w:val="none" w:sz="0" w:space="0" w:color="auto"/>
            <w:left w:val="none" w:sz="0" w:space="0" w:color="auto"/>
            <w:bottom w:val="none" w:sz="0" w:space="0" w:color="auto"/>
            <w:right w:val="none" w:sz="0" w:space="0" w:color="auto"/>
          </w:divBdr>
        </w:div>
      </w:divsChild>
    </w:div>
    <w:div w:id="1593856424">
      <w:bodyDiv w:val="1"/>
      <w:marLeft w:val="0"/>
      <w:marRight w:val="0"/>
      <w:marTop w:val="0"/>
      <w:marBottom w:val="0"/>
      <w:divBdr>
        <w:top w:val="none" w:sz="0" w:space="0" w:color="auto"/>
        <w:left w:val="none" w:sz="0" w:space="0" w:color="auto"/>
        <w:bottom w:val="none" w:sz="0" w:space="0" w:color="auto"/>
        <w:right w:val="none" w:sz="0" w:space="0" w:color="auto"/>
      </w:divBdr>
    </w:div>
    <w:div w:id="1635283596">
      <w:bodyDiv w:val="1"/>
      <w:marLeft w:val="0"/>
      <w:marRight w:val="0"/>
      <w:marTop w:val="0"/>
      <w:marBottom w:val="0"/>
      <w:divBdr>
        <w:top w:val="none" w:sz="0" w:space="0" w:color="auto"/>
        <w:left w:val="none" w:sz="0" w:space="0" w:color="auto"/>
        <w:bottom w:val="none" w:sz="0" w:space="0" w:color="auto"/>
        <w:right w:val="none" w:sz="0" w:space="0" w:color="auto"/>
      </w:divBdr>
    </w:div>
    <w:div w:id="1636521537">
      <w:bodyDiv w:val="1"/>
      <w:marLeft w:val="0"/>
      <w:marRight w:val="0"/>
      <w:marTop w:val="0"/>
      <w:marBottom w:val="0"/>
      <w:divBdr>
        <w:top w:val="none" w:sz="0" w:space="0" w:color="auto"/>
        <w:left w:val="none" w:sz="0" w:space="0" w:color="auto"/>
        <w:bottom w:val="none" w:sz="0" w:space="0" w:color="auto"/>
        <w:right w:val="none" w:sz="0" w:space="0" w:color="auto"/>
      </w:divBdr>
    </w:div>
    <w:div w:id="1642996355">
      <w:bodyDiv w:val="1"/>
      <w:marLeft w:val="0"/>
      <w:marRight w:val="0"/>
      <w:marTop w:val="0"/>
      <w:marBottom w:val="0"/>
      <w:divBdr>
        <w:top w:val="none" w:sz="0" w:space="0" w:color="auto"/>
        <w:left w:val="none" w:sz="0" w:space="0" w:color="auto"/>
        <w:bottom w:val="none" w:sz="0" w:space="0" w:color="auto"/>
        <w:right w:val="none" w:sz="0" w:space="0" w:color="auto"/>
      </w:divBdr>
      <w:divsChild>
        <w:div w:id="1495339766">
          <w:marLeft w:val="0"/>
          <w:marRight w:val="0"/>
          <w:marTop w:val="0"/>
          <w:marBottom w:val="0"/>
          <w:divBdr>
            <w:top w:val="none" w:sz="0" w:space="0" w:color="auto"/>
            <w:left w:val="none" w:sz="0" w:space="0" w:color="auto"/>
            <w:bottom w:val="none" w:sz="0" w:space="0" w:color="auto"/>
            <w:right w:val="none" w:sz="0" w:space="0" w:color="auto"/>
          </w:divBdr>
          <w:divsChild>
            <w:div w:id="2120027706">
              <w:marLeft w:val="0"/>
              <w:marRight w:val="0"/>
              <w:marTop w:val="0"/>
              <w:marBottom w:val="0"/>
              <w:divBdr>
                <w:top w:val="none" w:sz="0" w:space="0" w:color="auto"/>
                <w:left w:val="none" w:sz="0" w:space="0" w:color="auto"/>
                <w:bottom w:val="none" w:sz="0" w:space="0" w:color="auto"/>
                <w:right w:val="none" w:sz="0" w:space="0" w:color="auto"/>
              </w:divBdr>
              <w:divsChild>
                <w:div w:id="1016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3040">
      <w:bodyDiv w:val="1"/>
      <w:marLeft w:val="0"/>
      <w:marRight w:val="0"/>
      <w:marTop w:val="0"/>
      <w:marBottom w:val="0"/>
      <w:divBdr>
        <w:top w:val="none" w:sz="0" w:space="0" w:color="auto"/>
        <w:left w:val="none" w:sz="0" w:space="0" w:color="auto"/>
        <w:bottom w:val="none" w:sz="0" w:space="0" w:color="auto"/>
        <w:right w:val="none" w:sz="0" w:space="0" w:color="auto"/>
      </w:divBdr>
    </w:div>
    <w:div w:id="1691494267">
      <w:bodyDiv w:val="1"/>
      <w:marLeft w:val="0"/>
      <w:marRight w:val="0"/>
      <w:marTop w:val="0"/>
      <w:marBottom w:val="0"/>
      <w:divBdr>
        <w:top w:val="none" w:sz="0" w:space="0" w:color="auto"/>
        <w:left w:val="none" w:sz="0" w:space="0" w:color="auto"/>
        <w:bottom w:val="none" w:sz="0" w:space="0" w:color="auto"/>
        <w:right w:val="none" w:sz="0" w:space="0" w:color="auto"/>
      </w:divBdr>
    </w:div>
    <w:div w:id="1692149899">
      <w:bodyDiv w:val="1"/>
      <w:marLeft w:val="0"/>
      <w:marRight w:val="0"/>
      <w:marTop w:val="0"/>
      <w:marBottom w:val="0"/>
      <w:divBdr>
        <w:top w:val="none" w:sz="0" w:space="0" w:color="auto"/>
        <w:left w:val="none" w:sz="0" w:space="0" w:color="auto"/>
        <w:bottom w:val="none" w:sz="0" w:space="0" w:color="auto"/>
        <w:right w:val="none" w:sz="0" w:space="0" w:color="auto"/>
      </w:divBdr>
      <w:divsChild>
        <w:div w:id="1820078276">
          <w:marLeft w:val="0"/>
          <w:marRight w:val="0"/>
          <w:marTop w:val="0"/>
          <w:marBottom w:val="0"/>
          <w:divBdr>
            <w:top w:val="none" w:sz="0" w:space="0" w:color="auto"/>
            <w:left w:val="none" w:sz="0" w:space="0" w:color="auto"/>
            <w:bottom w:val="none" w:sz="0" w:space="0" w:color="auto"/>
            <w:right w:val="none" w:sz="0" w:space="0" w:color="auto"/>
          </w:divBdr>
          <w:divsChild>
            <w:div w:id="1081565597">
              <w:marLeft w:val="0"/>
              <w:marRight w:val="0"/>
              <w:marTop w:val="0"/>
              <w:marBottom w:val="0"/>
              <w:divBdr>
                <w:top w:val="none" w:sz="0" w:space="0" w:color="auto"/>
                <w:left w:val="none" w:sz="0" w:space="0" w:color="auto"/>
                <w:bottom w:val="none" w:sz="0" w:space="0" w:color="auto"/>
                <w:right w:val="none" w:sz="0" w:space="0" w:color="auto"/>
              </w:divBdr>
              <w:divsChild>
                <w:div w:id="965086954">
                  <w:marLeft w:val="0"/>
                  <w:marRight w:val="0"/>
                  <w:marTop w:val="0"/>
                  <w:marBottom w:val="0"/>
                  <w:divBdr>
                    <w:top w:val="none" w:sz="0" w:space="0" w:color="auto"/>
                    <w:left w:val="none" w:sz="0" w:space="0" w:color="auto"/>
                    <w:bottom w:val="none" w:sz="0" w:space="0" w:color="auto"/>
                    <w:right w:val="none" w:sz="0" w:space="0" w:color="auto"/>
                  </w:divBdr>
                  <w:divsChild>
                    <w:div w:id="158179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622224">
      <w:bodyDiv w:val="1"/>
      <w:marLeft w:val="0"/>
      <w:marRight w:val="0"/>
      <w:marTop w:val="0"/>
      <w:marBottom w:val="0"/>
      <w:divBdr>
        <w:top w:val="none" w:sz="0" w:space="0" w:color="auto"/>
        <w:left w:val="none" w:sz="0" w:space="0" w:color="auto"/>
        <w:bottom w:val="none" w:sz="0" w:space="0" w:color="auto"/>
        <w:right w:val="none" w:sz="0" w:space="0" w:color="auto"/>
      </w:divBdr>
    </w:div>
    <w:div w:id="1734697974">
      <w:bodyDiv w:val="1"/>
      <w:marLeft w:val="0"/>
      <w:marRight w:val="0"/>
      <w:marTop w:val="0"/>
      <w:marBottom w:val="0"/>
      <w:divBdr>
        <w:top w:val="none" w:sz="0" w:space="0" w:color="auto"/>
        <w:left w:val="none" w:sz="0" w:space="0" w:color="auto"/>
        <w:bottom w:val="none" w:sz="0" w:space="0" w:color="auto"/>
        <w:right w:val="none" w:sz="0" w:space="0" w:color="auto"/>
      </w:divBdr>
    </w:div>
    <w:div w:id="1765763630">
      <w:bodyDiv w:val="1"/>
      <w:marLeft w:val="0"/>
      <w:marRight w:val="0"/>
      <w:marTop w:val="0"/>
      <w:marBottom w:val="0"/>
      <w:divBdr>
        <w:top w:val="none" w:sz="0" w:space="0" w:color="auto"/>
        <w:left w:val="none" w:sz="0" w:space="0" w:color="auto"/>
        <w:bottom w:val="none" w:sz="0" w:space="0" w:color="auto"/>
        <w:right w:val="none" w:sz="0" w:space="0" w:color="auto"/>
      </w:divBdr>
    </w:div>
    <w:div w:id="1775514899">
      <w:bodyDiv w:val="1"/>
      <w:marLeft w:val="0"/>
      <w:marRight w:val="0"/>
      <w:marTop w:val="0"/>
      <w:marBottom w:val="0"/>
      <w:divBdr>
        <w:top w:val="none" w:sz="0" w:space="0" w:color="auto"/>
        <w:left w:val="none" w:sz="0" w:space="0" w:color="auto"/>
        <w:bottom w:val="none" w:sz="0" w:space="0" w:color="auto"/>
        <w:right w:val="none" w:sz="0" w:space="0" w:color="auto"/>
      </w:divBdr>
      <w:divsChild>
        <w:div w:id="2076468357">
          <w:marLeft w:val="0"/>
          <w:marRight w:val="0"/>
          <w:marTop w:val="0"/>
          <w:marBottom w:val="0"/>
          <w:divBdr>
            <w:top w:val="none" w:sz="0" w:space="0" w:color="auto"/>
            <w:left w:val="none" w:sz="0" w:space="0" w:color="auto"/>
            <w:bottom w:val="none" w:sz="0" w:space="0" w:color="auto"/>
            <w:right w:val="none" w:sz="0" w:space="0" w:color="auto"/>
          </w:divBdr>
          <w:divsChild>
            <w:div w:id="1266766206">
              <w:marLeft w:val="0"/>
              <w:marRight w:val="0"/>
              <w:marTop w:val="0"/>
              <w:marBottom w:val="0"/>
              <w:divBdr>
                <w:top w:val="none" w:sz="0" w:space="0" w:color="auto"/>
                <w:left w:val="none" w:sz="0" w:space="0" w:color="auto"/>
                <w:bottom w:val="none" w:sz="0" w:space="0" w:color="auto"/>
                <w:right w:val="none" w:sz="0" w:space="0" w:color="auto"/>
              </w:divBdr>
              <w:divsChild>
                <w:div w:id="1137526017">
                  <w:marLeft w:val="0"/>
                  <w:marRight w:val="0"/>
                  <w:marTop w:val="0"/>
                  <w:marBottom w:val="0"/>
                  <w:divBdr>
                    <w:top w:val="none" w:sz="0" w:space="0" w:color="auto"/>
                    <w:left w:val="none" w:sz="0" w:space="0" w:color="auto"/>
                    <w:bottom w:val="none" w:sz="0" w:space="0" w:color="auto"/>
                    <w:right w:val="none" w:sz="0" w:space="0" w:color="auto"/>
                  </w:divBdr>
                  <w:divsChild>
                    <w:div w:id="131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76614">
      <w:bodyDiv w:val="1"/>
      <w:marLeft w:val="0"/>
      <w:marRight w:val="0"/>
      <w:marTop w:val="0"/>
      <w:marBottom w:val="0"/>
      <w:divBdr>
        <w:top w:val="none" w:sz="0" w:space="0" w:color="auto"/>
        <w:left w:val="none" w:sz="0" w:space="0" w:color="auto"/>
        <w:bottom w:val="none" w:sz="0" w:space="0" w:color="auto"/>
        <w:right w:val="none" w:sz="0" w:space="0" w:color="auto"/>
      </w:divBdr>
    </w:div>
    <w:div w:id="1793089671">
      <w:bodyDiv w:val="1"/>
      <w:marLeft w:val="0"/>
      <w:marRight w:val="0"/>
      <w:marTop w:val="0"/>
      <w:marBottom w:val="0"/>
      <w:divBdr>
        <w:top w:val="none" w:sz="0" w:space="0" w:color="auto"/>
        <w:left w:val="none" w:sz="0" w:space="0" w:color="auto"/>
        <w:bottom w:val="none" w:sz="0" w:space="0" w:color="auto"/>
        <w:right w:val="none" w:sz="0" w:space="0" w:color="auto"/>
      </w:divBdr>
    </w:div>
    <w:div w:id="1818260092">
      <w:bodyDiv w:val="1"/>
      <w:marLeft w:val="0"/>
      <w:marRight w:val="0"/>
      <w:marTop w:val="0"/>
      <w:marBottom w:val="0"/>
      <w:divBdr>
        <w:top w:val="none" w:sz="0" w:space="0" w:color="auto"/>
        <w:left w:val="none" w:sz="0" w:space="0" w:color="auto"/>
        <w:bottom w:val="none" w:sz="0" w:space="0" w:color="auto"/>
        <w:right w:val="none" w:sz="0" w:space="0" w:color="auto"/>
      </w:divBdr>
    </w:div>
    <w:div w:id="1843351274">
      <w:bodyDiv w:val="1"/>
      <w:marLeft w:val="0"/>
      <w:marRight w:val="0"/>
      <w:marTop w:val="0"/>
      <w:marBottom w:val="0"/>
      <w:divBdr>
        <w:top w:val="none" w:sz="0" w:space="0" w:color="auto"/>
        <w:left w:val="none" w:sz="0" w:space="0" w:color="auto"/>
        <w:bottom w:val="none" w:sz="0" w:space="0" w:color="auto"/>
        <w:right w:val="none" w:sz="0" w:space="0" w:color="auto"/>
      </w:divBdr>
    </w:div>
    <w:div w:id="1875575513">
      <w:bodyDiv w:val="1"/>
      <w:marLeft w:val="0"/>
      <w:marRight w:val="0"/>
      <w:marTop w:val="0"/>
      <w:marBottom w:val="0"/>
      <w:divBdr>
        <w:top w:val="none" w:sz="0" w:space="0" w:color="auto"/>
        <w:left w:val="none" w:sz="0" w:space="0" w:color="auto"/>
        <w:bottom w:val="none" w:sz="0" w:space="0" w:color="auto"/>
        <w:right w:val="none" w:sz="0" w:space="0" w:color="auto"/>
      </w:divBdr>
    </w:div>
    <w:div w:id="1925526610">
      <w:bodyDiv w:val="1"/>
      <w:marLeft w:val="0"/>
      <w:marRight w:val="0"/>
      <w:marTop w:val="0"/>
      <w:marBottom w:val="0"/>
      <w:divBdr>
        <w:top w:val="none" w:sz="0" w:space="0" w:color="auto"/>
        <w:left w:val="none" w:sz="0" w:space="0" w:color="auto"/>
        <w:bottom w:val="none" w:sz="0" w:space="0" w:color="auto"/>
        <w:right w:val="none" w:sz="0" w:space="0" w:color="auto"/>
      </w:divBdr>
    </w:div>
    <w:div w:id="1973628802">
      <w:bodyDiv w:val="1"/>
      <w:marLeft w:val="0"/>
      <w:marRight w:val="0"/>
      <w:marTop w:val="0"/>
      <w:marBottom w:val="0"/>
      <w:divBdr>
        <w:top w:val="none" w:sz="0" w:space="0" w:color="auto"/>
        <w:left w:val="none" w:sz="0" w:space="0" w:color="auto"/>
        <w:bottom w:val="none" w:sz="0" w:space="0" w:color="auto"/>
        <w:right w:val="none" w:sz="0" w:space="0" w:color="auto"/>
      </w:divBdr>
    </w:div>
    <w:div w:id="1979064577">
      <w:bodyDiv w:val="1"/>
      <w:marLeft w:val="0"/>
      <w:marRight w:val="0"/>
      <w:marTop w:val="0"/>
      <w:marBottom w:val="0"/>
      <w:divBdr>
        <w:top w:val="none" w:sz="0" w:space="0" w:color="auto"/>
        <w:left w:val="none" w:sz="0" w:space="0" w:color="auto"/>
        <w:bottom w:val="none" w:sz="0" w:space="0" w:color="auto"/>
        <w:right w:val="none" w:sz="0" w:space="0" w:color="auto"/>
      </w:divBdr>
    </w:div>
    <w:div w:id="1999839837">
      <w:bodyDiv w:val="1"/>
      <w:marLeft w:val="0"/>
      <w:marRight w:val="0"/>
      <w:marTop w:val="0"/>
      <w:marBottom w:val="0"/>
      <w:divBdr>
        <w:top w:val="none" w:sz="0" w:space="0" w:color="auto"/>
        <w:left w:val="none" w:sz="0" w:space="0" w:color="auto"/>
        <w:bottom w:val="none" w:sz="0" w:space="0" w:color="auto"/>
        <w:right w:val="none" w:sz="0" w:space="0" w:color="auto"/>
      </w:divBdr>
    </w:div>
    <w:div w:id="2008635529">
      <w:bodyDiv w:val="1"/>
      <w:marLeft w:val="0"/>
      <w:marRight w:val="0"/>
      <w:marTop w:val="0"/>
      <w:marBottom w:val="0"/>
      <w:divBdr>
        <w:top w:val="none" w:sz="0" w:space="0" w:color="auto"/>
        <w:left w:val="none" w:sz="0" w:space="0" w:color="auto"/>
        <w:bottom w:val="none" w:sz="0" w:space="0" w:color="auto"/>
        <w:right w:val="none" w:sz="0" w:space="0" w:color="auto"/>
      </w:divBdr>
    </w:div>
    <w:div w:id="2014066863">
      <w:bodyDiv w:val="1"/>
      <w:marLeft w:val="0"/>
      <w:marRight w:val="0"/>
      <w:marTop w:val="0"/>
      <w:marBottom w:val="0"/>
      <w:divBdr>
        <w:top w:val="none" w:sz="0" w:space="0" w:color="auto"/>
        <w:left w:val="none" w:sz="0" w:space="0" w:color="auto"/>
        <w:bottom w:val="none" w:sz="0" w:space="0" w:color="auto"/>
        <w:right w:val="none" w:sz="0" w:space="0" w:color="auto"/>
      </w:divBdr>
    </w:div>
    <w:div w:id="2069525610">
      <w:bodyDiv w:val="1"/>
      <w:marLeft w:val="0"/>
      <w:marRight w:val="0"/>
      <w:marTop w:val="0"/>
      <w:marBottom w:val="0"/>
      <w:divBdr>
        <w:top w:val="none" w:sz="0" w:space="0" w:color="auto"/>
        <w:left w:val="none" w:sz="0" w:space="0" w:color="auto"/>
        <w:bottom w:val="none" w:sz="0" w:space="0" w:color="auto"/>
        <w:right w:val="none" w:sz="0" w:space="0" w:color="auto"/>
      </w:divBdr>
    </w:div>
    <w:div w:id="2097283973">
      <w:bodyDiv w:val="1"/>
      <w:marLeft w:val="0"/>
      <w:marRight w:val="0"/>
      <w:marTop w:val="0"/>
      <w:marBottom w:val="0"/>
      <w:divBdr>
        <w:top w:val="none" w:sz="0" w:space="0" w:color="auto"/>
        <w:left w:val="none" w:sz="0" w:space="0" w:color="auto"/>
        <w:bottom w:val="none" w:sz="0" w:space="0" w:color="auto"/>
        <w:right w:val="none" w:sz="0" w:space="0" w:color="auto"/>
      </w:divBdr>
    </w:div>
    <w:div w:id="210267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rella@chuliege.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hgcp.net/clinical-trials-registry/NCT0477136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2BB136-E136-DE47-96A1-120ACF7EDF34}">
  <we:reference id="wa104382081" version="1.28.0.0" store="en-001" storeType="OMEX"/>
  <we:alternateReferences>
    <we:reference id="WA104382081" version="1.28.0.0" store="" storeType="OMEX"/>
  </we:alternateReferences>
  <we:properties>
    <we:property name="MENDELEY_CITATIONS" value="[{&quot;citationID&quot;:&quot;MENDELEY_CITATION_01e6a529-b7dc-4768-a639-8d1a239c116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&quot;,&quot;citationItems&quot;:[{&quot;id&quot;:&quot;17315dab-a893-347d-a0a2-af78fcad0121&quot;,&quot;itemData&quot;:{&quot;type&quot;:&quot;article-journal&quot;,&quot;id&quot;:&quot;17315dab-a893-347d-a0a2-af78fcad0121&quot;,&quot;title&quot;:&quot;Incidence and mortality of hip fractures in the United States&quot;,&quot;author&quot;:[{&quot;family&quot;:&quot;Brauer&quot;,&quot;given&quot;:&quot;Carmen A.&quot;,&quot;parse-names&quot;:false,&quot;dropping-particle&quot;:&quot;&quot;,&quot;non-dropping-particle&quot;:&quot;&quot;},{&quot;family&quot;:&quot;Coca-Perraillon&quot;,&quot;given&quot;:&quot;Marcelo&quot;,&quot;parse-names&quot;:false,&quot;dropping-particle&quot;:&quot;&quot;,&quot;non-dropping-particle&quot;:&quot;&quot;},{&quot;family&quot;:&quot;Cutler&quot;,&quot;given&quot;:&quot;David M.&quot;,&quot;parse-names&quot;:false,&quot;dropping-particle&quot;:&quot;&quot;,&quot;non-dropping-particle&quot;:&quot;&quot;},{&quot;family&quot;:&quot;Rosen&quot;,&quot;given&quot;:&quot;Allison B.&quot;,&quot;parse-names&quot;:false,&quot;dropping-particle&quot;:&quot;&quot;,&quot;non-dropping-particle&quot;:&quot;&quot;}],&quot;container-title&quot;:&quot;JAMA&quot;,&quot;accessed&quot;:{&quot;date-parts&quot;:[[2022,1,6]]},&quot;DOI&quot;:&quot;10.1001/JAMA.2009.1462&quot;,&quot;ISSN&quot;:&quot;1538-3598&quot;,&quot;PMID&quot;:&quot;19826027&quot;,&quot;URL&quot;:&quot;https://pubmed.ncbi.nlm.nih.gov/19826027/&quot;,&quot;issued&quot;:{&quot;date-parts&quot;:[[2009,10,14]]},&quot;page&quot;:&quot;1573-1579&quot;,&quot;abstract&quot;:&quot;Context: Understanding the incidence and subsequent mortality following hip fracture is essential to measuring population health and the value of improvements in health care. Objective: To examine trends in hip fracture incidence and resulting mortality over 20 years in the US Medicare population. Design, Setting, and Patients: Observational study using data from a 20% sample of Medicare claims from 1985-2005. In patients 65 years or older, we identified 786 717 hip fractures for analysis. Medication data were obtained from 109 805 respondents to the Medicare Current Beneficiary Survey between 1992 and 2005. Main Outcome Measures: Age- and sex-specific incidence of hip fracture and age- and risk-adjusted mortality rates. Results: Between 1986 and 2005, the annual mean number of hip fractures was 957.3 per 100 000 (95% confidence interval [CI], 921.7-992.9) for women and 414.4 per 100 000 (95% CI, 401.6-427.3) for men. The age-adjusted incidence of hip fracture increased from 1986 to 1995 and then steadily declined from 1995 to 2005. In women, incidence increased 9.0%, from 964.2 per 100 000 (95% CI, 958.3-970.1) in 1986 to 1050.9 (95% CI, 1045.2-1056.7) in 1995, with a subsequent decline of 24.5% to 793.5 (95% CI, 788.7-798.3) in 2005. In men, the increase in incidence from 1986 to 1995 was 16.4%, from 392.4 (95% CI, 387.8-397.0) to 456.6 (95% CI, 452.0-461.3), and the subsequent decrease to 2005 was 19.2%, to 369.0 (95% CI, 365.1-372.8). Age- and risk-adjusted mortality in women declined by 11.9%, 14.9%, and 8.8% for 30-, 180-, and 360-day mortality, respectively. For men, age- and risk-adjusted mortality decreased by 21.8%, 25.4%, and 20.0% for 30-, 180-, and 360-day mortality, respectively. Over time, patients with hip fracture have had an increase in all comorbidities recorded except paralysis. The incidence decrease is coincident with increased use of bisphosphonates. Conclusion: In the United States, hip fracture rates and subsequent mortality among persons 65 years and older are declining, and comorbidities among patients with hip fractures have increased. ©2009 American Medical Association. All rights reserved.&quot;,&quot;publisher&quot;:&quot;JAMA&quot;,&quot;issue&quot;:&quot;14&quot;,&quot;volume&quot;:&quot;302&quot;,&quot;container-title-short&quot;:&quot;JAMA&quot;},&quot;isTemporary&quot;:false}]},{&quot;citationID&quot;:&quot;MENDELEY_CITATION_e669c97f-737e-4b6c-a984-c502e0cba04f&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&quot;,&quot;citationItems&quot;:[{&quot;id&quot;:&quot;fa128c13-6d8b-3da3-9a59-b6bce8354872&quot;,&quot;itemData&quot;:{&quot;type&quot;:&quot;article-journal&quot;,&quot;id&quot;:&quot;fa128c13-6d8b-3da3-9a59-b6bce8354872&quot;,&quot;title&quot;:&quot;Mortality and locomotion 6 months after hospitalization for hip fracture: risk factors and risk-adjusted hospital outcomes&quot;,&quot;author&quot;:[{&quot;family&quot;:&quot;Hannan&quot;,&quot;given&quot;:&quot;Edward L.&quot;,&quot;parse-names&quot;:false,&quot;dropping-particle&quot;:&quot;&quot;,&quot;non-dropping-particle&quot;:&quot;&quot;},{&quot;family&quot;:&quot;Magaziner&quot;,&quot;given&quot;:&quot;Jay&quot;,&quot;parse-names&quot;:false,&quot;dropping-particle&quot;:&quot;&quot;,&quot;non-dropping-particle&quot;:&quot;&quot;},{&quot;family&quot;:&quot;Wang&quot;,&quot;given&quot;:&quot;Jason J.&quot;,&quot;parse-names&quot;:false,&quot;dropping-particle&quot;:&quot;&quot;,&quot;non-dropping-particle&quot;:&quot;&quot;},{&quot;family&quot;:&quot;Eastwood&quot;,&quot;given&quot;:&quot;Elizabeth A.&quot;,&quot;parse-names&quot;:false,&quot;dropping-particle&quot;:&quot;&quot;,&quot;non-dropping-particle&quot;:&quot;&quot;},{&quot;family&quot;:&quot;Silberzweig&quot;,&quot;given&quot;:&quot;Stacey B.&quot;,&quot;parse-names&quot;:false,&quot;dropping-particle&quot;:&quot;&quot;,&quot;non-dropping-particle&quot;:&quot;&quot;},{&quot;family&quot;:&quot;Gilbert&quot;,&quot;given&quot;:&quot;Marvin&quot;,&quot;parse-names&quot;:false,&quot;dropping-particle&quot;:&quot;&quot;,&quot;non-dropping-particle&quot;:&quot;&quot;},{&quot;family&quot;:&quot;Morrison&quot;,&quot;given&quot;:&quot;R. Sean&quot;,&quot;parse-names&quot;:false,&quot;dropping-particle&quot;:&quot;&quot;,&quot;non-dropping-particle&quot;:&quot;&quot;},{&quot;family&quot;:&quot;McLaughlin&quot;,&quot;given&quot;:&quot;Mary Ann&quot;,&quot;parse-names&quot;:false,&quot;dropping-particle&quot;:&quot;&quot;,&quot;non-dropping-particle&quot;:&quot;&quot;},{&quot;family&quot;:&quot;Orosz&quot;,&quot;given&quot;:&quot;Gretchen M.&quot;,&quot;parse-names&quot;:false,&quot;dropping-particle&quot;:&quot;&quot;,&quot;non-dropping-particle&quot;:&quot;&quot;},{&quot;family&quot;:&quot;Siu&quot;,&quot;given&quot;:&quot;Albert L.&quot;,&quot;parse-names&quot;:false,&quot;dropping-particle&quot;:&quot;&quot;,&quot;non-dropping-particle&quot;:&quot;&quot;}],&quot;container-title&quot;:&quot;JAMA&quot;,&quot;accessed&quot;:{&quot;date-parts&quot;:[[2022,1,6]]},&quot;DOI&quot;:&quot;10.1001/JAMA.285.21.2736&quot;,&quot;ISSN&quot;:&quot;0098-7484&quot;,&quot;PMID&quot;:&quot;11386929&quot;,&quot;URL&quot;:&quot;https://pubmed.ncbi.nlm.nih.gov/11386929/&quot;,&quot;issued&quot;:{&quot;date-parts&quot;:[[2001,6,6]]},&quot;page&quot;:&quot;2736-2742&quot;,&quot;abstract&quot;:&quot;Context Hip fracture is a common clinical problem that leads to considerable mortality and disability. A need exists for a practical means to monitor and improve outcomes, including function, for patients with hip fracture. Objectives To identify and compare the importance of significant prefracture predictors of functional status and mortality at 6 months for patients hospitalized with hip fracture and to compare risk-adjusted outcomes for hospitals providing initial care. Design Prospective study with data obtained from medical records and through structured interviews with patients and proxies. Setting and Participants A total of 571 adults aged 50 years or older with hip fracture who were admitted to 4 New York, NY, metropolitan hospitals between August 1997 and August 1998. Main Outcome Measures In-hospital and 6-month mortality; locomotion at 6 months; and adverse outcomes at 6 months, defined as death or needing assistance to ambulate, compared by hospital, adjusting for patient risk factors. Results The in-hospital mortality rate was 1.6%. At 6 months, the mortality rate was 13.5%, and another 12.8% needed total assistance to ambulate. Laboratory values were strong predictors of mortality but were not significantly associated with locomotion. Age and prefracture residence at a nursing home were significant predictors of locomotion (P=.02 for both) but were not significantly associated with mortality. Adjustment for baseline characteristics either substantially augmented or diminished interhospital differences in outcomes. Two hospitals had 1 outcome (functional status or mortality) that was significantly worse than the overall mean while the other outcome was nonsignificantly better than average. Conclusions Mortality and functional status ideally should be considered both together and individually to distinguish effects limited to one or the other outcome. Hospital performance for these 2 measures may differ substantially after adjustment, probably because different processes of care are important to each outcome. © 2001 American Medical Association.&quot;,&quot;publisher&quot;:&quot;JAMA&quot;,&quot;issue&quot;:&quot;21&quot;,&quot;volume&quot;:&quot;285&quot;,&quot;container-title-short&quot;:&quot;JAMA&quot;},&quot;isTemporary&quot;:false},{&quot;id&quot;:&quot;8ace63c8-4768-355f-8ba1-b7d14267c65a&quot;,&quot;itemData&quot;:{&quot;type&quot;:&quot;article-journal&quot;,&quot;id&quot;:&quot;8ace63c8-4768-355f-8ba1-b7d14267c65a&quot;,&quot;title&quot;:&quot;Patients with hip fracture: subgroups and their outcomes&quot;,&quot;author&quot;:[{&quot;family&quot;:&quot;Eastwood&quot;,&quot;given&quot;:&quot;Elizabeth A.&quot;,&quot;parse-names&quot;:false,&quot;dropping-particle&quot;:&quot;&quot;,&quot;non-dropping-particle&quot;:&quot;&quot;},{&quot;family&quot;:&quot;Magaziner&quot;,&quot;given&quot;:&quot;Jay&quot;,&quot;parse-names&quot;:false,&quot;dropping-particle&quot;:&quot;&quot;,&quot;non-dropping-particle&quot;:&quot;&quot;},{&quot;family&quot;:&quot;Wang&quot;,&quot;given&quot;:&quot;Jason&quot;,&quot;parse-names&quot;:false,&quot;dropping-particle&quot;:&quot;&quot;,&quot;non-dropping-particle&quot;:&quot;&quot;},{&quot;family&quot;:&quot;Silberzweig&quot;,&quot;given&quot;:&quot;Stacey B.&quot;,&quot;parse-names&quot;:false,&quot;dropping-particle&quot;:&quot;&quot;,&quot;non-dropping-particle&quot;:&quot;&quot;},{&quot;family&quot;:&quot;Hannan&quot;,&quot;given&quot;:&quot;Edward L.&quot;,&quot;parse-names&quot;:false,&quot;dropping-particle&quot;:&quot;&quot;,&quot;non-dropping-particle&quot;:&quot;&quot;},{&quot;family&quot;:&quot;Strauss&quot;,&quot;given&quot;:&quot;Elton&quot;,&quot;parse-names&quot;:false,&quot;dropping-particle&quot;:&quot;&quot;,&quot;non-dropping-particle&quot;:&quot;&quot;},{&quot;family&quot;:&quot;Siu&quot;,&quot;given&quot;:&quot;Albert L.&quot;,&quot;parse-names&quot;:false,&quot;dropping-particle&quot;:&quot;&quot;,&quot;non-dropping-particle&quot;:&quot;&quot;}],&quot;container-title&quot;:&quot;Journal of the American Geriatrics Society&quot;,&quot;accessed&quot;:{&quot;date-parts&quot;:[[2022,1,6]]},&quot;DOI&quot;:&quot;10.1046/J.1532-5415.2002.50311.X&quot;,&quot;ISSN&quot;:&quot;0002-8614&quot;,&quot;PMID&quot;:&quot;12133019&quot;,&quot;URL&quot;:&quot;https://pubmed.ncbi.nlm.nih.gov/12133019/&quot;,&quot;issued&quot;:{&quot;date-parts&quot;:[[2002]]},&quot;page&quot;:&quot;1240-1249&quot;,&quot;abstract&quot;:&quot;OBJECTIVES: To present several alternative approaches to describing the range and functional outcomes of patients with hip fracture. DESIGN: Prospective study with concurrent medical records data collection and patient and proxy interviews at the time of hospitalization and 6 months later. SETTING: Four hospitals in the New York metropolitan area. PARTICIPANTS: Five hundred seventy-one hospitalized adults aged 50 and older with hip fracture between July 1997 and August 1998. MEASUREMENTS: Rates of return to function in four physical domains, mortality, and nursing home residence at 6 months. Cluster analysis was used to describe the heterogeneity among the sample and identify variations in 6-month mortality, nursing home residence, and level of functioning and to develop a patient classification tree with associated patient outcomes at 6 months postfracture. RESULTS: In locomotion, transfers, and self-care, 33% to 37% of patients returned to their prior level of function by 6 months, including those needing assistance, but only 24% were independent in locomotion at 6 months. Cluster analysis identified eight patient subgroups that had distinct baseline features and variable outcomes at 6 months. The patient classification tree used four variables: atypical functional status (independent in locomotion but dependent in other domains); nursing home residence; independence/dependence in self-care; and age younger than 85 or 85 and older that identified five subgroups with variable 6-month outcomes that clinicians may use to predict likely outcomes for their patients. CONCLUSION: Patients with hip fracture are heterogeneous with respect to baseline and outcome characteristics. Clinicians may be better able to give patients and caregivers information on expected outcomes based on presenting characteristics used in the classification tree.&quot;,&quot;publisher&quot;:&quot;J Am Geriatr Soc&quot;,&quot;issue&quot;:&quot;7&quot;,&quot;volume&quot;:&quot;50&quot;,&quot;container-title-short&quot;:&quot;J Am Geriatr Soc&quot;},&quot;isTemporary&quot;:false}]},{&quot;citationID&quot;:&quot;MENDELEY_CITATION_e4dce2d2-2b1d-4d9a-acd5-747779db0248&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&quot;,&quot;citationItems&quot;:[{&quot;id&quot;:&quot;78218dcb-ff28-3979-916d-6821bb224292&quot;,&quot;itemData&quot;:{&quot;type&quot;:&quot;article-journal&quot;,&quot;id&quot;:&quot;78218dcb-ff28-3979-916d-6821bb224292&quot;,&quot;title&quot;:&quot;Prognosis of nonoperative treatment in elderly patients with a hip fracture: A systematic review and meta-analysis&quot;,&quot;author&quot;:[{&quot;family&quot;:&quot;Loggers&quot;,&quot;given&quot;:&quot;Sverre A.I.&quot;,&quot;parse-names&quot;:false,&quot;dropping-particle&quot;:&quot;&quot;,&quot;non-dropping-particle&quot;:&quot;&quot;},{&quot;family&quot;:&quot;Lieshout&quot;,&quot;given&quot;:&quot;Esther M.M.&quot;,&quot;parse-names&quot;:false,&quot;dropping-particle&quot;:&quot;&quot;,&quot;non-dropping-particle&quot;:&quot;van&quot;},{&quot;family&quot;:&quot;Joosse&quot;,&quot;given&quot;:&quot;Pieter&quot;,&quot;parse-names&quot;:false,&quot;dropping-particle&quot;:&quot;&quot;,&quot;non-dropping-particle&quot;:&quot;&quot;},{&quot;family&quot;:&quot;Verhofstad&quot;,&quot;given&quot;:&quot;Michael H.J.&quot;,&quot;parse-names&quot;:false,&quot;dropping-particle&quot;:&quot;&quot;,&quot;non-dropping-particle&quot;:&quot;&quot;},{&quot;family&quot;:&quot;Willems&quot;,&quot;given&quot;:&quot;Hanna C.&quot;,&quot;parse-names&quot;:false,&quot;dropping-particle&quot;:&quot;&quot;,&quot;non-dropping-particle&quot;:&quot;&quot;}],&quot;container-title&quot;:&quot;Injury&quot;,&quot;accessed&quot;:{&quot;date-parts&quot;:[[2022,1,6]]},&quot;DOI&quot;:&quot;10.1016/J.INJURY.2020.08.027&quot;,&quot;ISSN&quot;:&quot;1879-0267&quot;,&quot;PMID&quot;:&quot;32907702&quot;,&quot;URL&quot;:&quot;https://pubmed.ncbi.nlm.nih.gov/32907702/&quot;,&quot;issued&quot;:{&quot;date-parts&quot;:[[2020,11,1]]},&quot;page&quot;:&quot;2407-2413&quot;,&quot;abstract&quot;:&quot;Objective: Hip fractures in frail elderly patients are associated with significant mortality and morbidity. Surgery remains the predominant treatment of choice, despite the poor prognosis. Limited research has been done with regards to nonoperative management of frail elderly patients with a hip fracture and therefore the natural course is relatively unknown. This systematic review aimed to provide an overview of the prognosis of nonoperative management in frail elderly patients with a hip fracture in terms of mortality, complications, mobility, and quality of life (QoL). Design: A systematic review of the literature was conducted in PubMed, EMBASE, and Cochrane Central. In addition, a meta-analysis was performed. The primary outcome measurement was 30-days mortality. Results: A total of 4,318 studies were screened. In total eighteen studies matched the eligibility criteria; with low to moderate quality. Approximately two-thirds of the patients were managed nonoperatively due to medical reasons and one-third due to non-medical reasons. Pooled mortality rates after 30 days, six months and one year were 36%, 46%, and 60%, respectively. 33% of the patients developed in-hospital complications. At six months post trauma, 9.6% of the patients were able to mobilize. Data on quality of life (QoL), functional outcome, pain, comfort during nursing care, and costs were not reported. Conclusion: Nonoperative management of frail elderly patients with a hip fracture is associated with a poor prognosis. Heterogenous study cohorts and limited outcomes were reported. Current literature shows a lack of evidence of the true prognosis of nonoperative management of frail elderly patient with a hip fracture and a limited life expectancy. Results of this review can be used to aid decision making and improve expectation management.&quot;,&quot;publisher&quot;:&quot;Injury&quot;,&quot;issue&quot;:&quot;11&quot;,&quot;volume&quot;:&quot;51&quot;,&quot;container-title-short&quot;:&quot;Injury&quot;},&quot;isTemporary&quot;:false}]},{&quot;citationID&quot;:&quot;MENDELEY_CITATION_8fe12056-fdc5-4376-a904-3dc959ccf50b&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&quot;,&quot;citationItems&quot;:[{&quot;id&quot;:&quot;00ff3b60-3335-3645-9159-fb4c22c74ba0&quot;,&quot;itemData&quot;:{&quot;type&quot;:&quot;article-journal&quot;,&quot;id&quot;:&quot;00ff3b60-3335-3645-9159-fb4c22c74ba0&quot;,&quot;title&quot;:&quot;Quality of life after hip fracture in the elderly: A systematic literature review&quot;,&quot;author&quot;:[{&quot;family&quot;:&quot;Peeters&quot;,&quot;given&quot;:&quot;Charles M.M.&quot;,&quot;parse-names&quot;:false,&quot;dropping-particle&quot;:&quot;&quot;,&quot;non-dropping-particle&quot;:&quot;&quot;},{&quot;family&quot;:&quot;Visser&quot;,&quot;given&quot;:&quot;Eva&quot;,&quot;parse-names&quot;:false,&quot;dropping-particle&quot;:&quot;&quot;,&quot;non-dropping-particle&quot;:&quot;&quot;},{&quot;family&quot;:&quot;Ree&quot;,&quot;given&quot;:&quot;Cornelis L.P.&quot;,&quot;parse-names&quot;:false,&quot;dropping-particle&quot;:&quot;&quot;,&quot;non-dropping-particle&quot;:&quot;van de&quot;},{&quot;family&quot;:&quot;Gosens&quot;,&quot;given&quot;:&quot;Taco&quot;,&quot;parse-names&quot;:false,&quot;dropping-particle&quot;:&quot;&quot;,&quot;non-dropping-particle&quot;:&quot;&quot;},{&quot;family&quot;:&quot;Oudsten&quot;,&quot;given&quot;:&quot;Brenda L.&quot;,&quot;parse-names&quot;:false,&quot;dropping-particle&quot;:&quot;&quot;,&quot;non-dropping-particle&quot;:&quot;den&quot;},{&quot;family&quot;:&quot;Vries&quot;,&quot;given&quot;:&quot;Jolanda&quot;,&quot;parse-names&quot;:false,&quot;dropping-particle&quot;:&quot;&quot;,&quot;non-dropping-particle&quot;:&quot;de&quot;}],&quot;container-title&quot;:&quot;Injury&quot;,&quot;accessed&quot;:{&quot;date-parts&quot;:[[2022,1,6]]},&quot;DOI&quot;:&quot;10.1016/J.INJURY.2016.04.018&quot;,&quot;ISSN&quot;:&quot;1879-0267&quot;,&quot;PMID&quot;:&quot;27178770&quot;,&quot;URL&quot;:&quot;https://pubmed.ncbi.nlm.nih.gov/27178770/&quot;,&quot;issued&quot;:{&quot;date-parts&quot;:[[2016,7,1]]},&quot;page&quot;:&quot;1369-1382&quot;,&quot;abstract&quot;:&quot;Background With an increasing ageing population, hip fractures have become a major public health issue in the elderly. It is important to examine the health status (HS) and health-related quality of life (HRQOL) of the elderly faced with the epidemic of hip fractures. Objective To provide an overview of reported HS and HRQOL in elderly patients with a hip fracture. Design A systematic literature search was performed in Embase, Medline, Web of Science, Scopus, CINAHL, Cochrane, PsycINFO, Pubmed, and Google Scholar in July 2014. Studies which reported the HS or HRQOL based on standardised questionnaires in patients older than 65 years with a hip fracture were considered eligible for inclusion. Results After inspecting the 2725 potentially eligible studies, 49 fulfilled the inclusion criteria. All included studies were randomised controlled trials or prospective cohort studies. The methodological quality of the studies was moderate. Patients' functioning on the physical, social, and emotional domains were affected after a hip fracture. The HS and HRQOL of the majority of patients recovered in the first 6 months after fracture. However, their HS did not return to prefracture level. Mental state, prefracture functioning on physical and psychosocial domains, comorbidity, female gender, nutritional status, postoperative pain, length of hospital stay, and complications were factors associated with HS or HRQOL. Treatment with total hip arthroplasty or hemi-arthroplasty provided better HS than treatment with internal fixation with displaced femoral neck fractures. Supportive psychotherapy in \&quot;low-functioning\&quot; patients, (home) rehabilitation programmes and nutritional supplementation appeared to have beneficial effects on HS. Conclusions Optimizing nutrition intake, (home) rehabilitation programmes, and the possibility for psychological counselling in patients with difficulties in the psychosocial dimensions would be recommended after hip fracture surgery. Besides HS questionnaires like EQ-5D and SF-36, adequate measurements like the WHOQOL-Bref or ICECAP-O are warranted in future studies regarding hip fracture surgery and postoperative treatment options.&quot;,&quot;publisher&quot;:&quot;Injury&quot;,&quot;issue&quot;:&quot;7&quot;,&quot;volume&quot;:&quot;47&quot;,&quot;container-title-short&quot;:&quot;Injury&quot;},&quot;isTemporary&quot;:false},{&quot;id&quot;:&quot;aafb4f5d-3ffb-3550-a664-c9167acd4cb6&quot;,&quot;itemData&quot;:{&quot;type&quot;:&quot;article-journal&quot;,&quot;id&quot;:&quot;aafb4f5d-3ffb-3550-a664-c9167acd4cb6&quot;,&quot;title&quot;:&quot;Management of Acute Hip Fracture&quot;,&quot;author&quot;:[{&quot;family&quot;:&quot;Bhandari&quot;,&quot;given&quot;:&quot;Mohit&quot;,&quot;parse-names&quot;:false,&quot;dropping-particle&quot;:&quot;&quot;,&quot;non-dropping-particle&quot;:&quot;&quot;},{&quot;family&quot;:&quot;Swiontkowski&quot;,&quot;given&quot;:&quot;Marc&quot;,&quot;parse-names&quot;:false,&quot;dropping-particle&quot;:&quot;&quot;,&quot;non-dropping-particle&quot;:&quot;&quot;}],&quot;container-title&quot;:&quot;The New England journal of medicine&quot;,&quot;accessed&quot;:{&quot;date-parts&quot;:[[2022,1,6]]},&quot;DOI&quot;:&quot;10.1056/NEJMCP1611090&quot;,&quot;ISSN&quot;:&quot;1533-4406&quot;,&quot;PMID&quot;:&quot;29166235&quot;,&quot;URL&quot;:&quot;https://pubmed.ncbi.nlm.nih.gov/29166235/&quot;,&quot;issued&quot;:{&quot;date-parts&quot;:[[2017,11,23]]},&quot;page&quot;:&quot;2053-2062&quot;,&quot;abstract&quot;:&quot;Copyright © 2017 Massachusetts Medical Society. A 65-year-old woman who has been healthy and active presents to the emergency department several hours after a slip and fall. She is unable bear any weight on her right leg and reports that she has pain with any attempt to move. On inspection, her right leg is shortened and externally rotated. A plain radiograph of her pelvis and hip confirms a nondisplaced fracture of the femoral neck. Careful review of the radiograph determines that her fracture is located at the base of the femoral neck (sometimes called a basicervical fracture) with a more vertically oriented fracture line. How should her case be managed?&quot;,&quot;publisher&quot;:&quot;N Engl J Med&quot;,&quot;issue&quot;:&quot;21&quot;,&quot;volume&quot;:&quot;377&quot;,&quot;container-title-short&quot;:&quot;N Engl J Med&quot;},&quot;isTemporary&quot;:false}]},{&quot;citationID&quot;:&quot;MENDELEY_CITATION_2118c8fd-6c9a-4d8f-ae2a-959990a108a0&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&quot;,&quot;citationItems&quot;:[{&quot;id&quot;:&quot;c4c19e52-5769-33da-ac0c-33bf48037679&quot;,&quot;itemData&quot;:{&quot;type&quot;:&quot;article-journal&quot;,&quot;id&quot;:&quot;c4c19e52-5769-33da-ac0c-33bf48037679&quot;,&quot;title&quot;:&quot;Effect of Regional vs General Anesthesia on Incidence of Postoperative Delirium in Older Patients Undergoing Hip Fracture Surgery: The RAGA Randomized Trial&quot;,&quot;author&quot;:[{&quot;family&quot;:&quot;Li&quot;,&quot;given&quot;:&quot;Ting&quot;,&quot;parse-names&quot;:false,&quot;dropping-particle&quot;:&quot;&quot;,&quot;non-dropping-particle&quot;:&quot;&quot;},{&quot;family&quot;:&quot;Li&quot;,&quot;given&quot;:&quot;Jun&quot;,&quot;parse-names&quot;:false,&quot;dropping-particle&quot;:&quot;&quot;,&quot;non-dropping-particle&quot;:&quot;&quot;},{&quot;family&quot;:&quot;Yuan&quot;,&quot;given&quot;:&quot;Liyong&quot;,&quot;parse-names&quot;:false,&quot;dropping-particle&quot;:&quot;&quot;,&quot;non-dropping-particle&quot;:&quot;&quot;},{&quot;family&quot;:&quot;Wu&quot;,&quot;given&quot;:&quot;Jinze&quot;,&quot;parse-names&quot;:false,&quot;dropping-particle&quot;:&quot;&quot;,&quot;non-dropping-particle&quot;:&quot;&quot;},{&quot;family&quot;:&quot;Jiang&quot;,&quot;given&quot;:&quot;Chenchen&quot;,&quot;parse-names&quot;:false,&quot;dropping-particle&quot;:&quot;&quot;,&quot;non-dropping-particle&quot;:&quot;&quot;},{&quot;family&quot;:&quot;Daniels&quot;,&quot;given&quot;:&quot;Jane&quot;,&quot;parse-names&quot;:false,&quot;dropping-particle&quot;:&quot;&quot;,&quot;non-dropping-particle&quot;:&quot;&quot;},{&quot;family&quot;:&quot;Mehta&quot;,&quot;given&quot;:&quot;Rajnikant Laxmishanker&quot;,&quot;parse-names&quot;:false,&quot;dropping-particle&quot;:&quot;&quot;,&quot;non-dropping-particle&quot;:&quot;&quot;},{&quot;family&quot;:&quot;Wang&quot;,&quot;given&quot;:&quot;Mingcang&quot;,&quot;parse-names&quot;:false,&quot;dropping-particle&quot;:&quot;&quot;,&quot;non-dropping-particle&quot;:&quot;&quot;},{&quot;family&quot;:&quot;Yeung&quot;,&quot;given&quot;:&quot;Joyce&quot;,&quot;parse-names&quot;:false,&quot;dropping-particle&quot;:&quot;&quot;,&quot;non-dropping-particle&quot;:&quot;&quot;},{&quot;family&quot;:&quot;Jackson&quot;,&quot;given&quot;:&quot;Thomas&quot;,&quot;parse-names&quot;:false,&quot;dropping-particle&quot;:&quot;&quot;,&quot;non-dropping-particle&quot;:&quot;&quot;},{&quot;family&quot;:&quot;Melody&quot;,&quot;given&quot;:&quot;Teresa&quot;,&quot;parse-names&quot;:false,&quot;dropping-particle&quot;:&quot;&quot;,&quot;non-dropping-particle&quot;:&quot;&quot;},{&quot;family&quot;:&quot;Jin&quot;,&quot;given&quot;:&quot;Shengwei&quot;,&quot;parse-names&quot;:false,&quot;dropping-particle&quot;:&quot;&quot;,&quot;non-dropping-particle&quot;:&quot;&quot;},{&quot;family&quot;:&quot;Yao&quot;,&quot;given&quot;:&quot;Yinguang&quot;,&quot;parse-names&quot;:false,&quot;dropping-particle&quot;:&quot;&quot;,&quot;non-dropping-particle&quot;:&quot;&quot;},{&quot;family&quot;:&quot;Wu&quot;,&quot;given&quot;:&quot;Jimin&quot;,&quot;parse-names&quot;:false,&quot;dropping-particle&quot;:&quot;&quot;,&quot;non-dropping-particle&quot;:&quot;&quot;},{&quot;family&quot;:&quot;Chen&quot;,&quot;given&quot;:&quot;Junping&quot;,&quot;parse-names&quot;:false,&quot;dropping-particle&quot;:&quot;&quot;,&quot;non-dropping-particle&quot;:&quot;&quot;},{&quot;family&quot;:&quot;Smith&quot;,&quot;given&quot;:&quot;Fang Gao&quot;,&quot;parse-names&quot;:false,&quot;dropping-particle&quot;:&quot;&quot;,&quot;non-dropping-particle&quot;:&quot;&quot;},{&quot;family&quot;:&quot;Lian&quot;,&quot;given&quot;:&quot;Qingquan&quot;,&quot;parse-names&quot;:false,&quot;dropping-particle&quot;:&quot;&quot;,&quot;non-dropping-particle&quot;:&quot;&quot;},{&quot;family&quot;:&quot;Lin&quot;,&quot;given&quot;:&quot;Han&quot;,&quot;parse-names&quot;:false,&quot;dropping-particle&quot;:&quot;&quot;,&quot;non-dropping-particle&quot;:&quot;&quot;},{&quot;family&quot;:&quot;Ma&quot;,&quot;given&quot;:&quot;Jianfeng&quot;,&quot;parse-names&quot;:false,&quot;dropping-particle&quot;:&quot;&quot;,&quot;non-dropping-particle&quot;:&quot;&quot;},{&quot;family&quot;:&quot;Shangguan&quot;,&quot;given&quot;:&quot;Wangning&quot;,&quot;parse-names&quot;:false,&quot;dropping-particle&quot;:&quot;&quot;,&quot;non-dropping-particle&quot;:&quot;&quot;},{&quot;family&quot;:&quot;Zhang&quot;,&quot;given&quot;:&quot;Xuntong&quot;,&quot;parse-names&quot;:false,&quot;dropping-particle&quot;:&quot;&quot;,&quot;non-dropping-particle&quot;:&quot;&quot;},{&quot;family&quot;:&quot;Wang&quot;,&quot;given&quot;:&quot;Yi&quot;,&quot;parse-names&quot;:false,&quot;dropping-particle&quot;:&quot;&quot;,&quot;non-dropping-particle&quot;:&quot;&quot;},{&quot;family&quot;:&quot;Xie&quot;,&quot;given&quot;:&quot;Zuokai&quot;,&quot;parse-names&quot;:false,&quot;dropping-particle&quot;:&quot;&quot;,&quot;non-dropping-particle&quot;:&quot;&quot;},{&quot;family&quot;:&quot;He&quot;,&quot;given&quot;:&quot;Lili&quot;,&quot;parse-names&quot;:false,&quot;dropping-particle&quot;:&quot;&quot;,&quot;non-dropping-particle&quot;:&quot;&quot;},{&quot;family&quot;:&quot;Lin&quot;,&quot;given&quot;:&quot;Wenwen&quot;,&quot;parse-names&quot;:false,&quot;dropping-particle&quot;:&quot;&quot;,&quot;non-dropping-particle&quot;:&quot;&quot;},{&quot;family&quot;:&quot;Xiang&quot;,&quot;given&quot;:&quot;Yuyu&quot;,&quot;parse-names&quot;:false,&quot;dropping-particle&quot;:&quot;&quot;,&quot;non-dropping-particle&quot;:&quot;&quot;},{&quot;family&quot;:&quot;Wang&quot;,&quot;given&quot;:&quot;Jianlin&quot;,&quot;parse-names&quot;:false,&quot;dropping-particle&quot;:&quot;&quot;,&quot;non-dropping-particle&quot;:&quot;&quot;},{&quot;family&quot;:&quot;Kong&quot;,&quot;given&quot;:&quot;Lingsi&quot;,&quot;parse-names&quot;:false,&quot;dropping-particle&quot;:&quot;&quot;,&quot;non-dropping-particle&quot;:&quot;&quot;},{&quot;family&quot;:&quot;Zhang&quot;,&quot;given&quot;:&quot;Tao&quot;,&quot;parse-names&quot;:false,&quot;dropping-particle&quot;:&quot;&quot;,&quot;non-dropping-particle&quot;:&quot;&quot;},{&quot;family&quot;:&quot;Wang&quot;,&quot;given&quot;:&quot;Yibing&quot;,&quot;parse-names&quot;:false,&quot;dropping-particle&quot;:&quot;&quot;,&quot;non-dropping-particle&quot;:&quot;&quot;},{&quot;family&quot;:&quot;Bao&quot;,&quot;given&quot;:&quot;Nana&quot;,&quot;parse-names&quot;:false,&quot;dropping-particle&quot;:&quot;&quot;,&quot;non-dropping-particle&quot;:&quot;&quot;},{&quot;family&quot;:&quot;Xu&quot;,&quot;given&quot;:&quot;Xuzhong&quot;,&quot;parse-names&quot;:false,&quot;dropping-particle&quot;:&quot;&quot;,&quot;non-dropping-particle&quot;:&quot;&quot;},{&quot;family&quot;:&quot;Cheng&quot;,&quot;given&quot;:&quot;Hao&quot;,&quot;parse-names&quot;:false,&quot;dropping-particle&quot;:&quot;&quot;,&quot;non-dropping-particle&quot;:&quot;&quot;},{&quot;family&quot;:&quot;Lei&quot;,&quot;given&quot;:&quot;Lipei&quot;,&quot;parse-names&quot;:false,&quot;dropping-particle&quot;:&quot;&quot;,&quot;non-dropping-particle&quot;:&quot;&quot;},{&quot;family&quot;:&quot;Zhang&quot;,&quot;given&quot;:&quot;Zengqiang&quot;,&quot;parse-names&quot;:false,&quot;dropping-particle&quot;:&quot;&quot;,&quot;non-dropping-particle&quot;:&quot;&quot;},{&quot;family&quot;:&quot;Fan&quot;,&quot;given&quot;:&quot;Lihua&quot;,&quot;parse-names&quot;:false,&quot;dropping-particle&quot;:&quot;&quot;,&quot;non-dropping-particle&quot;:&quot;&quot;},{&quot;family&quot;:&quot;Wu&quot;,&quot;given&quot;:&quot;Yini&quot;,&quot;parse-names&quot;:false,&quot;dropping-particle&quot;:&quot;&quot;,&quot;non-dropping-particle&quot;:&quot;&quot;},{&quot;family&quot;:&quot;Wei&quot;,&quot;given&quot;:&quot;Jianmin&quot;,&quot;parse-names&quot;:false,&quot;dropping-particle&quot;:&quot;&quot;,&quot;non-dropping-particle&quot;:&quot;&quot;},{&quot;family&quot;:&quot;Shi&quot;,&quot;given&quot;:&quot;Zhonghua&quot;,&quot;parse-names&quot;:false,&quot;dropping-particle&quot;:&quot;&quot;,&quot;non-dropping-particle&quot;:&quot;&quot;},{&quot;family&quot;:&quot;Mei&quot;,&quot;given&quot;:&quot;Wei&quot;,&quot;parse-names&quot;:false,&quot;dropping-particle&quot;:&quot;&quot;,&quot;non-dropping-particle&quot;:&quot;&quot;},{&quot;family&quot;:&quot;Luo&quot;,&quot;given&quot;:&quot;Foquan&quot;,&quot;parse-names&quot;:false,&quot;dropping-particle&quot;:&quot;&quot;,&quot;non-dropping-particle&quot;:&quot;&quot;},{&quot;family&quot;:&quot;Zhao&quot;,&quot;given&quot;:&quot;Lili&quot;,&quot;parse-names&quot;:false,&quot;dropping-particle&quot;:&quot;&quot;,&quot;non-dropping-particle&quot;:&quot;&quot;},{&quot;family&quot;:&quot;Zhang&quot;,&quot;given&quot;:&quot;Qin&quot;,&quot;parse-names&quot;:false,&quot;dropping-particle&quot;:&quot;&quot;,&quot;non-dropping-particle&quot;:&quot;&quot;},{&quot;family&quot;:&quot;Chen&quot;,&quot;given&quot;:&quot;Shibiao&quot;,&quot;parse-names&quot;:false,&quot;dropping-particle&quot;:&quot;&quot;,&quot;non-dropping-particle&quot;:&quot;&quot;},{&quot;family&quot;:&quot;Shi&quot;,&quot;given&quot;:&quot;Xiaoyun&quot;,&quot;parse-names&quot;:false,&quot;dropping-particle&quot;:&quot;&quot;,&quot;non-dropping-particle&quot;:&quot;&quot;},{&quot;family&quot;:&quot;Liang&quot;,&quot;given&quot;:&quot;Yuanbo&quot;,&quot;parse-names&quot;:false,&quot;dropping-particle&quot;:&quot;&quot;,&quot;non-dropping-particle&quot;:&quot;&quot;},{&quot;family&quot;:&quot;Xu&quot;,&quot;given&quot;:&quot;Jian&quot;,&quot;parse-names&quot;:false,&quot;dropping-particle&quot;:&quot;&quot;,&quot;non-dropping-particle&quot;:&quot;&quot;},{&quot;family&quot;:&quot;Zhou&quot;,&quot;given&quot;:&quot;Weihe&quot;,&quot;parse-names&quot;:false,&quot;dropping-particle&quot;:&quot;&quot;,&quot;non-dropping-particle&quot;:&quot;&quot;},{&quot;family&quot;:&quot;Zheng&quot;,&quot;given&quot;:&quot;Jingwei&quot;,&quot;parse-names&quot;:false,&quot;dropping-particle&quot;:&quot;&quot;,&quot;non-dropping-particle&quot;:&quot;&quot;},{&quot;family&quot;:&quot;Yuan&quot;,&quot;given&quot;:&quot;Weiping&quot;,&quot;parse-names&quot;:false,&quot;dropping-particle&quot;:&quot;&quot;,&quot;non-dropping-particle&quot;:&quot;&quot;},{&quot;family&quot;:&quot;Lin&quot;,&quot;given&quot;:&quot;Yan&quot;,&quot;parse-names&quot;:false,&quot;dropping-particle&quot;:&quot;&quot;,&quot;non-dropping-particle&quot;:&quot;&quot;}],&quot;container-title&quot;:&quot;JAMA&quot;,&quot;accessed&quot;:{&quot;date-parts&quot;:[[2022,1,6]]},&quot;DOI&quot;:&quot;10.1001/JAMA.2021.22647&quot;,&quot;ISSN&quot;:&quot;1538-3598&quot;,&quot;PMID&quot;:&quot;34928310&quot;,&quot;URL&quot;:&quot;https://pubmed.ncbi.nlm.nih.gov/34928310/&quot;,&quot;issued&quot;:{&quot;date-parts&quot;:[[2022,1,4]]},&quot;page&quot;:&quot;50&quot;,&quot;publisher&quot;:&quot;JAMA&quot;,&quot;issue&quot;:&quot;1&quot;,&quot;volume&quot;:&quot;327&quot;,&quot;container-title-short&quot;:&quot;JAMA&quot;},&quot;isTemporary&quot;:false},{&quot;id&quot;:&quot;6a8a586d-45e4-34d3-a018-dae1b0d0194c&quot;,&quot;itemData&quot;:{&quot;type&quot;:&quot;article-journal&quot;,&quot;id&quot;:&quot;6a8a586d-45e4-34d3-a018-dae1b0d0194c&quot;,&quot;title&quot;:&quot;Spinal Anesthesia or General Anesthesia for Hip Surgery in Older Adults&quot;,&quot;author&quot;:[{&quot;family&quot;:&quot;Neuman&quot;,&quot;given&quot;:&quot;Mark D.&quot;,&quot;parse-names&quot;:false,&quot;dropping-particle&quot;:&quot;&quot;,&quot;non-dropping-particle&quot;:&quot;&quot;},{&quot;family&quot;:&quot;Feng&quot;,&quot;given&quot;:&quot;Rui&quot;,&quot;parse-names&quot;:false,&quot;dropping-particle&quot;:&quot;&quot;,&quot;non-dropping-particle&quot;:&quot;&quot;},{&quot;family&quot;:&quot;Carson&quot;,&quot;given&quot;:&quot;Jeffrey L.&quot;,&quot;parse-names&quot;:false,&quot;dropping-particle&quot;:&quot;&quot;,&quot;non-dropping-particle&quot;:&quot;&quot;},{&quot;family&quot;:&quot;Gaskins&quot;,&quot;given&quot;:&quot;Lakisha J.&quot;,&quot;parse-names&quot;:false,&quot;dropping-particle&quot;:&quot;&quot;,&quot;non-dropping-particle&quot;:&quot;&quot;},{&quot;family&quot;:&quot;Dillane&quot;,&quot;given&quot;:&quot;Derek&quot;,&quot;parse-names&quot;:false,&quot;dropping-particle&quot;:&quot;&quot;,&quot;non-dropping-particle&quot;:&quot;&quot;},{&quot;family&quot;:&quot;Sessler&quot;,&quot;given&quot;:&quot;Daniel I.&quot;,&quot;parse-names&quot;:false,&quot;dropping-particle&quot;:&quot;&quot;,&quot;non-dropping-particle&quot;:&quot;&quot;},{&quot;family&quot;:&quot;Sieber&quot;,&quot;given&quot;:&quot;Frederick&quot;,&quot;parse-names&quot;:false,&quot;dropping-particle&quot;:&quot;&quot;,&quot;non-dropping-particle&quot;:&quot;&quot;},{&quot;family&quot;:&quot;Magaziner&quot;,&quot;given&quot;:&quot;Jay&quot;,&quot;parse-names&quot;:false,&quot;dropping-particle&quot;:&quot;&quot;,&quot;non-dropping-particle&quot;:&quot;&quot;},{&quot;family&quot;:&quot;Marcantonio&quot;,&quot;given&quot;:&quot;Edward R.&quot;,&quot;parse-names&quot;:false,&quot;dropping-particle&quot;:&quot;&quot;,&quot;non-dropping-particle&quot;:&quot;&quot;},{&quot;family&quot;:&quot;Mehta&quot;,&quot;given&quot;:&quot;Samir&quot;,&quot;parse-names&quot;:false,&quot;dropping-particle&quot;:&quot;&quot;,&quot;non-dropping-particle&quot;:&quot;&quot;},{&quot;family&quot;:&quot;Menio&quot;,&quot;given&quot;:&quot;Diane&quot;,&quot;parse-names&quot;:false,&quot;dropping-particle&quot;:&quot;&quot;,&quot;non-dropping-particle&quot;:&quot;&quot;},{&quot;family&quot;:&quot;Ayad&quot;,&quot;given&quot;:&quot;Sabry&quot;,&quot;parse-names&quot;:false,&quot;dropping-particle&quot;:&quot;&quot;,&quot;non-dropping-particle&quot;:&quot;&quot;},{&quot;family&quot;:&quot;Stone&quot;,&quot;given&quot;:&quot;Trevor&quot;,&quot;parse-names&quot;:false,&quot;dropping-particle&quot;:&quot;&quot;,&quot;non-dropping-particle&quot;:&quot;&quot;},{&quot;family&quot;:&quot;Papp&quot;,&quot;given&quot;:&quot;Steven&quot;,&quot;parse-names&quot;:false,&quot;dropping-particle&quot;:&quot;&quot;,&quot;non-dropping-particle&quot;:&quot;&quot;},{&quot;family&quot;:&quot;Schwenk&quot;,&quot;given&quot;:&quot;Eric S.&quot;,&quot;parse-names&quot;:false,&quot;dropping-particle&quot;:&quot;&quot;,&quot;non-dropping-particle&quot;:&quot;&quot;},{&quot;family&quot;:&quot;Elkassabany&quot;,&quot;given&quot;:&quot;Nabil&quot;,&quot;parse-names&quot;:false,&quot;dropping-particle&quot;:&quot;&quot;,&quot;non-dropping-particle&quot;:&quot;&quot;},{&quot;family&quot;:&quot;Marshall&quot;,&quot;given&quot;:&quot;Mitchell&quot;,&quot;parse-names&quot;:false,&quot;dropping-particle&quot;:&quot;&quot;,&quot;non-dropping-particle&quot;:&quot;&quot;},{&quot;family&quot;:&quot;Jaffe&quot;,&quot;given&quot;:&quot;J. Douglas&quot;,&quot;parse-names&quot;:false,&quot;dropping-particle&quot;:&quot;&quot;,&quot;non-dropping-particle&quot;:&quot;&quot;},{&quot;family&quot;:&quot;Luke&quot;,&quot;given&quot;:&quot;Charles&quot;,&quot;parse-names&quot;:false,&quot;dropping-particle&quot;:&quot;&quot;,&quot;non-dropping-particle&quot;:&quot;&quot;},{&quot;family&quot;:&quot;Sharma&quot;,&quot;given&quot;:&quot;Balram&quot;,&quot;parse-names&quot;:false,&quot;dropping-particle&quot;:&quot;&quot;,&quot;non-dropping-particle&quot;:&quot;&quot;},{&quot;family&quot;:&quot;Azim&quot;,&quot;given&quot;:&quot;Syed&quot;,&quot;parse-names&quot;:false,&quot;dropping-particle&quot;:&quot;&quot;,&quot;non-dropping-particle&quot;:&quot;&quot;},{&quot;family&quot;:&quot;Hymes&quot;,&quot;given&quot;:&quot;Robert A.&quot;,&quot;parse-names&quot;:false,&quot;dropping-particle&quot;:&quot;&quot;,&quot;non-dropping-particle&quot;:&quot;&quot;},{&quot;family&quot;:&quot;Chin&quot;,&quot;given&quot;:&quot;Ki-Jinn&quot;,&quot;parse-names&quot;:false,&quot;dropping-particle&quot;:&quot;&quot;,&quot;non-dropping-particle&quot;:&quot;&quot;},{&quot;family&quot;:&quot;Sheppard&quot;,&quot;given&quot;:&quot;Richard&quot;,&quot;parse-names&quot;:false,&quot;dropping-particle&quot;:&quot;&quot;,&quot;non-dropping-particle&quot;:&quot;&quot;},{&quot;family&quot;:&quot;Perlman&quot;,&quot;given&quot;:&quot;Barry&quot;,&quot;parse-names&quot;:false,&quot;dropping-particle&quot;:&quot;&quot;,&quot;non-dropping-particle&quot;:&quot;&quot;},{&quot;family&quot;:&quot;Sappenfield&quot;,&quot;given&quot;:&quot;Joshua&quot;,&quot;parse-names&quot;:false,&quot;dropping-particle&quot;:&quot;&quot;,&quot;non-dropping-particle&quot;:&quot;&quot;},{&quot;family&quot;:&quot;Hauck&quot;,&quot;given&quot;:&quot;Ellen&quot;,&quot;parse-names&quot;:false,&quot;dropping-particle&quot;:&quot;&quot;,&quot;non-dropping-particle&quot;:&quot;&quot;},{&quot;family&quot;:&quot;Hoeft&quot;,&quot;given&quot;:&quot;Mark A.&quot;,&quot;parse-names&quot;:false,&quot;dropping-particle&quot;:&quot;&quot;,&quot;non-dropping-particle&quot;:&quot;&quot;},{&quot;family&quot;:&quot;Giska&quot;,&quot;given&quot;:&quot;Mark&quot;,&quot;parse-names&quot;:false,&quot;dropping-particle&quot;:&quot;&quot;,&quot;non-dropping-particle&quot;:&quot;&quot;},{&quot;family&quot;:&quot;Ranganath&quot;,&quot;given&quot;:&quot;Yatish&quot;,&quot;parse-names&quot;:false,&quot;dropping-particle&quot;:&quot;&quot;,&quot;non-dropping-particle&quot;:&quot;&quot;},{&quot;family&quot;:&quot;Tedore&quot;,&quot;given&quot;:&quot;Tiffany&quot;,&quot;parse-names&quot;:false,&quot;dropping-particle&quot;:&quot;&quot;,&quot;non-dropping-particle&quot;:&quot;&quot;},{&quot;family&quot;:&quot;Choi&quot;,&quot;given&quot;:&quot;Stephen&quot;,&quot;parse-names&quot;:false,&quot;dropping-particle&quot;:&quot;&quot;,&quot;non-dropping-particle&quot;:&quot;&quot;},{&quot;family&quot;:&quot;Li&quot;,&quot;given&quot;:&quot;Jinlei&quot;,&quot;parse-names&quot;:false,&quot;dropping-particle&quot;:&quot;&quot;,&quot;non-dropping-particle&quot;:&quot;&quot;},{&quot;family&quot;:&quot;Kwofie&quot;,&quot;given&quot;:&quot;M. Kwesi&quot;,&quot;parse-names&quot;:false,&quot;dropping-particle&quot;:&quot;&quot;,&quot;non-dropping-particle&quot;:&quot;&quot;},{&quot;family&quot;:&quot;Nader&quot;,&quot;given&quot;:&quot;Antoun&quot;,&quot;parse-names&quot;:false,&quot;dropping-particle&quot;:&quot;&quot;,&quot;non-dropping-particle&quot;:&quot;&quot;},{&quot;family&quot;:&quot;Sanders&quot;,&quot;given&quot;:&quot;Robert D.&quot;,&quot;parse-names&quot;:false,&quot;dropping-particle&quot;:&quot;&quot;,&quot;non-dropping-particle&quot;:&quot;&quot;},{&quot;family&quot;:&quot;Allen&quot;,&quot;given&quot;:&quot;Brian F.S.&quot;,&quot;parse-names&quot;:false,&quot;dropping-particle&quot;:&quot;&quot;,&quot;non-dropping-particle&quot;:&quot;&quot;},{&quot;family&quot;:&quot;Vlassakov&quot;,&quot;given&quot;:&quot;Kamen&quot;,&quot;parse-names&quot;:false,&quot;dropping-particle&quot;:&quot;&quot;,&quot;non-dropping-particle&quot;:&quot;&quot;},{&quot;family&quot;:&quot;Kates&quot;,&quot;given&quot;:&quot;Stephen&quot;,&quot;parse-names&quot;:false,&quot;dropping-particle&quot;:&quot;&quot;,&quot;non-dropping-particle&quot;:&quot;&quot;},{&quot;family&quot;:&quot;Fleisher&quot;,&quot;given&quot;:&quot;Lee A.&quot;,&quot;parse-names&quot;:false,&quot;dropping-particle&quot;:&quot;&quot;,&quot;non-dropping-particle&quot;:&quot;&quot;},{&quot;family&quot;:&quot;Dattilo&quot;,&quot;given&quot;:&quot;James&quot;,&quot;parse-names&quot;:false,&quot;dropping-particle&quot;:&quot;&quot;,&quot;non-dropping-particle&quot;:&quot;&quot;},{&quot;family&quot;:&quot;Tierney&quot;,&quot;given&quot;:&quot;Ann&quot;,&quot;parse-names&quot;:false,&quot;dropping-particle&quot;:&quot;&quot;,&quot;non-dropping-particle&quot;:&quot;&quot;},{&quot;family&quot;:&quot;Stephens-Shields&quot;,&quot;given&quot;:&quot;Alisa J.&quot;,&quot;parse-names&quot;:false,&quot;dropping-particle&quot;:&quot;&quot;,&quot;non-dropping-particle&quot;:&quot;&quot;},{&quot;family&quot;:&quot;Ellenberg&quot;,&quot;given&quot;:&quot;Susan S.&quot;,&quot;parse-names&quot;:false,&quot;dropping-particle&quot;:&quot;&quot;,&quot;non-dropping-particle&quot;:&quot;&quot;}],&quot;container-title&quot;:&quot;The New England journal of medicine&quot;,&quot;accessed&quot;:{&quot;date-parts&quot;:[[2022,1,6]]},&quot;DOI&quot;:&quot;10.1056/NEJMOA2113514&quot;,&quot;ISSN&quot;:&quot;1533-4406&quot;,&quot;PMID&quot;:&quot;34623788&quot;,&quot;URL&quot;:&quot;https://pubmed.ncbi.nlm.nih.gov/34623788/&quot;,&quot;issued&quot;:{&quot;date-parts&quot;:[[2021,11,25]]},&quot;page&quot;:&quot;2025-2035&quot;,&quot;abstract&quot;:&quot;BACKGROUND The effects of spinal anesthesia as compared with general anesthesia on the ability to walk in older adults undergoing surgery for hip fracture have not been well studied. METHODS We conducted a pragmatic, randomized superiority trial to evaluate spinal anesthesia as compared with general anesthesia in previously ambulatory patients 50 years of age or older who were undergoing surgery for hip fracture at 46 U.S. and Canadian hospitals. Patients were randomly assigned in a 1:1 ratio to receive spinal or general anesthesia. The primary outcome was a composite of death or an inability to walk approximately 10 ft (3 m) independently or with a walker or cane at 60 days after randomization. Secondary outcomes included death within 60 days, delirium, time to discharge, and ambulation at 60 days. RESULTS A total of 1600 patients were enrolled; 795 were assigned to receive spinal anesthesia and 805 to receive general anesthesia. The mean age was 78 years, and 67.0% of the patients were women. A total of 666 patients (83.8%) assigned to spinal anesthesia and 769 patients (95.5%) assigned to general anesthesia received their assigned anesthesia. Among patients in the modified intention-to-treat population for whom data were available, the composite primary outcome occurred in 132 of 712 patients (18.5%) in the spinal anesthesia group and 132 of 733 (18.0%) in the general anesthesia group (relative risk, 1.03; 95% confidence interval [CI], 0.84 to 1.27; P = 0.83). An inability to walk independently at 60 days was reported in 104 of 684 patients (15.2%) and 101 of 702 patients (14.4%), respectively (relative risk, 1.06; 95% CI, 0.82 to 1.36), and death within 60 days occurred in 30 of 768 (3.9%) and 32 of 784 (4.1%), respectively (relative risk, 0.97; 95% CI, 0.59 to 1.57). Delirium occurred in 130 of 633 patients (20.5%) in the spinal anesthesia group and in 124 of 629 (19.7%) in the general anesthesia group (relative risk, 1.04; 95% CI, 0.84 to 1.30). CONCLUSIONS Spinal anesthesia for hip-fracture surgery in older adults was not superior to general anesthesia with respect to survival and recovery of ambulation at 60 days. The incidence of postoperative delirium was similar with the two types of anesthesia. (Funded by the Patient-Centered Outcomes Research Institute; REGAIN ClinicalTrials.gov number, NCT02507505.).&quot;,&quot;publisher&quot;:&quot;N Engl J Med&quot;,&quot;issue&quot;:&quot;22&quot;,&quot;volume&quot;:&quot;385&quot;,&quot;container-title-short&quot;:&quot;N Engl J Med&quot;},&quot;isTemporary&quot;:false}]},{&quot;citationID&quot;:&quot;MENDELEY_CITATION_0518f689-be61-45d9-ac15-598502d7615b&quot;,&quot;properties&quot;:{&quot;noteIndex&quot;:0},&quot;isEdited&quot;:false,&quot;manualOverride&quot;:{&quot;isManuallyOverridden&quot;:false,&quot;citeprocText&quot;:&quot;&lt;sup&gt;9–13&lt;/sup&gt;&quot;,&quot;manualOverrideText&quot;:&quot;&quot;},&quot;citationTag&quot;:&quot;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&quot;,&quot;citationItems&quot;:[{&quot;id&quot;:&quot;26edaa77-bd3e-39c0-a4a7-2fb555e7461c&quot;,&quot;itemData&quot;:{&quot;type&quot;:&quot;article-journal&quot;,&quot;id&quot;:&quot;26edaa77-bd3e-39c0-a4a7-2fb555e7461c&quot;,&quot;title&quot;:&quot;Peripheral Nerve Blocks and Potentially Attributable Adverse Events in Older People with Hip Fracture: A Retrospective Population-based Cohort Study&quot;,&quot;author&quot;:[{&quot;family&quot;:&quot;Melton&quot;,&quot;given&quot;:&quot;Natalie&quot;,&quot;parse-names&quot;:false,&quot;dropping-particle&quot;:&quot;&quot;,&quot;non-dropping-particle&quot;:&quot;&quot;},{&quot;family&quot;:&quot;Talarico&quot;,&quot;given&quot;:&quot;Robert&quot;,&quot;parse-names&quot;:false,&quot;dropping-particle&quot;:&quot;&quot;,&quot;non-dropping-particle&quot;:&quot;&quot;},{&quot;family&quot;:&quot;Abdallah&quot;,&quot;given&quot;:&quot;Faraj&quot;,&quot;parse-names&quot;:false,&quot;dropping-particle&quot;:&quot;&quot;,&quot;non-dropping-particle&quot;:&quot;&quot;},{&quot;family&quot;:&quot;Beaulé&quot;,&quot;given&quot;:&quot;Paul E.&quot;,&quot;parse-names&quot;:false,&quot;dropping-particle&quot;:&quot;&quot;,&quot;non-dropping-particle&quot;:&quot;&quot;},{&quot;family&quot;:&quot;Boet&quot;,&quot;given&quot;:&quot;Sylvain&quot;,&quot;parse-names&quot;:false,&quot;dropping-particle&quot;:&quot;&quot;,&quot;non-dropping-particle&quot;:&quot;&quot;},{&quot;family&quot;:&quot;Forster&quot;,&quot;given&quot;:&quot;Alan J.&quot;,&quot;parse-names&quot;:false,&quot;dropping-particle&quot;:&quot;&quot;,&quot;non-dropping-particle&quot;:&quot;&quot;},{&quot;family&quot;:&quot;Fernando&quot;,&quot;given&quot;:&quot;Shannon M.&quot;,&quot;parse-names&quot;:false,&quot;dropping-particle&quot;:&quot;&quot;,&quot;non-dropping-particle&quot;:&quot;&quot;},{&quot;family&quot;:&quot;Huang&quot;,&quot;given&quot;:&quot;Allen&quot;,&quot;parse-names&quot;:false,&quot;dropping-particle&quot;:&quot;&quot;,&quot;non-dropping-particle&quot;:&quot;&quot;},{&quot;family&quot;:&quot;McCartney&quot;,&quot;given&quot;:&quot;Colin J.L.&quot;,&quot;parse-names&quot;:false,&quot;dropping-particle&quot;:&quot;&quot;,&quot;non-dropping-particle&quot;:&quot;&quot;},{&quot;family&quot;:&quot;Meulenkamp&quot;,&quot;given&quot;:&quot;Bradley&quot;,&quot;parse-names&quot;:false,&quot;dropping-particle&quot;:&quot;&quot;,&quot;non-dropping-particle&quot;:&quot;&quot;},{&quot;family&quot;:&quot;Perry&quot;,&quot;given&quot;:&quot;Jeff&quot;,&quot;parse-names&quot;:false,&quot;dropping-particle&quot;:&quot;&quot;,&quot;non-dropping-particle&quot;:&quot;&quot;},{&quot;family&quot;:&quot;Power&quot;,&quot;given&quot;:&quot;Barbara&quot;,&quot;parse-names&quot;:false,&quot;dropping-particle&quot;:&quot;&quot;,&quot;non-dropping-particle&quot;:&quot;&quot;},{&quot;family&quot;:&quot;Ramlogan&quot;,&quot;given&quot;:&quot;Reva&quot;,&quot;parse-names&quot;:false,&quot;dropping-particle&quot;:&quot;&quot;,&quot;non-dropping-particle&quot;:&quot;&quot;},{&quot;family&quot;:&quot;Taljaard&quot;,&quot;given&quot;:&quot;Monica&quot;,&quot;parse-names&quot;:false,&quot;dropping-particle&quot;:&quot;&quot;,&quot;non-dropping-particle&quot;:&quot;&quot;},{&quot;family&quot;:&quot;Tanuseputro&quot;,&quot;given&quot;:&quot;Peter&quot;,&quot;parse-names&quot;:false,&quot;dropping-particle&quot;:&quot;&quot;,&quot;non-dropping-particle&quot;:&quot;&quot;},{&quot;family&quot;:&quot;Walraven&quot;,&quot;given&quot;:&quot;Carl&quot;,&quot;parse-names&quot;:false,&quot;dropping-particle&quot;:&quot;&quot;,&quot;non-dropping-particle&quot;:&quot;van&quot;},{&quot;family&quot;:&quot;Wijeysundera&quot;,&quot;given&quot;:&quot;Duminda N.&quot;,&quot;parse-names&quot;:false,&quot;dropping-particle&quot;:&quot;&quot;,&quot;non-dropping-particle&quot;:&quot;&quot;},{&quot;family&quot;:&quot;McIsaac&quot;,&quot;given&quot;:&quot;Daniel I.&quot;,&quot;parse-names&quot;:false,&quot;dropping-particle&quot;:&quot;&quot;,&quot;non-dropping-particle&quot;:&quot;&quot;}],&quot;container-title&quot;:&quot;Anesthesiology&quot;,&quot;accessed&quot;:{&quot;date-parts&quot;:[[2022,1,6]]},&quot;DOI&quot;:&quot;10.1097/ALN.0000000000003863&quot;,&quot;ISSN&quot;:&quot;1528-1175&quot;,&quot;PMID&quot;:&quot;34237127&quot;,&quot;URL&quot;:&quot;https://pubmed.ncbi.nlm.nih.gov/34237127/&quot;,&quot;issued&quot;:{&quot;date-parts&quot;:[[2021]]},&quot;page&quot;:&quot;454-462&quot;,&quot;abstract&quot;:&quot;Background: Peripheral nerve blocks are being used with increasing frequency for management of hip fracture-related pain. Despite converging evidence that nerve blocks may be beneficial, safety data are lacking. This study hypothesized that peripheral nerve block receipt would not be associated with adverse events potentially attributable to nerve blocks, as well as overall patient safety incidents while in hospital. Methods: This was a preregistered, retrospective population-based cohort study using linked administrative data. This study identified all hip fracture admissions in people 50 yr of age or older and identified all nerve blocks (although we were unable to ascertain the specific anatomic location or type of block), potentially attributable adverse events (composite of seizures, fall-related injuries, cardiac arrest, nerve injury), and any patient safety events using validated codes. The study also estimated the unadjusted and adjusted association of nerve blocks with adverse events; adjusted absolute risk differences were also calculated. Results: In total, 91,563 hip fracture patients from 2009 to 2017 were identified; 15,631 (17.1%) received a nerve block, and 5,321 (5.8%; 95% CI, 5.7 to 6.0%) patients experienced a potentially nerve block-attributable adverse event: 866 (5.5%) in patients with a block and 4,455 (5.9%) without a block. Before and after adjustment, nerve blocks were not associated with potentially attributable adverse events (adjusted odds ratio, 1.05; 95% CI, 0.97 to 1.15; and adjusted risk difference, 0.3%, 95% CI, -0.1 to 0.8). Conclusions: The data suggest that nerve blocks in hip fracture patients are not associated with higher rates of potentially nerve block-attributable adverse events, although these findings may be influenced by limitations in routinely collected administrative data.&quot;,&quot;publisher&quot;:&quot;Anesthesiology&quot;,&quot;issue&quot;:&quot;3&quot;,&quot;volume&quot;:&quot;135&quot;,&quot;container-title-short&quot;:&quot;Anesthesiology&quot;},&quot;isTemporary&quot;:false},{&quot;id&quot;:&quot;b5c8663c-c9e2-3f1d-b4c5-f10404f342af&quot;,&quot;itemData&quot;:{&quot;type&quot;:&quot;article-journal&quot;,&quot;id&quot;:&quot;b5c8663c-c9e2-3f1d-b4c5-f10404f342af&quot;,&quot;title&quot;:&quot;A Population-based Comparative Effectiveness Study of Peripheral Nerve Blocks for Hip Fracture Surgery&quot;,&quot;author&quot;:[{&quot;family&quot;:&quot;Hamilton&quot;,&quot;given&quot;:&quot;Gavin M.&quot;,&quot;parse-names&quot;:false,&quot;dropping-particle&quot;:&quot;&quot;,&quot;non-dropping-particle&quot;:&quot;&quot;},{&quot;family&quot;:&quot;Lalu&quot;,&quot;given&quot;:&quot;Manoj M.&quot;,&quot;parse-names&quot;:false,&quot;dropping-particle&quot;:&quot;&quot;,&quot;non-dropping-particle&quot;:&quot;&quot;},{&quot;family&quot;:&quot;Ramlogan&quot;,&quot;given&quot;:&quot;Reva&quot;,&quot;parse-names&quot;:false,&quot;dropping-particle&quot;:&quot;&quot;,&quot;non-dropping-particle&quot;:&quot;&quot;},{&quot;family&quot;:&quot;Bryson&quot;,&quot;given&quot;:&quot;Gregory L.&quot;,&quot;parse-names&quot;:false,&quot;dropping-particle&quot;:&quot;&quot;,&quot;non-dropping-particle&quot;:&quot;&quot;},{&quot;family&quot;:&quot;Abdallah&quot;,&quot;given&quot;:&quot;Faraj W.&quot;,&quot;parse-names&quot;:false,&quot;dropping-particle&quot;:&quot;&quot;,&quot;non-dropping-particle&quot;:&quot;&quot;},{&quot;family&quot;:&quot;McCartney&quot;,&quot;given&quot;:&quot;Colin J.L.&quot;,&quot;parse-names&quot;:false,&quot;dropping-particle&quot;:&quot;&quot;,&quot;non-dropping-particle&quot;:&quot;&quot;},{&quot;family&quot;:&quot;McIsaac&quot;,&quot;given&quot;:&quot;Daniel I.&quot;,&quot;parse-names&quot;:false,&quot;dropping-particle&quot;:&quot;&quot;,&quot;non-dropping-particle&quot;:&quot;&quot;}],&quot;container-title&quot;:&quot;Anesthesiology&quot;,&quot;accessed&quot;:{&quot;date-parts&quot;:[[2022,1,6]]},&quot;DOI&quot;:&quot;10.1097/ALN.0000000000002947&quot;,&quot;ISSN&quot;:&quot;1528-1175&quot;,&quot;PMID&quot;:&quot;31634246&quot;,&quot;URL&quot;:&quot;https://pubmed.ncbi.nlm.nih.gov/31634246/&quot;,&quot;issued&quot;:{&quot;date-parts&quot;:[[2019,11,1]]},&quot;page&quot;:&quot;1025-1035&quot;,&quot;abstract&quot;:&quot;Background: Adverse outcomes and resource use rates are high after hip fracture surgery. Peripheral nerve blocks could improve outcomes through enhanced analgesia and decreased opioid related adverse events. We hypothesized that these benefits would translate into decreased resource use (length of stay [primary outcome] and costs), and better clinical outcomes (pneumonia and mortality). Methods: The authors conducted a retrospective cohort study of hip fracture surgery patients in Ontario, Canada (2011 to 2015) using linked health administrative data. Multilevel regression, instrumental variable, and propensity scores were used to determine the association of nerve blocks with resource use and outcomes. Results: The authors identified 65,271 hip fracture surgery patients; 10,030 (15.4%) received a block. With a block, the median hospital stay was 7 (interquartile range, 4 to 13) days versus 8 (interquartile range, 5 to 14) days without. Following adjustment, nerve blocks were associated with a 0.6-day decrease in length of stay (95% CI, 0.5 to 0.8). This small difference was consistent with instrumental variable (1.1 days; 95% CI, 0.9 to 1.2) and propensity score (0.2 days; 95% CI, 0.2 to 0.3) analyses. Costs were lower with a nerve block (adjusted difference,-$1,421; 95% CI,-$1,579 to-$1,289 [Canadian dollars]), but no difference in mortality (adjusted odds ratio, 0.99; 95% CI, 0.89 to 1.11) or pneumonia (adjusted odds ratio, 1.01; 95% CI, 0.88 to 1.16) was observed. Conclusions: Receipt of nerve blocks for hip fracture surgery is associated with decreased length of stay and health system costs, although small effect sizes may not reflect clinical significance for length of stay.&quot;,&quot;publisher&quot;:&quot;Anesthesiology&quot;,&quot;issue&quot;:&quot;5&quot;,&quot;volume&quot;:&quot;131&quot;,&quot;container-title-short&quot;:&quot;Anesthesiology&quot;},&quot;isTemporary&quot;:false},{&quot;id&quot;:&quot;3c37501f-c1a6-3cd0-a6e6-5d4a97e2284c&quot;,&quot;itemData&quot;:{&quot;type&quot;:&quot;article-journal&quot;,&quot;id&quot;:&quot;3c37501f-c1a6-3cd0-a6e6-5d4a97e2284c&quot;,&quot;title&quot;:&quot;Increased orthogeriatrician involvement in hip fracture care and its impact on mortality in England&quot;,&quot;author&quot;:[{&quot;family&quot;:&quot;Neuburger&quot;,&quot;given&quot;:&quot;Jenny&quot;,&quot;parse-names&quot;:false,&quot;dropping-particle&quot;:&quot;&quot;,&quot;non-dropping-particle&quot;:&quot;&quot;},{&quot;family&quot;:&quot;Currie&quot;,&quot;given&quot;:&quot;Colin&quot;,&quot;parse-names&quot;:false,&quot;dropping-particle&quot;:&quot;&quot;,&quot;non-dropping-particle&quot;:&quot;&quot;},{&quot;family&quot;:&quot;Wakeman&quot;,&quot;given&quot;:&quot;Robert&quot;,&quot;parse-names&quot;:false,&quot;dropping-particle&quot;:&quot;&quot;,&quot;non-dropping-particle&quot;:&quot;&quot;},{&quot;family&quot;:&quot;Johansen&quot;,&quot;given&quot;:&quot;Antony&quot;,&quot;parse-names&quot;:false,&quot;dropping-particle&quot;:&quot;&quot;,&quot;non-dropping-particle&quot;:&quot;&quot;},{&quot;family&quot;:&quot;Tsang&quot;,&quot;given&quot;:&quot;Carmen&quot;,&quot;parse-names&quot;:false,&quot;dropping-particle&quot;:&quot;&quot;,&quot;non-dropping-particle&quot;:&quot;&quot;},{&quot;family&quot;:&quot;Plant&quot;,&quot;given&quot;:&quot;Fay&quot;,&quot;parse-names&quot;:false,&quot;dropping-particle&quot;:&quot;&quot;,&quot;non-dropping-particle&quot;:&quot;&quot;},{&quot;family&quot;:&quot;Wilson&quot;,&quot;given&quot;:&quot;Helen&quot;,&quot;parse-names&quot;:false,&quot;dropping-particle&quot;:&quot;&quot;,&quot;non-dropping-particle&quot;:&quot;&quot;},{&quot;family&quot;:&quot;Cromwell&quot;,&quot;given&quot;:&quot;David A.&quot;,&quot;parse-names&quot;:false,&quot;dropping-particle&quot;:&quot;&quot;,&quot;non-dropping-particle&quot;:&quot;&quot;},{&quot;family&quot;:&quot;Meulen&quot;,&quot;given&quot;:&quot;Jan&quot;,&quot;parse-names&quot;:false,&quot;dropping-particle&quot;:&quot;&quot;,&quot;non-dropping-particle&quot;:&quot;van der&quot;},{&quot;family&quot;:&quot;Stavola&quot;,&quot;given&quot;:&quot;Bianca&quot;,&quot;parse-names&quot;:false,&quot;dropping-particle&quot;:&quot;&quot;,&quot;non-dropping-particle&quot;:&quot;de&quot;}],&quot;container-title&quot;:&quot;Age and ageing&quot;,&quot;accessed&quot;:{&quot;date-parts&quot;:[[2022,1,6]]},&quot;DOI&quot;:&quot;10.1093/AGEING/AFW201&quot;,&quot;ISSN&quot;:&quot;1468-2834&quot;,&quot;PMID&quot;:&quot;27915229&quot;,&quot;URL&quot;:&quot;https://pubmed.ncbi.nlm.nih.gov/27915229/&quot;,&quot;issued&quot;:{&quot;date-parts&quot;:[[2017]]},&quot;page&quot;:&quot;187-193&quot;,&quot;abstract&quot;:&quot;Objectives: to describe the increase in orthogeriatrician involvement in hip fracture care in England and its association with improvements in time to surgery and mortality. Study design: analysis of Hospital Episode Statistics for 196,401 patients presenting with hip fracture to 150 hospitals in England between 1 April 2010 and 28 February 2014, combined with data on orthogeriatrician hours from a national organisational survey. Methods: we examined changes in the average number of hours worked by orthogeriatricians in orthopaedic departments per patient with hip fracture, and their potential effect on mortality within 30 days of presentation. The role of prompt surgery (on day of or day after presentation) was explored as a potential confounding factor. Associations were assessed using conditional Poisson regression models with adjustment for patients' sex, age and comorbidity and year, with hospitals treated as fixed effects. Results: between 2010 and 2013, there was an increase of 2.5 hours per patient in the median number of hours worked by orthogeriatricians-from 1.5 to 4.0 hours. An increase of 2.5 hours per patient was associated with a relative reduction in mortality of 3.4% (95% confidence interval 0.9% to 5.9%, P = 0.01). This corresponds to an absolute reduction of approximately 0.3%. Higher numbers of orthogeriatrician hours were associated with higher rates of prompt surgery, but were independently associated with lower mortality. Conclusion: in the context of initiatives to improve hip fracture care, we identified statistically significant and robust associations between increased orthogeriatrician hours per patient and reduced 30-day mortality.&quot;,&quot;publisher&quot;:&quot;Age Ageing&quot;,&quot;issue&quot;:&quot;2&quot;,&quot;volume&quot;:&quot;46&quot;,&quot;container-title-short&quot;:&quot;Age Ageing&quot;},&quot;isTemporary&quot;:false},{&quot;id&quot;:&quot;654d4c13-5bcf-305b-b023-a707fa06b69f&quot;,&quot;itemData&quot;:{&quot;type&quot;:&quot;article-journal&quot;,&quot;id&quot;:&quot;654d4c13-5bcf-305b-b023-a707fa06b69f&quot;,&quot;title&quot;:&quot;Anticholinergic burden quantified by anticholinergic risk scales and adverse outcomes in older people: a systematic review&quot;,&quot;author&quot;:[{&quot;family&quot;:&quot;Salahudeen&quot;,&quot;given&quot;:&quot;Mohammed Saji&quot;,&quot;parse-names&quot;:false,&quot;dropping-particle&quot;:&quot;&quot;,&quot;non-dropping-particle&quot;:&quot;&quot;},{&quot;family&quot;:&quot;Duffull&quot;,&quot;given&quot;:&quot;Stephen B.&quot;,&quot;parse-names&quot;:false,&quot;dropping-particle&quot;:&quot;&quot;,&quot;non-dropping-particle&quot;:&quot;&quot;},{&quot;family&quot;:&quot;Nishtala&quot;,&quot;given&quot;:&quot;Prasad S.&quot;,&quot;parse-names&quot;:false,&quot;dropping-particle&quot;:&quot;&quot;,&quot;non-dropping-particle&quot;:&quot;&quot;}],&quot;container-title&quot;:&quot;BMC geriatrics&quot;,&quot;accessed&quot;:{&quot;date-parts&quot;:[[2022,1,6]]},&quot;DOI&quot;:&quot;10.1186/S12877-015-0029-9&quot;,&quot;ISSN&quot;:&quot;1471-2318&quot;,&quot;PMID&quot;:&quot;25879993&quot;,&quot;URL&quot;:&quot;https://pubmed.ncbi.nlm.nih.gov/25879993/&quot;,&quot;issued&quot;:{&quot;date-parts&quot;:[[2015]]},&quot;abstract&quot;:&quot;Background: The cumulative effect of taking multiple medicines with anticholinergic properties termed as anticholinergic burden can adversely impact cognition, physical function and increase the risk of mortality. Expert opinion derived risk scales are routinely used in research and clinical practice to quantify anticholinergic burden. These scales rank the anticholinergic activity of medicines into four categories, ranging from no anticholinergic activity (= 0) to definite/high anticholinergic activity (= 3). The aim of this systematic review was to compare anticholinergic burden quantified by the anticholinergic risk scales and evaluate associations with adverse outcomes in older people. Methods: We conducted a literature search in Ovid MEDLINE, EMBASE and PsycINFO from 1984-2014 to identify expert opinion derived anticholinergic risk scales. In addition to this, a citation analysis was performed in Web of Science and Google Scholar to track prospective citing of references of selected articles for assessment of individual scales for adverse anticholinergic outcomes. The primary outcomes of interest were functional and cognitive outcomes associated with anticholinergic burden in older people. The critical appraisals of the included studies were performed by two independent reviewers and the data were extracted onto standardised forms. Results: The primary electronic literature search identified a total of 1250 records in the 3 different databases. On the basis of full-text analysis, we identified 7 expert-based anticholinergic rating scales that met the inclusion criteria. The rating of anticholinergic activity for medicines among these rating scales was inconsistent. For example, quetiapine was rated as having high anticholinergic activity in one scale (n=1), moderate in another scale (n=1) and low in two other scales (n=2). Citation analysis of the individual scales showed that the Anticholinergic Cognitive Burden (ACB) scale was the most frequently validated expert based anticholinergic scale for adverse outcomes (N=13). Conclusions: In conclusion, there is not one standardised tool for measuring anticholinergic burden. Cohort studies have shown that higher anticholinergic burden is associated with negative brain effects, poorer cognitive and functional outcomes.&quot;,&quot;publisher&quot;:&quot;BMC Geriatr&quot;,&quot;issue&quot;:&quot;1&quot;,&quot;volume&quot;:&quot;15&quot;,&quot;container-title-short&quot;:&quot;BMC Geriatr&quot;},&quot;isTemporary&quot;:false},{&quot;id&quot;:&quot;2b2a3d6f-e9ad-39f4-b4fa-2500923e6a2d&quot;,&quot;itemData&quot;:{&quot;type&quot;:&quot;article-journal&quot;,&quot;id&quot;:&quot;2b2a3d6f-e9ad-39f4-b4fa-2500923e6a2d&quot;,&quot;title&quot;:&quot;Association Between Wait Time and 30-Day Mortality in Adults Undergoing Hip Fracture Surgery&quot;,&quot;author&quot;:[{&quot;family&quot;:&quot;Pincus&quot;,&quot;given&quot;:&quot;Daniel&quot;,&quot;parse-names&quot;:false,&quot;dropping-particle&quot;:&quot;&quot;,&quot;non-dropping-particle&quot;:&quot;&quot;},{&quot;family&quot;:&quot;Ravi&quot;,&quot;given&quot;:&quot;Bheeshma&quot;,&quot;parse-names&quot;:false,&quot;dropping-particle&quot;:&quot;&quot;,&quot;non-dropping-particle&quot;:&quot;&quot;},{&quot;family&quot;:&quot;Wasserstein&quot;,&quot;given&quot;:&quot;David&quot;,&quot;parse-names&quot;:false,&quot;dropping-particle&quot;:&quot;&quot;,&quot;non-dropping-particle&quot;:&quot;&quot;},{&quot;family&quot;:&quot;Huang&quot;,&quot;given&quot;:&quot;Anjie&quot;,&quot;parse-names&quot;:false,&quot;dropping-particle&quot;:&quot;&quot;,&quot;non-dropping-particle&quot;:&quot;&quot;},{&quot;family&quot;:&quot;Paterson&quot;,&quot;given&quot;:&quot;J. Michael&quot;,&quot;parse-names&quot;:false,&quot;dropping-particle&quot;:&quot;&quot;,&quot;non-dropping-particle&quot;:&quot;&quot;},{&quot;family&quot;:&quot;Nathens&quot;,&quot;given&quot;:&quot;Avery B.&quot;,&quot;parse-names&quot;:false,&quot;dropping-particle&quot;:&quot;&quot;,&quot;non-dropping-particle&quot;:&quot;&quot;},{&quot;family&quot;:&quot;Kreder&quot;,&quot;given&quot;:&quot;Hans J.&quot;,&quot;parse-names&quot;:false,&quot;dropping-particle&quot;:&quot;&quot;,&quot;non-dropping-particle&quot;:&quot;&quot;},{&quot;family&quot;:&quot;Jenkinson&quot;,&quot;given&quot;:&quot;Richard J.&quot;,&quot;parse-names&quot;:false,&quot;dropping-particle&quot;:&quot;&quot;,&quot;non-dropping-particle&quot;:&quot;&quot;},{&quot;family&quot;:&quot;Wodchis&quot;,&quot;given&quot;:&quot;Walter P.&quot;,&quot;parse-names&quot;:false,&quot;dropping-particle&quot;:&quot;&quot;,&quot;non-dropping-particle&quot;:&quot;&quot;}],&quot;container-title&quot;:&quot;JAMA&quot;,&quot;accessed&quot;:{&quot;date-parts&quot;:[[2022,1,6]]},&quot;DOI&quot;:&quot;10.1001/JAMA.2017.17606&quot;,&quot;ISSN&quot;:&quot;1538-3598&quot;,&quot;PMID&quot;:&quot;29183076&quot;,&quot;URL&quot;:&quot;https://pubmed.ncbi.nlm.nih.gov/29183076/&quot;,&quot;issued&quot;:{&quot;date-parts&quot;:[[2017,11,28]]},&quot;page&quot;:&quot;1994-2003&quot;,&quot;abstract&quot;:&quot;IMPORTANCE: Although wait times for hip fracture surgery have been linked to mortality and are being used as quality-of-care indicators worldwide, controversy exists about the duration of the wait that leads to complications. OBJECTIVE To use population-based wait-time data to identify the optimal time window in which to conduct hip fracture surgery before the risk of complications increases. DESIGN, SETTING, AND PARTICIPANTS: Population-based, retrospective cohort study of adults undergoing hip fracture surgery between April 1, 2009, and March 31, 2014, at 72 hospitals in Ontario, Canada. Risk-adjusted restricted cubic splines modeled the probability of each complication according to wait-time. The inflection point (in hours) when complications began to increase was used to define early and delayed surgery. To evaluate the robustness of this definition, outcomes among propensity-score matched early and delayed surgical patients were compared using percent absolute risk differences (RDs, with 95% CIs). EXPOSURE: Time elapsed from hospital arrival to surgery (in hours). MAIN OUTCOMES AND MEASURES: Mortality within 30 days. Secondary outcomes included a composite of mortality or other medical complications (myocardial infarction, deep vein thrombosis, pulmonary embolism, and pneumonia). RESULTS Among 42 230 patients with hip fracture (mean [SD] age, 80.1 years [10.7], 70.5% women) who met study entry criteria, overall mortality at 30 days was 7.0%. The risk of complications increased when wait times were greater than 24 hours, irrespective of the complication considered. Compared with 13 731 propensity-score matched patients who received surgery earlier, 13 731 patients who received surgery after 24 hours had a significantly higher risk of 30-day mortality (898 [6.5%] vs 790 [5.8%]; % absolute RD, 0.79; 95% CI, 0.23-1.35) and the composite outcome (1680 [12.2%]) vs 1383 [10.1%]; % absolute RD, 2.16; 95% CI, 1.43-2.89). CONCLUSIONS AND RELEVANCE: Among adults undergoing hip fracture surgery, increased wait time was associated with a greater risk of 30-day mortality and other complications. A wait time of 24 hours may represent a threshold defining higher risk.&quot;,&quot;publisher&quot;:&quot;JAMA&quot;,&quot;issue&quot;:&quot;20&quot;,&quot;volume&quot;:&quot;318&quot;,&quot;container-title-short&quot;:&quot;JAMA&quot;},&quot;isTemporary&quot;:false}]},{&quot;citationID&quot;:&quot;MENDELEY_CITATION_4cb8752b-f492-4da1-b6c1-61d8ccf50f2a&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&quot;,&quot;citationItems&quot;:[{&quot;id&quot;:&quot;c332954c-a3c7-30e5-bae4-9e3c336a281f&quot;,&quot;itemData&quot;:{&quot;type&quot;:&quot;paper-conference&quot;,&quot;id&quot;:&quot;c332954c-a3c7-30e5-bae4-9e3c336a281f&quot;,&quot;title&quot;:&quot;A longitudinal supra-inguinal fascia iliaca compartment block reduces morphine consumption after total hip arthroplasty&quot;,&quot;author&quot;:[{&quot;family&quot;:&quot;Desmet&quot;,&quot;given&quot;:&quot;Matthias&quot;,&quot;parse-names&quot;:false,&quot;dropping-particle&quot;:&quot;&quot;,&quot;non-dropping-particle&quot;:&quot;&quot;},{&quot;family&quot;:&quot;Vermeylen&quot;,&quot;given&quot;:&quot;Kris&quot;,&quot;parse-names&quot;:false,&quot;dropping-particle&quot;:&quot;&quot;,&quot;non-dropping-particle&quot;:&quot;&quot;},{&quot;family&quot;:&quot;Herreweghe&quot;,&quot;given&quot;:&quot;Imré&quot;,&quot;parse-names&quot;:false,&quot;dropping-particle&quot;:&quot;van&quot;,&quot;non-dropping-particle&quot;:&quot;&quot;},{&quot;family&quot;:&quot;Carlier&quot;,&quot;given&quot;:&quot;Laurence&quot;,&quot;parse-names&quot;:false,&quot;dropping-particle&quot;:&quot;&quot;,&quot;non-dropping-particle&quot;:&quot;&quot;},{&quot;family&quot;:&quot;Soetens&quot;,&quot;given&quot;:&quot;Filiep&quot;,&quot;parse-names&quot;:false,&quot;dropping-particle&quot;:&quot;&quot;,&quot;non-dropping-particle&quot;:&quot;&quot;},{&quot;family&quot;:&quot;Lambrecht&quot;,&quot;given&quot;:&quot;Stijn&quot;,&quot;parse-names&quot;:false,&quot;dropping-particle&quot;:&quot;&quot;,&quot;non-dropping-particle&quot;:&quot;&quot;},{&quot;family&quot;:&quot;Croes&quot;,&quot;given&quot;:&quot;Kathleen&quot;,&quot;parse-names&quot;:false,&quot;dropping-particle&quot;:&quot;&quot;,&quot;non-dropping-particle&quot;:&quot;&quot;},{&quot;family&quot;:&quot;Pottel&quot;,&quot;given&quot;:&quot;Hans&quot;,&quot;parse-names&quot;:false,&quot;dropping-particle&quot;:&quot;&quot;,&quot;non-dropping-particle&quot;:&quot;&quot;},{&quot;family&quot;:&quot;Velde&quot;,&quot;given&quot;:&quot;Marc&quot;,&quot;parse-names&quot;:false,&quot;dropping-particle&quot;:&quot;&quot;,&quot;non-dropping-particle&quot;:&quot;van de&quot;}],&quot;container-title&quot;:&quot;Regional Anesthesia and Pain Medicine&quot;,&quot;accessed&quot;:{&quot;date-parts&quot;:[[2021,3,7]]},&quot;DOI&quot;:&quot;10.1097/AAP.0000000000000543&quot;,&quot;ISSN&quot;:&quot;15328651&quot;,&quot;PMID&quot;:&quot;28059869&quot;,&quot;URL&quot;:&quot;https://pubmed.ncbi.nlm.nih.gov/28059869/&quot;,&quot;issued&quot;:{&quot;date-parts&quot;:[[2017]]},&quot;page&quot;:&quot;327-333&quot;,&quot;abstract&quot;:&quot;Background and Objectives: The role of a fascia iliaca compartment block (FICB) for postoperative analgesia after total hip arthroplasty (THA) remains questionable. High-dose local anesthetics and a proximal injection site may be essential for successful analgesia. High-dose local anesthetics may pose a risk for local anesthetic systemic toxicity.We hypothesized that a high-dose longitudinal supra-inguinal FICB is safe and decreases postoperative morphine consumption after anterior approach THA. Methods: We conducted a prospective, double blind, randomized controlled trial. Patients scheduled for THA were randomized to group FICB (longitudinal supra-inguinal FICB with 40-mL ropivacaine 0.5%) or group C (control, no block). Standard hypothesis tests (t test or Mann-Whitney U test, χ2 test) were performed to analyze baseline characteristics and outcome parameters. The primary end point of the study was total morphine (mg) consumption at 24 hours postoperatively. Serial total and free ropivacaine serum levels were determined in 10 patients. Results: After obtaining ethical committee approval and written informed consent, 88 patients were included. Mean (SD) morphine consumption at 24 hours postoperatively was reduced in group FICB compared to group C: 10.25 (1.64) mg versus 19.0 (2.4) mg (P = 0.004). Using a mean dose of 2.6-mg/kg ropivacaine (range, 2-3.4mg/kg), none of the patients had total or free ropivacaine levels above the maximum tolerated serumconcentration. Conclusions: We conclude that a high-dose longitudinal suprainguinal FICB reduces postoperative morphine requirements after anterior approach THA.&quot;,&quot;publisher&quot;:&quot;Lippincott Williams and Wilkins&quot;,&quot;issue&quot;:&quot;3&quot;,&quot;volume&quot;:&quot;42&quot;,&quot;container-title-short&quot;:&quot;&quot;},&quot;isTemporary&quot;:false}]},{&quot;citationID&quot;:&quot;MENDELEY_CITATION_bf9035d2-de67-4476-8901-6f5635218b1a&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&quot;,&quot;citationItems&quot;:[{&quot;id&quot;:&quot;54ff2f1b-bdaa-3784-be83-65e8b72f0d3e&quot;,&quot;itemData&quot;:{&quot;type&quot;:&quot;article-journal&quot;,&quot;id&quot;:&quot;54ff2f1b-bdaa-3784-be83-65e8b72f0d3e&quot;,&quot;title&quot;:&quot;Cumulative use of strong anticholinergics and incident dementia: a prospective cohort study&quot;,&quot;author&quot;:[{&quot;family&quot;:&quot;Gray&quot;,&quot;given&quot;:&quot;Shelly L.&quot;,&quot;parse-names&quot;:false,&quot;dropping-particle&quot;:&quot;&quot;,&quot;non-dropping-particle&quot;:&quot;&quot;},{&quot;family&quot;:&quot;Anderson&quot;,&quot;given&quot;:&quot;Melissa L.&quot;,&quot;parse-names&quot;:false,&quot;dropping-particle&quot;:&quot;&quot;,&quot;non-dropping-particle&quot;:&quot;&quot;},{&quot;family&quot;:&quot;Dublin&quot;,&quot;given&quot;:&quot;Sascha&quot;,&quot;parse-names&quot;:false,&quot;dropping-particle&quot;:&quot;&quot;,&quot;non-dropping-particle&quot;:&quot;&quot;},{&quot;family&quot;:&quot;Hanlon&quot;,&quot;given&quot;:&quot;Joseph T.&quot;,&quot;parse-names&quot;:false,&quot;dropping-particle&quot;:&quot;&quot;,&quot;non-dropping-particle&quot;:&quot;&quot;},{&quot;family&quot;:&quot;Hubbard&quot;,&quot;given&quot;:&quot;Rebecca&quot;,&quot;parse-names&quot;:false,&quot;dropping-particle&quot;:&quot;&quot;,&quot;non-dropping-particle&quot;:&quot;&quot;},{&quot;family&quot;:&quot;Walker&quot;,&quot;given&quot;:&quot;Rod&quot;,&quot;parse-names&quot;:false,&quot;dropping-particle&quot;:&quot;&quot;,&quot;non-dropping-particle&quot;:&quot;&quot;},{&quot;family&quot;:&quot;Yu&quot;,&quot;given&quot;:&quot;Onchee&quot;,&quot;parse-names&quot;:false,&quot;dropping-particle&quot;:&quot;&quot;,&quot;non-dropping-particle&quot;:&quot;&quot;},{&quot;family&quot;:&quot;Crane&quot;,&quot;given&quot;:&quot;Paul K.&quot;,&quot;parse-names&quot;:false,&quot;dropping-particle&quot;:&quot;&quot;,&quot;non-dropping-particle&quot;:&quot;&quot;},{&quot;family&quot;:&quot;Larson&quot;,&quot;given&quot;:&quot;Eric B.&quot;,&quot;parse-names&quot;:false,&quot;dropping-particle&quot;:&quot;&quot;,&quot;non-dropping-particle&quot;:&quot;&quot;}],&quot;container-title&quot;:&quot;JAMA internal medicine&quot;,&quot;container-title-short&quot;:&quot;JAMA Intern Med&quot;,&quot;accessed&quot;:{&quot;date-parts&quot;:[[2022,4,1]]},&quot;DOI&quot;:&quot;10.1001/JAMAINTERNMED.2014.7663&quot;,&quot;ISSN&quot;:&quot;2168-6114&quot;,&quot;PMID&quot;:&quot;25621434&quot;,&quot;URL&quot;:&quot;https://pubmed.ncbi.nlm.nih.gov/25621434/&quot;,&quot;issued&quot;:{&quot;date-parts&quot;:[[2015,3,1]]},&quot;page&quot;:&quot;401-407&quot;,&quot;abstract&quot;:&quot;IMPORTANCE: Many medications have anticholinergic effects. In general, anticholinergic-induced cognitive impairment is considered reversible on discontinuation of anticholinergic therapy. However, a few studies suggest that anticholinergics may be associated with an increased risk for dementia. OBJECTIVE: To examine whether cumulative anticholinergic use is associated with a higher risk for incident dementia. DESIGN, SETTING, AND PARTICIPANTS: Prospective population-based cohort study using data from the Adult Changes in Thought study in Group Health, an integrated health care delivery system in Seattle, Washington. We included 3434 participants 65 years or older with no dementia at study entry. Initial recruitment occurred from 1994 through 1996 and from 2000 through 2003. Beginning in 2004, continuous replacement for deaths occurred. All participants were followed up every 2 years. Data through September 30, 2012, were included in these analyses. EXPOSURES: Computerized pharmacy dispensing data were used to ascertain cumulative anticholinergic exposure, which was defined as the total standardized daily doses (TSDDs) dispensed in the past 10 years. The most recent 12 months of use was excluded to avoid use related to prodromal symptoms. Cumulative exposure was updated as participants were followed up over time. MAIN OUTCOMES AND MEASURES: Incident dementia and Alzheimer disease using standard diagnostic criteria. Statistical analysis used Cox proportional hazards regression models adjusted for demographic characteristics, health behaviors, and health status, including comorbidities. RESULTS: The most common anticholinergic classes used were tricyclic antidepressants, first-generation antihistamines, and bladder antimuscarinics. During a mean follow-up of 7.3 years, 797 participants (23.2%) developed dementia (637 of these [79.9%] developed Alzheimer disease). A 10-year cumulative dose-response relationship was observed for dementia and Alzheimer disease (test for trend, P &lt;.001). For dementia, adjusted hazard ratios for cumulative anticholinergic use compared with nonuse were 0.92 (95% CI, 0.74-1.16) for TSDDs of 1 to 90; 1.19 (95% CI, 0.94-1.51) for TSDDs of 91 to 365; 1.23 (95% CI, 0.94-1.62) for TSDDs of 366 to 1095; and 1.54 (95% CI, 1.21-1.96) for TSDDs greater than 1095. A similar pattern of results was noted for Alzheimer disease. Results were robust in secondary, sensitivity, and post hoc analyses. CONCLUSIONS AND RELEVANCE: Higher cumulative anticholinergic use is associated with an increased risk for dementia. Efforts to increase awareness among health care professionals and older adults about this potential medication-related risk are important to minimize anticholinergic use over time.&quot;,&quot;publisher&quot;:&quot;JAMA Intern Med&quot;,&quot;issue&quot;:&quot;3&quot;,&quot;volume&quot;:&quot;175&quot;},&quot;isTemporary&quot;:false},{&quot;id&quot;:&quot;a625c0e3-a22d-389c-8f34-3bbaa2224a7f&quot;,&quot;itemData&quot;:{&quot;type&quot;:&quot;article-journal&quot;,&quot;id&quot;:&quot;a625c0e3-a22d-389c-8f34-3bbaa2224a7f&quot;,&quot;title&quot;:&quot;American Geriatrics Society 2019 Updated AGS Beers Criteria® for Potentially Inappropriate Medication Use in Older Adults&quot;,&quot;author&quot;:[{&quot;family&quot;:&quot;Fick&quot;,&quot;given&quot;:&quot;Donna M.&quot;,&quot;parse-names&quot;:false,&quot;dropping-particle&quot;:&quot;&quot;,&quot;non-dropping-particle&quot;:&quot;&quot;},{&quot;family&quot;:&quot;Semla&quot;,&quot;given&quot;:&quot;Todd P.&quot;,&quot;parse-names&quot;:false,&quot;dropping-particle&quot;:&quot;&quot;,&quot;non-dropping-particle&quot;:&quot;&quot;},{&quot;family&quot;:&quot;Steinman&quot;,&quot;given&quot;:&quot;Michael&quot;,&quot;parse-names&quot;:false,&quot;dropping-particle&quot;:&quot;&quot;,&quot;non-dropping-particle&quot;:&quot;&quot;},{&quot;family&quot;:&quot;Beizer&quot;,&quot;given&quot;:&quot;Judith&quot;,&quot;parse-names&quot;:false,&quot;dropping-particle&quot;:&quot;&quot;,&quot;non-dropping-particle&quot;:&quot;&quot;},{&quot;family&quot;:&quot;Brandt&quot;,&quot;given&quot;:&quot;Nicole&quot;,&quot;parse-names&quot;:false,&quot;dropping-particle&quot;:&quot;&quot;,&quot;non-dropping-particle&quot;:&quot;&quot;},{&quot;family&quot;:&quot;Dombrowski&quot;,&quot;given&quot;:&quot;Robert&quot;,&quot;parse-names&quot;:false,&quot;dropping-particle&quot;:&quot;&quot;,&quot;non-dropping-particle&quot;:&quot;&quot;},{&quot;family&quot;:&quot;DuBeau&quot;,&quot;given&quot;:&quot;Catherine E.&quot;,&quot;parse-names&quot;:false,&quot;dropping-particle&quot;:&quot;&quot;,&quot;non-dropping-particle&quot;:&quot;&quot;},{&quot;family&quot;:&quot;Pezzullo&quot;,&quot;given&quot;:&quot;Lynn&quot;,&quot;parse-names&quot;:false,&quot;dropping-particle&quot;:&quot;&quot;,&quot;non-dropping-particle&quot;:&quot;&quot;},{&quot;family&quot;:&quot;Epplin&quot;,&quot;given&quot;:&quot;Jerome J.&quot;,&quot;parse-names&quot;:false,&quot;dropping-particle&quot;:&quot;&quot;,&quot;non-dropping-particle&quot;:&quot;&quot;},{&quot;family&quot;:&quot;Flanagan&quot;,&quot;given&quot;:&quot;Nina&quot;,&quot;parse-names&quot;:false,&quot;dropping-particle&quot;:&quot;&quot;,&quot;non-dropping-particle&quot;:&quot;&quot;},{&quot;family&quot;:&quot;Morden&quot;,&quot;given&quot;:&quot;Emily&quot;,&quot;parse-names&quot;:false,&quot;dropping-particle&quot;:&quot;&quot;,&quot;non-dropping-particle&quot;:&quot;&quot;},{&quot;family&quot;:&quot;Hanlon&quot;,&quot;given&quot;:&quot;Joseph&quot;,&quot;parse-names&quot;:false,&quot;dropping-particle&quot;:&quot;&quot;,&quot;non-dropping-particle&quot;:&quot;&quot;},{&quot;family&quot;:&quot;Hollmann&quot;,&quot;given&quot;:&quot;Peter&quot;,&quot;parse-names&quot;:false,&quot;dropping-particle&quot;:&quot;&quot;,&quot;non-dropping-particle&quot;:&quot;&quot;},{&quot;family&quot;:&quot;Laird&quot;,&quot;given&quot;:&quot;Rosemary&quot;,&quot;parse-names&quot;:false,&quot;dropping-particle&quot;:&quot;&quot;,&quot;non-dropping-particle&quot;:&quot;&quot;},{&quot;family&quot;:&quot;Linnebur&quot;,&quot;given&quot;:&quot;Sunny&quot;,&quot;parse-names&quot;:false,&quot;dropping-particle&quot;:&quot;&quot;,&quot;non-dropping-particle&quot;:&quot;&quot;},{&quot;family&quot;:&quot;Sandhu&quot;,&quot;given&quot;:&quot;Satinderpal&quot;,&quot;parse-names&quot;:false,&quot;dropping-particle&quot;:&quot;&quot;,&quot;non-dropping-particle&quot;:&quot;&quot;}],&quot;container-title&quot;:&quot;Journal of the American Geriatrics Society&quot;,&quot;container-title-short&quot;:&quot;J Am Geriatr Soc&quot;,&quot;accessed&quot;:{&quot;date-parts&quot;:[[2022,4,1]]},&quot;DOI&quot;:&quot;10.1111/JGS.15767&quot;,&quot;ISSN&quot;:&quot;1532-5415&quot;,&quot;PMID&quot;:&quot;30693946&quot;,&quot;URL&quot;:&quot;https://pubmed.ncbi.nlm.nih.gov/30693946/&quot;,&quot;issued&quot;:{&quot;date-parts&quot;:[[2019,4,1]]},&quot;page&quot;:&quot;674-694&quot;,&quot;abstract&quot;:&quot;The American Geriatrics Society (AGS) Beers Criteria® (AGS Beers Criteria®) for Potentially Inappropriate Medication (PIM) Use in Older Adults are widely used by clinicians, educators, researchers, healthcare administrators, and regulators. Since 2011, the AGS has been the steward of the criteria and has produced updates on a 3-year cycle. The AGS Beers Criteria® is an explicit list of PIMs that are typically best avoided by older adults in most circumstances or under specific situations, such as in certain diseases or conditions. For the 2019 update, an interdisciplinary expert panel reviewed the evidence published since the last update (2015) to determine if new criteria should be added or if existing criteria should be removed or undergo changes to their recommendation, rationale, level of evidence, or strength of recommendation. J Am Geriatr Soc 67:674–694, 2019.&quot;,&quot;publisher&quot;:&quot;J Am Geriatr Soc&quot;,&quot;issue&quot;:&quot;4&quot;,&quot;volume&quot;:&quot;67&quot;},&quot;isTemporary&quot;:false}]},{&quot;citationID&quot;:&quot;MENDELEY_CITATION_97c4497e-6aad-47ba-85c7-4f896dfd4055&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&quot;,&quot;citationItems&quot;:[{&quot;id&quot;:&quot;c21cbaef-ab4c-3173-86f5-f9271f32dc8f&quot;,&quot;itemData&quot;:{&quot;type&quot;:&quot;article-journal&quot;,&quot;id&quot;:&quot;c21cbaef-ab4c-3173-86f5-f9271f32dc8f&quot;,&quot;title&quot;:&quot;The anticholinergic risk scale and anticholinergic adverse effects in older persons&quot;,&quot;author&quot;:[{&quot;family&quot;:&quot;Rudolph&quot;,&quot;given&quot;:&quot;James L.&quot;,&quot;parse-names&quot;:false,&quot;dropping-particle&quot;:&quot;&quot;,&quot;non-dropping-particle&quot;:&quot;&quot;},{&quot;family&quot;:&quot;Salow&quot;,&quot;given&quot;:&quot;Marci J.&quot;,&quot;parse-names&quot;:false,&quot;dropping-particle&quot;:&quot;&quot;,&quot;non-dropping-particle&quot;:&quot;&quot;},{&quot;family&quot;:&quot;Angelini&quot;,&quot;given&quot;:&quot;Michael C.&quot;,&quot;parse-names&quot;:false,&quot;dropping-particle&quot;:&quot;&quot;,&quot;non-dropping-particle&quot;:&quot;&quot;},{&quot;family&quot;:&quot;McGlinchey&quot;,&quot;given&quot;:&quot;Regina E.&quot;,&quot;parse-names&quot;:false,&quot;dropping-particle&quot;:&quot;&quot;,&quot;non-dropping-particle&quot;:&quot;&quot;}],&quot;container-title&quot;:&quot;Archives of internal medicine&quot;,&quot;container-title-short&quot;:&quot;Arch Intern Med&quot;,&quot;accessed&quot;:{&quot;date-parts&quot;:[[2022,4,1]]},&quot;DOI&quot;:&quot;10.1001/ARCHINTERNMED.2007.106&quot;,&quot;ISSN&quot;:&quot;0003-9926&quot;,&quot;PMID&quot;:&quot;18332297&quot;,&quot;URL&quot;:&quot;https://pubmed.ncbi.nlm.nih.gov/18332297/&quot;,&quot;issued&quot;:{&quot;date-parts&quot;:[[2008,2,26]]},&quot;page&quot;:&quot;508-513&quot;,&quot;abstract&quot;:&quot;Background: Adverse effects of anticholinergic medications may contribute to events such as falls, delirium, and cognitive impairment in older patients. To further assess this risk, we developed the Anticholinergic Risk Scale (ARS), a ranked categorical list of commonly prescribed medications with anticholinergic potential. The objective of this study was to determine if the ARS score could be used to predict the risk of anticholinergic adverse effects in a geriatric evaluation and management (GEM) cohort and in a primary care cohort. Methods: Medical records of 132 GEM patients were reviewed retrospectively for medications included on the ARS and their resultant possible anticholinergic adverse effects. Prospectively, we enrolled 117 patients, 65 years or older, in primary care clinics; performed medication reconciliation; and asked about anticholinergic adverse effects. The relationship between the ARS score and the risk of anticholinergic adverse effects was assessed using Poisson regression analysis. Results: Higher ARS scores were associated with increased risk of anticholinergic adverse effects in the GEM cohort (crude relative risk [RR], 1.5; 95% confidence interval [CI], 1.3-1.8) and in the primary care cohort (crude RR, 1.9; 95% CI, 1.5-2.4). After adjustment for age and the number of medications, higher ARS scores increased the risk of anticholinergic adverse effects in the GEM cohort (adjusted RR, 1.3; 95% CI, 1.1-1.6; c statistic, 0.74) and in the primary care cohort (adjusted RR, 1.9; 95% CI, 1.5-2.5; c statistic, 0.77). Conclusion: Higher ARS scores are associated with statistically significantly increased risk of anticholinergic adverse effects in older patients. ©2008 American Medical Association. All rights reserved.&quot;,&quot;publisher&quot;:&quot;Arch Intern Med&quot;,&quot;issue&quot;:&quot;5&quot;,&quot;volume&quot;:&quot;168&quot;},&quot;isTemporary&quot;:false}]},{&quot;citationID&quot;:&quot;MENDELEY_CITATION_9ed0b974-7147-4e0d-b05a-a9c825edc5f8&quot;,&quot;properties&quot;:{&quot;noteIndex&quot;:0},&quot;isEdited&quot;:false,&quot;manualOverride&quot;:{&quot;isManuallyOverridden&quot;:false,&quot;citeprocText&quot;:&quot;&lt;sup&gt;18,19&lt;/sup&gt;&quot;,&quot;manualOverrideText&quot;:&quot;&quot;},&quot;citationTag&quot;:&quot;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&quot;,&quot;citationItems&quot;:[{&quot;id&quot;:&quot;5056bc13-21ae-3f3e-869f-a5bff16fc69b&quot;,&quot;itemData&quot;:{&quot;type&quot;:&quot;article-journal&quot;,&quot;id&quot;:&quot;5056bc13-21ae-3f3e-869f-a5bff16fc69b&quot;,&quot;title&quot;:&quot;Predicting 30-day mortality following hip fracture surgery: evaluation of six risk prediction models&quot;,&quot;author&quot;:[{&quot;family&quot;:&quot;Karres&quot;,&quot;given&quot;:&quot;Julian&quot;,&quot;parse-names&quot;:false,&quot;dropping-particle&quot;:&quot;&quot;,&quot;non-dropping-particle&quot;:&quot;&quot;},{&quot;family&quot;:&quot;Heesakkers&quot;,&quot;given&quot;:&quot;Nicole A.&quot;,&quot;parse-names&quot;:false,&quot;dropping-particle&quot;:&quot;&quot;,&quot;non-dropping-particle&quot;:&quot;&quot;},{&quot;family&quot;:&quot;Ultee&quot;,&quot;given&quot;:&quot;Jan M.&quot;,&quot;parse-names&quot;:false,&quot;dropping-particle&quot;:&quot;&quot;,&quot;non-dropping-particle&quot;:&quot;&quot;},{&quot;family&quot;:&quot;Vrouenraets&quot;,&quot;given&quot;:&quot;Bart C.&quot;,&quot;parse-names&quot;:false,&quot;dropping-particle&quot;:&quot;&quot;,&quot;non-dropping-particle&quot;:&quot;&quot;}],&quot;container-title&quot;:&quot;Injury&quot;,&quot;accessed&quot;:{&quot;date-parts&quot;:[[2022,1,7]]},&quot;DOI&quot;:&quot;10.1016/J.INJURY.2014.11.004&quot;,&quot;ISSN&quot;:&quot;1879-0267&quot;,&quot;PMID&quot;:&quot;25464983&quot;,&quot;URL&quot;:&quot;https://pubmed.ncbi.nlm.nih.gov/25464983/&quot;,&quot;issued&quot;:{&quot;date-parts&quot;:[[2015,2,1]]},&quot;page&quot;:&quot;371-377&quot;,&quot;abstract&quot;:&quot;While predictors for mortality after hip fracture surgery have been widely studied, research regarding risk prediction models is limited. Risk models can predict mortality for individual patients, provide insight in prognosis, and be valuable in surgical audits. Existing models have not been validated independently. The purpose of this study is to evaluate the performance of existing risk models for predicting 30-day mortality following hip fracture surgery. Patients and methods: In this retrospective study, all consecutive hip fracture patients admitted between 2004 and 2010 were included. Predicted mortality was calculated for individual patients and compared to the observed outcome. The discriminative performance of the models was assessed using the area under the receiver operating characteristic curve (AUC). Calibration was analysed with the Hosmer-Lemeshow goodness-of-fit test. Results: A literature search yielded six risk prediction models: the Charlson Comorbidity Index (CCI), Orthopaedic Physiologic and Operative Severity Score for the enUmeration of Mortality and Morbidity (O-POSSUM), Estimation of Physiologic Ability and Surgical Stress (E-PASS), a risk model by Jiang et al., the Nottingham Hip Fracture Score (NHFS), and a model by Holt et al. The latter three models were specifically designed for the hip fracture population. All models except the O-POSSUM achieved an AUC greater than 0.70, demonstrating acceptable discriminative power. The score by Jiang et al. performed best with an AUC of 0.78, this was however not significantly different from the NHFS (0.77) or the model by Holt et al. (0.76). When applying the Hosmer-Lemeshow goodness-of-fit test, the model by Holt et al., the NHFS and the model by Jiang et al. showed a significant lack of fit (p &lt; 0.05). The CCI, O-POSSUM and E-PASS did not demonstrate lack of calibration. Discussion: None of the existing models yielded excellent discrimination (AUC &gt; 0.80). The best discrimination was demonstrated by the models designed for the hip fracture population, however, they had a lack of fit. The NHFS shows most promising results, with reasonable discrimination and extensive validation in earlier studies. Additional research is needed to examine recalibration and to determine the best risk model for predicting early mortality following hip fracture surgery.&quot;,&quot;publisher&quot;:&quot;Injury&quot;,&quot;issue&quot;:&quot;2&quot;,&quot;volume&quot;:&quot;46&quot;,&quot;container-title-short&quot;:&quot;Injury&quot;},&quot;isTemporary&quot;:false},{&quot;id&quot;:&quot;55d02ce2-adc8-3a0e-95be-cf5e0bbad8c9&quot;,&quot;itemData&quot;:{&quot;type&quot;:&quot;article-journal&quot;,&quot;id&quot;:&quot;55d02ce2-adc8-3a0e-95be-cf5e0bbad8c9&quot;,&quot;title&quot;:&quot;Derivation and prospective validation of a simple index for prediction of cardiac risk of major noncardiac surgery&quot;,&quot;author&quot;:[{&quot;family&quot;:&quot;Lee&quot;,&quot;given&quot;:&quot;Thomas H.&quot;,&quot;parse-names&quot;:false,&quot;dropping-particle&quot;:&quot;&quot;,&quot;non-dropping-particle&quot;:&quot;&quot;},{&quot;family&quot;:&quot;Marcantonio&quot;,&quot;given&quot;:&quot;Edward R.&quot;,&quot;parse-names&quot;:false,&quot;dropping-particle&quot;:&quot;&quot;,&quot;non-dropping-particle&quot;:&quot;&quot;},{&quot;family&quot;:&quot;Mangione&quot;,&quot;given&quot;:&quot;Carol M.&quot;,&quot;parse-names&quot;:false,&quot;dropping-particle&quot;:&quot;&quot;,&quot;non-dropping-particle&quot;:&quot;&quot;},{&quot;family&quot;:&quot;Thomas&quot;,&quot;given&quot;:&quot;Eric J.&quot;,&quot;parse-names&quot;:false,&quot;dropping-particle&quot;:&quot;&quot;,&quot;non-dropping-particle&quot;:&quot;&quot;},{&quot;family&quot;:&quot;Polanczyk&quot;,&quot;given&quot;:&quot;Carisi A.&quot;,&quot;parse-names&quot;:false,&quot;dropping-particle&quot;:&quot;&quot;,&quot;non-dropping-particle&quot;:&quot;&quot;},{&quot;family&quot;:&quot;Cook&quot;,&quot;given&quot;:&quot;E. Francis&quot;,&quot;parse-names&quot;:false,&quot;dropping-particle&quot;:&quot;&quot;,&quot;non-dropping-particle&quot;:&quot;&quot;},{&quot;family&quot;:&quot;Sugarbaker&quot;,&quot;given&quot;:&quot;David J.&quot;,&quot;parse-names&quot;:false,&quot;dropping-particle&quot;:&quot;&quot;,&quot;non-dropping-particle&quot;:&quot;&quot;},{&quot;family&quot;:&quot;Donaldson&quot;,&quot;given&quot;:&quot;Magruder C.&quot;,&quot;parse-names&quot;:false,&quot;dropping-particle&quot;:&quot;&quot;,&quot;non-dropping-particle&quot;:&quot;&quot;},{&quot;family&quot;:&quot;Poss&quot;,&quot;given&quot;:&quot;Robert&quot;,&quot;parse-names&quot;:false,&quot;dropping-particle&quot;:&quot;&quot;,&quot;non-dropping-particle&quot;:&quot;&quot;},{&quot;family&quot;:&quot;Ho&quot;,&quot;given&quot;:&quot;Kalon K.L.&quot;,&quot;parse-names&quot;:false,&quot;dropping-particle&quot;:&quot;&quot;,&quot;non-dropping-particle&quot;:&quot;&quot;},{&quot;family&quot;:&quot;Ludwig&quot;,&quot;given&quot;:&quot;Lynn E.&quot;,&quot;parse-names&quot;:false,&quot;dropping-particle&quot;:&quot;&quot;,&quot;non-dropping-particle&quot;:&quot;&quot;},{&quot;family&quot;:&quot;Pedan&quot;,&quot;given&quot;:&quot;Alex&quot;,&quot;parse-names&quot;:false,&quot;dropping-particle&quot;:&quot;&quot;,&quot;non-dropping-particle&quot;:&quot;&quot;},{&quot;family&quot;:&quot;Goldman&quot;,&quot;given&quot;:&quot;Lee&quot;,&quot;parse-names&quot;:false,&quot;dropping-particle&quot;:&quot;&quot;,&quot;non-dropping-particle&quot;:&quot;&quot;}],&quot;container-title&quot;:&quot;Circulation&quot;,&quot;accessed&quot;:{&quot;date-parts&quot;:[[2022,1,7]]},&quot;DOI&quot;:&quot;10.1161/01.CIR.100.10.1043&quot;,&quot;ISSN&quot;:&quot;1524-4539&quot;,&quot;PMID&quot;:&quot;10477528&quot;,&quot;URL&quot;:&quot;https://pubmed.ncbi.nlm.nih.gov/10477528/&quot;,&quot;issued&quot;:{&quot;date-parts&quot;:[[1999,9,7]]},&quot;page&quot;:&quot;1043-1049&quot;,&quot;abstract&quot;:&quot;Background - Cardiac complications are important causes of morbidity after noncardiac surgery. The purpose of this prospective cohort study was to develop and validate an index for risk of cardiac complications. Methods and Results - We studied 4315 patients aged ≥50 years undergoing elective major noncardiac procedures in a tertiary-care teaching hospital. The main outcome measures were major cardiac complications. Major cardiac complications occurred in 56 (2%) of 2893 patients assigned to the derivation cohort. Six independent predictors of complications were identified and included in a Revised Cardiac Risk Index: high-risk type of surgery, history of ischemic heart disease, history of congestive heart failure, history of cerebrovascular disease, preoperative treatment with insulin, and preoperative serum creatinine &gt;2.0 mg/dL. Rates of major cardiac complication with 0, 1, 2, or ≥3 of these factors were 0.5%, 1.3%, 4%, and 9%, respectively, in the derivation cohort and 0.4%, 0.9%, 7%, and 11%, respectively, among 1422 patients in the validation cohort. Receiver operating characteristic curve analysis in the validation cohort indicated that the diagnostic performance of the Revised Cardiac Risk Index was superior to other published risk-prediction indexes. Conclusions - In stable patients undergoing nonurgent major noncardiac surgery, this index can identify patients at higher risk for complications. This index may be useful for identification of candidates for further risk stratification with noninvasive technologies or other management strategies, as well as low-risk patients in whom additional evaluation is unlikely to be helpful.&quot;,&quot;publisher&quot;:&quot;Circulation&quot;,&quot;issue&quot;:&quot;10&quot;,&quot;volume&quot;:&quot;100&quot;,&quot;container-title-short&quot;:&quot;Circulation&quot;},&quot;isTemporary&quot;:false}]},{&quot;citationID&quot;:&quot;MENDELEY_CITATION_cac3044c-984e-474a-aa47-4df034da825e&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&quot;,&quot;citationItems&quot;:[{&quot;id&quot;:&quot;df655dcc-d645-3905-b5a7-782dc96f7b54&quot;,&quot;itemData&quot;:{&quot;type&quot;:&quot;article-journal&quot;,&quot;id&quot;:&quot;df655dcc-d645-3905-b5a7-782dc96f7b54&quot;,&quot;title&quot;:&quot;Classification of surgical complications: a new proposal with evaluation in a cohort of 6336 patients and results of a survey&quot;,&quot;author&quot;:[{&quot;family&quot;:&quot;Dindo&quot;,&quot;given&quot;:&quot;Daniel&quot;,&quot;parse-names&quot;:false,&quot;dropping-particle&quot;:&quot;&quot;,&quot;non-dropping-particle&quot;:&quot;&quot;},{&quot;family&quot;:&quot;Demartines&quot;,&quot;given&quot;:&quot;Nicolas&quot;,&quot;parse-names&quot;:false,&quot;dropping-particle&quot;:&quot;&quot;,&quot;non-dropping-particle&quot;:&quot;&quot;},{&quot;family&quot;:&quot;Clavien&quot;,&quot;given&quot;:&quot;Pierre Alain&quot;,&quot;parse-names&quot;:false,&quot;dropping-particle&quot;:&quot;&quot;,&quot;non-dropping-particle&quot;:&quot;&quot;}],&quot;container-title&quot;:&quot;Annals of surgery&quot;,&quot;container-title-short&quot;:&quot;Ann Surg&quot;,&quot;accessed&quot;:{&quot;date-parts&quot;:[[2022,3,31]]},&quot;DOI&quot;:&quot;10.1097/01.SLA.0000133083.54934.AE&quot;,&quot;ISSN&quot;:&quot;0003-4932&quot;,&quot;PMID&quot;:&quot;15273542&quot;,&quot;URL&quot;:&quot;https://pubmed.ncbi.nlm.nih.gov/15273542/&quot;,&quot;issued&quot;:{&quot;date-parts&quot;:[[2004,8]]},&quot;page&quot;:&quot;205-213&quot;,&quot;abstract&quot;:&quot;Objective: Although quality assessment is gaining increasing attention, there is still no consensus on how to define and grade postoperative complications. This shortcoming hampers comparison of outcome data among different centers and therapies and over time. Patients and Methods: A classification of complications published by one of the authors in 1992 was critically re-evaluated and modified to increase its accuracy and its acceptability in the surgical community. Modifications mainly focused on the manner of reporting life-threatening and permanently disabling complications. The new grading system still mostly relies on the therapy used to treat the complication. The classification was tested in a cohort of 6336 patients who underwent elective general surgery at our institution. The reproducibility and personal judgment of the classification were evaluated through an international survey with 2 questionnaires sent to 10 surgical centers worldwide. Results: The new ranking system significantly correlated with complexity of surgery (P &lt; 0.0001) as well as with the length of the hospital stay (P &lt; 0.0001). A total of 144 surgeons from 10 different centers around the world and at different levels of training returned the survey. Ninety percent of the case presentations were correctly graded. The classification was considered to be simple (92% of the respondents), reproducible (91%), logical (92%), useful (90%), and comprehensive (89%). The answers of both questionnaires were not dependent on the origin of the reply and the level of training of the surgeons. Conclusions: The new complication classification appears reliable and may represent a compelling tool for quality assessment in surgery in all parts of the world.&quot;,&quot;publisher&quot;:&quot;Ann Surg&quot;,&quot;issue&quot;:&quot;2&quot;,&quot;volume&quot;:&quot;240&quot;},&quot;isTemporary&quot;:false}]},{&quot;citationID&quot;:&quot;MENDELEY_CITATION_dac80876-b9bc-4502-87c8-728b802a3cad&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&quot;,&quot;citationItems&quot;:[{&quot;id&quot;:&quot;2bf8dfa5-685c-3711-9528-b470868e0ceb&quot;,&quot;itemData&quot;:{&quot;type&quot;:&quot;article-journal&quot;,&quot;id&quot;:&quot;2bf8dfa5-685c-3711-9528-b470868e0ceb&quot;,&quot;title&quot;:&quot;Peripheral nerve blocks for hip fractures&quot;,&quot;author&quot;:[{&quot;family&quot;:&quot;Guay&quot;,&quot;given&quot;:&quot;Joanne&quot;,&quot;parse-names&quot;:false,&quot;dropping-particle&quot;:&quot;&quot;,&quot;non-dropping-particle&quot;:&quot;&quot;},{&quot;family&quot;:&quot;Parker&quot;,&quot;given&quot;:&quot;Martyn J.&quot;,&quot;parse-names&quot;:false,&quot;dropping-particle&quot;:&quot;&quot;,&quot;non-dropping-particle&quot;:&quot;&quot;},{&quot;family&quot;:&quot;Griffiths&quot;,&quot;given&quot;:&quot;Richard&quot;,&quot;parse-names&quot;:false,&quot;dropping-particle&quot;:&quot;&quot;,&quot;non-dropping-particle&quot;:&quot;&quot;},{&quot;family&quot;:&quot;Kopp&quot;,&quot;given&quot;:&quot;Sandra&quot;,&quot;parse-names&quot;:false,&quot;dropping-particle&quot;:&quot;&quot;,&quot;non-dropping-particle&quot;:&quot;&quot;}],&quot;container-title&quot;:&quot;The Cochrane database of systematic reviews&quot;,&quot;container-title-short&quot;:&quot;Cochrane Database Syst Rev&quot;,&quot;accessed&quot;:{&quot;date-parts&quot;:[[2022,3,31]]},&quot;DOI&quot;:&quot;10.1002/14651858.CD001159.PUB2&quot;,&quot;ISSN&quot;:&quot;1469-493X&quot;,&quot;PMID&quot;:&quot;28494088&quot;,&quot;URL&quot;:&quot;https://pubmed.ncbi.nlm.nih.gov/28494088/&quot;,&quot;issued&quot;:{&quot;date-parts&quot;:[[2017,5,11]]},&quot;abstract&quot;:&quot;Background: Various nerve blocks with local anaesthetic agents have been used to reduce pain after hip fracture and subsequent surgery. This review was published originally in 1999 and was updated in 2001, 2002, 2009 and 2017. Objectives: This review focuses on the use of peripheral nerves blocks as preoperative analgesia, as postoperative analgesia or as a supplement to general anaesthesia for hip fracture surgery. We undertook the update to look for new studies and to update the methods to reflect Cochrane standards. Search methods: For the updated review, we searched the following databases: the Cochrane Central Register of Controlled Trials (CENTRAL; 2016, Issue 8), MEDLINE (Ovid SP, 1966 to August week 1 2016), Embase (Ovid SP, 1988 to 2016 August week 1) and the Cumulative Index to Nursing and Allied Health Literature (CINAHL) (EBSCO, 1982 to August week 1 2016), as well as trial registers and reference lists of relevant articles. Selection criteria: We included randomized controlled trials (RCTs) involving use of nerve blocks as part of the care provided for adults aged 16 years and older with hip fracture. Data collection and analysis: Two review authors independently assessed new trials for inclusion, determined trial quality using the Cochrane tool and extracted data. When appropriate, we pooled results of outcome measures. We rated the quality of evidence according to the GRADE Working Group approach. Main results: We included 31 trials (1760 participants; 897 randomized to peripheral nerve blocks and 863 to no regional blockade). Results of eight trials with 373 participants show that peripheral nerve blocks reduced pain on movement within 30 minutes of block placement (standardized mean difference (SMD) -1.41, 95% confidence interval (CI) -2.14 to -0.67; equivalent to -3.4 on a scale from 0 to 10; I2 = 90%; high quality of evidence). Effect size was proportionate to the concentration of local anaesthetic used (P &lt; 0.00001). Based on seven trials with 676 participants, we did not find a difference in the risk of acute confusional state (risk ratio (RR) 0.69, 95% CI 0.38 to 1.27; I2 = 48%; very low quality of evidence). Three trials with 131 participants reported decreased risk for pneumonia (RR 0.41, 95% CI 0.19 to 0.89; I2 = 3%; number needed to treat for an additional beneficial outcome (NNTB) 7, 95% CI 5 to 72; moderate quality of evidence). We did not find a difference in risk of myocardial ischaemia or death within six months, but the number of participants included was well below the optimal information size for these two outcomes. Two trials with 155 participants reported that peripheral nerve blocks also reduced time to first mobilization after surgery (mean difference -11.25 hours, 95% CI -14.34 to -8.15 hours; I2 = 52%; moderate quality of evidence). One trial with 75 participants indicated that the cost of analgesic drugs was lower when they were given as a single shot block (SMD -3.48, 95% CI -4.23 to -2.74; moderate quality of evidence). Authors' conclusions: High-quality evidence shows that regional blockade reduces pain on movement within 30 minutes after block placement. Moderate-quality evidence shows reduced risk for pneumonia, decreased time to first mobilization and cost reduction of the analgesic regimen (single shot blocks).&quot;,&quot;publisher&quot;:&quot;Cochrane Database Syst Rev&quot;,&quot;issue&quot;:&quot;5&quot;,&quot;volume&quot;:&quot;5&quot;},&quot;isTemporary&quot;:false}]},{&quot;citationID&quot;:&quot;MENDELEY_CITATION_9b804d6b-fa28-43d9-8e34-527277418e9b&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&quot;,&quot;citationItems&quot;:[{&quot;id&quot;:&quot;0b9ae855-6847-339e-94bc-e25365d77834&quot;,&quot;itemData&quot;:{&quot;type&quot;:&quot;article-journal&quot;,&quot;id&quot;:&quot;0b9ae855-6847-339e-94bc-e25365d77834&quot;,&quot;title&quot;:&quot;Peripheral Nerve Blocks and Potentially Attributable Adverse Events in Older People with Hip Fracture: A Retrospective Population-based Cohort Study&quot;,&quot;author&quot;:[{&quot;family&quot;:&quot;Melton&quot;,&quot;given&quot;:&quot;Natalie&quot;,&quot;parse-names&quot;:false,&quot;dropping-particle&quot;:&quot;&quot;,&quot;non-dropping-particle&quot;:&quot;&quot;},{&quot;family&quot;:&quot;Talarico&quot;,&quot;given&quot;:&quot;Robert&quot;,&quot;parse-names&quot;:false,&quot;dropping-particle&quot;:&quot;&quot;,&quot;non-dropping-particle&quot;:&quot;&quot;},{&quot;family&quot;:&quot;Abdallah&quot;,&quot;given&quot;:&quot;Faraj&quot;,&quot;parse-names&quot;:false,&quot;dropping-particle&quot;:&quot;&quot;,&quot;non-dropping-particle&quot;:&quot;&quot;},{&quot;family&quot;:&quot;Beaulé&quot;,&quot;given&quot;:&quot;Paul E.&quot;,&quot;parse-names&quot;:false,&quot;dropping-particle&quot;:&quot;&quot;,&quot;non-dropping-particle&quot;:&quot;&quot;},{&quot;family&quot;:&quot;Boet&quot;,&quot;given&quot;:&quot;Sylvain&quot;,&quot;parse-names&quot;:false,&quot;dropping-particle&quot;:&quot;&quot;,&quot;non-dropping-particle&quot;:&quot;&quot;},{&quot;family&quot;:&quot;Forster&quot;,&quot;given&quot;:&quot;Alan J.&quot;,&quot;parse-names&quot;:false,&quot;dropping-particle&quot;:&quot;&quot;,&quot;non-dropping-particle&quot;:&quot;&quot;},{&quot;family&quot;:&quot;Fernando&quot;,&quot;given&quot;:&quot;Shannon M.&quot;,&quot;parse-names&quot;:false,&quot;dropping-particle&quot;:&quot;&quot;,&quot;non-dropping-particle&quot;:&quot;&quot;},{&quot;family&quot;:&quot;Huang&quot;,&quot;given&quot;:&quot;Allen&quot;,&quot;parse-names&quot;:false,&quot;dropping-particle&quot;:&quot;&quot;,&quot;non-dropping-particle&quot;:&quot;&quot;},{&quot;family&quot;:&quot;McCartney&quot;,&quot;given&quot;:&quot;Colin J.L.&quot;,&quot;parse-names&quot;:false,&quot;dropping-particle&quot;:&quot;&quot;,&quot;non-dropping-particle&quot;:&quot;&quot;},{&quot;family&quot;:&quot;Meulenkamp&quot;,&quot;given&quot;:&quot;Bradley&quot;,&quot;parse-names&quot;:false,&quot;dropping-particle&quot;:&quot;&quot;,&quot;non-dropping-particle&quot;:&quot;&quot;},{&quot;family&quot;:&quot;Perry&quot;,&quot;given&quot;:&quot;Jeff&quot;,&quot;parse-names&quot;:false,&quot;dropping-particle&quot;:&quot;&quot;,&quot;non-dropping-particle&quot;:&quot;&quot;},{&quot;family&quot;:&quot;Power&quot;,&quot;given&quot;:&quot;Barbara&quot;,&quot;parse-names&quot;:false,&quot;dropping-particle&quot;:&quot;&quot;,&quot;non-dropping-particle&quot;:&quot;&quot;},{&quot;family&quot;:&quot;Ramlogan&quot;,&quot;given&quot;:&quot;Reva&quot;,&quot;parse-names&quot;:false,&quot;dropping-particle&quot;:&quot;&quot;,&quot;non-dropping-particle&quot;:&quot;&quot;},{&quot;family&quot;:&quot;Taljaard&quot;,&quot;given&quot;:&quot;Monica&quot;,&quot;parse-names&quot;:false,&quot;dropping-particle&quot;:&quot;&quot;,&quot;non-dropping-particle&quot;:&quot;&quot;},{&quot;family&quot;:&quot;Tanuseputro&quot;,&quot;given&quot;:&quot;Peter&quot;,&quot;parse-names&quot;:false,&quot;dropping-particle&quot;:&quot;&quot;,&quot;non-dropping-particle&quot;:&quot;&quot;},{&quot;family&quot;:&quot;Walraven&quot;,&quot;given&quot;:&quot;Carl&quot;,&quot;parse-names&quot;:false,&quot;dropping-particle&quot;:&quot;&quot;,&quot;non-dropping-particle&quot;:&quot;van&quot;},{&quot;family&quot;:&quot;Wijeysundera&quot;,&quot;given&quot;:&quot;Duminda N.&quot;,&quot;parse-names&quot;:false,&quot;dropping-particle&quot;:&quot;&quot;,&quot;non-dropping-particle&quot;:&quot;&quot;},{&quot;family&quot;:&quot;McIsaac&quot;,&quot;given&quot;:&quot;Daniel I.&quot;,&quot;parse-names&quot;:false,&quot;dropping-particle&quot;:&quot;&quot;,&quot;non-dropping-particle&quot;:&quot;&quot;}],&quot;container-title&quot;:&quot;Anesthesiology&quot;,&quot;container-title-short&quot;:&quot;Anesthesiology&quot;,&quot;accessed&quot;:{&quot;date-parts&quot;:[[2022,3,31]]},&quot;DOI&quot;:&quot;10.1097/ALN.0000000000003863&quot;,&quot;ISSN&quot;:&quot;1528-1175&quot;,&quot;PMID&quot;:&quot;34237127&quot;,&quot;URL&quot;:&quot;https://pubmed.ncbi.nlm.nih.gov/34237127/&quot;,&quot;issued&quot;:{&quot;date-parts&quot;:[[2021]]},&quot;page&quot;:&quot;454-462&quot;,&quot;abstract&quot;:&quot;Background: Peripheral nerve blocks are being used with increasing frequency for management of hip fracture-related pain. Despite converging evidence that nerve blocks may be beneficial, safety data are lacking. This study hypothesized that peripheral nerve block receipt would not be associated with adverse events potentially attributable to nerve blocks, as well as overall patient safety incidents while in hospital. Methods: This was a preregistered, retrospective population-based cohort study using linked administrative data. This study identified all hip fracture admissions in people 50 yr of age or older and identified all nerve blocks (although we were unable to ascertain the specific anatomic location or type of block), potentially attributable adverse events (composite of seizures, fall-related injuries, cardiac arrest, nerve injury), and any patient safety events using validated codes. The study also estimated the unadjusted and adjusted association of nerve blocks with adverse events; adjusted absolute risk differences were also calculated. Results: In total, 91,563 hip fracture patients from 2009 to 2017 were identified; 15,631 (17.1%) received a nerve block, and 5,321 (5.8%; 95% CI, 5.7 to 6.0%) patients experienced a potentially nerve block-attributable adverse event: 866 (5.5%) in patients with a block and 4,455 (5.9%) without a block. Before and after adjustment, nerve blocks were not associated with potentially attributable adverse events (adjusted odds ratio, 1.05; 95% CI, 0.97 to 1.15; and adjusted risk difference, 0.3%, 95% CI, -0.1 to 0.8). Conclusions: The data suggest that nerve blocks in hip fracture patients are not associated with higher rates of potentially nerve block-attributable adverse events, although these findings may be influenced by limitations in routinely collected administrative data.&quot;,&quot;publisher&quot;:&quot;Anesthesiology&quot;,&quot;issue&quot;:&quot;3&quot;,&quot;volume&quot;:&quot;135&quot;},&quot;isTemporary&quot;:false}]},{&quot;citationID&quot;:&quot;MENDELEY_CITATION_42ee6cda-2d8b-4217-a86c-5f1b65bd4ba9&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&quot;,&quot;citationItems&quot;:[{&quot;id&quot;:&quot;c21cbaef-ab4c-3173-86f5-f9271f32dc8f&quot;,&quot;itemData&quot;:{&quot;type&quot;:&quot;article-journal&quot;,&quot;id&quot;:&quot;c21cbaef-ab4c-3173-86f5-f9271f32dc8f&quot;,&quot;title&quot;:&quot;The anticholinergic risk scale and anticholinergic adverse effects in older persons&quot;,&quot;author&quot;:[{&quot;family&quot;:&quot;Rudolph&quot;,&quot;given&quot;:&quot;James L.&quot;,&quot;parse-names&quot;:false,&quot;dropping-particle&quot;:&quot;&quot;,&quot;non-dropping-particle&quot;:&quot;&quot;},{&quot;family&quot;:&quot;Salow&quot;,&quot;given&quot;:&quot;Marci J.&quot;,&quot;parse-names&quot;:false,&quot;dropping-particle&quot;:&quot;&quot;,&quot;non-dropping-particle&quot;:&quot;&quot;},{&quot;family&quot;:&quot;Angelini&quot;,&quot;given&quot;:&quot;Michael C.&quot;,&quot;parse-names&quot;:false,&quot;dropping-particle&quot;:&quot;&quot;,&quot;non-dropping-particle&quot;:&quot;&quot;},{&quot;family&quot;:&quot;McGlinchey&quot;,&quot;given&quot;:&quot;Regina E.&quot;,&quot;parse-names&quot;:false,&quot;dropping-particle&quot;:&quot;&quot;,&quot;non-dropping-particle&quot;:&quot;&quot;}],&quot;container-title&quot;:&quot;Archives of internal medicine&quot;,&quot;container-title-short&quot;:&quot;Arch Intern Med&quot;,&quot;accessed&quot;:{&quot;date-parts&quot;:[[2022,4,1]]},&quot;DOI&quot;:&quot;10.1001/ARCHINTERNMED.2007.106&quot;,&quot;ISSN&quot;:&quot;0003-9926&quot;,&quot;PMID&quot;:&quot;18332297&quot;,&quot;URL&quot;:&quot;https://pubmed.ncbi.nlm.nih.gov/18332297/&quot;,&quot;issued&quot;:{&quot;date-parts&quot;:[[2008,2,26]]},&quot;page&quot;:&quot;508-513&quot;,&quot;abstract&quot;:&quot;Background: Adverse effects of anticholinergic medications may contribute to events such as falls, delirium, and cognitive impairment in older patients. To further assess this risk, we developed the Anticholinergic Risk Scale (ARS), a ranked categorical list of commonly prescribed medications with anticholinergic potential. The objective of this study was to determine if the ARS score could be used to predict the risk of anticholinergic adverse effects in a geriatric evaluation and management (GEM) cohort and in a primary care cohort. Methods: Medical records of 132 GEM patients were reviewed retrospectively for medications included on the ARS and their resultant possible anticholinergic adverse effects. Prospectively, we enrolled 117 patients, 65 years or older, in primary care clinics; performed medication reconciliation; and asked about anticholinergic adverse effects. The relationship between the ARS score and the risk of anticholinergic adverse effects was assessed using Poisson regression analysis. Results: Higher ARS scores were associated with increased risk of anticholinergic adverse effects in the GEM cohort (crude relative risk [RR], 1.5; 95% confidence interval [CI], 1.3-1.8) and in the primary care cohort (crude RR, 1.9; 95% CI, 1.5-2.4). After adjustment for age and the number of medications, higher ARS scores increased the risk of anticholinergic adverse effects in the GEM cohort (adjusted RR, 1.3; 95% CI, 1.1-1.6; c statistic, 0.74) and in the primary care cohort (adjusted RR, 1.9; 95% CI, 1.5-2.5; c statistic, 0.77). Conclusion: Higher ARS scores are associated with statistically significantly increased risk of anticholinergic adverse effects in older patients. ©2008 American Medical Association. All rights reserved.&quot;,&quot;publisher&quot;:&quot;Arch Intern Med&quot;,&quot;issue&quot;:&quot;5&quot;,&quot;volume&quot;:&quot;168&quot;},&quot;isTemporary&quot;:false}]},{&quot;citationID&quot;:&quot;MENDELEY_CITATION_895ffc9a-8922-4efa-826d-43b9c30417b5&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&quot;,&quot;citationItems&quot;:[{&quot;id&quot;:&quot;a10dda01-fbbd-3607-9cef-f5a53bb259a0&quot;,&quot;itemData&quot;:{&quot;type&quot;:&quot;article-journal&quot;,&quot;id&quot;:&quot;a10dda01-fbbd-3607-9cef-f5a53bb259a0&quot;,&quot;title&quot;:&quot;Bias in Before-After Studies: Narrative Overview for Anesthesiologists&quot;,&quot;author&quot;:[{&quot;family&quot;:&quot;Ho&quot;,&quot;given&quot;:&quot;Anthony M.H.&quot;,&quot;parse-names&quot;:false,&quot;dropping-particle&quot;:&quot;&quot;,&quot;non-dropping-particle&quot;:&quot;&quot;},{&quot;family&quot;:&quot;Phelan&quot;,&quot;given&quot;:&quot;Rachel&quot;,&quot;parse-names&quot;:false,&quot;dropping-particle&quot;:&quot;&quot;,&quot;non-dropping-particle&quot;:&quot;&quot;},{&quot;family&quot;:&quot;Mizubuti&quot;,&quot;given&quot;:&quot;Glenio B.&quot;,&quot;parse-names&quot;:false,&quot;dropping-particle&quot;:&quot;&quot;,&quot;non-dropping-particle&quot;:&quot;&quot;},{&quot;family&quot;:&quot;Murdoch&quot;,&quot;given&quot;:&quot;John A.C.&quot;,&quot;parse-names&quot;:false,&quot;dropping-particle&quot;:&quot;&quot;,&quot;non-dropping-particle&quot;:&quot;&quot;},{&quot;family&quot;:&quot;Wickett&quot;,&quot;given&quot;:&quot;Sarah&quot;,&quot;parse-names&quot;:false,&quot;dropping-particle&quot;:&quot;&quot;,&quot;non-dropping-particle&quot;:&quot;&quot;},{&quot;family&quot;:&quot;Ho&quot;,&quot;given&quot;:&quot;Adrienne K.&quot;,&quot;parse-names&quot;:false,&quot;dropping-particle&quot;:&quot;&quot;,&quot;non-dropping-particle&quot;:&quot;&quot;},{&quot;family&quot;:&quot;Shyam&quot;,&quot;given&quot;:&quot;Vidur&quot;,&quot;parse-names&quot;:false,&quot;dropping-particle&quot;:&quot;&quot;,&quot;non-dropping-particle&quot;:&quot;&quot;},{&quot;family&quot;:&quot;Gilron&quot;,&quot;given&quot;:&quot;Ian&quot;,&quot;parse-names&quot;:false,&quot;dropping-particle&quot;:&quot;&quot;,&quot;non-dropping-particle&quot;:&quot;&quot;}],&quot;container-title&quot;:&quot;Anesthesia and analgesia&quot;,&quot;container-title-short&quot;:&quot;Anesth Analg&quot;,&quot;accessed&quot;:{&quot;date-parts&quot;:[[2022,3,31]]},&quot;DOI&quot;:&quot;10.1213/ANE.0000000000002705&quot;,&quot;ISSN&quot;:&quot;1526-7598&quot;,&quot;PMID&quot;:&quot;29239959&quot;,&quot;URL&quot;:&quot;https://pubmed.ncbi.nlm.nih.gov/29239959/&quot;,&quot;issued&quot;:{&quot;date-parts&quot;:[[2018,5,1]]},&quot;page&quot;:&quot;1755-1762&quot;,&quot;abstract&quot;:&quot;Before–after study designs are effective research tools and in some cases, have changed practice. These designs, however, are inherently susceptible to bias (ie, systematic errors) that are sometimes subtle but can invalidate their conclusions. This overview provides examples of before–after studies relevant to anesthesiologists to illustrate potential sources of bias, including selection/assignment, history, regression to the mean, test–retest, maturation, observer, retrospective, Hawthorne, instrumentation, attrition, and reporting/publication bias. Mitigating strategies include using a control group, blinding, matching before and after cohorts, minimizing the time lag between cohorts, using prospective data collection with consistent measuring/reporting criteria, time series data collection, and/or alternative study designs, when possible. Improved reporting with enforcement of the Enhancing Quality and Transparency of Health Research (EQUATOR) checklists will serve to increase transparency and aid in interpretation. By highlighting the potential types of bias and strategies to improve transparency and mitigate flaws, this overview aims to better equip anesthesiologists in designing and/or critically appraising before–after studies. (Anesth Analg 2018;126:1755–62.&quot;,&quot;publisher&quot;:&quot;Anesth Analg&quot;,&quot;issue&quot;:&quot;5&quot;,&quot;volume&quot;:&quot;126&quot;},&quot;isTemporary&quot;:false}]}]"/>
    <we:property name="MENDELEY_CITATIONS_STYLE" value="{&quot;id&quot;:&quot;https://www.zotero.org/styles/american-medical-association&quot;,&quot;title&quot;:&quot;American Medical Association 11th edition&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F422-4D58-0B44-8DB9-1216D210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29</Pages>
  <Words>7533</Words>
  <Characters>47463</Characters>
  <Application>Microsoft Office Word</Application>
  <DocSecurity>0</DocSecurity>
  <Lines>1031</Lines>
  <Paragraphs>450</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Carella</dc:creator>
  <cp:keywords/>
  <dc:description/>
  <cp:lastModifiedBy>N/A</cp:lastModifiedBy>
  <cp:revision>38</cp:revision>
  <dcterms:created xsi:type="dcterms:W3CDTF">2025-07-03T14:46:00Z</dcterms:created>
  <dcterms:modified xsi:type="dcterms:W3CDTF">2026-04-30T07:32:00Z</dcterms:modified>
</cp:coreProperties>
</file>