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E3B4" w14:textId="72BA1645" w:rsidR="003428B5" w:rsidRPr="004F2787" w:rsidRDefault="003428B5" w:rsidP="0049612A">
      <w:pPr>
        <w:spacing w:after="0"/>
        <w:jc w:val="both"/>
        <w:rPr>
          <w:b/>
          <w:kern w:val="0"/>
          <w:lang w:val="en-US"/>
          <w14:ligatures w14:val="none"/>
        </w:rPr>
      </w:pPr>
      <w:r w:rsidRPr="004F2787">
        <w:rPr>
          <w:b/>
          <w:kern w:val="0"/>
          <w:lang w:val="en-US"/>
          <w14:ligatures w14:val="none"/>
        </w:rPr>
        <w:t xml:space="preserve">Impact of stromal invasion depth on recurrence </w:t>
      </w:r>
      <w:r w:rsidR="0049612A" w:rsidRPr="004F2787">
        <w:rPr>
          <w:b/>
          <w:kern w:val="0"/>
          <w:lang w:val="en-US"/>
          <w14:ligatures w14:val="none"/>
        </w:rPr>
        <w:t xml:space="preserve">risk </w:t>
      </w:r>
      <w:r w:rsidRPr="004F2787">
        <w:rPr>
          <w:b/>
          <w:kern w:val="0"/>
          <w:lang w:val="en-US"/>
          <w14:ligatures w14:val="none"/>
        </w:rPr>
        <w:t xml:space="preserve">in </w:t>
      </w:r>
      <w:r w:rsidR="0049612A" w:rsidRPr="004F2787">
        <w:rPr>
          <w:b/>
          <w:kern w:val="0"/>
          <w:lang w:val="en-US"/>
          <w14:ligatures w14:val="none"/>
        </w:rPr>
        <w:t>early</w:t>
      </w:r>
      <w:r w:rsidRPr="004F2787">
        <w:rPr>
          <w:b/>
          <w:kern w:val="0"/>
          <w:lang w:val="en-US"/>
          <w14:ligatures w14:val="none"/>
        </w:rPr>
        <w:t xml:space="preserve"> (FIGO I–II) and advanced (FIGO III–IVA) </w:t>
      </w:r>
      <w:r w:rsidR="000070B8" w:rsidRPr="004F2787">
        <w:rPr>
          <w:b/>
          <w:kern w:val="0"/>
          <w:lang w:val="en-US"/>
          <w14:ligatures w14:val="none"/>
        </w:rPr>
        <w:t xml:space="preserve">stages </w:t>
      </w:r>
      <w:r w:rsidRPr="004F2787">
        <w:rPr>
          <w:b/>
          <w:kern w:val="0"/>
          <w:lang w:val="en-US"/>
          <w14:ligatures w14:val="none"/>
        </w:rPr>
        <w:t xml:space="preserve">vulvar </w:t>
      </w:r>
      <w:r w:rsidR="0049612A" w:rsidRPr="004F2787">
        <w:rPr>
          <w:b/>
          <w:kern w:val="0"/>
          <w:lang w:val="en-US"/>
          <w14:ligatures w14:val="none"/>
        </w:rPr>
        <w:t>cancer</w:t>
      </w:r>
    </w:p>
    <w:p w14:paraId="5588EA9E" w14:textId="102832CC" w:rsidR="0049612A" w:rsidRPr="005963A0" w:rsidRDefault="0049612A" w:rsidP="0049612A">
      <w:pPr>
        <w:spacing w:after="0"/>
        <w:jc w:val="both"/>
        <w:rPr>
          <w:rFonts w:cstheme="minorHAnsi"/>
          <w:kern w:val="0"/>
          <w:vertAlign w:val="superscript"/>
          <w:lang w:val="en-US"/>
          <w14:ligatures w14:val="none"/>
        </w:rPr>
      </w:pPr>
    </w:p>
    <w:p w14:paraId="6428F716" w14:textId="74FEA93C" w:rsidR="0049612A" w:rsidRPr="00DA43FE" w:rsidRDefault="00DA43FE" w:rsidP="0049612A">
      <w:pPr>
        <w:spacing w:after="0"/>
        <w:jc w:val="both"/>
        <w:rPr>
          <w:rFonts w:cstheme="minorHAnsi"/>
          <w:kern w:val="0"/>
          <w:vertAlign w:val="superscript"/>
          <w:lang w:val="en-US"/>
          <w14:ligatures w14:val="none"/>
        </w:rPr>
      </w:pPr>
      <w:hyperlink r:id="rId4" w:history="1">
        <w:r w:rsidRPr="00DA43FE">
          <w:rPr>
            <w:lang w:val="en-US"/>
          </w:rPr>
          <w:t>Meuris Fiona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1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5" w:history="1">
        <w:r w:rsidRPr="00DA43FE">
          <w:rPr>
            <w:lang w:val="en-US"/>
          </w:rPr>
          <w:t>Clara Darimont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1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6" w:history="1">
        <w:r w:rsidRPr="00DA43FE">
          <w:rPr>
            <w:lang w:val="en-US"/>
          </w:rPr>
          <w:t>Sylvie Pauwen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2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7" w:history="1">
        <w:r w:rsidRPr="00DA43FE">
          <w:rPr>
            <w:lang w:val="en-US"/>
          </w:rPr>
          <w:t>Alizée Lebeau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3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8" w:history="1">
        <w:r w:rsidRPr="00DA43FE">
          <w:rPr>
            <w:lang w:val="en-US"/>
          </w:rPr>
          <w:t>Athanasios Kakkos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1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9" w:history="1">
        <w:r w:rsidRPr="00DA43FE">
          <w:rPr>
            <w:lang w:val="en-US"/>
          </w:rPr>
          <w:t>Frédéric Goffin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3</w:t>
      </w:r>
      <w:r w:rsidRPr="00DA43FE">
        <w:rPr>
          <w:rFonts w:cstheme="minorHAnsi"/>
          <w:kern w:val="0"/>
          <w:lang w:val="en-US"/>
          <w14:ligatures w14:val="none"/>
        </w:rPr>
        <w:t>∙ </w:t>
      </w:r>
      <w:hyperlink r:id="rId10" w:history="1">
        <w:r w:rsidRPr="00DA43FE">
          <w:rPr>
            <w:lang w:val="en-US"/>
          </w:rPr>
          <w:t>Frédéric Kridelka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3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11" w:history="1">
        <w:r w:rsidRPr="00DA43FE">
          <w:rPr>
            <w:lang w:val="en-US"/>
          </w:rPr>
          <w:t>Christine Gennigens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2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12" w:history="1">
        <w:r w:rsidRPr="00DA43FE">
          <w:rPr>
            <w:lang w:val="en-US"/>
          </w:rPr>
          <w:t>Elodie Gonne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2</w:t>
      </w:r>
      <w:r w:rsidRPr="00DA43FE">
        <w:rPr>
          <w:rFonts w:cstheme="minorHAnsi"/>
          <w:kern w:val="0"/>
          <w:lang w:val="en-US"/>
          <w14:ligatures w14:val="none"/>
        </w:rPr>
        <w:t> ∙ </w:t>
      </w:r>
      <w:hyperlink r:id="rId13" w:history="1">
        <w:r w:rsidRPr="00DA43FE">
          <w:rPr>
            <w:lang w:val="en-US"/>
          </w:rPr>
          <w:t>Laurence Seidel</w:t>
        </w:r>
      </w:hyperlink>
      <w:r>
        <w:rPr>
          <w:rFonts w:cstheme="minorHAnsi"/>
          <w:kern w:val="0"/>
          <w:vertAlign w:val="superscript"/>
          <w:lang w:val="en-US"/>
          <w14:ligatures w14:val="none"/>
        </w:rPr>
        <w:t>4</w:t>
      </w:r>
    </w:p>
    <w:p w14:paraId="114A96E4" w14:textId="77777777" w:rsidR="00DA43FE" w:rsidRDefault="00DA43FE" w:rsidP="00DA43FE">
      <w:pPr>
        <w:spacing w:after="0"/>
        <w:jc w:val="both"/>
        <w:rPr>
          <w:rFonts w:cstheme="minorHAnsi"/>
          <w:kern w:val="0"/>
          <w:sz w:val="18"/>
          <w:szCs w:val="18"/>
          <w:lang w:val="en-US"/>
          <w14:ligatures w14:val="none"/>
        </w:rPr>
      </w:pPr>
    </w:p>
    <w:p w14:paraId="7BE3F944" w14:textId="71317461" w:rsidR="00DA43FE" w:rsidRPr="00DA43FE" w:rsidRDefault="00DA43FE" w:rsidP="00DA43FE">
      <w:pPr>
        <w:spacing w:after="0"/>
        <w:jc w:val="both"/>
        <w:rPr>
          <w:rFonts w:cstheme="minorHAnsi"/>
          <w:kern w:val="0"/>
          <w:sz w:val="18"/>
          <w:szCs w:val="18"/>
          <w:lang w:val="en-US"/>
          <w14:ligatures w14:val="none"/>
        </w:rPr>
      </w:pP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1</w:t>
      </w:r>
      <w:r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 -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CHU Liège, Gynecologic Oncology, Liège, Belgium</w:t>
      </w:r>
      <w:r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,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2</w:t>
      </w:r>
      <w:r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 -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CHU of Liège, Medical Oncology, Liège, Belgium</w:t>
      </w:r>
      <w:r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,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3</w:t>
      </w:r>
      <w:r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-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CHU of Liège, Gynecologic Oncology, Liège, Belgium</w:t>
      </w:r>
      <w:r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,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4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- </w:t>
      </w:r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CHU Liège, </w:t>
      </w:r>
      <w:proofErr w:type="spellStart"/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Biostatistique</w:t>
      </w:r>
      <w:proofErr w:type="spellEnd"/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 Et </w:t>
      </w:r>
      <w:proofErr w:type="spellStart"/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>Méthodes</w:t>
      </w:r>
      <w:proofErr w:type="spellEnd"/>
      <w:r w:rsidRPr="00DA43FE">
        <w:rPr>
          <w:rFonts w:cstheme="minorHAnsi"/>
          <w:kern w:val="0"/>
          <w:sz w:val="18"/>
          <w:szCs w:val="18"/>
          <w:lang w:val="en-US"/>
          <w14:ligatures w14:val="none"/>
        </w:rPr>
        <w:t xml:space="preserve"> De Recherche (b-stat), Liège, Belgium</w:t>
      </w:r>
    </w:p>
    <w:p w14:paraId="488233FB" w14:textId="77777777" w:rsidR="0049612A" w:rsidRPr="0049612A" w:rsidRDefault="0049612A" w:rsidP="003428B5">
      <w:pPr>
        <w:rPr>
          <w:bCs/>
          <w:sz w:val="24"/>
          <w:szCs w:val="24"/>
          <w:lang w:val="en-US"/>
        </w:rPr>
      </w:pPr>
    </w:p>
    <w:p w14:paraId="2148D440" w14:textId="25F388C0" w:rsidR="003428B5" w:rsidRPr="0049612A" w:rsidRDefault="003428B5" w:rsidP="0049612A">
      <w:pPr>
        <w:jc w:val="both"/>
        <w:rPr>
          <w:b/>
          <w:kern w:val="0"/>
          <w:lang w:val="en-US"/>
          <w14:ligatures w14:val="none"/>
        </w:rPr>
      </w:pPr>
      <w:r w:rsidRPr="0049612A">
        <w:rPr>
          <w:b/>
          <w:kern w:val="0"/>
          <w:lang w:val="en-US"/>
          <w14:ligatures w14:val="none"/>
        </w:rPr>
        <w:t>INTRODUCTION</w:t>
      </w:r>
    </w:p>
    <w:p w14:paraId="64886243" w14:textId="645A7FA3" w:rsidR="00F06755" w:rsidRPr="0073052D" w:rsidRDefault="0049612A" w:rsidP="003428B5">
      <w:pPr>
        <w:rPr>
          <w:kern w:val="0"/>
          <w:lang w:val="en-US"/>
          <w14:ligatures w14:val="none"/>
        </w:rPr>
      </w:pPr>
      <w:r w:rsidRPr="0073052D">
        <w:rPr>
          <w:kern w:val="0"/>
          <w:lang w:val="en-US"/>
          <w14:ligatures w14:val="none"/>
        </w:rPr>
        <w:t>Stromal invasion depth is a key criteri</w:t>
      </w:r>
      <w:r w:rsidR="005963A0" w:rsidRPr="0073052D">
        <w:rPr>
          <w:kern w:val="0"/>
          <w:lang w:val="en-US"/>
          <w14:ligatures w14:val="none"/>
        </w:rPr>
        <w:t>a</w:t>
      </w:r>
      <w:r w:rsidRPr="0073052D">
        <w:rPr>
          <w:kern w:val="0"/>
          <w:lang w:val="en-US"/>
          <w14:ligatures w14:val="none"/>
        </w:rPr>
        <w:t xml:space="preserve"> in</w:t>
      </w:r>
      <w:r w:rsidR="005963A0" w:rsidRPr="0073052D">
        <w:rPr>
          <w:kern w:val="0"/>
          <w:lang w:val="en-US"/>
          <w14:ligatures w14:val="none"/>
        </w:rPr>
        <w:t xml:space="preserve"> </w:t>
      </w:r>
      <w:r w:rsidRPr="0073052D">
        <w:rPr>
          <w:kern w:val="0"/>
          <w:lang w:val="en-US"/>
          <w14:ligatures w14:val="none"/>
        </w:rPr>
        <w:t xml:space="preserve">FIGO </w:t>
      </w:r>
      <w:r w:rsidR="005963A0" w:rsidRPr="0073052D">
        <w:rPr>
          <w:kern w:val="0"/>
          <w:lang w:val="en-US"/>
          <w14:ligatures w14:val="none"/>
        </w:rPr>
        <w:t xml:space="preserve">2021 </w:t>
      </w:r>
      <w:r w:rsidRPr="0073052D">
        <w:rPr>
          <w:kern w:val="0"/>
          <w:lang w:val="en-US"/>
          <w14:ligatures w14:val="none"/>
        </w:rPr>
        <w:t>stages I</w:t>
      </w:r>
      <w:r w:rsidR="0021262F" w:rsidRPr="0073052D">
        <w:rPr>
          <w:kern w:val="0"/>
          <w:lang w:val="en-US"/>
          <w14:ligatures w14:val="none"/>
        </w:rPr>
        <w:t>-II vulvar cancers</w:t>
      </w:r>
      <w:r w:rsidRPr="0073052D">
        <w:rPr>
          <w:kern w:val="0"/>
          <w:lang w:val="en-US"/>
          <w14:ligatures w14:val="none"/>
        </w:rPr>
        <w:t>. However, its role in advanced stages (III–IVA) remains poorly defined. This study investigates how stromal invasion depth influences recurrence risk in early (I–II) and advanced</w:t>
      </w:r>
      <w:r w:rsidRPr="0073052D">
        <w:rPr>
          <w:lang w:val="en-US"/>
        </w:rPr>
        <w:t xml:space="preserve"> </w:t>
      </w:r>
      <w:r w:rsidRPr="0073052D">
        <w:rPr>
          <w:kern w:val="0"/>
          <w:lang w:val="en-US"/>
          <w14:ligatures w14:val="none"/>
        </w:rPr>
        <w:t xml:space="preserve">(III–IVA) stages </w:t>
      </w:r>
      <w:r w:rsidR="000070B8" w:rsidRPr="0073052D">
        <w:rPr>
          <w:kern w:val="0"/>
          <w:lang w:val="en-US"/>
          <w14:ligatures w14:val="none"/>
        </w:rPr>
        <w:t>but also</w:t>
      </w:r>
      <w:r w:rsidRPr="0073052D">
        <w:rPr>
          <w:kern w:val="0"/>
          <w:lang w:val="en-US"/>
          <w14:ligatures w14:val="none"/>
        </w:rPr>
        <w:t xml:space="preserve"> identifies the </w:t>
      </w:r>
      <w:r w:rsidR="00E83894" w:rsidRPr="0073052D">
        <w:rPr>
          <w:kern w:val="0"/>
          <w:lang w:val="en-US"/>
          <w14:ligatures w14:val="none"/>
        </w:rPr>
        <w:t xml:space="preserve">threshold </w:t>
      </w:r>
      <w:r w:rsidR="003F3355" w:rsidRPr="0073052D">
        <w:rPr>
          <w:kern w:val="0"/>
          <w:lang w:val="en-US"/>
          <w14:ligatures w14:val="none"/>
        </w:rPr>
        <w:t>impacting negatively</w:t>
      </w:r>
      <w:r w:rsidR="00EA6FBC" w:rsidRPr="0073052D">
        <w:rPr>
          <w:kern w:val="0"/>
          <w:lang w:val="en-US"/>
          <w14:ligatures w14:val="none"/>
        </w:rPr>
        <w:t xml:space="preserve"> the </w:t>
      </w:r>
      <w:r w:rsidR="00E83894" w:rsidRPr="0073052D">
        <w:rPr>
          <w:kern w:val="0"/>
          <w:lang w:val="en-US"/>
          <w14:ligatures w14:val="none"/>
        </w:rPr>
        <w:t>prognosis</w:t>
      </w:r>
      <w:r w:rsidRPr="0073052D">
        <w:rPr>
          <w:kern w:val="0"/>
          <w:lang w:val="en-US"/>
          <w14:ligatures w14:val="none"/>
        </w:rPr>
        <w:t>.</w:t>
      </w:r>
    </w:p>
    <w:p w14:paraId="18BB03CC" w14:textId="3E3724B7" w:rsidR="003428B5" w:rsidRPr="0073052D" w:rsidRDefault="003428B5" w:rsidP="0049612A">
      <w:pPr>
        <w:jc w:val="both"/>
        <w:rPr>
          <w:b/>
          <w:kern w:val="0"/>
          <w:lang w:val="en-US"/>
          <w14:ligatures w14:val="none"/>
        </w:rPr>
      </w:pPr>
      <w:r w:rsidRPr="0073052D">
        <w:rPr>
          <w:b/>
          <w:kern w:val="0"/>
          <w:lang w:val="en-US"/>
          <w14:ligatures w14:val="none"/>
        </w:rPr>
        <w:t xml:space="preserve">METHODS </w:t>
      </w:r>
    </w:p>
    <w:p w14:paraId="13CE57D5" w14:textId="08A4FBAB" w:rsidR="0049612A" w:rsidRPr="0073052D" w:rsidRDefault="003428B5" w:rsidP="0049612A">
      <w:pPr>
        <w:rPr>
          <w:lang w:val="en-US"/>
        </w:rPr>
      </w:pPr>
      <w:r w:rsidRPr="0073052D">
        <w:rPr>
          <w:kern w:val="0"/>
          <w:lang w:val="en-US"/>
          <w14:ligatures w14:val="none"/>
        </w:rPr>
        <w:t xml:space="preserve">Between January 2010 and December 2023, we conducted a retrospective study </w:t>
      </w:r>
      <w:r w:rsidR="005963A0" w:rsidRPr="0073052D">
        <w:rPr>
          <w:kern w:val="0"/>
          <w:lang w:val="en-US"/>
          <w14:ligatures w14:val="none"/>
        </w:rPr>
        <w:t xml:space="preserve">based on </w:t>
      </w:r>
      <w:r w:rsidRPr="0073052D">
        <w:rPr>
          <w:kern w:val="0"/>
          <w:lang w:val="en-US"/>
          <w14:ligatures w14:val="none"/>
        </w:rPr>
        <w:t>2</w:t>
      </w:r>
      <w:r w:rsidR="005B2685" w:rsidRPr="0073052D">
        <w:rPr>
          <w:kern w:val="0"/>
          <w:lang w:val="en-US"/>
          <w14:ligatures w14:val="none"/>
        </w:rPr>
        <w:t>15</w:t>
      </w:r>
      <w:r w:rsidRPr="0073052D">
        <w:rPr>
          <w:kern w:val="0"/>
          <w:lang w:val="en-US"/>
          <w14:ligatures w14:val="none"/>
        </w:rPr>
        <w:t xml:space="preserve"> patients treated for vulvar cancer at CHU of Liège. </w:t>
      </w:r>
      <w:r w:rsidR="0049612A" w:rsidRPr="0073052D">
        <w:rPr>
          <w:lang w:val="en-US"/>
        </w:rPr>
        <w:t xml:space="preserve">Progression-free survival (PFS) was analyzed using univariate Cox regression model. The cut-offs were determined </w:t>
      </w:r>
      <w:r w:rsidR="000070B8" w:rsidRPr="0073052D">
        <w:rPr>
          <w:lang w:val="en-US"/>
        </w:rPr>
        <w:t>by</w:t>
      </w:r>
      <w:r w:rsidR="0049612A" w:rsidRPr="0073052D">
        <w:rPr>
          <w:lang w:val="en-US"/>
        </w:rPr>
        <w:t xml:space="preserve"> the Youden method.</w:t>
      </w:r>
    </w:p>
    <w:p w14:paraId="79F4B177" w14:textId="6E0C41B8" w:rsidR="00535F14" w:rsidRPr="0073052D" w:rsidRDefault="003428B5" w:rsidP="0049612A">
      <w:pPr>
        <w:jc w:val="both"/>
        <w:rPr>
          <w:b/>
          <w:lang w:val="en-US"/>
        </w:rPr>
      </w:pPr>
      <w:r w:rsidRPr="0073052D">
        <w:rPr>
          <w:b/>
          <w:lang w:val="en-US"/>
        </w:rPr>
        <w:t>RESULTS</w:t>
      </w:r>
    </w:p>
    <w:p w14:paraId="0850EB0D" w14:textId="7E93C212" w:rsidR="0049612A" w:rsidRPr="0073052D" w:rsidRDefault="0049612A" w:rsidP="0049612A">
      <w:pPr>
        <w:rPr>
          <w:lang w:val="en-US"/>
        </w:rPr>
      </w:pPr>
      <w:r w:rsidRPr="0073052D">
        <w:rPr>
          <w:lang w:val="en-US"/>
        </w:rPr>
        <w:t>In the FIGO stages I–II</w:t>
      </w:r>
      <w:r w:rsidR="005963A0" w:rsidRPr="0073052D">
        <w:rPr>
          <w:lang w:val="en-US"/>
        </w:rPr>
        <w:t xml:space="preserve"> population</w:t>
      </w:r>
      <w:r w:rsidRPr="0073052D">
        <w:rPr>
          <w:lang w:val="en-US"/>
        </w:rPr>
        <w:t xml:space="preserve">, 28 of 144 patients (19.4%) experienced </w:t>
      </w:r>
      <w:r w:rsidR="003F3355" w:rsidRPr="0073052D">
        <w:rPr>
          <w:lang w:val="en-US"/>
        </w:rPr>
        <w:t>relapse</w:t>
      </w:r>
      <w:r w:rsidR="005963A0" w:rsidRPr="0073052D">
        <w:rPr>
          <w:lang w:val="en-US"/>
        </w:rPr>
        <w:t>, 19 (67,9%) local and 9 (32,1%) distant</w:t>
      </w:r>
      <w:r w:rsidR="0027503E" w:rsidRPr="0073052D">
        <w:rPr>
          <w:lang w:val="en-US"/>
        </w:rPr>
        <w:t xml:space="preserve"> </w:t>
      </w:r>
      <w:r w:rsidR="005963A0" w:rsidRPr="0073052D">
        <w:rPr>
          <w:lang w:val="en-US"/>
        </w:rPr>
        <w:t>including lymph node and visceral sites.</w:t>
      </w:r>
      <w:r w:rsidR="000070B8" w:rsidRPr="0073052D">
        <w:rPr>
          <w:lang w:val="en-US"/>
        </w:rPr>
        <w:t xml:space="preserve"> Stromal </w:t>
      </w:r>
      <w:r w:rsidRPr="0073052D">
        <w:rPr>
          <w:lang w:val="en-US"/>
        </w:rPr>
        <w:t xml:space="preserve">invasion depth was </w:t>
      </w:r>
      <w:r w:rsidR="003F3355" w:rsidRPr="0073052D">
        <w:rPr>
          <w:lang w:val="en-US"/>
        </w:rPr>
        <w:t>a</w:t>
      </w:r>
      <w:r w:rsidRPr="0073052D">
        <w:rPr>
          <w:lang w:val="en-US"/>
        </w:rPr>
        <w:t xml:space="preserve"> significant risk factor. </w:t>
      </w:r>
      <w:r w:rsidR="003F3355" w:rsidRPr="0073052D">
        <w:rPr>
          <w:lang w:val="en-US"/>
        </w:rPr>
        <w:t>Indeed</w:t>
      </w:r>
      <w:r w:rsidRPr="0073052D">
        <w:rPr>
          <w:lang w:val="en-US"/>
        </w:rPr>
        <w:t>,</w:t>
      </w:r>
      <w:r w:rsidR="005963A0" w:rsidRPr="0073052D">
        <w:rPr>
          <w:lang w:val="en-US"/>
        </w:rPr>
        <w:t xml:space="preserve"> the </w:t>
      </w:r>
      <w:r w:rsidRPr="0073052D">
        <w:rPr>
          <w:lang w:val="en-US"/>
        </w:rPr>
        <w:t>recurrence risk nearly tripled (HR 3.064 [95% CI 1.1</w:t>
      </w:r>
      <w:r w:rsidR="003F3355" w:rsidRPr="0073052D">
        <w:rPr>
          <w:lang w:val="en-US"/>
        </w:rPr>
        <w:t xml:space="preserve">5 </w:t>
      </w:r>
      <w:r w:rsidRPr="0073052D">
        <w:rPr>
          <w:lang w:val="en-US"/>
        </w:rPr>
        <w:t>–8.17])</w:t>
      </w:r>
      <w:r w:rsidR="003F3355" w:rsidRPr="0073052D">
        <w:rPr>
          <w:lang w:val="en-US"/>
        </w:rPr>
        <w:t xml:space="preserve"> for tumors with invasion ≥ 1.8 mm. </w:t>
      </w:r>
    </w:p>
    <w:p w14:paraId="2355FFCE" w14:textId="3A60D3D8" w:rsidR="0049612A" w:rsidRPr="0073052D" w:rsidRDefault="0049612A" w:rsidP="0049612A">
      <w:pPr>
        <w:rPr>
          <w:lang w:val="en-US"/>
        </w:rPr>
      </w:pPr>
      <w:r w:rsidRPr="0073052D">
        <w:rPr>
          <w:lang w:val="en-US"/>
        </w:rPr>
        <w:t>In the advanced vulvar cancer (FIGO stages III–IVA)</w:t>
      </w:r>
      <w:r w:rsidR="005963A0" w:rsidRPr="0073052D">
        <w:rPr>
          <w:lang w:val="en-US"/>
        </w:rPr>
        <w:t xml:space="preserve"> group</w:t>
      </w:r>
      <w:r w:rsidRPr="0073052D">
        <w:rPr>
          <w:lang w:val="en-US"/>
        </w:rPr>
        <w:t>, 29 of 67 patients (43.3%) relapsed</w:t>
      </w:r>
      <w:r w:rsidR="0027503E" w:rsidRPr="0073052D">
        <w:rPr>
          <w:lang w:val="en-US"/>
        </w:rPr>
        <w:t xml:space="preserve">, </w:t>
      </w:r>
      <w:r w:rsidR="00283E44" w:rsidRPr="0073052D">
        <w:rPr>
          <w:lang w:val="en-US"/>
        </w:rPr>
        <w:t>44,8%</w:t>
      </w:r>
      <w:r w:rsidR="00EA6FBC" w:rsidRPr="0073052D">
        <w:rPr>
          <w:lang w:val="en-US"/>
        </w:rPr>
        <w:t xml:space="preserve"> </w:t>
      </w:r>
      <w:r w:rsidR="00283E44" w:rsidRPr="0073052D">
        <w:rPr>
          <w:lang w:val="en-US"/>
        </w:rPr>
        <w:t>local and 55,2% distant</w:t>
      </w:r>
      <w:r w:rsidRPr="0073052D">
        <w:rPr>
          <w:lang w:val="en-US"/>
        </w:rPr>
        <w:t xml:space="preserve">. </w:t>
      </w:r>
      <w:r w:rsidR="005963A0" w:rsidRPr="0073052D">
        <w:rPr>
          <w:lang w:val="en-US"/>
        </w:rPr>
        <w:t>E</w:t>
      </w:r>
      <w:r w:rsidRPr="0073052D">
        <w:rPr>
          <w:lang w:val="en-US"/>
        </w:rPr>
        <w:t xml:space="preserve">ach 1 mm increase in </w:t>
      </w:r>
      <w:r w:rsidR="000070B8" w:rsidRPr="0073052D">
        <w:rPr>
          <w:lang w:val="en-US"/>
        </w:rPr>
        <w:t>stromal invasion</w:t>
      </w:r>
      <w:r w:rsidRPr="0073052D">
        <w:rPr>
          <w:lang w:val="en-US"/>
        </w:rPr>
        <w:t xml:space="preserve"> depth raised the recurrence risk by 61.6% [95% CI 1.10</w:t>
      </w:r>
      <w:r w:rsidR="000070B8" w:rsidRPr="0073052D">
        <w:rPr>
          <w:lang w:val="en-US"/>
        </w:rPr>
        <w:t xml:space="preserve"> </w:t>
      </w:r>
      <w:r w:rsidRPr="0073052D">
        <w:rPr>
          <w:lang w:val="en-US"/>
        </w:rPr>
        <w:t>–2.3</w:t>
      </w:r>
      <w:r w:rsidR="000070B8" w:rsidRPr="0073052D">
        <w:rPr>
          <w:lang w:val="en-US"/>
        </w:rPr>
        <w:t>7</w:t>
      </w:r>
      <w:r w:rsidRPr="0073052D">
        <w:rPr>
          <w:lang w:val="en-US"/>
        </w:rPr>
        <w:t>].</w:t>
      </w:r>
      <w:r w:rsidR="003F3355" w:rsidRPr="0073052D">
        <w:rPr>
          <w:lang w:val="en-US"/>
        </w:rPr>
        <w:t xml:space="preserve"> T</w:t>
      </w:r>
      <w:r w:rsidRPr="0073052D">
        <w:rPr>
          <w:lang w:val="en-US"/>
        </w:rPr>
        <w:t xml:space="preserve">he recurrence </w:t>
      </w:r>
      <w:r w:rsidR="003F3355" w:rsidRPr="0073052D">
        <w:rPr>
          <w:lang w:val="en-US"/>
        </w:rPr>
        <w:t xml:space="preserve">relapse </w:t>
      </w:r>
      <w:r w:rsidRPr="0073052D">
        <w:rPr>
          <w:lang w:val="en-US"/>
        </w:rPr>
        <w:t>risk was nearly 4.8 times higher (HR 4.771 [95% CI 1.8</w:t>
      </w:r>
      <w:r w:rsidR="000070B8" w:rsidRPr="0073052D">
        <w:rPr>
          <w:lang w:val="en-US"/>
        </w:rPr>
        <w:t>4</w:t>
      </w:r>
      <w:r w:rsidRPr="0073052D">
        <w:rPr>
          <w:lang w:val="en-US"/>
        </w:rPr>
        <w:t>–12.3</w:t>
      </w:r>
      <w:r w:rsidR="000070B8" w:rsidRPr="0073052D">
        <w:rPr>
          <w:lang w:val="en-US"/>
        </w:rPr>
        <w:t>9</w:t>
      </w:r>
      <w:r w:rsidRPr="0073052D">
        <w:rPr>
          <w:lang w:val="en-US"/>
        </w:rPr>
        <w:t>])</w:t>
      </w:r>
      <w:r w:rsidR="003F3355" w:rsidRPr="0073052D">
        <w:rPr>
          <w:lang w:val="en-US"/>
        </w:rPr>
        <w:t xml:space="preserve"> for tumors with invasion ≥ 9 mm</w:t>
      </w:r>
      <w:r w:rsidRPr="0073052D">
        <w:rPr>
          <w:lang w:val="en-US"/>
        </w:rPr>
        <w:t>.</w:t>
      </w:r>
    </w:p>
    <w:p w14:paraId="49C27F3F" w14:textId="4DF5F538" w:rsidR="003428B5" w:rsidRPr="0073052D" w:rsidRDefault="003428B5" w:rsidP="0049612A">
      <w:pPr>
        <w:jc w:val="both"/>
        <w:rPr>
          <w:b/>
          <w:bCs/>
          <w:kern w:val="0"/>
          <w:lang w:val="en-US"/>
          <w14:ligatures w14:val="none"/>
        </w:rPr>
      </w:pPr>
      <w:r w:rsidRPr="0073052D">
        <w:rPr>
          <w:b/>
          <w:bCs/>
          <w:kern w:val="0"/>
          <w:lang w:val="en-US"/>
          <w14:ligatures w14:val="none"/>
        </w:rPr>
        <w:t>CONCLUSION</w:t>
      </w:r>
    </w:p>
    <w:p w14:paraId="5E9C6169" w14:textId="22126EC7" w:rsidR="0049612A" w:rsidRDefault="0049612A" w:rsidP="0049612A">
      <w:pPr>
        <w:rPr>
          <w:lang w:val="en-US"/>
        </w:rPr>
      </w:pPr>
      <w:r w:rsidRPr="0073052D">
        <w:rPr>
          <w:lang w:val="en-US"/>
        </w:rPr>
        <w:t xml:space="preserve">Stromal invasion depth is a prognostic </w:t>
      </w:r>
      <w:r w:rsidR="003F3355" w:rsidRPr="0073052D">
        <w:rPr>
          <w:lang w:val="en-US"/>
        </w:rPr>
        <w:t>factor</w:t>
      </w:r>
      <w:r w:rsidRPr="0073052D">
        <w:rPr>
          <w:lang w:val="en-US"/>
        </w:rPr>
        <w:t xml:space="preserve"> in vulvar cancer</w:t>
      </w:r>
      <w:r w:rsidR="005963A0" w:rsidRPr="0073052D">
        <w:rPr>
          <w:lang w:val="en-US"/>
        </w:rPr>
        <w:t xml:space="preserve"> regardless FIGO stage</w:t>
      </w:r>
      <w:r w:rsidRPr="0073052D">
        <w:rPr>
          <w:lang w:val="en-US"/>
        </w:rPr>
        <w:t xml:space="preserve">, identifying patients at high risk of recurrence. Combining this data with other histological and clinical </w:t>
      </w:r>
      <w:r w:rsidR="003F3355" w:rsidRPr="0073052D">
        <w:rPr>
          <w:lang w:val="en-US"/>
        </w:rPr>
        <w:t>characteristics</w:t>
      </w:r>
      <w:r w:rsidRPr="0073052D">
        <w:rPr>
          <w:lang w:val="en-US"/>
        </w:rPr>
        <w:t xml:space="preserve"> could improve risk stratification and</w:t>
      </w:r>
      <w:r w:rsidR="00C63A46" w:rsidRPr="0073052D">
        <w:rPr>
          <w:lang w:val="en-US"/>
        </w:rPr>
        <w:t xml:space="preserve"> </w:t>
      </w:r>
      <w:r w:rsidR="00E83894" w:rsidRPr="0073052D">
        <w:rPr>
          <w:lang w:val="en-US"/>
        </w:rPr>
        <w:t xml:space="preserve">guide </w:t>
      </w:r>
      <w:r w:rsidRPr="0073052D">
        <w:rPr>
          <w:lang w:val="en-US"/>
        </w:rPr>
        <w:t>treatment decisions.</w:t>
      </w:r>
    </w:p>
    <w:p w14:paraId="544E29F5" w14:textId="7F57992D" w:rsidR="000706A1" w:rsidRPr="0049612A" w:rsidRDefault="000706A1" w:rsidP="0049612A">
      <w:pPr>
        <w:jc w:val="both"/>
        <w:rPr>
          <w:kern w:val="0"/>
          <w:lang w:val="en-US"/>
          <w14:ligatures w14:val="none"/>
        </w:rPr>
      </w:pPr>
    </w:p>
    <w:sectPr w:rsidR="000706A1" w:rsidRPr="0049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9E"/>
    <w:rsid w:val="000070B8"/>
    <w:rsid w:val="000078DE"/>
    <w:rsid w:val="000706A1"/>
    <w:rsid w:val="00077785"/>
    <w:rsid w:val="00106B67"/>
    <w:rsid w:val="0021031A"/>
    <w:rsid w:val="0021262F"/>
    <w:rsid w:val="00245A8E"/>
    <w:rsid w:val="002637A5"/>
    <w:rsid w:val="0027503E"/>
    <w:rsid w:val="00277FE4"/>
    <w:rsid w:val="00283E44"/>
    <w:rsid w:val="003028AD"/>
    <w:rsid w:val="003428B5"/>
    <w:rsid w:val="00393715"/>
    <w:rsid w:val="003F2000"/>
    <w:rsid w:val="003F3355"/>
    <w:rsid w:val="00475B97"/>
    <w:rsid w:val="0049612A"/>
    <w:rsid w:val="004F2787"/>
    <w:rsid w:val="00535F14"/>
    <w:rsid w:val="00543D14"/>
    <w:rsid w:val="005963A0"/>
    <w:rsid w:val="005B2685"/>
    <w:rsid w:val="005E0B65"/>
    <w:rsid w:val="00677BA4"/>
    <w:rsid w:val="0073052D"/>
    <w:rsid w:val="00766387"/>
    <w:rsid w:val="00767423"/>
    <w:rsid w:val="007D1A9E"/>
    <w:rsid w:val="007E6920"/>
    <w:rsid w:val="00826462"/>
    <w:rsid w:val="0088234B"/>
    <w:rsid w:val="009234FB"/>
    <w:rsid w:val="00985CF3"/>
    <w:rsid w:val="009E77CF"/>
    <w:rsid w:val="009F7F58"/>
    <w:rsid w:val="00A0100F"/>
    <w:rsid w:val="00A0303B"/>
    <w:rsid w:val="00A15025"/>
    <w:rsid w:val="00AC7548"/>
    <w:rsid w:val="00AD5922"/>
    <w:rsid w:val="00C63A46"/>
    <w:rsid w:val="00DA43FE"/>
    <w:rsid w:val="00DF24A9"/>
    <w:rsid w:val="00E83894"/>
    <w:rsid w:val="00E8665C"/>
    <w:rsid w:val="00EA6FBC"/>
    <w:rsid w:val="00EC0DD6"/>
    <w:rsid w:val="00F0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C171"/>
  <w15:chartTrackingRefBased/>
  <w15:docId w15:val="{9F8D7098-EF4F-425C-988F-DF5ED74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1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1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1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1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1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1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1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1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1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1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1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1A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1A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1A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1A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1A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1A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1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1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1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1A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1A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1A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1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1A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1A9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A43F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4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-journal-of-gynecological-cancer.com/article/S1048-891X(25)01659-7/abstract" TargetMode="External"/><Relationship Id="rId13" Type="http://schemas.openxmlformats.org/officeDocument/2006/relationships/hyperlink" Target="https://www.international-journal-of-gynecological-cancer.com/article/S1048-891X(25)01659-7/abstra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ternational-journal-of-gynecological-cancer.com/article/S1048-891X(25)01659-7/abstract" TargetMode="External"/><Relationship Id="rId12" Type="http://schemas.openxmlformats.org/officeDocument/2006/relationships/hyperlink" Target="https://www.international-journal-of-gynecological-cancer.com/article/S1048-891X(25)01659-7/abstra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ational-journal-of-gynecological-cancer.com/article/S1048-891X(25)01659-7/abstract" TargetMode="External"/><Relationship Id="rId11" Type="http://schemas.openxmlformats.org/officeDocument/2006/relationships/hyperlink" Target="https://www.international-journal-of-gynecological-cancer.com/article/S1048-891X(25)01659-7/abstract" TargetMode="External"/><Relationship Id="rId5" Type="http://schemas.openxmlformats.org/officeDocument/2006/relationships/hyperlink" Target="https://www.international-journal-of-gynecological-cancer.com/article/S1048-891X(25)01659-7/abstrac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ternational-journal-of-gynecological-cancer.com/article/S1048-891X(25)01659-7/abstract" TargetMode="External"/><Relationship Id="rId4" Type="http://schemas.openxmlformats.org/officeDocument/2006/relationships/hyperlink" Target="https://www.international-journal-of-gynecological-cancer.com/article/S1048-891X(25)01659-7/abstract" TargetMode="External"/><Relationship Id="rId9" Type="http://schemas.openxmlformats.org/officeDocument/2006/relationships/hyperlink" Target="https://www.international-journal-of-gynecological-cancer.com/article/S1048-891X(25)01659-7/abstr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Meuris Fiona</dc:creator>
  <cp:keywords/>
  <dc:description/>
  <cp:lastModifiedBy>Meuris Fiona</cp:lastModifiedBy>
  <cp:revision>2</cp:revision>
  <dcterms:created xsi:type="dcterms:W3CDTF">2026-03-05T06:27:00Z</dcterms:created>
  <dcterms:modified xsi:type="dcterms:W3CDTF">2026-03-05T06:27:00Z</dcterms:modified>
</cp:coreProperties>
</file>